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FC3" w:rsidRPr="00376E73" w:rsidRDefault="001915EC">
      <w:pPr>
        <w:rPr>
          <w:b/>
        </w:rPr>
      </w:pPr>
      <w:bookmarkStart w:id="0" w:name="_GoBack"/>
      <w:bookmarkEnd w:id="0"/>
      <w:proofErr w:type="spellStart"/>
      <w:r>
        <w:rPr>
          <w:b/>
        </w:rPr>
        <w:t>Synectics</w:t>
      </w:r>
      <w:proofErr w:type="spellEnd"/>
      <w:r>
        <w:rPr>
          <w:b/>
        </w:rPr>
        <w:t xml:space="preserve"> </w:t>
      </w:r>
      <w:r w:rsidR="00C97BBE" w:rsidRPr="00376E73">
        <w:rPr>
          <w:b/>
        </w:rPr>
        <w:t xml:space="preserve">EDMS </w:t>
      </w:r>
      <w:r w:rsidR="00376E73" w:rsidRPr="00376E73">
        <w:rPr>
          <w:b/>
        </w:rPr>
        <w:t>Questions</w:t>
      </w:r>
    </w:p>
    <w:tbl>
      <w:tblPr>
        <w:tblStyle w:val="TableGrid"/>
        <w:tblW w:w="0" w:type="auto"/>
        <w:tblLook w:val="04A0" w:firstRow="1" w:lastRow="0" w:firstColumn="1" w:lastColumn="0" w:noHBand="0" w:noVBand="1"/>
      </w:tblPr>
      <w:tblGrid>
        <w:gridCol w:w="4675"/>
        <w:gridCol w:w="4675"/>
      </w:tblGrid>
      <w:tr w:rsidR="00CD1A3B" w:rsidRPr="00376E73" w:rsidTr="00CD1A3B">
        <w:tc>
          <w:tcPr>
            <w:tcW w:w="4675" w:type="dxa"/>
          </w:tcPr>
          <w:p w:rsidR="00CD1A3B" w:rsidRPr="00376E73" w:rsidRDefault="00CD1A3B">
            <w:pPr>
              <w:rPr>
                <w:b/>
              </w:rPr>
            </w:pPr>
            <w:r w:rsidRPr="00376E73">
              <w:rPr>
                <w:b/>
              </w:rPr>
              <w:t>Question</w:t>
            </w:r>
          </w:p>
        </w:tc>
        <w:tc>
          <w:tcPr>
            <w:tcW w:w="4675" w:type="dxa"/>
          </w:tcPr>
          <w:p w:rsidR="00CD1A3B" w:rsidRPr="00376E73" w:rsidRDefault="00CD1A3B">
            <w:pPr>
              <w:rPr>
                <w:b/>
              </w:rPr>
            </w:pPr>
            <w:r w:rsidRPr="00376E73">
              <w:rPr>
                <w:b/>
              </w:rPr>
              <w:t>Response</w:t>
            </w:r>
          </w:p>
        </w:tc>
      </w:tr>
      <w:tr w:rsidR="00CD1A3B" w:rsidTr="00CD1A3B">
        <w:tc>
          <w:tcPr>
            <w:tcW w:w="4675" w:type="dxa"/>
          </w:tcPr>
          <w:p w:rsidR="00CD1A3B" w:rsidRDefault="00CD1A3B">
            <w:r>
              <w:t>We need to create an export file that can be uploaded to our Oracle databases, there are security issues we probably need to continue to adhere to.</w:t>
            </w:r>
          </w:p>
        </w:tc>
        <w:tc>
          <w:tcPr>
            <w:tcW w:w="4675" w:type="dxa"/>
          </w:tcPr>
          <w:p w:rsidR="00CD1A3B" w:rsidRDefault="00B33DF6" w:rsidP="00D3510C">
            <w:proofErr w:type="spellStart"/>
            <w:r>
              <w:t>Synectics</w:t>
            </w:r>
            <w:proofErr w:type="spellEnd"/>
            <w:r w:rsidR="00393756">
              <w:t>’</w:t>
            </w:r>
            <w:r>
              <w:t xml:space="preserve"> EDMS </w:t>
            </w:r>
            <w:r w:rsidR="00D3510C">
              <w:t xml:space="preserve">can import data in several </w:t>
            </w:r>
            <w:r>
              <w:t xml:space="preserve">standard </w:t>
            </w:r>
            <w:r w:rsidR="00D3510C">
              <w:t xml:space="preserve">laboratory </w:t>
            </w:r>
            <w:r>
              <w:t xml:space="preserve">formats, and </w:t>
            </w:r>
            <w:r w:rsidR="00D3510C">
              <w:t xml:space="preserve">can </w:t>
            </w:r>
            <w:r>
              <w:t xml:space="preserve">export in </w:t>
            </w:r>
            <w:r w:rsidR="00D3510C">
              <w:t>whatever format your existing Oracle database requires, including MD5 hash files.</w:t>
            </w:r>
          </w:p>
        </w:tc>
      </w:tr>
      <w:tr w:rsidR="00CD1A3B" w:rsidTr="00CD1A3B">
        <w:tc>
          <w:tcPr>
            <w:tcW w:w="4675" w:type="dxa"/>
          </w:tcPr>
          <w:p w:rsidR="00CD1A3B" w:rsidRDefault="00CD1A3B" w:rsidP="00CD1A3B">
            <w:r>
              <w:t>We need to validate a facility by both facility number and facility name.</w:t>
            </w:r>
          </w:p>
        </w:tc>
        <w:tc>
          <w:tcPr>
            <w:tcW w:w="4675" w:type="dxa"/>
          </w:tcPr>
          <w:p w:rsidR="00CD1A3B" w:rsidRDefault="00D3510C" w:rsidP="001915EC">
            <w:r>
              <w:t xml:space="preserve">Data transfer standards used by the environmental </w:t>
            </w:r>
            <w:r w:rsidR="001915EC">
              <w:t xml:space="preserve">industry generally contain codes only, which </w:t>
            </w:r>
            <w:proofErr w:type="gramStart"/>
            <w:r w:rsidR="001915EC">
              <w:t>are linked</w:t>
            </w:r>
            <w:proofErr w:type="gramEnd"/>
            <w:r w:rsidR="001915EC">
              <w:t xml:space="preserve"> to long names through a </w:t>
            </w:r>
            <w:r w:rsidR="00393756">
              <w:t>Valid Value List (</w:t>
            </w:r>
            <w:r w:rsidR="001915EC">
              <w:t>VVL</w:t>
            </w:r>
            <w:r w:rsidR="00393756">
              <w:t>)</w:t>
            </w:r>
            <w:r w:rsidR="001915EC">
              <w:t xml:space="preserve"> table stored in the database. However, both could be required in the data input file, and both could be validated on load.</w:t>
            </w:r>
          </w:p>
        </w:tc>
      </w:tr>
      <w:tr w:rsidR="00CD1A3B" w:rsidTr="00CD1A3B">
        <w:tc>
          <w:tcPr>
            <w:tcW w:w="4675" w:type="dxa"/>
          </w:tcPr>
          <w:p w:rsidR="00CD1A3B" w:rsidRDefault="00CD1A3B">
            <w:r>
              <w:t xml:space="preserve">We need to validate </w:t>
            </w:r>
            <w:proofErr w:type="spellStart"/>
            <w:r>
              <w:t>analytes</w:t>
            </w:r>
            <w:proofErr w:type="spellEnd"/>
            <w:r>
              <w:t xml:space="preserve"> by the combination of </w:t>
            </w:r>
            <w:proofErr w:type="spellStart"/>
            <w:r>
              <w:t>Analyte_ID</w:t>
            </w:r>
            <w:proofErr w:type="spellEnd"/>
            <w:r>
              <w:t xml:space="preserve"> and </w:t>
            </w:r>
            <w:proofErr w:type="spellStart"/>
            <w:r>
              <w:t>Analyte_Name</w:t>
            </w:r>
            <w:proofErr w:type="spellEnd"/>
          </w:p>
        </w:tc>
        <w:tc>
          <w:tcPr>
            <w:tcW w:w="4675" w:type="dxa"/>
          </w:tcPr>
          <w:p w:rsidR="00CD1A3B" w:rsidRDefault="001915EC">
            <w:r>
              <w:t>See Above</w:t>
            </w:r>
          </w:p>
        </w:tc>
      </w:tr>
      <w:tr w:rsidR="00CD1A3B" w:rsidTr="00CD1A3B">
        <w:tc>
          <w:tcPr>
            <w:tcW w:w="4675" w:type="dxa"/>
          </w:tcPr>
          <w:p w:rsidR="00CD1A3B" w:rsidRDefault="00CD1A3B">
            <w:r>
              <w:t xml:space="preserve">Does EDMS assign qualifiers and perhaps comments or Reason Codes based on the </w:t>
            </w:r>
            <w:proofErr w:type="spellStart"/>
            <w:r>
              <w:t>DataReview</w:t>
            </w:r>
            <w:proofErr w:type="spellEnd"/>
            <w:r>
              <w:t>?</w:t>
            </w:r>
          </w:p>
        </w:tc>
        <w:tc>
          <w:tcPr>
            <w:tcW w:w="4675" w:type="dxa"/>
          </w:tcPr>
          <w:p w:rsidR="00CD1A3B" w:rsidRDefault="001915EC" w:rsidP="001915EC">
            <w:r>
              <w:t>The Automated Data Review (ADR) software assigns Qualifiers, Reason Codes and Bias, as appropriate to describe the QC non-conformance. All three types of codes are listed and defined in VVL tables.</w:t>
            </w:r>
          </w:p>
        </w:tc>
      </w:tr>
      <w:tr w:rsidR="00CD1A3B" w:rsidTr="00CD1A3B">
        <w:tc>
          <w:tcPr>
            <w:tcW w:w="4675" w:type="dxa"/>
          </w:tcPr>
          <w:p w:rsidR="00CD1A3B" w:rsidRDefault="00CD1A3B" w:rsidP="00376E73">
            <w:r>
              <w:t>Do labs report their own QC control limits and is the data evaluated against the labs specific QC control limits?</w:t>
            </w:r>
            <w:r>
              <w:tab/>
              <w:t>L</w:t>
            </w:r>
            <w:r w:rsidR="00376E73">
              <w:t>CS</w:t>
            </w:r>
            <w:r>
              <w:t>/LCSD, MS/MSD, Surrogates, MDL, PQL.  Or does EDMS evaluate QC Control limits from Valid Values for all spike recoveries and spike recovery RPDs?</w:t>
            </w:r>
          </w:p>
        </w:tc>
        <w:tc>
          <w:tcPr>
            <w:tcW w:w="4675" w:type="dxa"/>
          </w:tcPr>
          <w:p w:rsidR="00CD1A3B" w:rsidRDefault="001915EC" w:rsidP="00393756">
            <w:r>
              <w:t>Laboratory QC limits are included in the laboratory EDD for informational purpose</w:t>
            </w:r>
            <w:r w:rsidR="00393756">
              <w:t>s</w:t>
            </w:r>
            <w:r>
              <w:t xml:space="preserve"> only. ADR utilizes project defined Data Quality Objectives (DQOs) for applying qualifiers to the laboratory data. Capturing laboratory QC limits can be useful for identifying long term trends and assessing overall laboratory performance within the program.</w:t>
            </w:r>
          </w:p>
        </w:tc>
      </w:tr>
      <w:tr w:rsidR="00CD1A3B" w:rsidTr="00CD1A3B">
        <w:tc>
          <w:tcPr>
            <w:tcW w:w="4675" w:type="dxa"/>
          </w:tcPr>
          <w:p w:rsidR="00CD1A3B" w:rsidRDefault="00CD1A3B" w:rsidP="00376E73">
            <w:r>
              <w:t>It would be of great advantage if we can have our own valid values for</w:t>
            </w:r>
            <w:r w:rsidR="00376E73">
              <w:t xml:space="preserve"> </w:t>
            </w:r>
            <w:r>
              <w:t>Lab Methods</w:t>
            </w:r>
            <w:r w:rsidR="00376E73">
              <w:t xml:space="preserve">, </w:t>
            </w:r>
            <w:proofErr w:type="spellStart"/>
            <w:r>
              <w:t>Analytes</w:t>
            </w:r>
            <w:proofErr w:type="spellEnd"/>
            <w:r w:rsidR="00376E73">
              <w:t xml:space="preserve">, </w:t>
            </w:r>
            <w:r>
              <w:t>Facility Ids and Facility Names</w:t>
            </w:r>
            <w:r w:rsidR="00376E73">
              <w:t xml:space="preserve">, </w:t>
            </w:r>
            <w:r>
              <w:t xml:space="preserve">Monitoring </w:t>
            </w:r>
            <w:proofErr w:type="spellStart"/>
            <w:r>
              <w:t>Testsite</w:t>
            </w:r>
            <w:proofErr w:type="spellEnd"/>
            <w:r>
              <w:t xml:space="preserve"> Ids and Monitoring </w:t>
            </w:r>
            <w:proofErr w:type="spellStart"/>
            <w:r>
              <w:t>Testsite</w:t>
            </w:r>
            <w:proofErr w:type="spellEnd"/>
            <w:r>
              <w:t xml:space="preserve"> Names (not for Soil Samples)</w:t>
            </w:r>
            <w:r w:rsidR="00376E73">
              <w:t xml:space="preserve">, and </w:t>
            </w:r>
            <w:r>
              <w:t>Data Qualifiers as defined in 62-160, F.A.C.</w:t>
            </w:r>
          </w:p>
        </w:tc>
        <w:tc>
          <w:tcPr>
            <w:tcW w:w="4675" w:type="dxa"/>
          </w:tcPr>
          <w:p w:rsidR="00CD1A3B" w:rsidRDefault="001915EC" w:rsidP="009059FC">
            <w:proofErr w:type="spellStart"/>
            <w:r>
              <w:t>Synectics</w:t>
            </w:r>
            <w:proofErr w:type="spellEnd"/>
            <w:r w:rsidR="00393756">
              <w:t>’</w:t>
            </w:r>
            <w:r>
              <w:t xml:space="preserve"> EDMS maintains </w:t>
            </w:r>
            <w:r w:rsidR="00393756">
              <w:t xml:space="preserve">standard </w:t>
            </w:r>
            <w:r>
              <w:t>VV</w:t>
            </w:r>
            <w:r w:rsidR="00393756">
              <w:t>L</w:t>
            </w:r>
            <w:r>
              <w:t>s from multiple agencies and organizations</w:t>
            </w:r>
            <w:r w:rsidR="00393756">
              <w:t>, and can map to your specific valid values upon export</w:t>
            </w:r>
            <w:r w:rsidR="00F87098">
              <w:t>.</w:t>
            </w:r>
          </w:p>
        </w:tc>
      </w:tr>
    </w:tbl>
    <w:p w:rsidR="00CD1A3B" w:rsidRDefault="00CD1A3B" w:rsidP="00376E73"/>
    <w:sectPr w:rsidR="00CD1A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B6763"/>
    <w:multiLevelType w:val="hybridMultilevel"/>
    <w:tmpl w:val="6EE485D8"/>
    <w:lvl w:ilvl="0" w:tplc="0C7069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6822152"/>
    <w:multiLevelType w:val="hybridMultilevel"/>
    <w:tmpl w:val="B94E9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BE"/>
    <w:rsid w:val="000A15EF"/>
    <w:rsid w:val="001915EC"/>
    <w:rsid w:val="00360BCE"/>
    <w:rsid w:val="00376E73"/>
    <w:rsid w:val="00393756"/>
    <w:rsid w:val="0056680E"/>
    <w:rsid w:val="008A3387"/>
    <w:rsid w:val="009059FC"/>
    <w:rsid w:val="00992EC7"/>
    <w:rsid w:val="00A11C8F"/>
    <w:rsid w:val="00B33DF6"/>
    <w:rsid w:val="00BB02D1"/>
    <w:rsid w:val="00C46BF8"/>
    <w:rsid w:val="00C97BBE"/>
    <w:rsid w:val="00CD1A3B"/>
    <w:rsid w:val="00CF2D21"/>
    <w:rsid w:val="00D3510C"/>
    <w:rsid w:val="00EE6B97"/>
    <w:rsid w:val="00F312EC"/>
    <w:rsid w:val="00F71FC3"/>
    <w:rsid w:val="00F8579B"/>
    <w:rsid w:val="00F87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A799B-B494-4C47-80F1-62568DE9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BBE"/>
    <w:pPr>
      <w:ind w:left="720"/>
      <w:contextualSpacing/>
    </w:pPr>
  </w:style>
  <w:style w:type="table" w:styleId="TableGrid">
    <w:name w:val="Table Grid"/>
    <w:basedOn w:val="TableNormal"/>
    <w:uiPriority w:val="39"/>
    <w:rsid w:val="00CD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1FACF-FB15-483C-825C-E86918944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Mark Forsyth</cp:lastModifiedBy>
  <cp:revision>2</cp:revision>
  <dcterms:created xsi:type="dcterms:W3CDTF">2019-04-23T00:25:00Z</dcterms:created>
  <dcterms:modified xsi:type="dcterms:W3CDTF">2019-04-23T00:25:00Z</dcterms:modified>
</cp:coreProperties>
</file>