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70"/>
        <w:ind w:left="1417" w:right="698"/>
        <w:jc w:val="center"/>
      </w:pPr>
      <w:r>
        <w:rPr/>
        <w:t>METHOD 8327</w:t>
      </w:r>
    </w:p>
    <w:p>
      <w:pPr>
        <w:pStyle w:val="BodyText"/>
        <w:spacing w:before="8"/>
        <w:rPr>
          <w:sz w:val="34"/>
        </w:rPr>
      </w:pPr>
    </w:p>
    <w:p>
      <w:pPr>
        <w:pStyle w:val="BodyText"/>
        <w:spacing w:line="276" w:lineRule="auto"/>
        <w:ind w:left="1198" w:right="1196"/>
        <w:jc w:val="center"/>
      </w:pPr>
      <w:r>
        <w:rPr>
          <w:u w:val="single"/>
        </w:rPr>
        <w:t>PER- AND POLYFLUOROALKYL SUBSTANCES (PFAS) USING EXTERNAL STANDARD</w:t>
      </w:r>
      <w:r>
        <w:rPr/>
        <w:t> </w:t>
      </w:r>
      <w:r>
        <w:rPr>
          <w:u w:val="single"/>
        </w:rPr>
        <w:t>CALIBRATION AND MULTIPLE REACTION MONITORING (MRM) LIQUID</w:t>
      </w:r>
      <w:r>
        <w:rPr/>
        <w:t> </w:t>
      </w:r>
      <w:r>
        <w:rPr>
          <w:u w:val="single"/>
        </w:rPr>
        <w:t>CHROMATOGRAPHY/TANDEM MASS SPECTROMETRY (LC/MS/MS)</w:t>
      </w:r>
    </w:p>
    <w:p>
      <w:pPr>
        <w:pStyle w:val="BodyText"/>
        <w:spacing w:before="2"/>
        <w:rPr>
          <w:sz w:val="23"/>
        </w:rPr>
      </w:pPr>
    </w:p>
    <w:p>
      <w:pPr>
        <w:pStyle w:val="BodyText"/>
        <w:spacing w:before="93"/>
        <w:ind w:left="1180"/>
      </w:pPr>
      <w:r>
        <w:rPr/>
        <w:t>TABLE OF CONTENTS</w:t>
      </w:r>
    </w:p>
    <w:p>
      <w:pPr>
        <w:pStyle w:val="BodyText"/>
        <w:tabs>
          <w:tab w:pos="2439" w:val="left" w:leader="none"/>
          <w:tab w:pos="10407" w:val="left" w:leader="dot"/>
        </w:tabs>
        <w:spacing w:before="158"/>
        <w:ind w:left="1180"/>
      </w:pPr>
      <w:hyperlink w:history="true" w:anchor="_bookmark0">
        <w:r>
          <w:rPr/>
          <w:t>1.0</w:t>
          <w:tab/>
          <w:t>SCOPE</w:t>
        </w:r>
        <w:r>
          <w:rPr>
            <w:spacing w:val="-1"/>
          </w:rPr>
          <w:t> </w:t>
        </w:r>
        <w:r>
          <w:rPr/>
          <w:t>AND</w:t>
        </w:r>
        <w:r>
          <w:rPr>
            <w:spacing w:val="-2"/>
          </w:rPr>
          <w:t> </w:t>
        </w:r>
        <w:r>
          <w:rPr/>
          <w:t>APPLICATION</w:t>
          <w:tab/>
          <w:t>3</w:t>
        </w:r>
      </w:hyperlink>
    </w:p>
    <w:p>
      <w:pPr>
        <w:pStyle w:val="BodyText"/>
        <w:tabs>
          <w:tab w:pos="2439" w:val="left" w:leader="none"/>
          <w:tab w:pos="10407" w:val="left" w:leader="dot"/>
        </w:tabs>
        <w:spacing w:before="158"/>
        <w:ind w:left="1180"/>
      </w:pPr>
      <w:hyperlink w:history="true" w:anchor="_bookmark1">
        <w:r>
          <w:rPr/>
          <w:t>2.0</w:t>
          <w:tab/>
          <w:t>SUMMARY</w:t>
        </w:r>
        <w:r>
          <w:rPr>
            <w:spacing w:val="-2"/>
          </w:rPr>
          <w:t> </w:t>
        </w:r>
        <w:r>
          <w:rPr/>
          <w:t>OF</w:t>
        </w:r>
        <w:r>
          <w:rPr>
            <w:spacing w:val="-3"/>
          </w:rPr>
          <w:t> </w:t>
        </w:r>
        <w:r>
          <w:rPr/>
          <w:t>METHOD</w:t>
          <w:tab/>
          <w:t>5</w:t>
        </w:r>
      </w:hyperlink>
    </w:p>
    <w:p>
      <w:pPr>
        <w:pStyle w:val="BodyText"/>
        <w:tabs>
          <w:tab w:pos="2439" w:val="left" w:leader="none"/>
          <w:tab w:pos="10407" w:val="left" w:leader="dot"/>
        </w:tabs>
        <w:spacing w:before="159"/>
        <w:ind w:left="1180"/>
      </w:pPr>
      <w:hyperlink w:history="true" w:anchor="_bookmark2">
        <w:r>
          <w:rPr/>
          <w:t>3.0</w:t>
          <w:tab/>
          <w:t>DEFINITIONS</w:t>
          <w:tab/>
          <w:t>6</w:t>
        </w:r>
      </w:hyperlink>
    </w:p>
    <w:p>
      <w:pPr>
        <w:pStyle w:val="BodyText"/>
        <w:tabs>
          <w:tab w:pos="2439" w:val="left" w:leader="none"/>
          <w:tab w:pos="10407" w:val="left" w:leader="dot"/>
        </w:tabs>
        <w:spacing w:before="157"/>
        <w:ind w:left="1180"/>
      </w:pPr>
      <w:hyperlink w:history="true" w:anchor="_bookmark3">
        <w:r>
          <w:rPr/>
          <w:t>4.0</w:t>
          <w:tab/>
          <w:t>INTERFERENCES</w:t>
          <w:tab/>
          <w:t>6</w:t>
        </w:r>
      </w:hyperlink>
    </w:p>
    <w:p>
      <w:pPr>
        <w:pStyle w:val="BodyText"/>
        <w:tabs>
          <w:tab w:pos="2439" w:val="left" w:leader="none"/>
          <w:tab w:pos="10407" w:val="left" w:leader="dot"/>
        </w:tabs>
        <w:spacing w:before="157"/>
        <w:ind w:left="1180"/>
      </w:pPr>
      <w:hyperlink w:history="true" w:anchor="_bookmark4">
        <w:r>
          <w:rPr/>
          <w:t>5.0</w:t>
          <w:tab/>
          <w:t>SAFETY</w:t>
          <w:tab/>
          <w:t>7</w:t>
        </w:r>
      </w:hyperlink>
    </w:p>
    <w:p>
      <w:pPr>
        <w:pStyle w:val="BodyText"/>
        <w:tabs>
          <w:tab w:pos="2439" w:val="left" w:leader="none"/>
          <w:tab w:pos="10407" w:val="left" w:leader="dot"/>
        </w:tabs>
        <w:spacing w:before="159"/>
        <w:ind w:left="1180"/>
      </w:pPr>
      <w:hyperlink w:history="true" w:anchor="_bookmark5">
        <w:r>
          <w:rPr/>
          <w:t>6.0</w:t>
          <w:tab/>
          <w:t>EQUIPMENT</w:t>
        </w:r>
        <w:r>
          <w:rPr>
            <w:spacing w:val="-3"/>
          </w:rPr>
          <w:t> </w:t>
        </w:r>
        <w:r>
          <w:rPr/>
          <w:t>AND</w:t>
        </w:r>
        <w:r>
          <w:rPr>
            <w:spacing w:val="-3"/>
          </w:rPr>
          <w:t> </w:t>
        </w:r>
        <w:r>
          <w:rPr/>
          <w:t>SUPPLIES</w:t>
          <w:tab/>
          <w:t>8</w:t>
        </w:r>
      </w:hyperlink>
    </w:p>
    <w:p>
      <w:pPr>
        <w:pStyle w:val="BodyText"/>
        <w:tabs>
          <w:tab w:pos="2439" w:val="left" w:leader="none"/>
          <w:tab w:pos="10407" w:val="left" w:leader="dot"/>
        </w:tabs>
        <w:spacing w:before="157"/>
        <w:ind w:left="1180"/>
      </w:pPr>
      <w:hyperlink w:history="true" w:anchor="_bookmark6">
        <w:r>
          <w:rPr/>
          <w:t>7.0</w:t>
          <w:tab/>
          <w:t>REAGENTS</w:t>
        </w:r>
        <w:r>
          <w:rPr>
            <w:spacing w:val="-3"/>
          </w:rPr>
          <w:t> </w:t>
        </w:r>
        <w:r>
          <w:rPr/>
          <w:t>AND</w:t>
        </w:r>
        <w:r>
          <w:rPr>
            <w:spacing w:val="-4"/>
          </w:rPr>
          <w:t> </w:t>
        </w:r>
        <w:r>
          <w:rPr/>
          <w:t>STANDARDS</w:t>
          <w:tab/>
          <w:t>9</w:t>
        </w:r>
      </w:hyperlink>
    </w:p>
    <w:p>
      <w:pPr>
        <w:pStyle w:val="BodyText"/>
        <w:tabs>
          <w:tab w:pos="2439" w:val="left" w:leader="none"/>
          <w:tab w:pos="10285" w:val="left" w:leader="dot"/>
        </w:tabs>
        <w:spacing w:before="159"/>
        <w:ind w:left="1180"/>
      </w:pPr>
      <w:hyperlink w:history="true" w:anchor="_bookmark7">
        <w:r>
          <w:rPr/>
          <w:t>8.0</w:t>
          <w:tab/>
          <w:t>SAMPLE COLLECTION, PRESERVATION,</w:t>
        </w:r>
        <w:r>
          <w:rPr>
            <w:spacing w:val="-6"/>
          </w:rPr>
          <w:t> </w:t>
        </w:r>
        <w:r>
          <w:rPr/>
          <w:t>AND</w:t>
        </w:r>
        <w:r>
          <w:rPr>
            <w:spacing w:val="-3"/>
          </w:rPr>
          <w:t> </w:t>
        </w:r>
        <w:r>
          <w:rPr/>
          <w:t>STORAGE</w:t>
          <w:tab/>
          <w:t>13</w:t>
        </w:r>
      </w:hyperlink>
    </w:p>
    <w:p>
      <w:pPr>
        <w:pStyle w:val="BodyText"/>
        <w:tabs>
          <w:tab w:pos="2440" w:val="left" w:leader="none"/>
          <w:tab w:pos="10285" w:val="left" w:leader="dot"/>
        </w:tabs>
        <w:spacing w:before="157"/>
        <w:ind w:left="1180"/>
      </w:pPr>
      <w:hyperlink w:history="true" w:anchor="_bookmark8">
        <w:r>
          <w:rPr/>
          <w:t>9.0</w:t>
          <w:tab/>
          <w:t>QUALITY</w:t>
        </w:r>
        <w:r>
          <w:rPr>
            <w:spacing w:val="-2"/>
          </w:rPr>
          <w:t> </w:t>
        </w:r>
        <w:r>
          <w:rPr/>
          <w:t>CONTROL</w:t>
          <w:tab/>
          <w:t>14</w:t>
        </w:r>
      </w:hyperlink>
    </w:p>
    <w:p>
      <w:pPr>
        <w:pStyle w:val="BodyText"/>
        <w:tabs>
          <w:tab w:pos="2440" w:val="left" w:leader="none"/>
          <w:tab w:pos="10285" w:val="left" w:leader="dot"/>
        </w:tabs>
        <w:spacing w:before="159"/>
        <w:ind w:left="1180"/>
      </w:pPr>
      <w:hyperlink w:history="true" w:anchor="_bookmark9">
        <w:r>
          <w:rPr/>
          <w:t>10.0</w:t>
          <w:tab/>
          <w:t>CALIBRATION</w:t>
        </w:r>
        <w:r>
          <w:rPr>
            <w:spacing w:val="-5"/>
          </w:rPr>
          <w:t> </w:t>
        </w:r>
        <w:r>
          <w:rPr/>
          <w:t>AND</w:t>
        </w:r>
        <w:r>
          <w:rPr>
            <w:spacing w:val="-5"/>
          </w:rPr>
          <w:t> </w:t>
        </w:r>
        <w:r>
          <w:rPr/>
          <w:t>STANDARDIZATION</w:t>
          <w:tab/>
          <w:t>20</w:t>
        </w:r>
      </w:hyperlink>
    </w:p>
    <w:p>
      <w:pPr>
        <w:pStyle w:val="BodyText"/>
        <w:tabs>
          <w:tab w:pos="2440" w:val="left" w:leader="none"/>
          <w:tab w:pos="10285" w:val="left" w:leader="dot"/>
        </w:tabs>
        <w:spacing w:before="157"/>
        <w:ind w:left="1180"/>
      </w:pPr>
      <w:hyperlink w:history="true" w:anchor="_bookmark10">
        <w:r>
          <w:rPr/>
          <w:t>11.0</w:t>
          <w:tab/>
          <w:t>PROCEDURE</w:t>
          <w:tab/>
          <w:t>20</w:t>
        </w:r>
      </w:hyperlink>
    </w:p>
    <w:p>
      <w:pPr>
        <w:pStyle w:val="BodyText"/>
        <w:tabs>
          <w:tab w:pos="2440" w:val="left" w:leader="none"/>
          <w:tab w:pos="10286" w:val="left" w:leader="dot"/>
        </w:tabs>
        <w:spacing w:before="158"/>
        <w:ind w:left="1180"/>
      </w:pPr>
      <w:hyperlink w:history="true" w:anchor="_bookmark11">
        <w:r>
          <w:rPr/>
          <w:t>12.0</w:t>
          <w:tab/>
          <w:t>DATA ANALYSIS</w:t>
        </w:r>
        <w:r>
          <w:rPr>
            <w:spacing w:val="-4"/>
          </w:rPr>
          <w:t> </w:t>
        </w:r>
        <w:r>
          <w:rPr/>
          <w:t>AND</w:t>
        </w:r>
        <w:r>
          <w:rPr>
            <w:spacing w:val="-1"/>
          </w:rPr>
          <w:t> </w:t>
        </w:r>
        <w:r>
          <w:rPr/>
          <w:t>CALCULATIONS</w:t>
          <w:tab/>
          <w:t>26</w:t>
        </w:r>
      </w:hyperlink>
    </w:p>
    <w:p>
      <w:pPr>
        <w:pStyle w:val="BodyText"/>
        <w:tabs>
          <w:tab w:pos="2440" w:val="left" w:leader="none"/>
          <w:tab w:pos="10286" w:val="left" w:leader="dot"/>
        </w:tabs>
        <w:spacing w:before="158"/>
        <w:ind w:left="1180"/>
      </w:pPr>
      <w:hyperlink w:history="true" w:anchor="_bookmark12">
        <w:r>
          <w:rPr/>
          <w:t>13.0</w:t>
          <w:tab/>
          <w:t>METHOD</w:t>
        </w:r>
        <w:r>
          <w:rPr>
            <w:spacing w:val="-4"/>
          </w:rPr>
          <w:t> </w:t>
        </w:r>
        <w:r>
          <w:rPr/>
          <w:t>PERFORMANCE</w:t>
          <w:tab/>
          <w:t>27</w:t>
        </w:r>
      </w:hyperlink>
    </w:p>
    <w:p>
      <w:pPr>
        <w:pStyle w:val="BodyText"/>
        <w:tabs>
          <w:tab w:pos="2440" w:val="left" w:leader="none"/>
          <w:tab w:pos="10286" w:val="left" w:leader="dot"/>
        </w:tabs>
        <w:spacing w:before="158"/>
        <w:ind w:left="1180"/>
      </w:pPr>
      <w:hyperlink w:history="true" w:anchor="_bookmark13">
        <w:r>
          <w:rPr/>
          <w:t>14.0</w:t>
          <w:tab/>
          <w:t>POLLUTION</w:t>
        </w:r>
        <w:r>
          <w:rPr>
            <w:spacing w:val="-5"/>
          </w:rPr>
          <w:t> </w:t>
        </w:r>
        <w:r>
          <w:rPr/>
          <w:t>PREVENTION</w:t>
          <w:tab/>
          <w:t>27</w:t>
        </w:r>
      </w:hyperlink>
    </w:p>
    <w:p>
      <w:pPr>
        <w:pStyle w:val="BodyText"/>
        <w:tabs>
          <w:tab w:pos="2441" w:val="left" w:leader="none"/>
          <w:tab w:pos="10286" w:val="left" w:leader="dot"/>
        </w:tabs>
        <w:spacing w:before="158"/>
        <w:ind w:left="1181"/>
      </w:pPr>
      <w:hyperlink w:history="true" w:anchor="_bookmark14">
        <w:r>
          <w:rPr/>
          <w:t>15.0</w:t>
          <w:tab/>
          <w:t>WASTE</w:t>
        </w:r>
        <w:r>
          <w:rPr>
            <w:spacing w:val="-2"/>
          </w:rPr>
          <w:t> </w:t>
        </w:r>
        <w:r>
          <w:rPr/>
          <w:t>MANAGEMENT</w:t>
          <w:tab/>
          <w:t>28</w:t>
        </w:r>
      </w:hyperlink>
    </w:p>
    <w:p>
      <w:pPr>
        <w:pStyle w:val="BodyText"/>
        <w:tabs>
          <w:tab w:pos="2441" w:val="left" w:leader="none"/>
          <w:tab w:pos="10286" w:val="left" w:leader="dot"/>
        </w:tabs>
        <w:spacing w:before="158"/>
        <w:ind w:left="1181"/>
      </w:pPr>
      <w:hyperlink w:history="true" w:anchor="_bookmark15">
        <w:r>
          <w:rPr/>
          <w:t>16.0</w:t>
          <w:tab/>
          <w:t>REFERENCES</w:t>
          <w:tab/>
          <w:t>28</w:t>
        </w:r>
      </w:hyperlink>
    </w:p>
    <w:p>
      <w:pPr>
        <w:pStyle w:val="BodyText"/>
        <w:tabs>
          <w:tab w:pos="2441" w:val="left" w:leader="none"/>
          <w:tab w:pos="10287" w:val="left" w:leader="dot"/>
        </w:tabs>
        <w:spacing w:before="158"/>
        <w:ind w:left="1181"/>
      </w:pPr>
      <w:hyperlink w:history="true" w:anchor="_bookmark16">
        <w:r>
          <w:rPr/>
          <w:t>17.0</w:t>
          <w:tab/>
          <w:t>TABLES, DIAGRAMS, FLOW CHARTS, AND</w:t>
        </w:r>
        <w:r>
          <w:rPr>
            <w:spacing w:val="-17"/>
          </w:rPr>
          <w:t> </w:t>
        </w:r>
        <w:r>
          <w:rPr/>
          <w:t>VALIDATION</w:t>
        </w:r>
        <w:r>
          <w:rPr>
            <w:spacing w:val="-2"/>
          </w:rPr>
          <w:t> </w:t>
        </w:r>
        <w:r>
          <w:rPr/>
          <w:t>DATA</w:t>
          <w:tab/>
          <w:t>29</w:t>
        </w:r>
      </w:hyperlink>
    </w:p>
    <w:p>
      <w:pPr>
        <w:pStyle w:val="BodyText"/>
        <w:tabs>
          <w:tab w:pos="2441" w:val="left" w:leader="none"/>
          <w:tab w:pos="10287" w:val="left" w:leader="dot"/>
        </w:tabs>
        <w:spacing w:before="158"/>
        <w:ind w:left="1181"/>
      </w:pPr>
      <w:hyperlink w:history="true" w:anchor="_bookmark17">
        <w:r>
          <w:rPr/>
          <w:t>TABLE</w:t>
        </w:r>
        <w:r>
          <w:rPr>
            <w:spacing w:val="-1"/>
          </w:rPr>
          <w:t> </w:t>
        </w:r>
        <w:r>
          <w:rPr/>
          <w:t>1</w:t>
        </w:r>
      </w:hyperlink>
      <w:r>
        <w:rPr/>
        <w:tab/>
      </w:r>
      <w:hyperlink w:history="true" w:anchor="_bookmark18">
        <w:r>
          <w:rPr/>
          <w:t>SUGGESTED LLOQ AND</w:t>
        </w:r>
        <w:r>
          <w:rPr>
            <w:spacing w:val="-10"/>
          </w:rPr>
          <w:t> </w:t>
        </w:r>
        <w:r>
          <w:rPr/>
          <w:t>CALIBRATION</w:t>
        </w:r>
        <w:r>
          <w:rPr>
            <w:spacing w:val="-3"/>
          </w:rPr>
          <w:t> </w:t>
        </w:r>
        <w:r>
          <w:rPr/>
          <w:t>RANGE</w:t>
          <w:tab/>
          <w:t>30</w:t>
        </w:r>
      </w:hyperlink>
    </w:p>
    <w:p>
      <w:pPr>
        <w:pStyle w:val="BodyText"/>
        <w:tabs>
          <w:tab w:pos="2441" w:val="left" w:leader="none"/>
          <w:tab w:pos="10287" w:val="left" w:leader="dot"/>
        </w:tabs>
        <w:spacing w:line="276" w:lineRule="auto" w:before="158"/>
        <w:ind w:left="2442" w:right="1185" w:hanging="1261"/>
      </w:pPr>
      <w:hyperlink w:history="true" w:anchor="_bookmark19">
        <w:r>
          <w:rPr/>
          <w:t>TABLE</w:t>
        </w:r>
        <w:r>
          <w:rPr>
            <w:spacing w:val="-1"/>
          </w:rPr>
          <w:t> </w:t>
        </w:r>
        <w:r>
          <w:rPr/>
          <w:t>2A</w:t>
        </w:r>
      </w:hyperlink>
      <w:r>
        <w:rPr/>
        <w:tab/>
      </w:r>
      <w:hyperlink w:history="true" w:anchor="_bookmark20">
        <w:r>
          <w:rPr/>
          <w:t>LCS PERFORMANCE SUMMARY FROM MULTI-LABORATORY VALIDATION</w:t>
        </w:r>
      </w:hyperlink>
      <w:r>
        <w:rPr/>
        <w:t> </w:t>
      </w:r>
      <w:hyperlink w:history="true" w:anchor="_bookmark20">
        <w:r>
          <w:rPr/>
          <w:t>STUDY</w:t>
          <w:tab/>
        </w:r>
        <w:r>
          <w:rPr>
            <w:spacing w:val="-9"/>
          </w:rPr>
          <w:t>31</w:t>
        </w:r>
      </w:hyperlink>
    </w:p>
    <w:p>
      <w:pPr>
        <w:pStyle w:val="BodyText"/>
        <w:tabs>
          <w:tab w:pos="2442" w:val="left" w:leader="none"/>
          <w:tab w:pos="10287" w:val="left" w:leader="dot"/>
        </w:tabs>
        <w:spacing w:line="276" w:lineRule="auto" w:before="119"/>
        <w:ind w:left="2442" w:right="1185" w:hanging="1261"/>
      </w:pPr>
      <w:hyperlink w:history="true" w:anchor="_bookmark21">
        <w:r>
          <w:rPr/>
          <w:t>TABLE</w:t>
        </w:r>
        <w:r>
          <w:rPr>
            <w:spacing w:val="-1"/>
          </w:rPr>
          <w:t> </w:t>
        </w:r>
        <w:r>
          <w:rPr/>
          <w:t>2B</w:t>
        </w:r>
      </w:hyperlink>
      <w:r>
        <w:rPr/>
        <w:tab/>
      </w:r>
      <w:hyperlink w:history="true" w:anchor="_bookmark22">
        <w:r>
          <w:rPr/>
          <w:t>LLOQ VERIFICATION PERFORMANCE FROM MULTI-LABORATORY</w:t>
        </w:r>
      </w:hyperlink>
      <w:r>
        <w:rPr/>
        <w:t> </w:t>
      </w:r>
      <w:hyperlink w:history="true" w:anchor="_bookmark22">
        <w:r>
          <w:rPr/>
          <w:t>VALIDATION</w:t>
        </w:r>
        <w:r>
          <w:rPr>
            <w:spacing w:val="-3"/>
          </w:rPr>
          <w:t> </w:t>
        </w:r>
        <w:r>
          <w:rPr/>
          <w:t>STUDY</w:t>
          <w:tab/>
        </w:r>
        <w:r>
          <w:rPr>
            <w:spacing w:val="-9"/>
          </w:rPr>
          <w:t>33</w:t>
        </w:r>
      </w:hyperlink>
    </w:p>
    <w:p>
      <w:pPr>
        <w:pStyle w:val="BodyText"/>
        <w:tabs>
          <w:tab w:pos="10285" w:val="left" w:leader="dot"/>
        </w:tabs>
        <w:spacing w:line="276" w:lineRule="auto" w:before="121"/>
        <w:ind w:left="2442" w:right="1187" w:hanging="1261"/>
      </w:pPr>
      <w:hyperlink w:history="true" w:anchor="_bookmark23">
        <w:r>
          <w:rPr/>
          <w:t>TABLE 2C. RECOVERY AND PRECISION OF TARGET ANALYTES AND SURROGATES IN</w:t>
        </w:r>
      </w:hyperlink>
      <w:r>
        <w:rPr/>
        <w:t> </w:t>
      </w:r>
      <w:hyperlink w:history="true" w:anchor="_bookmark23">
        <w:r>
          <w:rPr/>
          <w:t>MULTI-LABORATORY STUDY MATRICES PREPARED BY</w:t>
        </w:r>
        <w:r>
          <w:rPr>
            <w:spacing w:val="-10"/>
          </w:rPr>
          <w:t> </w:t>
        </w:r>
        <w:r>
          <w:rPr/>
          <w:t>METHOD</w:t>
        </w:r>
        <w:r>
          <w:rPr>
            <w:spacing w:val="-4"/>
          </w:rPr>
          <w:t> </w:t>
        </w:r>
        <w:r>
          <w:rPr/>
          <w:t>3512</w:t>
        </w:r>
        <w:r>
          <w:rPr>
            <w:position w:val="7"/>
            <w:sz w:val="14"/>
          </w:rPr>
          <w:t>1</w:t>
          <w:tab/>
        </w:r>
        <w:r>
          <w:rPr>
            <w:spacing w:val="-9"/>
          </w:rPr>
          <w:t>34</w:t>
        </w:r>
      </w:hyperlink>
    </w:p>
    <w:p>
      <w:pPr>
        <w:pStyle w:val="BodyText"/>
        <w:tabs>
          <w:tab w:pos="2440" w:val="left" w:leader="none"/>
          <w:tab w:pos="10285" w:val="left" w:leader="dot"/>
        </w:tabs>
        <w:spacing w:before="120"/>
        <w:ind w:left="1180"/>
      </w:pPr>
      <w:hyperlink w:history="true" w:anchor="_bookmark24">
        <w:r>
          <w:rPr/>
          <w:t>TABLE</w:t>
        </w:r>
        <w:r>
          <w:rPr>
            <w:spacing w:val="-1"/>
          </w:rPr>
          <w:t> </w:t>
        </w:r>
        <w:r>
          <w:rPr/>
          <w:t>3</w:t>
        </w:r>
      </w:hyperlink>
      <w:r>
        <w:rPr/>
        <w:tab/>
      </w:r>
      <w:hyperlink w:history="true" w:anchor="_bookmark25">
        <w:r>
          <w:rPr/>
          <w:t>RETENTION TIME (RT) AND</w:t>
        </w:r>
        <w:r>
          <w:rPr>
            <w:spacing w:val="-8"/>
          </w:rPr>
          <w:t> </w:t>
        </w:r>
        <w:r>
          <w:rPr/>
          <w:t>MRM</w:t>
        </w:r>
        <w:r>
          <w:rPr>
            <w:spacing w:val="-2"/>
          </w:rPr>
          <w:t> </w:t>
        </w:r>
        <w:r>
          <w:rPr/>
          <w:t>IONS</w:t>
          <w:tab/>
          <w:t>36</w:t>
        </w:r>
      </w:hyperlink>
    </w:p>
    <w:p>
      <w:pPr>
        <w:pStyle w:val="BodyText"/>
        <w:tabs>
          <w:tab w:pos="2440" w:val="left" w:leader="none"/>
          <w:tab w:pos="10285" w:val="left" w:leader="dot"/>
        </w:tabs>
        <w:spacing w:before="159"/>
        <w:ind w:left="1180"/>
      </w:pPr>
      <w:hyperlink w:history="true" w:anchor="_bookmark26">
        <w:r>
          <w:rPr/>
          <w:t>TABLE</w:t>
        </w:r>
        <w:r>
          <w:rPr>
            <w:spacing w:val="-1"/>
          </w:rPr>
          <w:t> </w:t>
        </w:r>
        <w:r>
          <w:rPr/>
          <w:t>4</w:t>
        </w:r>
      </w:hyperlink>
      <w:r>
        <w:rPr/>
        <w:tab/>
      </w:r>
      <w:hyperlink w:history="true" w:anchor="_bookmark27">
        <w:r>
          <w:rPr/>
          <w:t>PREPARATION OF</w:t>
        </w:r>
        <w:r>
          <w:rPr>
            <w:spacing w:val="-5"/>
          </w:rPr>
          <w:t> </w:t>
        </w:r>
        <w:r>
          <w:rPr/>
          <w:t>CALIBRATION</w:t>
        </w:r>
        <w:r>
          <w:rPr>
            <w:spacing w:val="-1"/>
          </w:rPr>
          <w:t> </w:t>
        </w:r>
        <w:r>
          <w:rPr/>
          <w:t>STANDARDS*</w:t>
          <w:tab/>
          <w:t>38</w:t>
        </w:r>
      </w:hyperlink>
    </w:p>
    <w:p>
      <w:pPr>
        <w:pStyle w:val="BodyText"/>
        <w:tabs>
          <w:tab w:pos="2440" w:val="left" w:leader="none"/>
          <w:tab w:pos="10285" w:val="left" w:leader="dot"/>
        </w:tabs>
        <w:spacing w:line="276" w:lineRule="auto" w:before="157"/>
        <w:ind w:left="2440" w:right="1187" w:hanging="1261"/>
      </w:pPr>
      <w:hyperlink w:history="true" w:anchor="_bookmark28">
        <w:r>
          <w:rPr/>
          <w:t>TABLE</w:t>
        </w:r>
        <w:r>
          <w:rPr>
            <w:spacing w:val="-1"/>
          </w:rPr>
          <w:t> </w:t>
        </w:r>
        <w:r>
          <w:rPr/>
          <w:t>5A</w:t>
        </w:r>
      </w:hyperlink>
      <w:r>
        <w:rPr/>
        <w:tab/>
      </w:r>
      <w:hyperlink w:history="true" w:anchor="_bookmark29">
        <w:r>
          <w:rPr/>
          <w:t>EXAMPLE OF TERNARY GRADIENT CONDITIONS FOR LIQUID</w:t>
        </w:r>
      </w:hyperlink>
      <w:r>
        <w:rPr/>
        <w:t> </w:t>
      </w:r>
      <w:hyperlink w:history="true" w:anchor="_bookmark29">
        <w:r>
          <w:rPr/>
          <w:t>CHROMATOGRAPHY</w:t>
          <w:tab/>
        </w:r>
        <w:r>
          <w:rPr>
            <w:spacing w:val="-9"/>
          </w:rPr>
          <w:t>39</w:t>
        </w:r>
      </w:hyperlink>
    </w:p>
    <w:p>
      <w:pPr>
        <w:spacing w:after="0" w:line="276" w:lineRule="auto"/>
        <w:sectPr>
          <w:footerReference w:type="default" r:id="rId5"/>
          <w:type w:val="continuous"/>
          <w:pgSz w:w="12240" w:h="15840"/>
          <w:pgMar w:footer="1134" w:top="1060" w:bottom="1320" w:left="260" w:right="260"/>
          <w:pgNumType w:start="1"/>
        </w:sectPr>
      </w:pPr>
    </w:p>
    <w:p>
      <w:pPr>
        <w:pStyle w:val="BodyText"/>
        <w:tabs>
          <w:tab w:pos="2440" w:val="left" w:leader="none"/>
          <w:tab w:pos="10285" w:val="left" w:leader="dot"/>
        </w:tabs>
        <w:spacing w:line="276" w:lineRule="auto" w:before="70"/>
        <w:ind w:left="2440" w:right="1187" w:hanging="1261"/>
      </w:pPr>
      <w:hyperlink w:history="true" w:anchor="_bookmark30">
        <w:r>
          <w:rPr/>
          <w:t>TABLE</w:t>
        </w:r>
        <w:r>
          <w:rPr>
            <w:spacing w:val="-1"/>
          </w:rPr>
          <w:t> </w:t>
        </w:r>
        <w:r>
          <w:rPr/>
          <w:t>5B</w:t>
        </w:r>
      </w:hyperlink>
      <w:r>
        <w:rPr/>
        <w:tab/>
      </w:r>
      <w:hyperlink w:history="true" w:anchor="_bookmark31">
        <w:r>
          <w:rPr/>
          <w:t>EXAMPLE OF BINARY GRADIENT CONDITIONS FOR LIQUID</w:t>
        </w:r>
      </w:hyperlink>
      <w:r>
        <w:rPr/>
        <w:t> </w:t>
      </w:r>
      <w:hyperlink w:history="true" w:anchor="_bookmark31">
        <w:r>
          <w:rPr/>
          <w:t>CHROMATOGRAPHY</w:t>
          <w:tab/>
        </w:r>
        <w:r>
          <w:rPr>
            <w:spacing w:val="-9"/>
          </w:rPr>
          <w:t>40</w:t>
        </w:r>
      </w:hyperlink>
    </w:p>
    <w:p>
      <w:pPr>
        <w:pStyle w:val="BodyText"/>
        <w:tabs>
          <w:tab w:pos="2439" w:val="left" w:leader="none"/>
          <w:tab w:pos="10285" w:val="left" w:leader="dot"/>
        </w:tabs>
        <w:spacing w:before="120"/>
        <w:ind w:left="1180"/>
      </w:pPr>
      <w:hyperlink w:history="true" w:anchor="_bookmark32">
        <w:r>
          <w:rPr/>
          <w:t>TABLE</w:t>
        </w:r>
        <w:r>
          <w:rPr>
            <w:spacing w:val="-1"/>
          </w:rPr>
          <w:t> </w:t>
        </w:r>
        <w:r>
          <w:rPr/>
          <w:t>5C</w:t>
        </w:r>
      </w:hyperlink>
      <w:r>
        <w:rPr/>
        <w:tab/>
      </w:r>
      <w:hyperlink w:history="true" w:anchor="_bookmark33">
        <w:r>
          <w:rPr/>
          <w:t>INSTRUMENT CONDITIONS USED IN</w:t>
        </w:r>
        <w:r>
          <w:rPr>
            <w:spacing w:val="-15"/>
          </w:rPr>
          <w:t> </w:t>
        </w:r>
        <w:r>
          <w:rPr/>
          <w:t>METHOD</w:t>
        </w:r>
        <w:r>
          <w:rPr>
            <w:spacing w:val="-5"/>
          </w:rPr>
          <w:t> </w:t>
        </w:r>
        <w:r>
          <w:rPr/>
          <w:t>DEVELOPMENT</w:t>
          <w:tab/>
          <w:t>41</w:t>
        </w:r>
      </w:hyperlink>
    </w:p>
    <w:p>
      <w:pPr>
        <w:pStyle w:val="BodyText"/>
        <w:tabs>
          <w:tab w:pos="2440" w:val="left" w:leader="none"/>
          <w:tab w:pos="10285" w:val="left" w:leader="dot"/>
        </w:tabs>
        <w:spacing w:line="276" w:lineRule="auto" w:before="159"/>
        <w:ind w:left="2440" w:right="1187" w:hanging="1261"/>
      </w:pPr>
      <w:hyperlink w:history="true" w:anchor="_bookmark34">
        <w:r>
          <w:rPr/>
          <w:t>TABLE</w:t>
        </w:r>
        <w:r>
          <w:rPr>
            <w:spacing w:val="-1"/>
          </w:rPr>
          <w:t> </w:t>
        </w:r>
        <w:r>
          <w:rPr/>
          <w:t>6</w:t>
        </w:r>
      </w:hyperlink>
      <w:r>
        <w:rPr/>
        <w:tab/>
      </w:r>
      <w:hyperlink w:history="true" w:anchor="_bookmark35">
        <w:r>
          <w:rPr/>
          <w:t>EXAMPLES OF SURROGATES AND RECOMMENDED TARGET ANALYTE</w:t>
        </w:r>
      </w:hyperlink>
      <w:r>
        <w:rPr/>
        <w:t> </w:t>
      </w:r>
      <w:hyperlink w:history="true" w:anchor="_bookmark35">
        <w:r>
          <w:rPr/>
          <w:t>ASSOCIATIONS</w:t>
          <w:tab/>
        </w:r>
        <w:r>
          <w:rPr>
            <w:spacing w:val="-9"/>
          </w:rPr>
          <w:t>42</w:t>
        </w:r>
      </w:hyperlink>
    </w:p>
    <w:p>
      <w:pPr>
        <w:pStyle w:val="BodyText"/>
        <w:tabs>
          <w:tab w:pos="2440" w:val="left" w:leader="none"/>
          <w:tab w:pos="10286" w:val="left" w:leader="dot"/>
        </w:tabs>
        <w:spacing w:before="120"/>
        <w:ind w:left="1180"/>
      </w:pPr>
      <w:hyperlink w:history="true" w:anchor="_bookmark36">
        <w:r>
          <w:rPr/>
          <w:t>TABLE</w:t>
        </w:r>
        <w:r>
          <w:rPr>
            <w:spacing w:val="-1"/>
          </w:rPr>
          <w:t> </w:t>
        </w:r>
        <w:r>
          <w:rPr/>
          <w:t>7</w:t>
        </w:r>
      </w:hyperlink>
      <w:r>
        <w:rPr/>
        <w:tab/>
      </w:r>
      <w:hyperlink w:history="true" w:anchor="_bookmark37">
        <w:r>
          <w:rPr/>
          <w:t>QC</w:t>
        </w:r>
        <w:r>
          <w:rPr>
            <w:spacing w:val="-3"/>
          </w:rPr>
          <w:t> </w:t>
        </w:r>
        <w:r>
          <w:rPr/>
          <w:t>SUMMARY</w:t>
          <w:tab/>
          <w:t>43</w:t>
        </w:r>
      </w:hyperlink>
    </w:p>
    <w:p>
      <w:pPr>
        <w:pStyle w:val="BodyText"/>
        <w:tabs>
          <w:tab w:pos="2440" w:val="left" w:leader="none"/>
          <w:tab w:pos="10286" w:val="left" w:leader="dot"/>
        </w:tabs>
        <w:spacing w:before="157"/>
        <w:ind w:left="1180"/>
      </w:pPr>
      <w:hyperlink w:history="true" w:anchor="_bookmark38">
        <w:r>
          <w:rPr/>
          <w:t>FIGURE</w:t>
        </w:r>
        <w:r>
          <w:rPr>
            <w:spacing w:val="-1"/>
          </w:rPr>
          <w:t> </w:t>
        </w:r>
        <w:r>
          <w:rPr/>
          <w:t>1</w:t>
        </w:r>
      </w:hyperlink>
      <w:r>
        <w:rPr/>
        <w:tab/>
      </w:r>
      <w:hyperlink w:history="true" w:anchor="_bookmark39">
        <w:r>
          <w:rPr/>
          <w:t>PFOS IN</w:t>
        </w:r>
        <w:r>
          <w:rPr>
            <w:spacing w:val="-3"/>
          </w:rPr>
          <w:t> </w:t>
        </w:r>
        <w:r>
          <w:rPr/>
          <w:t>CALIBRATION</w:t>
        </w:r>
        <w:r>
          <w:rPr>
            <w:spacing w:val="-3"/>
          </w:rPr>
          <w:t> </w:t>
        </w:r>
        <w:r>
          <w:rPr/>
          <w:t>STANDARD</w:t>
          <w:tab/>
          <w:t>44</w:t>
        </w:r>
      </w:hyperlink>
    </w:p>
    <w:p>
      <w:pPr>
        <w:pStyle w:val="BodyText"/>
        <w:tabs>
          <w:tab w:pos="2441" w:val="left" w:leader="none"/>
          <w:tab w:pos="10286" w:val="left" w:leader="dot"/>
        </w:tabs>
        <w:spacing w:before="159"/>
        <w:ind w:left="1181"/>
      </w:pPr>
      <w:hyperlink w:history="true" w:anchor="_bookmark40">
        <w:r>
          <w:rPr/>
          <w:t>FIGURE</w:t>
        </w:r>
        <w:r>
          <w:rPr>
            <w:spacing w:val="-1"/>
          </w:rPr>
          <w:t> </w:t>
        </w:r>
        <w:r>
          <w:rPr/>
          <w:t>2</w:t>
        </w:r>
      </w:hyperlink>
      <w:r>
        <w:rPr/>
        <w:tab/>
      </w:r>
      <w:hyperlink w:history="true" w:anchor="_bookmark41">
        <w:r>
          <w:rPr/>
          <w:t>PFOS IN</w:t>
        </w:r>
        <w:r>
          <w:rPr>
            <w:spacing w:val="-5"/>
          </w:rPr>
          <w:t> </w:t>
        </w:r>
        <w:r>
          <w:rPr/>
          <w:t>GROUNDWATER</w:t>
        </w:r>
        <w:r>
          <w:rPr>
            <w:spacing w:val="-3"/>
          </w:rPr>
          <w:t> </w:t>
        </w:r>
        <w:r>
          <w:rPr/>
          <w:t>SAMPLE</w:t>
          <w:tab/>
          <w:t>44</w:t>
        </w:r>
      </w:hyperlink>
    </w:p>
    <w:p>
      <w:pPr>
        <w:pStyle w:val="BodyText"/>
        <w:tabs>
          <w:tab w:pos="2441" w:val="left" w:leader="none"/>
          <w:tab w:pos="10286" w:val="left" w:leader="dot"/>
        </w:tabs>
        <w:spacing w:before="157"/>
        <w:ind w:left="1181"/>
      </w:pPr>
      <w:hyperlink w:history="true" w:anchor="_bookmark42">
        <w:r>
          <w:rPr/>
          <w:t>FIGURE</w:t>
        </w:r>
        <w:r>
          <w:rPr>
            <w:spacing w:val="-1"/>
          </w:rPr>
          <w:t> </w:t>
        </w:r>
        <w:r>
          <w:rPr/>
          <w:t>3</w:t>
        </w:r>
      </w:hyperlink>
      <w:r>
        <w:rPr/>
        <w:tab/>
      </w:r>
      <w:hyperlink w:history="true" w:anchor="_bookmark43">
        <w:r>
          <w:rPr/>
          <w:t>PFHxS IN</w:t>
        </w:r>
        <w:r>
          <w:rPr>
            <w:spacing w:val="-4"/>
          </w:rPr>
          <w:t> </w:t>
        </w:r>
        <w:r>
          <w:rPr/>
          <w:t>CALIBRATION</w:t>
        </w:r>
        <w:r>
          <w:rPr>
            <w:spacing w:val="-3"/>
          </w:rPr>
          <w:t> </w:t>
        </w:r>
        <w:r>
          <w:rPr/>
          <w:t>STANDARD</w:t>
          <w:tab/>
          <w:t>45</w:t>
        </w:r>
      </w:hyperlink>
    </w:p>
    <w:p>
      <w:pPr>
        <w:pStyle w:val="BodyText"/>
        <w:tabs>
          <w:tab w:pos="2441" w:val="left" w:leader="none"/>
          <w:tab w:pos="10287" w:val="left" w:leader="dot"/>
        </w:tabs>
        <w:spacing w:before="158"/>
        <w:ind w:left="1181"/>
      </w:pPr>
      <w:hyperlink w:history="true" w:anchor="_bookmark44">
        <w:r>
          <w:rPr/>
          <w:t>FIGURE</w:t>
        </w:r>
        <w:r>
          <w:rPr>
            <w:spacing w:val="-1"/>
          </w:rPr>
          <w:t> </w:t>
        </w:r>
        <w:r>
          <w:rPr/>
          <w:t>4</w:t>
        </w:r>
      </w:hyperlink>
      <w:r>
        <w:rPr/>
        <w:tab/>
      </w:r>
      <w:hyperlink w:history="true" w:anchor="_bookmark45">
        <w:r>
          <w:rPr/>
          <w:t>PFHxS IN</w:t>
        </w:r>
        <w:r>
          <w:rPr>
            <w:spacing w:val="-6"/>
          </w:rPr>
          <w:t> </w:t>
        </w:r>
        <w:r>
          <w:rPr/>
          <w:t>GROUNDWATER</w:t>
        </w:r>
        <w:r>
          <w:rPr>
            <w:spacing w:val="-3"/>
          </w:rPr>
          <w:t> </w:t>
        </w:r>
        <w:r>
          <w:rPr/>
          <w:t>SAMPLE</w:t>
          <w:tab/>
          <w:t>45</w:t>
        </w:r>
      </w:hyperlink>
    </w:p>
    <w:p>
      <w:pPr>
        <w:pStyle w:val="BodyText"/>
        <w:tabs>
          <w:tab w:pos="10287" w:val="left" w:leader="dot"/>
        </w:tabs>
        <w:spacing w:before="158"/>
        <w:ind w:left="1181"/>
      </w:pPr>
      <w:hyperlink w:history="true" w:anchor="_bookmark46">
        <w:r>
          <w:rPr/>
          <w:t>APPENDIX A</w:t>
        </w:r>
        <w:r>
          <w:rPr>
            <w:spacing w:val="-5"/>
          </w:rPr>
          <w:t> </w:t>
        </w:r>
        <w:r>
          <w:rPr/>
          <w:t>-</w:t>
        </w:r>
        <w:r>
          <w:rPr>
            <w:spacing w:val="-1"/>
          </w:rPr>
          <w:t> </w:t>
        </w:r>
        <w:r>
          <w:rPr/>
          <w:t>GLOSSARY</w:t>
          <w:tab/>
          <w:t>46</w:t>
        </w:r>
      </w:hyperlink>
    </w:p>
    <w:p>
      <w:pPr>
        <w:pStyle w:val="BodyText"/>
        <w:tabs>
          <w:tab w:pos="10287" w:val="left" w:leader="dot"/>
        </w:tabs>
        <w:spacing w:before="158"/>
        <w:ind w:left="1181"/>
      </w:pPr>
      <w:hyperlink w:history="true" w:anchor="_bookmark47">
        <w:r>
          <w:rPr/>
          <w:t>APPENDIX B (future Method 3512) – AQUEOUS</w:t>
        </w:r>
        <w:r>
          <w:rPr>
            <w:spacing w:val="-13"/>
          </w:rPr>
          <w:t> </w:t>
        </w:r>
        <w:r>
          <w:rPr/>
          <w:t>SAMPLE PREPARATION</w:t>
          <w:tab/>
          <w:t>48</w:t>
        </w:r>
      </w:hyperlink>
    </w:p>
    <w:p>
      <w:pPr>
        <w:pStyle w:val="BodyText"/>
        <w:rPr>
          <w:sz w:val="24"/>
        </w:rPr>
      </w:pPr>
    </w:p>
    <w:p>
      <w:pPr>
        <w:pStyle w:val="BodyText"/>
        <w:spacing w:before="5"/>
        <w:rPr>
          <w:sz w:val="25"/>
        </w:rPr>
      </w:pPr>
    </w:p>
    <w:p>
      <w:pPr>
        <w:pStyle w:val="BodyText"/>
        <w:ind w:left="1182"/>
      </w:pPr>
      <w:r>
        <w:rPr/>
        <w:t>Disclaimer</w:t>
      </w:r>
    </w:p>
    <w:p>
      <w:pPr>
        <w:pStyle w:val="BodyText"/>
        <w:spacing w:line="276" w:lineRule="auto" w:before="159"/>
        <w:ind w:left="1182" w:right="1175" w:firstLine="720"/>
      </w:pPr>
      <w:r>
        <w:rPr/>
        <w:t>SW-846 is not intended to be an analytical training manual. Therefore, method procedures are written based on the assumption that they will be performed by analysts formally trained in the basic principles of chemical analysis and in the use of the subject technology.</w:t>
      </w:r>
    </w:p>
    <w:p>
      <w:pPr>
        <w:pStyle w:val="BodyText"/>
        <w:spacing w:line="276" w:lineRule="auto" w:before="119"/>
        <w:ind w:left="1182" w:right="1228" w:firstLine="720"/>
      </w:pPr>
      <w:r>
        <w:rPr/>
        <w:t>In addition, SW-846 methods, with the exception of required use for the analysis of method-defined parameters, are intended to be guidance methods which contain general information on how to perform an analytical procedure or technique, which a laboratory can use as a basic starting point for generating its own detailed standard operating procedure (SOP), either for its own general use or for a specific project application. Performance data included in this method are for guidance purposes only and must not be used as absolute quality control (QC) acceptance criteria for the purposes of laboratory QC or accreditation.</w:t>
      </w:r>
    </w:p>
    <w:p>
      <w:pPr>
        <w:spacing w:after="0" w:line="276" w:lineRule="auto"/>
        <w:sectPr>
          <w:pgSz w:w="12240" w:h="15840"/>
          <w:pgMar w:header="0" w:footer="1134" w:top="1060" w:bottom="1400" w:left="260" w:right="260"/>
        </w:sectPr>
      </w:pPr>
    </w:p>
    <w:p>
      <w:pPr>
        <w:pStyle w:val="ListParagraph"/>
        <w:numPr>
          <w:ilvl w:val="1"/>
          <w:numId w:val="1"/>
        </w:numPr>
        <w:tabs>
          <w:tab w:pos="1900" w:val="left" w:leader="none"/>
          <w:tab w:pos="1901" w:val="left" w:leader="none"/>
        </w:tabs>
        <w:spacing w:line="240" w:lineRule="auto" w:before="70" w:after="0"/>
        <w:ind w:left="1900" w:right="0" w:hanging="721"/>
        <w:jc w:val="left"/>
        <w:rPr>
          <w:sz w:val="22"/>
        </w:rPr>
      </w:pPr>
      <w:bookmarkStart w:name="1.0 SCOPE AND APPLICATION" w:id="1"/>
      <w:bookmarkEnd w:id="1"/>
      <w:r>
        <w:rPr/>
      </w:r>
      <w:bookmarkStart w:name="_bookmark0" w:id="2"/>
      <w:bookmarkEnd w:id="2"/>
      <w:r>
        <w:rPr/>
      </w:r>
      <w:bookmarkStart w:name="_bookmark0" w:id="3"/>
      <w:bookmarkEnd w:id="3"/>
      <w:r>
        <w:rPr>
          <w:sz w:val="22"/>
        </w:rPr>
        <w:t>S</w:t>
      </w:r>
      <w:r>
        <w:rPr>
          <w:sz w:val="22"/>
        </w:rPr>
        <w:t>COPE AND</w:t>
      </w:r>
      <w:r>
        <w:rPr>
          <w:spacing w:val="-2"/>
          <w:sz w:val="22"/>
        </w:rPr>
        <w:t> </w:t>
      </w:r>
      <w:r>
        <w:rPr>
          <w:sz w:val="22"/>
        </w:rPr>
        <w:t>APPLICATION</w:t>
      </w:r>
    </w:p>
    <w:p>
      <w:pPr>
        <w:pStyle w:val="BodyText"/>
        <w:spacing w:before="3"/>
        <w:rPr>
          <w:sz w:val="24"/>
        </w:rPr>
      </w:pPr>
    </w:p>
    <w:p>
      <w:pPr>
        <w:pStyle w:val="BodyText"/>
        <w:spacing w:line="276" w:lineRule="auto"/>
        <w:ind w:left="1180" w:right="1241" w:firstLine="719"/>
      </w:pPr>
      <w:r>
        <w:rPr/>
        <w:t>This method covers the analysis of selected per- and polyfluoroalkyl substances (PFAS) in prepared extracts of various matrices (e.g., waters and solids) by liquid chromatography/tandem mass spectrometry (LC/MS/MS) analysis.</w:t>
      </w:r>
    </w:p>
    <w:p>
      <w:pPr>
        <w:pStyle w:val="BodyText"/>
        <w:spacing w:line="276" w:lineRule="auto" w:before="119"/>
        <w:ind w:left="1180" w:right="1228" w:firstLine="719"/>
      </w:pPr>
      <w:r>
        <w:rPr/>
        <w:t>The 24 PFAS that have been evaluated with this method are provided below. The suggested Lower Limit of Quantitation (LLOQ) and calibration ranges for these compounds listed in Table 1 (Sec. 17.0) are based on the example calibration standards and spiking solutions preparations described in Sec. 7. This method has been tested in reagent water, surface water, groundwater, and wastewater matrices. Some precision and bias (P&amp;B) data are provided in Table 2 (Sec. 17.0).</w:t>
      </w:r>
    </w:p>
    <w:p>
      <w:pPr>
        <w:pStyle w:val="BodyText"/>
        <w:spacing w:before="4"/>
        <w:rPr>
          <w:sz w:val="11"/>
        </w:rPr>
      </w:pPr>
    </w:p>
    <w:tbl>
      <w:tblPr>
        <w:tblW w:w="0" w:type="auto"/>
        <w:jc w:val="left"/>
        <w:tblInd w:w="1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78"/>
        <w:gridCol w:w="1365"/>
        <w:gridCol w:w="1526"/>
      </w:tblGrid>
      <w:tr>
        <w:trPr>
          <w:trHeight w:val="410" w:hRule="atLeast"/>
        </w:trPr>
        <w:tc>
          <w:tcPr>
            <w:tcW w:w="6478" w:type="dxa"/>
            <w:tcBorders>
              <w:top w:val="double" w:sz="1" w:space="0" w:color="000000"/>
              <w:bottom w:val="single" w:sz="4" w:space="0" w:color="000000"/>
            </w:tcBorders>
          </w:tcPr>
          <w:p>
            <w:pPr>
              <w:pStyle w:val="TableParagraph"/>
              <w:spacing w:before="60"/>
              <w:ind w:left="101"/>
              <w:jc w:val="left"/>
              <w:rPr>
                <w:sz w:val="22"/>
              </w:rPr>
            </w:pPr>
            <w:r>
              <w:rPr>
                <w:sz w:val="22"/>
                <w:u w:val="single"/>
              </w:rPr>
              <w:t>Analyte</w:t>
            </w:r>
          </w:p>
        </w:tc>
        <w:tc>
          <w:tcPr>
            <w:tcW w:w="1365" w:type="dxa"/>
            <w:tcBorders>
              <w:top w:val="double" w:sz="1" w:space="0" w:color="000000"/>
              <w:bottom w:val="single" w:sz="4" w:space="0" w:color="000000"/>
            </w:tcBorders>
          </w:tcPr>
          <w:p>
            <w:pPr>
              <w:pStyle w:val="TableParagraph"/>
              <w:spacing w:before="0"/>
              <w:jc w:val="left"/>
              <w:rPr>
                <w:rFonts w:ascii="Times New Roman"/>
                <w:sz w:val="20"/>
              </w:rPr>
            </w:pPr>
          </w:p>
        </w:tc>
        <w:tc>
          <w:tcPr>
            <w:tcW w:w="1526" w:type="dxa"/>
            <w:tcBorders>
              <w:top w:val="double" w:sz="1" w:space="0" w:color="000000"/>
              <w:bottom w:val="single" w:sz="4" w:space="0" w:color="000000"/>
            </w:tcBorders>
          </w:tcPr>
          <w:p>
            <w:pPr>
              <w:pStyle w:val="TableParagraph"/>
              <w:spacing w:before="60"/>
              <w:ind w:right="107"/>
              <w:jc w:val="right"/>
              <w:rPr>
                <w:sz w:val="22"/>
              </w:rPr>
            </w:pPr>
            <w:r>
              <w:rPr>
                <w:sz w:val="22"/>
              </w:rPr>
              <w:t>CAS RN*</w:t>
            </w:r>
          </w:p>
        </w:tc>
      </w:tr>
      <w:tr>
        <w:trPr>
          <w:trHeight w:val="396" w:hRule="atLeast"/>
        </w:trPr>
        <w:tc>
          <w:tcPr>
            <w:tcW w:w="6478" w:type="dxa"/>
            <w:tcBorders>
              <w:top w:val="single" w:sz="4" w:space="0" w:color="000000"/>
            </w:tcBorders>
          </w:tcPr>
          <w:p>
            <w:pPr>
              <w:pStyle w:val="TableParagraph"/>
              <w:spacing w:before="61"/>
              <w:ind w:left="101"/>
              <w:jc w:val="left"/>
              <w:rPr>
                <w:sz w:val="22"/>
              </w:rPr>
            </w:pPr>
            <w:r>
              <w:rPr>
                <w:sz w:val="22"/>
                <w:u w:val="single"/>
              </w:rPr>
              <w:t>PFAS sulfonic acids</w:t>
            </w:r>
          </w:p>
        </w:tc>
        <w:tc>
          <w:tcPr>
            <w:tcW w:w="1365" w:type="dxa"/>
            <w:tcBorders>
              <w:top w:val="single" w:sz="4" w:space="0" w:color="000000"/>
            </w:tcBorders>
          </w:tcPr>
          <w:p>
            <w:pPr>
              <w:pStyle w:val="TableParagraph"/>
              <w:spacing w:before="0"/>
              <w:jc w:val="left"/>
              <w:rPr>
                <w:rFonts w:ascii="Times New Roman"/>
                <w:sz w:val="20"/>
              </w:rPr>
            </w:pPr>
          </w:p>
        </w:tc>
        <w:tc>
          <w:tcPr>
            <w:tcW w:w="1526" w:type="dxa"/>
            <w:tcBorders>
              <w:top w:val="single" w:sz="4" w:space="0" w:color="000000"/>
            </w:tcBorders>
          </w:tcPr>
          <w:p>
            <w:pPr>
              <w:pStyle w:val="TableParagraph"/>
              <w:spacing w:before="0"/>
              <w:jc w:val="left"/>
              <w:rPr>
                <w:rFonts w:ascii="Times New Roman"/>
                <w:sz w:val="20"/>
              </w:rPr>
            </w:pPr>
          </w:p>
        </w:tc>
      </w:tr>
      <w:tr>
        <w:trPr>
          <w:trHeight w:val="410" w:hRule="atLeast"/>
        </w:trPr>
        <w:tc>
          <w:tcPr>
            <w:tcW w:w="6478" w:type="dxa"/>
          </w:tcPr>
          <w:p>
            <w:pPr>
              <w:pStyle w:val="TableParagraph"/>
              <w:spacing w:before="75"/>
              <w:ind w:left="101"/>
              <w:jc w:val="left"/>
              <w:rPr>
                <w:sz w:val="22"/>
              </w:rPr>
            </w:pPr>
            <w:r>
              <w:rPr>
                <w:sz w:val="22"/>
              </w:rPr>
              <w:t>Perfluoro-1-butanesulfonic acid (PFBS)</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6"/>
              <w:jc w:val="right"/>
              <w:rPr>
                <w:sz w:val="22"/>
              </w:rPr>
            </w:pPr>
            <w:r>
              <w:rPr>
                <w:w w:val="95"/>
                <w:sz w:val="22"/>
              </w:rPr>
              <w:t>375-73-5</w:t>
            </w:r>
          </w:p>
        </w:tc>
      </w:tr>
      <w:tr>
        <w:trPr>
          <w:trHeight w:val="411" w:hRule="atLeast"/>
        </w:trPr>
        <w:tc>
          <w:tcPr>
            <w:tcW w:w="6478" w:type="dxa"/>
          </w:tcPr>
          <w:p>
            <w:pPr>
              <w:pStyle w:val="TableParagraph"/>
              <w:spacing w:before="75"/>
              <w:ind w:left="101"/>
              <w:jc w:val="left"/>
              <w:rPr>
                <w:sz w:val="22"/>
              </w:rPr>
            </w:pPr>
            <w:r>
              <w:rPr>
                <w:sz w:val="22"/>
              </w:rPr>
              <w:t>Perfluoro-1-pentanesulfonic acid (PFPeS)</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6"/>
              <w:jc w:val="right"/>
              <w:rPr>
                <w:sz w:val="22"/>
              </w:rPr>
            </w:pPr>
            <w:r>
              <w:rPr>
                <w:w w:val="95"/>
                <w:sz w:val="22"/>
              </w:rPr>
              <w:t>2706-91-4</w:t>
            </w:r>
          </w:p>
        </w:tc>
      </w:tr>
      <w:tr>
        <w:trPr>
          <w:trHeight w:val="410" w:hRule="atLeast"/>
        </w:trPr>
        <w:tc>
          <w:tcPr>
            <w:tcW w:w="6478" w:type="dxa"/>
          </w:tcPr>
          <w:p>
            <w:pPr>
              <w:pStyle w:val="TableParagraph"/>
              <w:spacing w:before="75"/>
              <w:ind w:left="101"/>
              <w:jc w:val="left"/>
              <w:rPr>
                <w:sz w:val="22"/>
              </w:rPr>
            </w:pPr>
            <w:r>
              <w:rPr>
                <w:sz w:val="22"/>
              </w:rPr>
              <w:t>Perfluoro-1-hexanesulfonic acid (PFHxS)</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6"/>
              <w:jc w:val="right"/>
              <w:rPr>
                <w:sz w:val="22"/>
              </w:rPr>
            </w:pPr>
            <w:r>
              <w:rPr>
                <w:w w:val="95"/>
                <w:sz w:val="22"/>
              </w:rPr>
              <w:t>355-46-4</w:t>
            </w:r>
          </w:p>
        </w:tc>
      </w:tr>
      <w:tr>
        <w:trPr>
          <w:trHeight w:val="411" w:hRule="atLeast"/>
        </w:trPr>
        <w:tc>
          <w:tcPr>
            <w:tcW w:w="6478" w:type="dxa"/>
          </w:tcPr>
          <w:p>
            <w:pPr>
              <w:pStyle w:val="TableParagraph"/>
              <w:spacing w:before="75"/>
              <w:ind w:left="101"/>
              <w:jc w:val="left"/>
              <w:rPr>
                <w:sz w:val="22"/>
              </w:rPr>
            </w:pPr>
            <w:r>
              <w:rPr>
                <w:sz w:val="22"/>
              </w:rPr>
              <w:t>Perfluoro-1-heptanesulfonic acid (PFHpS)</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6"/>
              <w:jc w:val="right"/>
              <w:rPr>
                <w:sz w:val="22"/>
              </w:rPr>
            </w:pPr>
            <w:r>
              <w:rPr>
                <w:w w:val="95"/>
                <w:sz w:val="22"/>
              </w:rPr>
              <w:t>375-92-8</w:t>
            </w:r>
          </w:p>
        </w:tc>
      </w:tr>
      <w:tr>
        <w:trPr>
          <w:trHeight w:val="410" w:hRule="atLeast"/>
        </w:trPr>
        <w:tc>
          <w:tcPr>
            <w:tcW w:w="6478" w:type="dxa"/>
          </w:tcPr>
          <w:p>
            <w:pPr>
              <w:pStyle w:val="TableParagraph"/>
              <w:spacing w:before="75"/>
              <w:ind w:left="101"/>
              <w:jc w:val="left"/>
              <w:rPr>
                <w:sz w:val="22"/>
              </w:rPr>
            </w:pPr>
            <w:r>
              <w:rPr>
                <w:sz w:val="22"/>
              </w:rPr>
              <w:t>Perfluoro-1-octanesulfonic acid (PFOS)</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6"/>
              <w:jc w:val="right"/>
              <w:rPr>
                <w:sz w:val="22"/>
              </w:rPr>
            </w:pPr>
            <w:r>
              <w:rPr>
                <w:w w:val="95"/>
                <w:sz w:val="22"/>
              </w:rPr>
              <w:t>1763-23-1</w:t>
            </w:r>
          </w:p>
        </w:tc>
      </w:tr>
      <w:tr>
        <w:trPr>
          <w:trHeight w:val="411" w:hRule="atLeast"/>
        </w:trPr>
        <w:tc>
          <w:tcPr>
            <w:tcW w:w="6478" w:type="dxa"/>
          </w:tcPr>
          <w:p>
            <w:pPr>
              <w:pStyle w:val="TableParagraph"/>
              <w:spacing w:before="75"/>
              <w:ind w:left="101"/>
              <w:jc w:val="left"/>
              <w:rPr>
                <w:sz w:val="22"/>
              </w:rPr>
            </w:pPr>
            <w:r>
              <w:rPr>
                <w:sz w:val="22"/>
              </w:rPr>
              <w:t>Perfluoro-1-nonanesulfonic acid (PFNS)</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8"/>
              <w:jc w:val="right"/>
              <w:rPr>
                <w:sz w:val="22"/>
              </w:rPr>
            </w:pPr>
            <w:r>
              <w:rPr>
                <w:w w:val="95"/>
                <w:sz w:val="22"/>
              </w:rPr>
              <w:t>68259-12-1</w:t>
            </w:r>
          </w:p>
        </w:tc>
      </w:tr>
      <w:tr>
        <w:trPr>
          <w:trHeight w:val="410" w:hRule="atLeast"/>
        </w:trPr>
        <w:tc>
          <w:tcPr>
            <w:tcW w:w="6478" w:type="dxa"/>
          </w:tcPr>
          <w:p>
            <w:pPr>
              <w:pStyle w:val="TableParagraph"/>
              <w:spacing w:before="75"/>
              <w:ind w:left="101"/>
              <w:jc w:val="left"/>
              <w:rPr>
                <w:sz w:val="22"/>
              </w:rPr>
            </w:pPr>
            <w:r>
              <w:rPr>
                <w:sz w:val="22"/>
              </w:rPr>
              <w:t>Perfluoro-1-decanesulfonic acid (PFDS)</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6"/>
              <w:jc w:val="right"/>
              <w:rPr>
                <w:sz w:val="22"/>
              </w:rPr>
            </w:pPr>
            <w:r>
              <w:rPr>
                <w:w w:val="95"/>
                <w:sz w:val="22"/>
              </w:rPr>
              <w:t>335-77-3</w:t>
            </w:r>
          </w:p>
        </w:tc>
      </w:tr>
      <w:tr>
        <w:trPr>
          <w:trHeight w:val="410" w:hRule="atLeast"/>
        </w:trPr>
        <w:tc>
          <w:tcPr>
            <w:tcW w:w="6478" w:type="dxa"/>
          </w:tcPr>
          <w:p>
            <w:pPr>
              <w:pStyle w:val="TableParagraph"/>
              <w:spacing w:before="75"/>
              <w:ind w:left="101"/>
              <w:jc w:val="left"/>
              <w:rPr>
                <w:sz w:val="22"/>
              </w:rPr>
            </w:pPr>
            <w:r>
              <w:rPr>
                <w:sz w:val="22"/>
              </w:rPr>
              <w:t>1H, 1H, 2H, 2H-perfluorohexane sulfonic acid (4:2 FTS)</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7"/>
              <w:jc w:val="right"/>
              <w:rPr>
                <w:sz w:val="22"/>
              </w:rPr>
            </w:pPr>
            <w:r>
              <w:rPr>
                <w:w w:val="95"/>
                <w:sz w:val="22"/>
              </w:rPr>
              <w:t>757124-72-4</w:t>
            </w:r>
          </w:p>
        </w:tc>
      </w:tr>
      <w:tr>
        <w:trPr>
          <w:trHeight w:val="762" w:hRule="atLeast"/>
        </w:trPr>
        <w:tc>
          <w:tcPr>
            <w:tcW w:w="6478" w:type="dxa"/>
          </w:tcPr>
          <w:p>
            <w:pPr>
              <w:pStyle w:val="TableParagraph"/>
              <w:spacing w:line="350" w:lineRule="exact" w:before="2"/>
              <w:ind w:left="101" w:right="940"/>
              <w:jc w:val="left"/>
              <w:rPr>
                <w:sz w:val="22"/>
              </w:rPr>
            </w:pPr>
            <w:r>
              <w:rPr>
                <w:sz w:val="22"/>
              </w:rPr>
              <w:t>1H, 1H, 2H, 2H-perfluorooctane sulfonic acid (6:2 FTS) 1H, 1H, 2H, 2H-perfluorodecane sulfonic acid (8:2 FTS)</w:t>
            </w:r>
          </w:p>
        </w:tc>
        <w:tc>
          <w:tcPr>
            <w:tcW w:w="1365" w:type="dxa"/>
          </w:tcPr>
          <w:p>
            <w:pPr>
              <w:pStyle w:val="TableParagraph"/>
              <w:spacing w:line="338" w:lineRule="auto" w:before="76"/>
              <w:ind w:left="872" w:right="290"/>
              <w:jc w:val="right"/>
              <w:rPr>
                <w:sz w:val="20"/>
              </w:rPr>
            </w:pPr>
            <w:r>
              <w:rPr>
                <w:sz w:val="20"/>
              </w:rPr>
              <w:t>#</w:t>
            </w:r>
            <w:r>
              <w:rPr>
                <w:w w:val="100"/>
                <w:sz w:val="20"/>
              </w:rPr>
              <w:t> </w:t>
            </w:r>
            <w:r>
              <w:rPr>
                <w:sz w:val="20"/>
              </w:rPr>
              <w:t>#</w:t>
            </w:r>
          </w:p>
        </w:tc>
        <w:tc>
          <w:tcPr>
            <w:tcW w:w="1526" w:type="dxa"/>
          </w:tcPr>
          <w:p>
            <w:pPr>
              <w:pStyle w:val="TableParagraph"/>
              <w:spacing w:before="76"/>
              <w:ind w:left="292"/>
              <w:jc w:val="left"/>
              <w:rPr>
                <w:sz w:val="22"/>
              </w:rPr>
            </w:pPr>
            <w:r>
              <w:rPr>
                <w:sz w:val="22"/>
              </w:rPr>
              <w:t>27619-97-2</w:t>
            </w:r>
          </w:p>
          <w:p>
            <w:pPr>
              <w:pStyle w:val="TableParagraph"/>
              <w:spacing w:before="98"/>
              <w:ind w:left="292"/>
              <w:jc w:val="left"/>
              <w:rPr>
                <w:sz w:val="22"/>
              </w:rPr>
            </w:pPr>
            <w:r>
              <w:rPr>
                <w:sz w:val="22"/>
              </w:rPr>
              <w:t>39108-34-4</w:t>
            </w:r>
          </w:p>
        </w:tc>
      </w:tr>
      <w:tr>
        <w:trPr>
          <w:trHeight w:val="410" w:hRule="atLeast"/>
        </w:trPr>
        <w:tc>
          <w:tcPr>
            <w:tcW w:w="6478" w:type="dxa"/>
          </w:tcPr>
          <w:p>
            <w:pPr>
              <w:pStyle w:val="TableParagraph"/>
              <w:spacing w:before="75"/>
              <w:ind w:left="101"/>
              <w:jc w:val="left"/>
              <w:rPr>
                <w:sz w:val="22"/>
              </w:rPr>
            </w:pPr>
            <w:r>
              <w:rPr>
                <w:sz w:val="22"/>
                <w:u w:val="single"/>
              </w:rPr>
              <w:t>PFAS carboxylic acids</w:t>
            </w:r>
          </w:p>
        </w:tc>
        <w:tc>
          <w:tcPr>
            <w:tcW w:w="1365" w:type="dxa"/>
          </w:tcPr>
          <w:p>
            <w:pPr>
              <w:pStyle w:val="TableParagraph"/>
              <w:spacing w:before="0"/>
              <w:jc w:val="left"/>
              <w:rPr>
                <w:rFonts w:ascii="Times New Roman"/>
                <w:sz w:val="20"/>
              </w:rPr>
            </w:pPr>
          </w:p>
        </w:tc>
        <w:tc>
          <w:tcPr>
            <w:tcW w:w="1526" w:type="dxa"/>
          </w:tcPr>
          <w:p>
            <w:pPr>
              <w:pStyle w:val="TableParagraph"/>
              <w:spacing w:before="0"/>
              <w:jc w:val="left"/>
              <w:rPr>
                <w:rFonts w:ascii="Times New Roman"/>
                <w:sz w:val="20"/>
              </w:rPr>
            </w:pPr>
          </w:p>
        </w:tc>
      </w:tr>
      <w:tr>
        <w:trPr>
          <w:trHeight w:val="411" w:hRule="atLeast"/>
        </w:trPr>
        <w:tc>
          <w:tcPr>
            <w:tcW w:w="6478" w:type="dxa"/>
          </w:tcPr>
          <w:p>
            <w:pPr>
              <w:pStyle w:val="TableParagraph"/>
              <w:spacing w:before="76"/>
              <w:ind w:left="101"/>
              <w:jc w:val="left"/>
              <w:rPr>
                <w:sz w:val="22"/>
              </w:rPr>
            </w:pPr>
            <w:r>
              <w:rPr>
                <w:sz w:val="22"/>
              </w:rPr>
              <w:t>Perfluorobutanoic acid (PFBA)</w:t>
            </w:r>
          </w:p>
        </w:tc>
        <w:tc>
          <w:tcPr>
            <w:tcW w:w="1365" w:type="dxa"/>
          </w:tcPr>
          <w:p>
            <w:pPr>
              <w:pStyle w:val="TableParagraph"/>
              <w:spacing w:before="76"/>
              <w:ind w:right="290"/>
              <w:jc w:val="right"/>
              <w:rPr>
                <w:sz w:val="20"/>
              </w:rPr>
            </w:pPr>
            <w:r>
              <w:rPr>
                <w:w w:val="100"/>
                <w:sz w:val="20"/>
              </w:rPr>
              <w:t>#</w:t>
            </w:r>
          </w:p>
        </w:tc>
        <w:tc>
          <w:tcPr>
            <w:tcW w:w="1526" w:type="dxa"/>
          </w:tcPr>
          <w:p>
            <w:pPr>
              <w:pStyle w:val="TableParagraph"/>
              <w:spacing w:before="76"/>
              <w:ind w:right="106"/>
              <w:jc w:val="right"/>
              <w:rPr>
                <w:sz w:val="22"/>
              </w:rPr>
            </w:pPr>
            <w:r>
              <w:rPr>
                <w:w w:val="95"/>
                <w:sz w:val="22"/>
              </w:rPr>
              <w:t>375-22-4</w:t>
            </w:r>
          </w:p>
        </w:tc>
      </w:tr>
      <w:tr>
        <w:trPr>
          <w:trHeight w:val="411" w:hRule="atLeast"/>
        </w:trPr>
        <w:tc>
          <w:tcPr>
            <w:tcW w:w="6478" w:type="dxa"/>
          </w:tcPr>
          <w:p>
            <w:pPr>
              <w:pStyle w:val="TableParagraph"/>
              <w:spacing w:before="76"/>
              <w:ind w:left="101"/>
              <w:jc w:val="left"/>
              <w:rPr>
                <w:sz w:val="22"/>
              </w:rPr>
            </w:pPr>
            <w:r>
              <w:rPr>
                <w:sz w:val="22"/>
              </w:rPr>
              <w:t>Perfluoropentanoic acid (PFPeA)</w:t>
            </w:r>
          </w:p>
        </w:tc>
        <w:tc>
          <w:tcPr>
            <w:tcW w:w="1365" w:type="dxa"/>
          </w:tcPr>
          <w:p>
            <w:pPr>
              <w:pStyle w:val="TableParagraph"/>
              <w:spacing w:before="75"/>
              <w:ind w:right="290"/>
              <w:jc w:val="right"/>
              <w:rPr>
                <w:sz w:val="20"/>
              </w:rPr>
            </w:pPr>
            <w:r>
              <w:rPr>
                <w:w w:val="100"/>
                <w:sz w:val="20"/>
              </w:rPr>
              <w:t>#</w:t>
            </w:r>
          </w:p>
        </w:tc>
        <w:tc>
          <w:tcPr>
            <w:tcW w:w="1526" w:type="dxa"/>
          </w:tcPr>
          <w:p>
            <w:pPr>
              <w:pStyle w:val="TableParagraph"/>
              <w:spacing w:before="76"/>
              <w:ind w:right="106"/>
              <w:jc w:val="right"/>
              <w:rPr>
                <w:sz w:val="22"/>
              </w:rPr>
            </w:pPr>
            <w:r>
              <w:rPr>
                <w:w w:val="95"/>
                <w:sz w:val="22"/>
              </w:rPr>
              <w:t>2706-90-3</w:t>
            </w:r>
          </w:p>
        </w:tc>
      </w:tr>
      <w:tr>
        <w:trPr>
          <w:trHeight w:val="411" w:hRule="atLeast"/>
        </w:trPr>
        <w:tc>
          <w:tcPr>
            <w:tcW w:w="6478" w:type="dxa"/>
          </w:tcPr>
          <w:p>
            <w:pPr>
              <w:pStyle w:val="TableParagraph"/>
              <w:spacing w:before="76"/>
              <w:ind w:left="101"/>
              <w:jc w:val="left"/>
              <w:rPr>
                <w:sz w:val="22"/>
              </w:rPr>
            </w:pPr>
            <w:r>
              <w:rPr>
                <w:sz w:val="22"/>
              </w:rPr>
              <w:t>Perfluorohexanoic acid (PFHxA)</w:t>
            </w:r>
          </w:p>
        </w:tc>
        <w:tc>
          <w:tcPr>
            <w:tcW w:w="1365" w:type="dxa"/>
          </w:tcPr>
          <w:p>
            <w:pPr>
              <w:pStyle w:val="TableParagraph"/>
              <w:spacing w:before="76"/>
              <w:ind w:right="290"/>
              <w:jc w:val="right"/>
              <w:rPr>
                <w:sz w:val="20"/>
              </w:rPr>
            </w:pPr>
            <w:r>
              <w:rPr>
                <w:w w:val="100"/>
                <w:sz w:val="20"/>
              </w:rPr>
              <w:t>#</w:t>
            </w:r>
          </w:p>
        </w:tc>
        <w:tc>
          <w:tcPr>
            <w:tcW w:w="1526" w:type="dxa"/>
          </w:tcPr>
          <w:p>
            <w:pPr>
              <w:pStyle w:val="TableParagraph"/>
              <w:spacing w:before="76"/>
              <w:ind w:right="106"/>
              <w:jc w:val="right"/>
              <w:rPr>
                <w:sz w:val="22"/>
              </w:rPr>
            </w:pPr>
            <w:r>
              <w:rPr>
                <w:w w:val="95"/>
                <w:sz w:val="22"/>
              </w:rPr>
              <w:t>307-24-4</w:t>
            </w:r>
          </w:p>
        </w:tc>
      </w:tr>
      <w:tr>
        <w:trPr>
          <w:trHeight w:val="410" w:hRule="atLeast"/>
        </w:trPr>
        <w:tc>
          <w:tcPr>
            <w:tcW w:w="6478" w:type="dxa"/>
          </w:tcPr>
          <w:p>
            <w:pPr>
              <w:pStyle w:val="TableParagraph"/>
              <w:spacing w:before="75"/>
              <w:ind w:left="101"/>
              <w:jc w:val="left"/>
              <w:rPr>
                <w:sz w:val="22"/>
              </w:rPr>
            </w:pPr>
            <w:r>
              <w:rPr>
                <w:sz w:val="22"/>
              </w:rPr>
              <w:t>Perfluoroheptanoic acid (PFHpA)</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6"/>
              <w:jc w:val="right"/>
              <w:rPr>
                <w:sz w:val="22"/>
              </w:rPr>
            </w:pPr>
            <w:r>
              <w:rPr>
                <w:w w:val="95"/>
                <w:sz w:val="22"/>
              </w:rPr>
              <w:t>375-85-9</w:t>
            </w:r>
          </w:p>
        </w:tc>
      </w:tr>
      <w:tr>
        <w:trPr>
          <w:trHeight w:val="410" w:hRule="atLeast"/>
        </w:trPr>
        <w:tc>
          <w:tcPr>
            <w:tcW w:w="6478" w:type="dxa"/>
          </w:tcPr>
          <w:p>
            <w:pPr>
              <w:pStyle w:val="TableParagraph"/>
              <w:spacing w:before="75"/>
              <w:ind w:left="101"/>
              <w:jc w:val="left"/>
              <w:rPr>
                <w:sz w:val="22"/>
              </w:rPr>
            </w:pPr>
            <w:r>
              <w:rPr>
                <w:sz w:val="22"/>
              </w:rPr>
              <w:t>Perfluorooctanoic acid (PFOA)</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6"/>
              <w:jc w:val="right"/>
              <w:rPr>
                <w:sz w:val="22"/>
              </w:rPr>
            </w:pPr>
            <w:r>
              <w:rPr>
                <w:w w:val="95"/>
                <w:sz w:val="22"/>
              </w:rPr>
              <w:t>335-67-1</w:t>
            </w:r>
          </w:p>
        </w:tc>
      </w:tr>
      <w:tr>
        <w:trPr>
          <w:trHeight w:val="411" w:hRule="atLeast"/>
        </w:trPr>
        <w:tc>
          <w:tcPr>
            <w:tcW w:w="6478" w:type="dxa"/>
          </w:tcPr>
          <w:p>
            <w:pPr>
              <w:pStyle w:val="TableParagraph"/>
              <w:spacing w:before="75"/>
              <w:ind w:left="101"/>
              <w:jc w:val="left"/>
              <w:rPr>
                <w:sz w:val="22"/>
              </w:rPr>
            </w:pPr>
            <w:r>
              <w:rPr>
                <w:sz w:val="22"/>
              </w:rPr>
              <w:t>Perfluorononanoic acid (PFNA)</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6"/>
              <w:jc w:val="right"/>
              <w:rPr>
                <w:sz w:val="22"/>
              </w:rPr>
            </w:pPr>
            <w:r>
              <w:rPr>
                <w:w w:val="95"/>
                <w:sz w:val="22"/>
              </w:rPr>
              <w:t>375-95-1</w:t>
            </w:r>
          </w:p>
        </w:tc>
      </w:tr>
      <w:tr>
        <w:trPr>
          <w:trHeight w:val="410" w:hRule="atLeast"/>
        </w:trPr>
        <w:tc>
          <w:tcPr>
            <w:tcW w:w="6478" w:type="dxa"/>
          </w:tcPr>
          <w:p>
            <w:pPr>
              <w:pStyle w:val="TableParagraph"/>
              <w:spacing w:before="75"/>
              <w:ind w:left="101"/>
              <w:jc w:val="left"/>
              <w:rPr>
                <w:sz w:val="22"/>
              </w:rPr>
            </w:pPr>
            <w:r>
              <w:rPr>
                <w:sz w:val="22"/>
              </w:rPr>
              <w:t>Perfluorodecanoic acid (PFDA)</w:t>
            </w:r>
          </w:p>
        </w:tc>
        <w:tc>
          <w:tcPr>
            <w:tcW w:w="1365" w:type="dxa"/>
          </w:tcPr>
          <w:p>
            <w:pPr>
              <w:pStyle w:val="TableParagraph"/>
              <w:spacing w:before="0"/>
              <w:jc w:val="left"/>
              <w:rPr>
                <w:rFonts w:ascii="Times New Roman"/>
                <w:sz w:val="20"/>
              </w:rPr>
            </w:pPr>
          </w:p>
        </w:tc>
        <w:tc>
          <w:tcPr>
            <w:tcW w:w="1526" w:type="dxa"/>
          </w:tcPr>
          <w:p>
            <w:pPr>
              <w:pStyle w:val="TableParagraph"/>
              <w:spacing w:before="75"/>
              <w:ind w:right="106"/>
              <w:jc w:val="right"/>
              <w:rPr>
                <w:sz w:val="22"/>
              </w:rPr>
            </w:pPr>
            <w:r>
              <w:rPr>
                <w:w w:val="95"/>
                <w:sz w:val="22"/>
              </w:rPr>
              <w:t>335-76-2</w:t>
            </w:r>
          </w:p>
        </w:tc>
      </w:tr>
      <w:tr>
        <w:trPr>
          <w:trHeight w:val="410" w:hRule="atLeast"/>
        </w:trPr>
        <w:tc>
          <w:tcPr>
            <w:tcW w:w="6478" w:type="dxa"/>
          </w:tcPr>
          <w:p>
            <w:pPr>
              <w:pStyle w:val="TableParagraph"/>
              <w:spacing w:before="76"/>
              <w:ind w:left="101"/>
              <w:jc w:val="left"/>
              <w:rPr>
                <w:sz w:val="22"/>
              </w:rPr>
            </w:pPr>
            <w:r>
              <w:rPr>
                <w:sz w:val="22"/>
              </w:rPr>
              <w:t>Perfluoroundecanoic acid (PFUdA)</w:t>
            </w:r>
          </w:p>
        </w:tc>
        <w:tc>
          <w:tcPr>
            <w:tcW w:w="1365" w:type="dxa"/>
          </w:tcPr>
          <w:p>
            <w:pPr>
              <w:pStyle w:val="TableParagraph"/>
              <w:spacing w:before="75"/>
              <w:ind w:right="290"/>
              <w:jc w:val="right"/>
              <w:rPr>
                <w:sz w:val="20"/>
              </w:rPr>
            </w:pPr>
            <w:r>
              <w:rPr>
                <w:w w:val="100"/>
                <w:sz w:val="20"/>
              </w:rPr>
              <w:t>#</w:t>
            </w:r>
          </w:p>
        </w:tc>
        <w:tc>
          <w:tcPr>
            <w:tcW w:w="1526" w:type="dxa"/>
          </w:tcPr>
          <w:p>
            <w:pPr>
              <w:pStyle w:val="TableParagraph"/>
              <w:spacing w:before="76"/>
              <w:ind w:right="106"/>
              <w:jc w:val="right"/>
              <w:rPr>
                <w:sz w:val="22"/>
              </w:rPr>
            </w:pPr>
            <w:r>
              <w:rPr>
                <w:w w:val="95"/>
                <w:sz w:val="22"/>
              </w:rPr>
              <w:t>2058-94-8</w:t>
            </w:r>
          </w:p>
        </w:tc>
      </w:tr>
      <w:tr>
        <w:trPr>
          <w:trHeight w:val="410" w:hRule="atLeast"/>
        </w:trPr>
        <w:tc>
          <w:tcPr>
            <w:tcW w:w="6478" w:type="dxa"/>
          </w:tcPr>
          <w:p>
            <w:pPr>
              <w:pStyle w:val="TableParagraph"/>
              <w:spacing w:before="76"/>
              <w:ind w:left="101"/>
              <w:jc w:val="left"/>
              <w:rPr>
                <w:sz w:val="22"/>
              </w:rPr>
            </w:pPr>
            <w:r>
              <w:rPr>
                <w:sz w:val="22"/>
              </w:rPr>
              <w:t>Perfluorododecanoic acid (PFDoA)</w:t>
            </w:r>
          </w:p>
        </w:tc>
        <w:tc>
          <w:tcPr>
            <w:tcW w:w="1365" w:type="dxa"/>
          </w:tcPr>
          <w:p>
            <w:pPr>
              <w:pStyle w:val="TableParagraph"/>
              <w:spacing w:before="75"/>
              <w:ind w:right="290"/>
              <w:jc w:val="right"/>
              <w:rPr>
                <w:sz w:val="20"/>
              </w:rPr>
            </w:pPr>
            <w:r>
              <w:rPr>
                <w:w w:val="100"/>
                <w:sz w:val="20"/>
              </w:rPr>
              <w:t>#</w:t>
            </w:r>
          </w:p>
        </w:tc>
        <w:tc>
          <w:tcPr>
            <w:tcW w:w="1526" w:type="dxa"/>
          </w:tcPr>
          <w:p>
            <w:pPr>
              <w:pStyle w:val="TableParagraph"/>
              <w:spacing w:before="76"/>
              <w:ind w:right="106"/>
              <w:jc w:val="right"/>
              <w:rPr>
                <w:sz w:val="22"/>
              </w:rPr>
            </w:pPr>
            <w:r>
              <w:rPr>
                <w:w w:val="95"/>
                <w:sz w:val="22"/>
              </w:rPr>
              <w:t>307-55-1</w:t>
            </w:r>
          </w:p>
        </w:tc>
      </w:tr>
      <w:tr>
        <w:trPr>
          <w:trHeight w:val="427" w:hRule="atLeast"/>
        </w:trPr>
        <w:tc>
          <w:tcPr>
            <w:tcW w:w="6478" w:type="dxa"/>
            <w:tcBorders>
              <w:bottom w:val="double" w:sz="1" w:space="0" w:color="000000"/>
            </w:tcBorders>
          </w:tcPr>
          <w:p>
            <w:pPr>
              <w:pStyle w:val="TableParagraph"/>
              <w:spacing w:before="76"/>
              <w:ind w:left="101"/>
              <w:jc w:val="left"/>
              <w:rPr>
                <w:sz w:val="22"/>
              </w:rPr>
            </w:pPr>
            <w:r>
              <w:rPr>
                <w:sz w:val="22"/>
              </w:rPr>
              <w:t>Perfluorotridecanoic acid (PFTrDA)</w:t>
            </w:r>
          </w:p>
        </w:tc>
        <w:tc>
          <w:tcPr>
            <w:tcW w:w="1365" w:type="dxa"/>
            <w:tcBorders>
              <w:bottom w:val="double" w:sz="1" w:space="0" w:color="000000"/>
            </w:tcBorders>
          </w:tcPr>
          <w:p>
            <w:pPr>
              <w:pStyle w:val="TableParagraph"/>
              <w:spacing w:before="76"/>
              <w:ind w:right="290"/>
              <w:jc w:val="right"/>
              <w:rPr>
                <w:sz w:val="20"/>
              </w:rPr>
            </w:pPr>
            <w:r>
              <w:rPr>
                <w:w w:val="100"/>
                <w:sz w:val="20"/>
              </w:rPr>
              <w:t>#</w:t>
            </w:r>
          </w:p>
        </w:tc>
        <w:tc>
          <w:tcPr>
            <w:tcW w:w="1526" w:type="dxa"/>
            <w:tcBorders>
              <w:bottom w:val="double" w:sz="1" w:space="0" w:color="000000"/>
            </w:tcBorders>
          </w:tcPr>
          <w:p>
            <w:pPr>
              <w:pStyle w:val="TableParagraph"/>
              <w:spacing w:before="76"/>
              <w:ind w:right="108"/>
              <w:jc w:val="right"/>
              <w:rPr>
                <w:sz w:val="22"/>
              </w:rPr>
            </w:pPr>
            <w:r>
              <w:rPr>
                <w:w w:val="95"/>
                <w:sz w:val="22"/>
              </w:rPr>
              <w:t>72629-94-8</w:t>
            </w:r>
          </w:p>
        </w:tc>
      </w:tr>
    </w:tbl>
    <w:p>
      <w:pPr>
        <w:spacing w:after="0"/>
        <w:jc w:val="right"/>
        <w:rPr>
          <w:sz w:val="22"/>
        </w:rPr>
        <w:sectPr>
          <w:pgSz w:w="12240" w:h="15840"/>
          <w:pgMar w:header="0" w:footer="1134" w:top="1300" w:bottom="1400" w:left="260" w:right="260"/>
        </w:sectPr>
      </w:pPr>
    </w:p>
    <w:tbl>
      <w:tblPr>
        <w:tblW w:w="0" w:type="auto"/>
        <w:jc w:val="left"/>
        <w:tblInd w:w="1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66"/>
        <w:gridCol w:w="938"/>
        <w:gridCol w:w="1464"/>
      </w:tblGrid>
      <w:tr>
        <w:trPr>
          <w:trHeight w:val="411" w:hRule="atLeast"/>
        </w:trPr>
        <w:tc>
          <w:tcPr>
            <w:tcW w:w="6966" w:type="dxa"/>
            <w:tcBorders>
              <w:top w:val="double" w:sz="1" w:space="0" w:color="000000"/>
              <w:bottom w:val="single" w:sz="4" w:space="0" w:color="000000"/>
            </w:tcBorders>
          </w:tcPr>
          <w:p>
            <w:pPr>
              <w:pStyle w:val="TableParagraph"/>
              <w:spacing w:before="60"/>
              <w:ind w:left="101"/>
              <w:jc w:val="left"/>
              <w:rPr>
                <w:sz w:val="22"/>
              </w:rPr>
            </w:pPr>
            <w:r>
              <w:rPr>
                <w:sz w:val="22"/>
                <w:u w:val="single"/>
              </w:rPr>
              <w:t>Analyte</w:t>
            </w:r>
          </w:p>
        </w:tc>
        <w:tc>
          <w:tcPr>
            <w:tcW w:w="938" w:type="dxa"/>
            <w:tcBorders>
              <w:top w:val="double" w:sz="1" w:space="0" w:color="000000"/>
              <w:bottom w:val="single" w:sz="4" w:space="0" w:color="000000"/>
            </w:tcBorders>
          </w:tcPr>
          <w:p>
            <w:pPr>
              <w:pStyle w:val="TableParagraph"/>
              <w:spacing w:before="0"/>
              <w:jc w:val="left"/>
              <w:rPr>
                <w:rFonts w:ascii="Times New Roman"/>
                <w:sz w:val="20"/>
              </w:rPr>
            </w:pPr>
          </w:p>
        </w:tc>
        <w:tc>
          <w:tcPr>
            <w:tcW w:w="1464" w:type="dxa"/>
            <w:tcBorders>
              <w:top w:val="double" w:sz="1" w:space="0" w:color="000000"/>
              <w:bottom w:val="single" w:sz="4" w:space="0" w:color="000000"/>
            </w:tcBorders>
          </w:tcPr>
          <w:p>
            <w:pPr>
              <w:pStyle w:val="TableParagraph"/>
              <w:spacing w:before="60"/>
              <w:ind w:right="106"/>
              <w:jc w:val="right"/>
              <w:rPr>
                <w:sz w:val="22"/>
              </w:rPr>
            </w:pPr>
            <w:r>
              <w:rPr>
                <w:sz w:val="22"/>
              </w:rPr>
              <w:t>CAS RN*</w:t>
            </w:r>
          </w:p>
        </w:tc>
      </w:tr>
      <w:tr>
        <w:trPr>
          <w:trHeight w:val="385" w:hRule="atLeast"/>
        </w:trPr>
        <w:tc>
          <w:tcPr>
            <w:tcW w:w="6966" w:type="dxa"/>
            <w:tcBorders>
              <w:top w:val="single" w:sz="4" w:space="0" w:color="000000"/>
            </w:tcBorders>
          </w:tcPr>
          <w:p>
            <w:pPr>
              <w:pStyle w:val="TableParagraph"/>
              <w:spacing w:before="50"/>
              <w:ind w:left="101"/>
              <w:jc w:val="left"/>
              <w:rPr>
                <w:sz w:val="22"/>
              </w:rPr>
            </w:pPr>
            <w:r>
              <w:rPr>
                <w:sz w:val="22"/>
              </w:rPr>
              <w:t>Perfluorotetradecanoic acid (PFTeDA)</w:t>
            </w:r>
          </w:p>
        </w:tc>
        <w:tc>
          <w:tcPr>
            <w:tcW w:w="938" w:type="dxa"/>
            <w:tcBorders>
              <w:top w:val="single" w:sz="4" w:space="0" w:color="000000"/>
            </w:tcBorders>
          </w:tcPr>
          <w:p>
            <w:pPr>
              <w:pStyle w:val="TableParagraph"/>
              <w:spacing w:before="50"/>
              <w:ind w:right="351"/>
              <w:jc w:val="right"/>
              <w:rPr>
                <w:sz w:val="20"/>
              </w:rPr>
            </w:pPr>
            <w:r>
              <w:rPr>
                <w:w w:val="100"/>
                <w:sz w:val="20"/>
              </w:rPr>
              <w:t>#</w:t>
            </w:r>
          </w:p>
        </w:tc>
        <w:tc>
          <w:tcPr>
            <w:tcW w:w="1464" w:type="dxa"/>
            <w:tcBorders>
              <w:top w:val="single" w:sz="4" w:space="0" w:color="000000"/>
            </w:tcBorders>
          </w:tcPr>
          <w:p>
            <w:pPr>
              <w:pStyle w:val="TableParagraph"/>
              <w:spacing w:before="50"/>
              <w:ind w:right="105"/>
              <w:jc w:val="right"/>
              <w:rPr>
                <w:sz w:val="22"/>
              </w:rPr>
            </w:pPr>
            <w:r>
              <w:rPr>
                <w:w w:val="95"/>
                <w:sz w:val="22"/>
              </w:rPr>
              <w:t>376-06-7</w:t>
            </w:r>
          </w:p>
        </w:tc>
      </w:tr>
      <w:tr>
        <w:trPr>
          <w:trHeight w:val="410" w:hRule="atLeast"/>
        </w:trPr>
        <w:tc>
          <w:tcPr>
            <w:tcW w:w="6966" w:type="dxa"/>
          </w:tcPr>
          <w:p>
            <w:pPr>
              <w:pStyle w:val="TableParagraph"/>
              <w:spacing w:before="75"/>
              <w:ind w:left="101"/>
              <w:jc w:val="left"/>
              <w:rPr>
                <w:sz w:val="22"/>
              </w:rPr>
            </w:pPr>
            <w:r>
              <w:rPr>
                <w:sz w:val="22"/>
                <w:u w:val="single"/>
              </w:rPr>
              <w:t>PFAS sulfonamides and sulfonamidoacetic acids</w:t>
            </w:r>
          </w:p>
        </w:tc>
        <w:tc>
          <w:tcPr>
            <w:tcW w:w="938" w:type="dxa"/>
          </w:tcPr>
          <w:p>
            <w:pPr>
              <w:pStyle w:val="TableParagraph"/>
              <w:spacing w:before="0"/>
              <w:jc w:val="left"/>
              <w:rPr>
                <w:rFonts w:ascii="Times New Roman"/>
                <w:sz w:val="20"/>
              </w:rPr>
            </w:pPr>
          </w:p>
        </w:tc>
        <w:tc>
          <w:tcPr>
            <w:tcW w:w="1464" w:type="dxa"/>
          </w:tcPr>
          <w:p>
            <w:pPr>
              <w:pStyle w:val="TableParagraph"/>
              <w:spacing w:before="0"/>
              <w:jc w:val="left"/>
              <w:rPr>
                <w:rFonts w:ascii="Times New Roman"/>
                <w:sz w:val="20"/>
              </w:rPr>
            </w:pPr>
          </w:p>
        </w:tc>
      </w:tr>
      <w:tr>
        <w:trPr>
          <w:trHeight w:val="410" w:hRule="atLeast"/>
        </w:trPr>
        <w:tc>
          <w:tcPr>
            <w:tcW w:w="6966" w:type="dxa"/>
          </w:tcPr>
          <w:p>
            <w:pPr>
              <w:pStyle w:val="TableParagraph"/>
              <w:spacing w:before="76"/>
              <w:ind w:left="101"/>
              <w:jc w:val="left"/>
              <w:rPr>
                <w:sz w:val="22"/>
              </w:rPr>
            </w:pPr>
            <w:r>
              <w:rPr>
                <w:sz w:val="22"/>
              </w:rPr>
              <w:t>N-ethylperfluoro-1-octanesulfonamidoacetic acid (N-EtFOSAA)</w:t>
            </w:r>
          </w:p>
        </w:tc>
        <w:tc>
          <w:tcPr>
            <w:tcW w:w="938" w:type="dxa"/>
          </w:tcPr>
          <w:p>
            <w:pPr>
              <w:pStyle w:val="TableParagraph"/>
              <w:spacing w:before="76"/>
              <w:ind w:right="351"/>
              <w:jc w:val="right"/>
              <w:rPr>
                <w:sz w:val="20"/>
              </w:rPr>
            </w:pPr>
            <w:r>
              <w:rPr>
                <w:w w:val="100"/>
                <w:sz w:val="20"/>
              </w:rPr>
              <w:t>#</w:t>
            </w:r>
          </w:p>
        </w:tc>
        <w:tc>
          <w:tcPr>
            <w:tcW w:w="1464" w:type="dxa"/>
          </w:tcPr>
          <w:p>
            <w:pPr>
              <w:pStyle w:val="TableParagraph"/>
              <w:spacing w:before="76"/>
              <w:ind w:right="105"/>
              <w:jc w:val="right"/>
              <w:rPr>
                <w:sz w:val="22"/>
              </w:rPr>
            </w:pPr>
            <w:r>
              <w:rPr>
                <w:w w:val="95"/>
                <w:sz w:val="22"/>
              </w:rPr>
              <w:t>2991-50-6</w:t>
            </w:r>
          </w:p>
        </w:tc>
      </w:tr>
      <w:tr>
        <w:trPr>
          <w:trHeight w:val="411" w:hRule="atLeast"/>
        </w:trPr>
        <w:tc>
          <w:tcPr>
            <w:tcW w:w="6966" w:type="dxa"/>
          </w:tcPr>
          <w:p>
            <w:pPr>
              <w:pStyle w:val="TableParagraph"/>
              <w:spacing w:before="76"/>
              <w:ind w:left="101"/>
              <w:jc w:val="left"/>
              <w:rPr>
                <w:sz w:val="22"/>
              </w:rPr>
            </w:pPr>
            <w:r>
              <w:rPr>
                <w:sz w:val="22"/>
              </w:rPr>
              <w:t>N-methylperfluoro-1-octanesulfonamidoacetic acid (N-MeFOSAA)</w:t>
            </w:r>
          </w:p>
        </w:tc>
        <w:tc>
          <w:tcPr>
            <w:tcW w:w="938" w:type="dxa"/>
          </w:tcPr>
          <w:p>
            <w:pPr>
              <w:pStyle w:val="TableParagraph"/>
              <w:spacing w:before="75"/>
              <w:ind w:right="351"/>
              <w:jc w:val="right"/>
              <w:rPr>
                <w:sz w:val="20"/>
              </w:rPr>
            </w:pPr>
            <w:r>
              <w:rPr>
                <w:w w:val="100"/>
                <w:sz w:val="20"/>
              </w:rPr>
              <w:t>#</w:t>
            </w:r>
          </w:p>
        </w:tc>
        <w:tc>
          <w:tcPr>
            <w:tcW w:w="1464" w:type="dxa"/>
          </w:tcPr>
          <w:p>
            <w:pPr>
              <w:pStyle w:val="TableParagraph"/>
              <w:spacing w:before="76"/>
              <w:ind w:right="105"/>
              <w:jc w:val="right"/>
              <w:rPr>
                <w:sz w:val="22"/>
              </w:rPr>
            </w:pPr>
            <w:r>
              <w:rPr>
                <w:w w:val="95"/>
                <w:sz w:val="22"/>
              </w:rPr>
              <w:t>2355-31-9</w:t>
            </w:r>
          </w:p>
        </w:tc>
      </w:tr>
      <w:tr>
        <w:trPr>
          <w:trHeight w:val="426" w:hRule="atLeast"/>
        </w:trPr>
        <w:tc>
          <w:tcPr>
            <w:tcW w:w="6966" w:type="dxa"/>
            <w:tcBorders>
              <w:bottom w:val="double" w:sz="1" w:space="0" w:color="000000"/>
            </w:tcBorders>
          </w:tcPr>
          <w:p>
            <w:pPr>
              <w:pStyle w:val="TableParagraph"/>
              <w:spacing w:before="75"/>
              <w:ind w:left="101"/>
              <w:jc w:val="left"/>
              <w:rPr>
                <w:sz w:val="22"/>
              </w:rPr>
            </w:pPr>
            <w:r>
              <w:rPr>
                <w:sz w:val="22"/>
              </w:rPr>
              <w:t>Perfluoro-1-octanesulfonamide (FOSA)</w:t>
            </w:r>
          </w:p>
        </w:tc>
        <w:tc>
          <w:tcPr>
            <w:tcW w:w="938" w:type="dxa"/>
            <w:tcBorders>
              <w:bottom w:val="double" w:sz="1" w:space="0" w:color="000000"/>
            </w:tcBorders>
          </w:tcPr>
          <w:p>
            <w:pPr>
              <w:pStyle w:val="TableParagraph"/>
              <w:spacing w:before="0"/>
              <w:jc w:val="left"/>
              <w:rPr>
                <w:rFonts w:ascii="Times New Roman"/>
                <w:sz w:val="20"/>
              </w:rPr>
            </w:pPr>
          </w:p>
        </w:tc>
        <w:tc>
          <w:tcPr>
            <w:tcW w:w="1464" w:type="dxa"/>
            <w:tcBorders>
              <w:bottom w:val="double" w:sz="1" w:space="0" w:color="000000"/>
            </w:tcBorders>
          </w:tcPr>
          <w:p>
            <w:pPr>
              <w:pStyle w:val="TableParagraph"/>
              <w:spacing w:before="75"/>
              <w:ind w:right="105"/>
              <w:jc w:val="right"/>
              <w:rPr>
                <w:sz w:val="22"/>
              </w:rPr>
            </w:pPr>
            <w:r>
              <w:rPr>
                <w:w w:val="95"/>
                <w:sz w:val="22"/>
              </w:rPr>
              <w:t>754-91-6</w:t>
            </w:r>
          </w:p>
        </w:tc>
      </w:tr>
    </w:tbl>
    <w:p>
      <w:pPr>
        <w:pStyle w:val="BodyText"/>
        <w:spacing w:line="276" w:lineRule="auto" w:before="9"/>
        <w:ind w:left="1899" w:right="1194" w:firstLine="720"/>
      </w:pPr>
      <w:r>
        <w:rPr/>
        <w:t>*Standards for some target analytes may consist of mixtures of structural isomers; however, the Chemical Abstracts Service (CAS) Registry Number (RN) listed in the table is for the normal-chain isomer. All CAS RNs in the above table are for the acid form. Sulfonic acids in stock standard mixes are typically received as the sodium or potassium salt form. CAS RNs for the salt form are not included.</w:t>
      </w:r>
    </w:p>
    <w:p>
      <w:pPr>
        <w:pStyle w:val="BodyText"/>
        <w:spacing w:before="120"/>
        <w:ind w:left="1900" w:right="1235" w:firstLine="719"/>
      </w:pPr>
      <w:r>
        <w:rPr/>
        <w:t># This analyte exhibits known difficulties with reproducibility, response, recovery, stability, and/or chromatography that may reduce the overall quality or confidence in the result when using this method. This analyte may require special care to ensure analytical performance will meet the needs of the project and, where necessary, may also require the use of appropriate data qualification. See Sec. 1.3 for specific information regarding this</w:t>
      </w:r>
      <w:r>
        <w:rPr>
          <w:spacing w:val="-1"/>
        </w:rPr>
        <w:t> </w:t>
      </w:r>
      <w:r>
        <w:rPr/>
        <w:t>analyte.</w:t>
      </w:r>
    </w:p>
    <w:p>
      <w:pPr>
        <w:pStyle w:val="BodyText"/>
        <w:spacing w:before="9"/>
        <w:rPr>
          <w:sz w:val="35"/>
        </w:rPr>
      </w:pPr>
    </w:p>
    <w:p>
      <w:pPr>
        <w:pStyle w:val="ListParagraph"/>
        <w:numPr>
          <w:ilvl w:val="1"/>
          <w:numId w:val="1"/>
        </w:numPr>
        <w:tabs>
          <w:tab w:pos="2621" w:val="left" w:leader="none"/>
          <w:tab w:pos="2622" w:val="left" w:leader="none"/>
        </w:tabs>
        <w:spacing w:line="276" w:lineRule="auto" w:before="0" w:after="0"/>
        <w:ind w:left="1180" w:right="1297" w:firstLine="720"/>
        <w:jc w:val="left"/>
        <w:rPr>
          <w:sz w:val="22"/>
        </w:rPr>
      </w:pPr>
      <w:r>
        <w:rPr>
          <w:sz w:val="22"/>
        </w:rPr>
        <w:t>Prior to employing this method, analysts are advised to consult the base</w:t>
      </w:r>
      <w:r>
        <w:rPr>
          <w:spacing w:val="-23"/>
          <w:sz w:val="22"/>
        </w:rPr>
        <w:t> </w:t>
      </w:r>
      <w:r>
        <w:rPr>
          <w:sz w:val="22"/>
        </w:rPr>
        <w:t>method for each type of procedure that may be employed in the overall analysis (e.g., Methods 3500, 3600 and 8000) for additional information on QC procedures, development of QC acceptance criteria, calculations, and general guidance. Analysts also should consult the disclaimer statement at the front of the manual and the information in SW-846 Chapter Two for guidance on the intended flexibility in the choice of methods, apparatus, materials, reagents, and supplies; and (ii) the responsibilities of the analyst for demonstrating that the techniques employed are appropriate for the analytes of interest, in the matrix of interest, and at the levels of</w:t>
      </w:r>
      <w:r>
        <w:rPr>
          <w:spacing w:val="-1"/>
          <w:sz w:val="22"/>
        </w:rPr>
        <w:t> </w:t>
      </w:r>
      <w:r>
        <w:rPr>
          <w:sz w:val="22"/>
        </w:rPr>
        <w:t>concern.</w:t>
      </w:r>
    </w:p>
    <w:p>
      <w:pPr>
        <w:pStyle w:val="BodyText"/>
        <w:spacing w:line="276" w:lineRule="auto" w:before="120"/>
        <w:ind w:left="1180" w:right="1201" w:firstLine="720"/>
      </w:pPr>
      <w:r>
        <w:rPr/>
        <w:t>In addition, analysts and data users are advised that, except where explicitly specified in a regulation, the use of SW-846 methods is not mandatory in response to Federal testing requirements. The information contained in this method is provided by the U.S. Environmental Protection Agency (EPA) as guidance to be used by the analyst and the regulated community in making judgments necessary to generate results that meet the data quality objectives (DQOs) for the intended application.</w:t>
      </w:r>
    </w:p>
    <w:p>
      <w:pPr>
        <w:pStyle w:val="BodyText"/>
        <w:spacing w:before="4"/>
        <w:rPr>
          <w:sz w:val="24"/>
        </w:rPr>
      </w:pPr>
    </w:p>
    <w:p>
      <w:pPr>
        <w:pStyle w:val="ListParagraph"/>
        <w:numPr>
          <w:ilvl w:val="1"/>
          <w:numId w:val="1"/>
        </w:numPr>
        <w:tabs>
          <w:tab w:pos="2620" w:val="left" w:leader="none"/>
          <w:tab w:pos="2621" w:val="left" w:leader="none"/>
        </w:tabs>
        <w:spacing w:line="276" w:lineRule="auto" w:before="0" w:after="0"/>
        <w:ind w:left="1180" w:right="1719" w:firstLine="719"/>
        <w:jc w:val="left"/>
        <w:rPr>
          <w:sz w:val="22"/>
        </w:rPr>
      </w:pPr>
      <w:r>
        <w:rPr>
          <w:sz w:val="22"/>
        </w:rPr>
        <w:t>This method is restricted to use by, or under supervision of, appropriately experienced and trained personnel. Each analyst must demonstrate the ability to generate acceptable results with this</w:t>
      </w:r>
      <w:r>
        <w:rPr>
          <w:spacing w:val="-1"/>
          <w:sz w:val="22"/>
        </w:rPr>
        <w:t> </w:t>
      </w:r>
      <w:r>
        <w:rPr>
          <w:sz w:val="22"/>
        </w:rPr>
        <w:t>method.</w:t>
      </w:r>
    </w:p>
    <w:p>
      <w:pPr>
        <w:pStyle w:val="BodyText"/>
        <w:spacing w:before="3"/>
        <w:rPr>
          <w:sz w:val="24"/>
        </w:rPr>
      </w:pPr>
    </w:p>
    <w:p>
      <w:pPr>
        <w:pStyle w:val="ListParagraph"/>
        <w:numPr>
          <w:ilvl w:val="1"/>
          <w:numId w:val="1"/>
        </w:numPr>
        <w:tabs>
          <w:tab w:pos="2621" w:val="left" w:leader="none"/>
          <w:tab w:pos="2622" w:val="left" w:leader="none"/>
        </w:tabs>
        <w:spacing w:line="276" w:lineRule="auto" w:before="0" w:after="0"/>
        <w:ind w:left="1181" w:right="1194" w:firstLine="719"/>
        <w:jc w:val="left"/>
        <w:rPr>
          <w:sz w:val="22"/>
        </w:rPr>
      </w:pPr>
      <w:r>
        <w:rPr>
          <w:sz w:val="22"/>
        </w:rPr>
        <w:t>During method development the following compounds showed a potential for reduced solubility either during standard preparation (resulting in low bias to calibration and</w:t>
      </w:r>
      <w:r>
        <w:rPr>
          <w:spacing w:val="-23"/>
          <w:sz w:val="22"/>
        </w:rPr>
        <w:t> </w:t>
      </w:r>
      <w:r>
        <w:rPr>
          <w:sz w:val="22"/>
        </w:rPr>
        <w:t>high recoveries for samples) or during sample preparation (resulting in low recoveries). Extra care should be taken to ensure that the composition of the stock and intermediate</w:t>
      </w:r>
      <w:r>
        <w:rPr>
          <w:spacing w:val="-12"/>
          <w:sz w:val="22"/>
        </w:rPr>
        <w:t> </w:t>
      </w:r>
      <w:r>
        <w:rPr>
          <w:sz w:val="22"/>
        </w:rPr>
        <w:t>standards</w:t>
      </w:r>
    </w:p>
    <w:p>
      <w:pPr>
        <w:spacing w:after="0" w:line="276" w:lineRule="auto"/>
        <w:jc w:val="left"/>
        <w:rPr>
          <w:sz w:val="22"/>
        </w:rPr>
        <w:sectPr>
          <w:pgSz w:w="12240" w:h="15840"/>
          <w:pgMar w:header="0" w:footer="1134" w:top="1140" w:bottom="1400" w:left="260" w:right="260"/>
        </w:sectPr>
      </w:pPr>
    </w:p>
    <w:p>
      <w:pPr>
        <w:pStyle w:val="BodyText"/>
        <w:spacing w:line="276" w:lineRule="auto" w:before="70"/>
        <w:ind w:left="1180" w:right="1593"/>
      </w:pPr>
      <w:r>
        <w:rPr/>
        <w:t>maintain enough organic cosolvent, ≥ 95%, to keep longer chain PFAS in solution. Sub- sampling a container will also result in a loss of these compounds to the container walls, the extent of which will be container dependent:</w:t>
      </w:r>
    </w:p>
    <w:p>
      <w:pPr>
        <w:pStyle w:val="BodyText"/>
        <w:rPr>
          <w:sz w:val="24"/>
        </w:rPr>
      </w:pPr>
    </w:p>
    <w:p>
      <w:pPr>
        <w:pStyle w:val="BodyText"/>
        <w:spacing w:before="7"/>
        <w:rPr>
          <w:sz w:val="27"/>
        </w:rPr>
      </w:pPr>
    </w:p>
    <w:p>
      <w:pPr>
        <w:pStyle w:val="BodyText"/>
        <w:ind w:left="1900"/>
        <w:jc w:val="both"/>
      </w:pPr>
      <w:r>
        <w:rPr/>
        <w:t>N-ethylperfluoro-1-octanesulfonamidoacetic acid (N-EtFOSAA)</w:t>
      </w:r>
    </w:p>
    <w:p>
      <w:pPr>
        <w:pStyle w:val="BodyText"/>
        <w:spacing w:line="295" w:lineRule="auto" w:before="60"/>
        <w:ind w:left="1900" w:right="3426"/>
        <w:jc w:val="both"/>
      </w:pPr>
      <w:r>
        <w:rPr/>
        <w:t>N-methylperfluoro-1-octanesulfonamidoacetic acid</w:t>
      </w:r>
      <w:r>
        <w:rPr>
          <w:spacing w:val="-17"/>
        </w:rPr>
        <w:t> </w:t>
      </w:r>
      <w:r>
        <w:rPr/>
        <w:t>(N-MeFOSAA) Perfluorotetradecanoic acid</w:t>
      </w:r>
      <w:r>
        <w:rPr>
          <w:spacing w:val="-1"/>
        </w:rPr>
        <w:t> </w:t>
      </w:r>
      <w:r>
        <w:rPr/>
        <w:t>(PFTeDA)</w:t>
      </w:r>
    </w:p>
    <w:p>
      <w:pPr>
        <w:pStyle w:val="BodyText"/>
        <w:spacing w:line="297" w:lineRule="auto" w:before="3"/>
        <w:ind w:left="1900" w:right="6395"/>
        <w:jc w:val="both"/>
      </w:pPr>
      <w:r>
        <w:rPr/>
        <w:t>Perfluorotridecanoic acid (PFTrDA) Perfluorododecanoic acid (PFDoA) Perfluoroundecanoic acid (PFUdA)</w:t>
      </w:r>
    </w:p>
    <w:p>
      <w:pPr>
        <w:pStyle w:val="BodyText"/>
        <w:spacing w:before="1"/>
        <w:rPr>
          <w:sz w:val="27"/>
        </w:rPr>
      </w:pPr>
    </w:p>
    <w:p>
      <w:pPr>
        <w:pStyle w:val="BodyText"/>
        <w:spacing w:line="276" w:lineRule="auto"/>
        <w:ind w:left="1179" w:right="1659" w:hanging="16"/>
      </w:pPr>
      <w:r>
        <w:rPr/>
        <w:t>During the multi-laboratory validation study, the following compounds may be difficult at low concentrations due to due to lack of qualifier transitions and interferences:</w:t>
      </w:r>
    </w:p>
    <w:p>
      <w:pPr>
        <w:pStyle w:val="BodyText"/>
        <w:spacing w:before="8"/>
        <w:rPr>
          <w:sz w:val="35"/>
        </w:rPr>
      </w:pPr>
    </w:p>
    <w:p>
      <w:pPr>
        <w:pStyle w:val="BodyText"/>
        <w:spacing w:line="333" w:lineRule="auto"/>
        <w:ind w:left="1900" w:right="6583" w:hanging="1"/>
      </w:pPr>
      <w:r>
        <w:rPr/>
        <w:t>Perfluorobutanoic acid (PFBA) Perfluoropentanoic acid (PFPeA) Perfluorohexanoic acid (PFHxA)</w:t>
      </w:r>
    </w:p>
    <w:p>
      <w:pPr>
        <w:pStyle w:val="BodyText"/>
        <w:rPr>
          <w:sz w:val="27"/>
        </w:rPr>
      </w:pPr>
    </w:p>
    <w:p>
      <w:pPr>
        <w:pStyle w:val="BodyText"/>
        <w:spacing w:line="276" w:lineRule="auto" w:before="1"/>
        <w:ind w:left="1180" w:right="1205" w:hanging="16"/>
      </w:pPr>
      <w:r>
        <w:rPr/>
        <w:t>During the multi-laboratory validation study, the following compounds had quality control failures at concentrations of 40 ng/L and below due to low response and/or high background:</w:t>
      </w:r>
    </w:p>
    <w:p>
      <w:pPr>
        <w:pStyle w:val="BodyText"/>
        <w:spacing w:before="8"/>
        <w:rPr>
          <w:sz w:val="35"/>
        </w:rPr>
      </w:pPr>
    </w:p>
    <w:p>
      <w:pPr>
        <w:pStyle w:val="BodyText"/>
        <w:ind w:left="1900"/>
      </w:pPr>
      <w:r>
        <w:rPr/>
        <w:t>Perfluorotridecanoic acid (PFTrDA)</w:t>
      </w:r>
    </w:p>
    <w:p>
      <w:pPr>
        <w:pStyle w:val="BodyText"/>
        <w:spacing w:before="99"/>
        <w:ind w:left="1900"/>
      </w:pPr>
      <w:r>
        <w:rPr/>
        <w:t>N-ethylperfluoro-1-octanesulfonamidoacetic acid (N-EtFOSAA)</w:t>
      </w:r>
    </w:p>
    <w:p>
      <w:pPr>
        <w:pStyle w:val="BodyText"/>
        <w:spacing w:line="295" w:lineRule="auto" w:before="60"/>
        <w:ind w:left="1900" w:right="3103"/>
      </w:pPr>
      <w:r>
        <w:rPr/>
        <w:t>N-methylperfluoro-1-octanesulfonamidoacetic acid (N-MeFOSAA) 1H, 1H, 2H, 2H-perfluorodecane sulfonic acid (8:2 FTS)</w:t>
      </w:r>
    </w:p>
    <w:p>
      <w:pPr>
        <w:pStyle w:val="BodyText"/>
        <w:spacing w:before="41"/>
        <w:ind w:left="1900"/>
      </w:pPr>
      <w:r>
        <w:rPr/>
        <w:t>1H, 1H, 2H, 2H-perfluorooctcane sulfonic acid (6:2 FTS)</w:t>
      </w:r>
    </w:p>
    <w:p>
      <w:pPr>
        <w:pStyle w:val="BodyText"/>
        <w:rPr>
          <w:sz w:val="24"/>
        </w:rPr>
      </w:pPr>
    </w:p>
    <w:p>
      <w:pPr>
        <w:pStyle w:val="BodyText"/>
        <w:spacing w:line="276" w:lineRule="auto" w:before="173"/>
        <w:ind w:left="1180" w:right="1228" w:hanging="16"/>
      </w:pPr>
      <w:r>
        <w:rPr/>
        <w:t>During the multi-laboratory validation study, the following had frequent QC failures for calibration, sample preparation QC, high background, and/or analytical enhancement:</w:t>
      </w:r>
    </w:p>
    <w:p>
      <w:pPr>
        <w:pStyle w:val="BodyText"/>
        <w:spacing w:before="8"/>
        <w:rPr>
          <w:sz w:val="35"/>
        </w:rPr>
      </w:pPr>
    </w:p>
    <w:p>
      <w:pPr>
        <w:pStyle w:val="BodyText"/>
        <w:ind w:left="1900"/>
      </w:pPr>
      <w:r>
        <w:rPr/>
        <w:t>1H, 1H, 2H, 2H-perfluorooctane sulfonic acid (6:2 FTS)</w:t>
      </w:r>
    </w:p>
    <w:p>
      <w:pPr>
        <w:pStyle w:val="BodyText"/>
        <w:spacing w:before="99"/>
        <w:ind w:left="1900"/>
      </w:pPr>
      <w:r>
        <w:rPr/>
        <w:t>1H, 1H, 2H, 2H-perfluoro-1-[1,2-</w:t>
      </w:r>
      <w:r>
        <w:rPr>
          <w:position w:val="7"/>
          <w:sz w:val="14"/>
        </w:rPr>
        <w:t>13</w:t>
      </w:r>
      <w:r>
        <w:rPr/>
        <w:t>C</w:t>
      </w:r>
      <w:r>
        <w:rPr>
          <w:vertAlign w:val="subscript"/>
        </w:rPr>
        <w:t>2</w:t>
      </w:r>
      <w:r>
        <w:rPr>
          <w:vertAlign w:val="baseline"/>
        </w:rPr>
        <w:t>] octanesulfonic acid (M2-6:2 FTS)</w:t>
      </w:r>
    </w:p>
    <w:p>
      <w:pPr>
        <w:pStyle w:val="BodyText"/>
        <w:rPr>
          <w:sz w:val="24"/>
        </w:rPr>
      </w:pPr>
    </w:p>
    <w:p>
      <w:pPr>
        <w:pStyle w:val="BodyText"/>
        <w:spacing w:line="276" w:lineRule="auto" w:before="172"/>
        <w:ind w:left="1180" w:right="1399" w:hanging="16"/>
      </w:pPr>
      <w:r>
        <w:rPr/>
        <w:t>For all the # indicated compounds a higher concentration range than the 5 to 200 ng/L used in the multi-laboratory study may be required to achieve data quality objectives.</w:t>
      </w:r>
    </w:p>
    <w:p>
      <w:pPr>
        <w:pStyle w:val="BodyText"/>
        <w:rPr>
          <w:sz w:val="24"/>
        </w:rPr>
      </w:pPr>
    </w:p>
    <w:p>
      <w:pPr>
        <w:pStyle w:val="BodyText"/>
        <w:rPr>
          <w:sz w:val="24"/>
        </w:rPr>
      </w:pPr>
    </w:p>
    <w:p>
      <w:pPr>
        <w:pStyle w:val="ListParagraph"/>
        <w:numPr>
          <w:ilvl w:val="1"/>
          <w:numId w:val="2"/>
        </w:numPr>
        <w:tabs>
          <w:tab w:pos="1900" w:val="left" w:leader="none"/>
          <w:tab w:pos="1901" w:val="left" w:leader="none"/>
        </w:tabs>
        <w:spacing w:line="240" w:lineRule="auto" w:before="160" w:after="0"/>
        <w:ind w:left="1900" w:right="0" w:hanging="721"/>
        <w:jc w:val="left"/>
        <w:rPr>
          <w:sz w:val="22"/>
        </w:rPr>
      </w:pPr>
      <w:bookmarkStart w:name="2.0 SUMMARY OF METHOD" w:id="4"/>
      <w:bookmarkEnd w:id="4"/>
      <w:r>
        <w:rPr/>
      </w:r>
      <w:bookmarkStart w:name="_bookmark1" w:id="5"/>
      <w:bookmarkEnd w:id="5"/>
      <w:r>
        <w:rPr/>
      </w:r>
      <w:bookmarkStart w:name="_bookmark1" w:id="6"/>
      <w:bookmarkEnd w:id="6"/>
      <w:r>
        <w:rPr>
          <w:sz w:val="22"/>
        </w:rPr>
        <w:t>SU</w:t>
      </w:r>
      <w:r>
        <w:rPr>
          <w:sz w:val="22"/>
        </w:rPr>
        <w:t>MMARY OF METHOD</w:t>
      </w:r>
    </w:p>
    <w:p>
      <w:pPr>
        <w:spacing w:after="0" w:line="240" w:lineRule="auto"/>
        <w:jc w:val="left"/>
        <w:rPr>
          <w:sz w:val="22"/>
        </w:rPr>
        <w:sectPr>
          <w:pgSz w:w="12240" w:h="15840"/>
          <w:pgMar w:header="0" w:footer="1134" w:top="1060" w:bottom="1400" w:left="260" w:right="260"/>
        </w:sectPr>
      </w:pPr>
    </w:p>
    <w:p>
      <w:pPr>
        <w:pStyle w:val="ListParagraph"/>
        <w:numPr>
          <w:ilvl w:val="1"/>
          <w:numId w:val="2"/>
        </w:numPr>
        <w:tabs>
          <w:tab w:pos="2620" w:val="left" w:leader="none"/>
          <w:tab w:pos="2621" w:val="left" w:leader="none"/>
          <w:tab w:pos="8589" w:val="left" w:leader="none"/>
        </w:tabs>
        <w:spacing w:line="276" w:lineRule="auto" w:before="70" w:after="0"/>
        <w:ind w:left="1180" w:right="1206" w:firstLine="720"/>
        <w:jc w:val="left"/>
        <w:rPr>
          <w:sz w:val="22"/>
        </w:rPr>
      </w:pPr>
      <w:r>
        <w:rPr>
          <w:sz w:val="22"/>
        </w:rPr>
        <w:t>Samples are prepared using an appropriate sample preparation method (e.g., dilution of water samples using Method 3512 in Appendix B, extraction of solid samples using Method TBD) and, if necessary, an appropriate cleanup</w:t>
      </w:r>
      <w:r>
        <w:rPr>
          <w:spacing w:val="-14"/>
          <w:sz w:val="22"/>
        </w:rPr>
        <w:t> </w:t>
      </w:r>
      <w:r>
        <w:rPr>
          <w:sz w:val="22"/>
        </w:rPr>
        <w:t>procedure</w:t>
      </w:r>
      <w:r>
        <w:rPr>
          <w:spacing w:val="-1"/>
          <w:sz w:val="22"/>
        </w:rPr>
        <w:t> </w:t>
      </w:r>
      <w:r>
        <w:rPr>
          <w:sz w:val="22"/>
        </w:rPr>
        <w:t>(TBD).</w:t>
        <w:tab/>
        <w:t>For Method 3512 water samples are diluted 1:1 with methanol, filtered, and acetic acid (0.1% by volume) is added to adjust pH to ~3 – 4. Acetic acid is added primarily because it improved sensitivity for some target analytes. Solids – TBD. Samples are then analyzed by LC/MS/MS using external standard</w:t>
      </w:r>
      <w:r>
        <w:rPr>
          <w:spacing w:val="-1"/>
          <w:sz w:val="22"/>
        </w:rPr>
        <w:t> </w:t>
      </w:r>
      <w:r>
        <w:rPr>
          <w:sz w:val="22"/>
        </w:rPr>
        <w:t>calibration.</w:t>
      </w:r>
    </w:p>
    <w:p>
      <w:pPr>
        <w:pStyle w:val="ListParagraph"/>
        <w:numPr>
          <w:ilvl w:val="1"/>
          <w:numId w:val="2"/>
        </w:numPr>
        <w:tabs>
          <w:tab w:pos="2620" w:val="left" w:leader="none"/>
          <w:tab w:pos="2621" w:val="left" w:leader="none"/>
        </w:tabs>
        <w:spacing w:line="276" w:lineRule="auto" w:before="121" w:after="0"/>
        <w:ind w:left="1179" w:right="1491" w:firstLine="720"/>
        <w:jc w:val="left"/>
        <w:rPr>
          <w:sz w:val="22"/>
        </w:rPr>
      </w:pPr>
      <w:r>
        <w:rPr>
          <w:sz w:val="22"/>
        </w:rPr>
        <w:t>Target compounds are identified by comparing multiple reaction monitoring (MRM) transitions in the sample to MRM transitions in the standards (Table 3). The</w:t>
      </w:r>
      <w:r>
        <w:rPr>
          <w:spacing w:val="-27"/>
          <w:sz w:val="22"/>
        </w:rPr>
        <w:t> </w:t>
      </w:r>
      <w:r>
        <w:rPr>
          <w:sz w:val="22"/>
        </w:rPr>
        <w:t>retention time (RT) and qualifier ion ratio (if available) are compared to a mid-level standard to support qualitative identification. Target compounds are quantitated based on the response of their quantifier MRM transitions utilizing external standard</w:t>
      </w:r>
      <w:r>
        <w:rPr>
          <w:spacing w:val="-4"/>
          <w:sz w:val="22"/>
        </w:rPr>
        <w:t> </w:t>
      </w:r>
      <w:r>
        <w:rPr>
          <w:sz w:val="22"/>
        </w:rPr>
        <w:t>calibration.</w:t>
      </w:r>
    </w:p>
    <w:p>
      <w:pPr>
        <w:pStyle w:val="BodyText"/>
        <w:spacing w:before="3"/>
        <w:rPr>
          <w:sz w:val="31"/>
        </w:rPr>
      </w:pPr>
    </w:p>
    <w:p>
      <w:pPr>
        <w:pStyle w:val="BodyText"/>
        <w:tabs>
          <w:tab w:pos="1899" w:val="left" w:leader="none"/>
        </w:tabs>
        <w:ind w:left="1180"/>
      </w:pPr>
      <w:bookmarkStart w:name="3.0 DEFINITIONS" w:id="7"/>
      <w:bookmarkEnd w:id="7"/>
      <w:r>
        <w:rPr/>
      </w:r>
      <w:bookmarkStart w:name="_bookmark2" w:id="8"/>
      <w:bookmarkEnd w:id="8"/>
      <w:r>
        <w:rPr/>
      </w:r>
      <w:r>
        <w:rPr/>
        <w:t>3.0</w:t>
        <w:tab/>
        <w:t>DEFINITIONS</w:t>
      </w:r>
    </w:p>
    <w:p>
      <w:pPr>
        <w:pStyle w:val="BodyText"/>
        <w:spacing w:before="1"/>
        <w:rPr>
          <w:sz w:val="24"/>
        </w:rPr>
      </w:pPr>
    </w:p>
    <w:p>
      <w:pPr>
        <w:pStyle w:val="BodyText"/>
        <w:spacing w:line="276" w:lineRule="auto"/>
        <w:ind w:left="1180" w:right="1565" w:firstLine="719"/>
      </w:pPr>
      <w:r>
        <w:rPr/>
        <w:t>Refer to SW-846 Chapter One and the manufacturer's instructions for definitions that may be relevant to this procedure. See Glossary (Appendix A) for relevant terms and acronyms.</w:t>
      </w:r>
    </w:p>
    <w:p>
      <w:pPr>
        <w:pStyle w:val="BodyText"/>
        <w:spacing w:before="3"/>
        <w:rPr>
          <w:sz w:val="31"/>
        </w:rPr>
      </w:pPr>
    </w:p>
    <w:p>
      <w:pPr>
        <w:pStyle w:val="ListParagraph"/>
        <w:numPr>
          <w:ilvl w:val="1"/>
          <w:numId w:val="3"/>
        </w:numPr>
        <w:tabs>
          <w:tab w:pos="1900" w:val="left" w:leader="none"/>
          <w:tab w:pos="1901" w:val="left" w:leader="none"/>
        </w:tabs>
        <w:spacing w:line="240" w:lineRule="auto" w:before="1" w:after="0"/>
        <w:ind w:left="1900" w:right="0" w:hanging="721"/>
        <w:jc w:val="left"/>
        <w:rPr>
          <w:sz w:val="22"/>
        </w:rPr>
      </w:pPr>
      <w:bookmarkStart w:name="4.0 INTERFERENCES" w:id="9"/>
      <w:bookmarkEnd w:id="9"/>
      <w:r>
        <w:rPr/>
      </w:r>
      <w:bookmarkStart w:name="_bookmark3" w:id="10"/>
      <w:bookmarkEnd w:id="10"/>
      <w:r>
        <w:rPr/>
      </w:r>
      <w:bookmarkStart w:name="_bookmark3" w:id="11"/>
      <w:bookmarkEnd w:id="11"/>
      <w:r>
        <w:rPr>
          <w:sz w:val="22"/>
        </w:rPr>
        <w:t>I</w:t>
      </w:r>
      <w:r>
        <w:rPr>
          <w:sz w:val="22"/>
        </w:rPr>
        <w:t>NTERFERENCES</w:t>
      </w:r>
    </w:p>
    <w:p>
      <w:pPr>
        <w:pStyle w:val="BodyText"/>
        <w:spacing w:before="2"/>
        <w:rPr>
          <w:sz w:val="24"/>
        </w:rPr>
      </w:pPr>
    </w:p>
    <w:p>
      <w:pPr>
        <w:pStyle w:val="ListParagraph"/>
        <w:numPr>
          <w:ilvl w:val="1"/>
          <w:numId w:val="3"/>
        </w:numPr>
        <w:tabs>
          <w:tab w:pos="2620" w:val="left" w:leader="none"/>
          <w:tab w:pos="2621" w:val="left" w:leader="none"/>
        </w:tabs>
        <w:spacing w:line="276" w:lineRule="auto" w:before="0" w:after="0"/>
        <w:ind w:left="1180" w:right="1222" w:firstLine="719"/>
        <w:jc w:val="left"/>
        <w:rPr>
          <w:sz w:val="22"/>
        </w:rPr>
      </w:pPr>
      <w:r>
        <w:rPr>
          <w:sz w:val="22"/>
        </w:rPr>
        <w:t>In order to avoid compromising data quality, contamination of the analytical system by PFAS from the laboratory must be reduced to the lowest practical level. Method blanks (MBs) and reagent blanks (RBs) are prepared and analyzed with all samples and are used to demonstrate that laboratory supplies and preparation and analysis steps do not introduce interferences or PFAS artifacts at levels that would bias quantitation, especially near the lower limit of quantitation (LLOQ), or prevent the proper identification and integration of target analytes. Careful selection of reagents and consumables is necessary because even</w:t>
      </w:r>
      <w:r>
        <w:rPr>
          <w:spacing w:val="-27"/>
          <w:sz w:val="22"/>
        </w:rPr>
        <w:t> </w:t>
      </w:r>
      <w:r>
        <w:rPr>
          <w:sz w:val="22"/>
        </w:rPr>
        <w:t>low levels of PFAS contamination may alter the precision and bias of the method as background introduced by these materials (and variability thereof) is cumulative. See Sec. 9.5 for MB and RB criteria. Refer to each method to be used for specific guidance on QC procedures and to SW-846 Chapter Four for general guidance on glassware</w:t>
      </w:r>
      <w:r>
        <w:rPr>
          <w:spacing w:val="-4"/>
          <w:sz w:val="22"/>
        </w:rPr>
        <w:t> </w:t>
      </w:r>
      <w:r>
        <w:rPr>
          <w:sz w:val="22"/>
        </w:rPr>
        <w:t>cleaning.</w:t>
      </w:r>
    </w:p>
    <w:p>
      <w:pPr>
        <w:pStyle w:val="ListParagraph"/>
        <w:numPr>
          <w:ilvl w:val="1"/>
          <w:numId w:val="3"/>
        </w:numPr>
        <w:tabs>
          <w:tab w:pos="2620" w:val="left" w:leader="none"/>
          <w:tab w:pos="2621" w:val="left" w:leader="none"/>
        </w:tabs>
        <w:spacing w:line="276" w:lineRule="auto" w:before="120" w:after="0"/>
        <w:ind w:left="1180" w:right="1455" w:firstLine="720"/>
        <w:jc w:val="left"/>
        <w:rPr>
          <w:sz w:val="22"/>
        </w:rPr>
      </w:pPr>
      <w:r>
        <w:rPr>
          <w:sz w:val="22"/>
        </w:rPr>
        <w:t>Refer to Methods 3500, 3600 and 8000 for discussions of interferences.</w:t>
      </w:r>
      <w:r>
        <w:rPr>
          <w:spacing w:val="-21"/>
          <w:sz w:val="22"/>
        </w:rPr>
        <w:t> </w:t>
      </w:r>
      <w:r>
        <w:rPr>
          <w:sz w:val="22"/>
        </w:rPr>
        <w:t>Matrix interferences can be caused by contaminants from the sample, sampling devices, or storage containers. The extent of matrix interferences will vary considerably from sample source to sample source, depending upon variations of the sample</w:t>
      </w:r>
      <w:r>
        <w:rPr>
          <w:spacing w:val="-4"/>
          <w:sz w:val="22"/>
        </w:rPr>
        <w:t> </w:t>
      </w:r>
      <w:r>
        <w:rPr>
          <w:sz w:val="22"/>
        </w:rPr>
        <w:t>matrix.</w:t>
      </w:r>
    </w:p>
    <w:p>
      <w:pPr>
        <w:pStyle w:val="ListParagraph"/>
        <w:numPr>
          <w:ilvl w:val="1"/>
          <w:numId w:val="3"/>
        </w:numPr>
        <w:tabs>
          <w:tab w:pos="2620" w:val="left" w:leader="none"/>
          <w:tab w:pos="2621" w:val="left" w:leader="none"/>
        </w:tabs>
        <w:spacing w:line="276" w:lineRule="auto" w:before="120" w:after="0"/>
        <w:ind w:left="1180" w:right="1602" w:firstLine="719"/>
        <w:jc w:val="left"/>
        <w:rPr>
          <w:sz w:val="22"/>
        </w:rPr>
      </w:pPr>
      <w:r>
        <w:rPr>
          <w:sz w:val="22"/>
        </w:rPr>
        <w:t>The following are procedures employed to prevent or minimize problems with measurement precision and</w:t>
      </w:r>
      <w:r>
        <w:rPr>
          <w:spacing w:val="-2"/>
          <w:sz w:val="22"/>
        </w:rPr>
        <w:t> </w:t>
      </w:r>
      <w:r>
        <w:rPr>
          <w:sz w:val="22"/>
        </w:rPr>
        <w:t>bias.</w:t>
      </w:r>
    </w:p>
    <w:p>
      <w:pPr>
        <w:pStyle w:val="ListParagraph"/>
        <w:numPr>
          <w:ilvl w:val="2"/>
          <w:numId w:val="3"/>
        </w:numPr>
        <w:tabs>
          <w:tab w:pos="3340" w:val="left" w:leader="none"/>
          <w:tab w:pos="3341" w:val="left" w:leader="none"/>
        </w:tabs>
        <w:spacing w:line="276" w:lineRule="auto" w:before="119" w:after="0"/>
        <w:ind w:left="1900" w:right="1397" w:firstLine="719"/>
        <w:jc w:val="left"/>
        <w:rPr>
          <w:sz w:val="22"/>
        </w:rPr>
      </w:pPr>
      <w:r>
        <w:rPr>
          <w:sz w:val="22"/>
        </w:rPr>
        <w:t>All solvents should be of pesticide residue purity or higher (or</w:t>
      </w:r>
      <w:r>
        <w:rPr>
          <w:spacing w:val="-20"/>
          <w:sz w:val="22"/>
        </w:rPr>
        <w:t> </w:t>
      </w:r>
      <w:r>
        <w:rPr>
          <w:sz w:val="22"/>
        </w:rPr>
        <w:t>preferably LC/MS grade) to minimize interference</w:t>
      </w:r>
      <w:r>
        <w:rPr>
          <w:spacing w:val="-2"/>
          <w:sz w:val="22"/>
        </w:rPr>
        <w:t> </w:t>
      </w:r>
      <w:r>
        <w:rPr>
          <w:sz w:val="22"/>
        </w:rPr>
        <w:t>problems.</w:t>
      </w:r>
    </w:p>
    <w:p>
      <w:pPr>
        <w:pStyle w:val="ListParagraph"/>
        <w:numPr>
          <w:ilvl w:val="2"/>
          <w:numId w:val="3"/>
        </w:numPr>
        <w:tabs>
          <w:tab w:pos="3340" w:val="left" w:leader="none"/>
          <w:tab w:pos="3341" w:val="left" w:leader="none"/>
          <w:tab w:pos="9460" w:val="left" w:leader="none"/>
        </w:tabs>
        <w:spacing w:line="276" w:lineRule="auto" w:before="120" w:after="0"/>
        <w:ind w:left="1900" w:right="1504" w:firstLine="719"/>
        <w:jc w:val="left"/>
        <w:rPr>
          <w:sz w:val="22"/>
        </w:rPr>
      </w:pPr>
      <w:r>
        <w:rPr>
          <w:sz w:val="22"/>
        </w:rPr>
        <w:t>PFAS contamination has been found in reagents, glassware, tubing, polytetrafluoroethylene (PTFE) LC vial caps, aluminum foil, glass disposable</w:t>
      </w:r>
      <w:r>
        <w:rPr>
          <w:spacing w:val="-25"/>
          <w:sz w:val="22"/>
        </w:rPr>
        <w:t> </w:t>
      </w:r>
      <w:r>
        <w:rPr>
          <w:sz w:val="22"/>
        </w:rPr>
        <w:t>pipettes, filters, degassers, and other apparatus that release</w:t>
      </w:r>
      <w:r>
        <w:rPr>
          <w:spacing w:val="-13"/>
          <w:sz w:val="22"/>
        </w:rPr>
        <w:t> </w:t>
      </w:r>
      <w:r>
        <w:rPr>
          <w:sz w:val="22"/>
        </w:rPr>
        <w:t>fluorinated</w:t>
      </w:r>
      <w:r>
        <w:rPr>
          <w:spacing w:val="-1"/>
          <w:sz w:val="22"/>
        </w:rPr>
        <w:t> </w:t>
      </w:r>
      <w:r>
        <w:rPr>
          <w:sz w:val="22"/>
        </w:rPr>
        <w:t>compounds.</w:t>
        <w:tab/>
        <w:t>All</w:t>
      </w:r>
    </w:p>
    <w:p>
      <w:pPr>
        <w:spacing w:after="0" w:line="276" w:lineRule="auto"/>
        <w:jc w:val="left"/>
        <w:rPr>
          <w:sz w:val="22"/>
        </w:rPr>
        <w:sectPr>
          <w:pgSz w:w="12240" w:h="15840"/>
          <w:pgMar w:header="0" w:footer="1134" w:top="1060" w:bottom="1400" w:left="260" w:right="260"/>
        </w:sectPr>
      </w:pPr>
    </w:p>
    <w:p>
      <w:pPr>
        <w:pStyle w:val="BodyText"/>
        <w:spacing w:line="276" w:lineRule="auto" w:before="70"/>
        <w:ind w:left="1900" w:right="1222"/>
      </w:pPr>
      <w:r>
        <w:rPr/>
        <w:t>supplies and reagents should be verified prior to use. If found, measures should be taken to remove the contamination, if possible, or find other suppliers or materials to use that meet method or project criteria.</w:t>
      </w:r>
    </w:p>
    <w:p>
      <w:pPr>
        <w:pStyle w:val="ListParagraph"/>
        <w:numPr>
          <w:ilvl w:val="2"/>
          <w:numId w:val="3"/>
        </w:numPr>
        <w:tabs>
          <w:tab w:pos="3340" w:val="left" w:leader="none"/>
          <w:tab w:pos="3341" w:val="left" w:leader="none"/>
        </w:tabs>
        <w:spacing w:line="276" w:lineRule="auto" w:before="121" w:after="0"/>
        <w:ind w:left="1900" w:right="1297" w:firstLine="720"/>
        <w:jc w:val="left"/>
        <w:rPr>
          <w:sz w:val="22"/>
        </w:rPr>
      </w:pPr>
      <w:r>
        <w:rPr>
          <w:sz w:val="22"/>
        </w:rPr>
        <w:t>The LC system used should have components replaced, where possible, with materials known to not contain PFAS target analytes of</w:t>
      </w:r>
      <w:r>
        <w:rPr>
          <w:spacing w:val="-6"/>
          <w:sz w:val="22"/>
        </w:rPr>
        <w:t> </w:t>
      </w:r>
      <w:r>
        <w:rPr>
          <w:sz w:val="22"/>
        </w:rPr>
        <w:t>interest.</w:t>
      </w:r>
    </w:p>
    <w:p>
      <w:pPr>
        <w:pStyle w:val="ListParagraph"/>
        <w:numPr>
          <w:ilvl w:val="2"/>
          <w:numId w:val="3"/>
        </w:numPr>
        <w:tabs>
          <w:tab w:pos="3340" w:val="left" w:leader="none"/>
          <w:tab w:pos="3341" w:val="left" w:leader="none"/>
        </w:tabs>
        <w:spacing w:line="276" w:lineRule="auto" w:before="120" w:after="0"/>
        <w:ind w:left="1900" w:right="1306" w:firstLine="719"/>
        <w:jc w:val="left"/>
        <w:rPr>
          <w:sz w:val="22"/>
        </w:rPr>
      </w:pPr>
      <w:r>
        <w:rPr>
          <w:sz w:val="22"/>
        </w:rPr>
        <w:t>During method development, loss of some PFAS target analytes was observed during storage of standard solutions in 50:50 methanol-water containing</w:t>
      </w:r>
      <w:r>
        <w:rPr>
          <w:spacing w:val="-20"/>
          <w:sz w:val="22"/>
        </w:rPr>
        <w:t> </w:t>
      </w:r>
      <w:r>
        <w:rPr>
          <w:sz w:val="22"/>
        </w:rPr>
        <w:t>0.1% acetic acid in glass containers. Plastic containers (polypropylene or high density polyethylene [HDPE]) are recommended to be used for preparation and storage of samples and standards. Glass autosampler vials have been successfully used for analysis of standards and samples in addition to plastic</w:t>
      </w:r>
      <w:r>
        <w:rPr>
          <w:spacing w:val="-6"/>
          <w:sz w:val="22"/>
        </w:rPr>
        <w:t> </w:t>
      </w:r>
      <w:r>
        <w:rPr>
          <w:sz w:val="22"/>
        </w:rPr>
        <w:t>containers.</w:t>
      </w:r>
    </w:p>
    <w:p>
      <w:pPr>
        <w:pStyle w:val="ListParagraph"/>
        <w:numPr>
          <w:ilvl w:val="2"/>
          <w:numId w:val="3"/>
        </w:numPr>
        <w:tabs>
          <w:tab w:pos="3340" w:val="left" w:leader="none"/>
          <w:tab w:pos="3342" w:val="left" w:leader="none"/>
        </w:tabs>
        <w:spacing w:line="276" w:lineRule="auto" w:before="119" w:after="0"/>
        <w:ind w:left="1901" w:right="1275" w:firstLine="719"/>
        <w:jc w:val="left"/>
        <w:rPr>
          <w:sz w:val="22"/>
        </w:rPr>
      </w:pPr>
      <w:r>
        <w:rPr>
          <w:sz w:val="22"/>
        </w:rPr>
        <w:t>Polyethylene LC vial caps are recommended. Alternate materials may</w:t>
      </w:r>
      <w:r>
        <w:rPr>
          <w:spacing w:val="-22"/>
          <w:sz w:val="22"/>
        </w:rPr>
        <w:t> </w:t>
      </w:r>
      <w:r>
        <w:rPr>
          <w:sz w:val="22"/>
        </w:rPr>
        <w:t>be used if the blank criteria in Sec. 9.5 are met. PTFE lined caps should not be</w:t>
      </w:r>
      <w:r>
        <w:rPr>
          <w:spacing w:val="-16"/>
          <w:sz w:val="22"/>
        </w:rPr>
        <w:t> </w:t>
      </w:r>
      <w:r>
        <w:rPr>
          <w:sz w:val="22"/>
        </w:rPr>
        <w:t>used.</w:t>
      </w:r>
    </w:p>
    <w:p>
      <w:pPr>
        <w:pStyle w:val="ListParagraph"/>
        <w:numPr>
          <w:ilvl w:val="2"/>
          <w:numId w:val="3"/>
        </w:numPr>
        <w:tabs>
          <w:tab w:pos="3341" w:val="left" w:leader="none"/>
          <w:tab w:pos="3342" w:val="left" w:leader="none"/>
        </w:tabs>
        <w:spacing w:line="276" w:lineRule="auto" w:before="120" w:after="0"/>
        <w:ind w:left="1901" w:right="1371" w:firstLine="719"/>
        <w:jc w:val="left"/>
        <w:rPr>
          <w:sz w:val="22"/>
        </w:rPr>
      </w:pPr>
      <w:r>
        <w:rPr>
          <w:sz w:val="22"/>
        </w:rPr>
        <w:t>Polyethylene disposable pipettes are recommended. Alternate</w:t>
      </w:r>
      <w:r>
        <w:rPr>
          <w:spacing w:val="-20"/>
          <w:sz w:val="22"/>
        </w:rPr>
        <w:t> </w:t>
      </w:r>
      <w:r>
        <w:rPr>
          <w:sz w:val="22"/>
        </w:rPr>
        <w:t>materials may be used if the blank criteria in Sec. 9.5 are met. When a new batch of disposable pipettes is received, at least one should be checked for release of target analytes or interferences.</w:t>
      </w:r>
    </w:p>
    <w:p>
      <w:pPr>
        <w:pStyle w:val="ListParagraph"/>
        <w:numPr>
          <w:ilvl w:val="2"/>
          <w:numId w:val="3"/>
        </w:numPr>
        <w:tabs>
          <w:tab w:pos="3341" w:val="left" w:leader="none"/>
          <w:tab w:pos="3342" w:val="left" w:leader="none"/>
        </w:tabs>
        <w:spacing w:line="276" w:lineRule="auto" w:before="120" w:after="0"/>
        <w:ind w:left="1902" w:right="1183" w:firstLine="719"/>
        <w:jc w:val="left"/>
        <w:rPr>
          <w:sz w:val="22"/>
        </w:rPr>
      </w:pPr>
      <w:r>
        <w:rPr>
          <w:sz w:val="22"/>
        </w:rPr>
        <w:t>Degassers are important to continuous LC operation and are most commonly made of fluorinated polymers. To enable use, an isolator column should be placed after the pump mixer and before the sample injection valve to prevent contamination. The isolator column delays the contaminants to the analytical column</w:t>
      </w:r>
      <w:r>
        <w:rPr>
          <w:spacing w:val="-24"/>
          <w:sz w:val="22"/>
        </w:rPr>
        <w:t> </w:t>
      </w:r>
      <w:r>
        <w:rPr>
          <w:sz w:val="22"/>
        </w:rPr>
        <w:t>and must be located in the gradient</w:t>
      </w:r>
      <w:r>
        <w:rPr>
          <w:spacing w:val="-1"/>
          <w:sz w:val="22"/>
        </w:rPr>
        <w:t> </w:t>
      </w:r>
      <w:r>
        <w:rPr>
          <w:sz w:val="22"/>
        </w:rPr>
        <w:t>flowpath.</w:t>
      </w:r>
    </w:p>
    <w:p>
      <w:pPr>
        <w:pStyle w:val="ListParagraph"/>
        <w:numPr>
          <w:ilvl w:val="2"/>
          <w:numId w:val="3"/>
        </w:numPr>
        <w:tabs>
          <w:tab w:pos="3341" w:val="left" w:leader="none"/>
          <w:tab w:pos="3342" w:val="left" w:leader="none"/>
        </w:tabs>
        <w:spacing w:line="276" w:lineRule="auto" w:before="120" w:after="0"/>
        <w:ind w:left="1902" w:right="1207" w:firstLine="719"/>
        <w:jc w:val="left"/>
        <w:rPr>
          <w:sz w:val="22"/>
        </w:rPr>
      </w:pPr>
      <w:r>
        <w:rPr>
          <w:sz w:val="22"/>
        </w:rPr>
        <w:t>If labware is re-used, the procedure described for labware cleaning (Sec. 6.2.4) should be followed to minimize risk of contamination. The blank criteria in Sec. 9.5 can be used as a guideline for evaluating</w:t>
      </w:r>
      <w:r>
        <w:rPr>
          <w:spacing w:val="-3"/>
          <w:sz w:val="22"/>
        </w:rPr>
        <w:t> </w:t>
      </w:r>
      <w:r>
        <w:rPr>
          <w:sz w:val="22"/>
        </w:rPr>
        <w:t>cleanliness.</w:t>
      </w:r>
    </w:p>
    <w:p>
      <w:pPr>
        <w:pStyle w:val="ListParagraph"/>
        <w:numPr>
          <w:ilvl w:val="1"/>
          <w:numId w:val="3"/>
        </w:numPr>
        <w:tabs>
          <w:tab w:pos="2621" w:val="left" w:leader="none"/>
          <w:tab w:pos="2623" w:val="left" w:leader="none"/>
        </w:tabs>
        <w:spacing w:line="276" w:lineRule="auto" w:before="120" w:after="0"/>
        <w:ind w:left="1182" w:right="1219" w:firstLine="719"/>
        <w:jc w:val="left"/>
        <w:rPr>
          <w:sz w:val="22"/>
        </w:rPr>
      </w:pPr>
      <w:r>
        <w:rPr>
          <w:sz w:val="22"/>
        </w:rPr>
        <w:t>Where measured analyte concentrations are suspected of being high-bias and/or false positive results due to contamination, the laboratory should inform the data user of any suspected data quality</w:t>
      </w:r>
      <w:r>
        <w:rPr>
          <w:spacing w:val="-2"/>
          <w:sz w:val="22"/>
        </w:rPr>
        <w:t> </w:t>
      </w:r>
      <w:r>
        <w:rPr>
          <w:sz w:val="22"/>
        </w:rPr>
        <w:t>issues.</w:t>
      </w:r>
    </w:p>
    <w:p>
      <w:pPr>
        <w:pStyle w:val="BodyText"/>
        <w:spacing w:before="4"/>
        <w:rPr>
          <w:sz w:val="31"/>
        </w:rPr>
      </w:pPr>
    </w:p>
    <w:p>
      <w:pPr>
        <w:pStyle w:val="ListParagraph"/>
        <w:numPr>
          <w:ilvl w:val="1"/>
          <w:numId w:val="4"/>
        </w:numPr>
        <w:tabs>
          <w:tab w:pos="1902" w:val="left" w:leader="none"/>
          <w:tab w:pos="1903" w:val="left" w:leader="none"/>
        </w:tabs>
        <w:spacing w:line="240" w:lineRule="auto" w:before="0" w:after="0"/>
        <w:ind w:left="1902" w:right="0" w:hanging="721"/>
        <w:jc w:val="left"/>
        <w:rPr>
          <w:sz w:val="22"/>
        </w:rPr>
      </w:pPr>
      <w:bookmarkStart w:name="5.0 SAFETY" w:id="12"/>
      <w:bookmarkEnd w:id="12"/>
      <w:r>
        <w:rPr/>
      </w:r>
      <w:bookmarkStart w:name="_bookmark4" w:id="13"/>
      <w:bookmarkEnd w:id="13"/>
      <w:r>
        <w:rPr/>
      </w:r>
      <w:bookmarkStart w:name="_bookmark4" w:id="14"/>
      <w:bookmarkEnd w:id="14"/>
      <w:r>
        <w:rPr>
          <w:sz w:val="22"/>
        </w:rPr>
        <w:t>SAFETY</w:t>
      </w:r>
    </w:p>
    <w:p>
      <w:pPr>
        <w:pStyle w:val="BodyText"/>
        <w:spacing w:before="1"/>
        <w:rPr>
          <w:sz w:val="24"/>
        </w:rPr>
      </w:pPr>
    </w:p>
    <w:p>
      <w:pPr>
        <w:pStyle w:val="ListParagraph"/>
        <w:numPr>
          <w:ilvl w:val="1"/>
          <w:numId w:val="4"/>
        </w:numPr>
        <w:tabs>
          <w:tab w:pos="2622" w:val="left" w:leader="none"/>
          <w:tab w:pos="2623" w:val="left" w:leader="none"/>
        </w:tabs>
        <w:spacing w:line="276" w:lineRule="auto" w:before="0" w:after="0"/>
        <w:ind w:left="1182" w:right="1365" w:firstLine="719"/>
        <w:jc w:val="left"/>
        <w:rPr>
          <w:sz w:val="22"/>
        </w:rPr>
      </w:pPr>
      <w:r>
        <w:rPr>
          <w:sz w:val="22"/>
        </w:rPr>
        <w:t>This method does not address all safety issues associated with its use. The laboratory is responsible for maintaining a safe work environment and a current awareness</w:t>
      </w:r>
      <w:r>
        <w:rPr>
          <w:spacing w:val="-24"/>
          <w:sz w:val="22"/>
        </w:rPr>
        <w:t> </w:t>
      </w:r>
      <w:r>
        <w:rPr>
          <w:sz w:val="22"/>
        </w:rPr>
        <w:t>file of U.S. Occupational Safety and Health Administration (OSHA) regulations regarding the safe handling of the chemicals specified in this method. A reference file of safety data sheets (SDSs) must be available to all personnel involved in these</w:t>
      </w:r>
      <w:r>
        <w:rPr>
          <w:spacing w:val="-5"/>
          <w:sz w:val="22"/>
        </w:rPr>
        <w:t> </w:t>
      </w:r>
      <w:r>
        <w:rPr>
          <w:sz w:val="22"/>
        </w:rPr>
        <w:t>analyses.</w:t>
      </w:r>
    </w:p>
    <w:p>
      <w:pPr>
        <w:pStyle w:val="ListParagraph"/>
        <w:numPr>
          <w:ilvl w:val="1"/>
          <w:numId w:val="4"/>
        </w:numPr>
        <w:tabs>
          <w:tab w:pos="2623" w:val="left" w:leader="none"/>
          <w:tab w:pos="2624" w:val="left" w:leader="none"/>
        </w:tabs>
        <w:spacing w:line="240" w:lineRule="auto" w:before="120" w:after="0"/>
        <w:ind w:left="2623" w:right="0" w:hanging="721"/>
        <w:jc w:val="left"/>
        <w:rPr>
          <w:sz w:val="22"/>
        </w:rPr>
      </w:pPr>
      <w:r>
        <w:rPr>
          <w:sz w:val="22"/>
        </w:rPr>
        <w:t>Users of this method should operate a formal safety</w:t>
      </w:r>
      <w:r>
        <w:rPr>
          <w:spacing w:val="-5"/>
          <w:sz w:val="22"/>
        </w:rPr>
        <w:t> </w:t>
      </w:r>
      <w:r>
        <w:rPr>
          <w:sz w:val="22"/>
        </w:rPr>
        <w:t>program.</w:t>
      </w:r>
    </w:p>
    <w:p>
      <w:pPr>
        <w:pStyle w:val="ListParagraph"/>
        <w:numPr>
          <w:ilvl w:val="1"/>
          <w:numId w:val="4"/>
        </w:numPr>
        <w:tabs>
          <w:tab w:pos="2623" w:val="left" w:leader="none"/>
          <w:tab w:pos="2624" w:val="left" w:leader="none"/>
        </w:tabs>
        <w:spacing w:line="276" w:lineRule="auto" w:before="158" w:after="0"/>
        <w:ind w:left="1183" w:right="1206" w:firstLine="719"/>
        <w:jc w:val="left"/>
        <w:rPr>
          <w:sz w:val="22"/>
        </w:rPr>
      </w:pPr>
      <w:r>
        <w:rPr>
          <w:sz w:val="22"/>
        </w:rPr>
        <w:t>The toxicity and carcinogenicity of each reagent used in this method has not been precisely defined; however, each chemical compound is treated as a health hazard. Exposure to these chemicals should be reduced to the lowest possible level and the</w:t>
      </w:r>
      <w:r>
        <w:rPr>
          <w:spacing w:val="-27"/>
          <w:sz w:val="22"/>
        </w:rPr>
        <w:t> </w:t>
      </w:r>
      <w:r>
        <w:rPr>
          <w:sz w:val="22"/>
        </w:rPr>
        <w:t>appropriate personal protective equipment (PPE) should be utilized. Review SDSs for specific physical and health hazards including appropriate PPE to be used. SDSs can be accessed at</w:t>
      </w:r>
      <w:r>
        <w:rPr>
          <w:spacing w:val="-14"/>
          <w:sz w:val="22"/>
        </w:rPr>
        <w:t> </w:t>
      </w:r>
      <w:r>
        <w:rPr>
          <w:sz w:val="22"/>
        </w:rPr>
        <w:t>multiple</w:t>
      </w:r>
    </w:p>
    <w:p>
      <w:pPr>
        <w:spacing w:after="0" w:line="276" w:lineRule="auto"/>
        <w:jc w:val="left"/>
        <w:rPr>
          <w:sz w:val="22"/>
        </w:rPr>
        <w:sectPr>
          <w:pgSz w:w="12240" w:h="15840"/>
          <w:pgMar w:header="0" w:footer="1134" w:top="1060" w:bottom="1340" w:left="260" w:right="260"/>
        </w:sectPr>
      </w:pPr>
    </w:p>
    <w:p>
      <w:pPr>
        <w:pStyle w:val="BodyText"/>
        <w:spacing w:before="70"/>
        <w:ind w:left="1180"/>
      </w:pPr>
      <w:r>
        <w:rPr/>
        <w:t>locations (e.g., </w:t>
      </w:r>
      <w:hyperlink r:id="rId6">
        <w:r>
          <w:rPr>
            <w:color w:val="0000FF"/>
            <w:u w:val="single" w:color="0000FF"/>
          </w:rPr>
          <w:t>www.sigmaaldrich.com</w:t>
        </w:r>
        <w:r>
          <w:rPr/>
          <w:t>, </w:t>
        </w:r>
      </w:hyperlink>
      <w:hyperlink r:id="rId7">
        <w:r>
          <w:rPr>
            <w:color w:val="0000FF"/>
            <w:u w:val="single" w:color="0000FF"/>
          </w:rPr>
          <w:t>www.well-labs.com</w:t>
        </w:r>
        <w:r>
          <w:rPr/>
          <w:t>, </w:t>
        </w:r>
      </w:hyperlink>
      <w:r>
        <w:rPr/>
        <w:t>and </w:t>
      </w:r>
      <w:hyperlink r:id="rId8">
        <w:r>
          <w:rPr>
            <w:color w:val="0000FF"/>
            <w:u w:val="single" w:color="0000FF"/>
          </w:rPr>
          <w:t>www.isotope.com</w:t>
        </w:r>
      </w:hyperlink>
      <w:r>
        <w:rPr/>
        <w:t>).</w:t>
      </w:r>
    </w:p>
    <w:p>
      <w:pPr>
        <w:pStyle w:val="BodyText"/>
        <w:spacing w:before="7"/>
        <w:rPr>
          <w:sz w:val="26"/>
        </w:rPr>
      </w:pPr>
    </w:p>
    <w:p>
      <w:pPr>
        <w:pStyle w:val="ListParagraph"/>
        <w:numPr>
          <w:ilvl w:val="1"/>
          <w:numId w:val="5"/>
        </w:numPr>
        <w:tabs>
          <w:tab w:pos="1899" w:val="left" w:leader="none"/>
          <w:tab w:pos="1901" w:val="left" w:leader="none"/>
        </w:tabs>
        <w:spacing w:line="240" w:lineRule="auto" w:before="93" w:after="0"/>
        <w:ind w:left="1900" w:right="0" w:hanging="721"/>
        <w:jc w:val="left"/>
        <w:rPr>
          <w:sz w:val="22"/>
        </w:rPr>
      </w:pPr>
      <w:bookmarkStart w:name="6.0 EQUIPMENT AND SUPPLIES" w:id="15"/>
      <w:bookmarkEnd w:id="15"/>
      <w:r>
        <w:rPr/>
      </w:r>
      <w:bookmarkStart w:name="_bookmark5" w:id="16"/>
      <w:bookmarkEnd w:id="16"/>
      <w:r>
        <w:rPr/>
      </w:r>
      <w:bookmarkStart w:name="_bookmark5" w:id="17"/>
      <w:bookmarkEnd w:id="17"/>
      <w:r>
        <w:rPr>
          <w:sz w:val="22"/>
        </w:rPr>
        <w:t>E</w:t>
      </w:r>
      <w:r>
        <w:rPr>
          <w:sz w:val="22"/>
        </w:rPr>
        <w:t>QUIPMENT AND</w:t>
      </w:r>
      <w:r>
        <w:rPr>
          <w:spacing w:val="-2"/>
          <w:sz w:val="22"/>
        </w:rPr>
        <w:t> </w:t>
      </w:r>
      <w:r>
        <w:rPr>
          <w:sz w:val="22"/>
        </w:rPr>
        <w:t>SUPPLIES</w:t>
      </w:r>
    </w:p>
    <w:p>
      <w:pPr>
        <w:pStyle w:val="BodyText"/>
        <w:spacing w:before="1"/>
        <w:rPr>
          <w:sz w:val="24"/>
        </w:rPr>
      </w:pPr>
    </w:p>
    <w:p>
      <w:pPr>
        <w:pStyle w:val="BodyText"/>
        <w:spacing w:line="276" w:lineRule="auto"/>
        <w:ind w:left="1179" w:right="1422" w:firstLine="720"/>
      </w:pPr>
      <w:r>
        <w:rPr/>
        <w:t>The mention of trade names or commercial products in this method is for illustrative purposes only and does not constitute an EPA endorsement or exclusive recommendation for use. The products and instrument settings cited in SW-846 methods represent those used during method development or subsequently evaluated by the Agency. Glassware, reagents, supplies, equipment, and settings other than those listed in this method may be employed provided that method performance appropriate for the intended application has been demonstrated and documented. This section does not list all common laboratory glassware (e.g., beakers and flasks) that might be</w:t>
      </w:r>
      <w:r>
        <w:rPr>
          <w:spacing w:val="-1"/>
        </w:rPr>
        <w:t> </w:t>
      </w:r>
      <w:r>
        <w:rPr/>
        <w:t>used.</w:t>
      </w:r>
    </w:p>
    <w:p>
      <w:pPr>
        <w:pStyle w:val="ListParagraph"/>
        <w:numPr>
          <w:ilvl w:val="1"/>
          <w:numId w:val="5"/>
        </w:numPr>
        <w:tabs>
          <w:tab w:pos="2619" w:val="left" w:leader="none"/>
          <w:tab w:pos="2620" w:val="left" w:leader="none"/>
        </w:tabs>
        <w:spacing w:line="240" w:lineRule="auto" w:before="120" w:after="0"/>
        <w:ind w:left="2619" w:right="0" w:hanging="721"/>
        <w:jc w:val="left"/>
        <w:rPr>
          <w:sz w:val="22"/>
        </w:rPr>
      </w:pPr>
      <w:r>
        <w:rPr>
          <w:sz w:val="22"/>
        </w:rPr>
        <w:t>Equipment</w:t>
      </w:r>
    </w:p>
    <w:p>
      <w:pPr>
        <w:pStyle w:val="ListParagraph"/>
        <w:numPr>
          <w:ilvl w:val="2"/>
          <w:numId w:val="5"/>
        </w:numPr>
        <w:tabs>
          <w:tab w:pos="3339" w:val="left" w:leader="none"/>
          <w:tab w:pos="3340" w:val="left" w:leader="none"/>
        </w:tabs>
        <w:spacing w:line="276" w:lineRule="auto" w:before="158" w:after="0"/>
        <w:ind w:left="1900" w:right="1720" w:firstLine="719"/>
        <w:jc w:val="left"/>
        <w:rPr>
          <w:sz w:val="22"/>
        </w:rPr>
      </w:pPr>
      <w:bookmarkStart w:name="6.1.1 Liquid chromatograph (LC) system: " w:id="18"/>
      <w:bookmarkEnd w:id="18"/>
      <w:r>
        <w:rPr/>
      </w:r>
      <w:bookmarkStart w:name="6.1.1 Liquid chromatograph (LC) system: " w:id="19"/>
      <w:bookmarkEnd w:id="19"/>
      <w:r>
        <w:rPr>
          <w:sz w:val="22"/>
        </w:rPr>
        <w:t>Liquid</w:t>
      </w:r>
      <w:r>
        <w:rPr>
          <w:sz w:val="22"/>
        </w:rPr>
        <w:t> chromatograph (LC) system: An ultraperformance liquid chromatograph (UPLC) with stainless steel flow through needle design was used to generate data during method development (PEEK needles may not puncture polyethylene caps; pre-slitting of caps is not</w:t>
      </w:r>
      <w:r>
        <w:rPr>
          <w:spacing w:val="-3"/>
          <w:sz w:val="22"/>
        </w:rPr>
        <w:t> </w:t>
      </w:r>
      <w:r>
        <w:rPr>
          <w:sz w:val="22"/>
        </w:rPr>
        <w:t>allowed).</w:t>
      </w:r>
    </w:p>
    <w:p>
      <w:pPr>
        <w:pStyle w:val="ListParagraph"/>
        <w:numPr>
          <w:ilvl w:val="2"/>
          <w:numId w:val="5"/>
        </w:numPr>
        <w:tabs>
          <w:tab w:pos="3340" w:val="left" w:leader="none"/>
          <w:tab w:pos="3341" w:val="left" w:leader="none"/>
        </w:tabs>
        <w:spacing w:line="276" w:lineRule="auto" w:before="120" w:after="0"/>
        <w:ind w:left="1900" w:right="1233" w:firstLine="720"/>
        <w:jc w:val="left"/>
        <w:rPr>
          <w:sz w:val="22"/>
        </w:rPr>
      </w:pPr>
      <w:bookmarkStart w:name="6.1.2 Analytical columns: The following " w:id="20"/>
      <w:bookmarkEnd w:id="20"/>
      <w:r>
        <w:rPr/>
      </w:r>
      <w:bookmarkStart w:name="6.1.2 Analytical columns: The following " w:id="21"/>
      <w:bookmarkEnd w:id="21"/>
      <w:r>
        <w:rPr>
          <w:sz w:val="22"/>
        </w:rPr>
        <w:t>A</w:t>
      </w:r>
      <w:r>
        <w:rPr>
          <w:sz w:val="22"/>
        </w:rPr>
        <w:t>nalytical columns: The following were used to generate data during method development; other columns may be used, provided that method performance is appropriate for the</w:t>
      </w:r>
      <w:r>
        <w:rPr>
          <w:spacing w:val="-2"/>
          <w:sz w:val="22"/>
        </w:rPr>
        <w:t> </w:t>
      </w:r>
      <w:r>
        <w:rPr>
          <w:sz w:val="22"/>
        </w:rPr>
        <w:t>application:</w:t>
      </w:r>
    </w:p>
    <w:p>
      <w:pPr>
        <w:pStyle w:val="ListParagraph"/>
        <w:numPr>
          <w:ilvl w:val="3"/>
          <w:numId w:val="5"/>
        </w:numPr>
        <w:tabs>
          <w:tab w:pos="4239" w:val="left" w:leader="none"/>
          <w:tab w:pos="4240" w:val="left" w:leader="none"/>
        </w:tabs>
        <w:spacing w:line="240" w:lineRule="auto" w:before="120" w:after="0"/>
        <w:ind w:left="4239" w:right="0" w:hanging="901"/>
        <w:jc w:val="left"/>
        <w:rPr>
          <w:sz w:val="22"/>
        </w:rPr>
      </w:pPr>
      <w:bookmarkStart w:name="6.1.2.1 Acquity UPLC® CSHTM Phenyl-Hexyl" w:id="22"/>
      <w:bookmarkEnd w:id="22"/>
      <w:r>
        <w:rPr/>
      </w:r>
      <w:bookmarkStart w:name="6.1.2.1 Acquity UPLC® CSHTM Phenyl-Hexyl" w:id="23"/>
      <w:bookmarkEnd w:id="23"/>
      <w:r>
        <w:rPr>
          <w:sz w:val="22"/>
        </w:rPr>
        <w:t>A</w:t>
      </w:r>
      <w:r>
        <w:rPr>
          <w:sz w:val="22"/>
        </w:rPr>
        <w:t>cquity UPLC® CSHTM Phenyl-Hexyl, 2.1 x 100 mm and</w:t>
      </w:r>
      <w:r>
        <w:rPr>
          <w:spacing w:val="-7"/>
          <w:sz w:val="22"/>
        </w:rPr>
        <w:t> </w:t>
      </w:r>
      <w:r>
        <w:rPr>
          <w:sz w:val="22"/>
        </w:rPr>
        <w:t>1.7</w:t>
      </w:r>
    </w:p>
    <w:p>
      <w:pPr>
        <w:pStyle w:val="BodyText"/>
        <w:spacing w:before="38"/>
        <w:ind w:left="2619"/>
      </w:pPr>
      <w:r>
        <w:rPr/>
        <w:t>µm particle size (Waters part no. 186005407)</w:t>
      </w:r>
    </w:p>
    <w:p>
      <w:pPr>
        <w:pStyle w:val="ListParagraph"/>
        <w:numPr>
          <w:ilvl w:val="3"/>
          <w:numId w:val="5"/>
        </w:numPr>
        <w:tabs>
          <w:tab w:pos="4239" w:val="left" w:leader="none"/>
          <w:tab w:pos="4240" w:val="left" w:leader="none"/>
        </w:tabs>
        <w:spacing w:line="276" w:lineRule="auto" w:before="158" w:after="0"/>
        <w:ind w:left="2619" w:right="1532" w:firstLine="720"/>
        <w:jc w:val="left"/>
        <w:rPr>
          <w:sz w:val="22"/>
        </w:rPr>
      </w:pPr>
      <w:bookmarkStart w:name="6.1.2.2 ZORBAX RRHD Stable Bond C18, 2.1" w:id="24"/>
      <w:bookmarkEnd w:id="24"/>
      <w:r>
        <w:rPr/>
      </w:r>
      <w:bookmarkStart w:name="6.1.2.2 ZORBAX RRHD Stable Bond C18, 2.1" w:id="25"/>
      <w:bookmarkEnd w:id="25"/>
      <w:r>
        <w:rPr>
          <w:sz w:val="22"/>
        </w:rPr>
        <w:t>Z</w:t>
      </w:r>
      <w:r>
        <w:rPr>
          <w:sz w:val="22"/>
        </w:rPr>
        <w:t>ORBAX RRHD Stable Bond C18, 2.1 x 100 mm and 1.8</w:t>
      </w:r>
      <w:r>
        <w:rPr>
          <w:spacing w:val="-18"/>
          <w:sz w:val="22"/>
        </w:rPr>
        <w:t> </w:t>
      </w:r>
      <w:r>
        <w:rPr>
          <w:sz w:val="22"/>
        </w:rPr>
        <w:t>µm particle size (Agilent part no.</w:t>
      </w:r>
      <w:r>
        <w:rPr>
          <w:spacing w:val="-3"/>
          <w:sz w:val="22"/>
        </w:rPr>
        <w:t> </w:t>
      </w:r>
      <w:r>
        <w:rPr>
          <w:sz w:val="22"/>
        </w:rPr>
        <w:t>858700-902)</w:t>
      </w:r>
    </w:p>
    <w:p>
      <w:pPr>
        <w:pStyle w:val="ListParagraph"/>
        <w:numPr>
          <w:ilvl w:val="3"/>
          <w:numId w:val="5"/>
        </w:numPr>
        <w:tabs>
          <w:tab w:pos="4239" w:val="left" w:leader="none"/>
          <w:tab w:pos="4240" w:val="left" w:leader="none"/>
        </w:tabs>
        <w:spacing w:line="276" w:lineRule="auto" w:before="120" w:after="0"/>
        <w:ind w:left="2620" w:right="1520" w:firstLine="719"/>
        <w:jc w:val="left"/>
        <w:rPr>
          <w:sz w:val="22"/>
        </w:rPr>
      </w:pPr>
      <w:bookmarkStart w:name="6.1.2.3 Accucore RP 2.1 x 100 mm and 2.6" w:id="26"/>
      <w:bookmarkEnd w:id="26"/>
      <w:r>
        <w:rPr/>
      </w:r>
      <w:bookmarkStart w:name="6.1.2.3 Accucore RP 2.1 x 100 mm and 2.6" w:id="27"/>
      <w:bookmarkEnd w:id="27"/>
      <w:r>
        <w:rPr>
          <w:sz w:val="22"/>
        </w:rPr>
        <w:t>A</w:t>
      </w:r>
      <w:r>
        <w:rPr>
          <w:sz w:val="22"/>
        </w:rPr>
        <w:t>ccucore RP 2.1 x 100 mm and 2.6 µm particle size</w:t>
      </w:r>
      <w:r>
        <w:rPr>
          <w:spacing w:val="-16"/>
          <w:sz w:val="22"/>
        </w:rPr>
        <w:t> </w:t>
      </w:r>
      <w:r>
        <w:rPr>
          <w:sz w:val="22"/>
        </w:rPr>
        <w:t>(Thermo part no.</w:t>
      </w:r>
      <w:r>
        <w:rPr>
          <w:spacing w:val="-1"/>
          <w:sz w:val="22"/>
        </w:rPr>
        <w:t> </w:t>
      </w:r>
      <w:r>
        <w:rPr>
          <w:sz w:val="22"/>
        </w:rPr>
        <w:t>17626-102130)</w:t>
      </w:r>
    </w:p>
    <w:p>
      <w:pPr>
        <w:pStyle w:val="ListParagraph"/>
        <w:numPr>
          <w:ilvl w:val="3"/>
          <w:numId w:val="5"/>
        </w:numPr>
        <w:tabs>
          <w:tab w:pos="4240" w:val="left" w:leader="none"/>
          <w:tab w:pos="4241" w:val="left" w:leader="none"/>
        </w:tabs>
        <w:spacing w:line="276" w:lineRule="auto" w:before="120" w:after="0"/>
        <w:ind w:left="2620" w:right="1761" w:firstLine="719"/>
        <w:jc w:val="left"/>
        <w:rPr>
          <w:sz w:val="22"/>
        </w:rPr>
      </w:pPr>
      <w:bookmarkStart w:name="6.1.2.4 Shim-pack SP-C18, 2.1 x 150 mm a" w:id="28"/>
      <w:bookmarkEnd w:id="28"/>
      <w:r>
        <w:rPr/>
      </w:r>
      <w:bookmarkStart w:name="6.1.2.4 Shim-pack SP-C18, 2.1 x 150 mm a" w:id="29"/>
      <w:bookmarkEnd w:id="29"/>
      <w:r>
        <w:rPr>
          <w:sz w:val="22"/>
        </w:rPr>
        <w:t>Shi</w:t>
      </w:r>
      <w:r>
        <w:rPr>
          <w:sz w:val="22"/>
        </w:rPr>
        <w:t>m-pack SP-C18, 2.1 x 150 mm and 2.7 µm particle size (Shimadzu part no.</w:t>
      </w:r>
      <w:r>
        <w:rPr>
          <w:spacing w:val="-1"/>
          <w:sz w:val="22"/>
        </w:rPr>
        <w:t> </w:t>
      </w:r>
      <w:r>
        <w:rPr>
          <w:sz w:val="22"/>
        </w:rPr>
        <w:t>227-32003-04)</w:t>
      </w:r>
    </w:p>
    <w:p>
      <w:pPr>
        <w:pStyle w:val="ListParagraph"/>
        <w:numPr>
          <w:ilvl w:val="2"/>
          <w:numId w:val="5"/>
        </w:numPr>
        <w:tabs>
          <w:tab w:pos="3340" w:val="left" w:leader="none"/>
          <w:tab w:pos="3341" w:val="left" w:leader="none"/>
        </w:tabs>
        <w:spacing w:line="240" w:lineRule="auto" w:before="120" w:after="0"/>
        <w:ind w:left="3340" w:right="0" w:hanging="721"/>
        <w:jc w:val="left"/>
        <w:rPr>
          <w:sz w:val="22"/>
        </w:rPr>
      </w:pPr>
      <w:bookmarkStart w:name="6.1.3 Isolator column:" w:id="30"/>
      <w:bookmarkEnd w:id="30"/>
      <w:r>
        <w:rPr/>
      </w:r>
      <w:bookmarkStart w:name="6.1.3 Isolator column:" w:id="31"/>
      <w:bookmarkEnd w:id="31"/>
      <w:r>
        <w:rPr>
          <w:sz w:val="22"/>
        </w:rPr>
        <w:t>Isolator</w:t>
      </w:r>
      <w:r>
        <w:rPr>
          <w:spacing w:val="-1"/>
          <w:sz w:val="22"/>
        </w:rPr>
        <w:t> </w:t>
      </w:r>
      <w:r>
        <w:rPr>
          <w:sz w:val="22"/>
        </w:rPr>
        <w:t>column:</w:t>
      </w:r>
    </w:p>
    <w:p>
      <w:pPr>
        <w:pStyle w:val="ListParagraph"/>
        <w:numPr>
          <w:ilvl w:val="3"/>
          <w:numId w:val="5"/>
        </w:numPr>
        <w:tabs>
          <w:tab w:pos="4136" w:val="left" w:leader="none"/>
        </w:tabs>
        <w:spacing w:line="276" w:lineRule="auto" w:before="158" w:after="0"/>
        <w:ind w:left="2620" w:right="1268" w:firstLine="719"/>
        <w:jc w:val="left"/>
        <w:rPr>
          <w:sz w:val="22"/>
        </w:rPr>
      </w:pPr>
      <w:bookmarkStart w:name="6.1.3.1  XBridge BEH C18, 2.1 x 50 mm an" w:id="32"/>
      <w:bookmarkEnd w:id="32"/>
      <w:r>
        <w:rPr/>
      </w:r>
      <w:bookmarkStart w:name="6.1.3.1  XBridge BEH C18, 2.1 x 50 mm an" w:id="33"/>
      <w:bookmarkEnd w:id="33"/>
      <w:r>
        <w:rPr>
          <w:sz w:val="22"/>
        </w:rPr>
        <w:t>X</w:t>
      </w:r>
      <w:r>
        <w:rPr>
          <w:sz w:val="22"/>
        </w:rPr>
        <w:t>Bridge BEH C18, 2.1 x 50 mm and 3.5 µm particle size (Waters part no.</w:t>
      </w:r>
      <w:r>
        <w:rPr>
          <w:spacing w:val="-1"/>
          <w:sz w:val="22"/>
        </w:rPr>
        <w:t> </w:t>
      </w:r>
      <w:r>
        <w:rPr>
          <w:sz w:val="22"/>
        </w:rPr>
        <w:t>186003021)</w:t>
      </w:r>
    </w:p>
    <w:p>
      <w:pPr>
        <w:pStyle w:val="ListParagraph"/>
        <w:numPr>
          <w:ilvl w:val="3"/>
          <w:numId w:val="5"/>
        </w:numPr>
        <w:tabs>
          <w:tab w:pos="4240" w:val="left" w:leader="none"/>
          <w:tab w:pos="4241" w:val="left" w:leader="none"/>
        </w:tabs>
        <w:spacing w:line="276" w:lineRule="auto" w:before="120" w:after="0"/>
        <w:ind w:left="2620" w:right="1194" w:firstLine="720"/>
        <w:jc w:val="left"/>
        <w:rPr>
          <w:sz w:val="22"/>
        </w:rPr>
      </w:pPr>
      <w:bookmarkStart w:name="6.1.3.2 ZORBAX RRHD Eclipse Plus C18, 50" w:id="34"/>
      <w:bookmarkEnd w:id="34"/>
      <w:r>
        <w:rPr/>
      </w:r>
      <w:bookmarkStart w:name="6.1.3.2 ZORBAX RRHD Eclipse Plus C18, 50" w:id="35"/>
      <w:bookmarkEnd w:id="35"/>
      <w:r>
        <w:rPr>
          <w:sz w:val="22"/>
        </w:rPr>
        <w:t>Z</w:t>
      </w:r>
      <w:r>
        <w:rPr>
          <w:sz w:val="22"/>
        </w:rPr>
        <w:t>ORBAX RRHD Eclipse Plus C18, 50 × 3.0 mm, 1.8 μm (Agilent part no.</w:t>
      </w:r>
      <w:r>
        <w:rPr>
          <w:spacing w:val="-1"/>
          <w:sz w:val="22"/>
        </w:rPr>
        <w:t> </w:t>
      </w:r>
      <w:r>
        <w:rPr>
          <w:sz w:val="22"/>
        </w:rPr>
        <w:t>959757-302)</w:t>
      </w:r>
    </w:p>
    <w:p>
      <w:pPr>
        <w:pStyle w:val="ListParagraph"/>
        <w:numPr>
          <w:ilvl w:val="3"/>
          <w:numId w:val="5"/>
        </w:numPr>
        <w:tabs>
          <w:tab w:pos="4240" w:val="left" w:leader="none"/>
          <w:tab w:pos="4241" w:val="left" w:leader="none"/>
        </w:tabs>
        <w:spacing w:line="276" w:lineRule="auto" w:before="120" w:after="0"/>
        <w:ind w:left="2620" w:right="2005" w:firstLine="720"/>
        <w:jc w:val="left"/>
        <w:rPr>
          <w:sz w:val="22"/>
        </w:rPr>
      </w:pPr>
      <w:bookmarkStart w:name="6.1.3.3 BDS Hypersil™C18, 2.1 x 50 mm an" w:id="36"/>
      <w:bookmarkEnd w:id="36"/>
      <w:r>
        <w:rPr/>
      </w:r>
      <w:bookmarkStart w:name="6.1.3.3 BDS Hypersil™C18, 2.1 x 50 mm an" w:id="37"/>
      <w:bookmarkEnd w:id="37"/>
      <w:r>
        <w:rPr>
          <w:sz w:val="22"/>
        </w:rPr>
        <w:t>B</w:t>
      </w:r>
      <w:r>
        <w:rPr>
          <w:sz w:val="22"/>
        </w:rPr>
        <w:t>DS Hypersil™C18, 2.1 x 50 mm and 5 µm particle size (Thermo part no.</w:t>
      </w:r>
      <w:r>
        <w:rPr>
          <w:spacing w:val="-1"/>
          <w:sz w:val="22"/>
        </w:rPr>
        <w:t> </w:t>
      </w:r>
      <w:r>
        <w:rPr>
          <w:sz w:val="22"/>
        </w:rPr>
        <w:t>28105-052130)</w:t>
      </w:r>
    </w:p>
    <w:p>
      <w:pPr>
        <w:pStyle w:val="ListParagraph"/>
        <w:numPr>
          <w:ilvl w:val="3"/>
          <w:numId w:val="5"/>
        </w:numPr>
        <w:tabs>
          <w:tab w:pos="4240" w:val="left" w:leader="none"/>
          <w:tab w:pos="4241" w:val="left" w:leader="none"/>
        </w:tabs>
        <w:spacing w:line="276" w:lineRule="auto" w:before="120" w:after="0"/>
        <w:ind w:left="2620" w:right="1859" w:firstLine="719"/>
        <w:jc w:val="left"/>
        <w:rPr>
          <w:sz w:val="22"/>
        </w:rPr>
      </w:pPr>
      <w:bookmarkStart w:name="6.1.3.4 Shim-pack XR-ODS II, 2 x 75mm an" w:id="38"/>
      <w:bookmarkEnd w:id="38"/>
      <w:r>
        <w:rPr/>
      </w:r>
      <w:bookmarkStart w:name="6.1.3.4 Shim-pack XR-ODS II, 2 x 75mm an" w:id="39"/>
      <w:bookmarkEnd w:id="39"/>
      <w:r>
        <w:rPr>
          <w:sz w:val="22"/>
        </w:rPr>
        <w:t>Shi</w:t>
      </w:r>
      <w:r>
        <w:rPr>
          <w:sz w:val="22"/>
        </w:rPr>
        <w:t>m-pack XR-ODS II, 2 x 75mm and 2.2 µm particle size (Shimadzu part no.</w:t>
      </w:r>
      <w:r>
        <w:rPr>
          <w:spacing w:val="-1"/>
          <w:sz w:val="22"/>
        </w:rPr>
        <w:t> </w:t>
      </w:r>
      <w:r>
        <w:rPr>
          <w:sz w:val="22"/>
        </w:rPr>
        <w:t>228-41605-93)</w:t>
      </w:r>
    </w:p>
    <w:p>
      <w:pPr>
        <w:pStyle w:val="ListParagraph"/>
        <w:numPr>
          <w:ilvl w:val="2"/>
          <w:numId w:val="5"/>
        </w:numPr>
        <w:tabs>
          <w:tab w:pos="3340" w:val="left" w:leader="none"/>
          <w:tab w:pos="3341" w:val="left" w:leader="none"/>
        </w:tabs>
        <w:spacing w:line="276" w:lineRule="auto" w:before="120" w:after="0"/>
        <w:ind w:left="1900" w:right="1332" w:firstLine="719"/>
        <w:jc w:val="left"/>
        <w:rPr>
          <w:sz w:val="22"/>
        </w:rPr>
      </w:pPr>
      <w:bookmarkStart w:name="6.1.4 Mass Spectrometer (MS) System: An " w:id="40"/>
      <w:bookmarkEnd w:id="40"/>
      <w:r>
        <w:rPr/>
      </w:r>
      <w:bookmarkStart w:name="6.1.4 Mass Spectrometer (MS) System: An " w:id="41"/>
      <w:bookmarkEnd w:id="41"/>
      <w:r>
        <w:rPr>
          <w:sz w:val="22"/>
        </w:rPr>
        <w:t>M</w:t>
      </w:r>
      <w:r>
        <w:rPr>
          <w:sz w:val="22"/>
        </w:rPr>
        <w:t>ass Spectrometer (MS) System: An MS capable of multiple reaction monitoring (MRM) analysis with fast enough cycle time to obtain at least ten scans</w:t>
      </w:r>
      <w:r>
        <w:rPr>
          <w:spacing w:val="-26"/>
          <w:sz w:val="22"/>
        </w:rPr>
        <w:t> </w:t>
      </w:r>
      <w:r>
        <w:rPr>
          <w:sz w:val="22"/>
        </w:rPr>
        <w:t>over a peak is needed with adequate</w:t>
      </w:r>
      <w:r>
        <w:rPr>
          <w:spacing w:val="-1"/>
          <w:sz w:val="22"/>
        </w:rPr>
        <w:t> </w:t>
      </w:r>
      <w:r>
        <w:rPr>
          <w:sz w:val="22"/>
        </w:rPr>
        <w:t>sensitivity.</w:t>
      </w:r>
    </w:p>
    <w:p>
      <w:pPr>
        <w:spacing w:after="0" w:line="276" w:lineRule="auto"/>
        <w:jc w:val="left"/>
        <w:rPr>
          <w:sz w:val="22"/>
        </w:rPr>
        <w:sectPr>
          <w:pgSz w:w="12240" w:h="15840"/>
          <w:pgMar w:header="0" w:footer="1134" w:top="1060" w:bottom="1400" w:left="260" w:right="260"/>
        </w:sectPr>
      </w:pPr>
    </w:p>
    <w:p>
      <w:pPr>
        <w:pStyle w:val="ListParagraph"/>
        <w:numPr>
          <w:ilvl w:val="1"/>
          <w:numId w:val="5"/>
        </w:numPr>
        <w:tabs>
          <w:tab w:pos="2620" w:val="left" w:leader="none"/>
          <w:tab w:pos="2621" w:val="left" w:leader="none"/>
        </w:tabs>
        <w:spacing w:line="240" w:lineRule="auto" w:before="70" w:after="0"/>
        <w:ind w:left="2620" w:right="0" w:hanging="721"/>
        <w:jc w:val="left"/>
        <w:rPr>
          <w:sz w:val="22"/>
        </w:rPr>
      </w:pPr>
      <w:bookmarkStart w:name="6.2 Support Equipment and Supplies" w:id="42"/>
      <w:bookmarkEnd w:id="42"/>
      <w:r>
        <w:rPr/>
      </w:r>
      <w:bookmarkStart w:name="6.2 Support Equipment and Supplies" w:id="43"/>
      <w:bookmarkEnd w:id="43"/>
      <w:r>
        <w:rPr>
          <w:sz w:val="22"/>
        </w:rPr>
        <w:t>Support</w:t>
      </w:r>
      <w:r>
        <w:rPr>
          <w:sz w:val="22"/>
        </w:rPr>
        <w:t> Equipment and</w:t>
      </w:r>
      <w:r>
        <w:rPr>
          <w:spacing w:val="-1"/>
          <w:sz w:val="22"/>
        </w:rPr>
        <w:t> </w:t>
      </w:r>
      <w:r>
        <w:rPr>
          <w:sz w:val="22"/>
        </w:rPr>
        <w:t>Supplies</w:t>
      </w:r>
    </w:p>
    <w:p>
      <w:pPr>
        <w:pStyle w:val="ListParagraph"/>
        <w:numPr>
          <w:ilvl w:val="2"/>
          <w:numId w:val="5"/>
        </w:numPr>
        <w:tabs>
          <w:tab w:pos="3340" w:val="left" w:leader="none"/>
          <w:tab w:pos="3341" w:val="left" w:leader="none"/>
        </w:tabs>
        <w:spacing w:line="276" w:lineRule="auto" w:before="159" w:after="0"/>
        <w:ind w:left="1900" w:right="1323" w:firstLine="720"/>
        <w:jc w:val="left"/>
        <w:rPr>
          <w:sz w:val="22"/>
        </w:rPr>
      </w:pPr>
      <w:bookmarkStart w:name="6.2.1 Adjustable volume pipettes, 10-µL," w:id="44"/>
      <w:bookmarkEnd w:id="44"/>
      <w:r>
        <w:rPr/>
      </w:r>
      <w:bookmarkStart w:name="6.2.1 Adjustable volume pipettes, 10-µL," w:id="45"/>
      <w:bookmarkEnd w:id="45"/>
      <w:r>
        <w:rPr>
          <w:sz w:val="22"/>
        </w:rPr>
        <w:t>A</w:t>
      </w:r>
      <w:r>
        <w:rPr>
          <w:sz w:val="22"/>
        </w:rPr>
        <w:t>djustable volume pipettes, 10-µL, 20-µL, 100-µL, 200-µL, and 1000-µL, 5-mL, and</w:t>
      </w:r>
      <w:r>
        <w:rPr>
          <w:spacing w:val="-1"/>
          <w:sz w:val="22"/>
        </w:rPr>
        <w:t> </w:t>
      </w:r>
      <w:r>
        <w:rPr>
          <w:sz w:val="22"/>
        </w:rPr>
        <w:t>10-mL.</w:t>
      </w:r>
    </w:p>
    <w:p>
      <w:pPr>
        <w:pStyle w:val="ListParagraph"/>
        <w:numPr>
          <w:ilvl w:val="2"/>
          <w:numId w:val="5"/>
        </w:numPr>
        <w:tabs>
          <w:tab w:pos="3340" w:val="left" w:leader="none"/>
          <w:tab w:pos="3341" w:val="left" w:leader="none"/>
        </w:tabs>
        <w:spacing w:line="240" w:lineRule="auto" w:before="120" w:after="0"/>
        <w:ind w:left="3340" w:right="0" w:hanging="721"/>
        <w:jc w:val="left"/>
        <w:rPr>
          <w:sz w:val="22"/>
        </w:rPr>
      </w:pPr>
      <w:bookmarkStart w:name="6.2.2 Analytical balance, capable of wei" w:id="46"/>
      <w:bookmarkEnd w:id="46"/>
      <w:r>
        <w:rPr/>
      </w:r>
      <w:bookmarkStart w:name="6.2.2 Analytical balance, capable of wei" w:id="47"/>
      <w:bookmarkEnd w:id="47"/>
      <w:r>
        <w:rPr>
          <w:sz w:val="22"/>
        </w:rPr>
        <w:t>A</w:t>
      </w:r>
      <w:r>
        <w:rPr>
          <w:sz w:val="22"/>
        </w:rPr>
        <w:t>nalytical balance, capable of weighing to</w:t>
      </w:r>
      <w:r>
        <w:rPr>
          <w:spacing w:val="-2"/>
          <w:sz w:val="22"/>
        </w:rPr>
        <w:t> </w:t>
      </w:r>
      <w:r>
        <w:rPr>
          <w:sz w:val="22"/>
        </w:rPr>
        <w:t>0.01g</w:t>
      </w:r>
    </w:p>
    <w:p>
      <w:pPr>
        <w:pStyle w:val="ListParagraph"/>
        <w:numPr>
          <w:ilvl w:val="2"/>
          <w:numId w:val="5"/>
        </w:numPr>
        <w:tabs>
          <w:tab w:pos="3340" w:val="left" w:leader="none"/>
          <w:tab w:pos="3341" w:val="left" w:leader="none"/>
        </w:tabs>
        <w:spacing w:line="276" w:lineRule="auto" w:before="157" w:after="0"/>
        <w:ind w:left="1900" w:right="1334" w:firstLine="719"/>
        <w:jc w:val="left"/>
        <w:rPr>
          <w:sz w:val="22"/>
        </w:rPr>
      </w:pPr>
      <w:r>
        <w:rPr>
          <w:sz w:val="22"/>
        </w:rPr>
        <w:t>Sample containers and miscellaneous supplies; all supplies should meet blank criteria in Sec. 9.5 where</w:t>
      </w:r>
      <w:r>
        <w:rPr>
          <w:spacing w:val="-2"/>
          <w:sz w:val="22"/>
        </w:rPr>
        <w:t> </w:t>
      </w:r>
      <w:r>
        <w:rPr>
          <w:sz w:val="22"/>
        </w:rPr>
        <w:t>practical.</w:t>
      </w:r>
    </w:p>
    <w:p>
      <w:pPr>
        <w:pStyle w:val="ListParagraph"/>
        <w:numPr>
          <w:ilvl w:val="3"/>
          <w:numId w:val="5"/>
        </w:numPr>
        <w:tabs>
          <w:tab w:pos="4240" w:val="left" w:leader="none"/>
          <w:tab w:pos="4241" w:val="left" w:leader="none"/>
        </w:tabs>
        <w:spacing w:line="240" w:lineRule="auto" w:before="120" w:after="0"/>
        <w:ind w:left="4240" w:right="0" w:hanging="901"/>
        <w:jc w:val="left"/>
        <w:rPr>
          <w:sz w:val="22"/>
        </w:rPr>
      </w:pPr>
      <w:bookmarkStart w:name="6.2.3.1 Vials: 2-mL autosampler vials, H" w:id="48"/>
      <w:bookmarkEnd w:id="48"/>
      <w:r>
        <w:rPr/>
      </w:r>
      <w:bookmarkStart w:name="6.2.3.1 Vials: 2-mL autosampler vials, H" w:id="49"/>
      <w:bookmarkEnd w:id="49"/>
      <w:r>
        <w:rPr>
          <w:sz w:val="22"/>
        </w:rPr>
        <w:t>V</w:t>
      </w:r>
      <w:r>
        <w:rPr>
          <w:sz w:val="22"/>
        </w:rPr>
        <w:t>ials: 2-mL autosampler vials, HDPE, polypropylene or</w:t>
      </w:r>
      <w:r>
        <w:rPr>
          <w:spacing w:val="-5"/>
          <w:sz w:val="22"/>
        </w:rPr>
        <w:t> </w:t>
      </w:r>
      <w:r>
        <w:rPr>
          <w:sz w:val="22"/>
        </w:rPr>
        <w:t>silanized</w:t>
      </w:r>
    </w:p>
    <w:p>
      <w:pPr>
        <w:pStyle w:val="BodyText"/>
        <w:spacing w:before="39"/>
        <w:ind w:left="2620"/>
      </w:pPr>
      <w:r>
        <w:rPr/>
        <w:t>glass</w:t>
      </w:r>
    </w:p>
    <w:p>
      <w:pPr>
        <w:pStyle w:val="ListParagraph"/>
        <w:numPr>
          <w:ilvl w:val="3"/>
          <w:numId w:val="5"/>
        </w:numPr>
        <w:tabs>
          <w:tab w:pos="4240" w:val="left" w:leader="none"/>
          <w:tab w:pos="4241" w:val="left" w:leader="none"/>
        </w:tabs>
        <w:spacing w:line="240" w:lineRule="auto" w:before="157" w:after="0"/>
        <w:ind w:left="4240" w:right="0" w:hanging="901"/>
        <w:jc w:val="left"/>
        <w:rPr>
          <w:sz w:val="22"/>
        </w:rPr>
      </w:pPr>
      <w:bookmarkStart w:name="6.2.3.2 Polyethylene autosampler vial ca" w:id="50"/>
      <w:bookmarkEnd w:id="50"/>
      <w:r>
        <w:rPr/>
      </w:r>
      <w:bookmarkStart w:name="6.2.3.2 Polyethylene autosampler vial ca" w:id="51"/>
      <w:bookmarkEnd w:id="51"/>
      <w:r>
        <w:rPr>
          <w:sz w:val="22"/>
        </w:rPr>
        <w:t>P</w:t>
      </w:r>
      <w:r>
        <w:rPr>
          <w:sz w:val="22"/>
        </w:rPr>
        <w:t>olyethylene autosampler vial caps (Waters Catalog</w:t>
      </w:r>
      <w:r>
        <w:rPr>
          <w:spacing w:val="-3"/>
          <w:sz w:val="22"/>
        </w:rPr>
        <w:t> </w:t>
      </w:r>
      <w:r>
        <w:rPr>
          <w:sz w:val="22"/>
        </w:rPr>
        <w:t>#</w:t>
      </w:r>
    </w:p>
    <w:p>
      <w:pPr>
        <w:pStyle w:val="BodyText"/>
        <w:spacing w:before="38"/>
        <w:ind w:left="2620"/>
      </w:pPr>
      <w:r>
        <w:rPr/>
        <w:t>186004169)</w:t>
      </w:r>
    </w:p>
    <w:p>
      <w:pPr>
        <w:pStyle w:val="ListParagraph"/>
        <w:numPr>
          <w:ilvl w:val="3"/>
          <w:numId w:val="5"/>
        </w:numPr>
        <w:tabs>
          <w:tab w:pos="4240" w:val="left" w:leader="none"/>
          <w:tab w:pos="4241" w:val="left" w:leader="none"/>
        </w:tabs>
        <w:spacing w:line="276" w:lineRule="auto" w:before="158" w:after="0"/>
        <w:ind w:left="2620" w:right="1717" w:firstLine="719"/>
        <w:jc w:val="left"/>
        <w:rPr>
          <w:sz w:val="22"/>
        </w:rPr>
      </w:pPr>
      <w:bookmarkStart w:name="6.2.3.3 10- to 25-mL filter-adaptable HD" w:id="52"/>
      <w:bookmarkEnd w:id="52"/>
      <w:r>
        <w:rPr/>
      </w:r>
      <w:bookmarkStart w:name="6.2.3.3 10- to 25-mL filter-adaptable HD" w:id="53"/>
      <w:bookmarkEnd w:id="53"/>
      <w:r>
        <w:rPr>
          <w:sz w:val="22"/>
        </w:rPr>
        <w:t>10-</w:t>
      </w:r>
      <w:r>
        <w:rPr>
          <w:sz w:val="22"/>
        </w:rPr>
        <w:t> to 25-mL filter-adaptable HDPE, polypropylene or glass syringes with luer lock adapters (rubber surfaces should not be</w:t>
      </w:r>
      <w:r>
        <w:rPr>
          <w:spacing w:val="-11"/>
          <w:sz w:val="22"/>
        </w:rPr>
        <w:t> </w:t>
      </w:r>
      <w:r>
        <w:rPr>
          <w:sz w:val="22"/>
        </w:rPr>
        <w:t>used).</w:t>
      </w:r>
    </w:p>
    <w:p>
      <w:pPr>
        <w:pStyle w:val="ListParagraph"/>
        <w:numPr>
          <w:ilvl w:val="3"/>
          <w:numId w:val="5"/>
        </w:numPr>
        <w:tabs>
          <w:tab w:pos="4240" w:val="left" w:leader="none"/>
          <w:tab w:pos="4241" w:val="left" w:leader="none"/>
        </w:tabs>
        <w:spacing w:line="240" w:lineRule="auto" w:before="120" w:after="0"/>
        <w:ind w:left="4240" w:right="0" w:hanging="901"/>
        <w:jc w:val="left"/>
        <w:rPr>
          <w:sz w:val="22"/>
        </w:rPr>
      </w:pPr>
      <w:bookmarkStart w:name="6.2.3.4 50-mL polypropylene tubes (BD Fa" w:id="54"/>
      <w:bookmarkEnd w:id="54"/>
      <w:r>
        <w:rPr/>
      </w:r>
      <w:bookmarkStart w:name="6.2.3.4 50-mL polypropylene tubes (BD Fa" w:id="55"/>
      <w:bookmarkEnd w:id="55"/>
      <w:r>
        <w:rPr>
          <w:sz w:val="22"/>
        </w:rPr>
        <w:t>50-</w:t>
      </w:r>
      <w:r>
        <w:rPr>
          <w:sz w:val="22"/>
        </w:rPr>
        <w:t>mL polypropylene tubes (BD Falcon, Catalog #</w:t>
      </w:r>
      <w:r>
        <w:rPr>
          <w:spacing w:val="-4"/>
          <w:sz w:val="22"/>
        </w:rPr>
        <w:t> </w:t>
      </w:r>
      <w:r>
        <w:rPr>
          <w:sz w:val="22"/>
        </w:rPr>
        <w:t>352098)</w:t>
      </w:r>
    </w:p>
    <w:p>
      <w:pPr>
        <w:pStyle w:val="ListParagraph"/>
        <w:numPr>
          <w:ilvl w:val="3"/>
          <w:numId w:val="5"/>
        </w:numPr>
        <w:tabs>
          <w:tab w:pos="4240" w:val="left" w:leader="none"/>
          <w:tab w:pos="4241" w:val="left" w:leader="none"/>
        </w:tabs>
        <w:spacing w:line="276" w:lineRule="auto" w:before="158" w:after="0"/>
        <w:ind w:left="2620" w:right="1251" w:firstLine="720"/>
        <w:jc w:val="left"/>
        <w:rPr>
          <w:sz w:val="22"/>
        </w:rPr>
      </w:pPr>
      <w:bookmarkStart w:name="6.2.3.5 15-mL polypropylene tubes (BD Fa" w:id="56"/>
      <w:bookmarkEnd w:id="56"/>
      <w:r>
        <w:rPr/>
      </w:r>
      <w:bookmarkStart w:name="6.2.3.5 15-mL polypropylene tubes (BD Fa" w:id="57"/>
      <w:bookmarkEnd w:id="57"/>
      <w:r>
        <w:rPr>
          <w:sz w:val="22"/>
        </w:rPr>
        <w:t>15-</w:t>
      </w:r>
      <w:r>
        <w:rPr>
          <w:sz w:val="22"/>
        </w:rPr>
        <w:t>mL polypropylene tubes (BD Falcon, Catalog # 352097); use pre-weighed tubes for collection of field samples and field</w:t>
      </w:r>
      <w:r>
        <w:rPr>
          <w:spacing w:val="-5"/>
          <w:sz w:val="22"/>
        </w:rPr>
        <w:t> </w:t>
      </w:r>
      <w:r>
        <w:rPr>
          <w:sz w:val="22"/>
        </w:rPr>
        <w:t>QC</w:t>
      </w:r>
    </w:p>
    <w:p>
      <w:pPr>
        <w:pStyle w:val="ListParagraph"/>
        <w:numPr>
          <w:ilvl w:val="3"/>
          <w:numId w:val="5"/>
        </w:numPr>
        <w:tabs>
          <w:tab w:pos="4239" w:val="left" w:leader="none"/>
          <w:tab w:pos="4241" w:val="left" w:leader="none"/>
        </w:tabs>
        <w:spacing w:line="240" w:lineRule="auto" w:before="120" w:after="0"/>
        <w:ind w:left="4240" w:right="0" w:hanging="902"/>
        <w:jc w:val="left"/>
        <w:rPr>
          <w:sz w:val="22"/>
        </w:rPr>
      </w:pPr>
      <w:bookmarkStart w:name="6.2.3.6 Polyethylene disposable pipettes" w:id="58"/>
      <w:bookmarkEnd w:id="58"/>
      <w:r>
        <w:rPr/>
      </w:r>
      <w:bookmarkStart w:name="6.2.3.6 Polyethylene disposable pipettes" w:id="59"/>
      <w:bookmarkEnd w:id="59"/>
      <w:r>
        <w:rPr>
          <w:sz w:val="22"/>
        </w:rPr>
        <w:t>Pol</w:t>
      </w:r>
      <w:r>
        <w:rPr>
          <w:sz w:val="22"/>
        </w:rPr>
        <w:t>yethylene disposable pipettes (SEDI-PETTM PIPET,</w:t>
      </w:r>
      <w:r>
        <w:rPr>
          <w:spacing w:val="-5"/>
          <w:sz w:val="22"/>
        </w:rPr>
        <w:t> </w:t>
      </w:r>
      <w:r>
        <w:rPr>
          <w:sz w:val="22"/>
        </w:rPr>
        <w:t>Source</w:t>
      </w:r>
    </w:p>
    <w:p>
      <w:pPr>
        <w:pStyle w:val="BodyText"/>
        <w:spacing w:before="37"/>
        <w:ind w:left="2620"/>
      </w:pPr>
      <w:r>
        <w:rPr/>
        <w:t>- Samco Scientific, part no. 252 or equivalent)</w:t>
      </w:r>
    </w:p>
    <w:p>
      <w:pPr>
        <w:pStyle w:val="ListParagraph"/>
        <w:numPr>
          <w:ilvl w:val="3"/>
          <w:numId w:val="5"/>
        </w:numPr>
        <w:tabs>
          <w:tab w:pos="4240" w:val="left" w:leader="none"/>
          <w:tab w:pos="4241" w:val="left" w:leader="none"/>
        </w:tabs>
        <w:spacing w:line="276" w:lineRule="auto" w:before="159" w:after="0"/>
        <w:ind w:left="2620" w:right="1388" w:firstLine="719"/>
        <w:jc w:val="left"/>
        <w:rPr>
          <w:sz w:val="22"/>
        </w:rPr>
      </w:pPr>
      <w:bookmarkStart w:name="6.2.3.7 Pipette tips: polypropylene pipe" w:id="60"/>
      <w:bookmarkEnd w:id="60"/>
      <w:r>
        <w:rPr/>
      </w:r>
      <w:bookmarkStart w:name="6.2.3.7 Pipette tips: polypropylene pipe" w:id="61"/>
      <w:bookmarkEnd w:id="61"/>
      <w:r>
        <w:rPr>
          <w:sz w:val="22"/>
        </w:rPr>
        <w:t>P</w:t>
      </w:r>
      <w:r>
        <w:rPr>
          <w:sz w:val="22"/>
        </w:rPr>
        <w:t>ipette tips: polypropylene pipette of various sizes</w:t>
      </w:r>
      <w:r>
        <w:rPr>
          <w:spacing w:val="-17"/>
          <w:sz w:val="22"/>
        </w:rPr>
        <w:t> </w:t>
      </w:r>
      <w:r>
        <w:rPr>
          <w:sz w:val="22"/>
        </w:rPr>
        <w:t>(Eppendorf, Catalog #s 022491997, 022492080, 022491954, 022491946, and</w:t>
      </w:r>
      <w:r>
        <w:rPr>
          <w:spacing w:val="-20"/>
          <w:sz w:val="22"/>
        </w:rPr>
        <w:t> </w:t>
      </w:r>
      <w:r>
        <w:rPr>
          <w:sz w:val="22"/>
        </w:rPr>
        <w:t>022491512)</w:t>
      </w:r>
    </w:p>
    <w:p>
      <w:pPr>
        <w:pStyle w:val="ListParagraph"/>
        <w:numPr>
          <w:ilvl w:val="3"/>
          <w:numId w:val="5"/>
        </w:numPr>
        <w:tabs>
          <w:tab w:pos="4240" w:val="left" w:leader="none"/>
          <w:tab w:pos="4241" w:val="left" w:leader="none"/>
        </w:tabs>
        <w:spacing w:line="276" w:lineRule="auto" w:before="120" w:after="0"/>
        <w:ind w:left="2620" w:right="1274" w:firstLine="719"/>
        <w:jc w:val="left"/>
        <w:rPr>
          <w:sz w:val="22"/>
        </w:rPr>
      </w:pPr>
      <w:bookmarkStart w:name="6.2.3.8 Acrodisc GxF/0.2µm GHP or equiva" w:id="62"/>
      <w:bookmarkEnd w:id="62"/>
      <w:r>
        <w:rPr/>
      </w:r>
      <w:bookmarkStart w:name="6.2.3.8 Acrodisc GxF/0.2µm GHP or equiva" w:id="63"/>
      <w:bookmarkEnd w:id="63"/>
      <w:r>
        <w:rPr>
          <w:sz w:val="22"/>
        </w:rPr>
        <w:t>Acrodisc</w:t>
      </w:r>
      <w:r>
        <w:rPr>
          <w:sz w:val="22"/>
        </w:rPr>
        <w:t> GxF/0.2µm GHP or equivalent membrane syringe driven filter unit. Filters must be cleaned prior to use. A suggested protocol is</w:t>
      </w:r>
      <w:r>
        <w:rPr>
          <w:spacing w:val="-25"/>
          <w:sz w:val="22"/>
        </w:rPr>
        <w:t> </w:t>
      </w:r>
      <w:r>
        <w:rPr>
          <w:sz w:val="22"/>
        </w:rPr>
        <w:t>to rinse each filter with 2 x10 mL acetonitrile and then 2 x10 mL methanol prior to use. Other protocols may be appropriate if PFAS contamination is removed or reduced to levels appropriate for the</w:t>
      </w:r>
      <w:r>
        <w:rPr>
          <w:spacing w:val="-1"/>
          <w:sz w:val="22"/>
        </w:rPr>
        <w:t> </w:t>
      </w:r>
      <w:r>
        <w:rPr>
          <w:sz w:val="22"/>
        </w:rPr>
        <w:t>project.</w:t>
      </w:r>
    </w:p>
    <w:p>
      <w:pPr>
        <w:pStyle w:val="ListParagraph"/>
        <w:numPr>
          <w:ilvl w:val="2"/>
          <w:numId w:val="5"/>
        </w:numPr>
        <w:tabs>
          <w:tab w:pos="3340" w:val="left" w:leader="none"/>
          <w:tab w:pos="3342" w:val="left" w:leader="none"/>
        </w:tabs>
        <w:spacing w:line="276" w:lineRule="auto" w:before="120" w:after="0"/>
        <w:ind w:left="1900" w:right="1195" w:firstLine="720"/>
        <w:jc w:val="left"/>
        <w:rPr>
          <w:sz w:val="22"/>
        </w:rPr>
      </w:pPr>
      <w:bookmarkStart w:name="6.2.4 Reusable labware cleaning instruct" w:id="64"/>
      <w:bookmarkEnd w:id="64"/>
      <w:r>
        <w:rPr/>
      </w:r>
      <w:bookmarkStart w:name="6.2.4 Reusable labware cleaning instruct" w:id="65"/>
      <w:bookmarkEnd w:id="65"/>
      <w:r>
        <w:rPr>
          <w:sz w:val="22"/>
        </w:rPr>
        <w:t>R</w:t>
      </w:r>
      <w:r>
        <w:rPr>
          <w:sz w:val="22"/>
        </w:rPr>
        <w:t>eusable labware cleaning instructions – If labware is re-used it should be washed in hot water with detergent such as powdered Alconox, Deto-Jet, Luminox, or Citrojet, rinsed in hot water and rinsed with distilled water. All glassware is subsequently rinsed with organic solvent(s) such as acetone, methanol, and</w:t>
      </w:r>
      <w:r>
        <w:rPr>
          <w:spacing w:val="-10"/>
          <w:sz w:val="22"/>
        </w:rPr>
        <w:t> </w:t>
      </w:r>
      <w:r>
        <w:rPr>
          <w:sz w:val="22"/>
        </w:rPr>
        <w:t>acetonitrile.</w:t>
      </w:r>
    </w:p>
    <w:p>
      <w:pPr>
        <w:pStyle w:val="BodyText"/>
        <w:spacing w:before="3"/>
        <w:rPr>
          <w:sz w:val="31"/>
        </w:rPr>
      </w:pPr>
    </w:p>
    <w:p>
      <w:pPr>
        <w:pStyle w:val="ListParagraph"/>
        <w:numPr>
          <w:ilvl w:val="1"/>
          <w:numId w:val="6"/>
        </w:numPr>
        <w:tabs>
          <w:tab w:pos="1900" w:val="left" w:leader="none"/>
          <w:tab w:pos="1901" w:val="left" w:leader="none"/>
        </w:tabs>
        <w:spacing w:line="240" w:lineRule="auto" w:before="0" w:after="0"/>
        <w:ind w:left="1900" w:right="0" w:hanging="721"/>
        <w:jc w:val="left"/>
        <w:rPr>
          <w:sz w:val="22"/>
        </w:rPr>
      </w:pPr>
      <w:bookmarkStart w:name="7.0 REAGENTS AND STANDARDS" w:id="66"/>
      <w:bookmarkEnd w:id="66"/>
      <w:r>
        <w:rPr/>
      </w:r>
      <w:bookmarkStart w:name="_bookmark6" w:id="67"/>
      <w:bookmarkEnd w:id="67"/>
      <w:r>
        <w:rPr/>
      </w:r>
      <w:bookmarkStart w:name="_bookmark6" w:id="68"/>
      <w:bookmarkEnd w:id="68"/>
      <w:r>
        <w:rPr>
          <w:sz w:val="22"/>
        </w:rPr>
        <w:t>RE</w:t>
      </w:r>
      <w:r>
        <w:rPr>
          <w:sz w:val="22"/>
        </w:rPr>
        <w:t>AGENTS AND</w:t>
      </w:r>
      <w:r>
        <w:rPr>
          <w:spacing w:val="-1"/>
          <w:sz w:val="22"/>
        </w:rPr>
        <w:t> </w:t>
      </w:r>
      <w:r>
        <w:rPr>
          <w:sz w:val="22"/>
        </w:rPr>
        <w:t>STANDARDS</w:t>
      </w:r>
    </w:p>
    <w:p>
      <w:pPr>
        <w:pStyle w:val="BodyText"/>
        <w:spacing w:before="1"/>
        <w:rPr>
          <w:sz w:val="24"/>
        </w:rPr>
      </w:pPr>
    </w:p>
    <w:p>
      <w:pPr>
        <w:pStyle w:val="ListParagraph"/>
        <w:numPr>
          <w:ilvl w:val="1"/>
          <w:numId w:val="6"/>
        </w:numPr>
        <w:tabs>
          <w:tab w:pos="2620" w:val="left" w:leader="none"/>
          <w:tab w:pos="2621" w:val="left" w:leader="none"/>
        </w:tabs>
        <w:spacing w:line="276" w:lineRule="auto" w:before="1" w:after="0"/>
        <w:ind w:left="1180" w:right="1199" w:firstLine="720"/>
        <w:jc w:val="left"/>
        <w:rPr>
          <w:sz w:val="22"/>
        </w:rPr>
      </w:pPr>
      <w:r>
        <w:rPr>
          <w:sz w:val="22"/>
        </w:rPr>
        <w:t>Reagent-grade or pesticide grade chemicals, at a minimum, should be used in all tests. Unless otherwise indicated, all reagents should conform to the specifications of the Committee on Analytical Reagents of the American Chemical Society, where specifications are available. Other grades may be used, provided the reagent is of sufficiently high purity to</w:t>
      </w:r>
      <w:r>
        <w:rPr>
          <w:spacing w:val="-27"/>
          <w:sz w:val="22"/>
        </w:rPr>
        <w:t> </w:t>
      </w:r>
      <w:r>
        <w:rPr>
          <w:sz w:val="22"/>
        </w:rPr>
        <w:t>permit its use without lessening the accuracy of the determination. All reagents should be verified prior to use to ensure the MB criteria in Sec. 9.5 can be</w:t>
      </w:r>
      <w:r>
        <w:rPr>
          <w:spacing w:val="-5"/>
          <w:sz w:val="22"/>
        </w:rPr>
        <w:t> </w:t>
      </w:r>
      <w:r>
        <w:rPr>
          <w:sz w:val="22"/>
        </w:rPr>
        <w:t>met.</w:t>
      </w:r>
    </w:p>
    <w:p>
      <w:pPr>
        <w:spacing w:after="0" w:line="276" w:lineRule="auto"/>
        <w:jc w:val="left"/>
        <w:rPr>
          <w:sz w:val="22"/>
        </w:rPr>
        <w:sectPr>
          <w:pgSz w:w="12240" w:h="15840"/>
          <w:pgMar w:header="0" w:footer="1134" w:top="1060" w:bottom="1400" w:left="260" w:right="260"/>
        </w:sectPr>
      </w:pPr>
    </w:p>
    <w:p>
      <w:pPr>
        <w:pStyle w:val="ListParagraph"/>
        <w:numPr>
          <w:ilvl w:val="1"/>
          <w:numId w:val="6"/>
        </w:numPr>
        <w:tabs>
          <w:tab w:pos="2620" w:val="left" w:leader="none"/>
          <w:tab w:pos="2621" w:val="left" w:leader="none"/>
        </w:tabs>
        <w:spacing w:line="276" w:lineRule="auto" w:before="70" w:after="0"/>
        <w:ind w:left="1181" w:right="1598" w:firstLine="719"/>
        <w:jc w:val="left"/>
        <w:rPr>
          <w:sz w:val="22"/>
        </w:rPr>
      </w:pPr>
      <w:bookmarkStart w:name="7.2 Reagent water:  All references to wa" w:id="69"/>
      <w:bookmarkEnd w:id="69"/>
      <w:r>
        <w:rPr/>
      </w:r>
      <w:bookmarkStart w:name="7.2 Reagent water:  All references to wa" w:id="70"/>
      <w:bookmarkEnd w:id="70"/>
      <w:r>
        <w:rPr>
          <w:sz w:val="22"/>
        </w:rPr>
        <w:t>R</w:t>
      </w:r>
      <w:r>
        <w:rPr>
          <w:sz w:val="22"/>
        </w:rPr>
        <w:t>eagent water: All references to water in this method refer to reagent water unless otherwise specified. Reagent water from in-house DI systems will likely require additional polishing with a point-of-use water purification system to meet blank</w:t>
      </w:r>
      <w:r>
        <w:rPr>
          <w:spacing w:val="-25"/>
          <w:sz w:val="22"/>
        </w:rPr>
        <w:t> </w:t>
      </w:r>
      <w:r>
        <w:rPr>
          <w:sz w:val="22"/>
        </w:rPr>
        <w:t>requirements (Sec. 9.5). The user is cautioned to check for PFAS addition from these systems (free from fluoropolymers). Some bottled HPLC-grade water has been shown to contain</w:t>
      </w:r>
      <w:r>
        <w:rPr>
          <w:spacing w:val="-12"/>
          <w:sz w:val="22"/>
        </w:rPr>
        <w:t> </w:t>
      </w:r>
      <w:r>
        <w:rPr>
          <w:sz w:val="22"/>
        </w:rPr>
        <w:t>PFAS.</w:t>
      </w:r>
    </w:p>
    <w:p>
      <w:pPr>
        <w:pStyle w:val="ListParagraph"/>
        <w:numPr>
          <w:ilvl w:val="1"/>
          <w:numId w:val="6"/>
        </w:numPr>
        <w:tabs>
          <w:tab w:pos="2621" w:val="left" w:leader="none"/>
          <w:tab w:pos="2622" w:val="left" w:leader="none"/>
        </w:tabs>
        <w:spacing w:line="276" w:lineRule="auto" w:before="121" w:after="0"/>
        <w:ind w:left="1181" w:right="1211" w:firstLine="719"/>
        <w:jc w:val="left"/>
        <w:rPr>
          <w:sz w:val="22"/>
        </w:rPr>
      </w:pPr>
      <w:bookmarkStart w:name="7.3 Reagents and Gases: Items shown are " w:id="71"/>
      <w:bookmarkEnd w:id="71"/>
      <w:r>
        <w:rPr/>
      </w:r>
      <w:bookmarkStart w:name="7.3 Reagents and Gases: Items shown are " w:id="72"/>
      <w:bookmarkEnd w:id="72"/>
      <w:r>
        <w:rPr>
          <w:sz w:val="22"/>
        </w:rPr>
        <w:t>R</w:t>
      </w:r>
      <w:r>
        <w:rPr>
          <w:sz w:val="22"/>
        </w:rPr>
        <w:t>eagents and Gases: Items shown are for informational purpose only;</w:t>
      </w:r>
      <w:r>
        <w:rPr>
          <w:spacing w:val="-24"/>
          <w:sz w:val="22"/>
        </w:rPr>
        <w:t> </w:t>
      </w:r>
      <w:r>
        <w:rPr>
          <w:sz w:val="22"/>
        </w:rPr>
        <w:t>equivalent reagents and standards may be used. All reagents and solvents should be of pesticide residue purity or higher to minimize interference problems, preferably LC/MS grade or</w:t>
      </w:r>
      <w:r>
        <w:rPr>
          <w:spacing w:val="-12"/>
          <w:sz w:val="22"/>
        </w:rPr>
        <w:t> </w:t>
      </w:r>
      <w:r>
        <w:rPr>
          <w:sz w:val="22"/>
        </w:rPr>
        <w:t>equivalent.</w:t>
      </w:r>
    </w:p>
    <w:p>
      <w:pPr>
        <w:pStyle w:val="ListParagraph"/>
        <w:numPr>
          <w:ilvl w:val="2"/>
          <w:numId w:val="6"/>
        </w:numPr>
        <w:tabs>
          <w:tab w:pos="3341" w:val="left" w:leader="none"/>
          <w:tab w:pos="3342" w:val="left" w:leader="none"/>
        </w:tabs>
        <w:spacing w:line="240" w:lineRule="auto" w:before="120" w:after="0"/>
        <w:ind w:left="3341" w:right="0" w:hanging="721"/>
        <w:jc w:val="left"/>
        <w:rPr>
          <w:sz w:val="22"/>
        </w:rPr>
      </w:pPr>
      <w:bookmarkStart w:name="7.3.1 Acetonitrile, C2H3N (CAS RN 75-05-" w:id="73"/>
      <w:bookmarkEnd w:id="73"/>
      <w:r>
        <w:rPr/>
      </w:r>
      <w:bookmarkStart w:name="7.3.1 Acetonitrile, C2H3N (CAS RN 75-05-" w:id="74"/>
      <w:bookmarkEnd w:id="74"/>
      <w:r>
        <w:rPr>
          <w:sz w:val="22"/>
        </w:rPr>
        <w:t>A</w:t>
      </w:r>
      <w:r>
        <w:rPr>
          <w:sz w:val="22"/>
        </w:rPr>
        <w:t>cetonitrile, C</w:t>
      </w:r>
      <w:r>
        <w:rPr>
          <w:sz w:val="22"/>
          <w:vertAlign w:val="subscript"/>
        </w:rPr>
        <w:t>2</w:t>
      </w:r>
      <w:r>
        <w:rPr>
          <w:sz w:val="22"/>
          <w:vertAlign w:val="baseline"/>
        </w:rPr>
        <w:t>H</w:t>
      </w:r>
      <w:r>
        <w:rPr>
          <w:sz w:val="22"/>
          <w:vertAlign w:val="subscript"/>
        </w:rPr>
        <w:t>3</w:t>
      </w:r>
      <w:r>
        <w:rPr>
          <w:sz w:val="22"/>
          <w:vertAlign w:val="baseline"/>
        </w:rPr>
        <w:t>N (CAS RN</w:t>
      </w:r>
      <w:r>
        <w:rPr>
          <w:spacing w:val="-3"/>
          <w:sz w:val="22"/>
          <w:vertAlign w:val="baseline"/>
        </w:rPr>
        <w:t> </w:t>
      </w:r>
      <w:r>
        <w:rPr>
          <w:sz w:val="22"/>
          <w:vertAlign w:val="baseline"/>
        </w:rPr>
        <w:t>75-05-8)</w:t>
      </w:r>
    </w:p>
    <w:p>
      <w:pPr>
        <w:pStyle w:val="ListParagraph"/>
        <w:numPr>
          <w:ilvl w:val="2"/>
          <w:numId w:val="6"/>
        </w:numPr>
        <w:tabs>
          <w:tab w:pos="3340" w:val="left" w:leader="none"/>
          <w:tab w:pos="3341" w:val="left" w:leader="none"/>
        </w:tabs>
        <w:spacing w:line="240" w:lineRule="auto" w:before="157" w:after="0"/>
        <w:ind w:left="3340" w:right="0" w:hanging="721"/>
        <w:jc w:val="left"/>
        <w:rPr>
          <w:sz w:val="22"/>
        </w:rPr>
      </w:pPr>
      <w:bookmarkStart w:name="7.3.2 Ultrapure argon and nitrogen" w:id="75"/>
      <w:bookmarkEnd w:id="75"/>
      <w:r>
        <w:rPr/>
      </w:r>
      <w:bookmarkStart w:name="7.3.2 Ultrapure argon and nitrogen" w:id="76"/>
      <w:bookmarkEnd w:id="76"/>
      <w:r>
        <w:rPr>
          <w:sz w:val="22"/>
        </w:rPr>
        <w:t>U</w:t>
      </w:r>
      <w:r>
        <w:rPr>
          <w:sz w:val="22"/>
        </w:rPr>
        <w:t>ltrapure argon and</w:t>
      </w:r>
      <w:r>
        <w:rPr>
          <w:spacing w:val="-1"/>
          <w:sz w:val="22"/>
        </w:rPr>
        <w:t> </w:t>
      </w:r>
      <w:r>
        <w:rPr>
          <w:sz w:val="22"/>
        </w:rPr>
        <w:t>nitrogen</w:t>
      </w:r>
    </w:p>
    <w:p>
      <w:pPr>
        <w:pStyle w:val="ListParagraph"/>
        <w:numPr>
          <w:ilvl w:val="2"/>
          <w:numId w:val="6"/>
        </w:numPr>
        <w:tabs>
          <w:tab w:pos="3340" w:val="left" w:leader="none"/>
          <w:tab w:pos="3341" w:val="left" w:leader="none"/>
        </w:tabs>
        <w:spacing w:line="240" w:lineRule="auto" w:before="159" w:after="0"/>
        <w:ind w:left="3340" w:right="0" w:hanging="721"/>
        <w:jc w:val="left"/>
        <w:rPr>
          <w:sz w:val="22"/>
        </w:rPr>
      </w:pPr>
      <w:bookmarkStart w:name="7.3.3 Methanol, CH3OH (CAS RN 67-56-1)" w:id="77"/>
      <w:bookmarkEnd w:id="77"/>
      <w:r>
        <w:rPr/>
      </w:r>
      <w:bookmarkStart w:name="7.3.3 Methanol, CH3OH (CAS RN 67-56-1)" w:id="78"/>
      <w:bookmarkEnd w:id="78"/>
      <w:r>
        <w:rPr>
          <w:sz w:val="22"/>
        </w:rPr>
        <w:t>M</w:t>
      </w:r>
      <w:r>
        <w:rPr>
          <w:sz w:val="22"/>
        </w:rPr>
        <w:t>ethanol, CH</w:t>
      </w:r>
      <w:r>
        <w:rPr>
          <w:sz w:val="22"/>
          <w:vertAlign w:val="subscript"/>
        </w:rPr>
        <w:t>3</w:t>
      </w:r>
      <w:r>
        <w:rPr>
          <w:sz w:val="22"/>
          <w:vertAlign w:val="baseline"/>
        </w:rPr>
        <w:t>OH (CAS RN</w:t>
      </w:r>
      <w:r>
        <w:rPr>
          <w:spacing w:val="-1"/>
          <w:sz w:val="22"/>
          <w:vertAlign w:val="baseline"/>
        </w:rPr>
        <w:t> </w:t>
      </w:r>
      <w:r>
        <w:rPr>
          <w:sz w:val="22"/>
          <w:vertAlign w:val="baseline"/>
        </w:rPr>
        <w:t>67-56-1)</w:t>
      </w:r>
    </w:p>
    <w:p>
      <w:pPr>
        <w:pStyle w:val="ListParagraph"/>
        <w:numPr>
          <w:ilvl w:val="2"/>
          <w:numId w:val="6"/>
        </w:numPr>
        <w:tabs>
          <w:tab w:pos="3340" w:val="left" w:leader="none"/>
          <w:tab w:pos="3341" w:val="left" w:leader="none"/>
        </w:tabs>
        <w:spacing w:line="240" w:lineRule="auto" w:before="157" w:after="0"/>
        <w:ind w:left="3340" w:right="0" w:hanging="721"/>
        <w:jc w:val="left"/>
        <w:rPr>
          <w:sz w:val="22"/>
        </w:rPr>
      </w:pPr>
      <w:bookmarkStart w:name="7.3.4 Isopropyl alcohol, C3H8O (CAS RN 6" w:id="79"/>
      <w:bookmarkEnd w:id="79"/>
      <w:r>
        <w:rPr/>
      </w:r>
      <w:bookmarkStart w:name="7.3.4 Isopropyl alcohol, C3H8O (CAS RN 6" w:id="80"/>
      <w:bookmarkEnd w:id="80"/>
      <w:r>
        <w:rPr>
          <w:sz w:val="22"/>
        </w:rPr>
        <w:t>Isoprop</w:t>
      </w:r>
      <w:r>
        <w:rPr>
          <w:sz w:val="22"/>
        </w:rPr>
        <w:t>yl alcohol, C</w:t>
      </w:r>
      <w:r>
        <w:rPr>
          <w:sz w:val="22"/>
          <w:vertAlign w:val="subscript"/>
        </w:rPr>
        <w:t>3</w:t>
      </w:r>
      <w:r>
        <w:rPr>
          <w:sz w:val="22"/>
          <w:vertAlign w:val="baseline"/>
        </w:rPr>
        <w:t>H</w:t>
      </w:r>
      <w:r>
        <w:rPr>
          <w:sz w:val="22"/>
          <w:vertAlign w:val="subscript"/>
        </w:rPr>
        <w:t>8</w:t>
      </w:r>
      <w:r>
        <w:rPr>
          <w:sz w:val="22"/>
          <w:vertAlign w:val="baseline"/>
        </w:rPr>
        <w:t>O (CAS RN</w:t>
      </w:r>
      <w:r>
        <w:rPr>
          <w:spacing w:val="-1"/>
          <w:sz w:val="22"/>
          <w:vertAlign w:val="baseline"/>
        </w:rPr>
        <w:t> </w:t>
      </w:r>
      <w:r>
        <w:rPr>
          <w:sz w:val="22"/>
          <w:vertAlign w:val="baseline"/>
        </w:rPr>
        <w:t>67-63-0)</w:t>
      </w:r>
    </w:p>
    <w:p>
      <w:pPr>
        <w:pStyle w:val="ListParagraph"/>
        <w:numPr>
          <w:ilvl w:val="2"/>
          <w:numId w:val="6"/>
        </w:numPr>
        <w:tabs>
          <w:tab w:pos="3340" w:val="left" w:leader="none"/>
          <w:tab w:pos="3341" w:val="left" w:leader="none"/>
        </w:tabs>
        <w:spacing w:line="240" w:lineRule="auto" w:before="159" w:after="0"/>
        <w:ind w:left="3340" w:right="0" w:hanging="721"/>
        <w:jc w:val="left"/>
        <w:rPr>
          <w:sz w:val="22"/>
        </w:rPr>
      </w:pPr>
      <w:bookmarkStart w:name="7.3.5 Ammonium hydroxide, NH4OH (CAS RN " w:id="81"/>
      <w:bookmarkEnd w:id="81"/>
      <w:r>
        <w:rPr/>
      </w:r>
      <w:bookmarkStart w:name="7.3.5 Ammonium hydroxide, NH4OH (CAS RN " w:id="82"/>
      <w:bookmarkEnd w:id="82"/>
      <w:r>
        <w:rPr>
          <w:sz w:val="22"/>
        </w:rPr>
        <w:t>A</w:t>
      </w:r>
      <w:r>
        <w:rPr>
          <w:sz w:val="22"/>
        </w:rPr>
        <w:t>mmonium hydroxide, NH</w:t>
      </w:r>
      <w:r>
        <w:rPr>
          <w:sz w:val="22"/>
          <w:vertAlign w:val="subscript"/>
        </w:rPr>
        <w:t>4</w:t>
      </w:r>
      <w:r>
        <w:rPr>
          <w:sz w:val="22"/>
          <w:vertAlign w:val="baseline"/>
        </w:rPr>
        <w:t>OH (CAS RN 1336-21-6),</w:t>
      </w:r>
      <w:r>
        <w:rPr>
          <w:spacing w:val="-2"/>
          <w:sz w:val="22"/>
          <w:vertAlign w:val="baseline"/>
        </w:rPr>
        <w:t> </w:t>
      </w:r>
      <w:r>
        <w:rPr>
          <w:sz w:val="22"/>
          <w:vertAlign w:val="baseline"/>
        </w:rPr>
        <w:t>28-30%</w:t>
      </w:r>
    </w:p>
    <w:p>
      <w:pPr>
        <w:pStyle w:val="ListParagraph"/>
        <w:numPr>
          <w:ilvl w:val="2"/>
          <w:numId w:val="6"/>
        </w:numPr>
        <w:tabs>
          <w:tab w:pos="3339" w:val="left" w:leader="none"/>
          <w:tab w:pos="3340" w:val="left" w:leader="none"/>
        </w:tabs>
        <w:spacing w:line="240" w:lineRule="auto" w:before="157" w:after="0"/>
        <w:ind w:left="3339" w:right="0" w:hanging="721"/>
        <w:jc w:val="left"/>
        <w:rPr>
          <w:sz w:val="22"/>
        </w:rPr>
      </w:pPr>
      <w:bookmarkStart w:name="7.3.6 Ammonium acetate, C2H7NO2 (CAS RN " w:id="83"/>
      <w:bookmarkEnd w:id="83"/>
      <w:r>
        <w:rPr/>
      </w:r>
      <w:bookmarkStart w:name="7.3.6 Ammonium acetate, C2H7NO2 (CAS RN " w:id="84"/>
      <w:bookmarkEnd w:id="84"/>
      <w:r>
        <w:rPr>
          <w:sz w:val="22"/>
        </w:rPr>
        <w:t>A</w:t>
      </w:r>
      <w:r>
        <w:rPr>
          <w:sz w:val="22"/>
        </w:rPr>
        <w:t>mmonium acetate, C</w:t>
      </w:r>
      <w:r>
        <w:rPr>
          <w:sz w:val="22"/>
          <w:vertAlign w:val="subscript"/>
        </w:rPr>
        <w:t>2</w:t>
      </w:r>
      <w:r>
        <w:rPr>
          <w:sz w:val="22"/>
          <w:vertAlign w:val="baseline"/>
        </w:rPr>
        <w:t>H</w:t>
      </w:r>
      <w:r>
        <w:rPr>
          <w:sz w:val="22"/>
          <w:vertAlign w:val="subscript"/>
        </w:rPr>
        <w:t>7</w:t>
      </w:r>
      <w:r>
        <w:rPr>
          <w:sz w:val="22"/>
          <w:vertAlign w:val="baseline"/>
        </w:rPr>
        <w:t>NO</w:t>
      </w:r>
      <w:r>
        <w:rPr>
          <w:sz w:val="22"/>
          <w:vertAlign w:val="subscript"/>
        </w:rPr>
        <w:t>2</w:t>
      </w:r>
      <w:r>
        <w:rPr>
          <w:sz w:val="22"/>
          <w:vertAlign w:val="baseline"/>
        </w:rPr>
        <w:t> (CAS RN 631-61-8),</w:t>
      </w:r>
      <w:r>
        <w:rPr>
          <w:spacing w:val="-2"/>
          <w:sz w:val="22"/>
          <w:vertAlign w:val="baseline"/>
        </w:rPr>
        <w:t> </w:t>
      </w:r>
      <w:r>
        <w:rPr>
          <w:sz w:val="22"/>
          <w:vertAlign w:val="baseline"/>
        </w:rPr>
        <w:t>neat</w:t>
      </w:r>
    </w:p>
    <w:p>
      <w:pPr>
        <w:pStyle w:val="ListParagraph"/>
        <w:numPr>
          <w:ilvl w:val="2"/>
          <w:numId w:val="6"/>
        </w:numPr>
        <w:tabs>
          <w:tab w:pos="3340" w:val="left" w:leader="none"/>
          <w:tab w:pos="3341" w:val="left" w:leader="none"/>
        </w:tabs>
        <w:spacing w:line="240" w:lineRule="auto" w:before="159" w:after="0"/>
        <w:ind w:left="3340" w:right="0" w:hanging="721"/>
        <w:jc w:val="left"/>
        <w:rPr>
          <w:sz w:val="22"/>
        </w:rPr>
      </w:pPr>
      <w:bookmarkStart w:name="7.3.7 Glacial acetic acid, CH3COOH (CAS " w:id="85"/>
      <w:bookmarkEnd w:id="85"/>
      <w:r>
        <w:rPr/>
      </w:r>
      <w:bookmarkStart w:name="7.3.7 Glacial acetic acid, CH3COOH (CAS " w:id="86"/>
      <w:bookmarkEnd w:id="86"/>
      <w:r>
        <w:rPr>
          <w:sz w:val="22"/>
        </w:rPr>
        <w:t>G</w:t>
      </w:r>
      <w:r>
        <w:rPr>
          <w:sz w:val="22"/>
        </w:rPr>
        <w:t>lacial acetic acid, CH</w:t>
      </w:r>
      <w:r>
        <w:rPr>
          <w:sz w:val="22"/>
          <w:vertAlign w:val="subscript"/>
        </w:rPr>
        <w:t>3</w:t>
      </w:r>
      <w:r>
        <w:rPr>
          <w:sz w:val="22"/>
          <w:vertAlign w:val="baseline"/>
        </w:rPr>
        <w:t>COOH (CAS RN</w:t>
      </w:r>
      <w:r>
        <w:rPr>
          <w:spacing w:val="-4"/>
          <w:sz w:val="22"/>
          <w:vertAlign w:val="baseline"/>
        </w:rPr>
        <w:t> </w:t>
      </w:r>
      <w:r>
        <w:rPr>
          <w:sz w:val="22"/>
          <w:vertAlign w:val="baseline"/>
        </w:rPr>
        <w:t>64-19-7)</w:t>
      </w:r>
    </w:p>
    <w:p>
      <w:pPr>
        <w:pStyle w:val="ListParagraph"/>
        <w:numPr>
          <w:ilvl w:val="2"/>
          <w:numId w:val="6"/>
        </w:numPr>
        <w:tabs>
          <w:tab w:pos="3340" w:val="left" w:leader="none"/>
          <w:tab w:pos="3341" w:val="left" w:leader="none"/>
        </w:tabs>
        <w:spacing w:line="240" w:lineRule="auto" w:before="157" w:after="0"/>
        <w:ind w:left="3340" w:right="0" w:hanging="721"/>
        <w:jc w:val="left"/>
        <w:rPr>
          <w:sz w:val="22"/>
        </w:rPr>
      </w:pPr>
      <w:bookmarkStart w:name="7.3.8 PFAS target compounds stock standa" w:id="87"/>
      <w:bookmarkEnd w:id="87"/>
      <w:r>
        <w:rPr/>
      </w:r>
      <w:bookmarkStart w:name="7.3.8 PFAS target compounds stock standa" w:id="88"/>
      <w:bookmarkEnd w:id="88"/>
      <w:r>
        <w:rPr>
          <w:sz w:val="22"/>
        </w:rPr>
        <w:t>PFAS</w:t>
      </w:r>
      <w:r>
        <w:rPr>
          <w:sz w:val="22"/>
        </w:rPr>
        <w:t> target compounds stock</w:t>
      </w:r>
      <w:r>
        <w:rPr>
          <w:spacing w:val="-1"/>
          <w:sz w:val="22"/>
        </w:rPr>
        <w:t> </w:t>
      </w:r>
      <w:r>
        <w:rPr>
          <w:sz w:val="22"/>
        </w:rPr>
        <w:t>standards:</w:t>
      </w:r>
    </w:p>
    <w:p>
      <w:pPr>
        <w:pStyle w:val="BodyText"/>
        <w:spacing w:line="276" w:lineRule="auto" w:before="158"/>
        <w:ind w:left="1180" w:right="1195" w:firstLine="720"/>
      </w:pPr>
      <w:r>
        <w:rPr/>
        <w:t>Solutions may be purchased as certified solutions or prepared from pure standard materials. Commercially prepared stock standards may be used at any concentration if they are certified by an accredited supplier or third party. For standards prepared from neat materials, the weight may be used without correction to calculate the concentration of the stock standard when standard compound purity is assayed to be 98% or greater. Use manufacturer’s expiration date for purchased prepared</w:t>
      </w:r>
      <w:r>
        <w:rPr>
          <w:spacing w:val="-1"/>
        </w:rPr>
        <w:t> </w:t>
      </w:r>
      <w:r>
        <w:rPr/>
        <w:t>standards.</w:t>
      </w:r>
    </w:p>
    <w:p>
      <w:pPr>
        <w:pStyle w:val="BodyText"/>
        <w:spacing w:line="276" w:lineRule="auto" w:before="120"/>
        <w:ind w:left="1180" w:right="1167" w:firstLine="719"/>
      </w:pPr>
      <w:r>
        <w:rPr/>
        <w:t>For the multi-laboratory validation study, a mixture of all 24 target analytes listed in Table 1 was obtained from Wellington Laboratories (Catalog # PFAC-24PAR, containing each target analyte at a nominal concentration of 2000 ng/mL in MeOH). Sulfonic acids in this mixture were prepared from salts, and some had certified concentrations of both straight-chain and branched isomers.</w:t>
      </w:r>
    </w:p>
    <w:p>
      <w:pPr>
        <w:pStyle w:val="ListParagraph"/>
        <w:numPr>
          <w:ilvl w:val="2"/>
          <w:numId w:val="6"/>
        </w:numPr>
        <w:tabs>
          <w:tab w:pos="3340" w:val="left" w:leader="none"/>
          <w:tab w:pos="3341" w:val="left" w:leader="none"/>
        </w:tabs>
        <w:spacing w:line="276" w:lineRule="auto" w:before="120" w:after="0"/>
        <w:ind w:left="1900" w:right="1220" w:firstLine="720"/>
        <w:jc w:val="left"/>
        <w:rPr>
          <w:sz w:val="22"/>
        </w:rPr>
      </w:pPr>
      <w:bookmarkStart w:name="7.3.9 PFAS Surrogates: An isotopically-l" w:id="89"/>
      <w:bookmarkEnd w:id="89"/>
      <w:r>
        <w:rPr/>
      </w:r>
      <w:bookmarkStart w:name="7.3.9 PFAS Surrogates: An isotopically-l" w:id="90"/>
      <w:bookmarkEnd w:id="90"/>
      <w:r>
        <w:rPr>
          <w:sz w:val="22"/>
        </w:rPr>
        <w:t>PFAS</w:t>
      </w:r>
      <w:r>
        <w:rPr>
          <w:sz w:val="22"/>
        </w:rPr>
        <w:t> Surrogates: An isotopically-labeled surrogate is recommended to be included for each target analyte. If an isotopically labeled surrogate of sufficient purity cannot be obtained, target analytes should be associated with surrogates that are as chemically similar as possible. For the multi-laboratory validation study, a mixture of 19 isotopically labeled surrogates was obtained from Wellington Laboratories (Catalog # MPFAC-24ES), containing each surrogate at a nominal concentration of 1000 ng/mL in methanol. See Table 6 for the surrogate list and the suggested target</w:t>
      </w:r>
      <w:r>
        <w:rPr>
          <w:spacing w:val="-13"/>
          <w:sz w:val="22"/>
        </w:rPr>
        <w:t> </w:t>
      </w:r>
      <w:r>
        <w:rPr>
          <w:sz w:val="22"/>
        </w:rPr>
        <w:t>associations.</w:t>
      </w:r>
    </w:p>
    <w:p>
      <w:pPr>
        <w:pStyle w:val="ListParagraph"/>
        <w:numPr>
          <w:ilvl w:val="1"/>
          <w:numId w:val="6"/>
        </w:numPr>
        <w:tabs>
          <w:tab w:pos="2620" w:val="left" w:leader="none"/>
          <w:tab w:pos="2621" w:val="left" w:leader="none"/>
        </w:tabs>
        <w:spacing w:line="276" w:lineRule="auto" w:before="120" w:after="0"/>
        <w:ind w:left="1180" w:right="1182" w:firstLine="720"/>
        <w:jc w:val="left"/>
        <w:rPr>
          <w:sz w:val="22"/>
        </w:rPr>
      </w:pPr>
      <w:r>
        <w:rPr>
          <w:sz w:val="22"/>
        </w:rPr>
        <w:t>Standard solutions - All standards must be kept away from PFAS-containing packaging and materials used in preparation and storage. To prevent standard solutions from degrading, all standard solutions should be stored at ≤6°C in the refrigerator. Standards must</w:t>
      </w:r>
      <w:r>
        <w:rPr>
          <w:spacing w:val="-25"/>
          <w:sz w:val="22"/>
        </w:rPr>
        <w:t> </w:t>
      </w:r>
      <w:r>
        <w:rPr>
          <w:sz w:val="22"/>
        </w:rPr>
        <w:t>be brought to room temperature and vortexed prior to use. Expiration date for standards prepared from neat materials is one year from the time prepared or manufacturer’s expiration</w:t>
      </w:r>
      <w:r>
        <w:rPr>
          <w:spacing w:val="-12"/>
          <w:sz w:val="22"/>
        </w:rPr>
        <w:t> </w:t>
      </w:r>
      <w:r>
        <w:rPr>
          <w:sz w:val="22"/>
        </w:rPr>
        <w:t>date,</w:t>
      </w:r>
    </w:p>
    <w:p>
      <w:pPr>
        <w:spacing w:after="0" w:line="276" w:lineRule="auto"/>
        <w:jc w:val="left"/>
        <w:rPr>
          <w:sz w:val="22"/>
        </w:rPr>
        <w:sectPr>
          <w:pgSz w:w="12240" w:h="15840"/>
          <w:pgMar w:header="0" w:footer="1134" w:top="1060" w:bottom="1400" w:left="260" w:right="260"/>
        </w:sectPr>
      </w:pPr>
    </w:p>
    <w:p>
      <w:pPr>
        <w:pStyle w:val="BodyText"/>
        <w:spacing w:line="276" w:lineRule="auto" w:before="70"/>
        <w:ind w:left="1180" w:right="1300"/>
      </w:pPr>
      <w:r>
        <w:rPr/>
        <w:t>whichever is shorter. The spiking standards and surrogates can be used for more than one year if they fall within ±20% of the expected concentration compared to a freshly opened stock.</w:t>
      </w:r>
    </w:p>
    <w:p>
      <w:pPr>
        <w:pStyle w:val="BodyText"/>
        <w:spacing w:line="276" w:lineRule="auto" w:before="120"/>
        <w:ind w:left="1180" w:right="1256" w:firstLine="720"/>
      </w:pPr>
      <w:r>
        <w:rPr/>
        <w:t>The suggested instructions for the preparation of calibration standard solutions and surrogates and target compounds spiking solutions are listed below. Different concentrations may be used depending on the sensitivity of the instrument, response of quantifier/qualifier, calibration range used, or needs of the project. All intermediate stocks and spiking solutions should be prepared in 95:5 acetonitrile-water using calibrated automatic pipettes with polypropylene tips. Standard solutions should be prepared and stored in HDPE or polypropylene containers. Alternate solvents (e.g. 96:4 MeOH-water) may be used provided that method performance is not adversely affected (esterification in MeOH solutions is known to occur; binding of longer chain PFAS to surfaces can occur at lower proportions of organic co- solvent).</w:t>
      </w:r>
    </w:p>
    <w:p>
      <w:pPr>
        <w:pStyle w:val="BodyText"/>
        <w:spacing w:line="276" w:lineRule="auto" w:before="121"/>
        <w:ind w:left="1180" w:right="1454" w:firstLine="720"/>
        <w:jc w:val="both"/>
      </w:pPr>
      <w:r>
        <w:rPr/>
        <w:t>The following sections have suggested spiking concentrations for 5 mL water samples from Method 3512 (Appendix B). Spiking amounts and concentrations should be adjusted as needed if other volumes/weights or other preparatory methods are used.</w:t>
      </w:r>
    </w:p>
    <w:p>
      <w:pPr>
        <w:pStyle w:val="ListParagraph"/>
        <w:numPr>
          <w:ilvl w:val="2"/>
          <w:numId w:val="6"/>
        </w:numPr>
        <w:tabs>
          <w:tab w:pos="3340" w:val="left" w:leader="none"/>
          <w:tab w:pos="3341" w:val="left" w:leader="none"/>
        </w:tabs>
        <w:spacing w:line="276" w:lineRule="auto" w:before="119" w:after="0"/>
        <w:ind w:left="1900" w:right="1334" w:firstLine="719"/>
        <w:jc w:val="left"/>
        <w:rPr>
          <w:sz w:val="22"/>
        </w:rPr>
      </w:pPr>
      <w:bookmarkStart w:name="7.4.1 PFAS surrogates spiking solution -" w:id="91"/>
      <w:bookmarkEnd w:id="91"/>
      <w:r>
        <w:rPr/>
      </w:r>
      <w:bookmarkStart w:name="7.4.1 PFAS surrogates spiking solution -" w:id="92"/>
      <w:bookmarkEnd w:id="92"/>
      <w:r>
        <w:rPr>
          <w:sz w:val="22"/>
        </w:rPr>
        <w:t>PFAS</w:t>
      </w:r>
      <w:r>
        <w:rPr>
          <w:sz w:val="22"/>
        </w:rPr>
        <w:t> surrogates spiking solution - Isotopically-labeled PFAS surrogates (Sec. 7.3.9) are added to samples prior to preparation. Addition of 40 µL of a 20 ng/mL surrogates spiking solution to a 5 mL water sample would result in surrogate concentrations of 160</w:t>
      </w:r>
      <w:r>
        <w:rPr>
          <w:spacing w:val="-1"/>
          <w:sz w:val="22"/>
        </w:rPr>
        <w:t> </w:t>
      </w:r>
      <w:r>
        <w:rPr>
          <w:sz w:val="22"/>
        </w:rPr>
        <w:t>ng/L.</w:t>
      </w:r>
    </w:p>
    <w:p>
      <w:pPr>
        <w:pStyle w:val="BodyText"/>
        <w:spacing w:line="276" w:lineRule="auto" w:before="120"/>
        <w:ind w:left="1900" w:right="1437" w:firstLine="719"/>
      </w:pPr>
      <w:bookmarkStart w:name="Example preparation of surrogates spikin" w:id="93"/>
      <w:bookmarkEnd w:id="93"/>
      <w:r>
        <w:rPr/>
      </w:r>
      <w:r>
        <w:rPr/>
        <w:t>Example preparation of surrogates spiking solution: A 200 µL aliquot of a stock PFAS surrogate mix at 1000 ng/mL concentration brought to 10 mL with 95:5 acetonitrile- water produces a solution at 20 ng/mL concentration.</w:t>
      </w:r>
    </w:p>
    <w:p>
      <w:pPr>
        <w:pStyle w:val="ListParagraph"/>
        <w:numPr>
          <w:ilvl w:val="2"/>
          <w:numId w:val="6"/>
        </w:numPr>
        <w:tabs>
          <w:tab w:pos="3340" w:val="left" w:leader="none"/>
          <w:tab w:pos="3341" w:val="left" w:leader="none"/>
        </w:tabs>
        <w:spacing w:line="276" w:lineRule="auto" w:before="120" w:after="0"/>
        <w:ind w:left="1900" w:right="1387" w:firstLine="719"/>
        <w:jc w:val="left"/>
        <w:rPr>
          <w:sz w:val="22"/>
        </w:rPr>
      </w:pPr>
      <w:bookmarkStart w:name="7.4.2 Matrix spike/matrix spike duplicat" w:id="94"/>
      <w:bookmarkEnd w:id="94"/>
      <w:r>
        <w:rPr/>
      </w:r>
      <w:bookmarkStart w:name="7.4.2 Matrix spike/matrix spike duplicat" w:id="95"/>
      <w:bookmarkEnd w:id="95"/>
      <w:r>
        <w:rPr>
          <w:sz w:val="22"/>
        </w:rPr>
        <w:t>M</w:t>
      </w:r>
      <w:r>
        <w:rPr>
          <w:sz w:val="22"/>
        </w:rPr>
        <w:t>atrix spike/matrix spike duplicate (MS/MSD) and laboratory control sample (LCS) spiking solution – PFAS target analytes (Sec. 7.3.8) are added to MS/MSD and LCS samples prior to preparation, at a concentration near the mid-point calibration standard after all preparation steps are completed. Addition of 40 µL of a 20 ng/mL (nom.) MS/MSD and LCS target compounds spiking solution to a 5 mL water sample would result in target analyte concentrations of 160</w:t>
      </w:r>
      <w:r>
        <w:rPr>
          <w:spacing w:val="-4"/>
          <w:sz w:val="22"/>
        </w:rPr>
        <w:t> </w:t>
      </w:r>
      <w:r>
        <w:rPr>
          <w:sz w:val="22"/>
        </w:rPr>
        <w:t>ng/L.</w:t>
      </w:r>
    </w:p>
    <w:p>
      <w:pPr>
        <w:pStyle w:val="BodyText"/>
        <w:spacing w:line="276" w:lineRule="auto" w:before="120"/>
        <w:ind w:left="1901" w:right="1332" w:firstLine="719"/>
        <w:jc w:val="both"/>
      </w:pPr>
      <w:bookmarkStart w:name="Example preparation of a MS/MSD and LCS " w:id="96"/>
      <w:bookmarkEnd w:id="96"/>
      <w:r>
        <w:rPr/>
      </w:r>
      <w:r>
        <w:rPr/>
        <w:t>Example preparation of a MS/MSD and LCS target compounds spiking solution: A 100 µL aliquot of a stock PFAS target mix at 2000 ng/mL concentration brought to 10 mL with 95:5 acetonitrile-water produces a solution at 20 ng/mL concentration (nom.).</w:t>
      </w:r>
    </w:p>
    <w:p>
      <w:pPr>
        <w:pStyle w:val="ListParagraph"/>
        <w:numPr>
          <w:ilvl w:val="2"/>
          <w:numId w:val="6"/>
        </w:numPr>
        <w:tabs>
          <w:tab w:pos="3341" w:val="left" w:leader="none"/>
          <w:tab w:pos="3342" w:val="left" w:leader="none"/>
        </w:tabs>
        <w:spacing w:line="276" w:lineRule="auto" w:before="120" w:after="0"/>
        <w:ind w:left="1901" w:right="1210" w:firstLine="719"/>
        <w:jc w:val="left"/>
        <w:rPr>
          <w:sz w:val="22"/>
        </w:rPr>
      </w:pPr>
      <w:bookmarkStart w:name="7.4.3 LLOQ verification spiking solution" w:id="97"/>
      <w:bookmarkEnd w:id="97"/>
      <w:r>
        <w:rPr/>
      </w:r>
      <w:bookmarkStart w:name="7.4.3 LLOQ verification spiking solution" w:id="98"/>
      <w:bookmarkEnd w:id="98"/>
      <w:r>
        <w:rPr>
          <w:sz w:val="22"/>
        </w:rPr>
        <w:t>LL</w:t>
      </w:r>
      <w:r>
        <w:rPr>
          <w:sz w:val="22"/>
        </w:rPr>
        <w:t>OQ verification spiking solution – PFAS target analytes (Sec. 7.3.8) are added to LLOQ verification QC samples prior to preparation, at a concentration near the LLOQ (i.e., ½ to 2X the laboratory’s established LLOQ; See Sec. 9.9). For example, an LLOQ verification QC sample can be prepared by spiking 25 µL of target compounds spiking solution at 2 ng/mL (nom.) into a 5 mL reagent water sample, resulting in target analyte concentrations of 10</w:t>
      </w:r>
      <w:r>
        <w:rPr>
          <w:spacing w:val="-2"/>
          <w:sz w:val="22"/>
        </w:rPr>
        <w:t> </w:t>
      </w:r>
      <w:r>
        <w:rPr>
          <w:sz w:val="22"/>
        </w:rPr>
        <w:t>ng/L.</w:t>
      </w:r>
    </w:p>
    <w:p>
      <w:pPr>
        <w:pStyle w:val="BodyText"/>
        <w:spacing w:line="276" w:lineRule="auto" w:before="120"/>
        <w:ind w:left="1902" w:right="1318" w:firstLine="720"/>
        <w:jc w:val="both"/>
      </w:pPr>
      <w:bookmarkStart w:name="Example preparation of an LLOQ verificat" w:id="99"/>
      <w:bookmarkEnd w:id="99"/>
      <w:r>
        <w:rPr/>
      </w:r>
      <w:r>
        <w:rPr/>
        <w:t>Example preparation of an LLOQ verification spiking solution: A 10 µL aliquot of a stock PFAS target mix at 2000 ng/mL concentration diluted to a final volume of 10 mL with 95:5 acetonitrile-water produces a solution at 2 ng/mL concentration (nom.).</w:t>
      </w:r>
    </w:p>
    <w:p>
      <w:pPr>
        <w:spacing w:after="0" w:line="276" w:lineRule="auto"/>
        <w:jc w:val="both"/>
        <w:sectPr>
          <w:pgSz w:w="12240" w:h="15840"/>
          <w:pgMar w:header="0" w:footer="1134" w:top="1060" w:bottom="1400" w:left="260" w:right="260"/>
        </w:sectPr>
      </w:pPr>
    </w:p>
    <w:p>
      <w:pPr>
        <w:pStyle w:val="ListParagraph"/>
        <w:numPr>
          <w:ilvl w:val="2"/>
          <w:numId w:val="6"/>
        </w:numPr>
        <w:tabs>
          <w:tab w:pos="3340" w:val="left" w:leader="none"/>
          <w:tab w:pos="3341" w:val="left" w:leader="none"/>
        </w:tabs>
        <w:spacing w:line="276" w:lineRule="auto" w:before="70" w:after="0"/>
        <w:ind w:left="1900" w:right="1184" w:firstLine="719"/>
        <w:jc w:val="left"/>
        <w:rPr>
          <w:sz w:val="22"/>
        </w:rPr>
      </w:pPr>
      <w:bookmarkStart w:name="7.4.4 Calibration standards - Two types " w:id="100"/>
      <w:bookmarkEnd w:id="100"/>
      <w:r>
        <w:rPr/>
      </w:r>
      <w:bookmarkStart w:name="7.4.4 Calibration standards - Two types " w:id="101"/>
      <w:bookmarkEnd w:id="101"/>
      <w:r>
        <w:rPr>
          <w:sz w:val="22"/>
        </w:rPr>
        <w:t>C</w:t>
      </w:r>
      <w:r>
        <w:rPr>
          <w:sz w:val="22"/>
        </w:rPr>
        <w:t>alibration standards - Two types of calibration standards are used for this method: standards made from the primary source for ICAL and continuing calibration verification (CCV), and standards made from a second source for initial calibration verification (ICV). When using premixed certified solutions, store according to the manufacturer's documented holding time and storage temperature recommendations.</w:t>
      </w:r>
    </w:p>
    <w:p>
      <w:pPr>
        <w:pStyle w:val="BodyText"/>
        <w:spacing w:line="276" w:lineRule="auto" w:before="121"/>
        <w:ind w:left="2620" w:right="1185" w:hanging="720"/>
      </w:pPr>
      <w:bookmarkStart w:name="NOTE: Some PFAS analytes have both linea" w:id="102"/>
      <w:bookmarkEnd w:id="102"/>
      <w:r>
        <w:rPr/>
      </w:r>
      <w:r>
        <w:rPr>
          <w:u w:val="single"/>
        </w:rPr>
        <w:t>NOTE</w:t>
      </w:r>
      <w:r>
        <w:rPr/>
        <w:t>: Some PFAS analytes have both linear and branched isomers present in commercially available standards (e.g., PFHxS, PFOS, N-MeFOSAA and</w:t>
      </w:r>
      <w:r>
        <w:rPr>
          <w:spacing w:val="-24"/>
        </w:rPr>
        <w:t> </w:t>
      </w:r>
      <w:r>
        <w:rPr/>
        <w:t>N- EtFOSAA).</w:t>
      </w:r>
    </w:p>
    <w:p>
      <w:pPr>
        <w:pStyle w:val="ListParagraph"/>
        <w:numPr>
          <w:ilvl w:val="3"/>
          <w:numId w:val="6"/>
        </w:numPr>
        <w:tabs>
          <w:tab w:pos="4239" w:val="left" w:leader="none"/>
          <w:tab w:pos="4240" w:val="left" w:leader="none"/>
        </w:tabs>
        <w:spacing w:line="276" w:lineRule="auto" w:before="119" w:after="0"/>
        <w:ind w:left="2619" w:right="1246" w:firstLine="720"/>
        <w:jc w:val="left"/>
        <w:rPr>
          <w:sz w:val="22"/>
        </w:rPr>
      </w:pPr>
      <w:bookmarkStart w:name="7.4.4.1 ICAL: ICAL standards must be pre" w:id="103"/>
      <w:bookmarkEnd w:id="103"/>
      <w:r>
        <w:rPr/>
      </w:r>
      <w:bookmarkStart w:name="7.4.4.1 ICAL: ICAL standards must be pre" w:id="104"/>
      <w:bookmarkEnd w:id="104"/>
      <w:r>
        <w:rPr>
          <w:sz w:val="22"/>
        </w:rPr>
        <w:t>I</w:t>
      </w:r>
      <w:r>
        <w:rPr>
          <w:sz w:val="22"/>
        </w:rPr>
        <w:t>CAL: ICAL standards must be prepared at a minimum of five different concentrations and are recommended to be prepared using the target and surrogates spiking solutions in Secs. 7.4.1 and 7.4.2, or from dilutions of the calibration standards stock described below. Include a minimum of five different concentrations in the calibration for a linear (first-order) calibration model and six different concentrations for a quadratic (second-order) model with the low standard at or below the LLOQ (see Sec. 9.9 and Method 8000). At least one of the calibration standards should correspond to a sample concentration at or below that necessary to meet the DQOs of the project. The remaining standards should correspond to the range of concentrations found in actual samples but should not exceed the working range of the LC/MS/MS system. Each standard and/or series of calibration standards prepared at a given concentration should contain all the desired project-specific target analytes for which qualitative and quantitative results are to be reported by this</w:t>
      </w:r>
      <w:r>
        <w:rPr>
          <w:spacing w:val="-3"/>
          <w:sz w:val="22"/>
        </w:rPr>
        <w:t> </w:t>
      </w:r>
      <w:r>
        <w:rPr>
          <w:sz w:val="22"/>
        </w:rPr>
        <w:t>method.</w:t>
      </w:r>
    </w:p>
    <w:p>
      <w:pPr>
        <w:pStyle w:val="BodyText"/>
        <w:spacing w:line="276" w:lineRule="auto" w:before="121"/>
        <w:ind w:left="2620" w:right="1204" w:firstLine="720"/>
      </w:pPr>
      <w:bookmarkStart w:name="Table 4 contains suggested calibration l" w:id="105"/>
      <w:bookmarkEnd w:id="105"/>
      <w:r>
        <w:rPr/>
      </w:r>
      <w:r>
        <w:rPr/>
        <w:t>Table 4 contains suggested calibration levels that were used during validation of this method. Other concentrations or fewer standards may be used depending on the needs of the project or sensitivity of the LC/MS/MS system. A primary dilution standard (PDS) at 200 ng/L can be prepared by adding 100 µL of the surrogate spike at 20 ng/mL (Sec. 7.4.1) and 100 µL of the PFAS target compounds spike at 20 ng/mL (Sec. 7.4.2) and bringing to 10 mL with a 50:50 methanol-water solution containing 0.1% acetic acid (</w:t>
      </w:r>
      <w:r>
        <w:rPr>
          <w:i/>
        </w:rPr>
        <w:t>e.g.</w:t>
      </w:r>
      <w:r>
        <w:rPr/>
        <w:t>, 10 uL glacial acetic acid into 10 mL). The PDS can be used to prepare lower concentration ICAL standards, e.g., 5 ng/L – 150 ng/L (Table 4) by diluting aliquots of the PDS with appropriate volumes of 50:50 methanol-water containing 0.1% acetic acid.</w:t>
      </w:r>
    </w:p>
    <w:p>
      <w:pPr>
        <w:pStyle w:val="BodyText"/>
        <w:spacing w:line="276" w:lineRule="auto" w:before="120"/>
        <w:ind w:left="3340" w:right="1279" w:hanging="720"/>
      </w:pPr>
      <w:bookmarkStart w:name="NOTE: Calibration standards should not b" w:id="106"/>
      <w:bookmarkEnd w:id="106"/>
      <w:r>
        <w:rPr/>
      </w:r>
      <w:r>
        <w:rPr>
          <w:u w:val="single"/>
        </w:rPr>
        <w:t>NOTE</w:t>
      </w:r>
      <w:r>
        <w:rPr/>
        <w:t>: Calibration standards should not be reused once the cap is pierced unless the vial is immediately recapped. Volatile losses can occur rapidly because punctures of polyethylene caps leave large holes, and there is no septum to mitigate losses.</w:t>
      </w:r>
    </w:p>
    <w:p>
      <w:pPr>
        <w:spacing w:after="0" w:line="276" w:lineRule="auto"/>
        <w:sectPr>
          <w:pgSz w:w="12240" w:h="15840"/>
          <w:pgMar w:header="0" w:footer="1134" w:top="1060" w:bottom="1400" w:left="260" w:right="260"/>
        </w:sectPr>
      </w:pPr>
    </w:p>
    <w:p>
      <w:pPr>
        <w:pStyle w:val="ListParagraph"/>
        <w:numPr>
          <w:ilvl w:val="3"/>
          <w:numId w:val="6"/>
        </w:numPr>
        <w:tabs>
          <w:tab w:pos="4239" w:val="left" w:leader="none"/>
          <w:tab w:pos="4240" w:val="left" w:leader="none"/>
        </w:tabs>
        <w:spacing w:line="276" w:lineRule="auto" w:before="70" w:after="0"/>
        <w:ind w:left="2620" w:right="1186" w:firstLine="720"/>
        <w:jc w:val="left"/>
        <w:rPr>
          <w:sz w:val="22"/>
        </w:rPr>
      </w:pPr>
      <w:bookmarkStart w:name="7.4.4.2 ICV: Second source standards for" w:id="107"/>
      <w:bookmarkEnd w:id="107"/>
      <w:r>
        <w:rPr/>
      </w:r>
      <w:bookmarkStart w:name="7.4.4.2 ICV: Second source standards for" w:id="108"/>
      <w:bookmarkEnd w:id="108"/>
      <w:r>
        <w:rPr>
          <w:sz w:val="22"/>
        </w:rPr>
        <w:t>I</w:t>
      </w:r>
      <w:r>
        <w:rPr>
          <w:sz w:val="22"/>
        </w:rPr>
        <w:t>CV: Second source standards for ICV must be prepared using source materials from a second manufacturer or from a </w:t>
      </w:r>
      <w:r>
        <w:rPr>
          <w:sz w:val="22"/>
          <w:u w:val="single"/>
        </w:rPr>
        <w:t>manufacturer's batch prepared independently</w:t>
      </w:r>
      <w:r>
        <w:rPr>
          <w:sz w:val="22"/>
        </w:rPr>
        <w:t> from the batch used for calibration. A second lot number from the same manufacturer may be adequate to meet this requirement. Target analytes in the ICV are recommended to be prepared at concentrations near the mid-point of the calibration range. The standard must contain all calibrated</w:t>
      </w:r>
      <w:r>
        <w:rPr>
          <w:spacing w:val="-22"/>
          <w:sz w:val="22"/>
        </w:rPr>
        <w:t> </w:t>
      </w:r>
      <w:r>
        <w:rPr>
          <w:sz w:val="22"/>
        </w:rPr>
        <w:t>target analytes that will be reported for the project, if readily</w:t>
      </w:r>
      <w:r>
        <w:rPr>
          <w:spacing w:val="-5"/>
          <w:sz w:val="22"/>
        </w:rPr>
        <w:t> </w:t>
      </w:r>
      <w:r>
        <w:rPr>
          <w:sz w:val="22"/>
        </w:rPr>
        <w:t>available.</w:t>
      </w:r>
    </w:p>
    <w:p>
      <w:pPr>
        <w:pStyle w:val="ListParagraph"/>
        <w:numPr>
          <w:ilvl w:val="3"/>
          <w:numId w:val="6"/>
        </w:numPr>
        <w:tabs>
          <w:tab w:pos="4239" w:val="left" w:leader="none"/>
          <w:tab w:pos="4240" w:val="left" w:leader="none"/>
        </w:tabs>
        <w:spacing w:line="276" w:lineRule="auto" w:before="121" w:after="0"/>
        <w:ind w:left="2620" w:right="1254" w:firstLine="719"/>
        <w:jc w:val="left"/>
        <w:rPr>
          <w:sz w:val="22"/>
        </w:rPr>
      </w:pPr>
      <w:bookmarkStart w:name="7.4.4.3 Continuing calibration verificat" w:id="109"/>
      <w:bookmarkEnd w:id="109"/>
      <w:r>
        <w:rPr/>
      </w:r>
      <w:bookmarkStart w:name="7.4.4.3 Continuing calibration verificat" w:id="110"/>
      <w:bookmarkEnd w:id="110"/>
      <w:r>
        <w:rPr>
          <w:sz w:val="22"/>
        </w:rPr>
        <w:t>C</w:t>
      </w:r>
      <w:r>
        <w:rPr>
          <w:sz w:val="22"/>
        </w:rPr>
        <w:t>ontinuing calibration verification (CCV): CCV standards should be prepared in the same manner as ICAL standards at concentrations near the middle of the calibration</w:t>
      </w:r>
      <w:r>
        <w:rPr>
          <w:spacing w:val="-2"/>
          <w:sz w:val="22"/>
        </w:rPr>
        <w:t> </w:t>
      </w:r>
      <w:r>
        <w:rPr>
          <w:sz w:val="22"/>
        </w:rPr>
        <w:t>range.</w:t>
      </w:r>
    </w:p>
    <w:p>
      <w:pPr>
        <w:pStyle w:val="BodyText"/>
        <w:spacing w:line="276" w:lineRule="auto" w:before="120"/>
        <w:ind w:left="2620" w:right="1594" w:hanging="720"/>
      </w:pPr>
      <w:bookmarkStart w:name="NOTE: It may be useful to prepare CCV st" w:id="111"/>
      <w:bookmarkEnd w:id="111"/>
      <w:r>
        <w:rPr/>
      </w:r>
      <w:r>
        <w:rPr>
          <w:u w:val="single"/>
        </w:rPr>
        <w:t>NOTE</w:t>
      </w:r>
      <w:r>
        <w:rPr/>
        <w:t>: It may be useful to prepare CCV standards at larger volumes and aliquot into multiple autosampler vials so individual autosampler vials do not have to be reused.</w:t>
      </w:r>
    </w:p>
    <w:p>
      <w:pPr>
        <w:pStyle w:val="BodyText"/>
        <w:spacing w:before="3"/>
        <w:rPr>
          <w:sz w:val="31"/>
        </w:rPr>
      </w:pPr>
    </w:p>
    <w:p>
      <w:pPr>
        <w:pStyle w:val="ListParagraph"/>
        <w:numPr>
          <w:ilvl w:val="1"/>
          <w:numId w:val="7"/>
        </w:numPr>
        <w:tabs>
          <w:tab w:pos="1899" w:val="left" w:leader="none"/>
          <w:tab w:pos="1901" w:val="left" w:leader="none"/>
        </w:tabs>
        <w:spacing w:line="240" w:lineRule="auto" w:before="0" w:after="0"/>
        <w:ind w:left="1900" w:right="0" w:hanging="721"/>
        <w:jc w:val="left"/>
        <w:rPr>
          <w:sz w:val="22"/>
        </w:rPr>
      </w:pPr>
      <w:bookmarkStart w:name="8.0 SAMPLE COLLECTION, PRESERVATION, AND" w:id="112"/>
      <w:bookmarkEnd w:id="112"/>
      <w:r>
        <w:rPr/>
      </w:r>
      <w:bookmarkStart w:name="_bookmark7" w:id="113"/>
      <w:bookmarkEnd w:id="113"/>
      <w:r>
        <w:rPr/>
      </w:r>
      <w:bookmarkStart w:name="_bookmark7" w:id="114"/>
      <w:bookmarkEnd w:id="114"/>
      <w:r>
        <w:rPr>
          <w:sz w:val="22"/>
        </w:rPr>
        <w:t>SAMPLE</w:t>
      </w:r>
      <w:r>
        <w:rPr>
          <w:sz w:val="22"/>
        </w:rPr>
        <w:t> COLLECTION, PRESERVATION, AND</w:t>
      </w:r>
      <w:r>
        <w:rPr>
          <w:spacing w:val="-1"/>
          <w:sz w:val="22"/>
        </w:rPr>
        <w:t> </w:t>
      </w:r>
      <w:r>
        <w:rPr>
          <w:sz w:val="22"/>
        </w:rPr>
        <w:t>STORAGE</w:t>
      </w:r>
    </w:p>
    <w:p>
      <w:pPr>
        <w:pStyle w:val="BodyText"/>
        <w:spacing w:before="3"/>
        <w:rPr>
          <w:sz w:val="24"/>
        </w:rPr>
      </w:pPr>
    </w:p>
    <w:p>
      <w:pPr>
        <w:pStyle w:val="BodyText"/>
        <w:spacing w:line="276" w:lineRule="auto"/>
        <w:ind w:left="1179" w:right="1185" w:firstLine="720"/>
      </w:pPr>
      <w:r>
        <w:rPr/>
        <w:t>Sample collection, preservation, and storage requirements may vary by EPA program and may be specified in a regulation or project planning document that requires compliance monitoring for a given contaminant. Where such requirements are specified in the regulation, follow those requirements. In the absence of specific regulatory requirements, use the following information as guidance in determining the sample collection, preservation, and storage requirements.</w:t>
      </w:r>
    </w:p>
    <w:p>
      <w:pPr>
        <w:pStyle w:val="ListParagraph"/>
        <w:numPr>
          <w:ilvl w:val="1"/>
          <w:numId w:val="7"/>
        </w:numPr>
        <w:tabs>
          <w:tab w:pos="2620" w:val="left" w:leader="none"/>
          <w:tab w:pos="2621" w:val="left" w:leader="none"/>
        </w:tabs>
        <w:spacing w:line="276" w:lineRule="auto" w:before="119" w:after="0"/>
        <w:ind w:left="1180" w:right="1208" w:firstLine="719"/>
        <w:jc w:val="left"/>
        <w:rPr>
          <w:sz w:val="22"/>
        </w:rPr>
      </w:pPr>
      <w:bookmarkStart w:name="8.1 Sample collection criteria - Grab sa" w:id="115"/>
      <w:bookmarkEnd w:id="115"/>
      <w:r>
        <w:rPr/>
      </w:r>
      <w:bookmarkStart w:name="8.1 Sample collection criteria - Grab sa" w:id="116"/>
      <w:bookmarkEnd w:id="116"/>
      <w:r>
        <w:rPr>
          <w:sz w:val="22"/>
        </w:rPr>
        <w:t>S</w:t>
      </w:r>
      <w:r>
        <w:rPr>
          <w:sz w:val="22"/>
        </w:rPr>
        <w:t>ample collection criteria - Grab samples are collected in high density polyethylene (HDPE) or polypropylene containers. PTFE containers and contact surfaces with PTFE must be avoided. Depending on the needs of the project, field blanks may be required and must follow recommended PFAS sampling practices, where available.  The samplers should acquire pre-verified reagent water and bottles from the analytical laboratory for</w:t>
      </w:r>
      <w:r>
        <w:rPr>
          <w:spacing w:val="-23"/>
          <w:sz w:val="22"/>
        </w:rPr>
        <w:t> </w:t>
      </w:r>
      <w:r>
        <w:rPr>
          <w:sz w:val="22"/>
        </w:rPr>
        <w:t>preparing field blanks, where</w:t>
      </w:r>
      <w:r>
        <w:rPr>
          <w:spacing w:val="-2"/>
          <w:sz w:val="22"/>
        </w:rPr>
        <w:t> </w:t>
      </w:r>
      <w:r>
        <w:rPr>
          <w:sz w:val="22"/>
        </w:rPr>
        <w:t>practical.</w:t>
      </w:r>
    </w:p>
    <w:p>
      <w:pPr>
        <w:pStyle w:val="BodyText"/>
        <w:spacing w:before="120"/>
        <w:ind w:left="1900"/>
      </w:pPr>
      <w:r>
        <w:rPr/>
        <w:t>Surface binding of target compounds in water to collection containers is known to occur.</w:t>
      </w:r>
    </w:p>
    <w:p>
      <w:pPr>
        <w:pStyle w:val="BodyText"/>
        <w:spacing w:line="276" w:lineRule="auto" w:before="37"/>
        <w:ind w:left="1180" w:right="1185"/>
      </w:pPr>
      <w:r>
        <w:rPr/>
        <w:t>If possible, volumes collected for water samples should match volumes consumed in the laboratory’s preparation procedure (e.g., for Method 3512, collect 5 mL of sample in 15 mL container to allow volume for the 1:1 dilution in the original container). The laboratory must prepare the entire sample. Each field sample and QC sample must be collected in its own container, including field blanks, MS/MSDs, and duplicates.</w:t>
      </w:r>
    </w:p>
    <w:p>
      <w:pPr>
        <w:pStyle w:val="BodyText"/>
        <w:spacing w:line="276" w:lineRule="auto" w:before="122"/>
        <w:ind w:left="1990" w:right="1160" w:hanging="749"/>
      </w:pPr>
      <w:r>
        <w:rPr>
          <w:u w:val="single"/>
        </w:rPr>
        <w:t>NOTE:</w:t>
      </w:r>
      <w:r>
        <w:rPr/>
        <w:t> REMOVING AN ALIQUOT OF WATER FROM A CONTAINER PRIOR TO ADDITION OF ORGANIC SOLVENT IS NOT RECOMMENDED AND CAN RESULT IN SIGNIFICANT LOSS OF LONGER-CHAIN PFAS TARGETS (e.g., carboxylic acids ≥C</w:t>
      </w:r>
      <w:r>
        <w:rPr>
          <w:vertAlign w:val="subscript"/>
        </w:rPr>
        <w:t>9</w:t>
      </w:r>
      <w:r>
        <w:rPr>
          <w:vertAlign w:val="baseline"/>
        </w:rPr>
        <w:t>,</w:t>
      </w:r>
    </w:p>
    <w:p>
      <w:pPr>
        <w:pStyle w:val="BodyText"/>
        <w:spacing w:line="276" w:lineRule="auto"/>
        <w:ind w:left="1990" w:right="1269" w:hanging="1"/>
      </w:pPr>
      <w:r>
        <w:rPr/>
        <w:t>sulfonic acids ≥C</w:t>
      </w:r>
      <w:r>
        <w:rPr>
          <w:vertAlign w:val="subscript"/>
        </w:rPr>
        <w:t>7</w:t>
      </w:r>
      <w:r>
        <w:rPr>
          <w:vertAlign w:val="baseline"/>
        </w:rPr>
        <w:t>). Water samples and sample extracts containing significant amounts of water may only be transferred to additional containers if 50% organic co-solvent content is achieved prior to transfer. Otherwise, quantitative transfer can be achieved</w:t>
      </w:r>
    </w:p>
    <w:p>
      <w:pPr>
        <w:spacing w:after="0" w:line="276" w:lineRule="auto"/>
        <w:sectPr>
          <w:pgSz w:w="12240" w:h="15840"/>
          <w:pgMar w:header="0" w:footer="1134" w:top="1060" w:bottom="1400" w:left="260" w:right="260"/>
        </w:sectPr>
      </w:pPr>
    </w:p>
    <w:p>
      <w:pPr>
        <w:pStyle w:val="BodyText"/>
        <w:spacing w:line="276" w:lineRule="auto" w:before="70"/>
        <w:ind w:left="1990" w:right="1628" w:hanging="1"/>
      </w:pPr>
      <w:r>
        <w:rPr/>
        <w:t>by solvent-rinsing the empty container with methanol. Refer to Sec. 11.1.1 for more details.</w:t>
      </w:r>
    </w:p>
    <w:p>
      <w:pPr>
        <w:pStyle w:val="BodyText"/>
        <w:spacing w:line="276" w:lineRule="auto" w:before="120"/>
        <w:ind w:left="1180" w:right="1264" w:firstLine="720"/>
      </w:pPr>
      <w:r>
        <w:rPr/>
        <w:t>Conventional laboratory practices involving chain of custody, field sampling, lab custody beginning with receipt and transfer custody, and sampling protocols should be followed. Extra samples must be collected in order to analyze duplicate and matrix spike samples for quality assurance (QA) and QC purposes.</w:t>
      </w:r>
    </w:p>
    <w:p>
      <w:pPr>
        <w:pStyle w:val="ListParagraph"/>
        <w:numPr>
          <w:ilvl w:val="1"/>
          <w:numId w:val="7"/>
        </w:numPr>
        <w:tabs>
          <w:tab w:pos="2620" w:val="left" w:leader="none"/>
          <w:tab w:pos="2621" w:val="left" w:leader="none"/>
        </w:tabs>
        <w:spacing w:line="276" w:lineRule="auto" w:before="121" w:after="0"/>
        <w:ind w:left="1181" w:right="1196" w:firstLine="719"/>
        <w:jc w:val="left"/>
        <w:rPr>
          <w:sz w:val="22"/>
        </w:rPr>
      </w:pPr>
      <w:r>
        <w:rPr>
          <w:sz w:val="22"/>
        </w:rPr>
        <w:t>Sample preservation and storage - All samples are iced or refrigerated at ≤6 °C from the time of collection until sample analysis. In the laboratory, samples and sample extracts should be stored in the refrigerator at ≤6 °C while not being analyzed. Formal holding times have not yet been established for these analytes in various matrices. Based on an EPA preliminary holding time study, a 28-day limit from sample collection to preparation of solids or waters, and a 30-day limit from preparation to analysis of sample extracts may be used as a guide until a more formal study is</w:t>
      </w:r>
      <w:r>
        <w:rPr>
          <w:spacing w:val="-3"/>
          <w:sz w:val="22"/>
        </w:rPr>
        <w:t> </w:t>
      </w:r>
      <w:r>
        <w:rPr>
          <w:sz w:val="22"/>
        </w:rPr>
        <w:t>completed.</w:t>
      </w:r>
    </w:p>
    <w:p>
      <w:pPr>
        <w:pStyle w:val="BodyText"/>
        <w:spacing w:line="276" w:lineRule="auto" w:before="119"/>
        <w:ind w:left="2621" w:right="1386" w:hanging="721"/>
      </w:pPr>
      <w:r>
        <w:rPr/>
        <w:t>NOTE: Freezing samples can prevent losses and degradation of some target and non- target PFAS into other PFAS target analytes. See Sec. 16.0, Reference 7.</w:t>
      </w:r>
    </w:p>
    <w:p>
      <w:pPr>
        <w:pStyle w:val="BodyText"/>
        <w:spacing w:before="4"/>
        <w:rPr>
          <w:sz w:val="31"/>
        </w:rPr>
      </w:pPr>
    </w:p>
    <w:p>
      <w:pPr>
        <w:pStyle w:val="ListParagraph"/>
        <w:numPr>
          <w:ilvl w:val="1"/>
          <w:numId w:val="8"/>
        </w:numPr>
        <w:tabs>
          <w:tab w:pos="1901" w:val="left" w:leader="none"/>
          <w:tab w:pos="1902" w:val="left" w:leader="none"/>
        </w:tabs>
        <w:spacing w:line="240" w:lineRule="auto" w:before="0" w:after="0"/>
        <w:ind w:left="1901" w:right="0" w:hanging="721"/>
        <w:jc w:val="left"/>
        <w:rPr>
          <w:sz w:val="22"/>
        </w:rPr>
      </w:pPr>
      <w:bookmarkStart w:name="9.0 QUALITY CONTROL" w:id="117"/>
      <w:bookmarkEnd w:id="117"/>
      <w:r>
        <w:rPr/>
      </w:r>
      <w:bookmarkStart w:name="_bookmark8" w:id="118"/>
      <w:bookmarkEnd w:id="118"/>
      <w:r>
        <w:rPr/>
      </w:r>
      <w:bookmarkStart w:name="_bookmark8" w:id="119"/>
      <w:bookmarkEnd w:id="119"/>
      <w:r>
        <w:rPr>
          <w:sz w:val="22"/>
        </w:rPr>
        <w:t>Q</w:t>
      </w:r>
      <w:r>
        <w:rPr>
          <w:sz w:val="22"/>
        </w:rPr>
        <w:t>UALITY CONTROL</w:t>
      </w:r>
    </w:p>
    <w:p>
      <w:pPr>
        <w:pStyle w:val="BodyText"/>
        <w:spacing w:before="1"/>
        <w:rPr>
          <w:sz w:val="24"/>
        </w:rPr>
      </w:pPr>
    </w:p>
    <w:p>
      <w:pPr>
        <w:pStyle w:val="ListParagraph"/>
        <w:numPr>
          <w:ilvl w:val="1"/>
          <w:numId w:val="8"/>
        </w:numPr>
        <w:tabs>
          <w:tab w:pos="2621" w:val="left" w:leader="none"/>
          <w:tab w:pos="2622" w:val="left" w:leader="none"/>
        </w:tabs>
        <w:spacing w:line="276" w:lineRule="auto" w:before="1" w:after="0"/>
        <w:ind w:left="1181" w:right="1339" w:firstLine="719"/>
        <w:jc w:val="left"/>
        <w:rPr>
          <w:sz w:val="22"/>
        </w:rPr>
      </w:pPr>
      <w:bookmarkStart w:name="9.1 General guidance - Refer to SW-846 C" w:id="120"/>
      <w:bookmarkEnd w:id="120"/>
      <w:r>
        <w:rPr/>
      </w:r>
      <w:bookmarkStart w:name="9.1 General guidance - Refer to SW-846 C" w:id="121"/>
      <w:bookmarkEnd w:id="121"/>
      <w:r>
        <w:rPr>
          <w:sz w:val="22"/>
        </w:rPr>
        <w:t>G</w:t>
      </w:r>
      <w:r>
        <w:rPr>
          <w:sz w:val="22"/>
        </w:rPr>
        <w:t>eneral guidance - Refer to SW-846 Chapter One for guidance on quality assurance (QA) and QC protocols. When inconsistencies exist between QC guidelines, method-specific QC criteria take precedence over both technique-specific criteria and Chapter One criteria; technique-specific QC criteria take precedence over Chapter One criteria. Any effort involving collection of analytical data should include development of a structured and systematic planning document, such as a quality assurance project plan (QAPP) or a</w:t>
      </w:r>
      <w:r>
        <w:rPr>
          <w:spacing w:val="-23"/>
          <w:sz w:val="22"/>
        </w:rPr>
        <w:t> </w:t>
      </w:r>
      <w:r>
        <w:rPr>
          <w:sz w:val="22"/>
        </w:rPr>
        <w:t>sampling</w:t>
      </w:r>
    </w:p>
    <w:p>
      <w:pPr>
        <w:pStyle w:val="BodyText"/>
        <w:spacing w:line="276" w:lineRule="auto"/>
        <w:ind w:left="1181" w:right="1164"/>
      </w:pPr>
      <w:r>
        <w:rPr/>
        <w:t>and analysis plan (SAP), which translates project objectives and specifications into directions for those implementing the project and assess the results.</w:t>
      </w:r>
    </w:p>
    <w:p>
      <w:pPr>
        <w:pStyle w:val="BodyText"/>
        <w:spacing w:line="276" w:lineRule="auto" w:before="120"/>
        <w:ind w:left="1181" w:right="1185" w:firstLine="720"/>
      </w:pPr>
      <w:bookmarkStart w:name="Each laboratory should maintain a formal" w:id="122"/>
      <w:bookmarkEnd w:id="122"/>
      <w:r>
        <w:rPr/>
      </w:r>
      <w:r>
        <w:rPr/>
        <w:t>Each laboratory should maintain a formal QA program. The laboratory should also maintain records to document the quality of the data generated. Development of in-house QC limits for each method is encouraged. All data sheets and QC data should be maintained for reference or inspection.</w:t>
      </w:r>
    </w:p>
    <w:p>
      <w:pPr>
        <w:pStyle w:val="ListParagraph"/>
        <w:numPr>
          <w:ilvl w:val="1"/>
          <w:numId w:val="8"/>
        </w:numPr>
        <w:tabs>
          <w:tab w:pos="2621" w:val="left" w:leader="none"/>
          <w:tab w:pos="2622" w:val="left" w:leader="none"/>
        </w:tabs>
        <w:spacing w:line="276" w:lineRule="auto" w:before="120" w:after="0"/>
        <w:ind w:left="1181" w:right="1254" w:firstLine="719"/>
        <w:jc w:val="left"/>
        <w:rPr>
          <w:sz w:val="22"/>
        </w:rPr>
      </w:pPr>
      <w:bookmarkStart w:name="9.2 Refer to Method 8000 for specific de" w:id="123"/>
      <w:bookmarkEnd w:id="123"/>
      <w:r>
        <w:rPr/>
      </w:r>
      <w:bookmarkStart w:name="9.2 Refer to Method 8000 for specific de" w:id="124"/>
      <w:bookmarkEnd w:id="124"/>
      <w:r>
        <w:rPr>
          <w:sz w:val="22"/>
        </w:rPr>
        <w:t>R</w:t>
      </w:r>
      <w:r>
        <w:rPr>
          <w:sz w:val="22"/>
        </w:rPr>
        <w:t>efer to Method 8000 for specific determinative method QC procedures. Refer to Method 3500 and 3600 for QC procedures to ensure the proper operation of the various sample preparation and cleanup techniques. Any more specific QC procedures provided in this method will supersede those noted in Methods 3500, 3600 or</w:t>
      </w:r>
      <w:r>
        <w:rPr>
          <w:spacing w:val="-2"/>
          <w:sz w:val="22"/>
        </w:rPr>
        <w:t> </w:t>
      </w:r>
      <w:r>
        <w:rPr>
          <w:sz w:val="22"/>
        </w:rPr>
        <w:t>8000.</w:t>
      </w:r>
    </w:p>
    <w:p>
      <w:pPr>
        <w:pStyle w:val="ListParagraph"/>
        <w:numPr>
          <w:ilvl w:val="1"/>
          <w:numId w:val="8"/>
        </w:numPr>
        <w:tabs>
          <w:tab w:pos="2621" w:val="left" w:leader="none"/>
          <w:tab w:pos="2622" w:val="left" w:leader="none"/>
        </w:tabs>
        <w:spacing w:line="276" w:lineRule="auto" w:before="120" w:after="0"/>
        <w:ind w:left="1181" w:right="1735" w:firstLine="719"/>
        <w:jc w:val="left"/>
        <w:rPr>
          <w:sz w:val="22"/>
        </w:rPr>
      </w:pPr>
      <w:bookmarkStart w:name="9.3 QC procedures necessary to evaluate " w:id="125"/>
      <w:bookmarkEnd w:id="125"/>
      <w:r>
        <w:rPr/>
      </w:r>
      <w:bookmarkStart w:name="9.3 QC procedures necessary to evaluate " w:id="126"/>
      <w:bookmarkEnd w:id="126"/>
      <w:r>
        <w:rPr>
          <w:sz w:val="22"/>
        </w:rPr>
        <w:t>Q</w:t>
      </w:r>
      <w:r>
        <w:rPr>
          <w:sz w:val="22"/>
        </w:rPr>
        <w:t>C procedures necessary to evaluate the LC system operation are found in Method 8000 and include evaluation of RT windows, calibration verification, and chromatographic analysis of</w:t>
      </w:r>
      <w:r>
        <w:rPr>
          <w:spacing w:val="-1"/>
          <w:sz w:val="22"/>
        </w:rPr>
        <w:t> </w:t>
      </w:r>
      <w:r>
        <w:rPr>
          <w:sz w:val="22"/>
        </w:rPr>
        <w:t>samples.</w:t>
      </w:r>
    </w:p>
    <w:p>
      <w:pPr>
        <w:spacing w:after="0" w:line="276" w:lineRule="auto"/>
        <w:jc w:val="left"/>
        <w:rPr>
          <w:sz w:val="22"/>
        </w:rPr>
        <w:sectPr>
          <w:pgSz w:w="12240" w:h="15840"/>
          <w:pgMar w:header="0" w:footer="1134" w:top="1060" w:bottom="1400" w:left="260" w:right="260"/>
        </w:sectPr>
      </w:pPr>
    </w:p>
    <w:p>
      <w:pPr>
        <w:pStyle w:val="ListParagraph"/>
        <w:numPr>
          <w:ilvl w:val="1"/>
          <w:numId w:val="8"/>
        </w:numPr>
        <w:tabs>
          <w:tab w:pos="2620" w:val="left" w:leader="none"/>
          <w:tab w:pos="2621" w:val="left" w:leader="none"/>
        </w:tabs>
        <w:spacing w:line="276" w:lineRule="auto" w:before="70" w:after="0"/>
        <w:ind w:left="1180" w:right="1218" w:firstLine="719"/>
        <w:jc w:val="left"/>
        <w:rPr>
          <w:sz w:val="22"/>
        </w:rPr>
      </w:pPr>
      <w:bookmarkStart w:name="9.4 Initial demonstration of proficiency" w:id="127"/>
      <w:bookmarkEnd w:id="127"/>
      <w:r>
        <w:rPr/>
      </w:r>
      <w:bookmarkStart w:name="9.4 Initial demonstration of proficiency" w:id="128"/>
      <w:bookmarkEnd w:id="128"/>
      <w:r>
        <w:rPr>
          <w:sz w:val="22"/>
        </w:rPr>
        <w:t>Initial</w:t>
      </w:r>
      <w:r>
        <w:rPr>
          <w:sz w:val="22"/>
        </w:rPr>
        <w:t> demonstration of proficiency (IDP) – An IDP must be performed by the laboratory prior to independently running an analytical method and should be repeated if other changes occur (e.g., significant change in procedure, change in personnel). Refer to Method 8000 Sec. 9.0 for additional information regarding instrument, procedure, and analyst IDPs. An IDP must consist of replicate reference samples from each sample preparation and determinative method combination utilized by generating data of acceptable precision and bias for target analytes in a clean reference matrix taken through the entire preparation and analysis. If an autosampler is used to perform sample dilutions, prior to use, the laboratory should demonstrate that those dilutions are equivalent to that achieved by an experienced analyst performing manual</w:t>
      </w:r>
      <w:r>
        <w:rPr>
          <w:spacing w:val="-1"/>
          <w:sz w:val="22"/>
        </w:rPr>
        <w:t> </w:t>
      </w:r>
      <w:r>
        <w:rPr>
          <w:sz w:val="22"/>
        </w:rPr>
        <w:t>dilutions.</w:t>
      </w:r>
    </w:p>
    <w:p>
      <w:pPr>
        <w:pStyle w:val="BodyText"/>
        <w:spacing w:line="276" w:lineRule="auto" w:before="121"/>
        <w:ind w:left="1181" w:right="1374" w:firstLine="719"/>
      </w:pPr>
      <w:bookmarkStart w:name="For an IDP study, at least 4 samples con" w:id="129"/>
      <w:bookmarkEnd w:id="129"/>
      <w:r>
        <w:rPr/>
      </w:r>
      <w:r>
        <w:rPr/>
        <w:t>For an IDP study, at least 4 samples containing all the PFAS and surrogates at or near the midpoint of the calibration range must be analyzed as replicates. These samples are then analyzed according to the method described in Method 8000 Sec. 9.0. Preliminary precision and bias (P&amp;B) acceptance criteria are 30% (RSD) and 70-130% (recovery).</w:t>
      </w:r>
    </w:p>
    <w:p>
      <w:pPr>
        <w:pStyle w:val="ListParagraph"/>
        <w:numPr>
          <w:ilvl w:val="1"/>
          <w:numId w:val="8"/>
        </w:numPr>
        <w:tabs>
          <w:tab w:pos="2621" w:val="left" w:leader="none"/>
          <w:tab w:pos="2622" w:val="left" w:leader="none"/>
        </w:tabs>
        <w:spacing w:line="240" w:lineRule="auto" w:before="120" w:after="0"/>
        <w:ind w:left="2621" w:right="0" w:hanging="721"/>
        <w:jc w:val="left"/>
        <w:rPr>
          <w:sz w:val="22"/>
        </w:rPr>
      </w:pPr>
      <w:bookmarkStart w:name="9.5 Blanks" w:id="130"/>
      <w:bookmarkEnd w:id="130"/>
      <w:r>
        <w:rPr/>
      </w:r>
      <w:bookmarkStart w:name="9.5 Blanks" w:id="131"/>
      <w:bookmarkEnd w:id="131"/>
      <w:r>
        <w:rPr>
          <w:sz w:val="22"/>
        </w:rPr>
        <w:t>B</w:t>
      </w:r>
      <w:r>
        <w:rPr>
          <w:sz w:val="22"/>
        </w:rPr>
        <w:t>lanks</w:t>
      </w:r>
    </w:p>
    <w:p>
      <w:pPr>
        <w:pStyle w:val="ListParagraph"/>
        <w:numPr>
          <w:ilvl w:val="2"/>
          <w:numId w:val="8"/>
        </w:numPr>
        <w:tabs>
          <w:tab w:pos="3169" w:val="left" w:leader="none"/>
        </w:tabs>
        <w:spacing w:line="276" w:lineRule="auto" w:before="157" w:after="0"/>
        <w:ind w:left="1901" w:right="1256" w:firstLine="719"/>
        <w:jc w:val="left"/>
        <w:rPr>
          <w:sz w:val="22"/>
        </w:rPr>
      </w:pPr>
      <w:bookmarkStart w:name="9.5.1 Before processing any samples, the" w:id="132"/>
      <w:bookmarkEnd w:id="132"/>
      <w:r>
        <w:rPr/>
      </w:r>
      <w:bookmarkStart w:name="9.5.1 Before processing any samples, the" w:id="133"/>
      <w:bookmarkEnd w:id="133"/>
      <w:r>
        <w:rPr>
          <w:sz w:val="22"/>
        </w:rPr>
        <w:t>B</w:t>
      </w:r>
      <w:r>
        <w:rPr>
          <w:sz w:val="22"/>
        </w:rPr>
        <w:t>efore processing any samples, the analyst must demonstrate through the analysis of a MB or RB that equipment and reagents are free from contaminants and interferences. If a peak is found in the blank that would prevent the identification or bias the measurement of an analyte, the analyst should determine the source of the contaminant peak and eliminate it, if possible. As a continuing check, each time a batch of samples is prepared and analyzed, and when there is a change in reagents, an additional MB must be prepared and analyzed for the compounds of interest as a safeguard against chronic laboratory contamination. MBs and field blanks must be carried through all stages of sample preparation and analysis. At least one MB or RB must be analyzed on every instrument after calibration standard(s) and prior to the analysis of any</w:t>
      </w:r>
      <w:r>
        <w:rPr>
          <w:spacing w:val="-2"/>
          <w:sz w:val="22"/>
        </w:rPr>
        <w:t> </w:t>
      </w:r>
      <w:r>
        <w:rPr>
          <w:sz w:val="22"/>
        </w:rPr>
        <w:t>samples.</w:t>
      </w:r>
    </w:p>
    <w:p>
      <w:pPr>
        <w:pStyle w:val="ListParagraph"/>
        <w:numPr>
          <w:ilvl w:val="2"/>
          <w:numId w:val="8"/>
        </w:numPr>
        <w:tabs>
          <w:tab w:pos="3341" w:val="left" w:leader="none"/>
          <w:tab w:pos="3342" w:val="left" w:leader="none"/>
        </w:tabs>
        <w:spacing w:line="276" w:lineRule="auto" w:before="120" w:after="0"/>
        <w:ind w:left="1901" w:right="1185" w:firstLine="719"/>
        <w:jc w:val="left"/>
        <w:rPr>
          <w:sz w:val="22"/>
        </w:rPr>
      </w:pPr>
      <w:bookmarkStart w:name="9.5.2 Blanks are generally considered to" w:id="134"/>
      <w:bookmarkEnd w:id="134"/>
      <w:r>
        <w:rPr/>
      </w:r>
      <w:bookmarkStart w:name="9.5.2 Blanks are generally considered to" w:id="135"/>
      <w:bookmarkEnd w:id="135"/>
      <w:r>
        <w:rPr>
          <w:sz w:val="22"/>
        </w:rPr>
        <w:t>B</w:t>
      </w:r>
      <w:r>
        <w:rPr>
          <w:sz w:val="22"/>
        </w:rPr>
        <w:t>lanks are generally considered to be acceptable if target analyte concentrations are less than one half the LLOQ or are less than project-specific requirements. Blanks may contain analyte concentrations greater than acceptance limits if the associated samples in the batch are unaffected (i.e., targets are not present in samples or sample concentrations/responses are ≥10X the blank). Other criteria may be used depending on the needs of the</w:t>
      </w:r>
      <w:r>
        <w:rPr>
          <w:spacing w:val="-3"/>
          <w:sz w:val="22"/>
        </w:rPr>
        <w:t> </w:t>
      </w:r>
      <w:r>
        <w:rPr>
          <w:sz w:val="22"/>
        </w:rPr>
        <w:t>project.</w:t>
      </w:r>
    </w:p>
    <w:p>
      <w:pPr>
        <w:pStyle w:val="ListParagraph"/>
        <w:numPr>
          <w:ilvl w:val="2"/>
          <w:numId w:val="8"/>
        </w:numPr>
        <w:tabs>
          <w:tab w:pos="3342" w:val="left" w:leader="none"/>
          <w:tab w:pos="3343" w:val="left" w:leader="none"/>
        </w:tabs>
        <w:spacing w:line="276" w:lineRule="auto" w:before="120" w:after="0"/>
        <w:ind w:left="1902" w:right="1245" w:firstLine="720"/>
        <w:jc w:val="left"/>
        <w:rPr>
          <w:sz w:val="22"/>
        </w:rPr>
      </w:pPr>
      <w:bookmarkStart w:name="9.5.3 If an analyte of interest is found" w:id="136"/>
      <w:bookmarkEnd w:id="136"/>
      <w:r>
        <w:rPr/>
      </w:r>
      <w:bookmarkStart w:name="9.5.3 If an analyte of interest is found" w:id="137"/>
      <w:bookmarkEnd w:id="137"/>
      <w:r>
        <w:rPr>
          <w:sz w:val="22"/>
        </w:rPr>
        <w:t>If</w:t>
      </w:r>
      <w:r>
        <w:rPr>
          <w:sz w:val="22"/>
        </w:rPr>
        <w:t> an analyte of interest is found in a sample in the batch near a concentration confirmed in the blank (refer to Sec. 9.5.2), the presence and/or concentration of that analyte should be considered suspect and may require qualification. Samples may require re-extraction and/or re-analysis if the blanks do not meet laboratory-established or project-specific criteria. Re-extraction and/or re-analysis is </w:t>
      </w:r>
      <w:r>
        <w:rPr>
          <w:i/>
          <w:sz w:val="22"/>
        </w:rPr>
        <w:t>not </w:t>
      </w:r>
      <w:r>
        <w:rPr>
          <w:sz w:val="22"/>
        </w:rPr>
        <w:t>necessary if the analyte concentration falls well below the action or regulatory</w:t>
      </w:r>
      <w:r>
        <w:rPr>
          <w:spacing w:val="-26"/>
          <w:sz w:val="22"/>
        </w:rPr>
        <w:t> </w:t>
      </w:r>
      <w:r>
        <w:rPr>
          <w:sz w:val="22"/>
        </w:rPr>
        <w:t>limit or if the analyte is deemed not important for the</w:t>
      </w:r>
      <w:r>
        <w:rPr>
          <w:spacing w:val="-4"/>
          <w:sz w:val="22"/>
        </w:rPr>
        <w:t> </w:t>
      </w:r>
      <w:r>
        <w:rPr>
          <w:sz w:val="22"/>
        </w:rPr>
        <w:t>project.</w:t>
      </w:r>
    </w:p>
    <w:p>
      <w:pPr>
        <w:spacing w:after="0" w:line="276" w:lineRule="auto"/>
        <w:jc w:val="left"/>
        <w:rPr>
          <w:sz w:val="22"/>
        </w:rPr>
        <w:sectPr>
          <w:pgSz w:w="12240" w:h="15840"/>
          <w:pgMar w:header="0" w:footer="1134" w:top="1060" w:bottom="1400" w:left="260" w:right="260"/>
        </w:sectPr>
      </w:pPr>
    </w:p>
    <w:p>
      <w:pPr>
        <w:pStyle w:val="ListParagraph"/>
        <w:numPr>
          <w:ilvl w:val="2"/>
          <w:numId w:val="8"/>
        </w:numPr>
        <w:tabs>
          <w:tab w:pos="3340" w:val="left" w:leader="none"/>
          <w:tab w:pos="3341" w:val="left" w:leader="none"/>
        </w:tabs>
        <w:spacing w:line="276" w:lineRule="auto" w:before="70" w:after="0"/>
        <w:ind w:left="1900" w:right="1198" w:firstLine="719"/>
        <w:jc w:val="left"/>
        <w:rPr>
          <w:sz w:val="22"/>
        </w:rPr>
      </w:pPr>
      <w:bookmarkStart w:name="9.5.4 When new reagents or chemicals are" w:id="138"/>
      <w:bookmarkEnd w:id="138"/>
      <w:r>
        <w:rPr/>
      </w:r>
      <w:bookmarkStart w:name="9.5.4 When new reagents or chemicals are" w:id="139"/>
      <w:bookmarkEnd w:id="139"/>
      <w:r>
        <w:rPr>
          <w:sz w:val="22"/>
        </w:rPr>
        <w:t>When</w:t>
      </w:r>
      <w:r>
        <w:rPr>
          <w:sz w:val="22"/>
        </w:rPr>
        <w:t> new reagents or chemicals are received, the laboratory should monitor the blanks associated with samples for any signs of contamination. It may be necessary to test every new batch of reagents or chemicals prior to sample preparation as PFAS contamination is common. If reagents are changed during a preparation</w:t>
      </w:r>
      <w:r>
        <w:rPr>
          <w:spacing w:val="-24"/>
          <w:sz w:val="22"/>
        </w:rPr>
        <w:t> </w:t>
      </w:r>
      <w:r>
        <w:rPr>
          <w:sz w:val="22"/>
        </w:rPr>
        <w:t>batch, separate blanks should be prepared for each set of</w:t>
      </w:r>
      <w:r>
        <w:rPr>
          <w:spacing w:val="-4"/>
          <w:sz w:val="22"/>
        </w:rPr>
        <w:t> </w:t>
      </w:r>
      <w:r>
        <w:rPr>
          <w:sz w:val="22"/>
        </w:rPr>
        <w:t>reagents.</w:t>
      </w:r>
    </w:p>
    <w:p>
      <w:pPr>
        <w:pStyle w:val="ListParagraph"/>
        <w:numPr>
          <w:ilvl w:val="2"/>
          <w:numId w:val="8"/>
        </w:numPr>
        <w:tabs>
          <w:tab w:pos="3340" w:val="left" w:leader="none"/>
          <w:tab w:pos="3341" w:val="left" w:leader="none"/>
        </w:tabs>
        <w:spacing w:line="276" w:lineRule="auto" w:before="121" w:after="0"/>
        <w:ind w:left="1900" w:right="1198" w:firstLine="720"/>
        <w:jc w:val="left"/>
        <w:rPr>
          <w:sz w:val="22"/>
        </w:rPr>
      </w:pPr>
      <w:bookmarkStart w:name="9.5.5 The laboratory should not subtract" w:id="140"/>
      <w:bookmarkEnd w:id="140"/>
      <w:r>
        <w:rPr/>
      </w:r>
      <w:bookmarkStart w:name="9.5.5 The laboratory should not subtract" w:id="141"/>
      <w:bookmarkEnd w:id="141"/>
      <w:r>
        <w:rPr>
          <w:sz w:val="22"/>
        </w:rPr>
        <w:t>The</w:t>
      </w:r>
      <w:r>
        <w:rPr>
          <w:sz w:val="22"/>
        </w:rPr>
        <w:t> laboratory should not subtract the results of the MB from those of any associated samples. Such "blank subtraction" may lead to negative sample results.  If the MB results do not meet the project-specific acceptance criteria and reanalysis is not practical, then the data user should be provided with the sample results, the MB results, and a discussion of the corrective actions undertaken by the</w:t>
      </w:r>
      <w:r>
        <w:rPr>
          <w:spacing w:val="-7"/>
          <w:sz w:val="22"/>
        </w:rPr>
        <w:t> </w:t>
      </w:r>
      <w:r>
        <w:rPr>
          <w:sz w:val="22"/>
        </w:rPr>
        <w:t>laboratory.</w:t>
      </w:r>
    </w:p>
    <w:p>
      <w:pPr>
        <w:pStyle w:val="ListParagraph"/>
        <w:numPr>
          <w:ilvl w:val="2"/>
          <w:numId w:val="8"/>
        </w:numPr>
        <w:tabs>
          <w:tab w:pos="3340" w:val="left" w:leader="none"/>
          <w:tab w:pos="3341" w:val="left" w:leader="none"/>
        </w:tabs>
        <w:spacing w:line="276" w:lineRule="auto" w:before="119" w:after="0"/>
        <w:ind w:left="1900" w:right="1345" w:firstLine="720"/>
        <w:jc w:val="left"/>
        <w:rPr>
          <w:sz w:val="22"/>
        </w:rPr>
      </w:pPr>
      <w:bookmarkStart w:name="9.5.6 At least one MB for every 20 field" w:id="142"/>
      <w:bookmarkEnd w:id="142"/>
      <w:r>
        <w:rPr/>
      </w:r>
      <w:bookmarkStart w:name="9.5.6 At least one MB for every 20 field" w:id="143"/>
      <w:bookmarkEnd w:id="143"/>
      <w:r>
        <w:rPr>
          <w:sz w:val="22"/>
        </w:rPr>
        <w:t>At</w:t>
      </w:r>
      <w:r>
        <w:rPr>
          <w:sz w:val="22"/>
        </w:rPr>
        <w:t> least one MB for every 20 field samples must be prepared in reagent water to investigate for PFAS contamination throughout sample preparation,</w:t>
      </w:r>
      <w:r>
        <w:rPr>
          <w:spacing w:val="-22"/>
          <w:sz w:val="22"/>
        </w:rPr>
        <w:t> </w:t>
      </w:r>
      <w:r>
        <w:rPr>
          <w:sz w:val="22"/>
        </w:rPr>
        <w:t>extraction, and</w:t>
      </w:r>
      <w:r>
        <w:rPr>
          <w:spacing w:val="-1"/>
          <w:sz w:val="22"/>
        </w:rPr>
        <w:t> </w:t>
      </w:r>
      <w:r>
        <w:rPr>
          <w:sz w:val="22"/>
        </w:rPr>
        <w:t>analysis.</w:t>
      </w:r>
    </w:p>
    <w:p>
      <w:pPr>
        <w:pStyle w:val="BodyText"/>
        <w:spacing w:line="276" w:lineRule="auto" w:before="120"/>
        <w:ind w:left="3340" w:right="1536" w:hanging="721"/>
      </w:pPr>
      <w:bookmarkStart w:name="Note: More than one MB or RB may be need" w:id="144"/>
      <w:bookmarkEnd w:id="144"/>
      <w:r>
        <w:rPr/>
      </w:r>
      <w:r>
        <w:rPr/>
        <w:t>Note: More than one MB or RB may be needed to evaluate for commonly observed laboratory contaminants (e.g., 6:2 FTS) or for applications in which very low levels (i.e., at or near the LLOQ) are of interest.</w:t>
      </w:r>
    </w:p>
    <w:p>
      <w:pPr>
        <w:pStyle w:val="ListParagraph"/>
        <w:numPr>
          <w:ilvl w:val="2"/>
          <w:numId w:val="8"/>
        </w:numPr>
        <w:tabs>
          <w:tab w:pos="3340" w:val="left" w:leader="none"/>
          <w:tab w:pos="3341" w:val="left" w:leader="none"/>
        </w:tabs>
        <w:spacing w:line="276" w:lineRule="auto" w:before="120" w:after="0"/>
        <w:ind w:left="1900" w:right="1212" w:firstLine="720"/>
        <w:jc w:val="left"/>
        <w:rPr>
          <w:sz w:val="22"/>
        </w:rPr>
      </w:pPr>
      <w:bookmarkStart w:name="9.5.7 One RB is prepared for each day of" w:id="145"/>
      <w:bookmarkEnd w:id="145"/>
      <w:r>
        <w:rPr/>
      </w:r>
      <w:bookmarkStart w:name="9.5.7 One RB is prepared for each day of" w:id="146"/>
      <w:bookmarkEnd w:id="146"/>
      <w:r>
        <w:rPr>
          <w:sz w:val="22"/>
        </w:rPr>
        <w:t>O</w:t>
      </w:r>
      <w:r>
        <w:rPr>
          <w:sz w:val="22"/>
        </w:rPr>
        <w:t>ne RB is prepared for each day of analysis with a 50:50 methanol-water solution containing 0.1% acetic to investigate for system/laboratory contamination. PFAS contamination at low levels is common in laboratory supplies and equipment.</w:t>
      </w:r>
      <w:r>
        <w:rPr>
          <w:spacing w:val="35"/>
          <w:sz w:val="22"/>
        </w:rPr>
        <w:t> </w:t>
      </w:r>
      <w:r>
        <w:rPr>
          <w:sz w:val="22"/>
        </w:rPr>
        <w:t>The 50:50 methanol-water solution containing 0.1% acetic acid is analyzed to help determine the source of contamination, if</w:t>
      </w:r>
      <w:r>
        <w:rPr>
          <w:spacing w:val="-1"/>
          <w:sz w:val="22"/>
        </w:rPr>
        <w:t> </w:t>
      </w:r>
      <w:r>
        <w:rPr>
          <w:sz w:val="22"/>
        </w:rPr>
        <w:t>present.</w:t>
      </w:r>
    </w:p>
    <w:p>
      <w:pPr>
        <w:pStyle w:val="ListParagraph"/>
        <w:numPr>
          <w:ilvl w:val="1"/>
          <w:numId w:val="8"/>
        </w:numPr>
        <w:tabs>
          <w:tab w:pos="2620" w:val="left" w:leader="none"/>
          <w:tab w:pos="2621" w:val="left" w:leader="none"/>
        </w:tabs>
        <w:spacing w:line="276" w:lineRule="auto" w:before="120" w:after="0"/>
        <w:ind w:left="1180" w:right="1183" w:firstLine="719"/>
        <w:jc w:val="left"/>
        <w:rPr>
          <w:sz w:val="22"/>
        </w:rPr>
      </w:pPr>
      <w:bookmarkStart w:name="9.6 Sample QC for preparation and analys" w:id="147"/>
      <w:bookmarkEnd w:id="147"/>
      <w:r>
        <w:rPr/>
      </w:r>
      <w:bookmarkStart w:name="9.6 Sample QC for preparation and analys" w:id="148"/>
      <w:bookmarkEnd w:id="148"/>
      <w:r>
        <w:rPr>
          <w:sz w:val="22"/>
        </w:rPr>
        <w:t>S</w:t>
      </w:r>
      <w:r>
        <w:rPr>
          <w:sz w:val="22"/>
        </w:rPr>
        <w:t>ample QC for preparation and analysis - The laboratory must also have procedures for documenting the effect of the matrix on method performance (precision, bias, sensitivity).  At a minimum, this must include the analysis of a MB and LCS, and where practical, an MS/MSD or MS/duplicate in each preparation batch, as well as monitoring the recovery of surrogates. Any MBs, LCSs, MS/MSDs, and duplicate samples should be subjected to the same analytical procedures (Sec. 11.0) as those used on actual</w:t>
      </w:r>
      <w:r>
        <w:rPr>
          <w:spacing w:val="-8"/>
          <w:sz w:val="22"/>
        </w:rPr>
        <w:t> </w:t>
      </w:r>
      <w:r>
        <w:rPr>
          <w:sz w:val="22"/>
        </w:rPr>
        <w:t>samples.</w:t>
      </w:r>
    </w:p>
    <w:p>
      <w:pPr>
        <w:pStyle w:val="ListParagraph"/>
        <w:numPr>
          <w:ilvl w:val="2"/>
          <w:numId w:val="8"/>
        </w:numPr>
        <w:tabs>
          <w:tab w:pos="3341" w:val="left" w:leader="none"/>
          <w:tab w:pos="3342" w:val="left" w:leader="none"/>
        </w:tabs>
        <w:spacing w:line="276" w:lineRule="auto" w:before="119" w:after="0"/>
        <w:ind w:left="1901" w:right="1357" w:firstLine="720"/>
        <w:jc w:val="left"/>
        <w:rPr>
          <w:sz w:val="22"/>
        </w:rPr>
      </w:pPr>
      <w:bookmarkStart w:name="9.6.1 Matrix Spikes/Duplicates - Documen" w:id="149"/>
      <w:bookmarkEnd w:id="149"/>
      <w:r>
        <w:rPr/>
      </w:r>
      <w:bookmarkStart w:name="9.6.1 Matrix Spikes/Duplicates - Documen" w:id="150"/>
      <w:bookmarkEnd w:id="150"/>
      <w:r>
        <w:rPr>
          <w:sz w:val="22"/>
        </w:rPr>
        <w:t>M</w:t>
      </w:r>
      <w:r>
        <w:rPr>
          <w:sz w:val="22"/>
        </w:rPr>
        <w:t>atrix Spikes/Duplicates - Documenting the effect of the matrix should include the analysis of at least one MS and one duplicate unspiked sample or one MS/MSD pair. The decision on whether to prepare and analyze duplicate samples or</w:t>
      </w:r>
      <w:r>
        <w:rPr>
          <w:spacing w:val="-26"/>
          <w:sz w:val="22"/>
        </w:rPr>
        <w:t> </w:t>
      </w:r>
      <w:r>
        <w:rPr>
          <w:sz w:val="22"/>
        </w:rPr>
        <w:t>a MS/MSD must be based on knowledge of the samples in the sample batch. If samples are expected to contain target analytes, laboratories may use an MS and a duplicate analysis of an unspiked field sample. If samples are not expected to contain target analytes, then laboratories should use a MS/MSD pair. The preliminary acceptance criteria are 70-130%. Statistically-derived acceptance limits or project defined acceptance limits may be necessary for targets as 70-130% default limits may be too narrow in some matrices. Consult Method 8000 for information on developing acceptance criteria for the</w:t>
      </w:r>
      <w:r>
        <w:rPr>
          <w:spacing w:val="-2"/>
          <w:sz w:val="22"/>
        </w:rPr>
        <w:t> </w:t>
      </w:r>
      <w:r>
        <w:rPr>
          <w:sz w:val="22"/>
        </w:rPr>
        <w:t>MS/MSD.</w:t>
      </w:r>
    </w:p>
    <w:p>
      <w:pPr>
        <w:pStyle w:val="ListParagraph"/>
        <w:numPr>
          <w:ilvl w:val="3"/>
          <w:numId w:val="8"/>
        </w:numPr>
        <w:tabs>
          <w:tab w:pos="4241" w:val="left" w:leader="none"/>
          <w:tab w:pos="4242" w:val="left" w:leader="none"/>
        </w:tabs>
        <w:spacing w:line="276" w:lineRule="auto" w:before="120" w:after="0"/>
        <w:ind w:left="2621" w:right="1448" w:firstLine="720"/>
        <w:jc w:val="left"/>
        <w:rPr>
          <w:sz w:val="22"/>
        </w:rPr>
      </w:pPr>
      <w:bookmarkStart w:name="9.6.1.1 When required and sufficient sam" w:id="151"/>
      <w:bookmarkEnd w:id="151"/>
      <w:r>
        <w:rPr/>
      </w:r>
      <w:bookmarkStart w:name="9.6.1.1 When required and sufficient sam" w:id="152"/>
      <w:bookmarkEnd w:id="152"/>
      <w:r>
        <w:rPr>
          <w:sz w:val="22"/>
        </w:rPr>
        <w:t>When</w:t>
      </w:r>
      <w:r>
        <w:rPr>
          <w:sz w:val="22"/>
        </w:rPr>
        <w:t> required and sufficient sample is available, an MS/MSD (Sec. 11.1.5) are prepared for each matrix at a frequency of at least one MS/MSD pair for every 20 field samples to investigate for matrix</w:t>
      </w:r>
      <w:r>
        <w:rPr>
          <w:spacing w:val="-20"/>
          <w:sz w:val="22"/>
        </w:rPr>
        <w:t> </w:t>
      </w:r>
      <w:r>
        <w:rPr>
          <w:sz w:val="22"/>
        </w:rPr>
        <w:t>interferences.</w:t>
      </w:r>
    </w:p>
    <w:p>
      <w:pPr>
        <w:spacing w:after="0" w:line="276" w:lineRule="auto"/>
        <w:jc w:val="left"/>
        <w:rPr>
          <w:sz w:val="22"/>
        </w:rPr>
        <w:sectPr>
          <w:pgSz w:w="12240" w:h="15840"/>
          <w:pgMar w:header="0" w:footer="1134" w:top="1060" w:bottom="1400" w:left="260" w:right="260"/>
        </w:sectPr>
      </w:pPr>
    </w:p>
    <w:p>
      <w:pPr>
        <w:pStyle w:val="ListParagraph"/>
        <w:numPr>
          <w:ilvl w:val="3"/>
          <w:numId w:val="8"/>
        </w:numPr>
        <w:tabs>
          <w:tab w:pos="4240" w:val="left" w:leader="none"/>
          <w:tab w:pos="4241" w:val="left" w:leader="none"/>
        </w:tabs>
        <w:spacing w:line="276" w:lineRule="auto" w:before="70" w:after="0"/>
        <w:ind w:left="2620" w:right="1544" w:firstLine="720"/>
        <w:jc w:val="left"/>
        <w:rPr>
          <w:sz w:val="22"/>
        </w:rPr>
      </w:pPr>
      <w:bookmarkStart w:name="9.6.1.2 As part of a QC program, spike a" w:id="153"/>
      <w:bookmarkEnd w:id="153"/>
      <w:r>
        <w:rPr/>
      </w:r>
      <w:bookmarkStart w:name="9.6.1.2 As part of a QC program, spike a" w:id="154"/>
      <w:bookmarkEnd w:id="154"/>
      <w:r>
        <w:rPr>
          <w:sz w:val="22"/>
        </w:rPr>
        <w:t>A</w:t>
      </w:r>
      <w:r>
        <w:rPr>
          <w:sz w:val="22"/>
        </w:rPr>
        <w:t>s part of a QC program, spike accuracy for each matrix is monitored. Bias is estimated from the recovery of spiked analytes from the matrix of interest. Laboratory performance in a clean matrix is estimated</w:t>
      </w:r>
      <w:r>
        <w:rPr>
          <w:spacing w:val="-21"/>
          <w:sz w:val="22"/>
        </w:rPr>
        <w:t> </w:t>
      </w:r>
      <w:r>
        <w:rPr>
          <w:sz w:val="22"/>
        </w:rPr>
        <w:t>from the recovery of analytes in the LCS. Calculate the recovery of each spiked analyte in the MS, MSD (if performed), and LCS according to the following formula.</w:t>
      </w:r>
    </w:p>
    <w:p>
      <w:pPr>
        <w:pStyle w:val="BodyText"/>
        <w:rPr>
          <w:sz w:val="20"/>
        </w:rPr>
      </w:pPr>
    </w:p>
    <w:p>
      <w:pPr>
        <w:pStyle w:val="BodyText"/>
        <w:spacing w:before="2"/>
        <w:rPr>
          <w:sz w:val="15"/>
        </w:rPr>
      </w:pPr>
      <w:r>
        <w:rPr/>
        <w:drawing>
          <wp:anchor distT="0" distB="0" distL="0" distR="0" allowOverlap="1" layoutInCell="1" locked="0" behindDoc="0" simplePos="0" relativeHeight="0">
            <wp:simplePos x="0" y="0"/>
            <wp:positionH relativeFrom="page">
              <wp:posOffset>2566649</wp:posOffset>
            </wp:positionH>
            <wp:positionV relativeFrom="paragraph">
              <wp:posOffset>135956</wp:posOffset>
            </wp:positionV>
            <wp:extent cx="2387494" cy="416051"/>
            <wp:effectExtent l="0" t="0" r="0" b="0"/>
            <wp:wrapTopAndBottom/>
            <wp:docPr id="1" name="image1.jpeg" descr="This equation shows how to calculate percent recovery for LCS and matrix spike sampels. "/>
            <wp:cNvGraphicFramePr>
              <a:graphicFrameLocks noChangeAspect="1"/>
            </wp:cNvGraphicFramePr>
            <a:graphic>
              <a:graphicData uri="http://schemas.openxmlformats.org/drawingml/2006/picture">
                <pic:pic>
                  <pic:nvPicPr>
                    <pic:cNvPr id="2" name="image1.jpeg"/>
                    <pic:cNvPicPr/>
                  </pic:nvPicPr>
                  <pic:blipFill>
                    <a:blip r:embed="rId9" cstate="print"/>
                    <a:stretch>
                      <a:fillRect/>
                    </a:stretch>
                  </pic:blipFill>
                  <pic:spPr>
                    <a:xfrm>
                      <a:off x="0" y="0"/>
                      <a:ext cx="2387494" cy="416051"/>
                    </a:xfrm>
                    <a:prstGeom prst="rect">
                      <a:avLst/>
                    </a:prstGeom>
                  </pic:spPr>
                </pic:pic>
              </a:graphicData>
            </a:graphic>
          </wp:anchor>
        </w:drawing>
      </w:r>
    </w:p>
    <w:p>
      <w:pPr>
        <w:pStyle w:val="BodyText"/>
        <w:rPr>
          <w:sz w:val="24"/>
        </w:rPr>
      </w:pPr>
    </w:p>
    <w:p>
      <w:pPr>
        <w:pStyle w:val="BodyText"/>
        <w:spacing w:before="6"/>
        <w:rPr>
          <w:sz w:val="19"/>
        </w:rPr>
      </w:pPr>
    </w:p>
    <w:p>
      <w:pPr>
        <w:pStyle w:val="BodyText"/>
        <w:ind w:left="3340"/>
      </w:pPr>
      <w:r>
        <w:rPr/>
        <w:t>where:</w:t>
      </w:r>
    </w:p>
    <w:p>
      <w:pPr>
        <w:pStyle w:val="BodyText"/>
        <w:spacing w:before="157"/>
        <w:ind w:left="3340"/>
      </w:pPr>
      <w:r>
        <w:rPr>
          <w:i/>
        </w:rPr>
        <w:t>C</w:t>
      </w:r>
      <w:r>
        <w:rPr>
          <w:i/>
          <w:vertAlign w:val="subscript"/>
        </w:rPr>
        <w:t>s</w:t>
      </w:r>
      <w:r>
        <w:rPr>
          <w:i/>
          <w:vertAlign w:val="baseline"/>
        </w:rPr>
        <w:t> </w:t>
      </w:r>
      <w:r>
        <w:rPr>
          <w:vertAlign w:val="baseline"/>
        </w:rPr>
        <w:t>= Measured concentration of spiked sample aliquot</w:t>
      </w:r>
    </w:p>
    <w:p>
      <w:pPr>
        <w:pStyle w:val="BodyText"/>
        <w:spacing w:line="285" w:lineRule="auto" w:before="48"/>
        <w:ind w:left="3340" w:right="1249"/>
      </w:pPr>
      <w:r>
        <w:rPr>
          <w:i/>
        </w:rPr>
        <w:t>C</w:t>
      </w:r>
      <w:r>
        <w:rPr>
          <w:i/>
          <w:vertAlign w:val="subscript"/>
        </w:rPr>
        <w:t>u</w:t>
      </w:r>
      <w:r>
        <w:rPr>
          <w:i/>
          <w:vertAlign w:val="baseline"/>
        </w:rPr>
        <w:t> </w:t>
      </w:r>
      <w:r>
        <w:rPr>
          <w:vertAlign w:val="baseline"/>
        </w:rPr>
        <w:t>= Measured concentration of unspiked sample aliquot (use 0 for</w:t>
      </w:r>
      <w:r>
        <w:rPr>
          <w:spacing w:val="-19"/>
          <w:vertAlign w:val="baseline"/>
        </w:rPr>
        <w:t> </w:t>
      </w:r>
      <w:r>
        <w:rPr>
          <w:vertAlign w:val="baseline"/>
        </w:rPr>
        <w:t>LCS) </w:t>
      </w:r>
      <w:r>
        <w:rPr>
          <w:i/>
          <w:vertAlign w:val="baseline"/>
        </w:rPr>
        <w:t>C</w:t>
      </w:r>
      <w:r>
        <w:rPr>
          <w:i/>
          <w:vertAlign w:val="subscript"/>
        </w:rPr>
        <w:t>n</w:t>
      </w:r>
      <w:r>
        <w:rPr>
          <w:i/>
          <w:vertAlign w:val="baseline"/>
        </w:rPr>
        <w:t> </w:t>
      </w:r>
      <w:r>
        <w:rPr>
          <w:vertAlign w:val="baseline"/>
        </w:rPr>
        <w:t>= Nominal (theoretical) concentration increase that results from spiking the sample, or the nominal concentration of the spiked aliquot</w:t>
      </w:r>
      <w:r>
        <w:rPr>
          <w:spacing w:val="-20"/>
          <w:vertAlign w:val="baseline"/>
        </w:rPr>
        <w:t> </w:t>
      </w:r>
      <w:r>
        <w:rPr>
          <w:vertAlign w:val="baseline"/>
        </w:rPr>
        <w:t>(for LCS).</w:t>
      </w:r>
    </w:p>
    <w:p>
      <w:pPr>
        <w:pStyle w:val="BodyText"/>
        <w:spacing w:line="276" w:lineRule="auto" w:before="118"/>
        <w:ind w:left="3340" w:right="1523" w:hanging="720"/>
      </w:pPr>
      <w:bookmarkStart w:name="NOTE: MS/MSD recoveries may not be meani" w:id="155"/>
      <w:bookmarkEnd w:id="155"/>
      <w:r>
        <w:rPr/>
      </w:r>
      <w:r>
        <w:rPr>
          <w:u w:val="single"/>
        </w:rPr>
        <w:t>NOTE:</w:t>
      </w:r>
      <w:r>
        <w:rPr/>
        <w:t> MS/MSD recoveries may not be meaningful if the amount of analyte in the sample is large relative to the amount spiked.</w:t>
      </w:r>
    </w:p>
    <w:p>
      <w:pPr>
        <w:pStyle w:val="ListParagraph"/>
        <w:numPr>
          <w:ilvl w:val="2"/>
          <w:numId w:val="8"/>
        </w:numPr>
        <w:tabs>
          <w:tab w:pos="3339" w:val="left" w:leader="none"/>
          <w:tab w:pos="3341" w:val="left" w:leader="none"/>
        </w:tabs>
        <w:spacing w:line="276" w:lineRule="auto" w:before="120" w:after="0"/>
        <w:ind w:left="1899" w:right="1283" w:firstLine="720"/>
        <w:jc w:val="left"/>
        <w:rPr>
          <w:sz w:val="22"/>
        </w:rPr>
      </w:pPr>
      <w:bookmarkStart w:name="9.6.2 LCS - At least one LCS must be pre" w:id="156"/>
      <w:bookmarkEnd w:id="156"/>
      <w:r>
        <w:rPr/>
      </w:r>
      <w:bookmarkStart w:name="9.6.2 LCS - At least one LCS must be pre" w:id="157"/>
      <w:bookmarkEnd w:id="157"/>
      <w:r>
        <w:rPr>
          <w:sz w:val="22"/>
        </w:rPr>
        <w:t>L</w:t>
      </w:r>
      <w:r>
        <w:rPr>
          <w:sz w:val="22"/>
        </w:rPr>
        <w:t>CS - At least one LCS must be prepared with each batch of 20 or fewer field samples. The LCS consists of an aliquot of a clean (control) matrix similar to the sample matrix and of the same weight or volume, like the MB. The LCS is spiked with the same analytes and at the same concentrations as the MS/MSD, when appropriate, and is taken through all sample preparation steps. When the results of the MS/MSD analysis indicate a potential problem due to the sample matrix itself, the LCS results are used to verify that the laboratory can perform the analysis in a clean matrix. The preliminary acceptance criteria are 70-130%. Statistically-derived acceptance limits or project defined acceptance limits may be necessary for some targets, including PFTriA, PFBA, and 6:2 FTS, as 70-130% default limits may be too narrow. See Sec. 9.6.1.2 for recovery calculation. Consult Method 8000 for information on developing acceptance criteria for the</w:t>
      </w:r>
      <w:r>
        <w:rPr>
          <w:spacing w:val="-1"/>
          <w:sz w:val="22"/>
        </w:rPr>
        <w:t> </w:t>
      </w:r>
      <w:r>
        <w:rPr>
          <w:sz w:val="22"/>
        </w:rPr>
        <w:t>LCS.</w:t>
      </w:r>
    </w:p>
    <w:p>
      <w:pPr>
        <w:pStyle w:val="ListParagraph"/>
        <w:numPr>
          <w:ilvl w:val="2"/>
          <w:numId w:val="8"/>
        </w:numPr>
        <w:tabs>
          <w:tab w:pos="3339" w:val="left" w:leader="none"/>
          <w:tab w:pos="3340" w:val="left" w:leader="none"/>
        </w:tabs>
        <w:spacing w:line="276" w:lineRule="auto" w:before="119" w:after="0"/>
        <w:ind w:left="1899" w:right="1200" w:firstLine="720"/>
        <w:jc w:val="left"/>
        <w:rPr>
          <w:sz w:val="22"/>
        </w:rPr>
      </w:pPr>
      <w:bookmarkStart w:name="9.6.3 A duplicate sample or MSD is analy" w:id="158"/>
      <w:bookmarkEnd w:id="158"/>
      <w:r>
        <w:rPr/>
      </w:r>
      <w:bookmarkStart w:name="9.6.3 A duplicate sample or MSD is analy" w:id="159"/>
      <w:bookmarkEnd w:id="159"/>
      <w:r>
        <w:rPr>
          <w:sz w:val="22"/>
        </w:rPr>
        <w:t>A</w:t>
      </w:r>
      <w:r>
        <w:rPr>
          <w:sz w:val="22"/>
        </w:rPr>
        <w:t> duplicate sample or MSD is analyzed with every batch of 20 field samples, where available. The relative percent difference (RPD) between the sample and duplicate or MS and MSD should be less than 30%. A laboratory control sample duplicate (LCSD) may be used to demonstrate precision in the batch if extra field</w:t>
      </w:r>
      <w:r>
        <w:rPr>
          <w:spacing w:val="-27"/>
          <w:sz w:val="22"/>
        </w:rPr>
        <w:t> </w:t>
      </w:r>
      <w:r>
        <w:rPr>
          <w:sz w:val="22"/>
        </w:rPr>
        <w:t>sample containers are not received for performing duplicates or</w:t>
      </w:r>
      <w:r>
        <w:rPr>
          <w:spacing w:val="-3"/>
          <w:sz w:val="22"/>
        </w:rPr>
        <w:t> </w:t>
      </w:r>
      <w:r>
        <w:rPr>
          <w:sz w:val="22"/>
        </w:rPr>
        <w:t>MSD.</w:t>
      </w:r>
    </w:p>
    <w:p>
      <w:pPr>
        <w:pStyle w:val="BodyText"/>
        <w:spacing w:line="276" w:lineRule="auto" w:before="120"/>
        <w:ind w:left="1899" w:right="1437" w:firstLine="720"/>
      </w:pPr>
      <w:bookmarkStart w:name="Calculate the relative percent differenc" w:id="160"/>
      <w:bookmarkEnd w:id="160"/>
      <w:r>
        <w:rPr/>
      </w:r>
      <w:r>
        <w:rPr/>
        <w:t>Calculate the relative percent difference (%RPD) between the duplicates using the following equation:</w:t>
      </w:r>
    </w:p>
    <w:p>
      <w:pPr>
        <w:pStyle w:val="BodyText"/>
        <w:rPr>
          <w:sz w:val="25"/>
        </w:rPr>
      </w:pPr>
      <w:r>
        <w:rPr/>
        <w:drawing>
          <wp:anchor distT="0" distB="0" distL="0" distR="0" allowOverlap="1" layoutInCell="1" locked="0" behindDoc="0" simplePos="0" relativeHeight="1">
            <wp:simplePos x="0" y="0"/>
            <wp:positionH relativeFrom="page">
              <wp:posOffset>2397798</wp:posOffset>
            </wp:positionH>
            <wp:positionV relativeFrom="paragraph">
              <wp:posOffset>207490</wp:posOffset>
            </wp:positionV>
            <wp:extent cx="2062129" cy="460248"/>
            <wp:effectExtent l="0" t="0" r="0" b="0"/>
            <wp:wrapTopAndBottom/>
            <wp:docPr id="3" name="image2.png" descr="This equation shows how to calculate the relative percent difference of two duplicates. "/>
            <wp:cNvGraphicFramePr>
              <a:graphicFrameLocks noChangeAspect="1"/>
            </wp:cNvGraphicFramePr>
            <a:graphic>
              <a:graphicData uri="http://schemas.openxmlformats.org/drawingml/2006/picture">
                <pic:pic>
                  <pic:nvPicPr>
                    <pic:cNvPr id="4" name="image2.png"/>
                    <pic:cNvPicPr/>
                  </pic:nvPicPr>
                  <pic:blipFill>
                    <a:blip r:embed="rId10" cstate="print"/>
                    <a:stretch>
                      <a:fillRect/>
                    </a:stretch>
                  </pic:blipFill>
                  <pic:spPr>
                    <a:xfrm>
                      <a:off x="0" y="0"/>
                      <a:ext cx="2062129" cy="460248"/>
                    </a:xfrm>
                    <a:prstGeom prst="rect">
                      <a:avLst/>
                    </a:prstGeom>
                  </pic:spPr>
                </pic:pic>
              </a:graphicData>
            </a:graphic>
          </wp:anchor>
        </w:drawing>
      </w:r>
    </w:p>
    <w:p>
      <w:pPr>
        <w:spacing w:after="0"/>
        <w:rPr>
          <w:sz w:val="25"/>
        </w:rPr>
        <w:sectPr>
          <w:pgSz w:w="12240" w:h="15840"/>
          <w:pgMar w:header="0" w:footer="1134" w:top="1060" w:bottom="1400" w:left="260" w:right="260"/>
        </w:sectPr>
      </w:pPr>
    </w:p>
    <w:p>
      <w:pPr>
        <w:pStyle w:val="BodyText"/>
        <w:spacing w:before="70"/>
        <w:ind w:left="3355"/>
      </w:pPr>
      <w:r>
        <w:rPr/>
        <w:t>where:</w:t>
      </w:r>
    </w:p>
    <w:p>
      <w:pPr>
        <w:pStyle w:val="BodyText"/>
        <w:spacing w:before="7"/>
        <w:rPr>
          <w:sz w:val="28"/>
        </w:rPr>
      </w:pPr>
    </w:p>
    <w:p>
      <w:pPr>
        <w:pStyle w:val="BodyText"/>
        <w:ind w:left="3340"/>
      </w:pPr>
      <w:r>
        <w:rPr/>
        <w:t>C1 =Measured concentration of first sample aliquot</w:t>
      </w:r>
    </w:p>
    <w:p>
      <w:pPr>
        <w:pStyle w:val="BodyText"/>
        <w:spacing w:before="39"/>
        <w:ind w:left="3340"/>
      </w:pPr>
      <w:r>
        <w:rPr/>
        <w:t>C2 =Measured concentration of second sample aliquot.</w:t>
      </w:r>
    </w:p>
    <w:p>
      <w:pPr>
        <w:pStyle w:val="BodyText"/>
        <w:rPr>
          <w:sz w:val="24"/>
        </w:rPr>
      </w:pPr>
    </w:p>
    <w:p>
      <w:pPr>
        <w:pStyle w:val="ListParagraph"/>
        <w:numPr>
          <w:ilvl w:val="2"/>
          <w:numId w:val="8"/>
        </w:numPr>
        <w:tabs>
          <w:tab w:pos="3402" w:val="left" w:leader="none"/>
          <w:tab w:pos="3403" w:val="left" w:leader="none"/>
        </w:tabs>
        <w:spacing w:line="276" w:lineRule="auto" w:before="173" w:after="0"/>
        <w:ind w:left="1901" w:right="1197" w:firstLine="719"/>
        <w:jc w:val="left"/>
        <w:rPr>
          <w:sz w:val="22"/>
        </w:rPr>
      </w:pPr>
      <w:bookmarkStart w:name="9.6.4  Surrogate recoveries - Surrogates" w:id="161"/>
      <w:bookmarkEnd w:id="161"/>
      <w:r>
        <w:rPr/>
      </w:r>
      <w:bookmarkStart w:name="9.6.4  Surrogate recoveries - Surrogates" w:id="162"/>
      <w:bookmarkEnd w:id="162"/>
      <w:r>
        <w:rPr>
          <w:sz w:val="22"/>
        </w:rPr>
        <w:t>S</w:t>
      </w:r>
      <w:r>
        <w:rPr>
          <w:sz w:val="22"/>
        </w:rPr>
        <w:t>urrogate recoveries - Surrogates are added to all field samples and associated QC samples as described in Sec. 11. The isotopically-labeled surrogates should represent the unlabeled native analytes where available. See Method 8000 for information on evaluating surrogate data and developing and updating surrogate limits. Procedures for evaluating recovery of multiple surrogates and associated corrective actions should be defined in the laboratory's SOP or in project planning documents (e.g., QAPP, SAP). Preliminary acceptance criteria are 70-130% recovery</w:t>
      </w:r>
      <w:r>
        <w:rPr>
          <w:color w:val="FF0000"/>
          <w:sz w:val="22"/>
        </w:rPr>
        <w:t>.</w:t>
      </w:r>
      <w:r>
        <w:rPr>
          <w:color w:val="FF0000"/>
          <w:spacing w:val="-21"/>
          <w:sz w:val="22"/>
        </w:rPr>
        <w:t> </w:t>
      </w:r>
      <w:r>
        <w:rPr>
          <w:sz w:val="22"/>
        </w:rPr>
        <w:t>Statistically-derived acceptance limits or project defined acceptance limits may be necessary for some surrogates, including M2PFTeDA, MPFDoA, MPFBA, M2-8:2FTS, M2-6:2FTS, M2- 4:2FTS, d5-N-EtFOSAA, and d3-N-MeFOSAA, as 70-130% default limits may be too narrow. Consult Method 8000 for information on developing acceptance criteria for surrogate</w:t>
      </w:r>
      <w:r>
        <w:rPr>
          <w:spacing w:val="-1"/>
          <w:sz w:val="22"/>
        </w:rPr>
        <w:t> </w:t>
      </w:r>
      <w:r>
        <w:rPr>
          <w:sz w:val="22"/>
        </w:rPr>
        <w:t>recovery.</w:t>
      </w:r>
    </w:p>
    <w:p>
      <w:pPr>
        <w:pStyle w:val="ListParagraph"/>
        <w:numPr>
          <w:ilvl w:val="1"/>
          <w:numId w:val="8"/>
        </w:numPr>
        <w:tabs>
          <w:tab w:pos="2621" w:val="left" w:leader="none"/>
          <w:tab w:pos="2622" w:val="left" w:leader="none"/>
        </w:tabs>
        <w:spacing w:line="276" w:lineRule="auto" w:before="119" w:after="0"/>
        <w:ind w:left="1181" w:right="1712" w:firstLine="720"/>
        <w:jc w:val="left"/>
        <w:rPr>
          <w:sz w:val="22"/>
        </w:rPr>
      </w:pPr>
      <w:bookmarkStart w:name="9.7 Initial Calibration Acceptance Crite" w:id="163"/>
      <w:bookmarkEnd w:id="163"/>
      <w:r>
        <w:rPr/>
      </w:r>
      <w:bookmarkStart w:name="9.7 Initial Calibration Acceptance Crite" w:id="164"/>
      <w:bookmarkEnd w:id="164"/>
      <w:r>
        <w:rPr>
          <w:sz w:val="22"/>
        </w:rPr>
        <w:t>Initial</w:t>
      </w:r>
      <w:r>
        <w:rPr>
          <w:sz w:val="22"/>
        </w:rPr>
        <w:t> Calibration Acceptance Criteria (ICAL) - There must be an ICAL of</w:t>
      </w:r>
      <w:r>
        <w:rPr>
          <w:spacing w:val="-24"/>
          <w:sz w:val="22"/>
        </w:rPr>
        <w:t> </w:t>
      </w:r>
      <w:r>
        <w:rPr>
          <w:sz w:val="22"/>
        </w:rPr>
        <w:t>the LC/MS/MS system as described in Sec. 11. Prior to analyzing samples, verify the ICAL standards using a second source ICV standard, if readily available (See Sec.</w:t>
      </w:r>
      <w:r>
        <w:rPr>
          <w:spacing w:val="-16"/>
          <w:sz w:val="22"/>
        </w:rPr>
        <w:t> </w:t>
      </w:r>
      <w:r>
        <w:rPr>
          <w:sz w:val="22"/>
        </w:rPr>
        <w:t>7.4.4.2).</w:t>
      </w:r>
    </w:p>
    <w:p>
      <w:pPr>
        <w:pStyle w:val="ListParagraph"/>
        <w:numPr>
          <w:ilvl w:val="1"/>
          <w:numId w:val="8"/>
        </w:numPr>
        <w:tabs>
          <w:tab w:pos="2621" w:val="left" w:leader="none"/>
          <w:tab w:pos="2622" w:val="left" w:leader="none"/>
        </w:tabs>
        <w:spacing w:line="240" w:lineRule="auto" w:before="119" w:after="0"/>
        <w:ind w:left="2621" w:right="0" w:hanging="721"/>
        <w:jc w:val="left"/>
        <w:rPr>
          <w:sz w:val="22"/>
        </w:rPr>
      </w:pPr>
      <w:bookmarkStart w:name="9.8 CCV - The LC/MS/MS system must be ve" w:id="165"/>
      <w:bookmarkEnd w:id="165"/>
      <w:r>
        <w:rPr/>
      </w:r>
      <w:bookmarkStart w:name="9.8 CCV - The LC/MS/MS system must be ve" w:id="166"/>
      <w:bookmarkEnd w:id="166"/>
      <w:r>
        <w:rPr>
          <w:sz w:val="22"/>
        </w:rPr>
        <w:t>CC</w:t>
      </w:r>
      <w:r>
        <w:rPr>
          <w:sz w:val="22"/>
        </w:rPr>
        <w:t>V - The LC/MS/MS system must be verified using the procedure in Sec.</w:t>
      </w:r>
      <w:r>
        <w:rPr>
          <w:spacing w:val="-8"/>
          <w:sz w:val="22"/>
        </w:rPr>
        <w:t> </w:t>
      </w:r>
      <w:r>
        <w:rPr>
          <w:sz w:val="22"/>
        </w:rPr>
        <w:t>11.</w:t>
      </w:r>
    </w:p>
    <w:p>
      <w:pPr>
        <w:pStyle w:val="BodyText"/>
        <w:spacing w:line="276" w:lineRule="auto" w:before="159"/>
        <w:ind w:left="1181" w:right="1185" w:firstLine="720"/>
      </w:pPr>
      <w:bookmarkStart w:name="See Method 8000 for the details on carry" w:id="167"/>
      <w:bookmarkEnd w:id="167"/>
      <w:r>
        <w:rPr/>
      </w:r>
      <w:r>
        <w:rPr/>
        <w:t>See Method 8000 for the details on carrying out sample QC procedures for preparation and analysis. In-house method performance criteria for evaluating method performance should be developed using the guidance found in Method 8000.</w:t>
      </w:r>
    </w:p>
    <w:p>
      <w:pPr>
        <w:pStyle w:val="ListParagraph"/>
        <w:numPr>
          <w:ilvl w:val="1"/>
          <w:numId w:val="8"/>
        </w:numPr>
        <w:tabs>
          <w:tab w:pos="2621" w:val="left" w:leader="none"/>
          <w:tab w:pos="2622" w:val="left" w:leader="none"/>
        </w:tabs>
        <w:spacing w:line="240" w:lineRule="auto" w:before="120" w:after="0"/>
        <w:ind w:left="2621" w:right="0" w:hanging="721"/>
        <w:jc w:val="left"/>
        <w:rPr>
          <w:sz w:val="22"/>
        </w:rPr>
      </w:pPr>
      <w:bookmarkStart w:name="9.9 Lower limit of quantitation (LLOQ)" w:id="168"/>
      <w:bookmarkEnd w:id="168"/>
      <w:r>
        <w:rPr/>
      </w:r>
      <w:bookmarkStart w:name="9.9 Lower limit of quantitation (LLOQ)" w:id="169"/>
      <w:bookmarkEnd w:id="169"/>
      <w:r>
        <w:rPr>
          <w:sz w:val="22"/>
        </w:rPr>
        <w:t>Lo</w:t>
      </w:r>
      <w:r>
        <w:rPr>
          <w:sz w:val="22"/>
        </w:rPr>
        <w:t>wer limit of quantitation</w:t>
      </w:r>
      <w:r>
        <w:rPr>
          <w:spacing w:val="-1"/>
          <w:sz w:val="22"/>
        </w:rPr>
        <w:t> </w:t>
      </w:r>
      <w:r>
        <w:rPr>
          <w:sz w:val="22"/>
        </w:rPr>
        <w:t>(LLOQ)</w:t>
      </w:r>
    </w:p>
    <w:p>
      <w:pPr>
        <w:pStyle w:val="BodyText"/>
        <w:spacing w:line="276" w:lineRule="auto" w:before="157"/>
        <w:ind w:left="1181" w:right="1217" w:firstLine="720"/>
      </w:pPr>
      <w:bookmarkStart w:name="General guidance for LLOQ is provided in" w:id="170"/>
      <w:bookmarkEnd w:id="170"/>
      <w:r>
        <w:rPr/>
      </w:r>
      <w:r>
        <w:rPr/>
        <w:t>General guidance for LLOQ is provided in this section and in Method 8000.  The LLOQ is the lowest concentration at which the laboratory has demonstrated target analytes can be reliably measured and reported with a certain degree of confidence. The LLOQ must be greater than or equal to the lowest point in the calibration curve. The laboratory shall establish the LLOQ at concentrations where both quantitative and qualitative requirements can consistently be met (see Sec. 11.6.4). The laboratory shall verify the LLOQ at least annually, and whenever significant changes are made to the preparation and/or analytical procedure, to demonstrate quantitation capability at lower analyte concentration levels. The verification is performed by the extraction and/or analysis of an LCS (or MS) at 0.5 - 2 times the established LLOQ. Additional LLOQ verifications may be useful on a project-specific basis if a matrix is expected to contain significant interferences at the LLOQ. The verification may be accomplished with either clean control material (e.g. reagent water) or a representative sample matrix, free of target compounds. Optimally, the LLOQ should be less than the desired decision level or regulatory action level based on the stated</w:t>
      </w:r>
      <w:r>
        <w:rPr>
          <w:spacing w:val="-2"/>
        </w:rPr>
        <w:t> </w:t>
      </w:r>
      <w:r>
        <w:rPr/>
        <w:t>DQOs.</w:t>
      </w:r>
    </w:p>
    <w:p>
      <w:pPr>
        <w:spacing w:after="0" w:line="276" w:lineRule="auto"/>
        <w:sectPr>
          <w:pgSz w:w="12240" w:h="15840"/>
          <w:pgMar w:header="0" w:footer="1134" w:top="1060" w:bottom="1400" w:left="260" w:right="260"/>
        </w:sectPr>
      </w:pPr>
    </w:p>
    <w:p>
      <w:pPr>
        <w:pStyle w:val="BodyText"/>
        <w:spacing w:line="276" w:lineRule="auto" w:before="70"/>
        <w:ind w:left="1900" w:right="1228" w:hanging="720"/>
      </w:pPr>
      <w:bookmarkStart w:name="NOTE: LLOQs should be established at con" w:id="171"/>
      <w:bookmarkEnd w:id="171"/>
      <w:r>
        <w:rPr/>
      </w:r>
      <w:r>
        <w:rPr>
          <w:u w:val="single"/>
        </w:rPr>
        <w:t>NOTE</w:t>
      </w:r>
      <w:r>
        <w:rPr/>
        <w:t>: LLOQs should be established at concentrations where both quantitative and qualitative requirements can be consistently and reliably met. Target analyte peaks in the calibration standard at the LLOQ should be visually inspected to ensure that peak signal is adequately distinguishable from background and where the signal/noise ratio for all quantitative peaks is ≥3. Additional LLOQ verification samples at higher concentrations may be useful for target analytes with low or no qualifier transitions (e.g., PFBA, PFPeA, PFHxA) in order to provide better signal to noise and confidence in confirmation.</w:t>
      </w:r>
    </w:p>
    <w:p>
      <w:pPr>
        <w:pStyle w:val="BodyText"/>
        <w:spacing w:line="276" w:lineRule="auto" w:before="1"/>
        <w:ind w:left="1899" w:right="1265"/>
      </w:pPr>
      <w:r>
        <w:rPr/>
        <w:t>Additional LLOQ verification samples at higher concentrations may be needed for target analytes with higher variability, lower response and/or high background (e.g., PFTeDA, PFTriA, PFDoA, PFUnDA, PF8:2 FTS, 6:2 FTS, N-EtFOSAA, and N-MeFOSAA).</w:t>
      </w:r>
    </w:p>
    <w:p>
      <w:pPr>
        <w:pStyle w:val="BodyText"/>
        <w:spacing w:line="276" w:lineRule="auto" w:before="120"/>
        <w:ind w:left="1900" w:right="2475" w:hanging="721"/>
      </w:pPr>
      <w:r>
        <w:rPr/>
        <w:t>NOTE: If project required levels are sufficiently high, the LCS may be used to meet requirements of LLOQ verification.</w:t>
      </w:r>
    </w:p>
    <w:p>
      <w:pPr>
        <w:pStyle w:val="ListParagraph"/>
        <w:numPr>
          <w:ilvl w:val="2"/>
          <w:numId w:val="8"/>
        </w:numPr>
        <w:tabs>
          <w:tab w:pos="3340" w:val="left" w:leader="none"/>
          <w:tab w:pos="3341" w:val="left" w:leader="none"/>
        </w:tabs>
        <w:spacing w:line="240" w:lineRule="auto" w:before="120" w:after="0"/>
        <w:ind w:left="3340" w:right="0" w:hanging="721"/>
        <w:jc w:val="left"/>
        <w:rPr>
          <w:sz w:val="22"/>
        </w:rPr>
      </w:pPr>
      <w:bookmarkStart w:name="9.9.1 LLOQ Verification" w:id="172"/>
      <w:bookmarkEnd w:id="172"/>
      <w:r>
        <w:rPr/>
      </w:r>
      <w:bookmarkStart w:name="9.9.1 LLOQ Verification" w:id="173"/>
      <w:bookmarkEnd w:id="173"/>
      <w:r>
        <w:rPr>
          <w:sz w:val="22"/>
        </w:rPr>
        <w:t>LL</w:t>
      </w:r>
      <w:r>
        <w:rPr>
          <w:sz w:val="22"/>
        </w:rPr>
        <w:t>OQ</w:t>
      </w:r>
      <w:r>
        <w:rPr>
          <w:spacing w:val="-2"/>
          <w:sz w:val="22"/>
        </w:rPr>
        <w:t> </w:t>
      </w:r>
      <w:r>
        <w:rPr>
          <w:sz w:val="22"/>
        </w:rPr>
        <w:t>Verification</w:t>
      </w:r>
    </w:p>
    <w:p>
      <w:pPr>
        <w:pStyle w:val="ListParagraph"/>
        <w:numPr>
          <w:ilvl w:val="3"/>
          <w:numId w:val="8"/>
        </w:numPr>
        <w:tabs>
          <w:tab w:pos="4240" w:val="left" w:leader="none"/>
          <w:tab w:pos="4241" w:val="left" w:leader="none"/>
        </w:tabs>
        <w:spacing w:line="276" w:lineRule="auto" w:before="157" w:after="0"/>
        <w:ind w:left="2620" w:right="1187" w:firstLine="720"/>
        <w:jc w:val="left"/>
        <w:rPr>
          <w:sz w:val="22"/>
        </w:rPr>
      </w:pPr>
      <w:bookmarkStart w:name="9.9.1.1 The verification of LLOQs using " w:id="174"/>
      <w:bookmarkEnd w:id="174"/>
      <w:r>
        <w:rPr/>
      </w:r>
      <w:bookmarkStart w:name="9.9.1.1 The verification of LLOQs using " w:id="175"/>
      <w:bookmarkEnd w:id="175"/>
      <w:r>
        <w:rPr>
          <w:sz w:val="22"/>
        </w:rPr>
        <w:t>The</w:t>
      </w:r>
      <w:r>
        <w:rPr>
          <w:sz w:val="22"/>
        </w:rPr>
        <w:t> verification of LLOQs using spiked clean control material represents a best-case scenario because it does not evaluate the potential</w:t>
      </w:r>
      <w:r>
        <w:rPr>
          <w:spacing w:val="-21"/>
          <w:sz w:val="22"/>
        </w:rPr>
        <w:t> </w:t>
      </w:r>
      <w:r>
        <w:rPr>
          <w:sz w:val="22"/>
        </w:rPr>
        <w:t>matrix effects of real-world samples. For the application of LLOQs on a project-specific basis, with established DQOs, a representative matrix-specific LLOQ verification may provide a more reliable estimate of the lower quantitation limit</w:t>
      </w:r>
      <w:r>
        <w:rPr>
          <w:spacing w:val="-15"/>
          <w:sz w:val="22"/>
        </w:rPr>
        <w:t> </w:t>
      </w:r>
      <w:r>
        <w:rPr>
          <w:sz w:val="22"/>
        </w:rPr>
        <w:t>capabilities.</w:t>
      </w:r>
    </w:p>
    <w:p>
      <w:pPr>
        <w:pStyle w:val="ListParagraph"/>
        <w:numPr>
          <w:ilvl w:val="3"/>
          <w:numId w:val="8"/>
        </w:numPr>
        <w:tabs>
          <w:tab w:pos="4240" w:val="left" w:leader="none"/>
          <w:tab w:pos="4241" w:val="left" w:leader="none"/>
        </w:tabs>
        <w:spacing w:line="276" w:lineRule="auto" w:before="120" w:after="0"/>
        <w:ind w:left="2619" w:right="1385" w:firstLine="720"/>
        <w:jc w:val="left"/>
        <w:rPr>
          <w:sz w:val="22"/>
        </w:rPr>
      </w:pPr>
      <w:bookmarkStart w:name="9.9.1.2 The LLOQ verification is prepare" w:id="176"/>
      <w:bookmarkEnd w:id="176"/>
      <w:r>
        <w:rPr/>
      </w:r>
      <w:bookmarkStart w:name="9.9.1.2 The LLOQ verification is prepare" w:id="177"/>
      <w:bookmarkEnd w:id="177"/>
      <w:r>
        <w:rPr>
          <w:sz w:val="22"/>
        </w:rPr>
        <w:t>The</w:t>
      </w:r>
      <w:r>
        <w:rPr>
          <w:sz w:val="22"/>
        </w:rPr>
        <w:t> LLOQ verification is prepared by spiking a clean control material with the analyte(s) of interest at 0.5 - 2 times the LLOQ concentration level(s). Alternatively, a representative sample matrix free of targets may be spiked with the analytes of interest at 0.5 - 2 times the LLOQ concentration levels. The LLOQ check is carried through the same preparation and</w:t>
      </w:r>
      <w:r>
        <w:rPr>
          <w:spacing w:val="-23"/>
          <w:sz w:val="22"/>
        </w:rPr>
        <w:t> </w:t>
      </w:r>
      <w:r>
        <w:rPr>
          <w:sz w:val="22"/>
        </w:rPr>
        <w:t>analytical procedures as environmental samples and other QC</w:t>
      </w:r>
      <w:r>
        <w:rPr>
          <w:spacing w:val="-7"/>
          <w:sz w:val="22"/>
        </w:rPr>
        <w:t> </w:t>
      </w:r>
      <w:r>
        <w:rPr>
          <w:sz w:val="22"/>
        </w:rPr>
        <w:t>samples.</w:t>
      </w:r>
    </w:p>
    <w:p>
      <w:pPr>
        <w:pStyle w:val="ListParagraph"/>
        <w:numPr>
          <w:ilvl w:val="3"/>
          <w:numId w:val="8"/>
        </w:numPr>
        <w:tabs>
          <w:tab w:pos="4239" w:val="left" w:leader="none"/>
          <w:tab w:pos="4240" w:val="left" w:leader="none"/>
        </w:tabs>
        <w:spacing w:line="276" w:lineRule="auto" w:before="120" w:after="0"/>
        <w:ind w:left="2619" w:right="1211" w:firstLine="720"/>
        <w:jc w:val="left"/>
        <w:rPr>
          <w:sz w:val="22"/>
        </w:rPr>
      </w:pPr>
      <w:bookmarkStart w:name="9.9.1.3 Recovery of target analytes in t" w:id="178"/>
      <w:bookmarkEnd w:id="178"/>
      <w:r>
        <w:rPr/>
      </w:r>
      <w:bookmarkStart w:name="9.9.1.3 Recovery of target analytes in t" w:id="179"/>
      <w:bookmarkEnd w:id="179"/>
      <w:r>
        <w:rPr>
          <w:sz w:val="22"/>
        </w:rPr>
        <w:t>R</w:t>
      </w:r>
      <w:r>
        <w:rPr>
          <w:sz w:val="22"/>
        </w:rPr>
        <w:t>ecovery of target analytes in the LLOQ verification should be within established in-house limits or within other such project-specific acceptance limits to demonstrate acceptable method performance at the LLOQ. Preliminary acceptance criteria for the LLOQ verification are 50-150%. This practice acknowledges the potential for greater uncertainty at the low end of the calibration curve. Practical, historically based LLOQ acceptance criteria should be determined once sufficient data points have been</w:t>
      </w:r>
      <w:r>
        <w:rPr>
          <w:spacing w:val="-4"/>
          <w:sz w:val="22"/>
        </w:rPr>
        <w:t> </w:t>
      </w:r>
      <w:r>
        <w:rPr>
          <w:sz w:val="22"/>
        </w:rPr>
        <w:t>acquired.</w:t>
      </w:r>
    </w:p>
    <w:p>
      <w:pPr>
        <w:pStyle w:val="ListParagraph"/>
        <w:numPr>
          <w:ilvl w:val="3"/>
          <w:numId w:val="8"/>
        </w:numPr>
        <w:tabs>
          <w:tab w:pos="4239" w:val="left" w:leader="none"/>
          <w:tab w:pos="4240" w:val="left" w:leader="none"/>
        </w:tabs>
        <w:spacing w:line="276" w:lineRule="auto" w:before="120" w:after="0"/>
        <w:ind w:left="2619" w:right="1199" w:firstLine="720"/>
        <w:jc w:val="left"/>
        <w:rPr>
          <w:sz w:val="22"/>
        </w:rPr>
      </w:pPr>
      <w:bookmarkStart w:name="9.9.1.4 It is recommended to analyze an " w:id="180"/>
      <w:bookmarkEnd w:id="180"/>
      <w:r>
        <w:rPr/>
      </w:r>
      <w:bookmarkStart w:name="9.9.1.4 It is recommended to analyze an " w:id="181"/>
      <w:bookmarkEnd w:id="181"/>
      <w:r>
        <w:rPr>
          <w:sz w:val="22"/>
        </w:rPr>
        <w:t>It</w:t>
      </w:r>
      <w:r>
        <w:rPr>
          <w:sz w:val="22"/>
        </w:rPr>
        <w:t> is recommended to analyze an LLOQ verification with every batch of 20 or fewer field samples. In cases where compounds fail low, they may be reported as non-detects if it can be demonstrated that there was adequate sensitivity to detect the compound at the LLOQ or project specific level of interest (e.g., by calibrating below the established LLOQ to confirm the non-detect, or by analyzing a standard near that level to confirm the analyte could be qualitatively identified if it were present [See Sec. 11.7 of Method 8000]). Alternatively, the non-detect could be qualified or the LLOQ raised to a higher level. In cases where compounds fail high in the LLOQ and are not found in the associated field samples, they may be reported without</w:t>
      </w:r>
      <w:r>
        <w:rPr>
          <w:spacing w:val="-4"/>
          <w:sz w:val="22"/>
        </w:rPr>
        <w:t> </w:t>
      </w:r>
      <w:r>
        <w:rPr>
          <w:sz w:val="22"/>
        </w:rPr>
        <w:t>qualification.</w:t>
      </w:r>
    </w:p>
    <w:p>
      <w:pPr>
        <w:spacing w:after="0" w:line="276" w:lineRule="auto"/>
        <w:jc w:val="left"/>
        <w:rPr>
          <w:sz w:val="22"/>
        </w:rPr>
        <w:sectPr>
          <w:pgSz w:w="12240" w:h="15840"/>
          <w:pgMar w:header="0" w:footer="1134" w:top="1060" w:bottom="1400" w:left="260" w:right="260"/>
        </w:sectPr>
      </w:pPr>
    </w:p>
    <w:p>
      <w:pPr>
        <w:pStyle w:val="ListParagraph"/>
        <w:numPr>
          <w:ilvl w:val="3"/>
          <w:numId w:val="8"/>
        </w:numPr>
        <w:tabs>
          <w:tab w:pos="4240" w:val="left" w:leader="none"/>
          <w:tab w:pos="4241" w:val="left" w:leader="none"/>
        </w:tabs>
        <w:spacing w:line="276" w:lineRule="auto" w:before="70" w:after="0"/>
        <w:ind w:left="2620" w:right="1217" w:firstLine="720"/>
        <w:jc w:val="left"/>
        <w:rPr>
          <w:sz w:val="22"/>
        </w:rPr>
      </w:pPr>
      <w:bookmarkStart w:name="9.9.1.5 Reporting concentrations below L" w:id="182"/>
      <w:bookmarkEnd w:id="182"/>
      <w:r>
        <w:rPr/>
      </w:r>
      <w:bookmarkStart w:name="9.9.1.5 Reporting concentrations below L" w:id="183"/>
      <w:bookmarkEnd w:id="183"/>
      <w:r>
        <w:rPr>
          <w:sz w:val="22"/>
        </w:rPr>
        <w:t>R</w:t>
      </w:r>
      <w:r>
        <w:rPr>
          <w:sz w:val="22"/>
        </w:rPr>
        <w:t>eporting concentrations below LLOQ – Concentrations that</w:t>
      </w:r>
      <w:r>
        <w:rPr>
          <w:spacing w:val="-16"/>
          <w:sz w:val="22"/>
        </w:rPr>
        <w:t> </w:t>
      </w:r>
      <w:r>
        <w:rPr>
          <w:sz w:val="22"/>
        </w:rPr>
        <w:t>are below the established LLOQ may still be reported; however, these analytes must be qualified as estimated. The procedure for reporting analytes below the LLOQ should be documented in the laboratory's SOP or in a project-specific plan. Analytes below the LLOQ that are reported should meet most or all of the qualitative identification criteria in Sec.</w:t>
      </w:r>
      <w:r>
        <w:rPr>
          <w:spacing w:val="-2"/>
          <w:sz w:val="22"/>
        </w:rPr>
        <w:t> </w:t>
      </w:r>
      <w:r>
        <w:rPr>
          <w:sz w:val="22"/>
        </w:rPr>
        <w:t>11.6.4.</w:t>
      </w:r>
    </w:p>
    <w:p>
      <w:pPr>
        <w:pStyle w:val="ListParagraph"/>
        <w:numPr>
          <w:ilvl w:val="1"/>
          <w:numId w:val="8"/>
        </w:numPr>
        <w:tabs>
          <w:tab w:pos="2620" w:val="left" w:leader="none"/>
          <w:tab w:pos="2621" w:val="left" w:leader="none"/>
        </w:tabs>
        <w:spacing w:line="276" w:lineRule="auto" w:before="121" w:after="0"/>
        <w:ind w:left="1180" w:right="1296" w:firstLine="720"/>
        <w:jc w:val="left"/>
        <w:rPr>
          <w:sz w:val="22"/>
        </w:rPr>
      </w:pPr>
      <w:bookmarkStart w:name="9.10 It is recommended that the laborato" w:id="184"/>
      <w:bookmarkEnd w:id="184"/>
      <w:r>
        <w:rPr/>
      </w:r>
      <w:bookmarkStart w:name="9.10 It is recommended that the laborato" w:id="185"/>
      <w:bookmarkEnd w:id="185"/>
      <w:r>
        <w:rPr>
          <w:sz w:val="22"/>
        </w:rPr>
        <w:t>It</w:t>
      </w:r>
      <w:r>
        <w:rPr>
          <w:sz w:val="22"/>
        </w:rPr>
        <w:t> is recommended that the laboratory adopt additional QA practices for use with this method. Specific practices that are most productive depend upon the needs of the laboratory, the nature of the samples, and project-specific requirements. Field duplicates may be analyzed to assess precision of the environmental measurements. Whenever possible, the laboratory should analyze standard reference materials and participate in relevant</w:t>
      </w:r>
      <w:r>
        <w:rPr>
          <w:spacing w:val="-24"/>
          <w:sz w:val="22"/>
        </w:rPr>
        <w:t> </w:t>
      </w:r>
      <w:r>
        <w:rPr>
          <w:sz w:val="22"/>
        </w:rPr>
        <w:t>performance evaluation</w:t>
      </w:r>
      <w:r>
        <w:rPr>
          <w:spacing w:val="-1"/>
          <w:sz w:val="22"/>
        </w:rPr>
        <w:t> </w:t>
      </w:r>
      <w:r>
        <w:rPr>
          <w:sz w:val="22"/>
        </w:rPr>
        <w:t>studies.</w:t>
      </w:r>
    </w:p>
    <w:p>
      <w:pPr>
        <w:pStyle w:val="BodyText"/>
        <w:spacing w:before="3"/>
        <w:rPr>
          <w:sz w:val="31"/>
        </w:rPr>
      </w:pPr>
    </w:p>
    <w:p>
      <w:pPr>
        <w:pStyle w:val="BodyText"/>
        <w:tabs>
          <w:tab w:pos="1900" w:val="left" w:leader="none"/>
        </w:tabs>
        <w:ind w:left="1180"/>
      </w:pPr>
      <w:bookmarkStart w:name="10.0 CALIBRATION AND STANDARDIZATION" w:id="186"/>
      <w:bookmarkEnd w:id="186"/>
      <w:r>
        <w:rPr/>
      </w:r>
      <w:bookmarkStart w:name="_bookmark9" w:id="187"/>
      <w:bookmarkEnd w:id="187"/>
      <w:r>
        <w:rPr/>
      </w:r>
      <w:r>
        <w:rPr/>
        <w:t>10.0</w:t>
        <w:tab/>
        <w:t>CALIBRATION AND</w:t>
      </w:r>
      <w:r>
        <w:rPr>
          <w:spacing w:val="-3"/>
        </w:rPr>
        <w:t> </w:t>
      </w:r>
      <w:r>
        <w:rPr/>
        <w:t>STANDARDIZATION</w:t>
      </w:r>
    </w:p>
    <w:p>
      <w:pPr>
        <w:pStyle w:val="BodyText"/>
        <w:spacing w:before="158"/>
        <w:ind w:left="1900"/>
      </w:pPr>
      <w:r>
        <w:rPr/>
        <w:t>See Sec. 11.0 for information on calibration and standardization.</w:t>
      </w:r>
    </w:p>
    <w:p>
      <w:pPr>
        <w:pStyle w:val="BodyText"/>
        <w:spacing w:before="7"/>
        <w:rPr>
          <w:sz w:val="34"/>
        </w:rPr>
      </w:pPr>
    </w:p>
    <w:p>
      <w:pPr>
        <w:pStyle w:val="ListParagraph"/>
        <w:numPr>
          <w:ilvl w:val="1"/>
          <w:numId w:val="9"/>
        </w:numPr>
        <w:tabs>
          <w:tab w:pos="1900" w:val="left" w:leader="none"/>
          <w:tab w:pos="1901" w:val="left" w:leader="none"/>
        </w:tabs>
        <w:spacing w:line="240" w:lineRule="auto" w:before="0" w:after="0"/>
        <w:ind w:left="1900" w:right="0" w:hanging="721"/>
        <w:jc w:val="left"/>
        <w:rPr>
          <w:sz w:val="22"/>
        </w:rPr>
      </w:pPr>
      <w:bookmarkStart w:name="11.0 PROCEDURE" w:id="188"/>
      <w:bookmarkEnd w:id="188"/>
      <w:r>
        <w:rPr/>
      </w:r>
      <w:bookmarkStart w:name="_bookmark10" w:id="189"/>
      <w:bookmarkEnd w:id="189"/>
      <w:r>
        <w:rPr/>
      </w:r>
      <w:bookmarkStart w:name="_bookmark10" w:id="190"/>
      <w:bookmarkEnd w:id="190"/>
      <w:r>
        <w:rPr>
          <w:sz w:val="22"/>
        </w:rPr>
        <w:t>PR</w:t>
      </w:r>
      <w:r>
        <w:rPr>
          <w:sz w:val="22"/>
        </w:rPr>
        <w:t>OCEDURE</w:t>
      </w:r>
    </w:p>
    <w:p>
      <w:pPr>
        <w:pStyle w:val="BodyText"/>
        <w:spacing w:before="2"/>
        <w:rPr>
          <w:sz w:val="24"/>
        </w:rPr>
      </w:pPr>
    </w:p>
    <w:p>
      <w:pPr>
        <w:pStyle w:val="ListParagraph"/>
        <w:numPr>
          <w:ilvl w:val="1"/>
          <w:numId w:val="9"/>
        </w:numPr>
        <w:tabs>
          <w:tab w:pos="2620" w:val="left" w:leader="none"/>
          <w:tab w:pos="2621" w:val="left" w:leader="none"/>
        </w:tabs>
        <w:spacing w:line="276" w:lineRule="auto" w:before="0" w:after="0"/>
        <w:ind w:left="1181" w:right="2127" w:firstLine="719"/>
        <w:jc w:val="left"/>
        <w:rPr>
          <w:sz w:val="22"/>
        </w:rPr>
      </w:pPr>
      <w:bookmarkStart w:name="11.1 Samples are normally prepared by on" w:id="191"/>
      <w:bookmarkEnd w:id="191"/>
      <w:r>
        <w:rPr/>
      </w:r>
      <w:bookmarkStart w:name="11.1 Samples are normally prepared by on" w:id="192"/>
      <w:bookmarkEnd w:id="192"/>
      <w:r>
        <w:rPr>
          <w:sz w:val="22"/>
        </w:rPr>
        <w:t>S</w:t>
      </w:r>
      <w:r>
        <w:rPr>
          <w:sz w:val="22"/>
        </w:rPr>
        <w:t>amples are normally prepared by one of the following methods prior to LC/MS/MS analysis:</w:t>
      </w:r>
    </w:p>
    <w:p>
      <w:pPr>
        <w:pStyle w:val="BodyText"/>
        <w:spacing w:before="5"/>
        <w:rPr>
          <w:sz w:val="10"/>
        </w:rPr>
      </w:pPr>
    </w:p>
    <w:tbl>
      <w:tblPr>
        <w:tblW w:w="0" w:type="auto"/>
        <w:jc w:val="left"/>
        <w:tblInd w:w="1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58"/>
        <w:gridCol w:w="5520"/>
      </w:tblGrid>
      <w:tr>
        <w:trPr>
          <w:trHeight w:val="411" w:hRule="atLeast"/>
        </w:trPr>
        <w:tc>
          <w:tcPr>
            <w:tcW w:w="2858" w:type="dxa"/>
            <w:tcBorders>
              <w:top w:val="single" w:sz="4" w:space="0" w:color="000000"/>
              <w:bottom w:val="single" w:sz="4" w:space="0" w:color="000000"/>
            </w:tcBorders>
          </w:tcPr>
          <w:p>
            <w:pPr>
              <w:pStyle w:val="TableParagraph"/>
              <w:spacing w:before="0"/>
              <w:ind w:left="99"/>
              <w:jc w:val="left"/>
              <w:rPr>
                <w:sz w:val="22"/>
              </w:rPr>
            </w:pPr>
            <w:r>
              <w:rPr>
                <w:sz w:val="22"/>
              </w:rPr>
              <w:t>Matrix</w:t>
            </w:r>
          </w:p>
        </w:tc>
        <w:tc>
          <w:tcPr>
            <w:tcW w:w="5520" w:type="dxa"/>
            <w:tcBorders>
              <w:top w:val="single" w:sz="4" w:space="0" w:color="000000"/>
              <w:bottom w:val="single" w:sz="4" w:space="0" w:color="000000"/>
            </w:tcBorders>
          </w:tcPr>
          <w:p>
            <w:pPr>
              <w:pStyle w:val="TableParagraph"/>
              <w:spacing w:before="0"/>
              <w:ind w:left="1106"/>
              <w:jc w:val="left"/>
              <w:rPr>
                <w:sz w:val="22"/>
              </w:rPr>
            </w:pPr>
            <w:r>
              <w:rPr>
                <w:sz w:val="22"/>
              </w:rPr>
              <w:t>Methods</w:t>
            </w:r>
          </w:p>
        </w:tc>
      </w:tr>
      <w:tr>
        <w:trPr>
          <w:trHeight w:val="335" w:hRule="atLeast"/>
        </w:trPr>
        <w:tc>
          <w:tcPr>
            <w:tcW w:w="2858" w:type="dxa"/>
            <w:tcBorders>
              <w:top w:val="single" w:sz="4" w:space="0" w:color="000000"/>
            </w:tcBorders>
          </w:tcPr>
          <w:p>
            <w:pPr>
              <w:pStyle w:val="TableParagraph"/>
              <w:spacing w:before="0"/>
              <w:ind w:left="99"/>
              <w:jc w:val="left"/>
              <w:rPr>
                <w:sz w:val="22"/>
              </w:rPr>
            </w:pPr>
            <w:r>
              <w:rPr>
                <w:sz w:val="22"/>
              </w:rPr>
              <w:t>Water</w:t>
            </w:r>
          </w:p>
        </w:tc>
        <w:tc>
          <w:tcPr>
            <w:tcW w:w="5520" w:type="dxa"/>
            <w:tcBorders>
              <w:top w:val="single" w:sz="4" w:space="0" w:color="000000"/>
            </w:tcBorders>
          </w:tcPr>
          <w:p>
            <w:pPr>
              <w:pStyle w:val="TableParagraph"/>
              <w:spacing w:before="0"/>
              <w:ind w:left="1106"/>
              <w:jc w:val="left"/>
              <w:rPr>
                <w:sz w:val="22"/>
              </w:rPr>
            </w:pPr>
            <w:r>
              <w:rPr>
                <w:sz w:val="22"/>
              </w:rPr>
              <w:t>Method 3512 (Appendix B)</w:t>
            </w:r>
          </w:p>
        </w:tc>
      </w:tr>
      <w:tr>
        <w:trPr>
          <w:trHeight w:val="421" w:hRule="atLeast"/>
        </w:trPr>
        <w:tc>
          <w:tcPr>
            <w:tcW w:w="2858" w:type="dxa"/>
          </w:tcPr>
          <w:p>
            <w:pPr>
              <w:pStyle w:val="TableParagraph"/>
              <w:spacing w:before="75"/>
              <w:ind w:left="99"/>
              <w:jc w:val="left"/>
              <w:rPr>
                <w:sz w:val="22"/>
              </w:rPr>
            </w:pPr>
            <w:r>
              <w:rPr>
                <w:sz w:val="22"/>
              </w:rPr>
              <w:t>Soil/sediment</w:t>
            </w:r>
          </w:p>
        </w:tc>
        <w:tc>
          <w:tcPr>
            <w:tcW w:w="5520" w:type="dxa"/>
          </w:tcPr>
          <w:p>
            <w:pPr>
              <w:pStyle w:val="TableParagraph"/>
              <w:spacing w:before="75"/>
              <w:ind w:left="1106"/>
              <w:jc w:val="left"/>
              <w:rPr>
                <w:sz w:val="22"/>
              </w:rPr>
            </w:pPr>
            <w:r>
              <w:rPr>
                <w:sz w:val="22"/>
              </w:rPr>
              <w:t>TBD</w:t>
            </w:r>
          </w:p>
        </w:tc>
      </w:tr>
      <w:tr>
        <w:trPr>
          <w:trHeight w:val="518" w:hRule="atLeast"/>
        </w:trPr>
        <w:tc>
          <w:tcPr>
            <w:tcW w:w="2858" w:type="dxa"/>
            <w:tcBorders>
              <w:bottom w:val="single" w:sz="4" w:space="0" w:color="000000"/>
            </w:tcBorders>
          </w:tcPr>
          <w:p>
            <w:pPr>
              <w:pStyle w:val="TableParagraph"/>
              <w:spacing w:before="85"/>
              <w:ind w:left="99"/>
              <w:jc w:val="left"/>
              <w:rPr>
                <w:sz w:val="22"/>
              </w:rPr>
            </w:pPr>
            <w:r>
              <w:rPr>
                <w:sz w:val="22"/>
              </w:rPr>
              <w:t>Biota (fish, plant)</w:t>
            </w:r>
          </w:p>
        </w:tc>
        <w:tc>
          <w:tcPr>
            <w:tcW w:w="5520" w:type="dxa"/>
            <w:tcBorders>
              <w:bottom w:val="single" w:sz="4" w:space="0" w:color="000000"/>
            </w:tcBorders>
          </w:tcPr>
          <w:p>
            <w:pPr>
              <w:pStyle w:val="TableParagraph"/>
              <w:spacing w:before="85"/>
              <w:ind w:left="1106"/>
              <w:jc w:val="left"/>
              <w:rPr>
                <w:sz w:val="22"/>
              </w:rPr>
            </w:pPr>
            <w:r>
              <w:rPr>
                <w:sz w:val="22"/>
              </w:rPr>
              <w:t>TBD</w:t>
            </w:r>
          </w:p>
        </w:tc>
      </w:tr>
    </w:tbl>
    <w:p>
      <w:pPr>
        <w:pStyle w:val="BodyText"/>
        <w:spacing w:before="8"/>
        <w:rPr>
          <w:sz w:val="35"/>
        </w:rPr>
      </w:pPr>
    </w:p>
    <w:p>
      <w:pPr>
        <w:pStyle w:val="ListParagraph"/>
        <w:numPr>
          <w:ilvl w:val="1"/>
          <w:numId w:val="9"/>
        </w:numPr>
        <w:tabs>
          <w:tab w:pos="2619" w:val="left" w:leader="none"/>
          <w:tab w:pos="2621" w:val="left" w:leader="none"/>
        </w:tabs>
        <w:spacing w:line="276" w:lineRule="auto" w:before="0" w:after="0"/>
        <w:ind w:left="1179" w:right="1235" w:firstLine="720"/>
        <w:jc w:val="left"/>
        <w:rPr>
          <w:sz w:val="22"/>
        </w:rPr>
      </w:pPr>
      <w:bookmarkStart w:name="11.2 Sample cleanup – Cleanup procedures" w:id="193"/>
      <w:bookmarkEnd w:id="193"/>
      <w:r>
        <w:rPr/>
      </w:r>
      <w:bookmarkStart w:name="11.2 Sample cleanup – Cleanup procedures" w:id="194"/>
      <w:bookmarkEnd w:id="194"/>
      <w:r>
        <w:rPr>
          <w:sz w:val="22"/>
        </w:rPr>
        <w:t>S</w:t>
      </w:r>
      <w:r>
        <w:rPr>
          <w:sz w:val="22"/>
        </w:rPr>
        <w:t>ample cleanup – Cleanup procedures should not be necessary for relatively clean sample matrices. Extracts from highly contaminated environmental, waste or biota samples may require additional cleanup steps prior to analysis. The specific cleanup</w:t>
      </w:r>
      <w:r>
        <w:rPr>
          <w:spacing w:val="-27"/>
          <w:sz w:val="22"/>
        </w:rPr>
        <w:t> </w:t>
      </w:r>
      <w:r>
        <w:rPr>
          <w:sz w:val="22"/>
        </w:rPr>
        <w:t>procedure used will depend upon the analytes of interest, the nature of the interferences, and the DQOs for the</w:t>
      </w:r>
      <w:r>
        <w:rPr>
          <w:spacing w:val="-1"/>
          <w:sz w:val="22"/>
        </w:rPr>
        <w:t> </w:t>
      </w:r>
      <w:r>
        <w:rPr>
          <w:sz w:val="22"/>
        </w:rPr>
        <w:t>project.</w:t>
      </w:r>
    </w:p>
    <w:p>
      <w:pPr>
        <w:pStyle w:val="ListParagraph"/>
        <w:numPr>
          <w:ilvl w:val="1"/>
          <w:numId w:val="9"/>
        </w:numPr>
        <w:tabs>
          <w:tab w:pos="2619" w:val="left" w:leader="none"/>
          <w:tab w:pos="2621" w:val="left" w:leader="none"/>
        </w:tabs>
        <w:spacing w:line="240" w:lineRule="auto" w:before="119" w:after="0"/>
        <w:ind w:left="2620" w:right="0" w:hanging="721"/>
        <w:jc w:val="left"/>
        <w:rPr>
          <w:sz w:val="22"/>
        </w:rPr>
      </w:pPr>
      <w:bookmarkStart w:name="11.3 ICAL" w:id="195"/>
      <w:bookmarkEnd w:id="195"/>
      <w:r>
        <w:rPr/>
      </w:r>
      <w:bookmarkStart w:name="11.3 ICAL" w:id="196"/>
      <w:bookmarkEnd w:id="196"/>
      <w:r>
        <w:rPr>
          <w:sz w:val="22"/>
        </w:rPr>
        <w:t>I</w:t>
      </w:r>
      <w:r>
        <w:rPr>
          <w:sz w:val="22"/>
        </w:rPr>
        <w:t>CAL</w:t>
      </w:r>
    </w:p>
    <w:p>
      <w:pPr>
        <w:pStyle w:val="ListParagraph"/>
        <w:numPr>
          <w:ilvl w:val="2"/>
          <w:numId w:val="9"/>
        </w:numPr>
        <w:tabs>
          <w:tab w:pos="3519" w:val="left" w:leader="none"/>
          <w:tab w:pos="3520" w:val="left" w:leader="none"/>
        </w:tabs>
        <w:spacing w:line="276" w:lineRule="auto" w:before="159" w:after="0"/>
        <w:ind w:left="1899" w:right="1381" w:firstLine="720"/>
        <w:jc w:val="left"/>
        <w:rPr>
          <w:sz w:val="22"/>
        </w:rPr>
      </w:pPr>
      <w:bookmarkStart w:name="11.3.1 Calibrate the mass spectrometer a" w:id="197"/>
      <w:bookmarkEnd w:id="197"/>
      <w:r>
        <w:rPr/>
      </w:r>
      <w:bookmarkStart w:name="11.3.1 Calibrate the mass spectrometer a" w:id="198"/>
      <w:bookmarkEnd w:id="198"/>
      <w:r>
        <w:rPr>
          <w:sz w:val="22"/>
        </w:rPr>
        <w:t>C</w:t>
      </w:r>
      <w:r>
        <w:rPr>
          <w:sz w:val="22"/>
        </w:rPr>
        <w:t>alibrate the mass spectrometer according to manufacturer’s specifications after any changes to the system and when mass shifts of more than 0.2 Dalton are noticed by the analyst. Acceptable system performance may be demonstrated by meeting manufacturer specifications for mass resolution, mass accuracy, and sensitivity using an internal calibrant. Tuning the instrument should only be performed prior to initial calibration. System calibration must not begin until manufacturer’s performance criteria are met, and calibration standards and samples must be analyzed under the same</w:t>
      </w:r>
      <w:r>
        <w:rPr>
          <w:spacing w:val="-1"/>
          <w:sz w:val="22"/>
        </w:rPr>
        <w:t> </w:t>
      </w:r>
      <w:r>
        <w:rPr>
          <w:sz w:val="22"/>
        </w:rPr>
        <w:t>conditions.</w:t>
      </w:r>
    </w:p>
    <w:p>
      <w:pPr>
        <w:spacing w:after="0" w:line="276" w:lineRule="auto"/>
        <w:jc w:val="left"/>
        <w:rPr>
          <w:sz w:val="22"/>
        </w:rPr>
        <w:sectPr>
          <w:pgSz w:w="12240" w:h="15840"/>
          <w:pgMar w:header="0" w:footer="1134" w:top="1060" w:bottom="1400" w:left="260" w:right="260"/>
        </w:sectPr>
      </w:pPr>
    </w:p>
    <w:p>
      <w:pPr>
        <w:pStyle w:val="BodyText"/>
        <w:spacing w:line="276" w:lineRule="auto" w:before="70"/>
        <w:ind w:left="2620" w:right="1188" w:hanging="720"/>
      </w:pPr>
      <w:bookmarkStart w:name="NOTE: Prior to running this method and p" w:id="199"/>
      <w:bookmarkEnd w:id="199"/>
      <w:r>
        <w:rPr/>
      </w:r>
      <w:r>
        <w:rPr>
          <w:u w:val="single"/>
        </w:rPr>
        <w:t>NOTE:</w:t>
      </w:r>
      <w:r>
        <w:rPr/>
        <w:t> Prior to running this method and performing the IDP in Sec. 9.4, the laboratory must optimize instrument settings to obtain acceptable responses for each</w:t>
      </w:r>
      <w:r>
        <w:rPr>
          <w:spacing w:val="-21"/>
        </w:rPr>
        <w:t> </w:t>
      </w:r>
      <w:r>
        <w:rPr/>
        <w:t>parent to product ion transition for every target analyte and surrogate (e.g., cone voltage, collision</w:t>
      </w:r>
      <w:r>
        <w:rPr>
          <w:spacing w:val="-1"/>
        </w:rPr>
        <w:t> </w:t>
      </w:r>
      <w:r>
        <w:rPr/>
        <w:t>energy).</w:t>
      </w:r>
    </w:p>
    <w:p>
      <w:pPr>
        <w:pStyle w:val="ListParagraph"/>
        <w:numPr>
          <w:ilvl w:val="2"/>
          <w:numId w:val="9"/>
        </w:numPr>
        <w:tabs>
          <w:tab w:pos="3519" w:val="left" w:leader="none"/>
          <w:tab w:pos="3520" w:val="left" w:leader="none"/>
        </w:tabs>
        <w:spacing w:line="276" w:lineRule="auto" w:before="120" w:after="0"/>
        <w:ind w:left="1899" w:right="1187" w:firstLine="720"/>
        <w:jc w:val="left"/>
        <w:rPr>
          <w:sz w:val="22"/>
        </w:rPr>
      </w:pPr>
      <w:bookmarkStart w:name="11.3.2 Analyze a consistent volume of ea" w:id="200"/>
      <w:bookmarkEnd w:id="200"/>
      <w:r>
        <w:rPr/>
      </w:r>
      <w:bookmarkStart w:name="11.3.2 Analyze a consistent volume of ea" w:id="201"/>
      <w:bookmarkEnd w:id="201"/>
      <w:r>
        <w:rPr>
          <w:sz w:val="22"/>
        </w:rPr>
        <w:t>A</w:t>
      </w:r>
      <w:r>
        <w:rPr>
          <w:sz w:val="22"/>
        </w:rPr>
        <w:t>nalyze a consistent volume of each calibration standard (i.e., containing the compounds for quantitation and the appropriate surrogates). LC conditions and MS/MS conditions used in method development are listed in Table 5. A set of at least five calibration standards must be analyzed with the low standard at or below the LLOQ (see Sec. 9.9 and Method 8000). Quantitation is based on external standard calibration models, and a minimum of five standards must be used for average calibration factor or linear (first-order) calibration models. Six or more standards must</w:t>
      </w:r>
      <w:r>
        <w:rPr>
          <w:spacing w:val="-24"/>
          <w:sz w:val="22"/>
        </w:rPr>
        <w:t> </w:t>
      </w:r>
      <w:r>
        <w:rPr>
          <w:sz w:val="22"/>
        </w:rPr>
        <w:t>be used for a quadratic (second-order) model. See Sec. 11.4 in Method 8000 for additional information. The injection volume must be the same for the analysis of all standards and samples.</w:t>
      </w:r>
    </w:p>
    <w:p>
      <w:pPr>
        <w:pStyle w:val="BodyText"/>
        <w:spacing w:line="276" w:lineRule="auto" w:before="121"/>
        <w:ind w:left="2620" w:right="1494" w:hanging="720"/>
      </w:pPr>
      <w:bookmarkStart w:name="NOTE: Concentrations for salt forms of s" w:id="202"/>
      <w:bookmarkEnd w:id="202"/>
      <w:r>
        <w:rPr/>
      </w:r>
      <w:r>
        <w:rPr>
          <w:u w:val="single"/>
        </w:rPr>
        <w:t>NOTE:</w:t>
      </w:r>
      <w:r>
        <w:rPr/>
        <w:t> Concentrations for salt forms of sulfonates are typically corrected to anion concentration for reporting purposes. For example, in the Wellington standard (PFAC-24PAR), PFBS salt has a concentration of 2 ug/mL and the anion concentration is 1.77 ug/mL.</w:t>
      </w:r>
    </w:p>
    <w:p>
      <w:pPr>
        <w:pStyle w:val="BodyText"/>
        <w:spacing w:line="276" w:lineRule="auto" w:before="119"/>
        <w:ind w:left="2620" w:right="1185" w:hanging="720"/>
      </w:pPr>
      <w:bookmarkStart w:name="NOTE: LLOQs should be established at con" w:id="203"/>
      <w:bookmarkEnd w:id="203"/>
      <w:r>
        <w:rPr/>
      </w:r>
      <w:r>
        <w:rPr>
          <w:u w:val="single"/>
        </w:rPr>
        <w:t>NOTE</w:t>
      </w:r>
      <w:r>
        <w:rPr/>
        <w:t>: LLOQs should be established at concentrations where both quantitative and qualitative requirements can be consistently and reliably met (see Secs. 9.9 and 11.6). Target analyte peaks in the calibration standard at the LLOQ should be visually inspected to ensure that peak signal is adequately distinguishable from background and meets the qualitative requirements outlined in 11.6.</w:t>
      </w:r>
    </w:p>
    <w:p>
      <w:pPr>
        <w:pStyle w:val="ListParagraph"/>
        <w:numPr>
          <w:ilvl w:val="2"/>
          <w:numId w:val="9"/>
        </w:numPr>
        <w:tabs>
          <w:tab w:pos="3519" w:val="left" w:leader="none"/>
          <w:tab w:pos="3520" w:val="left" w:leader="none"/>
        </w:tabs>
        <w:spacing w:line="276" w:lineRule="auto" w:before="121" w:after="0"/>
        <w:ind w:left="1899" w:right="1200" w:firstLine="720"/>
        <w:jc w:val="left"/>
        <w:rPr>
          <w:sz w:val="22"/>
        </w:rPr>
      </w:pPr>
      <w:bookmarkStart w:name="11.3.3 Identify the target compounds usi" w:id="204"/>
      <w:bookmarkEnd w:id="204"/>
      <w:r>
        <w:rPr/>
      </w:r>
      <w:bookmarkStart w:name="11.3.3 Identify the target compounds usi" w:id="205"/>
      <w:bookmarkEnd w:id="205"/>
      <w:r>
        <w:rPr>
          <w:sz w:val="22"/>
        </w:rPr>
        <w:t>Identify</w:t>
      </w:r>
      <w:r>
        <w:rPr>
          <w:sz w:val="22"/>
        </w:rPr>
        <w:t> the target compounds using optimized multiple reaction monitoring (MRM) transitions from Sec. 11.3.1. A qualifier transition is available for most of the analytes (Table</w:t>
      </w:r>
      <w:r>
        <w:rPr>
          <w:spacing w:val="-1"/>
          <w:sz w:val="22"/>
        </w:rPr>
        <w:t> </w:t>
      </w:r>
      <w:r>
        <w:rPr>
          <w:sz w:val="22"/>
        </w:rPr>
        <w:t>3).</w:t>
      </w:r>
    </w:p>
    <w:p>
      <w:pPr>
        <w:pStyle w:val="BodyText"/>
        <w:spacing w:line="276" w:lineRule="auto" w:before="120"/>
        <w:ind w:left="2620" w:right="1232" w:hanging="720"/>
      </w:pPr>
      <w:bookmarkStart w:name="NOTE: PFAS targets can be calibrated usi" w:id="206"/>
      <w:bookmarkEnd w:id="206"/>
      <w:r>
        <w:rPr/>
      </w:r>
      <w:r>
        <w:rPr>
          <w:u w:val="single"/>
        </w:rPr>
        <w:t>NOTE:</w:t>
      </w:r>
      <w:r>
        <w:rPr/>
        <w:t> PFAS targets can be calibrated using a summation of the responses for all of the branched and linear peaks if present in quantitative standards (for example, sum or integrate all of the C6 sulfonic acid linear and branched isomers as one calibration point) or by calibrating with only the linear isomer. If a quantitative standard containing both linear and branched isomers is not available, a separate technical grade standard may be used to identify retention times of isomer peaks. Regardless of which calibration procedure is used, quantitation of targets in samples must include both branched and linear isomers either summed or integrated together. The data should be reported such that the calibration choice is clear to the data user. See Figures 1-4, Sec.</w:t>
      </w:r>
      <w:r>
        <w:rPr>
          <w:spacing w:val="-11"/>
        </w:rPr>
        <w:t> </w:t>
      </w:r>
      <w:r>
        <w:rPr/>
        <w:t>17.</w:t>
      </w:r>
    </w:p>
    <w:p>
      <w:pPr>
        <w:pStyle w:val="ListParagraph"/>
        <w:numPr>
          <w:ilvl w:val="2"/>
          <w:numId w:val="9"/>
        </w:numPr>
        <w:tabs>
          <w:tab w:pos="3519" w:val="left" w:leader="none"/>
          <w:tab w:pos="3520" w:val="left" w:leader="none"/>
        </w:tabs>
        <w:spacing w:line="240" w:lineRule="auto" w:before="119" w:after="0"/>
        <w:ind w:left="3519" w:right="0" w:hanging="900"/>
        <w:jc w:val="left"/>
        <w:rPr>
          <w:sz w:val="22"/>
        </w:rPr>
      </w:pPr>
      <w:bookmarkStart w:name="11.3.4 Initial calibration calculations" w:id="207"/>
      <w:bookmarkEnd w:id="207"/>
      <w:r>
        <w:rPr/>
      </w:r>
      <w:bookmarkStart w:name="11.3.4 Initial calibration calculations" w:id="208"/>
      <w:bookmarkEnd w:id="208"/>
      <w:r>
        <w:rPr>
          <w:sz w:val="22"/>
        </w:rPr>
        <w:t>Initial</w:t>
      </w:r>
      <w:r>
        <w:rPr>
          <w:sz w:val="22"/>
        </w:rPr>
        <w:t> calibration</w:t>
      </w:r>
      <w:r>
        <w:rPr>
          <w:spacing w:val="-1"/>
          <w:sz w:val="22"/>
        </w:rPr>
        <w:t> </w:t>
      </w:r>
      <w:r>
        <w:rPr>
          <w:sz w:val="22"/>
        </w:rPr>
        <w:t>calculations</w:t>
      </w:r>
    </w:p>
    <w:p>
      <w:pPr>
        <w:pStyle w:val="BodyText"/>
        <w:spacing w:line="276" w:lineRule="auto" w:before="159"/>
        <w:ind w:left="1899" w:right="1542" w:firstLine="720"/>
        <w:jc w:val="both"/>
      </w:pPr>
      <w:bookmarkStart w:name="Average calibration factor, linear or qu" w:id="209"/>
      <w:bookmarkEnd w:id="209"/>
      <w:r>
        <w:rPr/>
      </w:r>
      <w:r>
        <w:rPr/>
        <w:t>Average calibration factor, linear or quadratic regression models may be used with this analysis. Calculation of average calibration factors is given below. For linear and quadratic calculations see Sec. 11.5 in Method 8000.</w:t>
      </w:r>
    </w:p>
    <w:p>
      <w:pPr>
        <w:spacing w:after="0" w:line="276" w:lineRule="auto"/>
        <w:jc w:val="both"/>
        <w:sectPr>
          <w:pgSz w:w="12240" w:h="15840"/>
          <w:pgMar w:header="0" w:footer="1134" w:top="1060" w:bottom="1400" w:left="260" w:right="260"/>
        </w:sectPr>
      </w:pPr>
    </w:p>
    <w:p>
      <w:pPr>
        <w:pStyle w:val="ListParagraph"/>
        <w:numPr>
          <w:ilvl w:val="2"/>
          <w:numId w:val="9"/>
        </w:numPr>
        <w:tabs>
          <w:tab w:pos="3520" w:val="left" w:leader="none"/>
          <w:tab w:pos="3521" w:val="left" w:leader="none"/>
        </w:tabs>
        <w:spacing w:line="276" w:lineRule="auto" w:before="70" w:after="0"/>
        <w:ind w:left="1900" w:right="1281" w:firstLine="720"/>
        <w:jc w:val="left"/>
        <w:rPr>
          <w:sz w:val="22"/>
        </w:rPr>
      </w:pPr>
      <w:bookmarkStart w:name="11.3.5 Tabulate the response of the quan" w:id="210"/>
      <w:bookmarkEnd w:id="210"/>
      <w:r>
        <w:rPr/>
      </w:r>
      <w:bookmarkStart w:name="11.3.5 Tabulate the response of the quan" w:id="211"/>
      <w:bookmarkEnd w:id="211"/>
      <w:r>
        <w:rPr>
          <w:sz w:val="22"/>
        </w:rPr>
        <w:t>Tabulate</w:t>
      </w:r>
      <w:r>
        <w:rPr>
          <w:sz w:val="22"/>
        </w:rPr>
        <w:t> the response of the quantifier transition (see Table 3 for suggested ions) against the concentration for each target analyte. Calculate Calibration factors (CFs) for each target analyte as</w:t>
      </w:r>
      <w:r>
        <w:rPr>
          <w:spacing w:val="-2"/>
          <w:sz w:val="22"/>
        </w:rPr>
        <w:t> </w:t>
      </w:r>
      <w:r>
        <w:rPr>
          <w:sz w:val="22"/>
        </w:rPr>
        <w:t>follows:</w:t>
      </w:r>
    </w:p>
    <w:p>
      <w:pPr>
        <w:pStyle w:val="Heading3"/>
        <w:spacing w:line="252" w:lineRule="exact" w:before="93"/>
        <w:ind w:left="4847"/>
      </w:pPr>
      <w:r>
        <w:rPr>
          <w:w w:val="35"/>
        </w:rPr>
        <w:t>𝑝𝑝𝑝𝑝𝑝𝑝𝑝𝑝</w:t>
      </w:r>
      <w:r>
        <w:rPr>
          <w:spacing w:val="-13"/>
        </w:rPr>
        <w:t> </w:t>
      </w:r>
      <w:r>
        <w:rPr>
          <w:w w:val="36"/>
        </w:rPr>
        <w:t>𝑟𝑟</w:t>
      </w:r>
      <w:r>
        <w:rPr>
          <w:w w:val="32"/>
        </w:rPr>
        <w:t>𝑝</w:t>
      </w:r>
      <w:r>
        <w:rPr>
          <w:spacing w:val="-1"/>
          <w:w w:val="32"/>
        </w:rPr>
        <w:t>𝑝</w:t>
      </w:r>
      <w:r>
        <w:rPr>
          <w:w w:val="35"/>
        </w:rPr>
        <w:t>𝑟𝑟</w:t>
      </w:r>
      <w:r>
        <w:rPr>
          <w:w w:val="36"/>
        </w:rPr>
        <w:t>𝑝𝑝</w:t>
      </w:r>
      <w:r>
        <w:rPr>
          <w:w w:val="40"/>
        </w:rPr>
        <w:t>𝑟𝑟𝑟𝑟𝑟𝑟</w:t>
      </w:r>
      <w:r>
        <w:rPr>
          <w:w w:val="32"/>
        </w:rPr>
        <w:t>𝑝𝑝</w:t>
      </w:r>
      <w:r>
        <w:rPr>
          <w:spacing w:val="-15"/>
        </w:rPr>
        <w:t> </w:t>
      </w:r>
      <w:r>
        <w:rPr>
          <w:w w:val="41"/>
        </w:rPr>
        <w:t>𝑟𝑟</w:t>
      </w:r>
      <w:r>
        <w:rPr>
          <w:w w:val="38"/>
        </w:rPr>
        <w:t>𝑜𝑜</w:t>
      </w:r>
      <w:r>
        <w:rPr>
          <w:spacing w:val="-12"/>
        </w:rPr>
        <w:t> </w:t>
      </w:r>
      <w:r>
        <w:rPr>
          <w:w w:val="36"/>
        </w:rPr>
        <w:t>𝑡</w:t>
      </w:r>
      <w:r>
        <w:rPr>
          <w:spacing w:val="-1"/>
          <w:w w:val="36"/>
        </w:rPr>
        <w:t>𝑡</w:t>
      </w:r>
      <w:r>
        <w:rPr>
          <w:spacing w:val="-1"/>
          <w:w w:val="73"/>
        </w:rPr>
        <w:t>ℎ</w:t>
      </w:r>
      <w:r>
        <w:rPr>
          <w:w w:val="32"/>
        </w:rPr>
        <w:t>𝑝𝑝</w:t>
      </w:r>
      <w:r>
        <w:rPr>
          <w:spacing w:val="-14"/>
        </w:rPr>
        <w:t> </w:t>
      </w:r>
      <w:r>
        <w:rPr>
          <w:w w:val="38"/>
        </w:rPr>
        <w:t>𝑟𝑟𝑡𝑡𝑝𝑝𝑟𝑟</w:t>
      </w:r>
      <w:r>
        <w:rPr>
          <w:w w:val="46"/>
        </w:rPr>
        <w:t>𝑠𝑠</w:t>
      </w:r>
      <w:r>
        <w:rPr>
          <w:spacing w:val="-1"/>
          <w:w w:val="36"/>
        </w:rPr>
        <w:t>𝑝𝑝𝑟𝑟</w:t>
      </w:r>
      <w:r>
        <w:rPr>
          <w:w w:val="46"/>
        </w:rPr>
        <w:t>𝑠𝑠</w:t>
      </w:r>
      <w:r>
        <w:rPr>
          <w:spacing w:val="-11"/>
        </w:rPr>
        <w:t> </w:t>
      </w:r>
      <w:r>
        <w:rPr>
          <w:w w:val="36"/>
        </w:rPr>
        <w:t>𝑐𝑐</w:t>
      </w:r>
      <w:r>
        <w:rPr>
          <w:w w:val="41"/>
        </w:rPr>
        <w:t>𝑟𝑟</w:t>
      </w:r>
      <w:r>
        <w:rPr>
          <w:w w:val="67"/>
        </w:rPr>
        <w:t>𝑐</w:t>
      </w:r>
      <w:r>
        <w:rPr>
          <w:spacing w:val="-1"/>
          <w:w w:val="67"/>
        </w:rPr>
        <w:t>𝑐</w:t>
      </w:r>
      <w:r>
        <w:rPr>
          <w:w w:val="38"/>
        </w:rPr>
        <w:t>𝑝𝑝𝑟𝑟</w:t>
      </w:r>
      <w:r>
        <w:rPr>
          <w:w w:val="45"/>
        </w:rPr>
        <w:t>𝑐𝑐</w:t>
      </w:r>
      <w:r>
        <w:rPr>
          <w:w w:val="45"/>
        </w:rPr>
        <w:t>𝑟𝑟𝑠𝑠</w:t>
      </w:r>
    </w:p>
    <w:p>
      <w:pPr>
        <w:spacing w:after="0" w:line="252" w:lineRule="exact"/>
        <w:sectPr>
          <w:pgSz w:w="12240" w:h="15840"/>
          <w:pgMar w:header="0" w:footer="1134" w:top="1060" w:bottom="1400" w:left="260" w:right="260"/>
        </w:sectPr>
      </w:pPr>
    </w:p>
    <w:p>
      <w:pPr>
        <w:spacing w:line="276" w:lineRule="exact" w:before="0"/>
        <w:ind w:left="0" w:right="0" w:firstLine="0"/>
        <w:jc w:val="right"/>
        <w:rPr>
          <w:rFonts w:ascii="Cambria Math"/>
          <w:sz w:val="27"/>
        </w:rPr>
      </w:pPr>
      <w:r>
        <w:rPr>
          <w:rFonts w:ascii="Cambria Math"/>
          <w:w w:val="80"/>
          <w:sz w:val="27"/>
        </w:rPr>
        <w:t>CF =</w:t>
      </w:r>
    </w:p>
    <w:p>
      <w:pPr>
        <w:pStyle w:val="BodyText"/>
        <w:spacing w:before="10"/>
        <w:rPr>
          <w:rFonts w:ascii="Cambria Math"/>
          <w:sz w:val="10"/>
        </w:rPr>
      </w:pPr>
      <w:r>
        <w:rPr/>
        <w:br w:type="column"/>
      </w:r>
      <w:r>
        <w:rPr>
          <w:rFonts w:ascii="Cambria Math"/>
          <w:sz w:val="10"/>
        </w:rPr>
      </w:r>
    </w:p>
    <w:p>
      <w:pPr>
        <w:pStyle w:val="BodyText"/>
        <w:spacing w:line="20" w:lineRule="exact"/>
        <w:ind w:left="4"/>
        <w:rPr>
          <w:rFonts w:ascii="Cambria Math"/>
          <w:sz w:val="2"/>
        </w:rPr>
      </w:pPr>
      <w:r>
        <w:rPr>
          <w:rFonts w:ascii="Cambria Math"/>
          <w:sz w:val="2"/>
        </w:rPr>
        <w:pict>
          <v:group style="width:186.65pt;height:.95pt;mso-position-horizontal-relative:char;mso-position-vertical-relative:line" coordorigin="0,0" coordsize="3733,19">
            <v:line style="position:absolute" from="0,9" to="3733,9" stroked="true" strokeweight=".903553pt" strokecolor="#000000">
              <v:stroke dashstyle="solid"/>
            </v:line>
          </v:group>
        </w:pict>
      </w:r>
      <w:r>
        <w:rPr>
          <w:rFonts w:ascii="Cambria Math"/>
          <w:sz w:val="2"/>
        </w:rPr>
      </w:r>
    </w:p>
    <w:p>
      <w:pPr>
        <w:spacing w:before="0"/>
        <w:ind w:left="139" w:right="0" w:firstLine="0"/>
        <w:jc w:val="left"/>
        <w:rPr>
          <w:rFonts w:ascii="Cambria Math" w:hAnsi="Cambria Math" w:eastAsia="Cambria Math"/>
          <w:sz w:val="27"/>
        </w:rPr>
      </w:pPr>
      <w:r>
        <w:rPr>
          <w:rFonts w:ascii="Cambria Math" w:hAnsi="Cambria Math" w:eastAsia="Cambria Math"/>
          <w:w w:val="36"/>
          <w:sz w:val="27"/>
        </w:rPr>
        <w:t>𝑐𝑐</w:t>
      </w:r>
      <w:r>
        <w:rPr>
          <w:rFonts w:ascii="Cambria Math" w:hAnsi="Cambria Math" w:eastAsia="Cambria Math"/>
          <w:w w:val="42"/>
          <w:sz w:val="27"/>
        </w:rPr>
        <w:t>𝑟𝑟𝑟𝑟</w:t>
      </w:r>
      <w:r>
        <w:rPr>
          <w:rFonts w:ascii="Cambria Math" w:hAnsi="Cambria Math" w:eastAsia="Cambria Math"/>
          <w:w w:val="36"/>
          <w:sz w:val="27"/>
        </w:rPr>
        <w:t>𝑐𝑐</w:t>
      </w:r>
      <w:r>
        <w:rPr>
          <w:rFonts w:ascii="Cambria Math" w:hAnsi="Cambria Math" w:eastAsia="Cambria Math"/>
          <w:spacing w:val="-1"/>
          <w:w w:val="37"/>
          <w:sz w:val="27"/>
        </w:rPr>
        <w:t>𝑝𝑝𝑟𝑟𝑡𝑡𝑟𝑟𝑝𝑝𝑡𝑡</w:t>
      </w:r>
      <w:r>
        <w:rPr>
          <w:rFonts w:ascii="Cambria Math" w:hAnsi="Cambria Math" w:eastAsia="Cambria Math"/>
          <w:w w:val="25"/>
          <w:sz w:val="27"/>
        </w:rPr>
        <w:t>𝑐𝑐</w:t>
      </w:r>
      <w:r>
        <w:rPr>
          <w:rFonts w:ascii="Cambria Math" w:hAnsi="Cambria Math" w:eastAsia="Cambria Math"/>
          <w:w w:val="42"/>
          <w:sz w:val="27"/>
        </w:rPr>
        <w:t>𝑟𝑟𝑟𝑟</w:t>
      </w:r>
      <w:r>
        <w:rPr>
          <w:rFonts w:ascii="Cambria Math" w:hAnsi="Cambria Math" w:eastAsia="Cambria Math"/>
          <w:spacing w:val="-18"/>
          <w:sz w:val="27"/>
        </w:rPr>
        <w:t> </w:t>
      </w:r>
      <w:r>
        <w:rPr>
          <w:rFonts w:ascii="Cambria Math" w:hAnsi="Cambria Math" w:eastAsia="Cambria Math"/>
          <w:w w:val="41"/>
          <w:sz w:val="27"/>
        </w:rPr>
        <w:t>𝑟𝑟</w:t>
      </w:r>
      <w:r>
        <w:rPr>
          <w:rFonts w:ascii="Cambria Math" w:hAnsi="Cambria Math" w:eastAsia="Cambria Math"/>
          <w:w w:val="38"/>
          <w:sz w:val="27"/>
        </w:rPr>
        <w:t>𝑜𝑜</w:t>
      </w:r>
      <w:r>
        <w:rPr>
          <w:rFonts w:ascii="Cambria Math" w:hAnsi="Cambria Math" w:eastAsia="Cambria Math"/>
          <w:spacing w:val="-12"/>
          <w:sz w:val="27"/>
        </w:rPr>
        <w:t> </w:t>
      </w:r>
      <w:r>
        <w:rPr>
          <w:rFonts w:ascii="Cambria Math" w:hAnsi="Cambria Math" w:eastAsia="Cambria Math"/>
          <w:w w:val="36"/>
          <w:sz w:val="27"/>
        </w:rPr>
        <w:t>𝑡</w:t>
      </w:r>
      <w:r>
        <w:rPr>
          <w:rFonts w:ascii="Cambria Math" w:hAnsi="Cambria Math" w:eastAsia="Cambria Math"/>
          <w:spacing w:val="-1"/>
          <w:w w:val="36"/>
          <w:sz w:val="27"/>
        </w:rPr>
        <w:t>𝑡</w:t>
      </w:r>
      <w:r>
        <w:rPr>
          <w:rFonts w:ascii="Cambria Math" w:hAnsi="Cambria Math" w:eastAsia="Cambria Math"/>
          <w:spacing w:val="-1"/>
          <w:w w:val="73"/>
          <w:sz w:val="27"/>
        </w:rPr>
        <w:t>ℎ</w:t>
      </w:r>
      <w:r>
        <w:rPr>
          <w:rFonts w:ascii="Cambria Math" w:hAnsi="Cambria Math" w:eastAsia="Cambria Math"/>
          <w:w w:val="32"/>
          <w:sz w:val="27"/>
        </w:rPr>
        <w:t>𝑝𝑝</w:t>
      </w:r>
      <w:r>
        <w:rPr>
          <w:rFonts w:ascii="Cambria Math" w:hAnsi="Cambria Math" w:eastAsia="Cambria Math"/>
          <w:spacing w:val="-14"/>
          <w:sz w:val="27"/>
        </w:rPr>
        <w:t> </w:t>
      </w:r>
      <w:r>
        <w:rPr>
          <w:rFonts w:ascii="Cambria Math" w:hAnsi="Cambria Math" w:eastAsia="Cambria Math"/>
          <w:w w:val="36"/>
          <w:sz w:val="27"/>
        </w:rPr>
        <w:t>𝑐𝑐</w:t>
      </w:r>
      <w:r>
        <w:rPr>
          <w:rFonts w:ascii="Cambria Math" w:hAnsi="Cambria Math" w:eastAsia="Cambria Math"/>
          <w:w w:val="41"/>
          <w:sz w:val="27"/>
        </w:rPr>
        <w:t>𝑟𝑟</w:t>
      </w:r>
      <w:r>
        <w:rPr>
          <w:rFonts w:ascii="Cambria Math" w:hAnsi="Cambria Math" w:eastAsia="Cambria Math"/>
          <w:w w:val="67"/>
          <w:sz w:val="27"/>
        </w:rPr>
        <w:t>𝑐</w:t>
      </w:r>
      <w:r>
        <w:rPr>
          <w:rFonts w:ascii="Cambria Math" w:hAnsi="Cambria Math" w:eastAsia="Cambria Math"/>
          <w:spacing w:val="-1"/>
          <w:w w:val="67"/>
          <w:sz w:val="27"/>
        </w:rPr>
        <w:t>𝑐</w:t>
      </w:r>
      <w:r>
        <w:rPr>
          <w:rFonts w:ascii="Cambria Math" w:hAnsi="Cambria Math" w:eastAsia="Cambria Math"/>
          <w:w w:val="38"/>
          <w:sz w:val="27"/>
        </w:rPr>
        <w:t>𝑝𝑝𝑟𝑟</w:t>
      </w:r>
      <w:r>
        <w:rPr>
          <w:rFonts w:ascii="Cambria Math" w:hAnsi="Cambria Math" w:eastAsia="Cambria Math"/>
          <w:w w:val="45"/>
          <w:sz w:val="27"/>
        </w:rPr>
        <w:t>𝑐𝑐</w:t>
      </w:r>
      <w:r>
        <w:rPr>
          <w:rFonts w:ascii="Cambria Math" w:hAnsi="Cambria Math" w:eastAsia="Cambria Math"/>
          <w:w w:val="45"/>
          <w:sz w:val="27"/>
        </w:rPr>
        <w:t>𝑟𝑟𝑠𝑠</w:t>
      </w:r>
      <w:r>
        <w:rPr>
          <w:rFonts w:ascii="Cambria Math" w:hAnsi="Cambria Math" w:eastAsia="Cambria Math"/>
          <w:spacing w:val="-12"/>
          <w:sz w:val="27"/>
        </w:rPr>
        <w:t> </w:t>
      </w:r>
      <w:r>
        <w:rPr>
          <w:rFonts w:ascii="Cambria Math" w:hAnsi="Cambria Math" w:eastAsia="Cambria Math"/>
          <w:spacing w:val="-1"/>
          <w:w w:val="73"/>
          <w:position w:val="1"/>
          <w:sz w:val="27"/>
        </w:rPr>
        <w:t>(</w:t>
      </w:r>
      <w:r>
        <w:rPr>
          <w:rFonts w:ascii="Cambria Math" w:hAnsi="Cambria Math" w:eastAsia="Cambria Math"/>
          <w:w w:val="44"/>
          <w:sz w:val="27"/>
        </w:rPr>
        <w:t>𝑟𝑟</w:t>
      </w:r>
      <w:r>
        <w:rPr>
          <w:rFonts w:ascii="Cambria Math" w:hAnsi="Cambria Math" w:eastAsia="Cambria Math"/>
          <w:w w:val="39"/>
          <w:sz w:val="27"/>
        </w:rPr>
        <w:t>𝑛</w:t>
      </w:r>
      <w:r>
        <w:rPr>
          <w:rFonts w:ascii="Cambria Math" w:hAnsi="Cambria Math" w:eastAsia="Cambria Math"/>
          <w:spacing w:val="1"/>
          <w:w w:val="39"/>
          <w:sz w:val="27"/>
        </w:rPr>
        <w:t>𝑛</w:t>
      </w:r>
      <w:r>
        <w:rPr>
          <w:rFonts w:ascii="Cambria Math" w:hAnsi="Cambria Math" w:eastAsia="Cambria Math"/>
          <w:spacing w:val="-1"/>
          <w:w w:val="73"/>
          <w:sz w:val="27"/>
        </w:rPr>
        <w:t>/</w:t>
      </w:r>
      <w:r>
        <w:rPr>
          <w:rFonts w:ascii="Cambria Math" w:hAnsi="Cambria Math" w:eastAsia="Cambria Math"/>
          <w:w w:val="36"/>
          <w:sz w:val="27"/>
        </w:rPr>
        <w:t>𝐿</w:t>
      </w:r>
      <w:r>
        <w:rPr>
          <w:rFonts w:ascii="Cambria Math" w:hAnsi="Cambria Math" w:eastAsia="Cambria Math"/>
          <w:spacing w:val="4"/>
          <w:w w:val="36"/>
          <w:sz w:val="27"/>
        </w:rPr>
        <w:t>𝐿</w:t>
      </w:r>
      <w:r>
        <w:rPr>
          <w:rFonts w:ascii="Cambria Math" w:hAnsi="Cambria Math" w:eastAsia="Cambria Math"/>
          <w:w w:val="73"/>
          <w:position w:val="1"/>
          <w:sz w:val="27"/>
        </w:rPr>
        <w:t>)</w:t>
      </w:r>
    </w:p>
    <w:p>
      <w:pPr>
        <w:spacing w:after="0"/>
        <w:jc w:val="left"/>
        <w:rPr>
          <w:rFonts w:ascii="Cambria Math" w:hAnsi="Cambria Math" w:eastAsia="Cambria Math"/>
          <w:sz w:val="27"/>
        </w:rPr>
        <w:sectPr>
          <w:type w:val="continuous"/>
          <w:pgSz w:w="12240" w:h="15840"/>
          <w:pgMar w:top="1060" w:bottom="1320" w:left="260" w:right="260"/>
          <w:cols w:num="2" w:equalWidth="0">
            <w:col w:w="4793" w:space="40"/>
            <w:col w:w="6887"/>
          </w:cols>
        </w:sectPr>
      </w:pPr>
    </w:p>
    <w:p>
      <w:pPr>
        <w:pStyle w:val="ListParagraph"/>
        <w:numPr>
          <w:ilvl w:val="3"/>
          <w:numId w:val="9"/>
        </w:numPr>
        <w:tabs>
          <w:tab w:pos="4241" w:val="left" w:leader="none"/>
        </w:tabs>
        <w:spacing w:line="276" w:lineRule="auto" w:before="162" w:after="0"/>
        <w:ind w:left="2620" w:right="1804" w:firstLine="720"/>
        <w:jc w:val="left"/>
        <w:rPr>
          <w:sz w:val="22"/>
        </w:rPr>
      </w:pPr>
      <w:bookmarkStart w:name="11.3.5.1 Calculate the mean CF and the r" w:id="212"/>
      <w:bookmarkEnd w:id="212"/>
      <w:r>
        <w:rPr/>
      </w:r>
      <w:bookmarkStart w:name="11.3.5.1 Calculate the mean CF and the r" w:id="213"/>
      <w:bookmarkEnd w:id="213"/>
      <w:r>
        <w:rPr>
          <w:sz w:val="22"/>
        </w:rPr>
        <w:t>C</w:t>
      </w:r>
      <w:r>
        <w:rPr>
          <w:sz w:val="22"/>
        </w:rPr>
        <w:t>alculate the mean CF and the relative standard</w:t>
      </w:r>
      <w:r>
        <w:rPr>
          <w:spacing w:val="-16"/>
          <w:sz w:val="22"/>
        </w:rPr>
        <w:t> </w:t>
      </w:r>
      <w:r>
        <w:rPr>
          <w:sz w:val="22"/>
        </w:rPr>
        <w:t>deviation (RSD) of the CFs for each target analyte using the following</w:t>
      </w:r>
      <w:r>
        <w:rPr>
          <w:spacing w:val="-12"/>
          <w:sz w:val="22"/>
        </w:rPr>
        <w:t> </w:t>
      </w:r>
      <w:r>
        <w:rPr>
          <w:sz w:val="22"/>
        </w:rPr>
        <w:t>equations:</w:t>
      </w:r>
    </w:p>
    <w:p>
      <w:pPr>
        <w:pStyle w:val="BodyText"/>
        <w:spacing w:before="6"/>
        <w:rPr>
          <w:sz w:val="15"/>
        </w:rPr>
      </w:pPr>
    </w:p>
    <w:p>
      <w:pPr>
        <w:pStyle w:val="BodyText"/>
        <w:spacing w:line="20" w:lineRule="exact"/>
        <w:ind w:left="3918"/>
        <w:rPr>
          <w:sz w:val="2"/>
        </w:rPr>
      </w:pPr>
      <w:r>
        <w:rPr>
          <w:sz w:val="2"/>
        </w:rPr>
        <w:pict>
          <v:group style="width:91.8pt;height:1pt;mso-position-horizontal-relative:char;mso-position-vertical-relative:line" coordorigin="0,0" coordsize="1836,20">
            <v:line style="position:absolute" from="0,10" to="1836,10" stroked="true" strokeweight=".978678pt" strokecolor="#000000">
              <v:stroke dashstyle="solid"/>
            </v:line>
          </v:group>
        </w:pict>
      </w:r>
      <w:r>
        <w:rPr>
          <w:sz w:val="2"/>
        </w:rPr>
      </w:r>
    </w:p>
    <w:p>
      <w:pPr>
        <w:spacing w:after="0" w:line="20" w:lineRule="exact"/>
        <w:rPr>
          <w:sz w:val="2"/>
        </w:rPr>
        <w:sectPr>
          <w:type w:val="continuous"/>
          <w:pgSz w:w="12240" w:h="15840"/>
          <w:pgMar w:top="1060" w:bottom="1320" w:left="260" w:right="260"/>
        </w:sectPr>
      </w:pPr>
    </w:p>
    <w:p>
      <w:pPr>
        <w:spacing w:line="188" w:lineRule="exact" w:before="131"/>
        <w:ind w:left="0" w:right="0" w:firstLine="0"/>
        <w:jc w:val="right"/>
        <w:rPr>
          <w:rFonts w:ascii="Cambria Math" w:hAnsi="Cambria Math" w:eastAsia="Cambria Math"/>
          <w:sz w:val="20"/>
        </w:rPr>
      </w:pPr>
      <w:r>
        <w:rPr>
          <w:rFonts w:ascii="Cambria Math" w:hAnsi="Cambria Math" w:eastAsia="Cambria Math"/>
          <w:w w:val="65"/>
          <w:position w:val="-9"/>
          <w:sz w:val="28"/>
        </w:rPr>
        <w:t>∑</w:t>
      </w:r>
      <w:r>
        <w:rPr>
          <w:rFonts w:ascii="Cambria Math" w:hAnsi="Cambria Math" w:eastAsia="Cambria Math"/>
          <w:w w:val="65"/>
          <w:sz w:val="20"/>
        </w:rPr>
        <w:t>𝑟𝑟</w:t>
      </w:r>
    </w:p>
    <w:p>
      <w:pPr>
        <w:spacing w:line="184" w:lineRule="exact" w:before="28"/>
        <w:ind w:left="0" w:right="0" w:firstLine="0"/>
        <w:jc w:val="right"/>
        <w:rPr>
          <w:rFonts w:ascii="Cambria Math"/>
          <w:sz w:val="20"/>
        </w:rPr>
      </w:pPr>
      <w:r>
        <w:rPr/>
        <w:br w:type="column"/>
      </w:r>
      <w:r>
        <w:rPr>
          <w:rFonts w:ascii="Cambria Math"/>
          <w:spacing w:val="-1"/>
          <w:w w:val="80"/>
          <w:sz w:val="20"/>
        </w:rPr>
        <w:t>2</w:t>
      </w:r>
    </w:p>
    <w:p>
      <w:pPr>
        <w:pStyle w:val="Heading2"/>
        <w:spacing w:line="107" w:lineRule="exact"/>
        <w:ind w:left="138"/>
      </w:pPr>
      <w:r>
        <w:rPr/>
        <w:pict>
          <v:line style="position:absolute;mso-position-horizontal-relative:page;mso-position-vertical-relative:paragraph;z-index:251662336" from="266.697937pt,-1.450234pt" to="280.9861pt,-1.450234pt" stroked="true" strokeweight=".978678pt" strokecolor="#000000">
            <v:stroke dashstyle="solid"/>
            <w10:wrap type="none"/>
          </v:line>
        </w:pict>
      </w:r>
      <w:r>
        <w:rPr>
          <w:w w:val="50"/>
        </w:rPr>
        <w:t>�𝐶𝐶𝐶𝐶   −</w:t>
      </w:r>
      <w:r>
        <w:rPr>
          <w:spacing w:val="21"/>
          <w:w w:val="50"/>
        </w:rPr>
        <w:t> </w:t>
      </w:r>
      <w:r>
        <w:rPr>
          <w:spacing w:val="-3"/>
          <w:w w:val="50"/>
        </w:rPr>
        <w:t>𝐶𝐶𝐶𝐶�</w:t>
      </w:r>
    </w:p>
    <w:p>
      <w:pPr>
        <w:spacing w:line="193" w:lineRule="exact" w:before="125"/>
        <w:ind w:left="0" w:right="0" w:firstLine="0"/>
        <w:jc w:val="right"/>
        <w:rPr>
          <w:rFonts w:ascii="Cambria Math" w:hAnsi="Cambria Math" w:eastAsia="Cambria Math"/>
          <w:sz w:val="20"/>
        </w:rPr>
      </w:pPr>
      <w:r>
        <w:rPr/>
        <w:br w:type="column"/>
      </w:r>
      <w:r>
        <w:rPr>
          <w:rFonts w:ascii="Cambria Math" w:hAnsi="Cambria Math" w:eastAsia="Cambria Math"/>
          <w:w w:val="65"/>
          <w:position w:val="-9"/>
          <w:sz w:val="28"/>
        </w:rPr>
        <w:t>∑</w:t>
      </w:r>
      <w:r>
        <w:rPr>
          <w:rFonts w:ascii="Cambria Math" w:hAnsi="Cambria Math" w:eastAsia="Cambria Math"/>
          <w:w w:val="65"/>
          <w:sz w:val="20"/>
        </w:rPr>
        <w:t>𝑟𝑟</w:t>
      </w:r>
    </w:p>
    <w:p>
      <w:pPr>
        <w:pStyle w:val="Heading2"/>
        <w:spacing w:line="155" w:lineRule="exact" w:before="164"/>
        <w:ind w:left="177"/>
      </w:pPr>
      <w:r>
        <w:rPr/>
        <w:br w:type="column"/>
      </w:r>
      <w:r>
        <w:rPr>
          <w:w w:val="40"/>
        </w:rPr>
        <w:t>𝐶𝐶𝐶𝐶</w:t>
      </w:r>
    </w:p>
    <w:p>
      <w:pPr>
        <w:spacing w:line="155" w:lineRule="exact" w:before="164"/>
        <w:ind w:left="926" w:right="0" w:firstLine="0"/>
        <w:jc w:val="left"/>
        <w:rPr>
          <w:rFonts w:ascii="Cambria Math" w:eastAsia="Cambria Math"/>
          <w:sz w:val="28"/>
        </w:rPr>
      </w:pPr>
      <w:r>
        <w:rPr/>
        <w:br w:type="column"/>
      </w:r>
      <w:r>
        <w:rPr>
          <w:rFonts w:ascii="Cambria Math" w:eastAsia="Cambria Math"/>
          <w:w w:val="55"/>
          <w:sz w:val="28"/>
        </w:rPr>
        <w:t>𝑆𝑆𝑆𝑆</w:t>
      </w:r>
    </w:p>
    <w:p>
      <w:pPr>
        <w:spacing w:after="0" w:line="155" w:lineRule="exact"/>
        <w:jc w:val="left"/>
        <w:rPr>
          <w:rFonts w:ascii="Cambria Math" w:eastAsia="Cambria Math"/>
          <w:sz w:val="28"/>
        </w:rPr>
        <w:sectPr>
          <w:type w:val="continuous"/>
          <w:pgSz w:w="12240" w:h="15840"/>
          <w:pgMar w:top="1060" w:bottom="1320" w:left="260" w:right="260"/>
          <w:cols w:num="5" w:equalWidth="0">
            <w:col w:w="4187" w:space="40"/>
            <w:col w:w="1327" w:space="39"/>
            <w:col w:w="2264" w:space="39"/>
            <w:col w:w="464" w:space="39"/>
            <w:col w:w="3321"/>
          </w:cols>
        </w:sectPr>
      </w:pPr>
    </w:p>
    <w:p>
      <w:pPr>
        <w:tabs>
          <w:tab w:pos="4728" w:val="left" w:leader="none"/>
          <w:tab w:pos="5565" w:val="left" w:leader="none"/>
        </w:tabs>
        <w:spacing w:line="153" w:lineRule="auto" w:before="0"/>
        <w:ind w:left="3171" w:right="0" w:firstLine="0"/>
        <w:jc w:val="left"/>
        <w:rPr>
          <w:rFonts w:ascii="Cambria Math" w:hAnsi="Cambria Math" w:cs="Cambria Math" w:eastAsia="Cambria Math"/>
          <w:sz w:val="20"/>
          <w:szCs w:val="20"/>
        </w:rPr>
      </w:pPr>
      <w:r>
        <w:rPr>
          <w:rFonts w:ascii="Cambria Math" w:hAnsi="Cambria Math" w:cs="Cambria Math" w:eastAsia="Cambria Math"/>
          <w:spacing w:val="-1"/>
          <w:w w:val="47"/>
          <w:position w:val="-13"/>
          <w:sz w:val="28"/>
          <w:szCs w:val="28"/>
        </w:rPr>
        <w:t>𝑆𝑆𝑆</w:t>
      </w:r>
      <w:r>
        <w:rPr>
          <w:rFonts w:ascii="Cambria Math" w:hAnsi="Cambria Math" w:cs="Cambria Math" w:eastAsia="Cambria Math"/>
          <w:w w:val="47"/>
          <w:position w:val="-13"/>
          <w:sz w:val="28"/>
          <w:szCs w:val="28"/>
        </w:rPr>
        <w:t>𝑆</w:t>
      </w:r>
      <w:r>
        <w:rPr>
          <w:rFonts w:ascii="Cambria Math" w:hAnsi="Cambria Math" w:cs="Cambria Math" w:eastAsia="Cambria Math"/>
          <w:spacing w:val="8"/>
          <w:position w:val="-13"/>
          <w:sz w:val="28"/>
          <w:szCs w:val="28"/>
        </w:rPr>
        <w:t> </w:t>
      </w:r>
      <w:r>
        <w:rPr>
          <w:rFonts w:ascii="Cambria Math" w:hAnsi="Cambria Math" w:cs="Cambria Math" w:eastAsia="Cambria Math"/>
          <w:w w:val="81"/>
          <w:position w:val="-13"/>
          <w:sz w:val="28"/>
          <w:szCs w:val="28"/>
        </w:rPr>
        <w:t>=</w:t>
      </w:r>
      <w:r>
        <w:rPr>
          <w:rFonts w:ascii="Cambria Math" w:hAnsi="Cambria Math" w:cs="Cambria Math" w:eastAsia="Cambria Math"/>
          <w:position w:val="-13"/>
          <w:sz w:val="28"/>
          <w:szCs w:val="28"/>
        </w:rPr>
        <w:t> </w:t>
      </w:r>
      <w:r>
        <w:rPr>
          <w:rFonts w:ascii="Cambria Math" w:hAnsi="Cambria Math" w:cs="Cambria Math" w:eastAsia="Cambria Math"/>
          <w:spacing w:val="1"/>
          <w:w w:val="94"/>
          <w:position w:val="-2"/>
          <w:sz w:val="28"/>
          <w:szCs w:val="28"/>
        </w:rPr>
        <w:t>�</w:t>
      </w:r>
      <w:r>
        <w:rPr>
          <w:rFonts w:ascii="Times New Roman" w:hAnsi="Times New Roman" w:cs="Times New Roman" w:eastAsia="Times New Roman"/>
          <w:w w:val="81"/>
          <w:sz w:val="20"/>
          <w:szCs w:val="20"/>
          <w:u w:val="single"/>
        </w:rPr>
        <w:t> </w:t>
      </w:r>
      <w:r>
        <w:rPr>
          <w:rFonts w:ascii="Times New Roman" w:hAnsi="Times New Roman" w:cs="Times New Roman" w:eastAsia="Times New Roman"/>
          <w:sz w:val="20"/>
          <w:szCs w:val="20"/>
          <w:u w:val="single"/>
        </w:rPr>
        <w:t> </w:t>
      </w:r>
      <w:r>
        <w:rPr>
          <w:rFonts w:ascii="Times New Roman" w:hAnsi="Times New Roman" w:cs="Times New Roman" w:eastAsia="Times New Roman"/>
          <w:spacing w:val="21"/>
          <w:sz w:val="20"/>
          <w:szCs w:val="20"/>
          <w:u w:val="single"/>
        </w:rPr>
        <w:t> </w:t>
      </w:r>
      <w:r>
        <w:rPr>
          <w:rFonts w:ascii="Cambria Math" w:hAnsi="Cambria Math" w:cs="Cambria Math" w:eastAsia="Cambria Math"/>
          <w:w w:val="27"/>
          <w:sz w:val="20"/>
          <w:szCs w:val="20"/>
          <w:u w:val="single"/>
        </w:rPr>
        <w:t>𝑐</w:t>
      </w:r>
      <w:r>
        <w:rPr>
          <w:rFonts w:ascii="Cambria Math" w:hAnsi="Cambria Math" w:cs="Cambria Math" w:eastAsia="Cambria Math"/>
          <w:spacing w:val="10"/>
          <w:w w:val="27"/>
          <w:sz w:val="20"/>
          <w:szCs w:val="20"/>
          <w:u w:val="single"/>
        </w:rPr>
        <w:t>𝑐</w:t>
      </w:r>
      <w:r>
        <w:rPr>
          <w:rFonts w:ascii="Cambria Math" w:hAnsi="Cambria Math" w:cs="Cambria Math" w:eastAsia="Cambria Math"/>
          <w:spacing w:val="-3"/>
          <w:w w:val="81"/>
          <w:sz w:val="20"/>
          <w:szCs w:val="20"/>
          <w:u w:val="single"/>
        </w:rPr>
        <w:t>=</w:t>
      </w:r>
      <w:r>
        <w:rPr>
          <w:rFonts w:ascii="Cambria Math" w:hAnsi="Cambria Math" w:cs="Cambria Math" w:eastAsia="Cambria Math"/>
          <w:w w:val="81"/>
          <w:sz w:val="20"/>
          <w:szCs w:val="20"/>
          <w:u w:val="single"/>
        </w:rPr>
        <w:t>1</w:t>
      </w:r>
      <w:r>
        <w:rPr>
          <w:rFonts w:ascii="Cambria Math" w:hAnsi="Cambria Math" w:cs="Cambria Math" w:eastAsia="Cambria Math"/>
          <w:sz w:val="20"/>
          <w:szCs w:val="20"/>
          <w:u w:val="single"/>
        </w:rPr>
        <w:tab/>
      </w:r>
      <w:r>
        <w:rPr>
          <w:rFonts w:ascii="Cambria Math" w:hAnsi="Cambria Math" w:cs="Cambria Math" w:eastAsia="Cambria Math"/>
          <w:spacing w:val="36"/>
          <w:w w:val="27"/>
          <w:position w:val="2"/>
          <w:sz w:val="20"/>
          <w:szCs w:val="20"/>
          <w:u w:val="single"/>
        </w:rPr>
        <w:t>𝑐</w:t>
      </w:r>
      <w:r>
        <w:rPr>
          <w:rFonts w:ascii="Cambria Math" w:hAnsi="Cambria Math" w:cs="Cambria Math" w:eastAsia="Cambria Math"/>
          <w:position w:val="2"/>
          <w:sz w:val="20"/>
          <w:szCs w:val="20"/>
          <w:u w:val="single"/>
        </w:rPr>
        <w:t>                 </w:t>
      </w:r>
      <w:r>
        <w:rPr>
          <w:rFonts w:ascii="Cambria Math" w:hAnsi="Cambria Math" w:cs="Cambria Math" w:eastAsia="Cambria Math"/>
          <w:spacing w:val="-52"/>
          <w:w w:val="27"/>
          <w:position w:val="2"/>
          <w:sz w:val="20"/>
          <w:szCs w:val="20"/>
          <w:u w:val="single"/>
        </w:rPr>
        <w:t>�</w:t>
      </w:r>
      <w:r>
        <w:rPr>
          <w:rFonts w:ascii="Cambria Math" w:hAnsi="Cambria Math" w:cs="Cambria Math" w:eastAsia="Cambria Math"/>
          <w:spacing w:val="-34"/>
          <w:w w:val="27"/>
          <w:position w:val="2"/>
          <w:sz w:val="20"/>
          <w:szCs w:val="20"/>
          <w:u w:val="single"/>
        </w:rPr>
        <w:t>�</w:t>
      </w:r>
      <w:r>
        <w:rPr>
          <w:rFonts w:ascii="Cambria Math" w:hAnsi="Cambria Math" w:cs="Cambria Math" w:eastAsia="Cambria Math"/>
          <w:position w:val="2"/>
          <w:sz w:val="20"/>
          <w:szCs w:val="20"/>
          <w:u w:val="single"/>
        </w:rPr>
        <w:tab/>
      </w:r>
    </w:p>
    <w:p>
      <w:pPr>
        <w:pStyle w:val="Heading2"/>
        <w:spacing w:line="257" w:lineRule="exact"/>
        <w:ind w:right="548"/>
        <w:jc w:val="right"/>
      </w:pPr>
      <w:r>
        <w:rPr>
          <w:w w:val="75"/>
        </w:rPr>
        <w:t>𝑟𝑟 − 1</w:t>
      </w:r>
    </w:p>
    <w:p>
      <w:pPr>
        <w:tabs>
          <w:tab w:pos="2728" w:val="left" w:leader="none"/>
        </w:tabs>
        <w:spacing w:line="316" w:lineRule="exact" w:before="0"/>
        <w:ind w:left="211" w:right="0" w:firstLine="0"/>
        <w:jc w:val="left"/>
        <w:rPr>
          <w:rFonts w:ascii="Cambria Math" w:hAnsi="Cambria Math" w:cs="Cambria Math" w:eastAsia="Cambria Math"/>
          <w:sz w:val="20"/>
          <w:szCs w:val="20"/>
        </w:rPr>
      </w:pPr>
      <w:r>
        <w:rPr/>
        <w:br w:type="column"/>
      </w:r>
      <w:r>
        <w:rPr>
          <w:rFonts w:ascii="Cambria Math" w:hAnsi="Cambria Math" w:cs="Cambria Math" w:eastAsia="Cambria Math"/>
          <w:spacing w:val="-1"/>
          <w:w w:val="49"/>
          <w:sz w:val="28"/>
          <w:szCs w:val="28"/>
        </w:rPr>
        <w:t>𝑐𝑐𝑝𝑝𝑝𝑝𝑟</w:t>
      </w:r>
      <w:r>
        <w:rPr>
          <w:rFonts w:ascii="Cambria Math" w:hAnsi="Cambria Math" w:cs="Cambria Math" w:eastAsia="Cambria Math"/>
          <w:w w:val="49"/>
          <w:sz w:val="28"/>
          <w:szCs w:val="28"/>
        </w:rPr>
        <w:t>𝑟</w:t>
      </w:r>
      <w:r>
        <w:rPr>
          <w:rFonts w:ascii="Cambria Math" w:hAnsi="Cambria Math" w:cs="Cambria Math" w:eastAsia="Cambria Math"/>
          <w:spacing w:val="-8"/>
          <w:sz w:val="28"/>
          <w:szCs w:val="28"/>
        </w:rPr>
        <w:t> </w:t>
      </w:r>
      <w:r>
        <w:rPr>
          <w:rFonts w:ascii="Cambria Math" w:hAnsi="Cambria Math" w:cs="Cambria Math" w:eastAsia="Cambria Math"/>
          <w:w w:val="41"/>
          <w:sz w:val="28"/>
          <w:szCs w:val="28"/>
        </w:rPr>
        <w:t>𝐶𝐶𝐶𝐶</w:t>
      </w:r>
      <w:r>
        <w:rPr>
          <w:rFonts w:ascii="Cambria Math" w:hAnsi="Cambria Math" w:cs="Cambria Math" w:eastAsia="Cambria Math"/>
          <w:spacing w:val="11"/>
          <w:sz w:val="28"/>
          <w:szCs w:val="28"/>
        </w:rPr>
        <w:t> </w:t>
      </w:r>
      <w:r>
        <w:rPr>
          <w:rFonts w:ascii="Cambria Math" w:hAnsi="Cambria Math" w:cs="Cambria Math" w:eastAsia="Cambria Math"/>
          <w:w w:val="81"/>
          <w:sz w:val="28"/>
          <w:szCs w:val="28"/>
        </w:rPr>
        <w:t>=</w:t>
      </w:r>
      <w:r>
        <w:rPr>
          <w:rFonts w:ascii="Cambria Math" w:hAnsi="Cambria Math" w:cs="Cambria Math" w:eastAsia="Cambria Math"/>
          <w:sz w:val="28"/>
          <w:szCs w:val="28"/>
        </w:rPr>
        <w:t> </w:t>
      </w:r>
      <w:r>
        <w:rPr>
          <w:rFonts w:ascii="Cambria Math" w:hAnsi="Cambria Math" w:cs="Cambria Math" w:eastAsia="Cambria Math"/>
          <w:spacing w:val="-99"/>
          <w:w w:val="53"/>
          <w:position w:val="6"/>
          <w:sz w:val="28"/>
          <w:szCs w:val="28"/>
        </w:rPr>
        <w:t>�</w:t>
      </w:r>
      <w:r>
        <w:rPr>
          <w:rFonts w:ascii="Cambria Math" w:hAnsi="Cambria Math" w:cs="Cambria Math" w:eastAsia="Cambria Math"/>
          <w:spacing w:val="-77"/>
          <w:w w:val="40"/>
          <w:sz w:val="28"/>
          <w:szCs w:val="28"/>
        </w:rPr>
        <w:t>𝐶𝐶</w:t>
      </w:r>
      <w:r>
        <w:rPr>
          <w:rFonts w:ascii="Cambria Math" w:hAnsi="Cambria Math" w:cs="Cambria Math" w:eastAsia="Cambria Math"/>
          <w:spacing w:val="-39"/>
          <w:w w:val="53"/>
          <w:position w:val="6"/>
          <w:sz w:val="28"/>
          <w:szCs w:val="28"/>
        </w:rPr>
        <w:t>�</w:t>
      </w:r>
      <w:r>
        <w:rPr>
          <w:rFonts w:ascii="Cambria Math" w:hAnsi="Cambria Math" w:cs="Cambria Math" w:eastAsia="Cambria Math"/>
          <w:spacing w:val="-81"/>
          <w:w w:val="53"/>
          <w:position w:val="6"/>
          <w:sz w:val="28"/>
          <w:szCs w:val="28"/>
        </w:rPr>
        <w:t>�</w:t>
      </w:r>
      <w:r>
        <w:rPr>
          <w:rFonts w:ascii="Cambria Math" w:hAnsi="Cambria Math" w:cs="Cambria Math" w:eastAsia="Cambria Math"/>
          <w:spacing w:val="-98"/>
          <w:w w:val="41"/>
          <w:sz w:val="28"/>
          <w:szCs w:val="28"/>
        </w:rPr>
        <w:t>𝐶𝐶</w:t>
      </w:r>
      <w:r>
        <w:rPr>
          <w:rFonts w:ascii="Cambria Math" w:hAnsi="Cambria Math" w:cs="Cambria Math" w:eastAsia="Cambria Math"/>
          <w:w w:val="53"/>
          <w:position w:val="6"/>
          <w:sz w:val="28"/>
          <w:szCs w:val="28"/>
        </w:rPr>
        <w:t>�</w:t>
      </w:r>
      <w:r>
        <w:rPr>
          <w:rFonts w:ascii="Cambria Math" w:hAnsi="Cambria Math" w:cs="Cambria Math" w:eastAsia="Cambria Math"/>
          <w:spacing w:val="11"/>
          <w:position w:val="6"/>
          <w:sz w:val="28"/>
          <w:szCs w:val="28"/>
        </w:rPr>
        <w:t> </w:t>
      </w:r>
      <w:r>
        <w:rPr>
          <w:rFonts w:ascii="Cambria Math" w:hAnsi="Cambria Math" w:cs="Cambria Math" w:eastAsia="Cambria Math"/>
          <w:w w:val="81"/>
          <w:sz w:val="28"/>
          <w:szCs w:val="28"/>
        </w:rPr>
        <w:t>=</w:t>
      </w:r>
      <w:r>
        <w:rPr>
          <w:rFonts w:ascii="Cambria Math" w:hAnsi="Cambria Math" w:cs="Cambria Math" w:eastAsia="Cambria Math"/>
          <w:sz w:val="28"/>
          <w:szCs w:val="28"/>
        </w:rPr>
        <w:t> </w:t>
      </w:r>
      <w:r>
        <w:rPr>
          <w:rFonts w:ascii="Times New Roman" w:hAnsi="Times New Roman" w:cs="Times New Roman" w:eastAsia="Times New Roman"/>
          <w:w w:val="74"/>
          <w:sz w:val="28"/>
          <w:szCs w:val="28"/>
          <w:u w:val="single"/>
          <w:vertAlign w:val="superscript"/>
        </w:rPr>
        <w:t> </w:t>
      </w:r>
      <w:r>
        <w:rPr>
          <w:rFonts w:ascii="Times New Roman" w:hAnsi="Times New Roman" w:cs="Times New Roman" w:eastAsia="Times New Roman"/>
          <w:sz w:val="28"/>
          <w:szCs w:val="28"/>
          <w:u w:val="single"/>
          <w:vertAlign w:val="baseline"/>
        </w:rPr>
        <w:t> </w:t>
      </w:r>
      <w:r>
        <w:rPr>
          <w:rFonts w:ascii="Times New Roman" w:hAnsi="Times New Roman" w:cs="Times New Roman" w:eastAsia="Times New Roman"/>
          <w:spacing w:val="-19"/>
          <w:sz w:val="28"/>
          <w:szCs w:val="28"/>
          <w:u w:val="single"/>
          <w:vertAlign w:val="baseline"/>
        </w:rPr>
        <w:t> </w:t>
      </w:r>
      <w:r>
        <w:rPr>
          <w:rFonts w:ascii="Cambria Math" w:hAnsi="Cambria Math" w:cs="Cambria Math" w:eastAsia="Cambria Math"/>
          <w:w w:val="25"/>
          <w:sz w:val="28"/>
          <w:szCs w:val="28"/>
          <w:u w:val="single"/>
          <w:vertAlign w:val="superscript"/>
        </w:rPr>
        <w:t>𝑐</w:t>
      </w:r>
      <w:r>
        <w:rPr>
          <w:rFonts w:ascii="Cambria Math" w:hAnsi="Cambria Math" w:cs="Cambria Math" w:eastAsia="Cambria Math"/>
          <w:spacing w:val="10"/>
          <w:w w:val="25"/>
          <w:sz w:val="28"/>
          <w:szCs w:val="28"/>
          <w:u w:val="single"/>
          <w:vertAlign w:val="superscript"/>
        </w:rPr>
        <w:t>𝑐</w:t>
      </w:r>
      <w:r>
        <w:rPr>
          <w:rFonts w:ascii="Cambria Math" w:hAnsi="Cambria Math" w:cs="Cambria Math" w:eastAsia="Cambria Math"/>
          <w:spacing w:val="-3"/>
          <w:w w:val="74"/>
          <w:sz w:val="28"/>
          <w:szCs w:val="28"/>
          <w:u w:val="single"/>
          <w:vertAlign w:val="superscript"/>
        </w:rPr>
        <w:t>=</w:t>
      </w:r>
      <w:r>
        <w:rPr>
          <w:rFonts w:ascii="Cambria Math" w:hAnsi="Cambria Math" w:cs="Cambria Math" w:eastAsia="Cambria Math"/>
          <w:w w:val="74"/>
          <w:sz w:val="28"/>
          <w:szCs w:val="28"/>
          <w:u w:val="single"/>
          <w:vertAlign w:val="superscript"/>
        </w:rPr>
        <w:t>1</w:t>
      </w:r>
      <w:r>
        <w:rPr>
          <w:rFonts w:ascii="Cambria Math" w:hAnsi="Cambria Math" w:cs="Cambria Math" w:eastAsia="Cambria Math"/>
          <w:sz w:val="28"/>
          <w:szCs w:val="28"/>
          <w:u w:val="single"/>
          <w:vertAlign w:val="baseline"/>
        </w:rPr>
        <w:tab/>
      </w:r>
      <w:r>
        <w:rPr>
          <w:rFonts w:ascii="Cambria Math" w:hAnsi="Cambria Math" w:cs="Cambria Math" w:eastAsia="Cambria Math"/>
          <w:spacing w:val="-23"/>
          <w:sz w:val="28"/>
          <w:szCs w:val="28"/>
          <w:u w:val="single"/>
          <w:vertAlign w:val="baseline"/>
        </w:rPr>
        <w:t>     </w:t>
      </w:r>
      <w:r>
        <w:rPr>
          <w:rFonts w:ascii="Cambria Math" w:hAnsi="Cambria Math" w:cs="Cambria Math" w:eastAsia="Cambria Math"/>
          <w:spacing w:val="-23"/>
          <w:w w:val="65"/>
          <w:position w:val="16"/>
          <w:sz w:val="20"/>
          <w:szCs w:val="20"/>
          <w:u w:val="single"/>
          <w:vertAlign w:val="baseline"/>
        </w:rPr>
        <w:t>𝑐𝑐</w:t>
      </w:r>
    </w:p>
    <w:p>
      <w:pPr>
        <w:spacing w:line="258" w:lineRule="exact" w:before="0"/>
        <w:ind w:left="0" w:right="316" w:firstLine="0"/>
        <w:jc w:val="right"/>
        <w:rPr>
          <w:rFonts w:ascii="Cambria Math" w:eastAsia="Cambria Math"/>
          <w:sz w:val="28"/>
        </w:rPr>
      </w:pPr>
      <w:r>
        <w:rPr>
          <w:rFonts w:ascii="Cambria Math" w:eastAsia="Cambria Math"/>
          <w:w w:val="45"/>
          <w:sz w:val="28"/>
        </w:rPr>
        <w:t>𝑟𝑟</w:t>
      </w:r>
    </w:p>
    <w:p>
      <w:pPr>
        <w:spacing w:before="58"/>
        <w:ind w:left="171" w:right="0" w:firstLine="0"/>
        <w:jc w:val="left"/>
        <w:rPr>
          <w:rFonts w:ascii="Cambria Math" w:eastAsia="Cambria Math"/>
          <w:sz w:val="28"/>
        </w:rPr>
      </w:pPr>
      <w:r>
        <w:rPr/>
        <w:br w:type="column"/>
      </w:r>
      <w:r>
        <w:rPr>
          <w:rFonts w:ascii="Cambria Math" w:eastAsia="Cambria Math"/>
          <w:w w:val="55"/>
          <w:sz w:val="28"/>
        </w:rPr>
        <w:t>𝑅𝑅𝑆𝑆𝑆𝑆 </w:t>
      </w:r>
      <w:r>
        <w:rPr>
          <w:rFonts w:ascii="Cambria Math" w:eastAsia="Cambria Math"/>
          <w:spacing w:val="-16"/>
          <w:w w:val="55"/>
          <w:sz w:val="28"/>
        </w:rPr>
        <w:t>=</w:t>
      </w:r>
    </w:p>
    <w:p>
      <w:pPr>
        <w:spacing w:before="200"/>
        <w:ind w:left="24" w:right="0" w:firstLine="0"/>
        <w:jc w:val="left"/>
        <w:rPr>
          <w:rFonts w:ascii="Cambria Math" w:hAnsi="Cambria Math" w:cs="Cambria Math" w:eastAsia="Cambria Math"/>
          <w:sz w:val="28"/>
          <w:szCs w:val="28"/>
        </w:rPr>
      </w:pPr>
      <w:r>
        <w:rPr/>
        <w:br w:type="column"/>
      </w:r>
      <w:r>
        <w:rPr>
          <w:rFonts w:ascii="Cambria Math" w:hAnsi="Cambria Math" w:cs="Cambria Math" w:eastAsia="Cambria Math"/>
          <w:spacing w:val="-99"/>
          <w:w w:val="53"/>
          <w:sz w:val="28"/>
          <w:szCs w:val="28"/>
        </w:rPr>
        <w:t>�</w:t>
      </w:r>
      <w:r>
        <w:rPr>
          <w:rFonts w:ascii="Cambria Math" w:hAnsi="Cambria Math" w:cs="Cambria Math" w:eastAsia="Cambria Math"/>
          <w:spacing w:val="-77"/>
          <w:w w:val="40"/>
          <w:position w:val="-5"/>
          <w:sz w:val="28"/>
          <w:szCs w:val="28"/>
        </w:rPr>
        <w:t>𝐶𝐶</w:t>
      </w:r>
      <w:r>
        <w:rPr>
          <w:rFonts w:ascii="Cambria Math" w:hAnsi="Cambria Math" w:cs="Cambria Math" w:eastAsia="Cambria Math"/>
          <w:spacing w:val="-39"/>
          <w:w w:val="53"/>
          <w:sz w:val="28"/>
          <w:szCs w:val="28"/>
        </w:rPr>
        <w:t>�</w:t>
      </w:r>
      <w:r>
        <w:rPr>
          <w:rFonts w:ascii="Cambria Math" w:hAnsi="Cambria Math" w:cs="Cambria Math" w:eastAsia="Cambria Math"/>
          <w:spacing w:val="-81"/>
          <w:w w:val="53"/>
          <w:sz w:val="28"/>
          <w:szCs w:val="28"/>
        </w:rPr>
        <w:t>�</w:t>
      </w:r>
      <w:r>
        <w:rPr>
          <w:rFonts w:ascii="Cambria Math" w:hAnsi="Cambria Math" w:cs="Cambria Math" w:eastAsia="Cambria Math"/>
          <w:spacing w:val="-98"/>
          <w:w w:val="41"/>
          <w:position w:val="-5"/>
          <w:sz w:val="28"/>
          <w:szCs w:val="28"/>
        </w:rPr>
        <w:t>𝐶𝐶</w:t>
      </w:r>
      <w:r>
        <w:rPr>
          <w:rFonts w:ascii="Cambria Math" w:hAnsi="Cambria Math" w:cs="Cambria Math" w:eastAsia="Cambria Math"/>
          <w:w w:val="53"/>
          <w:sz w:val="28"/>
          <w:szCs w:val="28"/>
        </w:rPr>
        <w:t>�</w:t>
      </w:r>
    </w:p>
    <w:p>
      <w:pPr>
        <w:spacing w:before="58"/>
        <w:ind w:left="58" w:right="0" w:firstLine="0"/>
        <w:jc w:val="left"/>
        <w:rPr>
          <w:rFonts w:ascii="Cambria Math" w:eastAsia="Cambria Math"/>
          <w:sz w:val="28"/>
        </w:rPr>
      </w:pPr>
      <w:r>
        <w:rPr/>
        <w:br w:type="column"/>
      </w:r>
      <w:r>
        <w:rPr>
          <w:rFonts w:ascii="Cambria Math" w:eastAsia="Cambria Math"/>
          <w:w w:val="75"/>
          <w:sz w:val="28"/>
        </w:rPr>
        <w:t>𝑥𝑥 100</w:t>
      </w:r>
    </w:p>
    <w:p>
      <w:pPr>
        <w:spacing w:after="0"/>
        <w:jc w:val="left"/>
        <w:rPr>
          <w:rFonts w:ascii="Cambria Math" w:eastAsia="Cambria Math"/>
          <w:sz w:val="28"/>
        </w:rPr>
        <w:sectPr>
          <w:type w:val="continuous"/>
          <w:pgSz w:w="12240" w:h="15840"/>
          <w:pgMar w:top="1060" w:bottom="1320" w:left="260" w:right="260"/>
          <w:cols w:num="5" w:equalWidth="0">
            <w:col w:w="5566" w:space="40"/>
            <w:col w:w="2780" w:space="39"/>
            <w:col w:w="837" w:space="40"/>
            <w:col w:w="302" w:space="39"/>
            <w:col w:w="2077"/>
          </w:cols>
        </w:sectPr>
      </w:pPr>
    </w:p>
    <w:p>
      <w:pPr>
        <w:pStyle w:val="BodyText"/>
        <w:spacing w:before="166"/>
        <w:ind w:left="3340"/>
      </w:pPr>
      <w:r>
        <w:rPr/>
        <w:pict>
          <v:line style="position:absolute;mso-position-horizontal-relative:page;mso-position-vertical-relative:paragraph;z-index:-260027392" from="479.305695pt,-17.215485pt" to="493.593972pt,-17.215485pt" stroked="true" strokeweight=".978678pt" strokecolor="#000000">
            <v:stroke dashstyle="solid"/>
            <w10:wrap type="none"/>
          </v:line>
        </w:pict>
      </w:r>
      <w:r>
        <w:rPr/>
        <w:t>where:</w:t>
      </w:r>
    </w:p>
    <w:p>
      <w:pPr>
        <w:pStyle w:val="BodyText"/>
        <w:spacing w:before="157"/>
        <w:ind w:left="3340"/>
      </w:pPr>
      <w:r>
        <w:rPr/>
        <w:t>CF</w:t>
      </w:r>
      <w:r>
        <w:rPr>
          <w:vertAlign w:val="subscript"/>
        </w:rPr>
        <w:t>i</w:t>
      </w:r>
      <w:r>
        <w:rPr>
          <w:vertAlign w:val="baseline"/>
        </w:rPr>
        <w:t> = CF for each of the calibration standards</w:t>
      </w:r>
    </w:p>
    <w:p>
      <w:pPr>
        <w:pStyle w:val="BodyText"/>
        <w:spacing w:line="276" w:lineRule="auto" w:before="6"/>
        <w:ind w:left="3340" w:right="3525"/>
      </w:pPr>
      <w:r>
        <w:rPr>
          <w:rFonts w:ascii="Cambria Math" w:hAnsi="Cambria Math" w:cs="Cambria Math" w:eastAsia="Cambria Math"/>
          <w:spacing w:val="-95"/>
          <w:w w:val="65"/>
          <w:position w:val="4"/>
        </w:rPr>
        <w:t>�</w:t>
      </w:r>
      <w:r>
        <w:rPr>
          <w:rFonts w:ascii="Cambria Math" w:hAnsi="Cambria Math" w:cs="Cambria Math" w:eastAsia="Cambria Math"/>
          <w:spacing w:val="-75"/>
          <w:w w:val="49"/>
        </w:rPr>
        <w:t>𝐶𝐶</w:t>
      </w:r>
      <w:r>
        <w:rPr>
          <w:rFonts w:ascii="Cambria Math" w:hAnsi="Cambria Math" w:cs="Cambria Math" w:eastAsia="Cambria Math"/>
          <w:spacing w:val="-37"/>
          <w:w w:val="65"/>
          <w:position w:val="4"/>
        </w:rPr>
        <w:t>�</w:t>
      </w:r>
      <w:r>
        <w:rPr>
          <w:rFonts w:ascii="Cambria Math" w:hAnsi="Cambria Math" w:cs="Cambria Math" w:eastAsia="Cambria Math"/>
          <w:spacing w:val="-78"/>
          <w:w w:val="65"/>
          <w:position w:val="4"/>
        </w:rPr>
        <w:t>�</w:t>
      </w:r>
      <w:r>
        <w:rPr>
          <w:rFonts w:ascii="Cambria Math" w:hAnsi="Cambria Math" w:cs="Cambria Math" w:eastAsia="Cambria Math"/>
          <w:spacing w:val="-95"/>
          <w:w w:val="51"/>
        </w:rPr>
        <w:t>𝐶𝐶</w:t>
      </w:r>
      <w:r>
        <w:rPr>
          <w:rFonts w:ascii="Cambria Math" w:hAnsi="Cambria Math" w:cs="Cambria Math" w:eastAsia="Cambria Math"/>
          <w:w w:val="65"/>
          <w:position w:val="4"/>
        </w:rPr>
        <w:t>�</w:t>
      </w:r>
      <w:r>
        <w:rPr>
          <w:rFonts w:ascii="Cambria Math" w:hAnsi="Cambria Math" w:cs="Cambria Math" w:eastAsia="Cambria Math"/>
          <w:position w:val="4"/>
        </w:rPr>
        <w:t> </w:t>
      </w:r>
      <w:r>
        <w:rPr>
          <w:w w:val="99"/>
        </w:rPr>
        <w:t>=</w:t>
      </w:r>
      <w:r>
        <w:rPr/>
        <w:t> </w:t>
      </w:r>
      <w:r>
        <w:rPr>
          <w:spacing w:val="-1"/>
          <w:w w:val="99"/>
        </w:rPr>
        <w:t>M</w:t>
      </w:r>
      <w:r>
        <w:rPr>
          <w:w w:val="99"/>
        </w:rPr>
        <w:t>ean</w:t>
      </w:r>
      <w:r>
        <w:rPr/>
        <w:t> </w:t>
      </w:r>
      <w:r>
        <w:rPr>
          <w:spacing w:val="-1"/>
          <w:w w:val="99"/>
        </w:rPr>
        <w:t>C</w:t>
      </w:r>
      <w:r>
        <w:rPr>
          <w:w w:val="99"/>
        </w:rPr>
        <w:t>F</w:t>
      </w:r>
      <w:r>
        <w:rPr/>
        <w:t> </w:t>
      </w:r>
      <w:r>
        <w:rPr>
          <w:w w:val="99"/>
        </w:rPr>
        <w:t>for</w:t>
      </w:r>
      <w:r>
        <w:rPr/>
        <w:t> </w:t>
      </w:r>
      <w:r>
        <w:rPr>
          <w:w w:val="99"/>
        </w:rPr>
        <w:t>each</w:t>
      </w:r>
      <w:r>
        <w:rPr/>
        <w:t> </w:t>
      </w:r>
      <w:r>
        <w:rPr>
          <w:w w:val="99"/>
        </w:rPr>
        <w:t>c</w:t>
      </w:r>
      <w:r>
        <w:rPr>
          <w:spacing w:val="-1"/>
          <w:w w:val="99"/>
        </w:rPr>
        <w:t>om</w:t>
      </w:r>
      <w:r>
        <w:rPr>
          <w:w w:val="99"/>
        </w:rPr>
        <w:t>pound</w:t>
      </w:r>
      <w:r>
        <w:rPr/>
        <w:t> </w:t>
      </w:r>
      <w:r>
        <w:rPr>
          <w:w w:val="99"/>
        </w:rPr>
        <w:t>from</w:t>
      </w:r>
      <w:r>
        <w:rPr/>
        <w:t> </w:t>
      </w:r>
      <w:r>
        <w:rPr>
          <w:w w:val="99"/>
        </w:rPr>
        <w:t>the</w:t>
      </w:r>
      <w:r>
        <w:rPr/>
        <w:t> </w:t>
      </w:r>
      <w:r>
        <w:rPr>
          <w:spacing w:val="-27"/>
          <w:w w:val="99"/>
        </w:rPr>
        <w:t>I</w:t>
      </w:r>
      <w:r>
        <w:rPr>
          <w:spacing w:val="-28"/>
          <w:w w:val="99"/>
        </w:rPr>
        <w:t>CA</w:t>
      </w:r>
      <w:r>
        <w:rPr>
          <w:spacing w:val="-27"/>
          <w:w w:val="99"/>
        </w:rPr>
        <w:t>L</w:t>
      </w:r>
      <w:r>
        <w:rPr>
          <w:w w:val="99"/>
        </w:rPr>
        <w:t> </w:t>
      </w:r>
      <w:r>
        <w:rPr/>
        <w:t>n = Number of calibration standards (e.g., 5)</w:t>
      </w:r>
    </w:p>
    <w:p>
      <w:pPr>
        <w:pStyle w:val="BodyText"/>
        <w:spacing w:line="252" w:lineRule="exact"/>
        <w:ind w:left="3340"/>
      </w:pPr>
      <w:r>
        <w:rPr/>
        <w:t>SD = Standard deviation</w:t>
      </w:r>
    </w:p>
    <w:p>
      <w:pPr>
        <w:pStyle w:val="BodyText"/>
        <w:spacing w:line="276" w:lineRule="auto" w:before="158"/>
        <w:ind w:left="3340" w:right="1255"/>
      </w:pPr>
      <w:r>
        <w:rPr/>
        <w:t>Where </w:t>
      </w:r>
      <w:r>
        <w:rPr>
          <w:i/>
        </w:rPr>
        <w:t>n </w:t>
      </w:r>
      <w:r>
        <w:rPr/>
        <w:t>is the number of calibration standards and RSD is expressed as a percentage (%).</w:t>
      </w:r>
    </w:p>
    <w:p>
      <w:pPr>
        <w:pStyle w:val="ListParagraph"/>
        <w:numPr>
          <w:ilvl w:val="2"/>
          <w:numId w:val="9"/>
        </w:numPr>
        <w:tabs>
          <w:tab w:pos="3519" w:val="left" w:leader="none"/>
          <w:tab w:pos="3520" w:val="left" w:leader="none"/>
        </w:tabs>
        <w:spacing w:line="276" w:lineRule="auto" w:before="119" w:after="0"/>
        <w:ind w:left="1899" w:right="1252" w:firstLine="720"/>
        <w:jc w:val="left"/>
        <w:rPr>
          <w:sz w:val="22"/>
        </w:rPr>
      </w:pPr>
      <w:bookmarkStart w:name="11.3.6 Linearity of target analytes – If" w:id="214"/>
      <w:bookmarkEnd w:id="214"/>
      <w:r>
        <w:rPr/>
      </w:r>
      <w:bookmarkStart w:name="11.3.6 Linearity of target analytes – If" w:id="215"/>
      <w:bookmarkEnd w:id="215"/>
      <w:r>
        <w:rPr>
          <w:sz w:val="22"/>
        </w:rPr>
        <w:t>Linearity</w:t>
      </w:r>
      <w:r>
        <w:rPr>
          <w:sz w:val="22"/>
        </w:rPr>
        <w:t> of target analytes – If the RSD of any target analyte is 20% or less, then the CF is assumed to be constant over the calibration range, and the average CF may be used for quantitation (Sec. 11.3.5). The average CF should not be used for compounds that have an RSD greater than 20%. If a regression model is used for quantitative purposes, </w:t>
      </w:r>
      <w:r>
        <w:rPr>
          <w:i/>
          <w:sz w:val="22"/>
        </w:rPr>
        <w:t>r </w:t>
      </w:r>
      <w:r>
        <w:rPr>
          <w:sz w:val="22"/>
        </w:rPr>
        <w:t>(correlation coefficient) or </w:t>
      </w:r>
      <w:r>
        <w:rPr>
          <w:i/>
          <w:sz w:val="22"/>
        </w:rPr>
        <w:t>r</w:t>
      </w:r>
      <w:r>
        <w:rPr>
          <w:position w:val="7"/>
          <w:sz w:val="14"/>
        </w:rPr>
        <w:t>2 </w:t>
      </w:r>
      <w:r>
        <w:rPr>
          <w:sz w:val="22"/>
        </w:rPr>
        <w:t>(coefficient of determination) should be ≥ 0.995 or 0.99, respectively. Relative standard error (%RSE) may also be used for acceptance of the calibration model. See Sec. 11.5.4 of Method 8000 for additional information. Example RSE calculations can be found in Reference 8. Forcing linear and quadratic models through the origin may be appropriate when background PFAS are present to better estimate background</w:t>
      </w:r>
      <w:r>
        <w:rPr>
          <w:spacing w:val="-2"/>
          <w:sz w:val="22"/>
        </w:rPr>
        <w:t> </w:t>
      </w:r>
      <w:r>
        <w:rPr>
          <w:sz w:val="22"/>
        </w:rPr>
        <w:t>concentrations.</w:t>
      </w:r>
    </w:p>
    <w:p>
      <w:pPr>
        <w:pStyle w:val="ListParagraph"/>
        <w:numPr>
          <w:ilvl w:val="2"/>
          <w:numId w:val="9"/>
        </w:numPr>
        <w:tabs>
          <w:tab w:pos="3519" w:val="left" w:leader="none"/>
          <w:tab w:pos="3520" w:val="left" w:leader="none"/>
        </w:tabs>
        <w:spacing w:line="276" w:lineRule="auto" w:before="121" w:after="0"/>
        <w:ind w:left="1899" w:right="1211" w:firstLine="720"/>
        <w:jc w:val="left"/>
        <w:rPr>
          <w:sz w:val="22"/>
        </w:rPr>
      </w:pPr>
      <w:bookmarkStart w:name="11.3.7 When the calibration does not mee" w:id="216"/>
      <w:bookmarkEnd w:id="216"/>
      <w:r>
        <w:rPr/>
      </w:r>
      <w:bookmarkStart w:name="11.3.7 When the calibration does not mee" w:id="217"/>
      <w:bookmarkEnd w:id="217"/>
      <w:r>
        <w:rPr>
          <w:sz w:val="22"/>
        </w:rPr>
        <w:t>When</w:t>
      </w:r>
      <w:r>
        <w:rPr>
          <w:sz w:val="22"/>
        </w:rPr>
        <w:t> the calibration does not meet the acceptance criteria, the plotting and visual inspection of a calibration curve can be a useful diagnostic tool. The inspection may indicate analytical problems, including errors in standard preparation,</w:t>
      </w:r>
      <w:r>
        <w:rPr>
          <w:spacing w:val="-27"/>
          <w:sz w:val="22"/>
        </w:rPr>
        <w:t> </w:t>
      </w:r>
      <w:r>
        <w:rPr>
          <w:sz w:val="22"/>
        </w:rPr>
        <w:t>the presence of active sites in the chromatographic system, analytes that exhibit poor chromatographic behavior, etc.</w:t>
      </w:r>
    </w:p>
    <w:p>
      <w:pPr>
        <w:pStyle w:val="BodyText"/>
        <w:spacing w:line="276" w:lineRule="auto" w:before="120"/>
        <w:ind w:left="2620" w:right="1300" w:hanging="720"/>
      </w:pPr>
      <w:bookmarkStart w:name="NOTE: It is considered inappropriate onc" w:id="218"/>
      <w:bookmarkEnd w:id="218"/>
      <w:r>
        <w:rPr/>
      </w:r>
      <w:r>
        <w:rPr>
          <w:u w:val="single"/>
        </w:rPr>
        <w:t>NOTE</w:t>
      </w:r>
      <w:r>
        <w:rPr/>
        <w:t>: It is considered inappropriate once the calibration models have been finalized to select an alternate fit solely to pass the recommended QC criteria for samples and associated QC on a case-by-case basis.</w:t>
      </w:r>
    </w:p>
    <w:p>
      <w:pPr>
        <w:spacing w:after="0" w:line="276" w:lineRule="auto"/>
        <w:sectPr>
          <w:type w:val="continuous"/>
          <w:pgSz w:w="12240" w:h="15840"/>
          <w:pgMar w:top="1060" w:bottom="1320" w:left="260" w:right="260"/>
        </w:sectPr>
      </w:pPr>
    </w:p>
    <w:p>
      <w:pPr>
        <w:pStyle w:val="ListParagraph"/>
        <w:numPr>
          <w:ilvl w:val="2"/>
          <w:numId w:val="9"/>
        </w:numPr>
        <w:tabs>
          <w:tab w:pos="3520" w:val="left" w:leader="none"/>
          <w:tab w:pos="3521" w:val="left" w:leader="none"/>
        </w:tabs>
        <w:spacing w:line="276" w:lineRule="auto" w:before="70" w:after="0"/>
        <w:ind w:left="1900" w:right="1283" w:firstLine="720"/>
        <w:jc w:val="left"/>
        <w:rPr>
          <w:sz w:val="22"/>
        </w:rPr>
      </w:pPr>
      <w:bookmarkStart w:name="11.3.8 If more than 10% of the compounds" w:id="219"/>
      <w:bookmarkEnd w:id="219"/>
      <w:r>
        <w:rPr/>
      </w:r>
      <w:bookmarkStart w:name="11.3.8 If more than 10% of the compounds" w:id="220"/>
      <w:bookmarkEnd w:id="220"/>
      <w:r>
        <w:rPr>
          <w:sz w:val="22"/>
        </w:rPr>
        <w:t>If</w:t>
      </w:r>
      <w:r>
        <w:rPr>
          <w:sz w:val="22"/>
        </w:rPr>
        <w:t> more than 10% of the compounds included with the ICAL (or more than 10% of those that will be reported) exceed the 20% RSD limit and do not meet the minimum criteria (r</w:t>
      </w:r>
      <w:r>
        <w:rPr>
          <w:position w:val="7"/>
          <w:sz w:val="14"/>
        </w:rPr>
        <w:t>2</w:t>
      </w:r>
      <w:r>
        <w:rPr>
          <w:sz w:val="22"/>
        </w:rPr>
        <w:t>≥0.99 or relative standard error (RSE) ≤20%) for alternate curve fits, then the system is considered unacceptable for analysis to begin. Correct the source</w:t>
      </w:r>
      <w:r>
        <w:rPr>
          <w:spacing w:val="-24"/>
          <w:sz w:val="22"/>
        </w:rPr>
        <w:t> </w:t>
      </w:r>
      <w:r>
        <w:rPr>
          <w:sz w:val="22"/>
        </w:rPr>
        <w:t>of the problem; then repeat the calibration procedure beginning with Sec. 11.3. If compounds fail to meet these criteria, the associated concentrations may still be determined but they must be reported as estimated. To report non-detects, it must be demonstrated that there is sufficient accuracy to detect the failed compounds at the applicable LLOQ (see Secs. 11.3.9 for refitting standards and 11.4 for</w:t>
      </w:r>
      <w:r>
        <w:rPr>
          <w:spacing w:val="-11"/>
          <w:sz w:val="22"/>
        </w:rPr>
        <w:t> </w:t>
      </w:r>
      <w:r>
        <w:rPr>
          <w:sz w:val="22"/>
        </w:rPr>
        <w:t>CCV).</w:t>
      </w:r>
    </w:p>
    <w:p>
      <w:pPr>
        <w:pStyle w:val="ListParagraph"/>
        <w:numPr>
          <w:ilvl w:val="2"/>
          <w:numId w:val="9"/>
        </w:numPr>
        <w:tabs>
          <w:tab w:pos="3519" w:val="left" w:leader="none"/>
          <w:tab w:pos="3521" w:val="left" w:leader="none"/>
        </w:tabs>
        <w:spacing w:line="276" w:lineRule="auto" w:before="120" w:after="0"/>
        <w:ind w:left="1900" w:right="1289" w:firstLine="720"/>
        <w:jc w:val="left"/>
        <w:rPr>
          <w:sz w:val="22"/>
        </w:rPr>
      </w:pPr>
      <w:bookmarkStart w:name="11.3.9 Calibration, especially when usin" w:id="221"/>
      <w:bookmarkEnd w:id="221"/>
      <w:r>
        <w:rPr/>
      </w:r>
      <w:bookmarkStart w:name="11.3.9 Calibration, especially when usin" w:id="222"/>
      <w:bookmarkEnd w:id="222"/>
      <w:r>
        <w:rPr>
          <w:sz w:val="22"/>
        </w:rPr>
        <w:t>C</w:t>
      </w:r>
      <w:r>
        <w:rPr>
          <w:sz w:val="22"/>
        </w:rPr>
        <w:t>alibration, especially when using regression models, has the</w:t>
      </w:r>
      <w:r>
        <w:rPr>
          <w:spacing w:val="-19"/>
          <w:sz w:val="22"/>
        </w:rPr>
        <w:t> </w:t>
      </w:r>
      <w:r>
        <w:rPr>
          <w:sz w:val="22"/>
        </w:rPr>
        <w:t>potential for a significant bias at the lower portion of the calibration curve. All calibration points should be recalculated (not reanalyzed) using the final calibration curve in which this standard is used (i.e., re-fitting the response from the calibration standard back into the curve and determining % error). See Sec. 11.5.4 of Method 8000 for additional details. The recalculated concentration of the low calibration point should be within ±50% of the standard's true concentration, and the recalculated concentrations of any other calibration standards (above the LLOQ) should be within ±30%. Alternate criteria may be applied depending on the needs of the project; however, those criteria should be clearly defined in a laboratory SOP or a project-specific QAPP. Analytes which do not meet the re-fitting criteria should be evaluated for corrective action (choosing an alternative model or weighting). If a failure occurs in the low point and it is equivalent to the LLOQ, the analyte should be reported as estimated near that concentration, or the LLOQ should be reestablished at a higher</w:t>
      </w:r>
      <w:r>
        <w:rPr>
          <w:spacing w:val="-3"/>
          <w:sz w:val="22"/>
        </w:rPr>
        <w:t> </w:t>
      </w:r>
      <w:r>
        <w:rPr>
          <w:sz w:val="22"/>
        </w:rPr>
        <w:t>concentration.</w:t>
      </w:r>
    </w:p>
    <w:p>
      <w:pPr>
        <w:pStyle w:val="ListParagraph"/>
        <w:numPr>
          <w:ilvl w:val="2"/>
          <w:numId w:val="9"/>
        </w:numPr>
        <w:tabs>
          <w:tab w:pos="3521" w:val="left" w:leader="none"/>
        </w:tabs>
        <w:spacing w:line="276" w:lineRule="auto" w:before="121" w:after="0"/>
        <w:ind w:left="1900" w:right="1258" w:firstLine="719"/>
        <w:jc w:val="left"/>
        <w:rPr>
          <w:sz w:val="22"/>
        </w:rPr>
      </w:pPr>
      <w:bookmarkStart w:name="11.3.10 ICV - Prior to analyzing samples" w:id="223"/>
      <w:bookmarkEnd w:id="223"/>
      <w:r>
        <w:rPr/>
      </w:r>
      <w:bookmarkStart w:name="11.3.10 ICV - Prior to analyzing samples" w:id="224"/>
      <w:bookmarkEnd w:id="224"/>
      <w:r>
        <w:rPr>
          <w:sz w:val="22"/>
        </w:rPr>
        <w:t>I</w:t>
      </w:r>
      <w:r>
        <w:rPr>
          <w:sz w:val="22"/>
        </w:rPr>
        <w:t>CV - Prior to analyzing samples, verify the ICAL using a standard obtained from a second source to the calibration standard. Suggested acceptance criteria for the analyte concentrations in this standard are 70 - 130% of the expected analyte concentration(s). Alternative criteria may be appropriate based on project- specific DQOs. Quantitative sample analyses should not proceed for those analytes</w:t>
      </w:r>
      <w:r>
        <w:rPr>
          <w:spacing w:val="-27"/>
          <w:sz w:val="22"/>
        </w:rPr>
        <w:t> </w:t>
      </w:r>
      <w:r>
        <w:rPr>
          <w:sz w:val="22"/>
        </w:rPr>
        <w:t>that do not meet the ICV criteria. However, analyses may continue for those analytes that</w:t>
      </w:r>
      <w:r>
        <w:rPr>
          <w:spacing w:val="-25"/>
          <w:sz w:val="22"/>
        </w:rPr>
        <w:t> </w:t>
      </w:r>
      <w:r>
        <w:rPr>
          <w:sz w:val="22"/>
        </w:rPr>
        <w:t>do not meet the criteria with an understanding that these results could be used for screening purposes and would be considered estimated</w:t>
      </w:r>
      <w:r>
        <w:rPr>
          <w:spacing w:val="-4"/>
          <w:sz w:val="22"/>
        </w:rPr>
        <w:t> </w:t>
      </w:r>
      <w:r>
        <w:rPr>
          <w:sz w:val="22"/>
        </w:rPr>
        <w:t>values.</w:t>
      </w:r>
    </w:p>
    <w:p>
      <w:pPr>
        <w:pStyle w:val="ListParagraph"/>
        <w:numPr>
          <w:ilvl w:val="1"/>
          <w:numId w:val="9"/>
        </w:numPr>
        <w:tabs>
          <w:tab w:pos="2620" w:val="left" w:leader="none"/>
          <w:tab w:pos="2621" w:val="left" w:leader="none"/>
        </w:tabs>
        <w:spacing w:line="240" w:lineRule="auto" w:before="119" w:after="0"/>
        <w:ind w:left="2620" w:right="0" w:hanging="721"/>
        <w:jc w:val="left"/>
        <w:rPr>
          <w:sz w:val="22"/>
        </w:rPr>
      </w:pPr>
      <w:bookmarkStart w:name="11.4 Continuing Calibration Verification" w:id="225"/>
      <w:bookmarkEnd w:id="225"/>
      <w:r>
        <w:rPr/>
      </w:r>
      <w:bookmarkStart w:name="11.4 Continuing Calibration Verification" w:id="226"/>
      <w:bookmarkEnd w:id="226"/>
      <w:r>
        <w:rPr>
          <w:sz w:val="22"/>
        </w:rPr>
        <w:t>C</w:t>
      </w:r>
      <w:r>
        <w:rPr>
          <w:sz w:val="22"/>
        </w:rPr>
        <w:t>ontinuing Calibration Verification</w:t>
      </w:r>
      <w:r>
        <w:rPr>
          <w:spacing w:val="-5"/>
          <w:sz w:val="22"/>
        </w:rPr>
        <w:t> </w:t>
      </w:r>
      <w:r>
        <w:rPr>
          <w:sz w:val="22"/>
        </w:rPr>
        <w:t>(CCV)</w:t>
      </w:r>
    </w:p>
    <w:p>
      <w:pPr>
        <w:pStyle w:val="ListParagraph"/>
        <w:numPr>
          <w:ilvl w:val="2"/>
          <w:numId w:val="9"/>
        </w:numPr>
        <w:tabs>
          <w:tab w:pos="3520" w:val="left" w:leader="none"/>
          <w:tab w:pos="3521" w:val="left" w:leader="none"/>
        </w:tabs>
        <w:spacing w:line="276" w:lineRule="auto" w:before="158" w:after="0"/>
        <w:ind w:left="1900" w:right="1288" w:firstLine="720"/>
        <w:jc w:val="left"/>
        <w:rPr>
          <w:sz w:val="22"/>
        </w:rPr>
      </w:pPr>
      <w:bookmarkStart w:name="11.4.1 Verify the initial calibration by" w:id="227"/>
      <w:bookmarkEnd w:id="227"/>
      <w:r>
        <w:rPr/>
      </w:r>
      <w:bookmarkStart w:name="11.4.1 Verify the initial calibration by" w:id="228"/>
      <w:bookmarkEnd w:id="228"/>
      <w:r>
        <w:rPr>
          <w:sz w:val="22"/>
        </w:rPr>
        <w:t>V</w:t>
      </w:r>
      <w:r>
        <w:rPr>
          <w:sz w:val="22"/>
        </w:rPr>
        <w:t>erify the initial calibration by analyzing a mid-level CCV standard prior to any samples, after every 10 field samples (or every 12 hours, whichever is shorter), and at the end of the analytical sequence. The CCV is prepared from the same stock solutions or source materials used for the ICAL standards. The results must be compared against the most recent ICAL and should meet the acceptance criteria provided</w:t>
      </w:r>
      <w:r>
        <w:rPr>
          <w:spacing w:val="-1"/>
          <w:sz w:val="22"/>
        </w:rPr>
        <w:t> </w:t>
      </w:r>
      <w:r>
        <w:rPr>
          <w:sz w:val="22"/>
        </w:rPr>
        <w:t>below.</w:t>
      </w:r>
    </w:p>
    <w:p>
      <w:pPr>
        <w:pStyle w:val="ListParagraph"/>
        <w:numPr>
          <w:ilvl w:val="2"/>
          <w:numId w:val="9"/>
        </w:numPr>
        <w:tabs>
          <w:tab w:pos="3519" w:val="left" w:leader="none"/>
          <w:tab w:pos="3521" w:val="left" w:leader="none"/>
        </w:tabs>
        <w:spacing w:line="276" w:lineRule="auto" w:before="119" w:after="0"/>
        <w:ind w:left="1899" w:right="1522" w:firstLine="720"/>
        <w:jc w:val="left"/>
        <w:rPr>
          <w:sz w:val="22"/>
        </w:rPr>
      </w:pPr>
      <w:bookmarkStart w:name="11.4.2 The calculated concentration or a" w:id="229"/>
      <w:bookmarkEnd w:id="229"/>
      <w:r>
        <w:rPr/>
      </w:r>
      <w:bookmarkStart w:name="11.4.2 The calculated concentration or a" w:id="230"/>
      <w:bookmarkEnd w:id="230"/>
      <w:r>
        <w:rPr>
          <w:sz w:val="22"/>
        </w:rPr>
        <w:t>The</w:t>
      </w:r>
      <w:r>
        <w:rPr>
          <w:sz w:val="22"/>
        </w:rPr>
        <w:t> calculated concentration or amount of each analyte of interest</w:t>
      </w:r>
      <w:r>
        <w:rPr>
          <w:spacing w:val="-19"/>
          <w:sz w:val="22"/>
        </w:rPr>
        <w:t> </w:t>
      </w:r>
      <w:r>
        <w:rPr>
          <w:sz w:val="22"/>
        </w:rPr>
        <w:t>in the CCV standard should fall within ±30% of the expected value. If not, a separately prepared CCV may be prepared and analyzed to meet acceptance</w:t>
      </w:r>
      <w:r>
        <w:rPr>
          <w:spacing w:val="-7"/>
          <w:sz w:val="22"/>
        </w:rPr>
        <w:t> </w:t>
      </w:r>
      <w:r>
        <w:rPr>
          <w:sz w:val="22"/>
        </w:rPr>
        <w:t>criteria.</w:t>
      </w:r>
    </w:p>
    <w:p>
      <w:pPr>
        <w:spacing w:after="0" w:line="276" w:lineRule="auto"/>
        <w:jc w:val="left"/>
        <w:rPr>
          <w:sz w:val="22"/>
        </w:rPr>
        <w:sectPr>
          <w:pgSz w:w="12240" w:h="15840"/>
          <w:pgMar w:header="0" w:footer="1134" w:top="1060" w:bottom="1400" w:left="260" w:right="260"/>
        </w:sectPr>
      </w:pPr>
    </w:p>
    <w:p>
      <w:pPr>
        <w:pStyle w:val="ListParagraph"/>
        <w:numPr>
          <w:ilvl w:val="2"/>
          <w:numId w:val="9"/>
        </w:numPr>
        <w:tabs>
          <w:tab w:pos="3520" w:val="left" w:leader="none"/>
          <w:tab w:pos="3521" w:val="left" w:leader="none"/>
        </w:tabs>
        <w:spacing w:line="276" w:lineRule="auto" w:before="70" w:after="0"/>
        <w:ind w:left="1900" w:right="1180" w:firstLine="720"/>
        <w:jc w:val="left"/>
        <w:rPr>
          <w:sz w:val="22"/>
        </w:rPr>
      </w:pPr>
      <w:r>
        <w:rPr/>
        <w:pict>
          <v:line style="position:absolute;mso-position-horizontal-relative:page;mso-position-vertical-relative:paragraph;z-index:-260025344" from="210.059998pt,290.776245pt" to="222.119998pt,290.776245pt" stroked="true" strokeweight=".72pt" strokecolor="#000000">
            <v:stroke dashstyle="solid"/>
            <w10:wrap type="none"/>
          </v:line>
        </w:pict>
      </w:r>
      <w:bookmarkStart w:name="11.4.3 If the percent difference (%D) or" w:id="231"/>
      <w:bookmarkEnd w:id="231"/>
      <w:r>
        <w:rPr/>
      </w:r>
      <w:bookmarkStart w:name="11.4.3 If the percent difference (%D) or" w:id="232"/>
      <w:bookmarkEnd w:id="232"/>
      <w:r>
        <w:rPr>
          <w:sz w:val="22"/>
        </w:rPr>
        <w:t>If</w:t>
      </w:r>
      <w:r>
        <w:rPr>
          <w:sz w:val="22"/>
        </w:rPr>
        <w:t> the percent difference (%D) or percent drift for a compound is ≤30% in the CCV, then the ICAL for that compound is assumed to be valid. Due to the number of compounds that may be analyzed by this method, it is expected that some compounds may fail to meet the criterion. The analyst should strive to place more emphasis on meeting the CCV criteria for those compounds that are critical to the project. If the criterion is not met (i.e., greater than ±30%D or drift) for more than 10% of the compounds included in the ICAL (or more than 10% of those that will be reported), then corrective action must be taken prior to the analysis of samples. Target analytes that do not meet the CCV criteria and are reported in the associated samples must be qualified to indicate the reported concentrations are potentially estimated or biased values. In cases where compounds fail low, they may be reported as non-detects if it can be demonstrated that there was adequate sensitivity to detect the compound at the LLOQ or project specific level of interest (e.g., analysis of an LLOQ verification in every batch, or by analyzing a standard near that level to confirm the analyte could be qualitatively identified if it were present [See Sec. 11.7 of Method 8000]). Alternatively, the non- detect could be qualified or the LLOQ raised to a higher level. In cases where compounds fail high in the CCV and are not found in the associated field samples, they may be reported without</w:t>
      </w:r>
      <w:r>
        <w:rPr>
          <w:spacing w:val="-2"/>
          <w:sz w:val="22"/>
        </w:rPr>
        <w:t> </w:t>
      </w:r>
      <w:r>
        <w:rPr>
          <w:sz w:val="22"/>
        </w:rPr>
        <w:t>qualification.</w:t>
      </w:r>
    </w:p>
    <w:p>
      <w:pPr>
        <w:pStyle w:val="BodyText"/>
        <w:spacing w:before="1"/>
        <w:rPr>
          <w:sz w:val="11"/>
        </w:rPr>
      </w:pPr>
      <w:r>
        <w:rPr/>
        <w:pict>
          <v:shape style="position:absolute;margin-left:182.580002pt;margin-top:8.727237pt;width:12.1pt;height:.1pt;mso-position-horizontal-relative:page;mso-position-vertical-relative:paragraph;z-index:-251652096;mso-wrap-distance-left:0;mso-wrap-distance-right:0" coordorigin="3652,175" coordsize="242,0" path="m3652,175l3893,175e" filled="false" stroked="true" strokeweight=".72pt" strokecolor="#000000">
            <v:path arrowok="t"/>
            <v:stroke dashstyle="solid"/>
            <w10:wrap type="topAndBottom"/>
          </v:shape>
        </w:pict>
      </w:r>
    </w:p>
    <w:p>
      <w:pPr>
        <w:pStyle w:val="BodyText"/>
        <w:spacing w:line="288" w:lineRule="auto"/>
        <w:ind w:left="2620" w:right="1297" w:hanging="720"/>
      </w:pPr>
      <w:bookmarkStart w:name="NOTE: For the ,CF. calibration model, %D" w:id="233"/>
      <w:bookmarkEnd w:id="233"/>
      <w:r>
        <w:rPr/>
      </w:r>
      <w:r>
        <w:rPr>
          <w:u w:val="single"/>
        </w:rPr>
        <w:t>NOTE</w:t>
      </w:r>
      <w:r>
        <w:rPr/>
        <w:t>: For the </w:t>
      </w:r>
      <w:r>
        <w:rPr>
          <w:rFonts w:ascii="Cambria Math"/>
        </w:rPr>
        <w:t>CF </w:t>
      </w:r>
      <w:r>
        <w:rPr/>
        <w:t>calibration model, %D between the calculated CF of an analyte in the CCV and the </w:t>
      </w:r>
      <w:r>
        <w:rPr>
          <w:rFonts w:ascii="Cambria Math"/>
        </w:rPr>
        <w:t>CF </w:t>
      </w:r>
      <w:r>
        <w:rPr/>
        <w:t>of that analyte from the ICAL is the same value as % drift for calculated versus expected concentration. Refer to Method 8000 for guidance on calculating %D and %</w:t>
      </w:r>
      <w:r>
        <w:rPr>
          <w:spacing w:val="-2"/>
        </w:rPr>
        <w:t> </w:t>
      </w:r>
      <w:r>
        <w:rPr/>
        <w:t>drift.</w:t>
      </w:r>
    </w:p>
    <w:p>
      <w:pPr>
        <w:pStyle w:val="BodyText"/>
        <w:spacing w:line="276" w:lineRule="auto" w:before="107"/>
        <w:ind w:left="2620" w:right="1168" w:hanging="720"/>
      </w:pPr>
      <w:bookmarkStart w:name="NOTE: The analyst must closely monitor r" w:id="234"/>
      <w:bookmarkEnd w:id="234"/>
      <w:r>
        <w:rPr/>
      </w:r>
      <w:r>
        <w:rPr>
          <w:u w:val="single"/>
        </w:rPr>
        <w:t>NOTE</w:t>
      </w:r>
      <w:r>
        <w:rPr/>
        <w:t>: The analyst must closely monitor responses and chromatography in the CCV for signs that the system is unacceptable for analysis to continue (e.g., unusual tailing, loss of resolution). If significant losses of target analytes/surrogates occur (&lt;50% recovery) or if significant degradation of the chromatography occurs, system maintenance must be performed or the analyst must demonstrate there is adequate sensitivity at the LLOQ.</w:t>
      </w:r>
    </w:p>
    <w:p>
      <w:pPr>
        <w:pStyle w:val="ListParagraph"/>
        <w:numPr>
          <w:ilvl w:val="2"/>
          <w:numId w:val="9"/>
        </w:numPr>
        <w:tabs>
          <w:tab w:pos="3519" w:val="left" w:leader="none"/>
          <w:tab w:pos="3520" w:val="left" w:leader="none"/>
        </w:tabs>
        <w:spacing w:line="276" w:lineRule="auto" w:before="119" w:after="0"/>
        <w:ind w:left="1899" w:right="1248" w:firstLine="720"/>
        <w:jc w:val="left"/>
        <w:rPr>
          <w:sz w:val="22"/>
        </w:rPr>
      </w:pPr>
      <w:bookmarkStart w:name="11.4.4 A MB or RB must be analyzed after" w:id="235"/>
      <w:bookmarkEnd w:id="235"/>
      <w:r>
        <w:rPr/>
      </w:r>
      <w:bookmarkStart w:name="11.4.4 A MB or RB must be analyzed after" w:id="236"/>
      <w:bookmarkEnd w:id="236"/>
      <w:r>
        <w:rPr>
          <w:sz w:val="22"/>
        </w:rPr>
        <w:t>A</w:t>
      </w:r>
      <w:r>
        <w:rPr>
          <w:sz w:val="22"/>
        </w:rPr>
        <w:t> MB or RB must be analyzed after the CCV and prior to samples to ensure that the system (i.e., introduction device, transfer lines and LC/MS system) is free from levels of contaminants that would bias the results. If the blank indicates contamination, then it may be appropriate to analyze additional blanks to help</w:t>
      </w:r>
      <w:r>
        <w:rPr>
          <w:spacing w:val="-24"/>
          <w:sz w:val="22"/>
        </w:rPr>
        <w:t> </w:t>
      </w:r>
      <w:r>
        <w:rPr>
          <w:sz w:val="22"/>
        </w:rPr>
        <w:t>determine the source of contamination (See Sec. 9.5). A MB or RB is not required after a CCV at the end of an analytical sequence. Refer to Sec. 9.5.2 regarding qualification of data and/or corrective actions related to MB or RB</w:t>
      </w:r>
      <w:r>
        <w:rPr>
          <w:spacing w:val="-4"/>
          <w:sz w:val="22"/>
        </w:rPr>
        <w:t> </w:t>
      </w:r>
      <w:r>
        <w:rPr>
          <w:sz w:val="22"/>
        </w:rPr>
        <w:t>contamination.</w:t>
      </w:r>
    </w:p>
    <w:p>
      <w:pPr>
        <w:pStyle w:val="BodyText"/>
        <w:spacing w:line="276" w:lineRule="auto" w:before="120"/>
        <w:ind w:left="2619" w:right="1314" w:hanging="720"/>
      </w:pPr>
      <w:bookmarkStart w:name="NOTE: Background of PFAS target analytes" w:id="237"/>
      <w:bookmarkEnd w:id="237"/>
      <w:r>
        <w:rPr/>
      </w:r>
      <w:r>
        <w:rPr>
          <w:u w:val="single"/>
        </w:rPr>
        <w:t>NOTE</w:t>
      </w:r>
      <w:r>
        <w:rPr/>
        <w:t>: Background of PFAS target analytes may increase in some LC systems while they are held under initial conditions or while idle; re-started sequences should typically begin with at least one blank to bleed out any accumulated background and to provide information about the potential for any carryover in the system.</w:t>
      </w:r>
    </w:p>
    <w:p>
      <w:pPr>
        <w:pStyle w:val="BodyText"/>
        <w:ind w:left="2619"/>
      </w:pPr>
      <w:r>
        <w:rPr/>
        <w:t>Refer to Sec. 9.5 for associated acceptance criteria.</w:t>
      </w:r>
    </w:p>
    <w:p>
      <w:pPr>
        <w:pStyle w:val="ListParagraph"/>
        <w:numPr>
          <w:ilvl w:val="1"/>
          <w:numId w:val="9"/>
        </w:numPr>
        <w:tabs>
          <w:tab w:pos="2619" w:val="left" w:leader="none"/>
          <w:tab w:pos="2621" w:val="left" w:leader="none"/>
        </w:tabs>
        <w:spacing w:line="240" w:lineRule="auto" w:before="158" w:after="0"/>
        <w:ind w:left="2620" w:right="0" w:hanging="721"/>
        <w:jc w:val="left"/>
        <w:rPr>
          <w:sz w:val="22"/>
        </w:rPr>
      </w:pPr>
      <w:bookmarkStart w:name="11.5 Sample analysis procedure" w:id="238"/>
      <w:bookmarkEnd w:id="238"/>
      <w:r>
        <w:rPr/>
      </w:r>
      <w:bookmarkStart w:name="11.5 Sample analysis procedure" w:id="239"/>
      <w:bookmarkEnd w:id="239"/>
      <w:r>
        <w:rPr>
          <w:sz w:val="22"/>
        </w:rPr>
        <w:t>S</w:t>
      </w:r>
      <w:r>
        <w:rPr>
          <w:sz w:val="22"/>
        </w:rPr>
        <w:t>ample analysis</w:t>
      </w:r>
      <w:r>
        <w:rPr>
          <w:spacing w:val="-1"/>
          <w:sz w:val="22"/>
        </w:rPr>
        <w:t> </w:t>
      </w:r>
      <w:r>
        <w:rPr>
          <w:sz w:val="22"/>
        </w:rPr>
        <w:t>procedure</w:t>
      </w:r>
    </w:p>
    <w:p>
      <w:pPr>
        <w:pStyle w:val="ListParagraph"/>
        <w:numPr>
          <w:ilvl w:val="2"/>
          <w:numId w:val="9"/>
        </w:numPr>
        <w:tabs>
          <w:tab w:pos="3519" w:val="left" w:leader="none"/>
          <w:tab w:pos="3520" w:val="left" w:leader="none"/>
        </w:tabs>
        <w:spacing w:line="276" w:lineRule="auto" w:before="158" w:after="0"/>
        <w:ind w:left="1900" w:right="1558" w:firstLine="720"/>
        <w:jc w:val="left"/>
        <w:rPr>
          <w:sz w:val="22"/>
        </w:rPr>
      </w:pPr>
      <w:bookmarkStart w:name="11.5.1 Inject samples using the same LC " w:id="240"/>
      <w:bookmarkEnd w:id="240"/>
      <w:r>
        <w:rPr/>
      </w:r>
      <w:bookmarkStart w:name="11.5.1 Inject samples using the same LC " w:id="241"/>
      <w:bookmarkEnd w:id="241"/>
      <w:r>
        <w:rPr>
          <w:sz w:val="22"/>
        </w:rPr>
        <w:t>Inject</w:t>
      </w:r>
      <w:r>
        <w:rPr>
          <w:sz w:val="22"/>
        </w:rPr>
        <w:t> samples using the same LC and MS/MS conditions as used to generate the</w:t>
      </w:r>
      <w:r>
        <w:rPr>
          <w:spacing w:val="-1"/>
          <w:sz w:val="22"/>
        </w:rPr>
        <w:t> </w:t>
      </w:r>
      <w:r>
        <w:rPr>
          <w:sz w:val="22"/>
        </w:rPr>
        <w:t>ICAL.</w:t>
      </w:r>
    </w:p>
    <w:p>
      <w:pPr>
        <w:spacing w:after="0" w:line="276" w:lineRule="auto"/>
        <w:jc w:val="left"/>
        <w:rPr>
          <w:sz w:val="22"/>
        </w:rPr>
        <w:sectPr>
          <w:pgSz w:w="12240" w:h="15840"/>
          <w:pgMar w:header="0" w:footer="1134" w:top="1060" w:bottom="1340" w:left="260" w:right="260"/>
        </w:sectPr>
      </w:pPr>
    </w:p>
    <w:p>
      <w:pPr>
        <w:pStyle w:val="BodyText"/>
        <w:spacing w:before="70"/>
        <w:ind w:left="1900"/>
      </w:pPr>
      <w:r>
        <w:rPr/>
        <w:t>A suggested sequence order is:</w:t>
      </w:r>
    </w:p>
    <w:p>
      <w:pPr>
        <w:pStyle w:val="BodyText"/>
        <w:spacing w:before="39"/>
        <w:ind w:left="1900"/>
      </w:pPr>
      <w:r>
        <w:rPr/>
        <w:t>RB</w:t>
      </w:r>
    </w:p>
    <w:p>
      <w:pPr>
        <w:pStyle w:val="BodyText"/>
        <w:spacing w:line="276" w:lineRule="auto" w:before="37"/>
        <w:ind w:left="1900" w:right="5802" w:hanging="1"/>
      </w:pPr>
      <w:r>
        <w:rPr/>
        <w:t>ICAL standards and ICV or opening CCV MB</w:t>
      </w:r>
    </w:p>
    <w:p>
      <w:pPr>
        <w:pStyle w:val="BodyText"/>
        <w:spacing w:line="276" w:lineRule="auto"/>
        <w:ind w:left="1901" w:right="8099"/>
      </w:pPr>
      <w:r>
        <w:rPr/>
        <w:t>LLOQ verification LCS</w:t>
      </w:r>
    </w:p>
    <w:p>
      <w:pPr>
        <w:pStyle w:val="BodyText"/>
        <w:spacing w:line="276" w:lineRule="auto"/>
        <w:ind w:left="1901" w:right="4883"/>
      </w:pPr>
      <w:r>
        <w:rPr/>
        <w:t>Field samples (with a CCV every 10 field samples) Duplicates</w:t>
      </w:r>
    </w:p>
    <w:p>
      <w:pPr>
        <w:pStyle w:val="BodyText"/>
        <w:spacing w:line="276" w:lineRule="auto"/>
        <w:ind w:left="1901" w:right="6448"/>
      </w:pPr>
      <w:r>
        <w:rPr/>
        <w:t>Matrix spike/matrix spike duplicate Closing CCV</w:t>
      </w:r>
    </w:p>
    <w:p>
      <w:pPr>
        <w:pStyle w:val="ListParagraph"/>
        <w:numPr>
          <w:ilvl w:val="2"/>
          <w:numId w:val="9"/>
        </w:numPr>
        <w:tabs>
          <w:tab w:pos="3520" w:val="left" w:leader="none"/>
          <w:tab w:pos="3521" w:val="left" w:leader="none"/>
        </w:tabs>
        <w:spacing w:line="276" w:lineRule="auto" w:before="120" w:after="0"/>
        <w:ind w:left="1900" w:right="1354" w:firstLine="720"/>
        <w:jc w:val="left"/>
        <w:rPr>
          <w:sz w:val="22"/>
        </w:rPr>
      </w:pPr>
      <w:bookmarkStart w:name="11.5.2 The laboratory should monitor rec" w:id="242"/>
      <w:bookmarkEnd w:id="242"/>
      <w:r>
        <w:rPr/>
      </w:r>
      <w:bookmarkStart w:name="11.5.2 The laboratory should monitor rec" w:id="243"/>
      <w:bookmarkEnd w:id="243"/>
      <w:r>
        <w:rPr>
          <w:sz w:val="22"/>
        </w:rPr>
        <w:t>The</w:t>
      </w:r>
      <w:r>
        <w:rPr>
          <w:sz w:val="22"/>
        </w:rPr>
        <w:t> laboratory should monitor recoveries of the isotopically-labeled surrogates (listed in Sec. 7.3.11). The percent recovery of each surrogate should fall within the acceptance criteria, especially for those QC samples prepared in clean matrices or reagent water (e.g., MB, LCS, LLOQ verification). If multiple surrogates fail to meet the acceptance criteria and/or the target analytes associated with the failing surrogate(s) are important to the project, reanalysis and/or repreparation of samples may be warranted. Otherwise, the associated target analytes may be reported with appropriate data qualifiers. See additional guidance in Sec. 9.6 of Method</w:t>
      </w:r>
      <w:r>
        <w:rPr>
          <w:spacing w:val="-11"/>
          <w:sz w:val="22"/>
        </w:rPr>
        <w:t> </w:t>
      </w:r>
      <w:r>
        <w:rPr>
          <w:sz w:val="22"/>
        </w:rPr>
        <w:t>8000.</w:t>
      </w:r>
    </w:p>
    <w:p>
      <w:pPr>
        <w:pStyle w:val="ListParagraph"/>
        <w:numPr>
          <w:ilvl w:val="2"/>
          <w:numId w:val="9"/>
        </w:numPr>
        <w:tabs>
          <w:tab w:pos="3521" w:val="left" w:leader="none"/>
          <w:tab w:pos="3522" w:val="left" w:leader="none"/>
        </w:tabs>
        <w:spacing w:line="276" w:lineRule="auto" w:before="120" w:after="0"/>
        <w:ind w:left="1901" w:right="1182" w:firstLine="720"/>
        <w:jc w:val="left"/>
        <w:rPr>
          <w:sz w:val="22"/>
        </w:rPr>
      </w:pPr>
      <w:bookmarkStart w:name="11.5.3 If the concentration of any analy" w:id="244"/>
      <w:bookmarkEnd w:id="244"/>
      <w:r>
        <w:rPr/>
      </w:r>
      <w:bookmarkStart w:name="11.5.3 If the concentration of any analy" w:id="245"/>
      <w:bookmarkEnd w:id="245"/>
      <w:r>
        <w:rPr>
          <w:sz w:val="22"/>
        </w:rPr>
        <w:t>If</w:t>
      </w:r>
      <w:r>
        <w:rPr>
          <w:sz w:val="22"/>
        </w:rPr>
        <w:t> the concentration of any analyte exceeds the ICAL range of the system, the sample extract should be diluted with 50:50 methanol-water with 0.1% acetic acid and reanalyzed. If dilutions cannot be performed, concentrations that exceed the calibration range and are reported must be qualified as estimated. When the response of a compound in the sample exceeds the calibration range, analysis of a RB can help determine the extent of any carryover that may occur under the conditions used at the laboratory.</w:t>
      </w:r>
    </w:p>
    <w:p>
      <w:pPr>
        <w:pStyle w:val="BodyText"/>
        <w:spacing w:line="276" w:lineRule="auto" w:before="120"/>
        <w:ind w:left="2620" w:right="1185" w:hanging="720"/>
      </w:pPr>
      <w:bookmarkStart w:name="NOTE: The laboratory is cautioned agains" w:id="246"/>
      <w:bookmarkEnd w:id="246"/>
      <w:r>
        <w:rPr/>
      </w:r>
      <w:r>
        <w:rPr>
          <w:u w:val="single"/>
        </w:rPr>
        <w:t>NOTE:</w:t>
      </w:r>
      <w:r>
        <w:rPr/>
        <w:t> The laboratory is cautioned against subsampling of aqueous samples prior to adding sufficient MeOH, as larger chain PFAS are known to adhere to surfaces unless the sample contains at least 50% organic cosolvent by volume. See Sec. 8.1.</w:t>
      </w:r>
    </w:p>
    <w:p>
      <w:pPr>
        <w:pStyle w:val="ListParagraph"/>
        <w:numPr>
          <w:ilvl w:val="1"/>
          <w:numId w:val="9"/>
        </w:numPr>
        <w:tabs>
          <w:tab w:pos="2619" w:val="left" w:leader="none"/>
          <w:tab w:pos="2620" w:val="left" w:leader="none"/>
        </w:tabs>
        <w:spacing w:line="276" w:lineRule="auto" w:before="120" w:after="0"/>
        <w:ind w:left="1179" w:right="1198" w:firstLine="720"/>
        <w:jc w:val="left"/>
        <w:rPr>
          <w:sz w:val="22"/>
        </w:rPr>
      </w:pPr>
      <w:bookmarkStart w:name="11.6 Target Identification - MRM analysi" w:id="247"/>
      <w:bookmarkEnd w:id="247"/>
      <w:r>
        <w:rPr/>
      </w:r>
      <w:bookmarkStart w:name="11.6 Target Identification - MRM analysi" w:id="248"/>
      <w:bookmarkEnd w:id="248"/>
      <w:r>
        <w:rPr>
          <w:sz w:val="22"/>
        </w:rPr>
        <w:t>Target</w:t>
      </w:r>
      <w:r>
        <w:rPr>
          <w:sz w:val="22"/>
        </w:rPr>
        <w:t> Identification - MRM analysis provides qualitative identification by isolating the precursor ion and fragmenting it into the product ions, which are then used to calculate ion ratios that can be compared between samples and standards to confirm the identification of the analyte. RTs of target analytes in samples are also compared to those in standards, and RT shifts of target analytes are compared to associated surrogates in the same samples to further confirm the</w:t>
      </w:r>
      <w:r>
        <w:rPr>
          <w:spacing w:val="-2"/>
          <w:sz w:val="22"/>
        </w:rPr>
        <w:t> </w:t>
      </w:r>
      <w:r>
        <w:rPr>
          <w:sz w:val="22"/>
        </w:rPr>
        <w:t>identification.</w:t>
      </w:r>
    </w:p>
    <w:p>
      <w:pPr>
        <w:spacing w:after="0" w:line="276" w:lineRule="auto"/>
        <w:jc w:val="left"/>
        <w:rPr>
          <w:sz w:val="22"/>
        </w:rPr>
        <w:sectPr>
          <w:pgSz w:w="12240" w:h="15840"/>
          <w:pgMar w:header="0" w:footer="1134" w:top="1060" w:bottom="1400" w:left="260" w:right="260"/>
        </w:sectPr>
      </w:pPr>
    </w:p>
    <w:p>
      <w:pPr>
        <w:pStyle w:val="ListParagraph"/>
        <w:numPr>
          <w:ilvl w:val="2"/>
          <w:numId w:val="9"/>
        </w:numPr>
        <w:tabs>
          <w:tab w:pos="3520" w:val="left" w:leader="none"/>
          <w:tab w:pos="3521" w:val="left" w:leader="none"/>
        </w:tabs>
        <w:spacing w:line="276" w:lineRule="auto" w:before="70" w:after="0"/>
        <w:ind w:left="1900" w:right="1220" w:firstLine="720"/>
        <w:jc w:val="left"/>
        <w:rPr>
          <w:sz w:val="22"/>
        </w:rPr>
      </w:pPr>
      <w:bookmarkStart w:name="11.6.1 Identify the target compounds by " w:id="249"/>
      <w:bookmarkEnd w:id="249"/>
      <w:r>
        <w:rPr/>
      </w:r>
      <w:bookmarkStart w:name="11.6.1 Identify the target compounds by " w:id="250"/>
      <w:bookmarkEnd w:id="250"/>
      <w:r>
        <w:rPr>
          <w:sz w:val="22"/>
        </w:rPr>
        <w:t>Identify</w:t>
      </w:r>
      <w:r>
        <w:rPr>
          <w:sz w:val="22"/>
        </w:rPr>
        <w:t> the target compounds by comparing the quantifier MRM transitions and applicable qualifier MRM transitions in the sample to the MRM transitions in the standard.  Qualifier transitions are available for most of the analytes (Table 3). The quantifier/qualifier MRM ion ratio should be within ±30% of the average of the quantifier/qualifier MRM ion ratios calculated from the calibration levels on the day of analysis or ±30% of the ion ratios calculated from a mid-level ICAL point or from the CCV.   Some ion ratios may not meet the ±30% criterion at the lower concentrations. The analyst should use professional judgment when interferences are observed or ion ratios are not met to prevent reporting false positive or false negative</w:t>
      </w:r>
      <w:r>
        <w:rPr>
          <w:spacing w:val="-8"/>
          <w:sz w:val="22"/>
        </w:rPr>
        <w:t> </w:t>
      </w:r>
      <w:r>
        <w:rPr>
          <w:sz w:val="22"/>
        </w:rPr>
        <w:t>results.</w:t>
      </w:r>
    </w:p>
    <w:p>
      <w:pPr>
        <w:pStyle w:val="BodyText"/>
        <w:spacing w:line="276" w:lineRule="auto" w:before="120"/>
        <w:ind w:left="2620" w:right="1204" w:hanging="720"/>
      </w:pPr>
      <w:bookmarkStart w:name="NOTE: Depending on sensitivity and matri" w:id="251"/>
      <w:bookmarkEnd w:id="251"/>
      <w:r>
        <w:rPr/>
      </w:r>
      <w:r>
        <w:rPr>
          <w:u w:val="single"/>
        </w:rPr>
        <w:t>NOTE</w:t>
      </w:r>
      <w:r>
        <w:rPr/>
        <w:t>: Depending on sensitivity and matrix interference issues, a qualifier MRM transition might be used as a quantifier MRM transition for quantitation during the analysis. This must be clearly documented if these changes are made.</w:t>
      </w:r>
    </w:p>
    <w:p>
      <w:pPr>
        <w:pStyle w:val="BodyText"/>
        <w:spacing w:line="276" w:lineRule="auto" w:before="121"/>
        <w:ind w:left="2620" w:right="1301" w:hanging="720"/>
      </w:pPr>
      <w:bookmarkStart w:name="NOTE: The qualifier ion ratios in sample" w:id="252"/>
      <w:bookmarkEnd w:id="252"/>
      <w:r>
        <w:rPr/>
      </w:r>
      <w:r>
        <w:rPr>
          <w:u w:val="single"/>
        </w:rPr>
        <w:t>NOTE</w:t>
      </w:r>
      <w:r>
        <w:rPr/>
        <w:t>: The qualifier ion ratios in samples may not match the ion ratios in the calibration standards for the target analytes that contain branched and linear isomers.</w:t>
      </w:r>
    </w:p>
    <w:p>
      <w:pPr>
        <w:pStyle w:val="BodyText"/>
        <w:spacing w:line="276" w:lineRule="auto"/>
        <w:ind w:left="2620" w:right="1217"/>
      </w:pPr>
      <w:r>
        <w:rPr/>
        <w:t>Figures 1 - 4 (Sec. 17.0) show how branched isomers in samples can be significantly larger compared to calibration standards for PFHxS and PFOS, which may cause the ion ratio difference. The complete isomer grouping must be integrated consistently for all standards and samples.</w:t>
      </w:r>
    </w:p>
    <w:p>
      <w:pPr>
        <w:pStyle w:val="ListParagraph"/>
        <w:numPr>
          <w:ilvl w:val="2"/>
          <w:numId w:val="9"/>
        </w:numPr>
        <w:tabs>
          <w:tab w:pos="3519" w:val="left" w:leader="none"/>
          <w:tab w:pos="3520" w:val="left" w:leader="none"/>
        </w:tabs>
        <w:spacing w:line="276" w:lineRule="auto" w:before="119" w:after="0"/>
        <w:ind w:left="1899" w:right="1200" w:firstLine="720"/>
        <w:jc w:val="left"/>
        <w:rPr>
          <w:sz w:val="22"/>
        </w:rPr>
      </w:pPr>
      <w:bookmarkStart w:name="11.6.2 The RT of the MRM transitions sho" w:id="253"/>
      <w:bookmarkEnd w:id="253"/>
      <w:r>
        <w:rPr/>
      </w:r>
      <w:bookmarkStart w:name="11.6.2 The RT of the MRM transitions sho" w:id="254"/>
      <w:bookmarkEnd w:id="254"/>
      <w:r>
        <w:rPr>
          <w:sz w:val="22"/>
        </w:rPr>
        <w:t>The</w:t>
      </w:r>
      <w:r>
        <w:rPr>
          <w:sz w:val="22"/>
        </w:rPr>
        <w:t> RT of the MRM transitions should be within ±10 seconds of the RT for this analyte in a mid-level ICAL standard, the CCV run at the beginning of the analytical sequence or the CCV analyzed just prior to the sample (delta RT 0.17</w:t>
      </w:r>
      <w:r>
        <w:rPr>
          <w:spacing w:val="-25"/>
          <w:sz w:val="22"/>
        </w:rPr>
        <w:t> </w:t>
      </w:r>
      <w:r>
        <w:rPr>
          <w:sz w:val="22"/>
        </w:rPr>
        <w:t>minute). Alternatively, a relative deviation (in %) may be used for confirmation of target compounds. The delta RT of the mass labelled analog (surrogate) should also be considered to confirm target analytes. RT shifts may result in the compound eluting outside the analytical time segment, which could produce false negative results. Time segments and RT windows for analytes must include branched chain</w:t>
      </w:r>
      <w:r>
        <w:rPr>
          <w:spacing w:val="-8"/>
          <w:sz w:val="22"/>
        </w:rPr>
        <w:t> </w:t>
      </w:r>
      <w:r>
        <w:rPr>
          <w:sz w:val="22"/>
        </w:rPr>
        <w:t>isomers.</w:t>
      </w:r>
    </w:p>
    <w:p>
      <w:pPr>
        <w:pStyle w:val="ListParagraph"/>
        <w:numPr>
          <w:ilvl w:val="1"/>
          <w:numId w:val="9"/>
        </w:numPr>
        <w:tabs>
          <w:tab w:pos="2619" w:val="left" w:leader="none"/>
          <w:tab w:pos="2620" w:val="left" w:leader="none"/>
        </w:tabs>
        <w:spacing w:line="276" w:lineRule="auto" w:before="121" w:after="0"/>
        <w:ind w:left="1180" w:right="1210" w:firstLine="719"/>
        <w:jc w:val="left"/>
        <w:rPr>
          <w:sz w:val="22"/>
        </w:rPr>
      </w:pPr>
      <w:bookmarkStart w:name="11.7 Analyte quantitation - Once a targe" w:id="255"/>
      <w:bookmarkEnd w:id="255"/>
      <w:r>
        <w:rPr/>
      </w:r>
      <w:bookmarkStart w:name="11.7 Analyte quantitation - Once a targe" w:id="256"/>
      <w:bookmarkEnd w:id="256"/>
      <w:r>
        <w:rPr>
          <w:sz w:val="22"/>
        </w:rPr>
        <w:t>A</w:t>
      </w:r>
      <w:r>
        <w:rPr>
          <w:sz w:val="22"/>
        </w:rPr>
        <w:t>nalyte quantitation - Once a target compound has been identified, the quantitation of that compound will be based on the integrated abundance of the quantifier transition. It is highly recommended to use the integration produced by the software if the integration is correct because the software should produce more consistent integrations than an analyst will manually. However, manual integrations may be necessary when the software</w:t>
      </w:r>
      <w:r>
        <w:rPr>
          <w:spacing w:val="-28"/>
          <w:sz w:val="22"/>
        </w:rPr>
        <w:t> </w:t>
      </w:r>
      <w:r>
        <w:rPr>
          <w:sz w:val="22"/>
        </w:rPr>
        <w:t>does not produce proper integrations because baseline selection is improper; the correct peak is missed; a co-elution is integrated; the peak is partially integrated; etc. Manual integrations will be required on most chromatography data systems to include branched and straight chain isomers where certified individual standards are not available. The analyst is responsible for ensuring that the integration is correct whether performed by the software or done manually. Manual integrations should not be substituted for proper maintenance of the instrument or setup of the method (e.g., RT updates, integration parameter files, etc.). The analyst should seek to minimize manual integration where practical by properly maintaining the instrument, updating RTs, and configuring peak integration</w:t>
      </w:r>
      <w:r>
        <w:rPr>
          <w:spacing w:val="-1"/>
          <w:sz w:val="22"/>
        </w:rPr>
        <w:t> </w:t>
      </w:r>
      <w:r>
        <w:rPr>
          <w:sz w:val="22"/>
        </w:rPr>
        <w:t>parameters.</w:t>
      </w:r>
    </w:p>
    <w:p>
      <w:pPr>
        <w:pStyle w:val="BodyText"/>
        <w:spacing w:before="2"/>
        <w:rPr>
          <w:sz w:val="31"/>
        </w:rPr>
      </w:pPr>
    </w:p>
    <w:p>
      <w:pPr>
        <w:pStyle w:val="ListParagraph"/>
        <w:numPr>
          <w:ilvl w:val="1"/>
          <w:numId w:val="10"/>
        </w:numPr>
        <w:tabs>
          <w:tab w:pos="1900" w:val="left" w:leader="none"/>
          <w:tab w:pos="1901" w:val="left" w:leader="none"/>
        </w:tabs>
        <w:spacing w:line="240" w:lineRule="auto" w:before="1" w:after="0"/>
        <w:ind w:left="1900" w:right="0" w:hanging="721"/>
        <w:jc w:val="left"/>
        <w:rPr>
          <w:sz w:val="22"/>
        </w:rPr>
      </w:pPr>
      <w:bookmarkStart w:name="12.0 DATA ANALYSIS AND CALCULATIONS" w:id="257"/>
      <w:bookmarkEnd w:id="257"/>
      <w:r>
        <w:rPr/>
      </w:r>
      <w:bookmarkStart w:name="_bookmark11" w:id="258"/>
      <w:bookmarkEnd w:id="258"/>
      <w:r>
        <w:rPr/>
      </w:r>
      <w:bookmarkStart w:name="_bookmark11" w:id="259"/>
      <w:bookmarkEnd w:id="259"/>
      <w:r>
        <w:rPr>
          <w:sz w:val="22"/>
        </w:rPr>
        <w:t>D</w:t>
      </w:r>
      <w:r>
        <w:rPr>
          <w:sz w:val="22"/>
        </w:rPr>
        <w:t>ATA ANALYSIS AND CALCULATIONS</w:t>
      </w:r>
    </w:p>
    <w:p>
      <w:pPr>
        <w:spacing w:after="0" w:line="240" w:lineRule="auto"/>
        <w:jc w:val="left"/>
        <w:rPr>
          <w:sz w:val="22"/>
        </w:rPr>
        <w:sectPr>
          <w:pgSz w:w="12240" w:h="15840"/>
          <w:pgMar w:header="0" w:footer="1134" w:top="1060" w:bottom="1400" w:left="260" w:right="260"/>
        </w:sectPr>
      </w:pPr>
    </w:p>
    <w:p>
      <w:pPr>
        <w:pStyle w:val="ListParagraph"/>
        <w:numPr>
          <w:ilvl w:val="1"/>
          <w:numId w:val="10"/>
        </w:numPr>
        <w:tabs>
          <w:tab w:pos="2620" w:val="left" w:leader="none"/>
          <w:tab w:pos="2621" w:val="left" w:leader="none"/>
        </w:tabs>
        <w:spacing w:line="276" w:lineRule="auto" w:before="70" w:after="0"/>
        <w:ind w:left="1180" w:right="1369" w:firstLine="719"/>
        <w:jc w:val="left"/>
        <w:rPr>
          <w:sz w:val="22"/>
        </w:rPr>
      </w:pPr>
      <w:bookmarkStart w:name="12.1 Calculations and documentation – Sa" w:id="260"/>
      <w:bookmarkEnd w:id="260"/>
      <w:r>
        <w:rPr/>
      </w:r>
      <w:bookmarkStart w:name="12.1 Calculations and documentation – Sa" w:id="261"/>
      <w:bookmarkEnd w:id="261"/>
      <w:r>
        <w:rPr>
          <w:sz w:val="22"/>
        </w:rPr>
        <w:t>C</w:t>
      </w:r>
      <w:r>
        <w:rPr>
          <w:sz w:val="22"/>
        </w:rPr>
        <w:t>alculations and documentation – Sample concentrations are quantitated</w:t>
      </w:r>
      <w:r>
        <w:rPr>
          <w:spacing w:val="-22"/>
          <w:sz w:val="22"/>
        </w:rPr>
        <w:t> </w:t>
      </w:r>
      <w:r>
        <w:rPr>
          <w:sz w:val="22"/>
        </w:rPr>
        <w:t>using the following</w:t>
      </w:r>
      <w:r>
        <w:rPr>
          <w:spacing w:val="-2"/>
          <w:sz w:val="22"/>
        </w:rPr>
        <w:t> </w:t>
      </w:r>
      <w:r>
        <w:rPr>
          <w:sz w:val="22"/>
        </w:rPr>
        <w:t>equations:</w:t>
      </w:r>
    </w:p>
    <w:p>
      <w:pPr>
        <w:spacing w:after="0" w:line="276" w:lineRule="auto"/>
        <w:jc w:val="left"/>
        <w:rPr>
          <w:sz w:val="22"/>
        </w:rPr>
        <w:sectPr>
          <w:pgSz w:w="12240" w:h="15840"/>
          <w:pgMar w:header="0" w:footer="1134" w:top="1060" w:bottom="1400" w:left="260" w:right="260"/>
        </w:sectPr>
      </w:pPr>
    </w:p>
    <w:p>
      <w:pPr>
        <w:pStyle w:val="BodyText"/>
        <w:spacing w:before="1"/>
        <w:rPr>
          <w:sz w:val="28"/>
        </w:rPr>
      </w:pPr>
    </w:p>
    <w:p>
      <w:pPr>
        <w:pStyle w:val="Heading1"/>
        <w:spacing w:before="1"/>
        <w:jc w:val="right"/>
      </w:pPr>
      <w:r>
        <w:rPr>
          <w:w w:val="35"/>
        </w:rPr>
        <w:t>𝐶𝐶𝑟𝑟𝑟𝑟𝑐𝑐𝑝𝑝𝑟𝑟𝑡𝑡𝑟𝑟𝑝𝑝𝑡𝑡𝑐𝑐𝑟𝑟𝑟𝑟 𝑐𝑐𝑟𝑟</w:t>
      </w:r>
    </w:p>
    <w:p>
      <w:pPr>
        <w:spacing w:line="280" w:lineRule="exact" w:before="103"/>
        <w:ind w:left="48" w:right="0" w:firstLine="0"/>
        <w:jc w:val="left"/>
        <w:rPr>
          <w:rFonts w:ascii="Cambria Math" w:eastAsia="Cambria Math"/>
          <w:sz w:val="29"/>
        </w:rPr>
      </w:pPr>
      <w:r>
        <w:rPr/>
        <w:br w:type="column"/>
      </w:r>
      <w:r>
        <w:rPr>
          <w:rFonts w:ascii="Cambria Math" w:eastAsia="Cambria Math"/>
          <w:w w:val="55"/>
          <w:sz w:val="29"/>
        </w:rPr>
        <w:t>𝑟𝑟𝑛𝑛</w:t>
      </w:r>
    </w:p>
    <w:p>
      <w:pPr>
        <w:spacing w:line="207" w:lineRule="exact" w:before="0"/>
        <w:ind w:left="376" w:right="0" w:firstLine="0"/>
        <w:jc w:val="left"/>
        <w:rPr>
          <w:rFonts w:ascii="Cambria Math"/>
          <w:sz w:val="29"/>
        </w:rPr>
      </w:pPr>
      <w:r>
        <w:rPr/>
        <w:pict>
          <v:line style="position:absolute;mso-position-horizontal-relative:page;mso-position-vertical-relative:paragraph;z-index:251666432" from="326.361969pt,6.655472pt" to="339.656568pt,6.655472pt" stroked="true" strokeweight="1.014888pt" strokecolor="#000000">
            <v:stroke dashstyle="solid"/>
            <w10:wrap type="none"/>
          </v:line>
        </w:pict>
      </w:r>
      <w:r>
        <w:rPr/>
        <w:pict>
          <v:line style="position:absolute;mso-position-horizontal-relative:page;mso-position-vertical-relative:paragraph;z-index:-260023296" from="354.169586pt,6.655472pt" to="410.449587pt,6.655472pt" stroked="true" strokeweight="1.014888pt" strokecolor="#000000">
            <v:stroke dashstyle="solid"/>
            <w10:wrap type="none"/>
          </v:line>
        </w:pict>
      </w:r>
      <w:r>
        <w:rPr>
          <w:rFonts w:ascii="Cambria Math"/>
          <w:w w:val="76"/>
          <w:sz w:val="29"/>
        </w:rPr>
        <w:t>=</w:t>
      </w:r>
    </w:p>
    <w:p>
      <w:pPr>
        <w:spacing w:line="267" w:lineRule="exact" w:before="0"/>
        <w:ind w:left="119" w:right="0" w:firstLine="0"/>
        <w:jc w:val="left"/>
        <w:rPr>
          <w:rFonts w:ascii="Cambria Math" w:eastAsia="Cambria Math"/>
          <w:sz w:val="29"/>
        </w:rPr>
      </w:pPr>
      <w:r>
        <w:rPr>
          <w:rFonts w:ascii="Cambria Math" w:eastAsia="Cambria Math"/>
          <w:w w:val="50"/>
          <w:sz w:val="29"/>
        </w:rPr>
        <w:t>𝐿𝐿</w:t>
      </w:r>
    </w:p>
    <w:p>
      <w:pPr>
        <w:spacing w:line="285" w:lineRule="auto" w:before="93"/>
        <w:ind w:left="406" w:right="3548" w:hanging="384"/>
        <w:jc w:val="left"/>
        <w:rPr>
          <w:rFonts w:ascii="Cambria Math" w:eastAsia="Cambria Math"/>
          <w:sz w:val="29"/>
        </w:rPr>
      </w:pPr>
      <w:r>
        <w:rPr/>
        <w:br w:type="column"/>
      </w:r>
      <w:r>
        <w:rPr>
          <w:rFonts w:ascii="Cambria Math" w:eastAsia="Cambria Math"/>
          <w:spacing w:val="1"/>
          <w:w w:val="76"/>
          <w:position w:val="1"/>
          <w:sz w:val="29"/>
        </w:rPr>
        <w:t>(</w:t>
      </w:r>
      <w:r>
        <w:rPr>
          <w:rFonts w:ascii="Cambria Math" w:eastAsia="Cambria Math"/>
          <w:w w:val="38"/>
          <w:sz w:val="29"/>
        </w:rPr>
        <w:t>𝑋</w:t>
      </w:r>
      <w:r>
        <w:rPr>
          <w:rFonts w:ascii="Cambria Math" w:eastAsia="Cambria Math"/>
          <w:spacing w:val="-8"/>
          <w:w w:val="38"/>
          <w:sz w:val="29"/>
        </w:rPr>
        <w:t>𝑋</w:t>
      </w:r>
      <w:r>
        <w:rPr>
          <w:rFonts w:ascii="Cambria Math" w:eastAsia="Cambria Math"/>
          <w:w w:val="34"/>
          <w:sz w:val="29"/>
          <w:vertAlign w:val="subscript"/>
        </w:rPr>
        <w:t>𝑟</w:t>
      </w:r>
      <w:r>
        <w:rPr>
          <w:rFonts w:ascii="Cambria Math" w:eastAsia="Cambria Math"/>
          <w:spacing w:val="13"/>
          <w:w w:val="34"/>
          <w:sz w:val="29"/>
          <w:vertAlign w:val="subscript"/>
        </w:rPr>
        <w:t>𝑟</w:t>
      </w:r>
      <w:r>
        <w:rPr>
          <w:rFonts w:ascii="Cambria Math" w:eastAsia="Cambria Math"/>
          <w:spacing w:val="1"/>
          <w:w w:val="76"/>
          <w:position w:val="1"/>
          <w:sz w:val="29"/>
          <w:vertAlign w:val="baseline"/>
        </w:rPr>
        <w:t>)</w:t>
      </w:r>
      <w:r>
        <w:rPr>
          <w:rFonts w:ascii="Cambria Math" w:eastAsia="Cambria Math"/>
          <w:spacing w:val="-2"/>
          <w:w w:val="76"/>
          <w:position w:val="1"/>
          <w:sz w:val="29"/>
          <w:vertAlign w:val="baseline"/>
        </w:rPr>
        <w:t>(</w:t>
      </w:r>
      <w:r>
        <w:rPr>
          <w:rFonts w:ascii="Cambria Math" w:eastAsia="Cambria Math"/>
          <w:spacing w:val="-28"/>
          <w:w w:val="38"/>
          <w:sz w:val="29"/>
          <w:vertAlign w:val="baseline"/>
        </w:rPr>
        <w:t>𝑉𝑉</w:t>
      </w:r>
      <w:r>
        <w:rPr>
          <w:rFonts w:ascii="Cambria Math" w:eastAsia="Cambria Math"/>
          <w:w w:val="36"/>
          <w:sz w:val="29"/>
          <w:vertAlign w:val="subscript"/>
        </w:rPr>
        <w:t>𝑡</w:t>
      </w:r>
      <w:r>
        <w:rPr>
          <w:rFonts w:ascii="Cambria Math" w:eastAsia="Cambria Math"/>
          <w:spacing w:val="19"/>
          <w:w w:val="36"/>
          <w:sz w:val="29"/>
          <w:vertAlign w:val="subscript"/>
        </w:rPr>
        <w:t>𝑡</w:t>
      </w:r>
      <w:r>
        <w:rPr>
          <w:rFonts w:ascii="Cambria Math" w:eastAsia="Cambria Math"/>
          <w:spacing w:val="-2"/>
          <w:w w:val="76"/>
          <w:position w:val="1"/>
          <w:sz w:val="29"/>
          <w:vertAlign w:val="baseline"/>
        </w:rPr>
        <w:t>)</w:t>
      </w:r>
      <w:r>
        <w:rPr>
          <w:rFonts w:ascii="Cambria Math" w:eastAsia="Cambria Math"/>
          <w:spacing w:val="1"/>
          <w:w w:val="76"/>
          <w:position w:val="1"/>
          <w:sz w:val="29"/>
          <w:vertAlign w:val="baseline"/>
        </w:rPr>
        <w:t>(</w:t>
      </w:r>
      <w:r>
        <w:rPr>
          <w:rFonts w:ascii="Cambria Math" w:eastAsia="Cambria Math"/>
          <w:w w:val="49"/>
          <w:sz w:val="29"/>
          <w:vertAlign w:val="baseline"/>
        </w:rPr>
        <w:t>𝑆</w:t>
      </w:r>
      <w:r>
        <w:rPr>
          <w:rFonts w:ascii="Cambria Math" w:eastAsia="Cambria Math"/>
          <w:spacing w:val="6"/>
          <w:w w:val="49"/>
          <w:sz w:val="29"/>
          <w:vertAlign w:val="baseline"/>
        </w:rPr>
        <w:t>𝑆</w:t>
      </w:r>
      <w:r>
        <w:rPr>
          <w:rFonts w:ascii="Cambria Math" w:eastAsia="Cambria Math"/>
          <w:w w:val="76"/>
          <w:position w:val="1"/>
          <w:sz w:val="29"/>
          <w:vertAlign w:val="baseline"/>
        </w:rPr>
        <w:t>) </w:t>
      </w:r>
      <w:r>
        <w:rPr>
          <w:rFonts w:ascii="Cambria Math" w:eastAsia="Cambria Math"/>
          <w:spacing w:val="1"/>
          <w:w w:val="76"/>
          <w:position w:val="1"/>
          <w:sz w:val="29"/>
          <w:vertAlign w:val="baseline"/>
        </w:rPr>
        <w:t>(</w:t>
      </w:r>
      <w:r>
        <w:rPr>
          <w:rFonts w:ascii="Cambria Math" w:eastAsia="Cambria Math"/>
          <w:spacing w:val="-53"/>
          <w:w w:val="38"/>
          <w:sz w:val="29"/>
          <w:vertAlign w:val="baseline"/>
        </w:rPr>
        <w:t>𝑉𝑉</w:t>
      </w:r>
      <w:r>
        <w:rPr>
          <w:rFonts w:ascii="Cambria Math" w:eastAsia="Cambria Math"/>
          <w:w w:val="34"/>
          <w:sz w:val="29"/>
          <w:vertAlign w:val="subscript"/>
        </w:rPr>
        <w:t>𝑟</w:t>
      </w:r>
      <w:r>
        <w:rPr>
          <w:rFonts w:ascii="Cambria Math" w:eastAsia="Cambria Math"/>
          <w:spacing w:val="13"/>
          <w:w w:val="34"/>
          <w:sz w:val="29"/>
          <w:vertAlign w:val="subscript"/>
        </w:rPr>
        <w:t>𝑟</w:t>
      </w:r>
      <w:r>
        <w:rPr>
          <w:rFonts w:ascii="Cambria Math" w:eastAsia="Cambria Math"/>
          <w:w w:val="76"/>
          <w:position w:val="1"/>
          <w:sz w:val="29"/>
          <w:vertAlign w:val="baseline"/>
        </w:rPr>
        <w:t>)</w:t>
      </w:r>
    </w:p>
    <w:p>
      <w:pPr>
        <w:spacing w:after="0" w:line="285" w:lineRule="auto"/>
        <w:jc w:val="left"/>
        <w:rPr>
          <w:rFonts w:ascii="Cambria Math" w:eastAsia="Cambria Math"/>
          <w:sz w:val="29"/>
        </w:rPr>
        <w:sectPr>
          <w:type w:val="continuous"/>
          <w:pgSz w:w="12240" w:h="15840"/>
          <w:pgMar w:top="1060" w:bottom="1320" w:left="260" w:right="260"/>
          <w:cols w:num="3" w:equalWidth="0">
            <w:col w:w="6179" w:space="40"/>
            <w:col w:w="542" w:space="39"/>
            <w:col w:w="4920"/>
          </w:cols>
        </w:sectPr>
      </w:pPr>
    </w:p>
    <w:p>
      <w:pPr>
        <w:pStyle w:val="BodyText"/>
        <w:rPr>
          <w:rFonts w:ascii="Cambria Math"/>
          <w:sz w:val="20"/>
        </w:rPr>
      </w:pPr>
    </w:p>
    <w:p>
      <w:pPr>
        <w:pStyle w:val="BodyText"/>
        <w:spacing w:before="4"/>
        <w:rPr>
          <w:rFonts w:ascii="Cambria Math"/>
          <w:sz w:val="17"/>
        </w:rPr>
      </w:pPr>
    </w:p>
    <w:p>
      <w:pPr>
        <w:spacing w:after="0"/>
        <w:rPr>
          <w:rFonts w:ascii="Cambria Math"/>
          <w:sz w:val="17"/>
        </w:rPr>
        <w:sectPr>
          <w:type w:val="continuous"/>
          <w:pgSz w:w="12240" w:h="15840"/>
          <w:pgMar w:top="1060" w:bottom="1320" w:left="260" w:right="260"/>
        </w:sectPr>
      </w:pPr>
    </w:p>
    <w:p>
      <w:pPr>
        <w:pStyle w:val="BodyText"/>
        <w:rPr>
          <w:rFonts w:ascii="Cambria Math"/>
          <w:sz w:val="24"/>
        </w:rPr>
      </w:pPr>
    </w:p>
    <w:p>
      <w:pPr>
        <w:pStyle w:val="BodyText"/>
        <w:rPr>
          <w:rFonts w:ascii="Cambria Math"/>
          <w:sz w:val="24"/>
        </w:rPr>
      </w:pPr>
    </w:p>
    <w:p>
      <w:pPr>
        <w:pStyle w:val="BodyText"/>
        <w:rPr>
          <w:rFonts w:ascii="Cambria Math"/>
          <w:sz w:val="24"/>
        </w:rPr>
      </w:pPr>
    </w:p>
    <w:p>
      <w:pPr>
        <w:pStyle w:val="BodyText"/>
        <w:spacing w:before="143"/>
        <w:jc w:val="right"/>
      </w:pPr>
      <w:r>
        <w:rPr/>
        <w:t>where:</w:t>
      </w:r>
    </w:p>
    <w:p>
      <w:pPr>
        <w:pStyle w:val="BodyText"/>
        <w:spacing w:before="5"/>
        <w:rPr>
          <w:sz w:val="24"/>
        </w:rPr>
      </w:pPr>
      <w:r>
        <w:rPr/>
        <w:br w:type="column"/>
      </w:r>
      <w:r>
        <w:rPr>
          <w:sz w:val="24"/>
        </w:rPr>
      </w:r>
    </w:p>
    <w:p>
      <w:pPr>
        <w:pStyle w:val="Heading1"/>
        <w:ind w:left="1177"/>
      </w:pPr>
      <w:r>
        <w:rPr>
          <w:w w:val="45"/>
        </w:rPr>
        <w:t>𝐶𝐶𝑟𝑟𝑟𝑟𝑐𝑐𝑝𝑝𝑟𝑟𝑡𝑡𝑟𝑟𝑝𝑝𝑡𝑡𝑐𝑐𝑟𝑟𝑟𝑟 </w:t>
      </w:r>
      <w:r>
        <w:rPr>
          <w:w w:val="50"/>
        </w:rPr>
        <w:t>𝑐𝑐𝑟𝑟</w:t>
      </w:r>
    </w:p>
    <w:p>
      <w:pPr>
        <w:spacing w:line="280" w:lineRule="exact" w:before="61"/>
        <w:ind w:left="51" w:right="0" w:firstLine="0"/>
        <w:jc w:val="left"/>
        <w:rPr>
          <w:rFonts w:ascii="Cambria Math" w:eastAsia="Cambria Math"/>
          <w:sz w:val="29"/>
        </w:rPr>
      </w:pPr>
      <w:r>
        <w:rPr/>
        <w:br w:type="column"/>
      </w:r>
      <w:r>
        <w:rPr>
          <w:rFonts w:ascii="Cambria Math" w:eastAsia="Cambria Math"/>
          <w:w w:val="55"/>
          <w:sz w:val="29"/>
        </w:rPr>
        <w:t>𝑟𝑟𝑛𝑛</w:t>
      </w:r>
    </w:p>
    <w:p>
      <w:pPr>
        <w:spacing w:line="207" w:lineRule="exact" w:before="0"/>
        <w:ind w:left="391" w:right="0" w:firstLine="0"/>
        <w:jc w:val="left"/>
        <w:rPr>
          <w:rFonts w:ascii="Cambria Math"/>
          <w:sz w:val="29"/>
        </w:rPr>
      </w:pPr>
      <w:r>
        <w:rPr/>
        <w:pict>
          <v:line style="position:absolute;mso-position-horizontal-relative:page;mso-position-vertical-relative:paragraph;z-index:251668480" from="334.436127pt,6.651485pt" to="348.22231pt,6.651485pt" stroked="true" strokeweight="1.011972pt" strokecolor="#000000">
            <v:stroke dashstyle="solid"/>
            <w10:wrap type="none"/>
          </v:line>
        </w:pict>
      </w:r>
      <w:r>
        <w:rPr/>
        <w:pict>
          <v:line style="position:absolute;mso-position-horizontal-relative:page;mso-position-vertical-relative:paragraph;z-index:-260021248" from="363.271973pt,6.651485pt" to="421.632995pt,6.651485pt" stroked="true" strokeweight="1.011972pt" strokecolor="#000000">
            <v:stroke dashstyle="solid"/>
            <w10:wrap type="none"/>
          </v:line>
        </w:pict>
      </w:r>
      <w:r>
        <w:rPr>
          <w:rFonts w:ascii="Cambria Math"/>
          <w:w w:val="79"/>
          <w:sz w:val="29"/>
        </w:rPr>
        <w:t>=</w:t>
      </w:r>
    </w:p>
    <w:p>
      <w:pPr>
        <w:spacing w:line="267" w:lineRule="exact" w:before="0"/>
        <w:ind w:left="116" w:right="0" w:firstLine="0"/>
        <w:jc w:val="left"/>
        <w:rPr>
          <w:rFonts w:ascii="Cambria Math" w:eastAsia="Cambria Math"/>
          <w:sz w:val="29"/>
        </w:rPr>
      </w:pPr>
      <w:r>
        <w:rPr>
          <w:rFonts w:ascii="Cambria Math" w:eastAsia="Cambria Math"/>
          <w:w w:val="50"/>
          <w:sz w:val="29"/>
        </w:rPr>
        <w:t>𝑛𝑛</w:t>
      </w:r>
    </w:p>
    <w:p>
      <w:pPr>
        <w:spacing w:line="285" w:lineRule="auto" w:before="51"/>
        <w:ind w:left="383" w:right="3227" w:hanging="359"/>
        <w:jc w:val="left"/>
        <w:rPr>
          <w:rFonts w:ascii="Cambria Math" w:eastAsia="Cambria Math"/>
          <w:sz w:val="29"/>
        </w:rPr>
      </w:pPr>
      <w:r>
        <w:rPr/>
        <w:br w:type="column"/>
      </w:r>
      <w:r>
        <w:rPr>
          <w:rFonts w:ascii="Cambria Math" w:eastAsia="Cambria Math"/>
          <w:spacing w:val="1"/>
          <w:w w:val="79"/>
          <w:position w:val="1"/>
          <w:sz w:val="29"/>
        </w:rPr>
        <w:t>(</w:t>
      </w:r>
      <w:r>
        <w:rPr>
          <w:rFonts w:ascii="Cambria Math" w:eastAsia="Cambria Math"/>
          <w:w w:val="39"/>
          <w:sz w:val="29"/>
        </w:rPr>
        <w:t>𝑋</w:t>
      </w:r>
      <w:r>
        <w:rPr>
          <w:rFonts w:ascii="Cambria Math" w:eastAsia="Cambria Math"/>
          <w:spacing w:val="-9"/>
          <w:w w:val="39"/>
          <w:sz w:val="29"/>
        </w:rPr>
        <w:t>𝑋</w:t>
      </w:r>
      <w:r>
        <w:rPr>
          <w:rFonts w:ascii="Cambria Math" w:eastAsia="Cambria Math"/>
          <w:w w:val="36"/>
          <w:sz w:val="29"/>
          <w:vertAlign w:val="subscript"/>
        </w:rPr>
        <w:t>𝑟</w:t>
      </w:r>
      <w:r>
        <w:rPr>
          <w:rFonts w:ascii="Cambria Math" w:eastAsia="Cambria Math"/>
          <w:spacing w:val="14"/>
          <w:w w:val="36"/>
          <w:sz w:val="29"/>
          <w:vertAlign w:val="subscript"/>
        </w:rPr>
        <w:t>𝑟</w:t>
      </w:r>
      <w:r>
        <w:rPr>
          <w:rFonts w:ascii="Cambria Math" w:eastAsia="Cambria Math"/>
          <w:spacing w:val="1"/>
          <w:w w:val="79"/>
          <w:position w:val="1"/>
          <w:sz w:val="29"/>
          <w:vertAlign w:val="baseline"/>
        </w:rPr>
        <w:t>)</w:t>
      </w:r>
      <w:r>
        <w:rPr>
          <w:rFonts w:ascii="Cambria Math" w:eastAsia="Cambria Math"/>
          <w:spacing w:val="-2"/>
          <w:w w:val="79"/>
          <w:position w:val="1"/>
          <w:sz w:val="29"/>
          <w:vertAlign w:val="baseline"/>
        </w:rPr>
        <w:t>(</w:t>
      </w:r>
      <w:r>
        <w:rPr>
          <w:rFonts w:ascii="Cambria Math" w:eastAsia="Cambria Math"/>
          <w:spacing w:val="-29"/>
          <w:w w:val="39"/>
          <w:sz w:val="29"/>
          <w:vertAlign w:val="baseline"/>
        </w:rPr>
        <w:t>𝑉𝑉</w:t>
      </w:r>
      <w:r>
        <w:rPr>
          <w:rFonts w:ascii="Cambria Math" w:eastAsia="Cambria Math"/>
          <w:w w:val="37"/>
          <w:sz w:val="29"/>
          <w:vertAlign w:val="subscript"/>
        </w:rPr>
        <w:t>𝑡</w:t>
      </w:r>
      <w:r>
        <w:rPr>
          <w:rFonts w:ascii="Cambria Math" w:eastAsia="Cambria Math"/>
          <w:spacing w:val="20"/>
          <w:w w:val="37"/>
          <w:sz w:val="29"/>
          <w:vertAlign w:val="subscript"/>
        </w:rPr>
        <w:t>𝑡</w:t>
      </w:r>
      <w:r>
        <w:rPr>
          <w:rFonts w:ascii="Cambria Math" w:eastAsia="Cambria Math"/>
          <w:spacing w:val="-2"/>
          <w:w w:val="79"/>
          <w:position w:val="1"/>
          <w:sz w:val="29"/>
          <w:vertAlign w:val="baseline"/>
        </w:rPr>
        <w:t>)</w:t>
      </w:r>
      <w:r>
        <w:rPr>
          <w:rFonts w:ascii="Cambria Math" w:eastAsia="Cambria Math"/>
          <w:spacing w:val="1"/>
          <w:w w:val="79"/>
          <w:position w:val="1"/>
          <w:sz w:val="29"/>
          <w:vertAlign w:val="baseline"/>
        </w:rPr>
        <w:t>(</w:t>
      </w:r>
      <w:r>
        <w:rPr>
          <w:rFonts w:ascii="Cambria Math" w:eastAsia="Cambria Math"/>
          <w:w w:val="51"/>
          <w:sz w:val="29"/>
          <w:vertAlign w:val="baseline"/>
        </w:rPr>
        <w:t>𝑆</w:t>
      </w:r>
      <w:r>
        <w:rPr>
          <w:rFonts w:ascii="Cambria Math" w:eastAsia="Cambria Math"/>
          <w:spacing w:val="6"/>
          <w:w w:val="51"/>
          <w:sz w:val="29"/>
          <w:vertAlign w:val="baseline"/>
        </w:rPr>
        <w:t>𝑆</w:t>
      </w:r>
      <w:r>
        <w:rPr>
          <w:rFonts w:ascii="Cambria Math" w:eastAsia="Cambria Math"/>
          <w:w w:val="79"/>
          <w:position w:val="1"/>
          <w:sz w:val="29"/>
          <w:vertAlign w:val="baseline"/>
        </w:rPr>
        <w:t>) </w:t>
      </w:r>
      <w:r>
        <w:rPr>
          <w:rFonts w:ascii="Cambria Math" w:eastAsia="Cambria Math"/>
          <w:spacing w:val="1"/>
          <w:w w:val="79"/>
          <w:position w:val="1"/>
          <w:sz w:val="29"/>
          <w:vertAlign w:val="baseline"/>
        </w:rPr>
        <w:t>(</w:t>
      </w:r>
      <w:r>
        <w:rPr>
          <w:rFonts w:ascii="Cambria Math" w:eastAsia="Cambria Math"/>
          <w:spacing w:val="-49"/>
          <w:w w:val="39"/>
          <w:sz w:val="29"/>
          <w:vertAlign w:val="baseline"/>
        </w:rPr>
        <w:t>𝑊𝑊</w:t>
      </w:r>
      <w:r>
        <w:rPr>
          <w:rFonts w:ascii="Cambria Math" w:eastAsia="Cambria Math"/>
          <w:w w:val="36"/>
          <w:sz w:val="29"/>
          <w:vertAlign w:val="subscript"/>
        </w:rPr>
        <w:t>𝑟</w:t>
      </w:r>
      <w:r>
        <w:rPr>
          <w:rFonts w:ascii="Cambria Math" w:eastAsia="Cambria Math"/>
          <w:spacing w:val="14"/>
          <w:w w:val="36"/>
          <w:sz w:val="29"/>
          <w:vertAlign w:val="subscript"/>
        </w:rPr>
        <w:t>𝑟</w:t>
      </w:r>
      <w:r>
        <w:rPr>
          <w:rFonts w:ascii="Cambria Math" w:eastAsia="Cambria Math"/>
          <w:w w:val="79"/>
          <w:position w:val="1"/>
          <w:sz w:val="29"/>
          <w:vertAlign w:val="baseline"/>
        </w:rPr>
        <w:t>)</w:t>
      </w:r>
    </w:p>
    <w:p>
      <w:pPr>
        <w:spacing w:after="0" w:line="285" w:lineRule="auto"/>
        <w:jc w:val="left"/>
        <w:rPr>
          <w:rFonts w:ascii="Cambria Math" w:eastAsia="Cambria Math"/>
          <w:sz w:val="29"/>
        </w:rPr>
        <w:sectPr>
          <w:type w:val="continuous"/>
          <w:pgSz w:w="12240" w:h="15840"/>
          <w:pgMar w:top="1060" w:bottom="1320" w:left="260" w:right="260"/>
          <w:cols w:num="4" w:equalWidth="0">
            <w:col w:w="3371" w:space="40"/>
            <w:col w:w="2927" w:space="39"/>
            <w:col w:w="564" w:space="40"/>
            <w:col w:w="4739"/>
          </w:cols>
        </w:sectPr>
      </w:pPr>
    </w:p>
    <w:p>
      <w:pPr>
        <w:pStyle w:val="BodyText"/>
        <w:tabs>
          <w:tab w:pos="3167" w:val="left" w:leader="none"/>
        </w:tabs>
        <w:spacing w:before="158"/>
        <w:ind w:left="2710"/>
      </w:pPr>
      <w:r>
        <w:rPr>
          <w:i/>
        </w:rPr>
        <w:t>V</w:t>
      </w:r>
      <w:r>
        <w:rPr>
          <w:i/>
          <w:vertAlign w:val="subscript"/>
        </w:rPr>
        <w:t>t</w:t>
      </w:r>
      <w:r>
        <w:rPr>
          <w:i/>
          <w:vertAlign w:val="baseline"/>
        </w:rPr>
        <w:tab/>
      </w:r>
      <w:r>
        <w:rPr>
          <w:vertAlign w:val="baseline"/>
        </w:rPr>
        <w:t>= Total volume of extract or diluted sample (in</w:t>
      </w:r>
      <w:r>
        <w:rPr>
          <w:spacing w:val="11"/>
          <w:vertAlign w:val="baseline"/>
        </w:rPr>
        <w:t> </w:t>
      </w:r>
      <w:r>
        <w:rPr>
          <w:vertAlign w:val="baseline"/>
        </w:rPr>
        <w:t>L).</w:t>
      </w:r>
    </w:p>
    <w:p>
      <w:pPr>
        <w:pStyle w:val="BodyText"/>
        <w:tabs>
          <w:tab w:pos="3167" w:val="left" w:leader="none"/>
        </w:tabs>
        <w:spacing w:before="39"/>
        <w:ind w:left="2709"/>
      </w:pPr>
      <w:r>
        <w:rPr>
          <w:i/>
        </w:rPr>
        <w:t>V</w:t>
      </w:r>
      <w:r>
        <w:rPr>
          <w:i/>
          <w:vertAlign w:val="subscript"/>
        </w:rPr>
        <w:t>s</w:t>
      </w:r>
      <w:r>
        <w:rPr>
          <w:i/>
          <w:vertAlign w:val="baseline"/>
        </w:rPr>
        <w:tab/>
      </w:r>
      <w:r>
        <w:rPr>
          <w:vertAlign w:val="baseline"/>
        </w:rPr>
        <w:t>= Volume of aqueous sample prior to preparation (in</w:t>
      </w:r>
      <w:r>
        <w:rPr>
          <w:spacing w:val="9"/>
          <w:vertAlign w:val="baseline"/>
        </w:rPr>
        <w:t> </w:t>
      </w:r>
      <w:r>
        <w:rPr>
          <w:vertAlign w:val="baseline"/>
        </w:rPr>
        <w:t>L).</w:t>
      </w:r>
    </w:p>
    <w:p>
      <w:pPr>
        <w:pStyle w:val="BodyText"/>
        <w:tabs>
          <w:tab w:pos="3167" w:val="left" w:leader="none"/>
        </w:tabs>
        <w:spacing w:line="276" w:lineRule="auto" w:before="37"/>
        <w:ind w:left="2710" w:right="1593"/>
      </w:pPr>
      <w:r>
        <w:rPr>
          <w:i/>
        </w:rPr>
        <w:t>D</w:t>
        <w:tab/>
      </w:r>
      <w:r>
        <w:rPr/>
        <w:t>= Dilution factor, if sample or extract was diluted prior to analysis. If no dilution, D=1. This value is always</w:t>
      </w:r>
      <w:r>
        <w:rPr>
          <w:spacing w:val="-3"/>
        </w:rPr>
        <w:t> </w:t>
      </w:r>
      <w:r>
        <w:rPr/>
        <w:t>dimensionless.</w:t>
      </w:r>
    </w:p>
    <w:p>
      <w:pPr>
        <w:pStyle w:val="BodyText"/>
        <w:tabs>
          <w:tab w:pos="3520" w:val="left" w:leader="none"/>
        </w:tabs>
        <w:spacing w:line="276" w:lineRule="auto"/>
        <w:ind w:left="2710" w:right="1718"/>
      </w:pPr>
      <w:r>
        <w:rPr>
          <w:i/>
        </w:rPr>
        <w:t>W</w:t>
      </w:r>
      <w:r>
        <w:rPr>
          <w:i/>
          <w:vertAlign w:val="subscript"/>
        </w:rPr>
        <w:t>s</w:t>
      </w:r>
      <w:r>
        <w:rPr>
          <w:i/>
          <w:vertAlign w:val="baseline"/>
        </w:rPr>
        <w:t> </w:t>
      </w:r>
      <w:r>
        <w:rPr>
          <w:i/>
          <w:spacing w:val="58"/>
          <w:vertAlign w:val="baseline"/>
        </w:rPr>
        <w:t> </w:t>
      </w:r>
      <w:r>
        <w:rPr>
          <w:vertAlign w:val="baseline"/>
        </w:rPr>
        <w:t>=</w:t>
        <w:tab/>
        <w:t>Weight of sample extracted (in grams). If kg units are used for</w:t>
      </w:r>
      <w:r>
        <w:rPr>
          <w:spacing w:val="-17"/>
          <w:vertAlign w:val="baseline"/>
        </w:rPr>
        <w:t> </w:t>
      </w:r>
      <w:r>
        <w:rPr>
          <w:vertAlign w:val="baseline"/>
        </w:rPr>
        <w:t>this term, multiply results by 1000</w:t>
      </w:r>
      <w:r>
        <w:rPr>
          <w:spacing w:val="-3"/>
          <w:vertAlign w:val="baseline"/>
        </w:rPr>
        <w:t> </w:t>
      </w:r>
      <w:r>
        <w:rPr>
          <w:vertAlign w:val="baseline"/>
        </w:rPr>
        <w:t>g/kg.</w:t>
      </w:r>
    </w:p>
    <w:p>
      <w:pPr>
        <w:pStyle w:val="BodyText"/>
        <w:tabs>
          <w:tab w:pos="3167" w:val="left" w:leader="none"/>
        </w:tabs>
        <w:spacing w:line="276" w:lineRule="auto"/>
        <w:ind w:left="2709" w:right="1593"/>
      </w:pPr>
      <w:r>
        <w:rPr>
          <w:i/>
        </w:rPr>
        <w:t>X</w:t>
      </w:r>
      <w:r>
        <w:rPr>
          <w:i/>
          <w:vertAlign w:val="subscript"/>
        </w:rPr>
        <w:t>s</w:t>
      </w:r>
      <w:r>
        <w:rPr>
          <w:i/>
          <w:vertAlign w:val="baseline"/>
        </w:rPr>
        <w:tab/>
      </w:r>
      <w:r>
        <w:rPr>
          <w:vertAlign w:val="baseline"/>
        </w:rPr>
        <w:t>= Calculated concentration of analyte (ng/L) from the analysis. Type of calibration model used determines derivation of </w:t>
      </w:r>
      <w:r>
        <w:rPr>
          <w:i/>
          <w:vertAlign w:val="baseline"/>
        </w:rPr>
        <w:t>X</w:t>
      </w:r>
      <w:r>
        <w:rPr>
          <w:i/>
          <w:vertAlign w:val="subscript"/>
        </w:rPr>
        <w:t>s</w:t>
      </w:r>
      <w:r>
        <w:rPr>
          <w:vertAlign w:val="baseline"/>
        </w:rPr>
        <w:t>. See Secs. 11.5.1.3, 11.5.2.3, and 11.5.3 of Method</w:t>
      </w:r>
      <w:r>
        <w:rPr>
          <w:spacing w:val="-2"/>
          <w:vertAlign w:val="baseline"/>
        </w:rPr>
        <w:t> </w:t>
      </w:r>
      <w:r>
        <w:rPr>
          <w:vertAlign w:val="baseline"/>
        </w:rPr>
        <w:t>8000.</w:t>
      </w:r>
    </w:p>
    <w:p>
      <w:pPr>
        <w:pStyle w:val="BodyText"/>
        <w:spacing w:before="9"/>
        <w:rPr>
          <w:sz w:val="35"/>
        </w:rPr>
      </w:pPr>
    </w:p>
    <w:p>
      <w:pPr>
        <w:pStyle w:val="ListParagraph"/>
        <w:numPr>
          <w:ilvl w:val="1"/>
          <w:numId w:val="10"/>
        </w:numPr>
        <w:tabs>
          <w:tab w:pos="2620" w:val="left" w:leader="none"/>
          <w:tab w:pos="2621" w:val="left" w:leader="none"/>
        </w:tabs>
        <w:spacing w:line="276" w:lineRule="auto" w:before="0" w:after="0"/>
        <w:ind w:left="1180" w:right="2079" w:firstLine="719"/>
        <w:jc w:val="left"/>
        <w:rPr>
          <w:sz w:val="22"/>
        </w:rPr>
      </w:pPr>
      <w:bookmarkStart w:name="12.2 See Secs. 11.5 and 11.10 of Method " w:id="262"/>
      <w:bookmarkEnd w:id="262"/>
      <w:r>
        <w:rPr/>
      </w:r>
      <w:bookmarkStart w:name="12.2 See Secs. 11.5 and 11.10 of Method " w:id="263"/>
      <w:bookmarkEnd w:id="263"/>
      <w:r>
        <w:rPr>
          <w:sz w:val="22"/>
        </w:rPr>
        <w:t>S</w:t>
      </w:r>
      <w:r>
        <w:rPr>
          <w:sz w:val="22"/>
        </w:rPr>
        <w:t>ee Secs. 11.5 and 11.10 of Method 8000 for additional information</w:t>
      </w:r>
      <w:r>
        <w:rPr>
          <w:spacing w:val="-19"/>
          <w:sz w:val="22"/>
        </w:rPr>
        <w:t> </w:t>
      </w:r>
      <w:r>
        <w:rPr>
          <w:sz w:val="22"/>
        </w:rPr>
        <w:t>and formulas for quantitating</w:t>
      </w:r>
      <w:r>
        <w:rPr>
          <w:spacing w:val="-2"/>
          <w:sz w:val="22"/>
        </w:rPr>
        <w:t> </w:t>
      </w:r>
      <w:r>
        <w:rPr>
          <w:sz w:val="22"/>
        </w:rPr>
        <w:t>results.</w:t>
      </w:r>
    </w:p>
    <w:p>
      <w:pPr>
        <w:pStyle w:val="BodyText"/>
        <w:spacing w:before="3"/>
        <w:rPr>
          <w:sz w:val="31"/>
        </w:rPr>
      </w:pPr>
    </w:p>
    <w:p>
      <w:pPr>
        <w:pStyle w:val="BodyText"/>
        <w:tabs>
          <w:tab w:pos="1900" w:val="left" w:leader="none"/>
        </w:tabs>
        <w:ind w:left="1180"/>
      </w:pPr>
      <w:bookmarkStart w:name="13.0 METHOD PERFORMANCE" w:id="264"/>
      <w:bookmarkEnd w:id="264"/>
      <w:r>
        <w:rPr/>
      </w:r>
      <w:bookmarkStart w:name="_bookmark12" w:id="265"/>
      <w:bookmarkEnd w:id="265"/>
      <w:r>
        <w:rPr/>
      </w:r>
      <w:r>
        <w:rPr/>
        <w:t>13.0</w:t>
        <w:tab/>
        <w:t>METHOD</w:t>
      </w:r>
      <w:r>
        <w:rPr>
          <w:spacing w:val="-1"/>
        </w:rPr>
        <w:t> </w:t>
      </w:r>
      <w:r>
        <w:rPr/>
        <w:t>PERFORMANCE</w:t>
      </w:r>
    </w:p>
    <w:p>
      <w:pPr>
        <w:pStyle w:val="BodyText"/>
        <w:spacing w:before="2"/>
        <w:rPr>
          <w:sz w:val="24"/>
        </w:rPr>
      </w:pPr>
    </w:p>
    <w:p>
      <w:pPr>
        <w:pStyle w:val="BodyText"/>
        <w:spacing w:line="276" w:lineRule="auto"/>
        <w:ind w:left="1180" w:right="1543" w:firstLine="719"/>
      </w:pPr>
      <w:r>
        <w:rPr/>
        <w:t>Please refer to Tables 2A-2C for a summary of method performance from a multi- laboratory validation study of aqueous samples prepared by the method in Appendix B (draft Method 3512).</w:t>
      </w:r>
    </w:p>
    <w:p>
      <w:pPr>
        <w:pStyle w:val="BodyText"/>
        <w:spacing w:before="3"/>
        <w:rPr>
          <w:sz w:val="31"/>
        </w:rPr>
      </w:pPr>
    </w:p>
    <w:p>
      <w:pPr>
        <w:pStyle w:val="ListParagraph"/>
        <w:numPr>
          <w:ilvl w:val="1"/>
          <w:numId w:val="11"/>
        </w:numPr>
        <w:tabs>
          <w:tab w:pos="1757" w:val="left" w:leader="none"/>
        </w:tabs>
        <w:spacing w:line="240" w:lineRule="auto" w:before="0" w:after="0"/>
        <w:ind w:left="1756" w:right="0" w:hanging="577"/>
        <w:jc w:val="left"/>
        <w:rPr>
          <w:sz w:val="22"/>
        </w:rPr>
      </w:pPr>
      <w:bookmarkStart w:name="14.0 POLLUTION PREVENTION" w:id="266"/>
      <w:bookmarkEnd w:id="266"/>
      <w:r>
        <w:rPr/>
      </w:r>
      <w:bookmarkStart w:name="_bookmark13" w:id="267"/>
      <w:bookmarkEnd w:id="267"/>
      <w:r>
        <w:rPr/>
      </w:r>
      <w:bookmarkStart w:name="_bookmark13" w:id="268"/>
      <w:bookmarkEnd w:id="268"/>
      <w:r>
        <w:rPr>
          <w:sz w:val="22"/>
        </w:rPr>
        <w:t>P</w:t>
      </w:r>
      <w:r>
        <w:rPr>
          <w:sz w:val="22"/>
        </w:rPr>
        <w:t>OLLUTION</w:t>
      </w:r>
      <w:r>
        <w:rPr>
          <w:spacing w:val="-2"/>
          <w:sz w:val="22"/>
        </w:rPr>
        <w:t> </w:t>
      </w:r>
      <w:r>
        <w:rPr>
          <w:sz w:val="22"/>
        </w:rPr>
        <w:t>PREVENTION</w:t>
      </w:r>
    </w:p>
    <w:p>
      <w:pPr>
        <w:pStyle w:val="BodyText"/>
        <w:spacing w:before="3"/>
        <w:rPr>
          <w:sz w:val="24"/>
        </w:rPr>
      </w:pPr>
    </w:p>
    <w:p>
      <w:pPr>
        <w:pStyle w:val="ListParagraph"/>
        <w:numPr>
          <w:ilvl w:val="1"/>
          <w:numId w:val="11"/>
        </w:numPr>
        <w:tabs>
          <w:tab w:pos="2620" w:val="left" w:leader="none"/>
          <w:tab w:pos="2621" w:val="left" w:leader="none"/>
        </w:tabs>
        <w:spacing w:line="276" w:lineRule="auto" w:before="0" w:after="0"/>
        <w:ind w:left="1180" w:right="1256" w:firstLine="719"/>
        <w:jc w:val="left"/>
        <w:rPr>
          <w:sz w:val="22"/>
        </w:rPr>
      </w:pPr>
      <w:bookmarkStart w:name="14.1 Pollution prevention encompasses an" w:id="269"/>
      <w:bookmarkEnd w:id="269"/>
      <w:r>
        <w:rPr/>
      </w:r>
      <w:bookmarkStart w:name="14.1 Pollution prevention encompasses an" w:id="270"/>
      <w:bookmarkEnd w:id="270"/>
      <w:r>
        <w:rPr>
          <w:sz w:val="22"/>
        </w:rPr>
        <w:t>P</w:t>
      </w:r>
      <w:r>
        <w:rPr>
          <w:sz w:val="22"/>
        </w:rPr>
        <w:t>ollution prevention encompasses any technique that reduces or eliminates the quantity and/or toxicity of waste at the point of generation. Numerous opportunities for</w:t>
      </w:r>
      <w:r>
        <w:rPr>
          <w:spacing w:val="-25"/>
          <w:sz w:val="22"/>
        </w:rPr>
        <w:t> </w:t>
      </w:r>
      <w:r>
        <w:rPr>
          <w:sz w:val="22"/>
        </w:rPr>
        <w:t>pollution prevention exist in laboratory operations. The EPA has established a preferred hierarchy of environmental management techniques that places pollution prevention as the management option of first choice. Whenever feasible, laboratory personnel should use pollution prevention techniques to address their waste generation. When wastes cannot be feasibly reduced at the source, the Agency recommends recycling as the next best</w:t>
      </w:r>
      <w:r>
        <w:rPr>
          <w:spacing w:val="-6"/>
          <w:sz w:val="22"/>
        </w:rPr>
        <w:t> </w:t>
      </w:r>
      <w:r>
        <w:rPr>
          <w:sz w:val="22"/>
        </w:rPr>
        <w:t>option.</w:t>
      </w:r>
    </w:p>
    <w:p>
      <w:pPr>
        <w:spacing w:after="0" w:line="276" w:lineRule="auto"/>
        <w:jc w:val="left"/>
        <w:rPr>
          <w:sz w:val="22"/>
        </w:rPr>
        <w:sectPr>
          <w:type w:val="continuous"/>
          <w:pgSz w:w="12240" w:h="15840"/>
          <w:pgMar w:top="1060" w:bottom="1320" w:left="260" w:right="260"/>
        </w:sectPr>
      </w:pPr>
    </w:p>
    <w:p>
      <w:pPr>
        <w:pStyle w:val="ListParagraph"/>
        <w:numPr>
          <w:ilvl w:val="1"/>
          <w:numId w:val="11"/>
        </w:numPr>
        <w:tabs>
          <w:tab w:pos="2620" w:val="left" w:leader="none"/>
          <w:tab w:pos="2621" w:val="left" w:leader="none"/>
        </w:tabs>
        <w:spacing w:line="276" w:lineRule="auto" w:before="70" w:after="0"/>
        <w:ind w:left="1180" w:right="1232" w:firstLine="720"/>
        <w:jc w:val="left"/>
        <w:rPr>
          <w:sz w:val="22"/>
        </w:rPr>
      </w:pPr>
      <w:bookmarkStart w:name="14.2 For information about pollution pre" w:id="271"/>
      <w:bookmarkEnd w:id="271"/>
      <w:r>
        <w:rPr/>
      </w:r>
      <w:bookmarkStart w:name="14.2 For information about pollution pre" w:id="272"/>
      <w:bookmarkEnd w:id="272"/>
      <w:r>
        <w:rPr>
          <w:sz w:val="22"/>
        </w:rPr>
        <w:t>For</w:t>
      </w:r>
      <w:r>
        <w:rPr>
          <w:sz w:val="22"/>
        </w:rPr>
        <w:t> information about pollution prevention that may be applicable to laboratories and research institutions consult Less is Better: Laboratory Chemical Management for Waste Reduction, a free publication available from the American Chemical Society (ACS), Committee on Chemical Safety:</w:t>
      </w:r>
      <w:r>
        <w:rPr>
          <w:color w:val="0000FF"/>
          <w:sz w:val="22"/>
          <w:u w:val="single" w:color="0000FF"/>
        </w:rPr>
        <w:t> </w:t>
      </w:r>
      <w:hyperlink r:id="rId11">
        <w:r>
          <w:rPr>
            <w:color w:val="0000FF"/>
            <w:w w:val="95"/>
            <w:sz w:val="22"/>
            <w:u w:val="single" w:color="0000FF"/>
          </w:rPr>
          <w:t>https://www.acs.org/content/dam/acsorg/about/governance/committees/chemicalsafety/publicati</w:t>
        </w:r>
      </w:hyperlink>
      <w:hyperlink r:id="rId11">
        <w:r>
          <w:rPr>
            <w:color w:val="0000FF"/>
            <w:w w:val="95"/>
            <w:sz w:val="22"/>
            <w:u w:val="single" w:color="0000FF"/>
          </w:rPr>
          <w:t> </w:t>
        </w:r>
        <w:r>
          <w:rPr>
            <w:color w:val="0000FF"/>
            <w:sz w:val="22"/>
            <w:u w:val="single" w:color="0000FF"/>
          </w:rPr>
          <w:t>ons/less-is-better.pdf</w:t>
        </w:r>
      </w:hyperlink>
      <w:r>
        <w:rPr>
          <w:color w:val="0000FF"/>
          <w:sz w:val="22"/>
          <w:u w:val="single" w:color="0000FF"/>
        </w:rPr>
        <w:t>.</w:t>
      </w:r>
    </w:p>
    <w:p>
      <w:pPr>
        <w:pStyle w:val="BodyText"/>
        <w:spacing w:before="3"/>
        <w:rPr>
          <w:sz w:val="23"/>
        </w:rPr>
      </w:pPr>
    </w:p>
    <w:p>
      <w:pPr>
        <w:pStyle w:val="BodyText"/>
        <w:spacing w:before="93"/>
        <w:ind w:left="1180"/>
      </w:pPr>
      <w:bookmarkStart w:name="15.0 WASTE MANAGEMENT" w:id="273"/>
      <w:bookmarkEnd w:id="273"/>
      <w:r>
        <w:rPr/>
      </w:r>
      <w:bookmarkStart w:name="_bookmark14" w:id="274"/>
      <w:bookmarkEnd w:id="274"/>
      <w:r>
        <w:rPr/>
      </w:r>
      <w:r>
        <w:rPr/>
        <w:t>15.0 WASTE MANAGEMENT</w:t>
      </w:r>
    </w:p>
    <w:p>
      <w:pPr>
        <w:pStyle w:val="BodyText"/>
        <w:spacing w:before="3"/>
        <w:rPr>
          <w:sz w:val="24"/>
        </w:rPr>
      </w:pPr>
    </w:p>
    <w:p>
      <w:pPr>
        <w:pStyle w:val="BodyText"/>
        <w:spacing w:line="276" w:lineRule="auto"/>
        <w:ind w:left="1180" w:right="1255" w:firstLine="720"/>
      </w:pPr>
      <w:r>
        <w:rPr/>
        <w:t>The EPA requires that laboratory waste management practices be conducted consistent with all applicable rules and regulations. The Agency urges laboratories to protect the air, water, and land by minimizing and controlling all releases from hoods and bench operations, complying with the letter and spirit of any sewer discharge permits and regulations, and by complying with all solid and hazardous waste regulations, particularly the hazardous waste identification rules and land disposal restrictions. For further information on waste management, consult </w:t>
      </w:r>
      <w:r>
        <w:rPr>
          <w:i/>
        </w:rPr>
        <w:t>The Waste Management Manual for Laboratory Personnel </w:t>
      </w:r>
      <w:r>
        <w:rPr/>
        <w:t>available at: </w:t>
      </w:r>
      <w:hyperlink r:id="rId12">
        <w:r>
          <w:rPr>
            <w:color w:val="0000FF"/>
            <w:u w:val="single" w:color="0000FF"/>
          </w:rPr>
          <w:t>http://www.labsafetyinstitute.org/FreeDocs/WasteMgmt.pdf</w:t>
        </w:r>
        <w:r>
          <w:rPr/>
          <w:t>.</w:t>
        </w:r>
      </w:hyperlink>
    </w:p>
    <w:p>
      <w:pPr>
        <w:pStyle w:val="BodyText"/>
        <w:spacing w:before="2"/>
        <w:rPr>
          <w:sz w:val="23"/>
        </w:rPr>
      </w:pPr>
    </w:p>
    <w:p>
      <w:pPr>
        <w:pStyle w:val="ListParagraph"/>
        <w:numPr>
          <w:ilvl w:val="1"/>
          <w:numId w:val="12"/>
        </w:numPr>
        <w:tabs>
          <w:tab w:pos="1757" w:val="left" w:leader="none"/>
        </w:tabs>
        <w:spacing w:line="240" w:lineRule="auto" w:before="93" w:after="0"/>
        <w:ind w:left="1756" w:right="0" w:hanging="577"/>
        <w:jc w:val="left"/>
        <w:rPr>
          <w:sz w:val="22"/>
        </w:rPr>
      </w:pPr>
      <w:bookmarkStart w:name="16.0 REFERENCES" w:id="275"/>
      <w:bookmarkEnd w:id="275"/>
      <w:r>
        <w:rPr/>
      </w:r>
      <w:bookmarkStart w:name="_bookmark15" w:id="276"/>
      <w:bookmarkEnd w:id="276"/>
      <w:r>
        <w:rPr/>
      </w:r>
      <w:bookmarkStart w:name="_bookmark15" w:id="277"/>
      <w:bookmarkEnd w:id="277"/>
      <w:r>
        <w:rPr>
          <w:sz w:val="22"/>
        </w:rPr>
        <w:t>R</w:t>
      </w:r>
      <w:r>
        <w:rPr>
          <w:sz w:val="22"/>
        </w:rPr>
        <w:t>EFERENCES</w:t>
      </w:r>
    </w:p>
    <w:p>
      <w:pPr>
        <w:pStyle w:val="BodyText"/>
        <w:spacing w:before="1"/>
        <w:rPr>
          <w:sz w:val="24"/>
        </w:rPr>
      </w:pPr>
    </w:p>
    <w:p>
      <w:pPr>
        <w:pStyle w:val="ListParagraph"/>
        <w:numPr>
          <w:ilvl w:val="2"/>
          <w:numId w:val="12"/>
        </w:numPr>
        <w:tabs>
          <w:tab w:pos="2349" w:val="left" w:leader="none"/>
          <w:tab w:pos="2351" w:val="left" w:leader="none"/>
        </w:tabs>
        <w:spacing w:line="276" w:lineRule="auto" w:before="0" w:after="0"/>
        <w:ind w:left="2350" w:right="1409" w:hanging="450"/>
        <w:jc w:val="left"/>
        <w:rPr>
          <w:sz w:val="22"/>
        </w:rPr>
      </w:pPr>
      <w:r>
        <w:rPr>
          <w:sz w:val="22"/>
        </w:rPr>
        <w:t>ASTM Standard D7979-15, “Standard Test Method for Determination of Perfluorinated Compounds in Water, Sludge, Influent, Effluent and Wastewater</w:t>
      </w:r>
      <w:r>
        <w:rPr>
          <w:spacing w:val="-24"/>
          <w:sz w:val="22"/>
        </w:rPr>
        <w:t> </w:t>
      </w:r>
      <w:r>
        <w:rPr>
          <w:sz w:val="22"/>
        </w:rPr>
        <w:t>by Liquid Chromatography Tandem Mass Spectrometry (LC/MS/MS)”, 18pp.,</w:t>
      </w:r>
      <w:r>
        <w:rPr>
          <w:spacing w:val="-15"/>
          <w:sz w:val="22"/>
        </w:rPr>
        <w:t> </w:t>
      </w:r>
      <w:r>
        <w:rPr>
          <w:sz w:val="22"/>
        </w:rPr>
        <w:t>2015.</w:t>
      </w:r>
    </w:p>
    <w:p>
      <w:pPr>
        <w:pStyle w:val="ListParagraph"/>
        <w:numPr>
          <w:ilvl w:val="2"/>
          <w:numId w:val="12"/>
        </w:numPr>
        <w:tabs>
          <w:tab w:pos="2349" w:val="left" w:leader="none"/>
          <w:tab w:pos="2351" w:val="left" w:leader="none"/>
        </w:tabs>
        <w:spacing w:line="276" w:lineRule="auto" w:before="121" w:after="0"/>
        <w:ind w:left="2350" w:right="1262" w:hanging="451"/>
        <w:jc w:val="left"/>
        <w:rPr>
          <w:sz w:val="22"/>
        </w:rPr>
      </w:pPr>
      <w:r>
        <w:rPr>
          <w:sz w:val="22"/>
        </w:rPr>
        <w:t>J.A. Shoemaker, P.E. Grimmett, B.K. Boutin, “EPA Method 537- Determination Of Selected Perfluorinated Alkyl Acids In Drinking Water By Solid Phase Extraction And Liquid Chromatography/Tandem Mass Spectrometry (LC/MS/MS) - Research Summary “, U.S. EPA, National Exposure Research Laboratory, Office of</w:t>
      </w:r>
      <w:r>
        <w:rPr>
          <w:spacing w:val="-22"/>
          <w:sz w:val="22"/>
        </w:rPr>
        <w:t> </w:t>
      </w:r>
      <w:r>
        <w:rPr>
          <w:sz w:val="22"/>
        </w:rPr>
        <w:t>Research and Development, US EPA, Cincinnati, OH, 22pp.</w:t>
      </w:r>
    </w:p>
    <w:p>
      <w:pPr>
        <w:pStyle w:val="ListParagraph"/>
        <w:numPr>
          <w:ilvl w:val="2"/>
          <w:numId w:val="12"/>
        </w:numPr>
        <w:tabs>
          <w:tab w:pos="2349" w:val="left" w:leader="none"/>
          <w:tab w:pos="2351" w:val="left" w:leader="none"/>
        </w:tabs>
        <w:spacing w:line="276" w:lineRule="auto" w:before="119" w:after="0"/>
        <w:ind w:left="2350" w:right="1358" w:hanging="451"/>
        <w:jc w:val="left"/>
        <w:rPr>
          <w:sz w:val="22"/>
        </w:rPr>
      </w:pPr>
      <w:r>
        <w:rPr>
          <w:sz w:val="22"/>
        </w:rPr>
        <w:t>U.S. EPA Method 537.1, “Determination of Selected Per- and Polyfluorinated Alkyl Substances in Drinking Water by Solid Phase Extraction and Liquid Chromatography/Tandem Mass Spectrometry (LC/MS/MS)”, National Exposure Research Laboratory, Office of Research and Development, US EPA, Cincinnati, OH, Version 1.0,</w:t>
      </w:r>
      <w:r>
        <w:rPr>
          <w:spacing w:val="-1"/>
          <w:sz w:val="22"/>
        </w:rPr>
        <w:t> </w:t>
      </w:r>
      <w:r>
        <w:rPr>
          <w:sz w:val="22"/>
        </w:rPr>
        <w:t>2018.</w:t>
      </w:r>
    </w:p>
    <w:p>
      <w:pPr>
        <w:pStyle w:val="ListParagraph"/>
        <w:numPr>
          <w:ilvl w:val="2"/>
          <w:numId w:val="12"/>
        </w:numPr>
        <w:tabs>
          <w:tab w:pos="2350" w:val="left" w:leader="none"/>
          <w:tab w:pos="2351" w:val="left" w:leader="none"/>
        </w:tabs>
        <w:spacing w:line="276" w:lineRule="auto" w:before="120" w:after="0"/>
        <w:ind w:left="2350" w:right="1823" w:hanging="450"/>
        <w:jc w:val="left"/>
        <w:rPr>
          <w:sz w:val="22"/>
        </w:rPr>
      </w:pPr>
      <w:r>
        <w:rPr>
          <w:sz w:val="22"/>
        </w:rPr>
        <w:t>Occupational Safety and Health Administration, OSHA Safety and Health Standards, 29 CFR 1910.120, “Hazardous Waste Operations and</w:t>
      </w:r>
      <w:r>
        <w:rPr>
          <w:spacing w:val="-19"/>
          <w:sz w:val="22"/>
        </w:rPr>
        <w:t> </w:t>
      </w:r>
      <w:r>
        <w:rPr>
          <w:sz w:val="22"/>
        </w:rPr>
        <w:t>Emergency Response” and 29 CFR 1910.1200, “Hazard</w:t>
      </w:r>
      <w:r>
        <w:rPr>
          <w:spacing w:val="-6"/>
          <w:sz w:val="22"/>
        </w:rPr>
        <w:t> </w:t>
      </w:r>
      <w:r>
        <w:rPr>
          <w:sz w:val="22"/>
        </w:rPr>
        <w:t>Communication”.</w:t>
      </w:r>
    </w:p>
    <w:p>
      <w:pPr>
        <w:pStyle w:val="ListParagraph"/>
        <w:numPr>
          <w:ilvl w:val="2"/>
          <w:numId w:val="12"/>
        </w:numPr>
        <w:tabs>
          <w:tab w:pos="2350" w:val="left" w:leader="none"/>
          <w:tab w:pos="2351" w:val="left" w:leader="none"/>
        </w:tabs>
        <w:spacing w:line="276" w:lineRule="auto" w:before="121" w:after="0"/>
        <w:ind w:left="2350" w:right="1187" w:hanging="450"/>
        <w:jc w:val="left"/>
        <w:rPr>
          <w:sz w:val="22"/>
        </w:rPr>
      </w:pPr>
      <w:r>
        <w:rPr>
          <w:sz w:val="22"/>
        </w:rPr>
        <w:t>Standard Practices for Sampling Water, American Society for Testing and Materials, Philadelphia. ASTM Annual Book Standards, Part 31,</w:t>
      </w:r>
      <w:r>
        <w:rPr>
          <w:spacing w:val="-5"/>
          <w:sz w:val="22"/>
        </w:rPr>
        <w:t> </w:t>
      </w:r>
      <w:r>
        <w:rPr>
          <w:sz w:val="22"/>
        </w:rPr>
        <w:t>D3370-76.</w:t>
      </w:r>
    </w:p>
    <w:p>
      <w:pPr>
        <w:pStyle w:val="ListParagraph"/>
        <w:numPr>
          <w:ilvl w:val="2"/>
          <w:numId w:val="12"/>
        </w:numPr>
        <w:tabs>
          <w:tab w:pos="2350" w:val="left" w:leader="none"/>
          <w:tab w:pos="2351" w:val="left" w:leader="none"/>
        </w:tabs>
        <w:spacing w:line="276" w:lineRule="auto" w:before="119" w:after="0"/>
        <w:ind w:left="2350" w:right="1446" w:hanging="450"/>
        <w:jc w:val="left"/>
        <w:rPr>
          <w:sz w:val="22"/>
        </w:rPr>
      </w:pPr>
      <w:r>
        <w:rPr>
          <w:sz w:val="22"/>
        </w:rPr>
        <w:t>R. Burrows, Basic RSE calculator v2 and instructions, December 2016. Available at:</w:t>
      </w:r>
      <w:r>
        <w:rPr>
          <w:color w:val="0000FF"/>
          <w:spacing w:val="-2"/>
          <w:sz w:val="22"/>
        </w:rPr>
        <w:t> </w:t>
      </w:r>
      <w:hyperlink r:id="rId13">
        <w:r>
          <w:rPr>
            <w:color w:val="0000FF"/>
            <w:sz w:val="22"/>
            <w:u w:val="single" w:color="0000FF"/>
          </w:rPr>
          <w:t>http://nelac-institute.org/docs/comm/emmec/Calculating%20RSE.pdf</w:t>
        </w:r>
      </w:hyperlink>
      <w:r>
        <w:rPr>
          <w:sz w:val="22"/>
        </w:rPr>
        <w:t>.</w:t>
      </w:r>
    </w:p>
    <w:p>
      <w:pPr>
        <w:pStyle w:val="ListParagraph"/>
        <w:numPr>
          <w:ilvl w:val="2"/>
          <w:numId w:val="12"/>
        </w:numPr>
        <w:tabs>
          <w:tab w:pos="2349" w:val="left" w:leader="none"/>
          <w:tab w:pos="2350" w:val="left" w:leader="none"/>
        </w:tabs>
        <w:spacing w:line="276" w:lineRule="auto" w:before="120" w:after="0"/>
        <w:ind w:left="2349" w:right="1335" w:hanging="450"/>
        <w:jc w:val="left"/>
        <w:rPr>
          <w:sz w:val="22"/>
        </w:rPr>
      </w:pPr>
      <w:r>
        <w:rPr>
          <w:sz w:val="22"/>
        </w:rPr>
        <w:t>Million B. Woudneh, Bharat Chandramouli, M.C. Hamilton, Richard Grace, John R. Cosgrove, “EFFECT OF SAMPLE STORAGE ON THE</w:t>
      </w:r>
      <w:r>
        <w:rPr>
          <w:spacing w:val="-5"/>
          <w:sz w:val="22"/>
        </w:rPr>
        <w:t> </w:t>
      </w:r>
      <w:r>
        <w:rPr>
          <w:sz w:val="22"/>
        </w:rPr>
        <w:t>QUANTITATIVE</w:t>
      </w:r>
    </w:p>
    <w:p>
      <w:pPr>
        <w:spacing w:after="0" w:line="276" w:lineRule="auto"/>
        <w:jc w:val="left"/>
        <w:rPr>
          <w:sz w:val="22"/>
        </w:rPr>
        <w:sectPr>
          <w:pgSz w:w="12240" w:h="15840"/>
          <w:pgMar w:header="0" w:footer="1134" w:top="1060" w:bottom="1400" w:left="260" w:right="260"/>
        </w:sectPr>
      </w:pPr>
    </w:p>
    <w:p>
      <w:pPr>
        <w:pStyle w:val="BodyText"/>
        <w:spacing w:line="276" w:lineRule="auto" w:before="70"/>
        <w:ind w:left="2350" w:right="1185"/>
      </w:pPr>
      <w:r>
        <w:rPr/>
        <w:t>DETERMINATION OF PFAS – OBSERVATION OF ANALYTE INTERCONVERSION DURING STORAGE”, SETAC 2018, Sacramento, CA, 2018.</w:t>
      </w:r>
    </w:p>
    <w:p>
      <w:pPr>
        <w:pStyle w:val="BodyText"/>
        <w:spacing w:before="4"/>
        <w:rPr>
          <w:sz w:val="31"/>
        </w:rPr>
      </w:pPr>
    </w:p>
    <w:p>
      <w:pPr>
        <w:pStyle w:val="BodyText"/>
        <w:ind w:left="1180"/>
      </w:pPr>
      <w:bookmarkStart w:name="17.0 TABLES, DIAGRAMS, FLOW CHARTS, AND " w:id="278"/>
      <w:bookmarkEnd w:id="278"/>
      <w:r>
        <w:rPr/>
      </w:r>
      <w:bookmarkStart w:name="_bookmark16" w:id="279"/>
      <w:bookmarkEnd w:id="279"/>
      <w:r>
        <w:rPr/>
      </w:r>
      <w:r>
        <w:rPr/>
        <w:t>17.0 TABLES, DIAGRAMS, FLOW CHARTS, AND VALIDATION DATA</w:t>
      </w:r>
    </w:p>
    <w:p>
      <w:pPr>
        <w:pStyle w:val="BodyText"/>
        <w:spacing w:before="2"/>
        <w:rPr>
          <w:sz w:val="24"/>
        </w:rPr>
      </w:pPr>
    </w:p>
    <w:p>
      <w:pPr>
        <w:pStyle w:val="BodyText"/>
        <w:spacing w:line="276" w:lineRule="auto" w:before="1"/>
        <w:ind w:left="1181" w:right="1789" w:firstLine="719"/>
      </w:pPr>
      <w:r>
        <w:rPr/>
        <w:t>The following pages contain the tables, figures, and appendices referenced by this method.</w:t>
      </w:r>
    </w:p>
    <w:p>
      <w:pPr>
        <w:spacing w:after="0" w:line="276" w:lineRule="auto"/>
        <w:sectPr>
          <w:pgSz w:w="12240" w:h="15840"/>
          <w:pgMar w:header="0" w:footer="1134" w:top="1060" w:bottom="1400" w:left="260" w:right="260"/>
        </w:sectPr>
      </w:pPr>
    </w:p>
    <w:p>
      <w:pPr>
        <w:pStyle w:val="BodyText"/>
        <w:spacing w:before="70"/>
        <w:ind w:left="1417" w:right="698"/>
        <w:jc w:val="center"/>
      </w:pPr>
      <w:bookmarkStart w:name="TABLE 1" w:id="280"/>
      <w:bookmarkEnd w:id="280"/>
      <w:r>
        <w:rPr/>
      </w:r>
      <w:bookmarkStart w:name="_bookmark17" w:id="281"/>
      <w:bookmarkEnd w:id="281"/>
      <w:r>
        <w:rPr/>
      </w:r>
      <w:r>
        <w:rPr/>
        <w:t>TABLE 1</w:t>
      </w:r>
    </w:p>
    <w:p>
      <w:pPr>
        <w:pStyle w:val="BodyText"/>
        <w:spacing w:before="159"/>
        <w:ind w:left="1417" w:right="698"/>
        <w:jc w:val="center"/>
      </w:pPr>
      <w:bookmarkStart w:name="SUGGESTED LLOQ AND CALIBRATION RANGE" w:id="282"/>
      <w:bookmarkEnd w:id="282"/>
      <w:r>
        <w:rPr/>
      </w:r>
      <w:bookmarkStart w:name="_bookmark18" w:id="283"/>
      <w:bookmarkEnd w:id="283"/>
      <w:r>
        <w:rPr/>
      </w:r>
      <w:r>
        <w:rPr/>
        <w:t>SUGGESTED LLOQ AND CALIBRATION RANGE</w:t>
      </w:r>
    </w:p>
    <w:p>
      <w:pPr>
        <w:pStyle w:val="BodyText"/>
        <w:rPr>
          <w:sz w:val="25"/>
        </w:rPr>
      </w:pPr>
    </w:p>
    <w:tbl>
      <w:tblPr>
        <w:tblW w:w="0" w:type="auto"/>
        <w:jc w:val="left"/>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94"/>
        <w:gridCol w:w="1690"/>
        <w:gridCol w:w="2423"/>
      </w:tblGrid>
      <w:tr>
        <w:trPr>
          <w:trHeight w:val="762" w:hRule="atLeast"/>
        </w:trPr>
        <w:tc>
          <w:tcPr>
            <w:tcW w:w="1994" w:type="dxa"/>
            <w:tcBorders>
              <w:top w:val="double" w:sz="1" w:space="0" w:color="000000"/>
              <w:bottom w:val="single" w:sz="4" w:space="0" w:color="000000"/>
            </w:tcBorders>
          </w:tcPr>
          <w:p>
            <w:pPr>
              <w:pStyle w:val="TableParagraph"/>
              <w:spacing w:before="5"/>
              <w:jc w:val="left"/>
              <w:rPr>
                <w:sz w:val="20"/>
              </w:rPr>
            </w:pPr>
          </w:p>
          <w:p>
            <w:pPr>
              <w:pStyle w:val="TableParagraph"/>
              <w:spacing w:before="1"/>
              <w:ind w:left="342" w:right="319"/>
              <w:rPr>
                <w:sz w:val="22"/>
              </w:rPr>
            </w:pPr>
            <w:r>
              <w:rPr>
                <w:sz w:val="22"/>
              </w:rPr>
              <w:t>Analyte</w:t>
            </w:r>
          </w:p>
        </w:tc>
        <w:tc>
          <w:tcPr>
            <w:tcW w:w="1690" w:type="dxa"/>
            <w:tcBorders>
              <w:top w:val="double" w:sz="1" w:space="0" w:color="000000"/>
              <w:bottom w:val="single" w:sz="4" w:space="0" w:color="000000"/>
            </w:tcBorders>
          </w:tcPr>
          <w:p>
            <w:pPr>
              <w:pStyle w:val="TableParagraph"/>
              <w:spacing w:before="60"/>
              <w:ind w:left="328" w:right="270"/>
              <w:rPr>
                <w:sz w:val="22"/>
              </w:rPr>
            </w:pPr>
            <w:r>
              <w:rPr>
                <w:sz w:val="22"/>
              </w:rPr>
              <w:t>Suggested</w:t>
            </w:r>
          </w:p>
          <w:p>
            <w:pPr>
              <w:pStyle w:val="TableParagraph"/>
              <w:spacing w:before="99"/>
              <w:ind w:left="328" w:right="270"/>
              <w:rPr>
                <w:sz w:val="22"/>
              </w:rPr>
            </w:pPr>
            <w:r>
              <w:rPr>
                <w:sz w:val="22"/>
              </w:rPr>
              <w:t>LLOQ</w:t>
            </w:r>
          </w:p>
        </w:tc>
        <w:tc>
          <w:tcPr>
            <w:tcW w:w="2423" w:type="dxa"/>
            <w:tcBorders>
              <w:top w:val="double" w:sz="1" w:space="0" w:color="000000"/>
              <w:bottom w:val="single" w:sz="4" w:space="0" w:color="000000"/>
            </w:tcBorders>
          </w:tcPr>
          <w:p>
            <w:pPr>
              <w:pStyle w:val="TableParagraph"/>
              <w:spacing w:before="60"/>
              <w:ind w:left="268" w:right="243"/>
              <w:rPr>
                <w:sz w:val="22"/>
              </w:rPr>
            </w:pPr>
            <w:r>
              <w:rPr>
                <w:sz w:val="22"/>
              </w:rPr>
              <w:t>Calibration Ranges</w:t>
            </w:r>
          </w:p>
          <w:p>
            <w:pPr>
              <w:pStyle w:val="TableParagraph"/>
              <w:spacing w:before="99"/>
              <w:ind w:left="268" w:right="242"/>
              <w:rPr>
                <w:sz w:val="22"/>
              </w:rPr>
            </w:pPr>
            <w:r>
              <w:rPr>
                <w:sz w:val="22"/>
              </w:rPr>
              <w:t>(ng/L)</w:t>
            </w:r>
          </w:p>
        </w:tc>
      </w:tr>
      <w:tr>
        <w:trPr>
          <w:trHeight w:val="395" w:hRule="atLeast"/>
        </w:trPr>
        <w:tc>
          <w:tcPr>
            <w:tcW w:w="1994" w:type="dxa"/>
            <w:tcBorders>
              <w:top w:val="single" w:sz="4" w:space="0" w:color="000000"/>
            </w:tcBorders>
          </w:tcPr>
          <w:p>
            <w:pPr>
              <w:pStyle w:val="TableParagraph"/>
              <w:spacing w:before="60"/>
              <w:ind w:left="342" w:right="321"/>
              <w:rPr>
                <w:sz w:val="22"/>
              </w:rPr>
            </w:pPr>
            <w:r>
              <w:rPr>
                <w:sz w:val="22"/>
              </w:rPr>
              <w:t>PFTeDA</w:t>
            </w:r>
          </w:p>
        </w:tc>
        <w:tc>
          <w:tcPr>
            <w:tcW w:w="1690" w:type="dxa"/>
            <w:tcBorders>
              <w:top w:val="single" w:sz="4" w:space="0" w:color="000000"/>
            </w:tcBorders>
          </w:tcPr>
          <w:p>
            <w:pPr>
              <w:pStyle w:val="TableParagraph"/>
              <w:spacing w:before="60"/>
              <w:ind w:right="690"/>
              <w:jc w:val="right"/>
              <w:rPr>
                <w:sz w:val="22"/>
              </w:rPr>
            </w:pPr>
            <w:r>
              <w:rPr>
                <w:w w:val="95"/>
                <w:sz w:val="22"/>
              </w:rPr>
              <w:t>40</w:t>
            </w:r>
          </w:p>
        </w:tc>
        <w:tc>
          <w:tcPr>
            <w:tcW w:w="2423" w:type="dxa"/>
            <w:tcBorders>
              <w:top w:val="single" w:sz="4" w:space="0" w:color="000000"/>
            </w:tcBorders>
          </w:tcPr>
          <w:p>
            <w:pPr>
              <w:pStyle w:val="TableParagraph"/>
              <w:spacing w:before="60"/>
              <w:ind w:left="268" w:right="243"/>
              <w:rPr>
                <w:sz w:val="22"/>
              </w:rPr>
            </w:pPr>
            <w:r>
              <w:rPr>
                <w:sz w:val="22"/>
              </w:rPr>
              <w:t>10 - 400</w:t>
            </w:r>
          </w:p>
        </w:tc>
      </w:tr>
      <w:tr>
        <w:trPr>
          <w:trHeight w:val="411" w:hRule="atLeast"/>
        </w:trPr>
        <w:tc>
          <w:tcPr>
            <w:tcW w:w="1994" w:type="dxa"/>
          </w:tcPr>
          <w:p>
            <w:pPr>
              <w:pStyle w:val="TableParagraph"/>
              <w:spacing w:before="75"/>
              <w:ind w:left="342" w:right="319"/>
              <w:rPr>
                <w:sz w:val="22"/>
              </w:rPr>
            </w:pPr>
            <w:r>
              <w:rPr>
                <w:sz w:val="22"/>
              </w:rPr>
              <w:t>PFTrDA</w:t>
            </w:r>
          </w:p>
        </w:tc>
        <w:tc>
          <w:tcPr>
            <w:tcW w:w="1690" w:type="dxa"/>
          </w:tcPr>
          <w:p>
            <w:pPr>
              <w:pStyle w:val="TableParagraph"/>
              <w:spacing w:before="75"/>
              <w:ind w:right="690"/>
              <w:jc w:val="right"/>
              <w:rPr>
                <w:sz w:val="22"/>
              </w:rPr>
            </w:pPr>
            <w:r>
              <w:rPr>
                <w:w w:val="95"/>
                <w:sz w:val="22"/>
              </w:rPr>
              <w:t>40</w:t>
            </w:r>
          </w:p>
        </w:tc>
        <w:tc>
          <w:tcPr>
            <w:tcW w:w="2423" w:type="dxa"/>
          </w:tcPr>
          <w:p>
            <w:pPr>
              <w:pStyle w:val="TableParagraph"/>
              <w:spacing w:before="75"/>
              <w:ind w:left="268" w:right="243"/>
              <w:rPr>
                <w:sz w:val="22"/>
              </w:rPr>
            </w:pPr>
            <w:r>
              <w:rPr>
                <w:sz w:val="22"/>
              </w:rPr>
              <w:t>10 - 400</w:t>
            </w:r>
          </w:p>
        </w:tc>
      </w:tr>
      <w:tr>
        <w:trPr>
          <w:trHeight w:val="410" w:hRule="atLeast"/>
        </w:trPr>
        <w:tc>
          <w:tcPr>
            <w:tcW w:w="1994" w:type="dxa"/>
          </w:tcPr>
          <w:p>
            <w:pPr>
              <w:pStyle w:val="TableParagraph"/>
              <w:spacing w:before="75"/>
              <w:ind w:left="342" w:right="321"/>
              <w:rPr>
                <w:sz w:val="22"/>
              </w:rPr>
            </w:pPr>
            <w:r>
              <w:rPr>
                <w:sz w:val="22"/>
              </w:rPr>
              <w:t>PFDoA</w:t>
            </w:r>
          </w:p>
        </w:tc>
        <w:tc>
          <w:tcPr>
            <w:tcW w:w="1690" w:type="dxa"/>
          </w:tcPr>
          <w:p>
            <w:pPr>
              <w:pStyle w:val="TableParagraph"/>
              <w:spacing w:before="75"/>
              <w:ind w:right="690"/>
              <w:jc w:val="right"/>
              <w:rPr>
                <w:sz w:val="22"/>
              </w:rPr>
            </w:pPr>
            <w:r>
              <w:rPr>
                <w:w w:val="95"/>
                <w:sz w:val="22"/>
              </w:rPr>
              <w:t>40</w:t>
            </w:r>
          </w:p>
        </w:tc>
        <w:tc>
          <w:tcPr>
            <w:tcW w:w="2423" w:type="dxa"/>
          </w:tcPr>
          <w:p>
            <w:pPr>
              <w:pStyle w:val="TableParagraph"/>
              <w:spacing w:before="75"/>
              <w:ind w:left="268" w:right="243"/>
              <w:rPr>
                <w:sz w:val="22"/>
              </w:rPr>
            </w:pPr>
            <w:r>
              <w:rPr>
                <w:sz w:val="22"/>
              </w:rPr>
              <w:t>10 - 400</w:t>
            </w:r>
          </w:p>
        </w:tc>
      </w:tr>
      <w:tr>
        <w:trPr>
          <w:trHeight w:val="410" w:hRule="atLeast"/>
        </w:trPr>
        <w:tc>
          <w:tcPr>
            <w:tcW w:w="1994" w:type="dxa"/>
          </w:tcPr>
          <w:p>
            <w:pPr>
              <w:pStyle w:val="TableParagraph"/>
              <w:spacing w:before="75"/>
              <w:ind w:left="342" w:right="321"/>
              <w:rPr>
                <w:sz w:val="22"/>
              </w:rPr>
            </w:pPr>
            <w:r>
              <w:rPr>
                <w:sz w:val="22"/>
              </w:rPr>
              <w:t>PFUdA</w:t>
            </w:r>
          </w:p>
        </w:tc>
        <w:tc>
          <w:tcPr>
            <w:tcW w:w="1690" w:type="dxa"/>
          </w:tcPr>
          <w:p>
            <w:pPr>
              <w:pStyle w:val="TableParagraph"/>
              <w:spacing w:before="75"/>
              <w:ind w:right="691"/>
              <w:jc w:val="right"/>
              <w:rPr>
                <w:sz w:val="22"/>
              </w:rPr>
            </w:pPr>
            <w:r>
              <w:rPr>
                <w:w w:val="95"/>
                <w:sz w:val="22"/>
              </w:rPr>
              <w:t>40</w:t>
            </w:r>
          </w:p>
        </w:tc>
        <w:tc>
          <w:tcPr>
            <w:tcW w:w="2423" w:type="dxa"/>
          </w:tcPr>
          <w:p>
            <w:pPr>
              <w:pStyle w:val="TableParagraph"/>
              <w:spacing w:before="75"/>
              <w:ind w:left="268" w:right="243"/>
              <w:rPr>
                <w:sz w:val="22"/>
              </w:rPr>
            </w:pPr>
            <w:r>
              <w:rPr>
                <w:sz w:val="22"/>
              </w:rPr>
              <w:t>10 - 400</w:t>
            </w:r>
          </w:p>
        </w:tc>
      </w:tr>
      <w:tr>
        <w:trPr>
          <w:trHeight w:val="410" w:hRule="atLeast"/>
        </w:trPr>
        <w:tc>
          <w:tcPr>
            <w:tcW w:w="1994" w:type="dxa"/>
          </w:tcPr>
          <w:p>
            <w:pPr>
              <w:pStyle w:val="TableParagraph"/>
              <w:spacing w:before="75"/>
              <w:ind w:left="342" w:right="322"/>
              <w:rPr>
                <w:sz w:val="22"/>
              </w:rPr>
            </w:pPr>
            <w:r>
              <w:rPr>
                <w:sz w:val="22"/>
              </w:rPr>
              <w:t>PFDA</w:t>
            </w:r>
          </w:p>
        </w:tc>
        <w:tc>
          <w:tcPr>
            <w:tcW w:w="1690" w:type="dxa"/>
          </w:tcPr>
          <w:p>
            <w:pPr>
              <w:pStyle w:val="TableParagraph"/>
              <w:spacing w:before="75"/>
              <w:ind w:right="691"/>
              <w:jc w:val="right"/>
              <w:rPr>
                <w:sz w:val="22"/>
              </w:rPr>
            </w:pPr>
            <w:r>
              <w:rPr>
                <w:w w:val="95"/>
                <w:sz w:val="22"/>
              </w:rPr>
              <w:t>10</w:t>
            </w:r>
          </w:p>
        </w:tc>
        <w:tc>
          <w:tcPr>
            <w:tcW w:w="2423" w:type="dxa"/>
          </w:tcPr>
          <w:p>
            <w:pPr>
              <w:pStyle w:val="TableParagraph"/>
              <w:spacing w:before="75"/>
              <w:ind w:left="267" w:right="243"/>
              <w:rPr>
                <w:sz w:val="22"/>
              </w:rPr>
            </w:pPr>
            <w:r>
              <w:rPr>
                <w:sz w:val="22"/>
              </w:rPr>
              <w:t>10 - 400</w:t>
            </w:r>
          </w:p>
        </w:tc>
      </w:tr>
      <w:tr>
        <w:trPr>
          <w:trHeight w:val="410" w:hRule="atLeast"/>
        </w:trPr>
        <w:tc>
          <w:tcPr>
            <w:tcW w:w="1994" w:type="dxa"/>
          </w:tcPr>
          <w:p>
            <w:pPr>
              <w:pStyle w:val="TableParagraph"/>
              <w:spacing w:before="75"/>
              <w:ind w:left="342" w:right="322"/>
              <w:rPr>
                <w:sz w:val="22"/>
              </w:rPr>
            </w:pPr>
            <w:r>
              <w:rPr>
                <w:sz w:val="22"/>
              </w:rPr>
              <w:t>PFDS</w:t>
            </w:r>
          </w:p>
        </w:tc>
        <w:tc>
          <w:tcPr>
            <w:tcW w:w="1690" w:type="dxa"/>
          </w:tcPr>
          <w:p>
            <w:pPr>
              <w:pStyle w:val="TableParagraph"/>
              <w:spacing w:before="75"/>
              <w:ind w:right="691"/>
              <w:jc w:val="right"/>
              <w:rPr>
                <w:sz w:val="22"/>
              </w:rPr>
            </w:pPr>
            <w:r>
              <w:rPr>
                <w:w w:val="95"/>
                <w:sz w:val="22"/>
              </w:rPr>
              <w:t>10</w:t>
            </w:r>
          </w:p>
        </w:tc>
        <w:tc>
          <w:tcPr>
            <w:tcW w:w="2423" w:type="dxa"/>
          </w:tcPr>
          <w:p>
            <w:pPr>
              <w:pStyle w:val="TableParagraph"/>
              <w:spacing w:before="75"/>
              <w:ind w:left="267" w:right="243"/>
              <w:rPr>
                <w:sz w:val="22"/>
              </w:rPr>
            </w:pPr>
            <w:r>
              <w:rPr>
                <w:sz w:val="22"/>
              </w:rPr>
              <w:t>10 - 400</w:t>
            </w:r>
          </w:p>
        </w:tc>
      </w:tr>
      <w:tr>
        <w:trPr>
          <w:trHeight w:val="410" w:hRule="atLeast"/>
        </w:trPr>
        <w:tc>
          <w:tcPr>
            <w:tcW w:w="1994" w:type="dxa"/>
          </w:tcPr>
          <w:p>
            <w:pPr>
              <w:pStyle w:val="TableParagraph"/>
              <w:spacing w:before="75"/>
              <w:ind w:left="342" w:right="323"/>
              <w:rPr>
                <w:sz w:val="22"/>
              </w:rPr>
            </w:pPr>
            <w:r>
              <w:rPr>
                <w:sz w:val="22"/>
              </w:rPr>
              <w:t>PFOS</w:t>
            </w:r>
          </w:p>
        </w:tc>
        <w:tc>
          <w:tcPr>
            <w:tcW w:w="1690" w:type="dxa"/>
          </w:tcPr>
          <w:p>
            <w:pPr>
              <w:pStyle w:val="TableParagraph"/>
              <w:spacing w:before="75"/>
              <w:ind w:right="691"/>
              <w:jc w:val="right"/>
              <w:rPr>
                <w:sz w:val="22"/>
              </w:rPr>
            </w:pPr>
            <w:r>
              <w:rPr>
                <w:w w:val="95"/>
                <w:sz w:val="22"/>
              </w:rPr>
              <w:t>10</w:t>
            </w:r>
          </w:p>
        </w:tc>
        <w:tc>
          <w:tcPr>
            <w:tcW w:w="2423" w:type="dxa"/>
          </w:tcPr>
          <w:p>
            <w:pPr>
              <w:pStyle w:val="TableParagraph"/>
              <w:spacing w:before="75"/>
              <w:ind w:left="266" w:right="243"/>
              <w:rPr>
                <w:sz w:val="22"/>
              </w:rPr>
            </w:pPr>
            <w:r>
              <w:rPr>
                <w:sz w:val="22"/>
              </w:rPr>
              <w:t>10 - 400</w:t>
            </w:r>
          </w:p>
        </w:tc>
      </w:tr>
      <w:tr>
        <w:trPr>
          <w:trHeight w:val="410" w:hRule="atLeast"/>
        </w:trPr>
        <w:tc>
          <w:tcPr>
            <w:tcW w:w="1994" w:type="dxa"/>
          </w:tcPr>
          <w:p>
            <w:pPr>
              <w:pStyle w:val="TableParagraph"/>
              <w:spacing w:before="75"/>
              <w:ind w:left="342" w:right="323"/>
              <w:rPr>
                <w:sz w:val="22"/>
              </w:rPr>
            </w:pPr>
            <w:r>
              <w:rPr>
                <w:sz w:val="22"/>
              </w:rPr>
              <w:t>PFNA</w:t>
            </w:r>
          </w:p>
        </w:tc>
        <w:tc>
          <w:tcPr>
            <w:tcW w:w="1690" w:type="dxa"/>
          </w:tcPr>
          <w:p>
            <w:pPr>
              <w:pStyle w:val="TableParagraph"/>
              <w:spacing w:before="75"/>
              <w:ind w:right="691"/>
              <w:jc w:val="right"/>
              <w:rPr>
                <w:sz w:val="22"/>
              </w:rPr>
            </w:pPr>
            <w:r>
              <w:rPr>
                <w:w w:val="95"/>
                <w:sz w:val="22"/>
              </w:rPr>
              <w:t>10</w:t>
            </w:r>
          </w:p>
        </w:tc>
        <w:tc>
          <w:tcPr>
            <w:tcW w:w="2423" w:type="dxa"/>
          </w:tcPr>
          <w:p>
            <w:pPr>
              <w:pStyle w:val="TableParagraph"/>
              <w:spacing w:before="75"/>
              <w:ind w:left="265" w:right="243"/>
              <w:rPr>
                <w:sz w:val="22"/>
              </w:rPr>
            </w:pPr>
            <w:r>
              <w:rPr>
                <w:sz w:val="22"/>
              </w:rPr>
              <w:t>10 - 400</w:t>
            </w:r>
          </w:p>
        </w:tc>
      </w:tr>
      <w:tr>
        <w:trPr>
          <w:trHeight w:val="410" w:hRule="atLeast"/>
        </w:trPr>
        <w:tc>
          <w:tcPr>
            <w:tcW w:w="1994" w:type="dxa"/>
          </w:tcPr>
          <w:p>
            <w:pPr>
              <w:pStyle w:val="TableParagraph"/>
              <w:spacing w:before="75"/>
              <w:ind w:left="342" w:right="324"/>
              <w:rPr>
                <w:sz w:val="22"/>
              </w:rPr>
            </w:pPr>
            <w:r>
              <w:rPr>
                <w:sz w:val="22"/>
              </w:rPr>
              <w:t>PFNS</w:t>
            </w:r>
          </w:p>
        </w:tc>
        <w:tc>
          <w:tcPr>
            <w:tcW w:w="1690" w:type="dxa"/>
          </w:tcPr>
          <w:p>
            <w:pPr>
              <w:pStyle w:val="TableParagraph"/>
              <w:spacing w:before="75"/>
              <w:ind w:right="692"/>
              <w:jc w:val="right"/>
              <w:rPr>
                <w:sz w:val="22"/>
              </w:rPr>
            </w:pPr>
            <w:r>
              <w:rPr>
                <w:w w:val="95"/>
                <w:sz w:val="22"/>
              </w:rPr>
              <w:t>10</w:t>
            </w:r>
          </w:p>
        </w:tc>
        <w:tc>
          <w:tcPr>
            <w:tcW w:w="2423" w:type="dxa"/>
          </w:tcPr>
          <w:p>
            <w:pPr>
              <w:pStyle w:val="TableParagraph"/>
              <w:spacing w:before="75"/>
              <w:ind w:left="265" w:right="243"/>
              <w:rPr>
                <w:sz w:val="22"/>
              </w:rPr>
            </w:pPr>
            <w:r>
              <w:rPr>
                <w:sz w:val="22"/>
              </w:rPr>
              <w:t>10 - 400</w:t>
            </w:r>
          </w:p>
        </w:tc>
      </w:tr>
      <w:tr>
        <w:trPr>
          <w:trHeight w:val="410" w:hRule="atLeast"/>
        </w:trPr>
        <w:tc>
          <w:tcPr>
            <w:tcW w:w="1994" w:type="dxa"/>
          </w:tcPr>
          <w:p>
            <w:pPr>
              <w:pStyle w:val="TableParagraph"/>
              <w:spacing w:before="75"/>
              <w:ind w:left="342" w:right="325"/>
              <w:rPr>
                <w:sz w:val="22"/>
              </w:rPr>
            </w:pPr>
            <w:r>
              <w:rPr>
                <w:sz w:val="22"/>
              </w:rPr>
              <w:t>PFOA</w:t>
            </w:r>
          </w:p>
        </w:tc>
        <w:tc>
          <w:tcPr>
            <w:tcW w:w="1690" w:type="dxa"/>
          </w:tcPr>
          <w:p>
            <w:pPr>
              <w:pStyle w:val="TableParagraph"/>
              <w:spacing w:before="75"/>
              <w:ind w:right="692"/>
              <w:jc w:val="right"/>
              <w:rPr>
                <w:sz w:val="22"/>
              </w:rPr>
            </w:pPr>
            <w:r>
              <w:rPr>
                <w:w w:val="95"/>
                <w:sz w:val="22"/>
              </w:rPr>
              <w:t>10</w:t>
            </w:r>
          </w:p>
        </w:tc>
        <w:tc>
          <w:tcPr>
            <w:tcW w:w="2423" w:type="dxa"/>
          </w:tcPr>
          <w:p>
            <w:pPr>
              <w:pStyle w:val="TableParagraph"/>
              <w:spacing w:before="75"/>
              <w:ind w:left="264" w:right="243"/>
              <w:rPr>
                <w:sz w:val="22"/>
              </w:rPr>
            </w:pPr>
            <w:r>
              <w:rPr>
                <w:sz w:val="22"/>
              </w:rPr>
              <w:t>10 - 400</w:t>
            </w:r>
          </w:p>
        </w:tc>
      </w:tr>
      <w:tr>
        <w:trPr>
          <w:trHeight w:val="410" w:hRule="atLeast"/>
        </w:trPr>
        <w:tc>
          <w:tcPr>
            <w:tcW w:w="1994" w:type="dxa"/>
          </w:tcPr>
          <w:p>
            <w:pPr>
              <w:pStyle w:val="TableParagraph"/>
              <w:spacing w:before="75"/>
              <w:ind w:left="342" w:right="324"/>
              <w:rPr>
                <w:sz w:val="22"/>
              </w:rPr>
            </w:pPr>
            <w:r>
              <w:rPr>
                <w:sz w:val="22"/>
              </w:rPr>
              <w:t>PFHpS</w:t>
            </w:r>
          </w:p>
        </w:tc>
        <w:tc>
          <w:tcPr>
            <w:tcW w:w="1690" w:type="dxa"/>
          </w:tcPr>
          <w:p>
            <w:pPr>
              <w:pStyle w:val="TableParagraph"/>
              <w:spacing w:before="75"/>
              <w:ind w:right="692"/>
              <w:jc w:val="right"/>
              <w:rPr>
                <w:sz w:val="22"/>
              </w:rPr>
            </w:pPr>
            <w:r>
              <w:rPr>
                <w:w w:val="95"/>
                <w:sz w:val="22"/>
              </w:rPr>
              <w:t>40</w:t>
            </w:r>
          </w:p>
        </w:tc>
        <w:tc>
          <w:tcPr>
            <w:tcW w:w="2423" w:type="dxa"/>
          </w:tcPr>
          <w:p>
            <w:pPr>
              <w:pStyle w:val="TableParagraph"/>
              <w:spacing w:before="75"/>
              <w:ind w:left="264" w:right="243"/>
              <w:rPr>
                <w:sz w:val="22"/>
              </w:rPr>
            </w:pPr>
            <w:r>
              <w:rPr>
                <w:sz w:val="22"/>
              </w:rPr>
              <w:t>10 - 400</w:t>
            </w:r>
          </w:p>
        </w:tc>
      </w:tr>
      <w:tr>
        <w:trPr>
          <w:trHeight w:val="410" w:hRule="atLeast"/>
        </w:trPr>
        <w:tc>
          <w:tcPr>
            <w:tcW w:w="1994" w:type="dxa"/>
          </w:tcPr>
          <w:p>
            <w:pPr>
              <w:pStyle w:val="TableParagraph"/>
              <w:spacing w:before="75"/>
              <w:ind w:left="342" w:right="325"/>
              <w:rPr>
                <w:sz w:val="22"/>
              </w:rPr>
            </w:pPr>
            <w:r>
              <w:rPr>
                <w:sz w:val="22"/>
              </w:rPr>
              <w:t>PFHxS</w:t>
            </w:r>
          </w:p>
        </w:tc>
        <w:tc>
          <w:tcPr>
            <w:tcW w:w="1690" w:type="dxa"/>
          </w:tcPr>
          <w:p>
            <w:pPr>
              <w:pStyle w:val="TableParagraph"/>
              <w:spacing w:before="75"/>
              <w:ind w:right="692"/>
              <w:jc w:val="right"/>
              <w:rPr>
                <w:sz w:val="22"/>
              </w:rPr>
            </w:pPr>
            <w:r>
              <w:rPr>
                <w:w w:val="95"/>
                <w:sz w:val="22"/>
              </w:rPr>
              <w:t>40</w:t>
            </w:r>
          </w:p>
        </w:tc>
        <w:tc>
          <w:tcPr>
            <w:tcW w:w="2423" w:type="dxa"/>
          </w:tcPr>
          <w:p>
            <w:pPr>
              <w:pStyle w:val="TableParagraph"/>
              <w:spacing w:before="75"/>
              <w:ind w:left="264" w:right="243"/>
              <w:rPr>
                <w:sz w:val="22"/>
              </w:rPr>
            </w:pPr>
            <w:r>
              <w:rPr>
                <w:sz w:val="22"/>
              </w:rPr>
              <w:t>10 - 400</w:t>
            </w:r>
          </w:p>
        </w:tc>
      </w:tr>
      <w:tr>
        <w:trPr>
          <w:trHeight w:val="410" w:hRule="atLeast"/>
        </w:trPr>
        <w:tc>
          <w:tcPr>
            <w:tcW w:w="1994" w:type="dxa"/>
          </w:tcPr>
          <w:p>
            <w:pPr>
              <w:pStyle w:val="TableParagraph"/>
              <w:spacing w:before="75"/>
              <w:ind w:left="342" w:right="325"/>
              <w:rPr>
                <w:sz w:val="22"/>
              </w:rPr>
            </w:pPr>
            <w:r>
              <w:rPr>
                <w:sz w:val="22"/>
              </w:rPr>
              <w:t>PFHpA</w:t>
            </w:r>
          </w:p>
        </w:tc>
        <w:tc>
          <w:tcPr>
            <w:tcW w:w="1690" w:type="dxa"/>
          </w:tcPr>
          <w:p>
            <w:pPr>
              <w:pStyle w:val="TableParagraph"/>
              <w:spacing w:before="75"/>
              <w:ind w:right="692"/>
              <w:jc w:val="right"/>
              <w:rPr>
                <w:sz w:val="22"/>
              </w:rPr>
            </w:pPr>
            <w:r>
              <w:rPr>
                <w:w w:val="95"/>
                <w:sz w:val="22"/>
              </w:rPr>
              <w:t>40</w:t>
            </w:r>
          </w:p>
        </w:tc>
        <w:tc>
          <w:tcPr>
            <w:tcW w:w="2423" w:type="dxa"/>
          </w:tcPr>
          <w:p>
            <w:pPr>
              <w:pStyle w:val="TableParagraph"/>
              <w:spacing w:before="75"/>
              <w:ind w:left="264" w:right="243"/>
              <w:rPr>
                <w:sz w:val="22"/>
              </w:rPr>
            </w:pPr>
            <w:r>
              <w:rPr>
                <w:sz w:val="22"/>
              </w:rPr>
              <w:t>10 - 400</w:t>
            </w:r>
          </w:p>
        </w:tc>
      </w:tr>
      <w:tr>
        <w:trPr>
          <w:trHeight w:val="410" w:hRule="atLeast"/>
        </w:trPr>
        <w:tc>
          <w:tcPr>
            <w:tcW w:w="1994" w:type="dxa"/>
          </w:tcPr>
          <w:p>
            <w:pPr>
              <w:pStyle w:val="TableParagraph"/>
              <w:spacing w:before="75"/>
              <w:ind w:left="342" w:right="325"/>
              <w:rPr>
                <w:sz w:val="22"/>
              </w:rPr>
            </w:pPr>
            <w:r>
              <w:rPr>
                <w:sz w:val="22"/>
              </w:rPr>
              <w:t>PFHxA</w:t>
            </w:r>
          </w:p>
        </w:tc>
        <w:tc>
          <w:tcPr>
            <w:tcW w:w="1690" w:type="dxa"/>
          </w:tcPr>
          <w:p>
            <w:pPr>
              <w:pStyle w:val="TableParagraph"/>
              <w:spacing w:before="75"/>
              <w:ind w:right="693"/>
              <w:jc w:val="right"/>
              <w:rPr>
                <w:sz w:val="22"/>
              </w:rPr>
            </w:pPr>
            <w:r>
              <w:rPr>
                <w:w w:val="95"/>
                <w:sz w:val="22"/>
              </w:rPr>
              <w:t>40</w:t>
            </w:r>
          </w:p>
        </w:tc>
        <w:tc>
          <w:tcPr>
            <w:tcW w:w="2423" w:type="dxa"/>
          </w:tcPr>
          <w:p>
            <w:pPr>
              <w:pStyle w:val="TableParagraph"/>
              <w:spacing w:before="75"/>
              <w:ind w:left="264" w:right="243"/>
              <w:rPr>
                <w:sz w:val="22"/>
              </w:rPr>
            </w:pPr>
            <w:r>
              <w:rPr>
                <w:sz w:val="22"/>
              </w:rPr>
              <w:t>10 - 400</w:t>
            </w:r>
          </w:p>
        </w:tc>
      </w:tr>
      <w:tr>
        <w:trPr>
          <w:trHeight w:val="410" w:hRule="atLeast"/>
        </w:trPr>
        <w:tc>
          <w:tcPr>
            <w:tcW w:w="1994" w:type="dxa"/>
          </w:tcPr>
          <w:p>
            <w:pPr>
              <w:pStyle w:val="TableParagraph"/>
              <w:spacing w:before="75"/>
              <w:ind w:left="342" w:right="325"/>
              <w:rPr>
                <w:sz w:val="22"/>
              </w:rPr>
            </w:pPr>
            <w:r>
              <w:rPr>
                <w:sz w:val="22"/>
              </w:rPr>
              <w:t>PFBS</w:t>
            </w:r>
          </w:p>
        </w:tc>
        <w:tc>
          <w:tcPr>
            <w:tcW w:w="1690" w:type="dxa"/>
          </w:tcPr>
          <w:p>
            <w:pPr>
              <w:pStyle w:val="TableParagraph"/>
              <w:spacing w:before="75"/>
              <w:ind w:right="693"/>
              <w:jc w:val="right"/>
              <w:rPr>
                <w:sz w:val="22"/>
              </w:rPr>
            </w:pPr>
            <w:r>
              <w:rPr>
                <w:w w:val="95"/>
                <w:sz w:val="22"/>
              </w:rPr>
              <w:t>10</w:t>
            </w:r>
          </w:p>
        </w:tc>
        <w:tc>
          <w:tcPr>
            <w:tcW w:w="2423" w:type="dxa"/>
          </w:tcPr>
          <w:p>
            <w:pPr>
              <w:pStyle w:val="TableParagraph"/>
              <w:spacing w:before="75"/>
              <w:ind w:left="263" w:right="243"/>
              <w:rPr>
                <w:sz w:val="22"/>
              </w:rPr>
            </w:pPr>
            <w:r>
              <w:rPr>
                <w:sz w:val="22"/>
              </w:rPr>
              <w:t>10 - 400</w:t>
            </w:r>
          </w:p>
        </w:tc>
      </w:tr>
      <w:tr>
        <w:trPr>
          <w:trHeight w:val="410" w:hRule="atLeast"/>
        </w:trPr>
        <w:tc>
          <w:tcPr>
            <w:tcW w:w="1994" w:type="dxa"/>
          </w:tcPr>
          <w:p>
            <w:pPr>
              <w:pStyle w:val="TableParagraph"/>
              <w:spacing w:before="75"/>
              <w:ind w:left="342" w:right="326"/>
              <w:rPr>
                <w:sz w:val="22"/>
              </w:rPr>
            </w:pPr>
            <w:r>
              <w:rPr>
                <w:sz w:val="22"/>
              </w:rPr>
              <w:t>PFPeS</w:t>
            </w:r>
          </w:p>
        </w:tc>
        <w:tc>
          <w:tcPr>
            <w:tcW w:w="1690" w:type="dxa"/>
          </w:tcPr>
          <w:p>
            <w:pPr>
              <w:pStyle w:val="TableParagraph"/>
              <w:spacing w:before="75"/>
              <w:ind w:right="693"/>
              <w:jc w:val="right"/>
              <w:rPr>
                <w:sz w:val="22"/>
              </w:rPr>
            </w:pPr>
            <w:r>
              <w:rPr>
                <w:w w:val="95"/>
                <w:sz w:val="22"/>
              </w:rPr>
              <w:t>10</w:t>
            </w:r>
          </w:p>
        </w:tc>
        <w:tc>
          <w:tcPr>
            <w:tcW w:w="2423" w:type="dxa"/>
          </w:tcPr>
          <w:p>
            <w:pPr>
              <w:pStyle w:val="TableParagraph"/>
              <w:spacing w:before="75"/>
              <w:ind w:left="263" w:right="243"/>
              <w:rPr>
                <w:sz w:val="22"/>
              </w:rPr>
            </w:pPr>
            <w:r>
              <w:rPr>
                <w:sz w:val="22"/>
              </w:rPr>
              <w:t>10 - 400</w:t>
            </w:r>
          </w:p>
        </w:tc>
      </w:tr>
      <w:tr>
        <w:trPr>
          <w:trHeight w:val="410" w:hRule="atLeast"/>
        </w:trPr>
        <w:tc>
          <w:tcPr>
            <w:tcW w:w="1994" w:type="dxa"/>
          </w:tcPr>
          <w:p>
            <w:pPr>
              <w:pStyle w:val="TableParagraph"/>
              <w:spacing w:before="75"/>
              <w:ind w:left="342" w:right="326"/>
              <w:rPr>
                <w:sz w:val="22"/>
              </w:rPr>
            </w:pPr>
            <w:r>
              <w:rPr>
                <w:sz w:val="22"/>
              </w:rPr>
              <w:t>PFPeA</w:t>
            </w:r>
          </w:p>
        </w:tc>
        <w:tc>
          <w:tcPr>
            <w:tcW w:w="1690" w:type="dxa"/>
          </w:tcPr>
          <w:p>
            <w:pPr>
              <w:pStyle w:val="TableParagraph"/>
              <w:spacing w:before="75"/>
              <w:ind w:right="693"/>
              <w:jc w:val="right"/>
              <w:rPr>
                <w:sz w:val="22"/>
              </w:rPr>
            </w:pPr>
            <w:r>
              <w:rPr>
                <w:w w:val="95"/>
                <w:sz w:val="22"/>
              </w:rPr>
              <w:t>50</w:t>
            </w:r>
          </w:p>
        </w:tc>
        <w:tc>
          <w:tcPr>
            <w:tcW w:w="2423" w:type="dxa"/>
          </w:tcPr>
          <w:p>
            <w:pPr>
              <w:pStyle w:val="TableParagraph"/>
              <w:spacing w:before="75"/>
              <w:ind w:left="262" w:right="243"/>
              <w:rPr>
                <w:sz w:val="22"/>
              </w:rPr>
            </w:pPr>
            <w:r>
              <w:rPr>
                <w:sz w:val="22"/>
              </w:rPr>
              <w:t>10 - 400</w:t>
            </w:r>
          </w:p>
        </w:tc>
      </w:tr>
      <w:tr>
        <w:trPr>
          <w:trHeight w:val="410" w:hRule="atLeast"/>
        </w:trPr>
        <w:tc>
          <w:tcPr>
            <w:tcW w:w="1994" w:type="dxa"/>
          </w:tcPr>
          <w:p>
            <w:pPr>
              <w:pStyle w:val="TableParagraph"/>
              <w:spacing w:before="75"/>
              <w:ind w:left="342" w:right="327"/>
              <w:rPr>
                <w:sz w:val="22"/>
              </w:rPr>
            </w:pPr>
            <w:r>
              <w:rPr>
                <w:sz w:val="22"/>
              </w:rPr>
              <w:t>PFBA</w:t>
            </w:r>
          </w:p>
        </w:tc>
        <w:tc>
          <w:tcPr>
            <w:tcW w:w="1690" w:type="dxa"/>
          </w:tcPr>
          <w:p>
            <w:pPr>
              <w:pStyle w:val="TableParagraph"/>
              <w:spacing w:before="75"/>
              <w:ind w:right="693"/>
              <w:jc w:val="right"/>
              <w:rPr>
                <w:sz w:val="22"/>
              </w:rPr>
            </w:pPr>
            <w:r>
              <w:rPr>
                <w:w w:val="95"/>
                <w:sz w:val="22"/>
              </w:rPr>
              <w:t>50</w:t>
            </w:r>
          </w:p>
        </w:tc>
        <w:tc>
          <w:tcPr>
            <w:tcW w:w="2423" w:type="dxa"/>
          </w:tcPr>
          <w:p>
            <w:pPr>
              <w:pStyle w:val="TableParagraph"/>
              <w:spacing w:before="75"/>
              <w:ind w:left="262" w:right="243"/>
              <w:rPr>
                <w:sz w:val="22"/>
              </w:rPr>
            </w:pPr>
            <w:r>
              <w:rPr>
                <w:sz w:val="22"/>
              </w:rPr>
              <w:t>10 - 400</w:t>
            </w:r>
          </w:p>
        </w:tc>
      </w:tr>
      <w:tr>
        <w:trPr>
          <w:trHeight w:val="410" w:hRule="atLeast"/>
        </w:trPr>
        <w:tc>
          <w:tcPr>
            <w:tcW w:w="1994" w:type="dxa"/>
          </w:tcPr>
          <w:p>
            <w:pPr>
              <w:pStyle w:val="TableParagraph"/>
              <w:spacing w:before="75"/>
              <w:ind w:left="342" w:right="327"/>
              <w:rPr>
                <w:sz w:val="22"/>
              </w:rPr>
            </w:pPr>
            <w:r>
              <w:rPr>
                <w:sz w:val="22"/>
              </w:rPr>
              <w:t>FOSA</w:t>
            </w:r>
          </w:p>
        </w:tc>
        <w:tc>
          <w:tcPr>
            <w:tcW w:w="1690" w:type="dxa"/>
          </w:tcPr>
          <w:p>
            <w:pPr>
              <w:pStyle w:val="TableParagraph"/>
              <w:spacing w:before="75"/>
              <w:ind w:right="693"/>
              <w:jc w:val="right"/>
              <w:rPr>
                <w:sz w:val="22"/>
              </w:rPr>
            </w:pPr>
            <w:r>
              <w:rPr>
                <w:w w:val="95"/>
                <w:sz w:val="22"/>
              </w:rPr>
              <w:t>10</w:t>
            </w:r>
          </w:p>
        </w:tc>
        <w:tc>
          <w:tcPr>
            <w:tcW w:w="2423" w:type="dxa"/>
          </w:tcPr>
          <w:p>
            <w:pPr>
              <w:pStyle w:val="TableParagraph"/>
              <w:spacing w:before="75"/>
              <w:ind w:left="261" w:right="243"/>
              <w:rPr>
                <w:sz w:val="22"/>
              </w:rPr>
            </w:pPr>
            <w:r>
              <w:rPr>
                <w:sz w:val="22"/>
              </w:rPr>
              <w:t>10 - 400</w:t>
            </w:r>
          </w:p>
        </w:tc>
      </w:tr>
      <w:tr>
        <w:trPr>
          <w:trHeight w:val="410" w:hRule="atLeast"/>
        </w:trPr>
        <w:tc>
          <w:tcPr>
            <w:tcW w:w="1994" w:type="dxa"/>
          </w:tcPr>
          <w:p>
            <w:pPr>
              <w:pStyle w:val="TableParagraph"/>
              <w:spacing w:before="75"/>
              <w:ind w:left="342" w:right="325"/>
              <w:rPr>
                <w:sz w:val="22"/>
              </w:rPr>
            </w:pPr>
            <w:r>
              <w:rPr>
                <w:sz w:val="22"/>
              </w:rPr>
              <w:t>4:2 FTS</w:t>
            </w:r>
          </w:p>
        </w:tc>
        <w:tc>
          <w:tcPr>
            <w:tcW w:w="1690" w:type="dxa"/>
          </w:tcPr>
          <w:p>
            <w:pPr>
              <w:pStyle w:val="TableParagraph"/>
              <w:spacing w:before="75"/>
              <w:ind w:right="694"/>
              <w:jc w:val="right"/>
              <w:rPr>
                <w:sz w:val="22"/>
              </w:rPr>
            </w:pPr>
            <w:r>
              <w:rPr>
                <w:w w:val="95"/>
                <w:sz w:val="22"/>
              </w:rPr>
              <w:t>10</w:t>
            </w:r>
          </w:p>
        </w:tc>
        <w:tc>
          <w:tcPr>
            <w:tcW w:w="2423" w:type="dxa"/>
          </w:tcPr>
          <w:p>
            <w:pPr>
              <w:pStyle w:val="TableParagraph"/>
              <w:spacing w:before="75"/>
              <w:ind w:left="261" w:right="243"/>
              <w:rPr>
                <w:sz w:val="22"/>
              </w:rPr>
            </w:pPr>
            <w:r>
              <w:rPr>
                <w:sz w:val="22"/>
              </w:rPr>
              <w:t>10 - 400</w:t>
            </w:r>
          </w:p>
        </w:tc>
      </w:tr>
      <w:tr>
        <w:trPr>
          <w:trHeight w:val="410" w:hRule="atLeast"/>
        </w:trPr>
        <w:tc>
          <w:tcPr>
            <w:tcW w:w="1994" w:type="dxa"/>
          </w:tcPr>
          <w:p>
            <w:pPr>
              <w:pStyle w:val="TableParagraph"/>
              <w:spacing w:before="75"/>
              <w:ind w:left="342" w:right="326"/>
              <w:rPr>
                <w:sz w:val="22"/>
              </w:rPr>
            </w:pPr>
            <w:r>
              <w:rPr>
                <w:sz w:val="22"/>
              </w:rPr>
              <w:t>6:2 FTS</w:t>
            </w:r>
          </w:p>
        </w:tc>
        <w:tc>
          <w:tcPr>
            <w:tcW w:w="1690" w:type="dxa"/>
          </w:tcPr>
          <w:p>
            <w:pPr>
              <w:pStyle w:val="TableParagraph"/>
              <w:spacing w:before="75"/>
              <w:ind w:right="694"/>
              <w:jc w:val="right"/>
              <w:rPr>
                <w:sz w:val="22"/>
              </w:rPr>
            </w:pPr>
            <w:r>
              <w:rPr>
                <w:w w:val="95"/>
                <w:sz w:val="22"/>
              </w:rPr>
              <w:t>40</w:t>
            </w:r>
          </w:p>
        </w:tc>
        <w:tc>
          <w:tcPr>
            <w:tcW w:w="2423" w:type="dxa"/>
          </w:tcPr>
          <w:p>
            <w:pPr>
              <w:pStyle w:val="TableParagraph"/>
              <w:spacing w:before="75"/>
              <w:ind w:left="261" w:right="243"/>
              <w:rPr>
                <w:sz w:val="22"/>
              </w:rPr>
            </w:pPr>
            <w:r>
              <w:rPr>
                <w:sz w:val="22"/>
              </w:rPr>
              <w:t>10 - 400</w:t>
            </w:r>
          </w:p>
        </w:tc>
      </w:tr>
      <w:tr>
        <w:trPr>
          <w:trHeight w:val="410" w:hRule="atLeast"/>
        </w:trPr>
        <w:tc>
          <w:tcPr>
            <w:tcW w:w="1994" w:type="dxa"/>
          </w:tcPr>
          <w:p>
            <w:pPr>
              <w:pStyle w:val="TableParagraph"/>
              <w:spacing w:before="75"/>
              <w:ind w:left="342" w:right="326"/>
              <w:rPr>
                <w:sz w:val="22"/>
              </w:rPr>
            </w:pPr>
            <w:r>
              <w:rPr>
                <w:sz w:val="22"/>
              </w:rPr>
              <w:t>8:2 FTS</w:t>
            </w:r>
          </w:p>
        </w:tc>
        <w:tc>
          <w:tcPr>
            <w:tcW w:w="1690" w:type="dxa"/>
          </w:tcPr>
          <w:p>
            <w:pPr>
              <w:pStyle w:val="TableParagraph"/>
              <w:spacing w:before="75"/>
              <w:ind w:right="694"/>
              <w:jc w:val="right"/>
              <w:rPr>
                <w:sz w:val="22"/>
              </w:rPr>
            </w:pPr>
            <w:r>
              <w:rPr>
                <w:w w:val="95"/>
                <w:sz w:val="22"/>
              </w:rPr>
              <w:t>40</w:t>
            </w:r>
          </w:p>
        </w:tc>
        <w:tc>
          <w:tcPr>
            <w:tcW w:w="2423" w:type="dxa"/>
          </w:tcPr>
          <w:p>
            <w:pPr>
              <w:pStyle w:val="TableParagraph"/>
              <w:spacing w:before="75"/>
              <w:ind w:left="260" w:right="243"/>
              <w:rPr>
                <w:sz w:val="22"/>
              </w:rPr>
            </w:pPr>
            <w:r>
              <w:rPr>
                <w:sz w:val="22"/>
              </w:rPr>
              <w:t>10 - 400</w:t>
            </w:r>
          </w:p>
        </w:tc>
      </w:tr>
      <w:tr>
        <w:trPr>
          <w:trHeight w:val="410" w:hRule="atLeast"/>
        </w:trPr>
        <w:tc>
          <w:tcPr>
            <w:tcW w:w="1994" w:type="dxa"/>
          </w:tcPr>
          <w:p>
            <w:pPr>
              <w:pStyle w:val="TableParagraph"/>
              <w:spacing w:before="75"/>
              <w:ind w:left="342" w:right="328"/>
              <w:rPr>
                <w:sz w:val="22"/>
              </w:rPr>
            </w:pPr>
            <w:r>
              <w:rPr>
                <w:sz w:val="22"/>
              </w:rPr>
              <w:t>N-EtFOSAA</w:t>
            </w:r>
          </w:p>
        </w:tc>
        <w:tc>
          <w:tcPr>
            <w:tcW w:w="1690" w:type="dxa"/>
          </w:tcPr>
          <w:p>
            <w:pPr>
              <w:pStyle w:val="TableParagraph"/>
              <w:spacing w:before="75"/>
              <w:ind w:right="696"/>
              <w:jc w:val="right"/>
              <w:rPr>
                <w:sz w:val="22"/>
              </w:rPr>
            </w:pPr>
            <w:r>
              <w:rPr>
                <w:w w:val="95"/>
                <w:sz w:val="22"/>
              </w:rPr>
              <w:t>40</w:t>
            </w:r>
          </w:p>
        </w:tc>
        <w:tc>
          <w:tcPr>
            <w:tcW w:w="2423" w:type="dxa"/>
          </w:tcPr>
          <w:p>
            <w:pPr>
              <w:pStyle w:val="TableParagraph"/>
              <w:spacing w:before="75"/>
              <w:ind w:left="260" w:right="243"/>
              <w:rPr>
                <w:sz w:val="22"/>
              </w:rPr>
            </w:pPr>
            <w:r>
              <w:rPr>
                <w:sz w:val="22"/>
              </w:rPr>
              <w:t>10 - 400</w:t>
            </w:r>
          </w:p>
        </w:tc>
      </w:tr>
      <w:tr>
        <w:trPr>
          <w:trHeight w:val="427" w:hRule="atLeast"/>
        </w:trPr>
        <w:tc>
          <w:tcPr>
            <w:tcW w:w="1994" w:type="dxa"/>
            <w:tcBorders>
              <w:bottom w:val="double" w:sz="1" w:space="0" w:color="000000"/>
            </w:tcBorders>
          </w:tcPr>
          <w:p>
            <w:pPr>
              <w:pStyle w:val="TableParagraph"/>
              <w:spacing w:before="75"/>
              <w:ind w:left="342" w:right="328"/>
              <w:rPr>
                <w:sz w:val="22"/>
              </w:rPr>
            </w:pPr>
            <w:r>
              <w:rPr>
                <w:sz w:val="22"/>
              </w:rPr>
              <w:t>N-MeFOSAA</w:t>
            </w:r>
          </w:p>
        </w:tc>
        <w:tc>
          <w:tcPr>
            <w:tcW w:w="1690" w:type="dxa"/>
            <w:tcBorders>
              <w:bottom w:val="double" w:sz="1" w:space="0" w:color="000000"/>
            </w:tcBorders>
          </w:tcPr>
          <w:p>
            <w:pPr>
              <w:pStyle w:val="TableParagraph"/>
              <w:spacing w:before="75"/>
              <w:ind w:right="695"/>
              <w:jc w:val="right"/>
              <w:rPr>
                <w:sz w:val="22"/>
              </w:rPr>
            </w:pPr>
            <w:r>
              <w:rPr>
                <w:w w:val="95"/>
                <w:sz w:val="22"/>
              </w:rPr>
              <w:t>40</w:t>
            </w:r>
          </w:p>
        </w:tc>
        <w:tc>
          <w:tcPr>
            <w:tcW w:w="2423" w:type="dxa"/>
            <w:tcBorders>
              <w:bottom w:val="double" w:sz="1" w:space="0" w:color="000000"/>
            </w:tcBorders>
          </w:tcPr>
          <w:p>
            <w:pPr>
              <w:pStyle w:val="TableParagraph"/>
              <w:spacing w:before="75"/>
              <w:ind w:left="260" w:right="243"/>
              <w:rPr>
                <w:sz w:val="22"/>
              </w:rPr>
            </w:pPr>
            <w:r>
              <w:rPr>
                <w:sz w:val="22"/>
              </w:rPr>
              <w:t>10 – 400</w:t>
            </w:r>
          </w:p>
        </w:tc>
      </w:tr>
    </w:tbl>
    <w:p>
      <w:pPr>
        <w:pStyle w:val="BodyText"/>
        <w:spacing w:line="276" w:lineRule="auto" w:before="9"/>
        <w:ind w:left="1179" w:right="1179" w:hanging="1"/>
      </w:pPr>
      <w:r>
        <w:rPr>
          <w:u w:val="single"/>
        </w:rPr>
        <w:t>NOTE</w:t>
      </w:r>
      <w:r>
        <w:rPr/>
        <w:t>: Calibration ranges listed in this table account for the 2-fold dilution factor of samples with methanol during preparation, so these LLOQs and the calibration ranges are a factor of two higher than the calibration standard concentrations provided in Table 4.</w:t>
      </w:r>
    </w:p>
    <w:p>
      <w:pPr>
        <w:spacing w:after="0" w:line="276" w:lineRule="auto"/>
        <w:sectPr>
          <w:pgSz w:w="12240" w:h="15840"/>
          <w:pgMar w:header="0" w:footer="1134" w:top="1060" w:bottom="1400" w:left="260" w:right="260"/>
        </w:sectPr>
      </w:pPr>
    </w:p>
    <w:p>
      <w:pPr>
        <w:pStyle w:val="BodyText"/>
        <w:spacing w:before="70"/>
        <w:ind w:left="1417" w:right="697"/>
        <w:jc w:val="center"/>
      </w:pPr>
      <w:bookmarkStart w:name="TABLE 2A" w:id="284"/>
      <w:bookmarkEnd w:id="284"/>
      <w:r>
        <w:rPr/>
      </w:r>
      <w:bookmarkStart w:name="_bookmark19" w:id="285"/>
      <w:bookmarkEnd w:id="285"/>
      <w:r>
        <w:rPr/>
      </w:r>
      <w:r>
        <w:rPr/>
        <w:t>TABLE 2A</w:t>
      </w:r>
    </w:p>
    <w:p>
      <w:pPr>
        <w:pStyle w:val="BodyText"/>
        <w:spacing w:before="159"/>
        <w:ind w:left="1417" w:right="698"/>
        <w:jc w:val="center"/>
      </w:pPr>
      <w:bookmarkStart w:name="LCS PERFORMANCE SUMMARY FROM MULTI-LABOR" w:id="286"/>
      <w:bookmarkEnd w:id="286"/>
      <w:r>
        <w:rPr/>
      </w:r>
      <w:bookmarkStart w:name="_bookmark20" w:id="287"/>
      <w:bookmarkEnd w:id="287"/>
      <w:r>
        <w:rPr/>
      </w:r>
      <w:r>
        <w:rPr/>
        <w:t>LCS PERFORMANCE SUMMARY FROM MULTI-LABORATORY VALIDATION STUDY</w:t>
      </w:r>
    </w:p>
    <w:p>
      <w:pPr>
        <w:pStyle w:val="BodyText"/>
        <w:spacing w:before="1"/>
        <w:rPr>
          <w:sz w:val="24"/>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5"/>
        <w:gridCol w:w="1260"/>
        <w:gridCol w:w="2070"/>
        <w:gridCol w:w="1511"/>
        <w:gridCol w:w="1279"/>
        <w:gridCol w:w="1890"/>
        <w:gridCol w:w="1494"/>
      </w:tblGrid>
      <w:tr>
        <w:trPr>
          <w:trHeight w:val="791" w:hRule="atLeast"/>
        </w:trPr>
        <w:tc>
          <w:tcPr>
            <w:tcW w:w="1975" w:type="dxa"/>
          </w:tcPr>
          <w:p>
            <w:pPr>
              <w:pStyle w:val="TableParagraph"/>
              <w:spacing w:before="0"/>
              <w:jc w:val="left"/>
              <w:rPr>
                <w:sz w:val="22"/>
              </w:rPr>
            </w:pPr>
          </w:p>
          <w:p>
            <w:pPr>
              <w:pStyle w:val="TableParagraph"/>
              <w:spacing w:before="153"/>
              <w:ind w:left="226" w:right="217"/>
              <w:rPr>
                <w:sz w:val="20"/>
              </w:rPr>
            </w:pPr>
            <w:r>
              <w:rPr>
                <w:sz w:val="20"/>
              </w:rPr>
              <w:t>Analyte</w:t>
            </w:r>
          </w:p>
        </w:tc>
        <w:tc>
          <w:tcPr>
            <w:tcW w:w="4841" w:type="dxa"/>
            <w:gridSpan w:val="3"/>
          </w:tcPr>
          <w:p>
            <w:pPr>
              <w:pStyle w:val="TableParagraph"/>
              <w:spacing w:before="7"/>
              <w:jc w:val="left"/>
              <w:rPr>
                <w:sz w:val="17"/>
              </w:rPr>
            </w:pPr>
          </w:p>
          <w:p>
            <w:pPr>
              <w:pStyle w:val="TableParagraph"/>
              <w:spacing w:before="1"/>
              <w:ind w:left="733"/>
              <w:jc w:val="left"/>
              <w:rPr>
                <w:sz w:val="20"/>
              </w:rPr>
            </w:pPr>
            <w:r>
              <w:rPr>
                <w:sz w:val="20"/>
              </w:rPr>
              <w:t>LCS Recovery (n=48, 160 ng/L, nom.)</w:t>
            </w:r>
          </w:p>
        </w:tc>
        <w:tc>
          <w:tcPr>
            <w:tcW w:w="4663" w:type="dxa"/>
            <w:gridSpan w:val="3"/>
          </w:tcPr>
          <w:p>
            <w:pPr>
              <w:pStyle w:val="TableParagraph"/>
              <w:spacing w:line="276" w:lineRule="auto" w:before="71"/>
              <w:ind w:left="1828" w:right="165" w:hanging="917"/>
              <w:jc w:val="left"/>
              <w:rPr>
                <w:sz w:val="20"/>
              </w:rPr>
            </w:pPr>
            <w:r>
              <w:rPr>
                <w:sz w:val="20"/>
              </w:rPr>
              <w:t>LCS/LCSD Relative % Difference (RPD, n=24 pairs)</w:t>
            </w:r>
          </w:p>
        </w:tc>
      </w:tr>
      <w:tr>
        <w:trPr>
          <w:trHeight w:val="1178" w:hRule="atLeast"/>
        </w:trPr>
        <w:tc>
          <w:tcPr>
            <w:tcW w:w="1975" w:type="dxa"/>
          </w:tcPr>
          <w:p>
            <w:pPr>
              <w:pStyle w:val="TableParagraph"/>
              <w:spacing w:before="0"/>
              <w:jc w:val="left"/>
              <w:rPr>
                <w:rFonts w:ascii="Times New Roman"/>
                <w:sz w:val="20"/>
              </w:rPr>
            </w:pPr>
          </w:p>
        </w:tc>
        <w:tc>
          <w:tcPr>
            <w:tcW w:w="1260" w:type="dxa"/>
          </w:tcPr>
          <w:p>
            <w:pPr>
              <w:pStyle w:val="TableParagraph"/>
              <w:spacing w:before="0"/>
              <w:jc w:val="left"/>
              <w:rPr>
                <w:sz w:val="23"/>
              </w:rPr>
            </w:pPr>
          </w:p>
          <w:p>
            <w:pPr>
              <w:pStyle w:val="TableParagraph"/>
              <w:spacing w:line="276" w:lineRule="auto" w:before="0"/>
              <w:ind w:left="245" w:right="233" w:hanging="1"/>
              <w:rPr>
                <w:sz w:val="20"/>
              </w:rPr>
            </w:pPr>
            <w:r>
              <w:rPr>
                <w:sz w:val="20"/>
              </w:rPr>
              <w:t>Average recovery (%)</w:t>
            </w:r>
          </w:p>
        </w:tc>
        <w:tc>
          <w:tcPr>
            <w:tcW w:w="2070" w:type="dxa"/>
          </w:tcPr>
          <w:p>
            <w:pPr>
              <w:pStyle w:val="TableParagraph"/>
              <w:spacing w:before="0"/>
              <w:jc w:val="left"/>
              <w:rPr>
                <w:sz w:val="22"/>
              </w:rPr>
            </w:pPr>
          </w:p>
          <w:p>
            <w:pPr>
              <w:pStyle w:val="TableParagraph"/>
              <w:spacing w:before="11"/>
              <w:jc w:val="left"/>
              <w:rPr>
                <w:sz w:val="23"/>
              </w:rPr>
            </w:pPr>
          </w:p>
          <w:p>
            <w:pPr>
              <w:pStyle w:val="TableParagraph"/>
              <w:spacing w:line="276" w:lineRule="auto" w:before="0"/>
              <w:ind w:left="500" w:right="155" w:hanging="317"/>
              <w:jc w:val="left"/>
              <w:rPr>
                <w:sz w:val="20"/>
              </w:rPr>
            </w:pPr>
            <w:r>
              <w:rPr>
                <w:sz w:val="20"/>
              </w:rPr>
              <w:t>Standard Deviation of Recovery</w:t>
            </w:r>
          </w:p>
        </w:tc>
        <w:tc>
          <w:tcPr>
            <w:tcW w:w="1511" w:type="dxa"/>
          </w:tcPr>
          <w:p>
            <w:pPr>
              <w:pStyle w:val="TableParagraph"/>
              <w:spacing w:before="11"/>
              <w:jc w:val="left"/>
              <w:rPr>
                <w:sz w:val="22"/>
              </w:rPr>
            </w:pPr>
          </w:p>
          <w:p>
            <w:pPr>
              <w:pStyle w:val="TableParagraph"/>
              <w:spacing w:line="276" w:lineRule="auto" w:before="0"/>
              <w:ind w:left="193" w:right="181"/>
              <w:rPr>
                <w:sz w:val="20"/>
              </w:rPr>
            </w:pPr>
            <w:r>
              <w:rPr>
                <w:sz w:val="20"/>
              </w:rPr>
              <w:t>% recovered within</w:t>
            </w:r>
          </w:p>
          <w:p>
            <w:pPr>
              <w:pStyle w:val="TableParagraph"/>
              <w:spacing w:line="229" w:lineRule="exact" w:before="0"/>
              <w:ind w:left="192" w:right="181"/>
              <w:rPr>
                <w:sz w:val="20"/>
              </w:rPr>
            </w:pPr>
            <w:r>
              <w:rPr>
                <w:sz w:val="20"/>
              </w:rPr>
              <w:t>70-130%</w:t>
            </w:r>
          </w:p>
        </w:tc>
        <w:tc>
          <w:tcPr>
            <w:tcW w:w="1279" w:type="dxa"/>
          </w:tcPr>
          <w:p>
            <w:pPr>
              <w:pStyle w:val="TableParagraph"/>
              <w:spacing w:before="0"/>
              <w:jc w:val="left"/>
              <w:rPr>
                <w:sz w:val="22"/>
              </w:rPr>
            </w:pPr>
          </w:p>
          <w:p>
            <w:pPr>
              <w:pStyle w:val="TableParagraph"/>
              <w:spacing w:before="10"/>
              <w:jc w:val="left"/>
              <w:rPr>
                <w:sz w:val="23"/>
              </w:rPr>
            </w:pPr>
          </w:p>
          <w:p>
            <w:pPr>
              <w:pStyle w:val="TableParagraph"/>
              <w:spacing w:line="276" w:lineRule="auto" w:before="1"/>
              <w:ind w:left="244" w:right="216" w:firstLine="21"/>
              <w:jc w:val="left"/>
              <w:rPr>
                <w:sz w:val="20"/>
              </w:rPr>
            </w:pPr>
            <w:r>
              <w:rPr>
                <w:sz w:val="20"/>
              </w:rPr>
              <w:t>Average RPD (%)</w:t>
            </w:r>
          </w:p>
        </w:tc>
        <w:tc>
          <w:tcPr>
            <w:tcW w:w="1890" w:type="dxa"/>
          </w:tcPr>
          <w:p>
            <w:pPr>
              <w:pStyle w:val="TableParagraph"/>
              <w:spacing w:before="11"/>
              <w:jc w:val="left"/>
              <w:rPr>
                <w:sz w:val="22"/>
              </w:rPr>
            </w:pPr>
          </w:p>
          <w:p>
            <w:pPr>
              <w:pStyle w:val="TableParagraph"/>
              <w:spacing w:line="276" w:lineRule="auto" w:before="0"/>
              <w:ind w:left="287" w:right="277" w:firstLine="1"/>
              <w:rPr>
                <w:sz w:val="20"/>
              </w:rPr>
            </w:pPr>
            <w:r>
              <w:rPr>
                <w:sz w:val="20"/>
              </w:rPr>
              <w:t>Standard Deviation RPD (%)</w:t>
            </w:r>
          </w:p>
        </w:tc>
        <w:tc>
          <w:tcPr>
            <w:tcW w:w="1494" w:type="dxa"/>
          </w:tcPr>
          <w:p>
            <w:pPr>
              <w:pStyle w:val="TableParagraph"/>
              <w:spacing w:line="276" w:lineRule="auto" w:before="0"/>
              <w:ind w:left="256" w:right="246" w:firstLine="1"/>
              <w:rPr>
                <w:sz w:val="20"/>
              </w:rPr>
            </w:pPr>
            <w:r>
              <w:rPr>
                <w:sz w:val="20"/>
              </w:rPr>
              <w:t># of </w:t>
            </w:r>
            <w:r>
              <w:rPr>
                <w:spacing w:val="-1"/>
                <w:sz w:val="20"/>
              </w:rPr>
              <w:t>LCS/LCSD</w:t>
            </w:r>
          </w:p>
          <w:p>
            <w:pPr>
              <w:pStyle w:val="TableParagraph"/>
              <w:spacing w:line="276" w:lineRule="auto" w:before="0"/>
              <w:ind w:left="249" w:right="235" w:hanging="3"/>
              <w:rPr>
                <w:sz w:val="20"/>
              </w:rPr>
            </w:pPr>
            <w:r>
              <w:rPr>
                <w:sz w:val="20"/>
              </w:rPr>
              <w:t>pairs with RPD</w:t>
            </w:r>
            <w:r>
              <w:rPr>
                <w:spacing w:val="5"/>
                <w:sz w:val="20"/>
              </w:rPr>
              <w:t> </w:t>
            </w:r>
            <w:r>
              <w:rPr>
                <w:spacing w:val="-5"/>
                <w:sz w:val="20"/>
              </w:rPr>
              <w:t>&gt;30%</w:t>
            </w:r>
          </w:p>
        </w:tc>
      </w:tr>
      <w:tr>
        <w:trPr>
          <w:trHeight w:val="383" w:hRule="atLeast"/>
        </w:trPr>
        <w:tc>
          <w:tcPr>
            <w:tcW w:w="1975" w:type="dxa"/>
          </w:tcPr>
          <w:p>
            <w:pPr>
              <w:pStyle w:val="TableParagraph"/>
              <w:spacing w:line="229" w:lineRule="exact" w:before="0"/>
              <w:ind w:left="226" w:right="243"/>
              <w:rPr>
                <w:sz w:val="20"/>
              </w:rPr>
            </w:pPr>
            <w:r>
              <w:rPr>
                <w:sz w:val="20"/>
              </w:rPr>
              <w:t>PFTreA</w:t>
            </w:r>
          </w:p>
        </w:tc>
        <w:tc>
          <w:tcPr>
            <w:tcW w:w="1260" w:type="dxa"/>
          </w:tcPr>
          <w:p>
            <w:pPr>
              <w:pStyle w:val="TableParagraph"/>
              <w:spacing w:line="229" w:lineRule="exact" w:before="0"/>
              <w:ind w:left="401" w:right="418"/>
              <w:rPr>
                <w:sz w:val="20"/>
              </w:rPr>
            </w:pPr>
            <w:r>
              <w:rPr>
                <w:sz w:val="20"/>
              </w:rPr>
              <w:t>103</w:t>
            </w:r>
          </w:p>
        </w:tc>
        <w:tc>
          <w:tcPr>
            <w:tcW w:w="2070" w:type="dxa"/>
          </w:tcPr>
          <w:p>
            <w:pPr>
              <w:pStyle w:val="TableParagraph"/>
              <w:spacing w:line="229" w:lineRule="exact" w:before="0"/>
              <w:ind w:left="807" w:right="823"/>
              <w:rPr>
                <w:sz w:val="20"/>
              </w:rPr>
            </w:pPr>
            <w:r>
              <w:rPr>
                <w:sz w:val="20"/>
              </w:rPr>
              <w:t>18.9</w:t>
            </w:r>
          </w:p>
        </w:tc>
        <w:tc>
          <w:tcPr>
            <w:tcW w:w="1511" w:type="dxa"/>
          </w:tcPr>
          <w:p>
            <w:pPr>
              <w:pStyle w:val="TableParagraph"/>
              <w:spacing w:line="229" w:lineRule="exact" w:before="0"/>
              <w:ind w:left="546"/>
              <w:jc w:val="left"/>
              <w:rPr>
                <w:sz w:val="20"/>
              </w:rPr>
            </w:pPr>
            <w:r>
              <w:rPr>
                <w:sz w:val="20"/>
              </w:rPr>
              <w:t>89.6</w:t>
            </w:r>
          </w:p>
        </w:tc>
        <w:tc>
          <w:tcPr>
            <w:tcW w:w="1279" w:type="dxa"/>
          </w:tcPr>
          <w:p>
            <w:pPr>
              <w:pStyle w:val="TableParagraph"/>
              <w:spacing w:line="229" w:lineRule="exact" w:before="0"/>
              <w:ind w:left="409" w:right="428"/>
              <w:rPr>
                <w:sz w:val="20"/>
              </w:rPr>
            </w:pPr>
            <w:r>
              <w:rPr>
                <w:sz w:val="20"/>
              </w:rPr>
              <w:t>7.1</w:t>
            </w:r>
          </w:p>
        </w:tc>
        <w:tc>
          <w:tcPr>
            <w:tcW w:w="1890" w:type="dxa"/>
          </w:tcPr>
          <w:p>
            <w:pPr>
              <w:pStyle w:val="TableParagraph"/>
              <w:spacing w:line="229" w:lineRule="exact" w:before="0"/>
              <w:ind w:left="790"/>
              <w:jc w:val="left"/>
              <w:rPr>
                <w:sz w:val="20"/>
              </w:rPr>
            </w:pPr>
            <w:r>
              <w:rPr>
                <w:sz w:val="20"/>
              </w:rPr>
              <w:t>4.9</w:t>
            </w:r>
          </w:p>
        </w:tc>
        <w:tc>
          <w:tcPr>
            <w:tcW w:w="1494" w:type="dxa"/>
          </w:tcPr>
          <w:p>
            <w:pPr>
              <w:pStyle w:val="TableParagraph"/>
              <w:spacing w:line="229" w:lineRule="exact" w:before="0"/>
              <w:ind w:left="565"/>
              <w:jc w:val="left"/>
              <w:rPr>
                <w:sz w:val="20"/>
              </w:rPr>
            </w:pPr>
            <w:r>
              <w:rPr>
                <w:sz w:val="20"/>
              </w:rPr>
              <w:t>100</w:t>
            </w:r>
          </w:p>
        </w:tc>
      </w:tr>
      <w:tr>
        <w:trPr>
          <w:trHeight w:val="384" w:hRule="atLeast"/>
        </w:trPr>
        <w:tc>
          <w:tcPr>
            <w:tcW w:w="1975" w:type="dxa"/>
          </w:tcPr>
          <w:p>
            <w:pPr>
              <w:pStyle w:val="TableParagraph"/>
              <w:spacing w:before="0"/>
              <w:ind w:left="226" w:right="243"/>
              <w:rPr>
                <w:sz w:val="20"/>
              </w:rPr>
            </w:pPr>
            <w:r>
              <w:rPr>
                <w:sz w:val="20"/>
              </w:rPr>
              <w:t>PFTriA</w:t>
            </w:r>
          </w:p>
        </w:tc>
        <w:tc>
          <w:tcPr>
            <w:tcW w:w="1260" w:type="dxa"/>
          </w:tcPr>
          <w:p>
            <w:pPr>
              <w:pStyle w:val="TableParagraph"/>
              <w:spacing w:before="0"/>
              <w:ind w:left="401" w:right="418"/>
              <w:rPr>
                <w:sz w:val="20"/>
              </w:rPr>
            </w:pPr>
            <w:r>
              <w:rPr>
                <w:sz w:val="20"/>
              </w:rPr>
              <w:t>107</w:t>
            </w:r>
          </w:p>
        </w:tc>
        <w:tc>
          <w:tcPr>
            <w:tcW w:w="2070" w:type="dxa"/>
          </w:tcPr>
          <w:p>
            <w:pPr>
              <w:pStyle w:val="TableParagraph"/>
              <w:spacing w:before="0"/>
              <w:ind w:left="807" w:right="823"/>
              <w:rPr>
                <w:sz w:val="20"/>
              </w:rPr>
            </w:pPr>
            <w:r>
              <w:rPr>
                <w:sz w:val="20"/>
              </w:rPr>
              <w:t>22.7</w:t>
            </w:r>
          </w:p>
        </w:tc>
        <w:tc>
          <w:tcPr>
            <w:tcW w:w="1511" w:type="dxa"/>
          </w:tcPr>
          <w:p>
            <w:pPr>
              <w:pStyle w:val="TableParagraph"/>
              <w:spacing w:before="0"/>
              <w:ind w:left="546"/>
              <w:jc w:val="left"/>
              <w:rPr>
                <w:sz w:val="20"/>
              </w:rPr>
            </w:pPr>
            <w:r>
              <w:rPr>
                <w:sz w:val="20"/>
              </w:rPr>
              <w:t>83.3</w:t>
            </w:r>
          </w:p>
        </w:tc>
        <w:tc>
          <w:tcPr>
            <w:tcW w:w="1279" w:type="dxa"/>
          </w:tcPr>
          <w:p>
            <w:pPr>
              <w:pStyle w:val="TableParagraph"/>
              <w:spacing w:before="0"/>
              <w:ind w:left="409" w:right="428"/>
              <w:rPr>
                <w:sz w:val="20"/>
              </w:rPr>
            </w:pPr>
            <w:r>
              <w:rPr>
                <w:sz w:val="20"/>
              </w:rPr>
              <w:t>8.9</w:t>
            </w:r>
          </w:p>
        </w:tc>
        <w:tc>
          <w:tcPr>
            <w:tcW w:w="1890" w:type="dxa"/>
          </w:tcPr>
          <w:p>
            <w:pPr>
              <w:pStyle w:val="TableParagraph"/>
              <w:spacing w:before="0"/>
              <w:ind w:left="790"/>
              <w:jc w:val="left"/>
              <w:rPr>
                <w:sz w:val="20"/>
              </w:rPr>
            </w:pPr>
            <w:r>
              <w:rPr>
                <w:sz w:val="20"/>
              </w:rPr>
              <w:t>8.0</w:t>
            </w:r>
          </w:p>
        </w:tc>
        <w:tc>
          <w:tcPr>
            <w:tcW w:w="1494" w:type="dxa"/>
          </w:tcPr>
          <w:p>
            <w:pPr>
              <w:pStyle w:val="TableParagraph"/>
              <w:spacing w:before="0"/>
              <w:ind w:left="537"/>
              <w:jc w:val="left"/>
              <w:rPr>
                <w:sz w:val="20"/>
              </w:rPr>
            </w:pPr>
            <w:r>
              <w:rPr>
                <w:sz w:val="20"/>
              </w:rPr>
              <w:t>95.8</w:t>
            </w:r>
          </w:p>
        </w:tc>
      </w:tr>
      <w:tr>
        <w:trPr>
          <w:trHeight w:val="384" w:hRule="atLeast"/>
        </w:trPr>
        <w:tc>
          <w:tcPr>
            <w:tcW w:w="1975" w:type="dxa"/>
          </w:tcPr>
          <w:p>
            <w:pPr>
              <w:pStyle w:val="TableParagraph"/>
              <w:spacing w:before="0"/>
              <w:ind w:left="226" w:right="242"/>
              <w:rPr>
                <w:sz w:val="20"/>
              </w:rPr>
            </w:pPr>
            <w:r>
              <w:rPr>
                <w:sz w:val="20"/>
              </w:rPr>
              <w:t>PFDoA</w:t>
            </w:r>
          </w:p>
        </w:tc>
        <w:tc>
          <w:tcPr>
            <w:tcW w:w="1260" w:type="dxa"/>
          </w:tcPr>
          <w:p>
            <w:pPr>
              <w:pStyle w:val="TableParagraph"/>
              <w:spacing w:before="0"/>
              <w:ind w:left="401" w:right="418"/>
              <w:rPr>
                <w:sz w:val="20"/>
              </w:rPr>
            </w:pPr>
            <w:r>
              <w:rPr>
                <w:sz w:val="20"/>
              </w:rPr>
              <w:t>104</w:t>
            </w:r>
          </w:p>
        </w:tc>
        <w:tc>
          <w:tcPr>
            <w:tcW w:w="2070" w:type="dxa"/>
          </w:tcPr>
          <w:p>
            <w:pPr>
              <w:pStyle w:val="TableParagraph"/>
              <w:spacing w:before="0"/>
              <w:ind w:left="807" w:right="823"/>
              <w:rPr>
                <w:sz w:val="20"/>
              </w:rPr>
            </w:pPr>
            <w:r>
              <w:rPr>
                <w:sz w:val="20"/>
              </w:rPr>
              <w:t>16.7</w:t>
            </w:r>
          </w:p>
        </w:tc>
        <w:tc>
          <w:tcPr>
            <w:tcW w:w="1511" w:type="dxa"/>
          </w:tcPr>
          <w:p>
            <w:pPr>
              <w:pStyle w:val="TableParagraph"/>
              <w:spacing w:before="0"/>
              <w:ind w:left="546"/>
              <w:jc w:val="left"/>
              <w:rPr>
                <w:sz w:val="20"/>
              </w:rPr>
            </w:pPr>
            <w:r>
              <w:rPr>
                <w:sz w:val="20"/>
              </w:rPr>
              <w:t>91.7</w:t>
            </w:r>
          </w:p>
        </w:tc>
        <w:tc>
          <w:tcPr>
            <w:tcW w:w="1279" w:type="dxa"/>
          </w:tcPr>
          <w:p>
            <w:pPr>
              <w:pStyle w:val="TableParagraph"/>
              <w:spacing w:before="0"/>
              <w:ind w:left="410" w:right="428"/>
              <w:rPr>
                <w:sz w:val="20"/>
              </w:rPr>
            </w:pPr>
            <w:r>
              <w:rPr>
                <w:sz w:val="20"/>
              </w:rPr>
              <w:t>10.3</w:t>
            </w:r>
          </w:p>
        </w:tc>
        <w:tc>
          <w:tcPr>
            <w:tcW w:w="1890" w:type="dxa"/>
          </w:tcPr>
          <w:p>
            <w:pPr>
              <w:pStyle w:val="TableParagraph"/>
              <w:spacing w:before="0"/>
              <w:ind w:left="790"/>
              <w:jc w:val="left"/>
              <w:rPr>
                <w:sz w:val="20"/>
              </w:rPr>
            </w:pPr>
            <w:r>
              <w:rPr>
                <w:sz w:val="20"/>
              </w:rPr>
              <w:t>9.7</w:t>
            </w:r>
          </w:p>
        </w:tc>
        <w:tc>
          <w:tcPr>
            <w:tcW w:w="1494" w:type="dxa"/>
          </w:tcPr>
          <w:p>
            <w:pPr>
              <w:pStyle w:val="TableParagraph"/>
              <w:spacing w:before="0"/>
              <w:ind w:left="537"/>
              <w:jc w:val="left"/>
              <w:rPr>
                <w:sz w:val="20"/>
              </w:rPr>
            </w:pPr>
            <w:r>
              <w:rPr>
                <w:sz w:val="20"/>
              </w:rPr>
              <w:t>95.8</w:t>
            </w:r>
          </w:p>
        </w:tc>
      </w:tr>
      <w:tr>
        <w:trPr>
          <w:trHeight w:val="384" w:hRule="atLeast"/>
        </w:trPr>
        <w:tc>
          <w:tcPr>
            <w:tcW w:w="1975" w:type="dxa"/>
          </w:tcPr>
          <w:p>
            <w:pPr>
              <w:pStyle w:val="TableParagraph"/>
              <w:spacing w:line="229" w:lineRule="exact" w:before="0"/>
              <w:ind w:left="226" w:right="242"/>
              <w:rPr>
                <w:sz w:val="20"/>
              </w:rPr>
            </w:pPr>
            <w:r>
              <w:rPr>
                <w:sz w:val="20"/>
              </w:rPr>
              <w:t>PFUnA</w:t>
            </w:r>
          </w:p>
        </w:tc>
        <w:tc>
          <w:tcPr>
            <w:tcW w:w="1260" w:type="dxa"/>
          </w:tcPr>
          <w:p>
            <w:pPr>
              <w:pStyle w:val="TableParagraph"/>
              <w:spacing w:line="229" w:lineRule="exact" w:before="0"/>
              <w:ind w:left="401" w:right="419"/>
              <w:rPr>
                <w:sz w:val="20"/>
              </w:rPr>
            </w:pPr>
            <w:r>
              <w:rPr>
                <w:sz w:val="20"/>
              </w:rPr>
              <w:t>101</w:t>
            </w:r>
          </w:p>
        </w:tc>
        <w:tc>
          <w:tcPr>
            <w:tcW w:w="2070" w:type="dxa"/>
          </w:tcPr>
          <w:p>
            <w:pPr>
              <w:pStyle w:val="TableParagraph"/>
              <w:spacing w:line="229" w:lineRule="exact" w:before="0"/>
              <w:ind w:left="807" w:right="823"/>
              <w:rPr>
                <w:sz w:val="20"/>
              </w:rPr>
            </w:pPr>
            <w:r>
              <w:rPr>
                <w:sz w:val="20"/>
              </w:rPr>
              <w:t>12.1</w:t>
            </w:r>
          </w:p>
        </w:tc>
        <w:tc>
          <w:tcPr>
            <w:tcW w:w="1511" w:type="dxa"/>
          </w:tcPr>
          <w:p>
            <w:pPr>
              <w:pStyle w:val="TableParagraph"/>
              <w:spacing w:line="229" w:lineRule="exact" w:before="0"/>
              <w:ind w:left="573"/>
              <w:jc w:val="left"/>
              <w:rPr>
                <w:sz w:val="20"/>
              </w:rPr>
            </w:pPr>
            <w:r>
              <w:rPr>
                <w:sz w:val="20"/>
              </w:rPr>
              <w:t>100</w:t>
            </w:r>
          </w:p>
        </w:tc>
        <w:tc>
          <w:tcPr>
            <w:tcW w:w="1279" w:type="dxa"/>
          </w:tcPr>
          <w:p>
            <w:pPr>
              <w:pStyle w:val="TableParagraph"/>
              <w:spacing w:line="229" w:lineRule="exact" w:before="0"/>
              <w:ind w:left="409" w:right="428"/>
              <w:rPr>
                <w:sz w:val="20"/>
              </w:rPr>
            </w:pPr>
            <w:r>
              <w:rPr>
                <w:sz w:val="20"/>
              </w:rPr>
              <w:t>9.0</w:t>
            </w:r>
          </w:p>
        </w:tc>
        <w:tc>
          <w:tcPr>
            <w:tcW w:w="1890" w:type="dxa"/>
          </w:tcPr>
          <w:p>
            <w:pPr>
              <w:pStyle w:val="TableParagraph"/>
              <w:spacing w:line="229" w:lineRule="exact" w:before="0"/>
              <w:ind w:left="790"/>
              <w:jc w:val="left"/>
              <w:rPr>
                <w:sz w:val="20"/>
              </w:rPr>
            </w:pPr>
            <w:r>
              <w:rPr>
                <w:sz w:val="20"/>
              </w:rPr>
              <w:t>8.7</w:t>
            </w:r>
          </w:p>
        </w:tc>
        <w:tc>
          <w:tcPr>
            <w:tcW w:w="1494" w:type="dxa"/>
          </w:tcPr>
          <w:p>
            <w:pPr>
              <w:pStyle w:val="TableParagraph"/>
              <w:spacing w:line="229" w:lineRule="exact" w:before="0"/>
              <w:ind w:left="565"/>
              <w:jc w:val="left"/>
              <w:rPr>
                <w:sz w:val="20"/>
              </w:rPr>
            </w:pPr>
            <w:r>
              <w:rPr>
                <w:sz w:val="20"/>
              </w:rPr>
              <w:t>100</w:t>
            </w:r>
          </w:p>
        </w:tc>
      </w:tr>
      <w:tr>
        <w:trPr>
          <w:trHeight w:val="383" w:hRule="atLeast"/>
        </w:trPr>
        <w:tc>
          <w:tcPr>
            <w:tcW w:w="1975" w:type="dxa"/>
          </w:tcPr>
          <w:p>
            <w:pPr>
              <w:pStyle w:val="TableParagraph"/>
              <w:spacing w:line="229" w:lineRule="exact" w:before="0"/>
              <w:ind w:left="226" w:right="243"/>
              <w:rPr>
                <w:sz w:val="20"/>
              </w:rPr>
            </w:pPr>
            <w:r>
              <w:rPr>
                <w:sz w:val="20"/>
              </w:rPr>
              <w:t>PFDA</w:t>
            </w:r>
          </w:p>
        </w:tc>
        <w:tc>
          <w:tcPr>
            <w:tcW w:w="1260" w:type="dxa"/>
          </w:tcPr>
          <w:p>
            <w:pPr>
              <w:pStyle w:val="TableParagraph"/>
              <w:spacing w:line="229" w:lineRule="exact" w:before="0"/>
              <w:ind w:left="401" w:right="419"/>
              <w:rPr>
                <w:sz w:val="20"/>
              </w:rPr>
            </w:pPr>
            <w:r>
              <w:rPr>
                <w:sz w:val="20"/>
              </w:rPr>
              <w:t>102</w:t>
            </w:r>
          </w:p>
        </w:tc>
        <w:tc>
          <w:tcPr>
            <w:tcW w:w="2070" w:type="dxa"/>
          </w:tcPr>
          <w:p>
            <w:pPr>
              <w:pStyle w:val="TableParagraph"/>
              <w:spacing w:line="229" w:lineRule="exact" w:before="0"/>
              <w:ind w:left="807" w:right="823"/>
              <w:rPr>
                <w:sz w:val="20"/>
              </w:rPr>
            </w:pPr>
            <w:r>
              <w:rPr>
                <w:sz w:val="20"/>
              </w:rPr>
              <w:t>11.5</w:t>
            </w:r>
          </w:p>
        </w:tc>
        <w:tc>
          <w:tcPr>
            <w:tcW w:w="1511" w:type="dxa"/>
          </w:tcPr>
          <w:p>
            <w:pPr>
              <w:pStyle w:val="TableParagraph"/>
              <w:spacing w:line="229" w:lineRule="exact" w:before="0"/>
              <w:ind w:left="546"/>
              <w:jc w:val="left"/>
              <w:rPr>
                <w:sz w:val="20"/>
              </w:rPr>
            </w:pPr>
            <w:r>
              <w:rPr>
                <w:sz w:val="20"/>
              </w:rPr>
              <w:t>97.9</w:t>
            </w:r>
          </w:p>
        </w:tc>
        <w:tc>
          <w:tcPr>
            <w:tcW w:w="1279" w:type="dxa"/>
          </w:tcPr>
          <w:p>
            <w:pPr>
              <w:pStyle w:val="TableParagraph"/>
              <w:spacing w:line="229" w:lineRule="exact" w:before="0"/>
              <w:ind w:left="409" w:right="428"/>
              <w:rPr>
                <w:sz w:val="20"/>
              </w:rPr>
            </w:pPr>
            <w:r>
              <w:rPr>
                <w:sz w:val="20"/>
              </w:rPr>
              <w:t>8.9</w:t>
            </w:r>
          </w:p>
        </w:tc>
        <w:tc>
          <w:tcPr>
            <w:tcW w:w="1890" w:type="dxa"/>
          </w:tcPr>
          <w:p>
            <w:pPr>
              <w:pStyle w:val="TableParagraph"/>
              <w:spacing w:line="229" w:lineRule="exact" w:before="0"/>
              <w:ind w:left="790"/>
              <w:jc w:val="left"/>
              <w:rPr>
                <w:sz w:val="20"/>
              </w:rPr>
            </w:pPr>
            <w:r>
              <w:rPr>
                <w:sz w:val="20"/>
              </w:rPr>
              <w:t>7.4</w:t>
            </w:r>
          </w:p>
        </w:tc>
        <w:tc>
          <w:tcPr>
            <w:tcW w:w="1494" w:type="dxa"/>
          </w:tcPr>
          <w:p>
            <w:pPr>
              <w:pStyle w:val="TableParagraph"/>
              <w:spacing w:line="229" w:lineRule="exact" w:before="0"/>
              <w:ind w:left="537"/>
              <w:jc w:val="left"/>
              <w:rPr>
                <w:sz w:val="20"/>
              </w:rPr>
            </w:pPr>
            <w:r>
              <w:rPr>
                <w:sz w:val="20"/>
              </w:rPr>
              <w:t>95.8</w:t>
            </w:r>
          </w:p>
        </w:tc>
      </w:tr>
      <w:tr>
        <w:trPr>
          <w:trHeight w:val="384" w:hRule="atLeast"/>
        </w:trPr>
        <w:tc>
          <w:tcPr>
            <w:tcW w:w="1975" w:type="dxa"/>
          </w:tcPr>
          <w:p>
            <w:pPr>
              <w:pStyle w:val="TableParagraph"/>
              <w:spacing w:before="0"/>
              <w:ind w:left="226" w:right="243"/>
              <w:rPr>
                <w:sz w:val="20"/>
              </w:rPr>
            </w:pPr>
            <w:r>
              <w:rPr>
                <w:sz w:val="20"/>
              </w:rPr>
              <w:t>PFNA</w:t>
            </w:r>
          </w:p>
        </w:tc>
        <w:tc>
          <w:tcPr>
            <w:tcW w:w="1260" w:type="dxa"/>
          </w:tcPr>
          <w:p>
            <w:pPr>
              <w:pStyle w:val="TableParagraph"/>
              <w:spacing w:before="0"/>
              <w:ind w:left="401" w:right="419"/>
              <w:rPr>
                <w:sz w:val="20"/>
              </w:rPr>
            </w:pPr>
            <w:r>
              <w:rPr>
                <w:sz w:val="20"/>
              </w:rPr>
              <w:t>103</w:t>
            </w:r>
          </w:p>
        </w:tc>
        <w:tc>
          <w:tcPr>
            <w:tcW w:w="2070" w:type="dxa"/>
          </w:tcPr>
          <w:p>
            <w:pPr>
              <w:pStyle w:val="TableParagraph"/>
              <w:spacing w:before="0"/>
              <w:ind w:left="807" w:right="823"/>
              <w:rPr>
                <w:sz w:val="20"/>
              </w:rPr>
            </w:pPr>
            <w:r>
              <w:rPr>
                <w:sz w:val="20"/>
              </w:rPr>
              <w:t>12.3</w:t>
            </w:r>
          </w:p>
        </w:tc>
        <w:tc>
          <w:tcPr>
            <w:tcW w:w="1511" w:type="dxa"/>
          </w:tcPr>
          <w:p>
            <w:pPr>
              <w:pStyle w:val="TableParagraph"/>
              <w:spacing w:before="0"/>
              <w:ind w:left="546"/>
              <w:jc w:val="left"/>
              <w:rPr>
                <w:sz w:val="20"/>
              </w:rPr>
            </w:pPr>
            <w:r>
              <w:rPr>
                <w:sz w:val="20"/>
              </w:rPr>
              <w:t>95.8</w:t>
            </w:r>
          </w:p>
        </w:tc>
        <w:tc>
          <w:tcPr>
            <w:tcW w:w="1279" w:type="dxa"/>
          </w:tcPr>
          <w:p>
            <w:pPr>
              <w:pStyle w:val="TableParagraph"/>
              <w:spacing w:before="0"/>
              <w:ind w:left="409" w:right="428"/>
              <w:rPr>
                <w:sz w:val="20"/>
              </w:rPr>
            </w:pPr>
            <w:r>
              <w:rPr>
                <w:sz w:val="20"/>
              </w:rPr>
              <w:t>6.9</w:t>
            </w:r>
          </w:p>
        </w:tc>
        <w:tc>
          <w:tcPr>
            <w:tcW w:w="1890" w:type="dxa"/>
          </w:tcPr>
          <w:p>
            <w:pPr>
              <w:pStyle w:val="TableParagraph"/>
              <w:spacing w:before="0"/>
              <w:ind w:left="790"/>
              <w:jc w:val="left"/>
              <w:rPr>
                <w:sz w:val="20"/>
              </w:rPr>
            </w:pPr>
            <w:r>
              <w:rPr>
                <w:sz w:val="20"/>
              </w:rPr>
              <w:t>7.2</w:t>
            </w:r>
          </w:p>
        </w:tc>
        <w:tc>
          <w:tcPr>
            <w:tcW w:w="1494" w:type="dxa"/>
          </w:tcPr>
          <w:p>
            <w:pPr>
              <w:pStyle w:val="TableParagraph"/>
              <w:spacing w:before="0"/>
              <w:ind w:left="565"/>
              <w:jc w:val="left"/>
              <w:rPr>
                <w:sz w:val="20"/>
              </w:rPr>
            </w:pPr>
            <w:r>
              <w:rPr>
                <w:sz w:val="20"/>
              </w:rPr>
              <w:t>100</w:t>
            </w:r>
          </w:p>
        </w:tc>
      </w:tr>
      <w:tr>
        <w:trPr>
          <w:trHeight w:val="384" w:hRule="atLeast"/>
        </w:trPr>
        <w:tc>
          <w:tcPr>
            <w:tcW w:w="1975" w:type="dxa"/>
          </w:tcPr>
          <w:p>
            <w:pPr>
              <w:pStyle w:val="TableParagraph"/>
              <w:spacing w:line="229" w:lineRule="exact" w:before="0"/>
              <w:ind w:left="225" w:right="243"/>
              <w:rPr>
                <w:sz w:val="20"/>
              </w:rPr>
            </w:pPr>
            <w:r>
              <w:rPr>
                <w:sz w:val="20"/>
              </w:rPr>
              <w:t>PFOA</w:t>
            </w:r>
          </w:p>
        </w:tc>
        <w:tc>
          <w:tcPr>
            <w:tcW w:w="1260" w:type="dxa"/>
          </w:tcPr>
          <w:p>
            <w:pPr>
              <w:pStyle w:val="TableParagraph"/>
              <w:spacing w:line="229" w:lineRule="exact" w:before="0"/>
              <w:ind w:left="401" w:right="419"/>
              <w:rPr>
                <w:sz w:val="20"/>
              </w:rPr>
            </w:pPr>
            <w:r>
              <w:rPr>
                <w:sz w:val="20"/>
              </w:rPr>
              <w:t>101</w:t>
            </w:r>
          </w:p>
        </w:tc>
        <w:tc>
          <w:tcPr>
            <w:tcW w:w="2070" w:type="dxa"/>
          </w:tcPr>
          <w:p>
            <w:pPr>
              <w:pStyle w:val="TableParagraph"/>
              <w:spacing w:line="229" w:lineRule="exact" w:before="0"/>
              <w:ind w:left="807" w:right="823"/>
              <w:rPr>
                <w:sz w:val="20"/>
              </w:rPr>
            </w:pPr>
            <w:r>
              <w:rPr>
                <w:sz w:val="20"/>
              </w:rPr>
              <w:t>12.1</w:t>
            </w:r>
          </w:p>
        </w:tc>
        <w:tc>
          <w:tcPr>
            <w:tcW w:w="1511" w:type="dxa"/>
          </w:tcPr>
          <w:p>
            <w:pPr>
              <w:pStyle w:val="TableParagraph"/>
              <w:spacing w:line="229" w:lineRule="exact" w:before="0"/>
              <w:ind w:left="546"/>
              <w:jc w:val="left"/>
              <w:rPr>
                <w:sz w:val="20"/>
              </w:rPr>
            </w:pPr>
            <w:r>
              <w:rPr>
                <w:sz w:val="20"/>
              </w:rPr>
              <w:t>97.9</w:t>
            </w:r>
          </w:p>
        </w:tc>
        <w:tc>
          <w:tcPr>
            <w:tcW w:w="1279" w:type="dxa"/>
          </w:tcPr>
          <w:p>
            <w:pPr>
              <w:pStyle w:val="TableParagraph"/>
              <w:spacing w:line="229" w:lineRule="exact" w:before="0"/>
              <w:ind w:left="409" w:right="428"/>
              <w:rPr>
                <w:sz w:val="20"/>
              </w:rPr>
            </w:pPr>
            <w:r>
              <w:rPr>
                <w:sz w:val="20"/>
              </w:rPr>
              <w:t>6.8</w:t>
            </w:r>
          </w:p>
        </w:tc>
        <w:tc>
          <w:tcPr>
            <w:tcW w:w="1890" w:type="dxa"/>
          </w:tcPr>
          <w:p>
            <w:pPr>
              <w:pStyle w:val="TableParagraph"/>
              <w:spacing w:line="229" w:lineRule="exact" w:before="0"/>
              <w:ind w:left="790"/>
              <w:jc w:val="left"/>
              <w:rPr>
                <w:sz w:val="20"/>
              </w:rPr>
            </w:pPr>
            <w:r>
              <w:rPr>
                <w:sz w:val="20"/>
              </w:rPr>
              <w:t>6.6</w:t>
            </w:r>
          </w:p>
        </w:tc>
        <w:tc>
          <w:tcPr>
            <w:tcW w:w="1494" w:type="dxa"/>
          </w:tcPr>
          <w:p>
            <w:pPr>
              <w:pStyle w:val="TableParagraph"/>
              <w:spacing w:line="229" w:lineRule="exact" w:before="0"/>
              <w:ind w:left="537"/>
              <w:jc w:val="left"/>
              <w:rPr>
                <w:sz w:val="20"/>
              </w:rPr>
            </w:pPr>
            <w:r>
              <w:rPr>
                <w:sz w:val="20"/>
              </w:rPr>
              <w:t>95.8</w:t>
            </w:r>
          </w:p>
        </w:tc>
      </w:tr>
      <w:tr>
        <w:trPr>
          <w:trHeight w:val="384" w:hRule="atLeast"/>
        </w:trPr>
        <w:tc>
          <w:tcPr>
            <w:tcW w:w="1975" w:type="dxa"/>
          </w:tcPr>
          <w:p>
            <w:pPr>
              <w:pStyle w:val="TableParagraph"/>
              <w:spacing w:line="229" w:lineRule="exact" w:before="0"/>
              <w:ind w:left="226" w:right="242"/>
              <w:rPr>
                <w:sz w:val="20"/>
              </w:rPr>
            </w:pPr>
            <w:r>
              <w:rPr>
                <w:sz w:val="20"/>
              </w:rPr>
              <w:t>PFHpA</w:t>
            </w:r>
          </w:p>
        </w:tc>
        <w:tc>
          <w:tcPr>
            <w:tcW w:w="1260" w:type="dxa"/>
          </w:tcPr>
          <w:p>
            <w:pPr>
              <w:pStyle w:val="TableParagraph"/>
              <w:spacing w:line="229" w:lineRule="exact" w:before="0"/>
              <w:ind w:left="401" w:right="419"/>
              <w:rPr>
                <w:sz w:val="20"/>
              </w:rPr>
            </w:pPr>
            <w:r>
              <w:rPr>
                <w:sz w:val="20"/>
              </w:rPr>
              <w:t>96.4</w:t>
            </w:r>
          </w:p>
        </w:tc>
        <w:tc>
          <w:tcPr>
            <w:tcW w:w="2070" w:type="dxa"/>
          </w:tcPr>
          <w:p>
            <w:pPr>
              <w:pStyle w:val="TableParagraph"/>
              <w:spacing w:line="229" w:lineRule="exact" w:before="0"/>
              <w:ind w:left="805" w:right="823"/>
              <w:rPr>
                <w:sz w:val="20"/>
              </w:rPr>
            </w:pPr>
            <w:r>
              <w:rPr>
                <w:sz w:val="20"/>
              </w:rPr>
              <w:t>8.7</w:t>
            </w:r>
          </w:p>
        </w:tc>
        <w:tc>
          <w:tcPr>
            <w:tcW w:w="1511" w:type="dxa"/>
          </w:tcPr>
          <w:p>
            <w:pPr>
              <w:pStyle w:val="TableParagraph"/>
              <w:spacing w:line="229" w:lineRule="exact" w:before="0"/>
              <w:ind w:left="573"/>
              <w:jc w:val="left"/>
              <w:rPr>
                <w:sz w:val="20"/>
              </w:rPr>
            </w:pPr>
            <w:r>
              <w:rPr>
                <w:sz w:val="20"/>
              </w:rPr>
              <w:t>100</w:t>
            </w:r>
          </w:p>
        </w:tc>
        <w:tc>
          <w:tcPr>
            <w:tcW w:w="1279" w:type="dxa"/>
          </w:tcPr>
          <w:p>
            <w:pPr>
              <w:pStyle w:val="TableParagraph"/>
              <w:spacing w:line="229" w:lineRule="exact" w:before="0"/>
              <w:ind w:left="409" w:right="428"/>
              <w:rPr>
                <w:sz w:val="20"/>
              </w:rPr>
            </w:pPr>
            <w:r>
              <w:rPr>
                <w:sz w:val="20"/>
              </w:rPr>
              <w:t>5.4</w:t>
            </w:r>
          </w:p>
        </w:tc>
        <w:tc>
          <w:tcPr>
            <w:tcW w:w="1890" w:type="dxa"/>
          </w:tcPr>
          <w:p>
            <w:pPr>
              <w:pStyle w:val="TableParagraph"/>
              <w:spacing w:line="229" w:lineRule="exact" w:before="0"/>
              <w:ind w:left="790"/>
              <w:jc w:val="left"/>
              <w:rPr>
                <w:sz w:val="20"/>
              </w:rPr>
            </w:pPr>
            <w:r>
              <w:rPr>
                <w:sz w:val="20"/>
              </w:rPr>
              <w:t>5.3</w:t>
            </w:r>
          </w:p>
        </w:tc>
        <w:tc>
          <w:tcPr>
            <w:tcW w:w="1494" w:type="dxa"/>
          </w:tcPr>
          <w:p>
            <w:pPr>
              <w:pStyle w:val="TableParagraph"/>
              <w:spacing w:line="229" w:lineRule="exact" w:before="0"/>
              <w:ind w:left="565"/>
              <w:jc w:val="left"/>
              <w:rPr>
                <w:sz w:val="20"/>
              </w:rPr>
            </w:pPr>
            <w:r>
              <w:rPr>
                <w:sz w:val="20"/>
              </w:rPr>
              <w:t>100</w:t>
            </w:r>
          </w:p>
        </w:tc>
      </w:tr>
      <w:tr>
        <w:trPr>
          <w:trHeight w:val="383" w:hRule="atLeast"/>
        </w:trPr>
        <w:tc>
          <w:tcPr>
            <w:tcW w:w="1975" w:type="dxa"/>
          </w:tcPr>
          <w:p>
            <w:pPr>
              <w:pStyle w:val="TableParagraph"/>
              <w:spacing w:line="229" w:lineRule="exact" w:before="0"/>
              <w:ind w:left="224" w:right="243"/>
              <w:rPr>
                <w:sz w:val="20"/>
              </w:rPr>
            </w:pPr>
            <w:r>
              <w:rPr>
                <w:sz w:val="20"/>
              </w:rPr>
              <w:t>PFHxA</w:t>
            </w:r>
          </w:p>
        </w:tc>
        <w:tc>
          <w:tcPr>
            <w:tcW w:w="1260" w:type="dxa"/>
          </w:tcPr>
          <w:p>
            <w:pPr>
              <w:pStyle w:val="TableParagraph"/>
              <w:spacing w:line="229" w:lineRule="exact" w:before="0"/>
              <w:ind w:left="401" w:right="419"/>
              <w:rPr>
                <w:sz w:val="20"/>
              </w:rPr>
            </w:pPr>
            <w:r>
              <w:rPr>
                <w:sz w:val="20"/>
              </w:rPr>
              <w:t>95.8</w:t>
            </w:r>
          </w:p>
        </w:tc>
        <w:tc>
          <w:tcPr>
            <w:tcW w:w="2070" w:type="dxa"/>
          </w:tcPr>
          <w:p>
            <w:pPr>
              <w:pStyle w:val="TableParagraph"/>
              <w:spacing w:line="229" w:lineRule="exact" w:before="0"/>
              <w:ind w:left="807" w:right="823"/>
              <w:rPr>
                <w:sz w:val="20"/>
              </w:rPr>
            </w:pPr>
            <w:r>
              <w:rPr>
                <w:sz w:val="20"/>
              </w:rPr>
              <w:t>10.5</w:t>
            </w:r>
          </w:p>
        </w:tc>
        <w:tc>
          <w:tcPr>
            <w:tcW w:w="1511" w:type="dxa"/>
          </w:tcPr>
          <w:p>
            <w:pPr>
              <w:pStyle w:val="TableParagraph"/>
              <w:spacing w:line="229" w:lineRule="exact" w:before="0"/>
              <w:ind w:left="573"/>
              <w:jc w:val="left"/>
              <w:rPr>
                <w:sz w:val="20"/>
              </w:rPr>
            </w:pPr>
            <w:r>
              <w:rPr>
                <w:sz w:val="20"/>
              </w:rPr>
              <w:t>100</w:t>
            </w:r>
          </w:p>
        </w:tc>
        <w:tc>
          <w:tcPr>
            <w:tcW w:w="1279" w:type="dxa"/>
          </w:tcPr>
          <w:p>
            <w:pPr>
              <w:pStyle w:val="TableParagraph"/>
              <w:spacing w:line="229" w:lineRule="exact" w:before="0"/>
              <w:ind w:left="409" w:right="428"/>
              <w:rPr>
                <w:sz w:val="20"/>
              </w:rPr>
            </w:pPr>
            <w:r>
              <w:rPr>
                <w:sz w:val="20"/>
              </w:rPr>
              <w:t>8.1</w:t>
            </w:r>
          </w:p>
        </w:tc>
        <w:tc>
          <w:tcPr>
            <w:tcW w:w="1890" w:type="dxa"/>
          </w:tcPr>
          <w:p>
            <w:pPr>
              <w:pStyle w:val="TableParagraph"/>
              <w:spacing w:line="229" w:lineRule="exact" w:before="0"/>
              <w:ind w:left="790"/>
              <w:jc w:val="left"/>
              <w:rPr>
                <w:sz w:val="20"/>
              </w:rPr>
            </w:pPr>
            <w:r>
              <w:rPr>
                <w:sz w:val="20"/>
              </w:rPr>
              <w:t>7.0</w:t>
            </w:r>
          </w:p>
        </w:tc>
        <w:tc>
          <w:tcPr>
            <w:tcW w:w="1494" w:type="dxa"/>
          </w:tcPr>
          <w:p>
            <w:pPr>
              <w:pStyle w:val="TableParagraph"/>
              <w:spacing w:line="229" w:lineRule="exact" w:before="0"/>
              <w:ind w:left="565"/>
              <w:jc w:val="left"/>
              <w:rPr>
                <w:sz w:val="20"/>
              </w:rPr>
            </w:pPr>
            <w:r>
              <w:rPr>
                <w:sz w:val="20"/>
              </w:rPr>
              <w:t>100</w:t>
            </w:r>
          </w:p>
        </w:tc>
      </w:tr>
      <w:tr>
        <w:trPr>
          <w:trHeight w:val="384" w:hRule="atLeast"/>
        </w:trPr>
        <w:tc>
          <w:tcPr>
            <w:tcW w:w="1975" w:type="dxa"/>
          </w:tcPr>
          <w:p>
            <w:pPr>
              <w:pStyle w:val="TableParagraph"/>
              <w:spacing w:before="0"/>
              <w:ind w:left="225" w:right="243"/>
              <w:rPr>
                <w:sz w:val="20"/>
              </w:rPr>
            </w:pPr>
            <w:r>
              <w:rPr>
                <w:sz w:val="20"/>
              </w:rPr>
              <w:t>PFPeA</w:t>
            </w:r>
          </w:p>
        </w:tc>
        <w:tc>
          <w:tcPr>
            <w:tcW w:w="1260" w:type="dxa"/>
          </w:tcPr>
          <w:p>
            <w:pPr>
              <w:pStyle w:val="TableParagraph"/>
              <w:spacing w:before="0"/>
              <w:ind w:left="401" w:right="419"/>
              <w:rPr>
                <w:sz w:val="20"/>
              </w:rPr>
            </w:pPr>
            <w:r>
              <w:rPr>
                <w:sz w:val="20"/>
              </w:rPr>
              <w:t>94.1</w:t>
            </w:r>
          </w:p>
        </w:tc>
        <w:tc>
          <w:tcPr>
            <w:tcW w:w="2070" w:type="dxa"/>
          </w:tcPr>
          <w:p>
            <w:pPr>
              <w:pStyle w:val="TableParagraph"/>
              <w:spacing w:before="0"/>
              <w:ind w:left="807" w:right="823"/>
              <w:rPr>
                <w:sz w:val="20"/>
              </w:rPr>
            </w:pPr>
            <w:r>
              <w:rPr>
                <w:sz w:val="20"/>
              </w:rPr>
              <w:t>10.1</w:t>
            </w:r>
          </w:p>
        </w:tc>
        <w:tc>
          <w:tcPr>
            <w:tcW w:w="1511" w:type="dxa"/>
          </w:tcPr>
          <w:p>
            <w:pPr>
              <w:pStyle w:val="TableParagraph"/>
              <w:spacing w:before="0"/>
              <w:ind w:left="573"/>
              <w:jc w:val="left"/>
              <w:rPr>
                <w:sz w:val="20"/>
              </w:rPr>
            </w:pPr>
            <w:r>
              <w:rPr>
                <w:sz w:val="20"/>
              </w:rPr>
              <w:t>100</w:t>
            </w:r>
          </w:p>
        </w:tc>
        <w:tc>
          <w:tcPr>
            <w:tcW w:w="1279" w:type="dxa"/>
          </w:tcPr>
          <w:p>
            <w:pPr>
              <w:pStyle w:val="TableParagraph"/>
              <w:spacing w:before="0"/>
              <w:ind w:left="409" w:right="428"/>
              <w:rPr>
                <w:sz w:val="20"/>
              </w:rPr>
            </w:pPr>
            <w:r>
              <w:rPr>
                <w:sz w:val="20"/>
              </w:rPr>
              <w:t>4.1</w:t>
            </w:r>
          </w:p>
        </w:tc>
        <w:tc>
          <w:tcPr>
            <w:tcW w:w="1890" w:type="dxa"/>
          </w:tcPr>
          <w:p>
            <w:pPr>
              <w:pStyle w:val="TableParagraph"/>
              <w:spacing w:before="0"/>
              <w:ind w:left="790"/>
              <w:jc w:val="left"/>
              <w:rPr>
                <w:sz w:val="20"/>
              </w:rPr>
            </w:pPr>
            <w:r>
              <w:rPr>
                <w:sz w:val="20"/>
              </w:rPr>
              <w:t>3.3</w:t>
            </w:r>
          </w:p>
        </w:tc>
        <w:tc>
          <w:tcPr>
            <w:tcW w:w="1494" w:type="dxa"/>
          </w:tcPr>
          <w:p>
            <w:pPr>
              <w:pStyle w:val="TableParagraph"/>
              <w:spacing w:before="0"/>
              <w:ind w:left="565"/>
              <w:jc w:val="left"/>
              <w:rPr>
                <w:sz w:val="20"/>
              </w:rPr>
            </w:pPr>
            <w:r>
              <w:rPr>
                <w:sz w:val="20"/>
              </w:rPr>
              <w:t>100</w:t>
            </w:r>
          </w:p>
        </w:tc>
      </w:tr>
      <w:tr>
        <w:trPr>
          <w:trHeight w:val="384" w:hRule="atLeast"/>
        </w:trPr>
        <w:tc>
          <w:tcPr>
            <w:tcW w:w="1975" w:type="dxa"/>
          </w:tcPr>
          <w:p>
            <w:pPr>
              <w:pStyle w:val="TableParagraph"/>
              <w:spacing w:line="229" w:lineRule="exact" w:before="0"/>
              <w:ind w:left="225" w:right="243"/>
              <w:rPr>
                <w:sz w:val="20"/>
              </w:rPr>
            </w:pPr>
            <w:r>
              <w:rPr>
                <w:sz w:val="20"/>
              </w:rPr>
              <w:t>PFBA</w:t>
            </w:r>
          </w:p>
        </w:tc>
        <w:tc>
          <w:tcPr>
            <w:tcW w:w="1260" w:type="dxa"/>
          </w:tcPr>
          <w:p>
            <w:pPr>
              <w:pStyle w:val="TableParagraph"/>
              <w:spacing w:line="229" w:lineRule="exact" w:before="0"/>
              <w:ind w:left="401" w:right="419"/>
              <w:rPr>
                <w:sz w:val="20"/>
              </w:rPr>
            </w:pPr>
            <w:r>
              <w:rPr>
                <w:sz w:val="20"/>
              </w:rPr>
              <w:t>91.5</w:t>
            </w:r>
          </w:p>
        </w:tc>
        <w:tc>
          <w:tcPr>
            <w:tcW w:w="2070" w:type="dxa"/>
          </w:tcPr>
          <w:p>
            <w:pPr>
              <w:pStyle w:val="TableParagraph"/>
              <w:spacing w:line="229" w:lineRule="exact" w:before="0"/>
              <w:ind w:left="807" w:right="823"/>
              <w:rPr>
                <w:sz w:val="20"/>
              </w:rPr>
            </w:pPr>
            <w:r>
              <w:rPr>
                <w:sz w:val="20"/>
              </w:rPr>
              <w:t>15.1</w:t>
            </w:r>
          </w:p>
        </w:tc>
        <w:tc>
          <w:tcPr>
            <w:tcW w:w="1511" w:type="dxa"/>
          </w:tcPr>
          <w:p>
            <w:pPr>
              <w:pStyle w:val="TableParagraph"/>
              <w:spacing w:line="229" w:lineRule="exact" w:before="0"/>
              <w:ind w:left="546"/>
              <w:jc w:val="left"/>
              <w:rPr>
                <w:sz w:val="20"/>
              </w:rPr>
            </w:pPr>
            <w:r>
              <w:rPr>
                <w:sz w:val="20"/>
              </w:rPr>
              <w:t>87.5</w:t>
            </w:r>
          </w:p>
        </w:tc>
        <w:tc>
          <w:tcPr>
            <w:tcW w:w="1279" w:type="dxa"/>
          </w:tcPr>
          <w:p>
            <w:pPr>
              <w:pStyle w:val="TableParagraph"/>
              <w:spacing w:line="229" w:lineRule="exact" w:before="0"/>
              <w:ind w:left="409" w:right="428"/>
              <w:rPr>
                <w:sz w:val="20"/>
              </w:rPr>
            </w:pPr>
            <w:r>
              <w:rPr>
                <w:sz w:val="20"/>
              </w:rPr>
              <w:t>4.4</w:t>
            </w:r>
          </w:p>
        </w:tc>
        <w:tc>
          <w:tcPr>
            <w:tcW w:w="1890" w:type="dxa"/>
          </w:tcPr>
          <w:p>
            <w:pPr>
              <w:pStyle w:val="TableParagraph"/>
              <w:spacing w:line="229" w:lineRule="exact" w:before="0"/>
              <w:ind w:left="790"/>
              <w:jc w:val="left"/>
              <w:rPr>
                <w:sz w:val="20"/>
              </w:rPr>
            </w:pPr>
            <w:r>
              <w:rPr>
                <w:sz w:val="20"/>
              </w:rPr>
              <w:t>4.4</w:t>
            </w:r>
          </w:p>
        </w:tc>
        <w:tc>
          <w:tcPr>
            <w:tcW w:w="1494" w:type="dxa"/>
          </w:tcPr>
          <w:p>
            <w:pPr>
              <w:pStyle w:val="TableParagraph"/>
              <w:spacing w:line="229" w:lineRule="exact" w:before="0"/>
              <w:ind w:left="565"/>
              <w:jc w:val="left"/>
              <w:rPr>
                <w:sz w:val="20"/>
              </w:rPr>
            </w:pPr>
            <w:r>
              <w:rPr>
                <w:sz w:val="20"/>
              </w:rPr>
              <w:t>100</w:t>
            </w:r>
          </w:p>
        </w:tc>
      </w:tr>
      <w:tr>
        <w:trPr>
          <w:trHeight w:val="384" w:hRule="atLeast"/>
        </w:trPr>
        <w:tc>
          <w:tcPr>
            <w:tcW w:w="1975" w:type="dxa"/>
          </w:tcPr>
          <w:p>
            <w:pPr>
              <w:pStyle w:val="TableParagraph"/>
              <w:spacing w:line="229" w:lineRule="exact" w:before="0"/>
              <w:ind w:left="226" w:right="243"/>
              <w:rPr>
                <w:sz w:val="20"/>
              </w:rPr>
            </w:pPr>
            <w:r>
              <w:rPr>
                <w:sz w:val="20"/>
              </w:rPr>
              <w:t>PFDS</w:t>
            </w:r>
          </w:p>
        </w:tc>
        <w:tc>
          <w:tcPr>
            <w:tcW w:w="1260" w:type="dxa"/>
          </w:tcPr>
          <w:p>
            <w:pPr>
              <w:pStyle w:val="TableParagraph"/>
              <w:spacing w:line="229" w:lineRule="exact" w:before="0"/>
              <w:ind w:left="401" w:right="418"/>
              <w:rPr>
                <w:sz w:val="20"/>
              </w:rPr>
            </w:pPr>
            <w:r>
              <w:rPr>
                <w:sz w:val="20"/>
              </w:rPr>
              <w:t>100</w:t>
            </w:r>
          </w:p>
        </w:tc>
        <w:tc>
          <w:tcPr>
            <w:tcW w:w="2070" w:type="dxa"/>
          </w:tcPr>
          <w:p>
            <w:pPr>
              <w:pStyle w:val="TableParagraph"/>
              <w:spacing w:line="229" w:lineRule="exact" w:before="0"/>
              <w:ind w:left="807" w:right="823"/>
              <w:rPr>
                <w:sz w:val="20"/>
              </w:rPr>
            </w:pPr>
            <w:r>
              <w:rPr>
                <w:sz w:val="20"/>
              </w:rPr>
              <w:t>10.2</w:t>
            </w:r>
          </w:p>
        </w:tc>
        <w:tc>
          <w:tcPr>
            <w:tcW w:w="1511" w:type="dxa"/>
          </w:tcPr>
          <w:p>
            <w:pPr>
              <w:pStyle w:val="TableParagraph"/>
              <w:spacing w:line="229" w:lineRule="exact" w:before="0"/>
              <w:ind w:left="573"/>
              <w:jc w:val="left"/>
              <w:rPr>
                <w:sz w:val="20"/>
              </w:rPr>
            </w:pPr>
            <w:r>
              <w:rPr>
                <w:sz w:val="20"/>
              </w:rPr>
              <w:t>100</w:t>
            </w:r>
          </w:p>
        </w:tc>
        <w:tc>
          <w:tcPr>
            <w:tcW w:w="1279" w:type="dxa"/>
          </w:tcPr>
          <w:p>
            <w:pPr>
              <w:pStyle w:val="TableParagraph"/>
              <w:spacing w:line="229" w:lineRule="exact" w:before="0"/>
              <w:ind w:left="409" w:right="428"/>
              <w:rPr>
                <w:sz w:val="20"/>
              </w:rPr>
            </w:pPr>
            <w:r>
              <w:rPr>
                <w:sz w:val="20"/>
              </w:rPr>
              <w:t>5.5</w:t>
            </w:r>
          </w:p>
        </w:tc>
        <w:tc>
          <w:tcPr>
            <w:tcW w:w="1890" w:type="dxa"/>
          </w:tcPr>
          <w:p>
            <w:pPr>
              <w:pStyle w:val="TableParagraph"/>
              <w:spacing w:line="229" w:lineRule="exact" w:before="0"/>
              <w:ind w:left="790"/>
              <w:jc w:val="left"/>
              <w:rPr>
                <w:sz w:val="20"/>
              </w:rPr>
            </w:pPr>
            <w:r>
              <w:rPr>
                <w:sz w:val="20"/>
              </w:rPr>
              <w:t>4.8</w:t>
            </w:r>
          </w:p>
        </w:tc>
        <w:tc>
          <w:tcPr>
            <w:tcW w:w="1494" w:type="dxa"/>
          </w:tcPr>
          <w:p>
            <w:pPr>
              <w:pStyle w:val="TableParagraph"/>
              <w:spacing w:line="229" w:lineRule="exact" w:before="0"/>
              <w:ind w:left="565"/>
              <w:jc w:val="left"/>
              <w:rPr>
                <w:sz w:val="20"/>
              </w:rPr>
            </w:pPr>
            <w:r>
              <w:rPr>
                <w:sz w:val="20"/>
              </w:rPr>
              <w:t>100</w:t>
            </w:r>
          </w:p>
        </w:tc>
      </w:tr>
      <w:tr>
        <w:trPr>
          <w:trHeight w:val="383" w:hRule="atLeast"/>
        </w:trPr>
        <w:tc>
          <w:tcPr>
            <w:tcW w:w="1975" w:type="dxa"/>
          </w:tcPr>
          <w:p>
            <w:pPr>
              <w:pStyle w:val="TableParagraph"/>
              <w:spacing w:line="229" w:lineRule="exact" w:before="0"/>
              <w:ind w:left="226" w:right="243"/>
              <w:rPr>
                <w:sz w:val="20"/>
              </w:rPr>
            </w:pPr>
            <w:r>
              <w:rPr>
                <w:sz w:val="20"/>
              </w:rPr>
              <w:t>PFNS</w:t>
            </w:r>
          </w:p>
        </w:tc>
        <w:tc>
          <w:tcPr>
            <w:tcW w:w="1260" w:type="dxa"/>
          </w:tcPr>
          <w:p>
            <w:pPr>
              <w:pStyle w:val="TableParagraph"/>
              <w:spacing w:line="229" w:lineRule="exact" w:before="0"/>
              <w:ind w:left="401" w:right="419"/>
              <w:rPr>
                <w:sz w:val="20"/>
              </w:rPr>
            </w:pPr>
            <w:r>
              <w:rPr>
                <w:sz w:val="20"/>
              </w:rPr>
              <w:t>105</w:t>
            </w:r>
          </w:p>
        </w:tc>
        <w:tc>
          <w:tcPr>
            <w:tcW w:w="2070" w:type="dxa"/>
          </w:tcPr>
          <w:p>
            <w:pPr>
              <w:pStyle w:val="TableParagraph"/>
              <w:spacing w:line="229" w:lineRule="exact" w:before="0"/>
              <w:ind w:left="807" w:right="823"/>
              <w:rPr>
                <w:sz w:val="20"/>
              </w:rPr>
            </w:pPr>
            <w:r>
              <w:rPr>
                <w:sz w:val="20"/>
              </w:rPr>
              <w:t>12.6</w:t>
            </w:r>
          </w:p>
        </w:tc>
        <w:tc>
          <w:tcPr>
            <w:tcW w:w="1511" w:type="dxa"/>
          </w:tcPr>
          <w:p>
            <w:pPr>
              <w:pStyle w:val="TableParagraph"/>
              <w:spacing w:line="229" w:lineRule="exact" w:before="0"/>
              <w:ind w:left="573"/>
              <w:jc w:val="left"/>
              <w:rPr>
                <w:sz w:val="20"/>
              </w:rPr>
            </w:pPr>
            <w:r>
              <w:rPr>
                <w:sz w:val="20"/>
              </w:rPr>
              <w:t>100</w:t>
            </w:r>
          </w:p>
        </w:tc>
        <w:tc>
          <w:tcPr>
            <w:tcW w:w="1279" w:type="dxa"/>
          </w:tcPr>
          <w:p>
            <w:pPr>
              <w:pStyle w:val="TableParagraph"/>
              <w:spacing w:line="229" w:lineRule="exact" w:before="0"/>
              <w:ind w:left="409" w:right="428"/>
              <w:rPr>
                <w:sz w:val="20"/>
              </w:rPr>
            </w:pPr>
            <w:r>
              <w:rPr>
                <w:sz w:val="20"/>
              </w:rPr>
              <w:t>6.9</w:t>
            </w:r>
          </w:p>
        </w:tc>
        <w:tc>
          <w:tcPr>
            <w:tcW w:w="1890" w:type="dxa"/>
          </w:tcPr>
          <w:p>
            <w:pPr>
              <w:pStyle w:val="TableParagraph"/>
              <w:spacing w:line="229" w:lineRule="exact" w:before="0"/>
              <w:ind w:left="790"/>
              <w:jc w:val="left"/>
              <w:rPr>
                <w:sz w:val="20"/>
              </w:rPr>
            </w:pPr>
            <w:r>
              <w:rPr>
                <w:sz w:val="20"/>
              </w:rPr>
              <w:t>6.3</w:t>
            </w:r>
          </w:p>
        </w:tc>
        <w:tc>
          <w:tcPr>
            <w:tcW w:w="1494" w:type="dxa"/>
          </w:tcPr>
          <w:p>
            <w:pPr>
              <w:pStyle w:val="TableParagraph"/>
              <w:spacing w:line="229" w:lineRule="exact" w:before="0"/>
              <w:ind w:left="565"/>
              <w:jc w:val="left"/>
              <w:rPr>
                <w:sz w:val="20"/>
              </w:rPr>
            </w:pPr>
            <w:r>
              <w:rPr>
                <w:sz w:val="20"/>
              </w:rPr>
              <w:t>100</w:t>
            </w:r>
          </w:p>
        </w:tc>
      </w:tr>
      <w:tr>
        <w:trPr>
          <w:trHeight w:val="384" w:hRule="atLeast"/>
        </w:trPr>
        <w:tc>
          <w:tcPr>
            <w:tcW w:w="1975" w:type="dxa"/>
          </w:tcPr>
          <w:p>
            <w:pPr>
              <w:pStyle w:val="TableParagraph"/>
              <w:spacing w:before="0"/>
              <w:ind w:left="225" w:right="243"/>
              <w:rPr>
                <w:sz w:val="20"/>
              </w:rPr>
            </w:pPr>
            <w:r>
              <w:rPr>
                <w:sz w:val="20"/>
              </w:rPr>
              <w:t>PFOS</w:t>
            </w:r>
          </w:p>
        </w:tc>
        <w:tc>
          <w:tcPr>
            <w:tcW w:w="1260" w:type="dxa"/>
          </w:tcPr>
          <w:p>
            <w:pPr>
              <w:pStyle w:val="TableParagraph"/>
              <w:spacing w:before="0"/>
              <w:ind w:left="401" w:right="419"/>
              <w:rPr>
                <w:sz w:val="20"/>
              </w:rPr>
            </w:pPr>
            <w:r>
              <w:rPr>
                <w:sz w:val="20"/>
              </w:rPr>
              <w:t>99.9</w:t>
            </w:r>
          </w:p>
        </w:tc>
        <w:tc>
          <w:tcPr>
            <w:tcW w:w="2070" w:type="dxa"/>
          </w:tcPr>
          <w:p>
            <w:pPr>
              <w:pStyle w:val="TableParagraph"/>
              <w:spacing w:before="0"/>
              <w:ind w:left="805" w:right="823"/>
              <w:rPr>
                <w:sz w:val="20"/>
              </w:rPr>
            </w:pPr>
            <w:r>
              <w:rPr>
                <w:sz w:val="20"/>
              </w:rPr>
              <w:t>8.9</w:t>
            </w:r>
          </w:p>
        </w:tc>
        <w:tc>
          <w:tcPr>
            <w:tcW w:w="1511" w:type="dxa"/>
          </w:tcPr>
          <w:p>
            <w:pPr>
              <w:pStyle w:val="TableParagraph"/>
              <w:spacing w:before="0"/>
              <w:ind w:left="573"/>
              <w:jc w:val="left"/>
              <w:rPr>
                <w:sz w:val="20"/>
              </w:rPr>
            </w:pPr>
            <w:r>
              <w:rPr>
                <w:sz w:val="20"/>
              </w:rPr>
              <w:t>100</w:t>
            </w:r>
          </w:p>
        </w:tc>
        <w:tc>
          <w:tcPr>
            <w:tcW w:w="1279" w:type="dxa"/>
          </w:tcPr>
          <w:p>
            <w:pPr>
              <w:pStyle w:val="TableParagraph"/>
              <w:spacing w:before="0"/>
              <w:ind w:left="409" w:right="428"/>
              <w:rPr>
                <w:sz w:val="20"/>
              </w:rPr>
            </w:pPr>
            <w:r>
              <w:rPr>
                <w:sz w:val="20"/>
              </w:rPr>
              <w:t>5.1</w:t>
            </w:r>
          </w:p>
        </w:tc>
        <w:tc>
          <w:tcPr>
            <w:tcW w:w="1890" w:type="dxa"/>
          </w:tcPr>
          <w:p>
            <w:pPr>
              <w:pStyle w:val="TableParagraph"/>
              <w:spacing w:before="0"/>
              <w:ind w:left="790"/>
              <w:jc w:val="left"/>
              <w:rPr>
                <w:sz w:val="20"/>
              </w:rPr>
            </w:pPr>
            <w:r>
              <w:rPr>
                <w:sz w:val="20"/>
              </w:rPr>
              <w:t>4.9</w:t>
            </w:r>
          </w:p>
        </w:tc>
        <w:tc>
          <w:tcPr>
            <w:tcW w:w="1494" w:type="dxa"/>
          </w:tcPr>
          <w:p>
            <w:pPr>
              <w:pStyle w:val="TableParagraph"/>
              <w:spacing w:before="0"/>
              <w:ind w:left="565"/>
              <w:jc w:val="left"/>
              <w:rPr>
                <w:sz w:val="20"/>
              </w:rPr>
            </w:pPr>
            <w:r>
              <w:rPr>
                <w:sz w:val="20"/>
              </w:rPr>
              <w:t>100</w:t>
            </w:r>
          </w:p>
        </w:tc>
      </w:tr>
      <w:tr>
        <w:trPr>
          <w:trHeight w:val="384" w:hRule="atLeast"/>
        </w:trPr>
        <w:tc>
          <w:tcPr>
            <w:tcW w:w="1975" w:type="dxa"/>
          </w:tcPr>
          <w:p>
            <w:pPr>
              <w:pStyle w:val="TableParagraph"/>
              <w:spacing w:line="229" w:lineRule="exact" w:before="0"/>
              <w:ind w:left="226" w:right="242"/>
              <w:rPr>
                <w:sz w:val="20"/>
              </w:rPr>
            </w:pPr>
            <w:r>
              <w:rPr>
                <w:sz w:val="20"/>
              </w:rPr>
              <w:t>PFHpS</w:t>
            </w:r>
          </w:p>
        </w:tc>
        <w:tc>
          <w:tcPr>
            <w:tcW w:w="1260" w:type="dxa"/>
          </w:tcPr>
          <w:p>
            <w:pPr>
              <w:pStyle w:val="TableParagraph"/>
              <w:spacing w:line="229" w:lineRule="exact" w:before="0"/>
              <w:ind w:left="401" w:right="419"/>
              <w:rPr>
                <w:sz w:val="20"/>
              </w:rPr>
            </w:pPr>
            <w:r>
              <w:rPr>
                <w:sz w:val="20"/>
              </w:rPr>
              <w:t>101</w:t>
            </w:r>
          </w:p>
        </w:tc>
        <w:tc>
          <w:tcPr>
            <w:tcW w:w="2070" w:type="dxa"/>
          </w:tcPr>
          <w:p>
            <w:pPr>
              <w:pStyle w:val="TableParagraph"/>
              <w:spacing w:line="229" w:lineRule="exact" w:before="0"/>
              <w:ind w:left="805" w:right="823"/>
              <w:rPr>
                <w:sz w:val="20"/>
              </w:rPr>
            </w:pPr>
            <w:r>
              <w:rPr>
                <w:sz w:val="20"/>
              </w:rPr>
              <w:t>9.1</w:t>
            </w:r>
          </w:p>
        </w:tc>
        <w:tc>
          <w:tcPr>
            <w:tcW w:w="1511" w:type="dxa"/>
          </w:tcPr>
          <w:p>
            <w:pPr>
              <w:pStyle w:val="TableParagraph"/>
              <w:spacing w:line="229" w:lineRule="exact" w:before="0"/>
              <w:ind w:left="573"/>
              <w:jc w:val="left"/>
              <w:rPr>
                <w:sz w:val="20"/>
              </w:rPr>
            </w:pPr>
            <w:r>
              <w:rPr>
                <w:sz w:val="20"/>
              </w:rPr>
              <w:t>100</w:t>
            </w:r>
          </w:p>
        </w:tc>
        <w:tc>
          <w:tcPr>
            <w:tcW w:w="1279" w:type="dxa"/>
          </w:tcPr>
          <w:p>
            <w:pPr>
              <w:pStyle w:val="TableParagraph"/>
              <w:spacing w:line="229" w:lineRule="exact" w:before="0"/>
              <w:ind w:left="409" w:right="428"/>
              <w:rPr>
                <w:sz w:val="20"/>
              </w:rPr>
            </w:pPr>
            <w:r>
              <w:rPr>
                <w:sz w:val="20"/>
              </w:rPr>
              <w:t>5.2</w:t>
            </w:r>
          </w:p>
        </w:tc>
        <w:tc>
          <w:tcPr>
            <w:tcW w:w="1890" w:type="dxa"/>
          </w:tcPr>
          <w:p>
            <w:pPr>
              <w:pStyle w:val="TableParagraph"/>
              <w:spacing w:line="229" w:lineRule="exact" w:before="0"/>
              <w:ind w:left="790"/>
              <w:jc w:val="left"/>
              <w:rPr>
                <w:sz w:val="20"/>
              </w:rPr>
            </w:pPr>
            <w:r>
              <w:rPr>
                <w:sz w:val="20"/>
              </w:rPr>
              <w:t>5.2</w:t>
            </w:r>
          </w:p>
        </w:tc>
        <w:tc>
          <w:tcPr>
            <w:tcW w:w="1494" w:type="dxa"/>
          </w:tcPr>
          <w:p>
            <w:pPr>
              <w:pStyle w:val="TableParagraph"/>
              <w:spacing w:line="229" w:lineRule="exact" w:before="0"/>
              <w:ind w:left="565"/>
              <w:jc w:val="left"/>
              <w:rPr>
                <w:sz w:val="20"/>
              </w:rPr>
            </w:pPr>
            <w:r>
              <w:rPr>
                <w:sz w:val="20"/>
              </w:rPr>
              <w:t>100</w:t>
            </w:r>
          </w:p>
        </w:tc>
      </w:tr>
      <w:tr>
        <w:trPr>
          <w:trHeight w:val="383" w:hRule="atLeast"/>
        </w:trPr>
        <w:tc>
          <w:tcPr>
            <w:tcW w:w="1975" w:type="dxa"/>
          </w:tcPr>
          <w:p>
            <w:pPr>
              <w:pStyle w:val="TableParagraph"/>
              <w:spacing w:line="229" w:lineRule="exact" w:before="0"/>
              <w:ind w:left="224" w:right="243"/>
              <w:rPr>
                <w:sz w:val="20"/>
              </w:rPr>
            </w:pPr>
            <w:r>
              <w:rPr>
                <w:sz w:val="20"/>
              </w:rPr>
              <w:t>PFHxS</w:t>
            </w:r>
          </w:p>
        </w:tc>
        <w:tc>
          <w:tcPr>
            <w:tcW w:w="1260" w:type="dxa"/>
          </w:tcPr>
          <w:p>
            <w:pPr>
              <w:pStyle w:val="TableParagraph"/>
              <w:spacing w:line="229" w:lineRule="exact" w:before="0"/>
              <w:ind w:left="401" w:right="419"/>
              <w:rPr>
                <w:sz w:val="20"/>
              </w:rPr>
            </w:pPr>
            <w:r>
              <w:rPr>
                <w:sz w:val="20"/>
              </w:rPr>
              <w:t>97.9</w:t>
            </w:r>
          </w:p>
        </w:tc>
        <w:tc>
          <w:tcPr>
            <w:tcW w:w="2070" w:type="dxa"/>
          </w:tcPr>
          <w:p>
            <w:pPr>
              <w:pStyle w:val="TableParagraph"/>
              <w:spacing w:line="229" w:lineRule="exact" w:before="0"/>
              <w:ind w:left="805" w:right="823"/>
              <w:rPr>
                <w:sz w:val="20"/>
              </w:rPr>
            </w:pPr>
            <w:r>
              <w:rPr>
                <w:sz w:val="20"/>
              </w:rPr>
              <w:t>8.1</w:t>
            </w:r>
          </w:p>
        </w:tc>
        <w:tc>
          <w:tcPr>
            <w:tcW w:w="1511" w:type="dxa"/>
          </w:tcPr>
          <w:p>
            <w:pPr>
              <w:pStyle w:val="TableParagraph"/>
              <w:spacing w:line="229" w:lineRule="exact" w:before="0"/>
              <w:ind w:left="573"/>
              <w:jc w:val="left"/>
              <w:rPr>
                <w:sz w:val="20"/>
              </w:rPr>
            </w:pPr>
            <w:r>
              <w:rPr>
                <w:sz w:val="20"/>
              </w:rPr>
              <w:t>100</w:t>
            </w:r>
          </w:p>
        </w:tc>
        <w:tc>
          <w:tcPr>
            <w:tcW w:w="1279" w:type="dxa"/>
          </w:tcPr>
          <w:p>
            <w:pPr>
              <w:pStyle w:val="TableParagraph"/>
              <w:spacing w:line="229" w:lineRule="exact" w:before="0"/>
              <w:ind w:left="409" w:right="428"/>
              <w:rPr>
                <w:sz w:val="20"/>
              </w:rPr>
            </w:pPr>
            <w:r>
              <w:rPr>
                <w:sz w:val="20"/>
              </w:rPr>
              <w:t>4.5</w:t>
            </w:r>
          </w:p>
        </w:tc>
        <w:tc>
          <w:tcPr>
            <w:tcW w:w="1890" w:type="dxa"/>
          </w:tcPr>
          <w:p>
            <w:pPr>
              <w:pStyle w:val="TableParagraph"/>
              <w:spacing w:line="229" w:lineRule="exact" w:before="0"/>
              <w:ind w:left="790"/>
              <w:jc w:val="left"/>
              <w:rPr>
                <w:sz w:val="20"/>
              </w:rPr>
            </w:pPr>
            <w:r>
              <w:rPr>
                <w:sz w:val="20"/>
              </w:rPr>
              <w:t>4.7</w:t>
            </w:r>
          </w:p>
        </w:tc>
        <w:tc>
          <w:tcPr>
            <w:tcW w:w="1494" w:type="dxa"/>
          </w:tcPr>
          <w:p>
            <w:pPr>
              <w:pStyle w:val="TableParagraph"/>
              <w:spacing w:line="229" w:lineRule="exact" w:before="0"/>
              <w:ind w:left="565"/>
              <w:jc w:val="left"/>
              <w:rPr>
                <w:sz w:val="20"/>
              </w:rPr>
            </w:pPr>
            <w:r>
              <w:rPr>
                <w:sz w:val="20"/>
              </w:rPr>
              <w:t>100</w:t>
            </w:r>
          </w:p>
        </w:tc>
      </w:tr>
      <w:tr>
        <w:trPr>
          <w:trHeight w:val="384" w:hRule="atLeast"/>
        </w:trPr>
        <w:tc>
          <w:tcPr>
            <w:tcW w:w="1975" w:type="dxa"/>
          </w:tcPr>
          <w:p>
            <w:pPr>
              <w:pStyle w:val="TableParagraph"/>
              <w:spacing w:before="0"/>
              <w:ind w:left="225" w:right="243"/>
              <w:rPr>
                <w:sz w:val="20"/>
              </w:rPr>
            </w:pPr>
            <w:r>
              <w:rPr>
                <w:sz w:val="20"/>
              </w:rPr>
              <w:t>PFPeS</w:t>
            </w:r>
          </w:p>
        </w:tc>
        <w:tc>
          <w:tcPr>
            <w:tcW w:w="1260" w:type="dxa"/>
          </w:tcPr>
          <w:p>
            <w:pPr>
              <w:pStyle w:val="TableParagraph"/>
              <w:spacing w:before="0"/>
              <w:ind w:left="401" w:right="419"/>
              <w:rPr>
                <w:sz w:val="20"/>
              </w:rPr>
            </w:pPr>
            <w:r>
              <w:rPr>
                <w:sz w:val="20"/>
              </w:rPr>
              <w:t>98.0</w:t>
            </w:r>
          </w:p>
        </w:tc>
        <w:tc>
          <w:tcPr>
            <w:tcW w:w="2070" w:type="dxa"/>
          </w:tcPr>
          <w:p>
            <w:pPr>
              <w:pStyle w:val="TableParagraph"/>
              <w:spacing w:before="0"/>
              <w:ind w:left="805" w:right="823"/>
              <w:rPr>
                <w:sz w:val="20"/>
              </w:rPr>
            </w:pPr>
            <w:r>
              <w:rPr>
                <w:sz w:val="20"/>
              </w:rPr>
              <w:t>7.2</w:t>
            </w:r>
          </w:p>
        </w:tc>
        <w:tc>
          <w:tcPr>
            <w:tcW w:w="1511" w:type="dxa"/>
          </w:tcPr>
          <w:p>
            <w:pPr>
              <w:pStyle w:val="TableParagraph"/>
              <w:spacing w:before="0"/>
              <w:ind w:left="573"/>
              <w:jc w:val="left"/>
              <w:rPr>
                <w:sz w:val="20"/>
              </w:rPr>
            </w:pPr>
            <w:r>
              <w:rPr>
                <w:sz w:val="20"/>
              </w:rPr>
              <w:t>100</w:t>
            </w:r>
          </w:p>
        </w:tc>
        <w:tc>
          <w:tcPr>
            <w:tcW w:w="1279" w:type="dxa"/>
          </w:tcPr>
          <w:p>
            <w:pPr>
              <w:pStyle w:val="TableParagraph"/>
              <w:spacing w:before="0"/>
              <w:ind w:left="409" w:right="428"/>
              <w:rPr>
                <w:sz w:val="20"/>
              </w:rPr>
            </w:pPr>
            <w:r>
              <w:rPr>
                <w:sz w:val="20"/>
              </w:rPr>
              <w:t>5.5</w:t>
            </w:r>
          </w:p>
        </w:tc>
        <w:tc>
          <w:tcPr>
            <w:tcW w:w="1890" w:type="dxa"/>
          </w:tcPr>
          <w:p>
            <w:pPr>
              <w:pStyle w:val="TableParagraph"/>
              <w:spacing w:before="0"/>
              <w:ind w:left="790"/>
              <w:jc w:val="left"/>
              <w:rPr>
                <w:sz w:val="20"/>
              </w:rPr>
            </w:pPr>
            <w:r>
              <w:rPr>
                <w:sz w:val="20"/>
              </w:rPr>
              <w:t>5.2</w:t>
            </w:r>
          </w:p>
        </w:tc>
        <w:tc>
          <w:tcPr>
            <w:tcW w:w="1494" w:type="dxa"/>
          </w:tcPr>
          <w:p>
            <w:pPr>
              <w:pStyle w:val="TableParagraph"/>
              <w:spacing w:before="0"/>
              <w:ind w:left="565"/>
              <w:jc w:val="left"/>
              <w:rPr>
                <w:sz w:val="20"/>
              </w:rPr>
            </w:pPr>
            <w:r>
              <w:rPr>
                <w:sz w:val="20"/>
              </w:rPr>
              <w:t>100</w:t>
            </w:r>
          </w:p>
        </w:tc>
      </w:tr>
      <w:tr>
        <w:trPr>
          <w:trHeight w:val="384" w:hRule="atLeast"/>
        </w:trPr>
        <w:tc>
          <w:tcPr>
            <w:tcW w:w="1975" w:type="dxa"/>
          </w:tcPr>
          <w:p>
            <w:pPr>
              <w:pStyle w:val="TableParagraph"/>
              <w:spacing w:before="0"/>
              <w:ind w:left="225" w:right="243"/>
              <w:rPr>
                <w:sz w:val="20"/>
              </w:rPr>
            </w:pPr>
            <w:r>
              <w:rPr>
                <w:sz w:val="20"/>
              </w:rPr>
              <w:t>PFBS</w:t>
            </w:r>
          </w:p>
        </w:tc>
        <w:tc>
          <w:tcPr>
            <w:tcW w:w="1260" w:type="dxa"/>
          </w:tcPr>
          <w:p>
            <w:pPr>
              <w:pStyle w:val="TableParagraph"/>
              <w:spacing w:before="0"/>
              <w:ind w:left="401" w:right="419"/>
              <w:rPr>
                <w:sz w:val="20"/>
              </w:rPr>
            </w:pPr>
            <w:r>
              <w:rPr>
                <w:sz w:val="20"/>
              </w:rPr>
              <w:t>93.2</w:t>
            </w:r>
          </w:p>
        </w:tc>
        <w:tc>
          <w:tcPr>
            <w:tcW w:w="2070" w:type="dxa"/>
          </w:tcPr>
          <w:p>
            <w:pPr>
              <w:pStyle w:val="TableParagraph"/>
              <w:spacing w:before="0"/>
              <w:ind w:left="805" w:right="823"/>
              <w:rPr>
                <w:sz w:val="20"/>
              </w:rPr>
            </w:pPr>
            <w:r>
              <w:rPr>
                <w:sz w:val="20"/>
              </w:rPr>
              <w:t>9.6</w:t>
            </w:r>
          </w:p>
        </w:tc>
        <w:tc>
          <w:tcPr>
            <w:tcW w:w="1511" w:type="dxa"/>
          </w:tcPr>
          <w:p>
            <w:pPr>
              <w:pStyle w:val="TableParagraph"/>
              <w:spacing w:before="0"/>
              <w:ind w:left="573"/>
              <w:jc w:val="left"/>
              <w:rPr>
                <w:sz w:val="20"/>
              </w:rPr>
            </w:pPr>
            <w:r>
              <w:rPr>
                <w:sz w:val="20"/>
              </w:rPr>
              <w:t>100</w:t>
            </w:r>
          </w:p>
        </w:tc>
        <w:tc>
          <w:tcPr>
            <w:tcW w:w="1279" w:type="dxa"/>
          </w:tcPr>
          <w:p>
            <w:pPr>
              <w:pStyle w:val="TableParagraph"/>
              <w:spacing w:before="0"/>
              <w:ind w:left="409" w:right="428"/>
              <w:rPr>
                <w:sz w:val="20"/>
              </w:rPr>
            </w:pPr>
            <w:r>
              <w:rPr>
                <w:sz w:val="20"/>
              </w:rPr>
              <w:t>3.3</w:t>
            </w:r>
          </w:p>
        </w:tc>
        <w:tc>
          <w:tcPr>
            <w:tcW w:w="1890" w:type="dxa"/>
          </w:tcPr>
          <w:p>
            <w:pPr>
              <w:pStyle w:val="TableParagraph"/>
              <w:spacing w:before="0"/>
              <w:ind w:left="790"/>
              <w:jc w:val="left"/>
              <w:rPr>
                <w:sz w:val="20"/>
              </w:rPr>
            </w:pPr>
            <w:r>
              <w:rPr>
                <w:sz w:val="20"/>
              </w:rPr>
              <w:t>5.5</w:t>
            </w:r>
          </w:p>
        </w:tc>
        <w:tc>
          <w:tcPr>
            <w:tcW w:w="1494" w:type="dxa"/>
          </w:tcPr>
          <w:p>
            <w:pPr>
              <w:pStyle w:val="TableParagraph"/>
              <w:spacing w:before="0"/>
              <w:ind w:left="565"/>
              <w:jc w:val="left"/>
              <w:rPr>
                <w:sz w:val="20"/>
              </w:rPr>
            </w:pPr>
            <w:r>
              <w:rPr>
                <w:sz w:val="20"/>
              </w:rPr>
              <w:t>100</w:t>
            </w:r>
          </w:p>
        </w:tc>
      </w:tr>
      <w:tr>
        <w:trPr>
          <w:trHeight w:val="384" w:hRule="atLeast"/>
        </w:trPr>
        <w:tc>
          <w:tcPr>
            <w:tcW w:w="1975" w:type="dxa"/>
          </w:tcPr>
          <w:p>
            <w:pPr>
              <w:pStyle w:val="TableParagraph"/>
              <w:spacing w:line="229" w:lineRule="exact" w:before="0"/>
              <w:ind w:left="225" w:right="243"/>
              <w:rPr>
                <w:sz w:val="20"/>
              </w:rPr>
            </w:pPr>
            <w:r>
              <w:rPr>
                <w:sz w:val="20"/>
              </w:rPr>
              <w:t>PFOSA</w:t>
            </w:r>
          </w:p>
        </w:tc>
        <w:tc>
          <w:tcPr>
            <w:tcW w:w="1260" w:type="dxa"/>
          </w:tcPr>
          <w:p>
            <w:pPr>
              <w:pStyle w:val="TableParagraph"/>
              <w:spacing w:line="229" w:lineRule="exact" w:before="0"/>
              <w:ind w:left="401" w:right="419"/>
              <w:rPr>
                <w:sz w:val="20"/>
              </w:rPr>
            </w:pPr>
            <w:r>
              <w:rPr>
                <w:sz w:val="20"/>
              </w:rPr>
              <w:t>98.7</w:t>
            </w:r>
          </w:p>
        </w:tc>
        <w:tc>
          <w:tcPr>
            <w:tcW w:w="2070" w:type="dxa"/>
          </w:tcPr>
          <w:p>
            <w:pPr>
              <w:pStyle w:val="TableParagraph"/>
              <w:spacing w:line="229" w:lineRule="exact" w:before="0"/>
              <w:ind w:left="805" w:right="823"/>
              <w:rPr>
                <w:sz w:val="20"/>
              </w:rPr>
            </w:pPr>
            <w:r>
              <w:rPr>
                <w:sz w:val="20"/>
              </w:rPr>
              <w:t>8.2</w:t>
            </w:r>
          </w:p>
        </w:tc>
        <w:tc>
          <w:tcPr>
            <w:tcW w:w="1511" w:type="dxa"/>
          </w:tcPr>
          <w:p>
            <w:pPr>
              <w:pStyle w:val="TableParagraph"/>
              <w:spacing w:line="229" w:lineRule="exact" w:before="0"/>
              <w:ind w:left="573"/>
              <w:jc w:val="left"/>
              <w:rPr>
                <w:sz w:val="20"/>
              </w:rPr>
            </w:pPr>
            <w:r>
              <w:rPr>
                <w:sz w:val="20"/>
              </w:rPr>
              <w:t>100</w:t>
            </w:r>
          </w:p>
        </w:tc>
        <w:tc>
          <w:tcPr>
            <w:tcW w:w="1279" w:type="dxa"/>
          </w:tcPr>
          <w:p>
            <w:pPr>
              <w:pStyle w:val="TableParagraph"/>
              <w:spacing w:line="229" w:lineRule="exact" w:before="0"/>
              <w:ind w:left="409" w:right="428"/>
              <w:rPr>
                <w:sz w:val="20"/>
              </w:rPr>
            </w:pPr>
            <w:r>
              <w:rPr>
                <w:sz w:val="20"/>
              </w:rPr>
              <w:t>3.6</w:t>
            </w:r>
          </w:p>
        </w:tc>
        <w:tc>
          <w:tcPr>
            <w:tcW w:w="1890" w:type="dxa"/>
          </w:tcPr>
          <w:p>
            <w:pPr>
              <w:pStyle w:val="TableParagraph"/>
              <w:spacing w:line="229" w:lineRule="exact" w:before="0"/>
              <w:ind w:left="790"/>
              <w:jc w:val="left"/>
              <w:rPr>
                <w:sz w:val="20"/>
              </w:rPr>
            </w:pPr>
            <w:r>
              <w:rPr>
                <w:sz w:val="20"/>
              </w:rPr>
              <w:t>2.7</w:t>
            </w:r>
          </w:p>
        </w:tc>
        <w:tc>
          <w:tcPr>
            <w:tcW w:w="1494" w:type="dxa"/>
          </w:tcPr>
          <w:p>
            <w:pPr>
              <w:pStyle w:val="TableParagraph"/>
              <w:spacing w:line="229" w:lineRule="exact" w:before="0"/>
              <w:ind w:left="565"/>
              <w:jc w:val="left"/>
              <w:rPr>
                <w:sz w:val="20"/>
              </w:rPr>
            </w:pPr>
            <w:r>
              <w:rPr>
                <w:sz w:val="20"/>
              </w:rPr>
              <w:t>100</w:t>
            </w:r>
          </w:p>
        </w:tc>
      </w:tr>
      <w:tr>
        <w:trPr>
          <w:trHeight w:val="383" w:hRule="atLeast"/>
        </w:trPr>
        <w:tc>
          <w:tcPr>
            <w:tcW w:w="1975" w:type="dxa"/>
          </w:tcPr>
          <w:p>
            <w:pPr>
              <w:pStyle w:val="TableParagraph"/>
              <w:spacing w:line="229" w:lineRule="exact" w:before="0"/>
              <w:ind w:left="225" w:right="243"/>
              <w:rPr>
                <w:sz w:val="20"/>
              </w:rPr>
            </w:pPr>
            <w:r>
              <w:rPr>
                <w:sz w:val="20"/>
              </w:rPr>
              <w:t>FtS 8:2</w:t>
            </w:r>
          </w:p>
        </w:tc>
        <w:tc>
          <w:tcPr>
            <w:tcW w:w="1260" w:type="dxa"/>
          </w:tcPr>
          <w:p>
            <w:pPr>
              <w:pStyle w:val="TableParagraph"/>
              <w:spacing w:line="229" w:lineRule="exact" w:before="0"/>
              <w:ind w:left="401" w:right="418"/>
              <w:rPr>
                <w:sz w:val="20"/>
              </w:rPr>
            </w:pPr>
            <w:r>
              <w:rPr>
                <w:sz w:val="20"/>
              </w:rPr>
              <w:t>104</w:t>
            </w:r>
          </w:p>
        </w:tc>
        <w:tc>
          <w:tcPr>
            <w:tcW w:w="2070" w:type="dxa"/>
          </w:tcPr>
          <w:p>
            <w:pPr>
              <w:pStyle w:val="TableParagraph"/>
              <w:spacing w:line="229" w:lineRule="exact" w:before="0"/>
              <w:ind w:left="807" w:right="823"/>
              <w:rPr>
                <w:sz w:val="20"/>
              </w:rPr>
            </w:pPr>
            <w:r>
              <w:rPr>
                <w:sz w:val="20"/>
              </w:rPr>
              <w:t>15.0</w:t>
            </w:r>
          </w:p>
        </w:tc>
        <w:tc>
          <w:tcPr>
            <w:tcW w:w="1511" w:type="dxa"/>
          </w:tcPr>
          <w:p>
            <w:pPr>
              <w:pStyle w:val="TableParagraph"/>
              <w:spacing w:line="229" w:lineRule="exact" w:before="0"/>
              <w:ind w:left="546"/>
              <w:jc w:val="left"/>
              <w:rPr>
                <w:sz w:val="20"/>
              </w:rPr>
            </w:pPr>
            <w:r>
              <w:rPr>
                <w:sz w:val="20"/>
              </w:rPr>
              <w:t>93.8</w:t>
            </w:r>
          </w:p>
        </w:tc>
        <w:tc>
          <w:tcPr>
            <w:tcW w:w="1279" w:type="dxa"/>
          </w:tcPr>
          <w:p>
            <w:pPr>
              <w:pStyle w:val="TableParagraph"/>
              <w:spacing w:line="229" w:lineRule="exact" w:before="0"/>
              <w:ind w:left="409" w:right="428"/>
              <w:rPr>
                <w:sz w:val="20"/>
              </w:rPr>
            </w:pPr>
            <w:r>
              <w:rPr>
                <w:sz w:val="20"/>
              </w:rPr>
              <w:t>8.2</w:t>
            </w:r>
          </w:p>
        </w:tc>
        <w:tc>
          <w:tcPr>
            <w:tcW w:w="1890" w:type="dxa"/>
          </w:tcPr>
          <w:p>
            <w:pPr>
              <w:pStyle w:val="TableParagraph"/>
              <w:spacing w:line="229" w:lineRule="exact" w:before="0"/>
              <w:ind w:left="790"/>
              <w:jc w:val="left"/>
              <w:rPr>
                <w:sz w:val="20"/>
              </w:rPr>
            </w:pPr>
            <w:r>
              <w:rPr>
                <w:sz w:val="20"/>
              </w:rPr>
              <w:t>6.9</w:t>
            </w:r>
          </w:p>
        </w:tc>
        <w:tc>
          <w:tcPr>
            <w:tcW w:w="1494" w:type="dxa"/>
          </w:tcPr>
          <w:p>
            <w:pPr>
              <w:pStyle w:val="TableParagraph"/>
              <w:spacing w:line="229" w:lineRule="exact" w:before="0"/>
              <w:ind w:left="565"/>
              <w:jc w:val="left"/>
              <w:rPr>
                <w:sz w:val="20"/>
              </w:rPr>
            </w:pPr>
            <w:r>
              <w:rPr>
                <w:sz w:val="20"/>
              </w:rPr>
              <w:t>100</w:t>
            </w:r>
          </w:p>
        </w:tc>
      </w:tr>
      <w:tr>
        <w:trPr>
          <w:trHeight w:val="384" w:hRule="atLeast"/>
        </w:trPr>
        <w:tc>
          <w:tcPr>
            <w:tcW w:w="1975" w:type="dxa"/>
          </w:tcPr>
          <w:p>
            <w:pPr>
              <w:pStyle w:val="TableParagraph"/>
              <w:spacing w:before="0"/>
              <w:ind w:left="225" w:right="243"/>
              <w:rPr>
                <w:sz w:val="20"/>
              </w:rPr>
            </w:pPr>
            <w:r>
              <w:rPr>
                <w:sz w:val="20"/>
              </w:rPr>
              <w:t>FtS 6:2</w:t>
            </w:r>
          </w:p>
        </w:tc>
        <w:tc>
          <w:tcPr>
            <w:tcW w:w="1260" w:type="dxa"/>
          </w:tcPr>
          <w:p>
            <w:pPr>
              <w:pStyle w:val="TableParagraph"/>
              <w:spacing w:before="0"/>
              <w:ind w:left="401" w:right="419"/>
              <w:rPr>
                <w:sz w:val="20"/>
              </w:rPr>
            </w:pPr>
            <w:r>
              <w:rPr>
                <w:sz w:val="20"/>
              </w:rPr>
              <w:t>91.1</w:t>
            </w:r>
          </w:p>
        </w:tc>
        <w:tc>
          <w:tcPr>
            <w:tcW w:w="2070" w:type="dxa"/>
          </w:tcPr>
          <w:p>
            <w:pPr>
              <w:pStyle w:val="TableParagraph"/>
              <w:spacing w:before="0"/>
              <w:ind w:left="807" w:right="823"/>
              <w:rPr>
                <w:sz w:val="20"/>
              </w:rPr>
            </w:pPr>
            <w:r>
              <w:rPr>
                <w:sz w:val="20"/>
              </w:rPr>
              <w:t>33.0</w:t>
            </w:r>
          </w:p>
        </w:tc>
        <w:tc>
          <w:tcPr>
            <w:tcW w:w="1511" w:type="dxa"/>
          </w:tcPr>
          <w:p>
            <w:pPr>
              <w:pStyle w:val="TableParagraph"/>
              <w:spacing w:before="0"/>
              <w:ind w:left="546"/>
              <w:jc w:val="left"/>
              <w:rPr>
                <w:sz w:val="20"/>
              </w:rPr>
            </w:pPr>
            <w:r>
              <w:rPr>
                <w:sz w:val="20"/>
              </w:rPr>
              <w:t>64.6</w:t>
            </w:r>
          </w:p>
        </w:tc>
        <w:tc>
          <w:tcPr>
            <w:tcW w:w="1279" w:type="dxa"/>
          </w:tcPr>
          <w:p>
            <w:pPr>
              <w:pStyle w:val="TableParagraph"/>
              <w:spacing w:before="0"/>
              <w:ind w:left="410" w:right="428"/>
              <w:rPr>
                <w:sz w:val="20"/>
              </w:rPr>
            </w:pPr>
            <w:r>
              <w:rPr>
                <w:sz w:val="20"/>
              </w:rPr>
              <w:t>10.2</w:t>
            </w:r>
          </w:p>
        </w:tc>
        <w:tc>
          <w:tcPr>
            <w:tcW w:w="1890" w:type="dxa"/>
          </w:tcPr>
          <w:p>
            <w:pPr>
              <w:pStyle w:val="TableParagraph"/>
              <w:spacing w:before="0"/>
              <w:ind w:left="790"/>
              <w:jc w:val="left"/>
              <w:rPr>
                <w:sz w:val="20"/>
              </w:rPr>
            </w:pPr>
            <w:r>
              <w:rPr>
                <w:sz w:val="20"/>
              </w:rPr>
              <w:t>8.4</w:t>
            </w:r>
          </w:p>
        </w:tc>
        <w:tc>
          <w:tcPr>
            <w:tcW w:w="1494" w:type="dxa"/>
          </w:tcPr>
          <w:p>
            <w:pPr>
              <w:pStyle w:val="TableParagraph"/>
              <w:spacing w:before="0"/>
              <w:ind w:left="565"/>
              <w:jc w:val="left"/>
              <w:rPr>
                <w:sz w:val="20"/>
              </w:rPr>
            </w:pPr>
            <w:r>
              <w:rPr>
                <w:sz w:val="20"/>
              </w:rPr>
              <w:t>100</w:t>
            </w:r>
          </w:p>
        </w:tc>
      </w:tr>
      <w:tr>
        <w:trPr>
          <w:trHeight w:val="384" w:hRule="atLeast"/>
        </w:trPr>
        <w:tc>
          <w:tcPr>
            <w:tcW w:w="1975" w:type="dxa"/>
          </w:tcPr>
          <w:p>
            <w:pPr>
              <w:pStyle w:val="TableParagraph"/>
              <w:spacing w:line="229" w:lineRule="exact" w:before="0"/>
              <w:ind w:left="225" w:right="243"/>
              <w:rPr>
                <w:sz w:val="20"/>
              </w:rPr>
            </w:pPr>
            <w:r>
              <w:rPr>
                <w:sz w:val="20"/>
              </w:rPr>
              <w:t>FtS 4:2</w:t>
            </w:r>
          </w:p>
        </w:tc>
        <w:tc>
          <w:tcPr>
            <w:tcW w:w="1260" w:type="dxa"/>
          </w:tcPr>
          <w:p>
            <w:pPr>
              <w:pStyle w:val="TableParagraph"/>
              <w:spacing w:line="229" w:lineRule="exact" w:before="0"/>
              <w:ind w:left="401" w:right="419"/>
              <w:rPr>
                <w:sz w:val="20"/>
              </w:rPr>
            </w:pPr>
            <w:r>
              <w:rPr>
                <w:sz w:val="20"/>
              </w:rPr>
              <w:t>98.0</w:t>
            </w:r>
          </w:p>
        </w:tc>
        <w:tc>
          <w:tcPr>
            <w:tcW w:w="2070" w:type="dxa"/>
          </w:tcPr>
          <w:p>
            <w:pPr>
              <w:pStyle w:val="TableParagraph"/>
              <w:spacing w:line="229" w:lineRule="exact" w:before="0"/>
              <w:ind w:left="807" w:right="823"/>
              <w:rPr>
                <w:sz w:val="20"/>
              </w:rPr>
            </w:pPr>
            <w:r>
              <w:rPr>
                <w:sz w:val="20"/>
              </w:rPr>
              <w:t>12.0</w:t>
            </w:r>
          </w:p>
        </w:tc>
        <w:tc>
          <w:tcPr>
            <w:tcW w:w="1511" w:type="dxa"/>
          </w:tcPr>
          <w:p>
            <w:pPr>
              <w:pStyle w:val="TableParagraph"/>
              <w:spacing w:line="229" w:lineRule="exact" w:before="0"/>
              <w:ind w:left="546"/>
              <w:jc w:val="left"/>
              <w:rPr>
                <w:sz w:val="20"/>
              </w:rPr>
            </w:pPr>
            <w:r>
              <w:rPr>
                <w:sz w:val="20"/>
              </w:rPr>
              <w:t>95.8</w:t>
            </w:r>
          </w:p>
        </w:tc>
        <w:tc>
          <w:tcPr>
            <w:tcW w:w="1279" w:type="dxa"/>
          </w:tcPr>
          <w:p>
            <w:pPr>
              <w:pStyle w:val="TableParagraph"/>
              <w:spacing w:line="229" w:lineRule="exact" w:before="0"/>
              <w:ind w:left="409" w:right="428"/>
              <w:rPr>
                <w:sz w:val="20"/>
              </w:rPr>
            </w:pPr>
            <w:r>
              <w:rPr>
                <w:sz w:val="20"/>
              </w:rPr>
              <w:t>8.8</w:t>
            </w:r>
          </w:p>
        </w:tc>
        <w:tc>
          <w:tcPr>
            <w:tcW w:w="1890" w:type="dxa"/>
          </w:tcPr>
          <w:p>
            <w:pPr>
              <w:pStyle w:val="TableParagraph"/>
              <w:spacing w:line="229" w:lineRule="exact" w:before="0"/>
              <w:ind w:left="790"/>
              <w:jc w:val="left"/>
              <w:rPr>
                <w:sz w:val="20"/>
              </w:rPr>
            </w:pPr>
            <w:r>
              <w:rPr>
                <w:sz w:val="20"/>
              </w:rPr>
              <w:t>8.9</w:t>
            </w:r>
          </w:p>
        </w:tc>
        <w:tc>
          <w:tcPr>
            <w:tcW w:w="1494" w:type="dxa"/>
          </w:tcPr>
          <w:p>
            <w:pPr>
              <w:pStyle w:val="TableParagraph"/>
              <w:spacing w:line="229" w:lineRule="exact" w:before="0"/>
              <w:ind w:left="537"/>
              <w:jc w:val="left"/>
              <w:rPr>
                <w:sz w:val="20"/>
              </w:rPr>
            </w:pPr>
            <w:r>
              <w:rPr>
                <w:sz w:val="20"/>
              </w:rPr>
              <w:t>95.8</w:t>
            </w:r>
          </w:p>
        </w:tc>
      </w:tr>
      <w:tr>
        <w:trPr>
          <w:trHeight w:val="384" w:hRule="atLeast"/>
        </w:trPr>
        <w:tc>
          <w:tcPr>
            <w:tcW w:w="1975" w:type="dxa"/>
          </w:tcPr>
          <w:p>
            <w:pPr>
              <w:pStyle w:val="TableParagraph"/>
              <w:spacing w:line="229" w:lineRule="exact" w:before="0"/>
              <w:ind w:left="226" w:right="243"/>
              <w:rPr>
                <w:sz w:val="20"/>
              </w:rPr>
            </w:pPr>
            <w:r>
              <w:rPr>
                <w:sz w:val="20"/>
              </w:rPr>
              <w:t>N-EtFOSAA</w:t>
            </w:r>
          </w:p>
        </w:tc>
        <w:tc>
          <w:tcPr>
            <w:tcW w:w="1260" w:type="dxa"/>
          </w:tcPr>
          <w:p>
            <w:pPr>
              <w:pStyle w:val="TableParagraph"/>
              <w:spacing w:line="229" w:lineRule="exact" w:before="0"/>
              <w:ind w:left="401" w:right="419"/>
              <w:rPr>
                <w:sz w:val="20"/>
              </w:rPr>
            </w:pPr>
            <w:r>
              <w:rPr>
                <w:sz w:val="20"/>
              </w:rPr>
              <w:t>102</w:t>
            </w:r>
          </w:p>
        </w:tc>
        <w:tc>
          <w:tcPr>
            <w:tcW w:w="2070" w:type="dxa"/>
          </w:tcPr>
          <w:p>
            <w:pPr>
              <w:pStyle w:val="TableParagraph"/>
              <w:spacing w:line="229" w:lineRule="exact" w:before="0"/>
              <w:ind w:left="807" w:right="823"/>
              <w:rPr>
                <w:sz w:val="20"/>
              </w:rPr>
            </w:pPr>
            <w:r>
              <w:rPr>
                <w:sz w:val="20"/>
              </w:rPr>
              <w:t>15.6</w:t>
            </w:r>
          </w:p>
        </w:tc>
        <w:tc>
          <w:tcPr>
            <w:tcW w:w="1511" w:type="dxa"/>
          </w:tcPr>
          <w:p>
            <w:pPr>
              <w:pStyle w:val="TableParagraph"/>
              <w:spacing w:line="229" w:lineRule="exact" w:before="0"/>
              <w:ind w:left="546"/>
              <w:jc w:val="left"/>
              <w:rPr>
                <w:sz w:val="20"/>
              </w:rPr>
            </w:pPr>
            <w:r>
              <w:rPr>
                <w:sz w:val="20"/>
              </w:rPr>
              <w:t>93.8</w:t>
            </w:r>
          </w:p>
        </w:tc>
        <w:tc>
          <w:tcPr>
            <w:tcW w:w="1279" w:type="dxa"/>
          </w:tcPr>
          <w:p>
            <w:pPr>
              <w:pStyle w:val="TableParagraph"/>
              <w:spacing w:line="229" w:lineRule="exact" w:before="0"/>
              <w:ind w:left="409" w:right="428"/>
              <w:rPr>
                <w:sz w:val="20"/>
              </w:rPr>
            </w:pPr>
            <w:r>
              <w:rPr>
                <w:sz w:val="20"/>
              </w:rPr>
              <w:t>9.0</w:t>
            </w:r>
          </w:p>
        </w:tc>
        <w:tc>
          <w:tcPr>
            <w:tcW w:w="1890" w:type="dxa"/>
          </w:tcPr>
          <w:p>
            <w:pPr>
              <w:pStyle w:val="TableParagraph"/>
              <w:spacing w:line="229" w:lineRule="exact" w:before="0"/>
              <w:ind w:left="790"/>
              <w:jc w:val="left"/>
              <w:rPr>
                <w:sz w:val="20"/>
              </w:rPr>
            </w:pPr>
            <w:r>
              <w:rPr>
                <w:sz w:val="20"/>
              </w:rPr>
              <w:t>8.6</w:t>
            </w:r>
          </w:p>
        </w:tc>
        <w:tc>
          <w:tcPr>
            <w:tcW w:w="1494" w:type="dxa"/>
          </w:tcPr>
          <w:p>
            <w:pPr>
              <w:pStyle w:val="TableParagraph"/>
              <w:spacing w:line="229" w:lineRule="exact" w:before="0"/>
              <w:ind w:left="537"/>
              <w:jc w:val="left"/>
              <w:rPr>
                <w:sz w:val="20"/>
              </w:rPr>
            </w:pPr>
            <w:r>
              <w:rPr>
                <w:sz w:val="20"/>
              </w:rPr>
              <w:t>95.8</w:t>
            </w:r>
          </w:p>
        </w:tc>
      </w:tr>
      <w:tr>
        <w:trPr>
          <w:trHeight w:val="383" w:hRule="atLeast"/>
        </w:trPr>
        <w:tc>
          <w:tcPr>
            <w:tcW w:w="1975" w:type="dxa"/>
          </w:tcPr>
          <w:p>
            <w:pPr>
              <w:pStyle w:val="TableParagraph"/>
              <w:spacing w:line="229" w:lineRule="exact" w:before="0"/>
              <w:ind w:left="224" w:right="243"/>
              <w:rPr>
                <w:sz w:val="20"/>
              </w:rPr>
            </w:pPr>
            <w:r>
              <w:rPr>
                <w:sz w:val="20"/>
              </w:rPr>
              <w:t>N-MeFOSAA</w:t>
            </w:r>
          </w:p>
        </w:tc>
        <w:tc>
          <w:tcPr>
            <w:tcW w:w="1260" w:type="dxa"/>
          </w:tcPr>
          <w:p>
            <w:pPr>
              <w:pStyle w:val="TableParagraph"/>
              <w:spacing w:line="229" w:lineRule="exact" w:before="0"/>
              <w:ind w:left="401" w:right="418"/>
              <w:rPr>
                <w:sz w:val="20"/>
              </w:rPr>
            </w:pPr>
            <w:r>
              <w:rPr>
                <w:sz w:val="20"/>
              </w:rPr>
              <w:t>102</w:t>
            </w:r>
          </w:p>
        </w:tc>
        <w:tc>
          <w:tcPr>
            <w:tcW w:w="2070" w:type="dxa"/>
          </w:tcPr>
          <w:p>
            <w:pPr>
              <w:pStyle w:val="TableParagraph"/>
              <w:spacing w:line="229" w:lineRule="exact" w:before="0"/>
              <w:ind w:left="807" w:right="823"/>
              <w:rPr>
                <w:sz w:val="20"/>
              </w:rPr>
            </w:pPr>
            <w:r>
              <w:rPr>
                <w:sz w:val="20"/>
              </w:rPr>
              <w:t>15.2</w:t>
            </w:r>
          </w:p>
        </w:tc>
        <w:tc>
          <w:tcPr>
            <w:tcW w:w="1511" w:type="dxa"/>
          </w:tcPr>
          <w:p>
            <w:pPr>
              <w:pStyle w:val="TableParagraph"/>
              <w:spacing w:line="229" w:lineRule="exact" w:before="0"/>
              <w:ind w:left="546"/>
              <w:jc w:val="left"/>
              <w:rPr>
                <w:sz w:val="20"/>
              </w:rPr>
            </w:pPr>
            <w:r>
              <w:rPr>
                <w:sz w:val="20"/>
              </w:rPr>
              <w:t>93.8</w:t>
            </w:r>
          </w:p>
        </w:tc>
        <w:tc>
          <w:tcPr>
            <w:tcW w:w="1279" w:type="dxa"/>
          </w:tcPr>
          <w:p>
            <w:pPr>
              <w:pStyle w:val="TableParagraph"/>
              <w:spacing w:line="229" w:lineRule="exact" w:before="0"/>
              <w:ind w:left="409" w:right="428"/>
              <w:rPr>
                <w:sz w:val="20"/>
              </w:rPr>
            </w:pPr>
            <w:r>
              <w:rPr>
                <w:sz w:val="20"/>
              </w:rPr>
              <w:t>9.2</w:t>
            </w:r>
          </w:p>
        </w:tc>
        <w:tc>
          <w:tcPr>
            <w:tcW w:w="1890" w:type="dxa"/>
          </w:tcPr>
          <w:p>
            <w:pPr>
              <w:pStyle w:val="TableParagraph"/>
              <w:spacing w:line="229" w:lineRule="exact" w:before="0"/>
              <w:ind w:left="790"/>
              <w:jc w:val="left"/>
              <w:rPr>
                <w:sz w:val="20"/>
              </w:rPr>
            </w:pPr>
            <w:r>
              <w:rPr>
                <w:sz w:val="20"/>
              </w:rPr>
              <w:t>7.7</w:t>
            </w:r>
          </w:p>
        </w:tc>
        <w:tc>
          <w:tcPr>
            <w:tcW w:w="1494" w:type="dxa"/>
          </w:tcPr>
          <w:p>
            <w:pPr>
              <w:pStyle w:val="TableParagraph"/>
              <w:spacing w:line="229" w:lineRule="exact" w:before="0"/>
              <w:ind w:left="565"/>
              <w:jc w:val="left"/>
              <w:rPr>
                <w:sz w:val="20"/>
              </w:rPr>
            </w:pPr>
            <w:r>
              <w:rPr>
                <w:sz w:val="20"/>
              </w:rPr>
              <w:t>100</w:t>
            </w:r>
          </w:p>
        </w:tc>
      </w:tr>
      <w:tr>
        <w:trPr>
          <w:trHeight w:val="384" w:hRule="atLeast"/>
        </w:trPr>
        <w:tc>
          <w:tcPr>
            <w:tcW w:w="11479" w:type="dxa"/>
            <w:gridSpan w:val="7"/>
          </w:tcPr>
          <w:p>
            <w:pPr>
              <w:pStyle w:val="TableParagraph"/>
              <w:spacing w:before="0"/>
              <w:ind w:left="107"/>
              <w:jc w:val="left"/>
              <w:rPr>
                <w:sz w:val="20"/>
              </w:rPr>
            </w:pPr>
            <w:r>
              <w:rPr>
                <w:sz w:val="20"/>
                <w:u w:val="single"/>
              </w:rPr>
              <w:t>Surrogates:</w:t>
            </w:r>
          </w:p>
        </w:tc>
      </w:tr>
      <w:tr>
        <w:trPr>
          <w:trHeight w:val="384" w:hRule="atLeast"/>
        </w:trPr>
        <w:tc>
          <w:tcPr>
            <w:tcW w:w="1975" w:type="dxa"/>
          </w:tcPr>
          <w:p>
            <w:pPr>
              <w:pStyle w:val="TableParagraph"/>
              <w:spacing w:line="229" w:lineRule="exact" w:before="0"/>
              <w:ind w:left="226" w:right="243"/>
              <w:rPr>
                <w:sz w:val="20"/>
              </w:rPr>
            </w:pPr>
            <w:r>
              <w:rPr>
                <w:sz w:val="20"/>
              </w:rPr>
              <w:t>M2PFTeDA</w:t>
            </w:r>
          </w:p>
        </w:tc>
        <w:tc>
          <w:tcPr>
            <w:tcW w:w="1260" w:type="dxa"/>
          </w:tcPr>
          <w:p>
            <w:pPr>
              <w:pStyle w:val="TableParagraph"/>
              <w:spacing w:line="229" w:lineRule="exact" w:before="0"/>
              <w:ind w:left="401" w:right="418"/>
              <w:rPr>
                <w:sz w:val="20"/>
              </w:rPr>
            </w:pPr>
            <w:r>
              <w:rPr>
                <w:sz w:val="20"/>
              </w:rPr>
              <w:t>106</w:t>
            </w:r>
          </w:p>
        </w:tc>
        <w:tc>
          <w:tcPr>
            <w:tcW w:w="2070" w:type="dxa"/>
          </w:tcPr>
          <w:p>
            <w:pPr>
              <w:pStyle w:val="TableParagraph"/>
              <w:spacing w:line="229" w:lineRule="exact" w:before="0"/>
              <w:ind w:left="807" w:right="823"/>
              <w:rPr>
                <w:sz w:val="20"/>
              </w:rPr>
            </w:pPr>
            <w:r>
              <w:rPr>
                <w:sz w:val="20"/>
              </w:rPr>
              <w:t>20.4</w:t>
            </w:r>
          </w:p>
        </w:tc>
        <w:tc>
          <w:tcPr>
            <w:tcW w:w="1511" w:type="dxa"/>
          </w:tcPr>
          <w:p>
            <w:pPr>
              <w:pStyle w:val="TableParagraph"/>
              <w:spacing w:line="229" w:lineRule="exact" w:before="0"/>
              <w:ind w:left="546"/>
              <w:jc w:val="left"/>
              <w:rPr>
                <w:sz w:val="20"/>
              </w:rPr>
            </w:pPr>
            <w:r>
              <w:rPr>
                <w:sz w:val="20"/>
              </w:rPr>
              <w:t>85.4</w:t>
            </w:r>
          </w:p>
        </w:tc>
        <w:tc>
          <w:tcPr>
            <w:tcW w:w="1279" w:type="dxa"/>
          </w:tcPr>
          <w:p>
            <w:pPr>
              <w:pStyle w:val="TableParagraph"/>
              <w:spacing w:line="229" w:lineRule="exact" w:before="0"/>
              <w:ind w:left="409" w:right="428"/>
              <w:rPr>
                <w:sz w:val="20"/>
              </w:rPr>
            </w:pPr>
            <w:r>
              <w:rPr>
                <w:sz w:val="20"/>
              </w:rPr>
              <w:t>9.6</w:t>
            </w:r>
          </w:p>
        </w:tc>
        <w:tc>
          <w:tcPr>
            <w:tcW w:w="1890" w:type="dxa"/>
          </w:tcPr>
          <w:p>
            <w:pPr>
              <w:pStyle w:val="TableParagraph"/>
              <w:spacing w:line="229" w:lineRule="exact" w:before="0"/>
              <w:ind w:left="735"/>
              <w:jc w:val="left"/>
              <w:rPr>
                <w:sz w:val="20"/>
              </w:rPr>
            </w:pPr>
            <w:r>
              <w:rPr>
                <w:sz w:val="20"/>
              </w:rPr>
              <w:t>11.8</w:t>
            </w:r>
          </w:p>
        </w:tc>
        <w:tc>
          <w:tcPr>
            <w:tcW w:w="1494" w:type="dxa"/>
          </w:tcPr>
          <w:p>
            <w:pPr>
              <w:pStyle w:val="TableParagraph"/>
              <w:spacing w:line="229" w:lineRule="exact" w:before="0"/>
              <w:ind w:left="537"/>
              <w:jc w:val="left"/>
              <w:rPr>
                <w:sz w:val="20"/>
              </w:rPr>
            </w:pPr>
            <w:r>
              <w:rPr>
                <w:sz w:val="20"/>
              </w:rPr>
              <w:t>95.8</w:t>
            </w:r>
          </w:p>
        </w:tc>
      </w:tr>
    </w:tbl>
    <w:p>
      <w:pPr>
        <w:spacing w:after="0" w:line="229" w:lineRule="exact"/>
        <w:jc w:val="left"/>
        <w:rPr>
          <w:sz w:val="20"/>
        </w:rPr>
        <w:sectPr>
          <w:pgSz w:w="12240" w:h="15840"/>
          <w:pgMar w:header="0" w:footer="1134" w:top="1060" w:bottom="1400" w:left="260" w:right="260"/>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5"/>
        <w:gridCol w:w="1260"/>
        <w:gridCol w:w="2070"/>
        <w:gridCol w:w="1511"/>
        <w:gridCol w:w="1279"/>
        <w:gridCol w:w="1890"/>
        <w:gridCol w:w="1494"/>
      </w:tblGrid>
      <w:tr>
        <w:trPr>
          <w:trHeight w:val="791" w:hRule="atLeast"/>
        </w:trPr>
        <w:tc>
          <w:tcPr>
            <w:tcW w:w="1975" w:type="dxa"/>
          </w:tcPr>
          <w:p>
            <w:pPr>
              <w:pStyle w:val="TableParagraph"/>
              <w:spacing w:before="0"/>
              <w:jc w:val="left"/>
              <w:rPr>
                <w:sz w:val="22"/>
              </w:rPr>
            </w:pPr>
          </w:p>
          <w:p>
            <w:pPr>
              <w:pStyle w:val="TableParagraph"/>
              <w:spacing w:before="145"/>
              <w:ind w:left="226" w:right="217"/>
              <w:rPr>
                <w:sz w:val="20"/>
              </w:rPr>
            </w:pPr>
            <w:r>
              <w:rPr>
                <w:sz w:val="20"/>
              </w:rPr>
              <w:t>Analyte</w:t>
            </w:r>
          </w:p>
        </w:tc>
        <w:tc>
          <w:tcPr>
            <w:tcW w:w="4841" w:type="dxa"/>
            <w:gridSpan w:val="3"/>
          </w:tcPr>
          <w:p>
            <w:pPr>
              <w:pStyle w:val="TableParagraph"/>
              <w:spacing w:before="193"/>
              <w:ind w:left="733"/>
              <w:jc w:val="left"/>
              <w:rPr>
                <w:sz w:val="20"/>
              </w:rPr>
            </w:pPr>
            <w:r>
              <w:rPr>
                <w:sz w:val="20"/>
              </w:rPr>
              <w:t>LCS Recovery (n=48, 160 ng/L, nom.)</w:t>
            </w:r>
          </w:p>
        </w:tc>
        <w:tc>
          <w:tcPr>
            <w:tcW w:w="4663" w:type="dxa"/>
            <w:gridSpan w:val="3"/>
          </w:tcPr>
          <w:p>
            <w:pPr>
              <w:pStyle w:val="TableParagraph"/>
              <w:spacing w:line="276" w:lineRule="auto" w:before="61"/>
              <w:ind w:left="1828" w:right="165" w:hanging="917"/>
              <w:jc w:val="left"/>
              <w:rPr>
                <w:sz w:val="20"/>
              </w:rPr>
            </w:pPr>
            <w:r>
              <w:rPr>
                <w:sz w:val="20"/>
              </w:rPr>
              <w:t>LCS/LCSD Relative % Difference (RPD, n=24 pairs)</w:t>
            </w:r>
          </w:p>
        </w:tc>
      </w:tr>
      <w:tr>
        <w:trPr>
          <w:trHeight w:val="1177" w:hRule="atLeast"/>
        </w:trPr>
        <w:tc>
          <w:tcPr>
            <w:tcW w:w="1975" w:type="dxa"/>
          </w:tcPr>
          <w:p>
            <w:pPr>
              <w:pStyle w:val="TableParagraph"/>
              <w:spacing w:before="0"/>
              <w:jc w:val="left"/>
              <w:rPr>
                <w:rFonts w:ascii="Times New Roman"/>
                <w:sz w:val="20"/>
              </w:rPr>
            </w:pPr>
          </w:p>
        </w:tc>
        <w:tc>
          <w:tcPr>
            <w:tcW w:w="1260" w:type="dxa"/>
          </w:tcPr>
          <w:p>
            <w:pPr>
              <w:pStyle w:val="TableParagraph"/>
              <w:spacing w:before="2"/>
              <w:jc w:val="left"/>
              <w:rPr>
                <w:sz w:val="22"/>
              </w:rPr>
            </w:pPr>
          </w:p>
          <w:p>
            <w:pPr>
              <w:pStyle w:val="TableParagraph"/>
              <w:spacing w:line="276" w:lineRule="auto" w:before="0"/>
              <w:ind w:left="245" w:right="233" w:hanging="1"/>
              <w:rPr>
                <w:sz w:val="20"/>
              </w:rPr>
            </w:pPr>
            <w:r>
              <w:rPr>
                <w:sz w:val="20"/>
              </w:rPr>
              <w:t>Average recovery (%)</w:t>
            </w:r>
          </w:p>
        </w:tc>
        <w:tc>
          <w:tcPr>
            <w:tcW w:w="2070" w:type="dxa"/>
          </w:tcPr>
          <w:p>
            <w:pPr>
              <w:pStyle w:val="TableParagraph"/>
              <w:spacing w:before="0"/>
              <w:jc w:val="left"/>
              <w:rPr>
                <w:sz w:val="22"/>
              </w:rPr>
            </w:pPr>
          </w:p>
          <w:p>
            <w:pPr>
              <w:pStyle w:val="TableParagraph"/>
              <w:spacing w:before="1"/>
              <w:jc w:val="left"/>
              <w:rPr>
                <w:sz w:val="23"/>
              </w:rPr>
            </w:pPr>
          </w:p>
          <w:p>
            <w:pPr>
              <w:pStyle w:val="TableParagraph"/>
              <w:spacing w:line="276" w:lineRule="auto" w:before="0"/>
              <w:ind w:left="500" w:right="155" w:hanging="317"/>
              <w:jc w:val="left"/>
              <w:rPr>
                <w:sz w:val="20"/>
              </w:rPr>
            </w:pPr>
            <w:r>
              <w:rPr>
                <w:sz w:val="20"/>
              </w:rPr>
              <w:t>Standard Deviation of Recovery</w:t>
            </w:r>
          </w:p>
        </w:tc>
        <w:tc>
          <w:tcPr>
            <w:tcW w:w="1511" w:type="dxa"/>
          </w:tcPr>
          <w:p>
            <w:pPr>
              <w:pStyle w:val="TableParagraph"/>
              <w:spacing w:before="1"/>
              <w:jc w:val="left"/>
              <w:rPr>
                <w:sz w:val="22"/>
              </w:rPr>
            </w:pPr>
          </w:p>
          <w:p>
            <w:pPr>
              <w:pStyle w:val="TableParagraph"/>
              <w:spacing w:line="276" w:lineRule="auto" w:before="1"/>
              <w:ind w:left="193" w:right="181"/>
              <w:rPr>
                <w:sz w:val="20"/>
              </w:rPr>
            </w:pPr>
            <w:r>
              <w:rPr>
                <w:sz w:val="20"/>
              </w:rPr>
              <w:t>% recovered within</w:t>
            </w:r>
          </w:p>
          <w:p>
            <w:pPr>
              <w:pStyle w:val="TableParagraph"/>
              <w:spacing w:line="229" w:lineRule="exact" w:before="0"/>
              <w:ind w:left="192" w:right="181"/>
              <w:rPr>
                <w:sz w:val="20"/>
              </w:rPr>
            </w:pPr>
            <w:r>
              <w:rPr>
                <w:sz w:val="20"/>
              </w:rPr>
              <w:t>70-130%</w:t>
            </w:r>
          </w:p>
        </w:tc>
        <w:tc>
          <w:tcPr>
            <w:tcW w:w="1279" w:type="dxa"/>
          </w:tcPr>
          <w:p>
            <w:pPr>
              <w:pStyle w:val="TableParagraph"/>
              <w:spacing w:before="0"/>
              <w:jc w:val="left"/>
              <w:rPr>
                <w:sz w:val="22"/>
              </w:rPr>
            </w:pPr>
          </w:p>
          <w:p>
            <w:pPr>
              <w:pStyle w:val="TableParagraph"/>
              <w:spacing w:before="1"/>
              <w:jc w:val="left"/>
              <w:rPr>
                <w:sz w:val="23"/>
              </w:rPr>
            </w:pPr>
          </w:p>
          <w:p>
            <w:pPr>
              <w:pStyle w:val="TableParagraph"/>
              <w:spacing w:line="276" w:lineRule="auto" w:before="0"/>
              <w:ind w:left="244" w:right="216" w:firstLine="21"/>
              <w:jc w:val="left"/>
              <w:rPr>
                <w:sz w:val="20"/>
              </w:rPr>
            </w:pPr>
            <w:r>
              <w:rPr>
                <w:sz w:val="20"/>
              </w:rPr>
              <w:t>Average RPD (%)</w:t>
            </w:r>
          </w:p>
        </w:tc>
        <w:tc>
          <w:tcPr>
            <w:tcW w:w="1890" w:type="dxa"/>
          </w:tcPr>
          <w:p>
            <w:pPr>
              <w:pStyle w:val="TableParagraph"/>
              <w:spacing w:before="1"/>
              <w:jc w:val="left"/>
              <w:rPr>
                <w:sz w:val="22"/>
              </w:rPr>
            </w:pPr>
          </w:p>
          <w:p>
            <w:pPr>
              <w:pStyle w:val="TableParagraph"/>
              <w:spacing w:line="276" w:lineRule="auto" w:before="0"/>
              <w:ind w:left="287" w:right="277" w:firstLine="1"/>
              <w:rPr>
                <w:sz w:val="20"/>
              </w:rPr>
            </w:pPr>
            <w:r>
              <w:rPr>
                <w:sz w:val="20"/>
              </w:rPr>
              <w:t>Standard Deviation RPD (%)</w:t>
            </w:r>
          </w:p>
        </w:tc>
        <w:tc>
          <w:tcPr>
            <w:tcW w:w="1494" w:type="dxa"/>
          </w:tcPr>
          <w:p>
            <w:pPr>
              <w:pStyle w:val="TableParagraph"/>
              <w:spacing w:line="276" w:lineRule="auto" w:before="0"/>
              <w:ind w:left="256" w:right="246" w:firstLine="1"/>
              <w:rPr>
                <w:sz w:val="20"/>
              </w:rPr>
            </w:pPr>
            <w:r>
              <w:rPr>
                <w:sz w:val="20"/>
              </w:rPr>
              <w:t># of </w:t>
            </w:r>
            <w:r>
              <w:rPr>
                <w:spacing w:val="-1"/>
                <w:sz w:val="20"/>
              </w:rPr>
              <w:t>LCS/LCSD</w:t>
            </w:r>
          </w:p>
          <w:p>
            <w:pPr>
              <w:pStyle w:val="TableParagraph"/>
              <w:spacing w:line="276" w:lineRule="auto" w:before="0"/>
              <w:ind w:left="249" w:right="235" w:hanging="3"/>
              <w:rPr>
                <w:sz w:val="20"/>
              </w:rPr>
            </w:pPr>
            <w:r>
              <w:rPr>
                <w:sz w:val="20"/>
              </w:rPr>
              <w:t>pairs with RPD</w:t>
            </w:r>
            <w:r>
              <w:rPr>
                <w:spacing w:val="5"/>
                <w:sz w:val="20"/>
              </w:rPr>
              <w:t> </w:t>
            </w:r>
            <w:r>
              <w:rPr>
                <w:spacing w:val="-5"/>
                <w:sz w:val="20"/>
              </w:rPr>
              <w:t>&gt;30%</w:t>
            </w:r>
          </w:p>
        </w:tc>
      </w:tr>
      <w:tr>
        <w:trPr>
          <w:trHeight w:val="384" w:hRule="atLeast"/>
        </w:trPr>
        <w:tc>
          <w:tcPr>
            <w:tcW w:w="1975" w:type="dxa"/>
          </w:tcPr>
          <w:p>
            <w:pPr>
              <w:pStyle w:val="TableParagraph"/>
              <w:spacing w:line="220" w:lineRule="exact" w:before="0"/>
              <w:ind w:left="226" w:right="243"/>
              <w:rPr>
                <w:sz w:val="20"/>
              </w:rPr>
            </w:pPr>
            <w:r>
              <w:rPr>
                <w:sz w:val="20"/>
              </w:rPr>
              <w:t>MPFDoA</w:t>
            </w:r>
          </w:p>
        </w:tc>
        <w:tc>
          <w:tcPr>
            <w:tcW w:w="1260" w:type="dxa"/>
          </w:tcPr>
          <w:p>
            <w:pPr>
              <w:pStyle w:val="TableParagraph"/>
              <w:spacing w:line="220" w:lineRule="exact" w:before="0"/>
              <w:ind w:left="401" w:right="418"/>
              <w:rPr>
                <w:sz w:val="20"/>
              </w:rPr>
            </w:pPr>
            <w:r>
              <w:rPr>
                <w:sz w:val="20"/>
              </w:rPr>
              <w:t>105</w:t>
            </w:r>
          </w:p>
        </w:tc>
        <w:tc>
          <w:tcPr>
            <w:tcW w:w="2070" w:type="dxa"/>
          </w:tcPr>
          <w:p>
            <w:pPr>
              <w:pStyle w:val="TableParagraph"/>
              <w:spacing w:line="220" w:lineRule="exact" w:before="0"/>
              <w:ind w:left="807" w:right="823"/>
              <w:rPr>
                <w:sz w:val="20"/>
              </w:rPr>
            </w:pPr>
            <w:r>
              <w:rPr>
                <w:sz w:val="20"/>
              </w:rPr>
              <w:t>16.6</w:t>
            </w:r>
          </w:p>
        </w:tc>
        <w:tc>
          <w:tcPr>
            <w:tcW w:w="1511" w:type="dxa"/>
          </w:tcPr>
          <w:p>
            <w:pPr>
              <w:pStyle w:val="TableParagraph"/>
              <w:spacing w:line="220" w:lineRule="exact" w:before="0"/>
              <w:ind w:left="164" w:right="181"/>
              <w:rPr>
                <w:sz w:val="20"/>
              </w:rPr>
            </w:pPr>
            <w:r>
              <w:rPr>
                <w:sz w:val="20"/>
              </w:rPr>
              <w:t>89.6</w:t>
            </w:r>
          </w:p>
        </w:tc>
        <w:tc>
          <w:tcPr>
            <w:tcW w:w="1279" w:type="dxa"/>
          </w:tcPr>
          <w:p>
            <w:pPr>
              <w:pStyle w:val="TableParagraph"/>
              <w:spacing w:line="220" w:lineRule="exact" w:before="0"/>
              <w:ind w:left="410" w:right="428"/>
              <w:rPr>
                <w:sz w:val="20"/>
              </w:rPr>
            </w:pPr>
            <w:r>
              <w:rPr>
                <w:sz w:val="20"/>
              </w:rPr>
              <w:t>11.5</w:t>
            </w:r>
          </w:p>
        </w:tc>
        <w:tc>
          <w:tcPr>
            <w:tcW w:w="1890" w:type="dxa"/>
          </w:tcPr>
          <w:p>
            <w:pPr>
              <w:pStyle w:val="TableParagraph"/>
              <w:spacing w:line="220" w:lineRule="exact" w:before="0"/>
              <w:ind w:left="735"/>
              <w:jc w:val="left"/>
              <w:rPr>
                <w:sz w:val="20"/>
              </w:rPr>
            </w:pPr>
            <w:r>
              <w:rPr>
                <w:sz w:val="20"/>
              </w:rPr>
              <w:t>15.5</w:t>
            </w:r>
          </w:p>
        </w:tc>
        <w:tc>
          <w:tcPr>
            <w:tcW w:w="1494" w:type="dxa"/>
          </w:tcPr>
          <w:p>
            <w:pPr>
              <w:pStyle w:val="TableParagraph"/>
              <w:spacing w:line="220" w:lineRule="exact" w:before="0"/>
              <w:ind w:left="537"/>
              <w:jc w:val="left"/>
              <w:rPr>
                <w:sz w:val="20"/>
              </w:rPr>
            </w:pPr>
            <w:r>
              <w:rPr>
                <w:sz w:val="20"/>
              </w:rPr>
              <w:t>87.5</w:t>
            </w:r>
          </w:p>
        </w:tc>
      </w:tr>
      <w:tr>
        <w:trPr>
          <w:trHeight w:val="383" w:hRule="atLeast"/>
        </w:trPr>
        <w:tc>
          <w:tcPr>
            <w:tcW w:w="1975" w:type="dxa"/>
          </w:tcPr>
          <w:p>
            <w:pPr>
              <w:pStyle w:val="TableParagraph"/>
              <w:spacing w:line="220" w:lineRule="exact" w:before="0"/>
              <w:ind w:left="226" w:right="242"/>
              <w:rPr>
                <w:sz w:val="20"/>
              </w:rPr>
            </w:pPr>
            <w:r>
              <w:rPr>
                <w:sz w:val="20"/>
              </w:rPr>
              <w:t>M7PFUdA</w:t>
            </w:r>
          </w:p>
        </w:tc>
        <w:tc>
          <w:tcPr>
            <w:tcW w:w="1260" w:type="dxa"/>
          </w:tcPr>
          <w:p>
            <w:pPr>
              <w:pStyle w:val="TableParagraph"/>
              <w:spacing w:line="220" w:lineRule="exact" w:before="0"/>
              <w:ind w:left="401" w:right="418"/>
              <w:rPr>
                <w:sz w:val="20"/>
              </w:rPr>
            </w:pPr>
            <w:r>
              <w:rPr>
                <w:sz w:val="20"/>
              </w:rPr>
              <w:t>103</w:t>
            </w:r>
          </w:p>
        </w:tc>
        <w:tc>
          <w:tcPr>
            <w:tcW w:w="2070" w:type="dxa"/>
          </w:tcPr>
          <w:p>
            <w:pPr>
              <w:pStyle w:val="TableParagraph"/>
              <w:spacing w:line="220" w:lineRule="exact" w:before="0"/>
              <w:ind w:left="807" w:right="823"/>
              <w:rPr>
                <w:sz w:val="20"/>
              </w:rPr>
            </w:pPr>
            <w:r>
              <w:rPr>
                <w:sz w:val="20"/>
              </w:rPr>
              <w:t>11.3</w:t>
            </w:r>
          </w:p>
        </w:tc>
        <w:tc>
          <w:tcPr>
            <w:tcW w:w="1511" w:type="dxa"/>
          </w:tcPr>
          <w:p>
            <w:pPr>
              <w:pStyle w:val="TableParagraph"/>
              <w:spacing w:line="220" w:lineRule="exact" w:before="0"/>
              <w:ind w:left="164" w:right="181"/>
              <w:rPr>
                <w:sz w:val="20"/>
              </w:rPr>
            </w:pPr>
            <w:r>
              <w:rPr>
                <w:sz w:val="20"/>
              </w:rPr>
              <w:t>97.9</w:t>
            </w:r>
          </w:p>
        </w:tc>
        <w:tc>
          <w:tcPr>
            <w:tcW w:w="1279" w:type="dxa"/>
          </w:tcPr>
          <w:p>
            <w:pPr>
              <w:pStyle w:val="TableParagraph"/>
              <w:spacing w:line="220" w:lineRule="exact" w:before="0"/>
              <w:ind w:left="409" w:right="428"/>
              <w:rPr>
                <w:sz w:val="20"/>
              </w:rPr>
            </w:pPr>
            <w:r>
              <w:rPr>
                <w:sz w:val="20"/>
              </w:rPr>
              <w:t>8.3</w:t>
            </w:r>
          </w:p>
        </w:tc>
        <w:tc>
          <w:tcPr>
            <w:tcW w:w="1890" w:type="dxa"/>
          </w:tcPr>
          <w:p>
            <w:pPr>
              <w:pStyle w:val="TableParagraph"/>
              <w:spacing w:line="220" w:lineRule="exact" w:before="0"/>
              <w:ind w:left="735"/>
              <w:jc w:val="left"/>
              <w:rPr>
                <w:sz w:val="20"/>
              </w:rPr>
            </w:pPr>
            <w:r>
              <w:rPr>
                <w:sz w:val="20"/>
              </w:rPr>
              <w:t>12.2</w:t>
            </w:r>
          </w:p>
        </w:tc>
        <w:tc>
          <w:tcPr>
            <w:tcW w:w="1494" w:type="dxa"/>
          </w:tcPr>
          <w:p>
            <w:pPr>
              <w:pStyle w:val="TableParagraph"/>
              <w:spacing w:line="220" w:lineRule="exact" w:before="0"/>
              <w:ind w:left="537"/>
              <w:jc w:val="left"/>
              <w:rPr>
                <w:sz w:val="20"/>
              </w:rPr>
            </w:pPr>
            <w:r>
              <w:rPr>
                <w:sz w:val="20"/>
              </w:rPr>
              <w:t>95.8</w:t>
            </w:r>
          </w:p>
        </w:tc>
      </w:tr>
      <w:tr>
        <w:trPr>
          <w:trHeight w:val="384" w:hRule="atLeast"/>
        </w:trPr>
        <w:tc>
          <w:tcPr>
            <w:tcW w:w="1975" w:type="dxa"/>
          </w:tcPr>
          <w:p>
            <w:pPr>
              <w:pStyle w:val="TableParagraph"/>
              <w:spacing w:line="221" w:lineRule="exact" w:before="0"/>
              <w:ind w:left="226" w:right="243"/>
              <w:rPr>
                <w:sz w:val="20"/>
              </w:rPr>
            </w:pPr>
            <w:r>
              <w:rPr>
                <w:sz w:val="20"/>
              </w:rPr>
              <w:t>M6PFDA</w:t>
            </w:r>
          </w:p>
        </w:tc>
        <w:tc>
          <w:tcPr>
            <w:tcW w:w="1260" w:type="dxa"/>
          </w:tcPr>
          <w:p>
            <w:pPr>
              <w:pStyle w:val="TableParagraph"/>
              <w:spacing w:line="221" w:lineRule="exact" w:before="0"/>
              <w:ind w:left="401" w:right="418"/>
              <w:rPr>
                <w:sz w:val="20"/>
              </w:rPr>
            </w:pPr>
            <w:r>
              <w:rPr>
                <w:sz w:val="20"/>
              </w:rPr>
              <w:t>103</w:t>
            </w:r>
          </w:p>
        </w:tc>
        <w:tc>
          <w:tcPr>
            <w:tcW w:w="2070" w:type="dxa"/>
          </w:tcPr>
          <w:p>
            <w:pPr>
              <w:pStyle w:val="TableParagraph"/>
              <w:spacing w:line="221" w:lineRule="exact" w:before="0"/>
              <w:ind w:left="807" w:right="823"/>
              <w:rPr>
                <w:sz w:val="20"/>
              </w:rPr>
            </w:pPr>
            <w:r>
              <w:rPr>
                <w:sz w:val="20"/>
              </w:rPr>
              <w:t>13.1</w:t>
            </w:r>
          </w:p>
        </w:tc>
        <w:tc>
          <w:tcPr>
            <w:tcW w:w="1511" w:type="dxa"/>
          </w:tcPr>
          <w:p>
            <w:pPr>
              <w:pStyle w:val="TableParagraph"/>
              <w:spacing w:line="221" w:lineRule="exact" w:before="0"/>
              <w:ind w:left="164" w:right="181"/>
              <w:rPr>
                <w:sz w:val="20"/>
              </w:rPr>
            </w:pPr>
            <w:r>
              <w:rPr>
                <w:sz w:val="20"/>
              </w:rPr>
              <w:t>95.8</w:t>
            </w:r>
          </w:p>
        </w:tc>
        <w:tc>
          <w:tcPr>
            <w:tcW w:w="1279" w:type="dxa"/>
          </w:tcPr>
          <w:p>
            <w:pPr>
              <w:pStyle w:val="TableParagraph"/>
              <w:spacing w:line="221" w:lineRule="exact" w:before="0"/>
              <w:ind w:left="409" w:right="428"/>
              <w:rPr>
                <w:sz w:val="20"/>
              </w:rPr>
            </w:pPr>
            <w:r>
              <w:rPr>
                <w:sz w:val="20"/>
              </w:rPr>
              <w:t>9.6</w:t>
            </w:r>
          </w:p>
        </w:tc>
        <w:tc>
          <w:tcPr>
            <w:tcW w:w="1890" w:type="dxa"/>
          </w:tcPr>
          <w:p>
            <w:pPr>
              <w:pStyle w:val="TableParagraph"/>
              <w:spacing w:line="221" w:lineRule="exact" w:before="0"/>
              <w:ind w:left="735"/>
              <w:jc w:val="left"/>
              <w:rPr>
                <w:sz w:val="20"/>
              </w:rPr>
            </w:pPr>
            <w:r>
              <w:rPr>
                <w:sz w:val="20"/>
              </w:rPr>
              <w:t>14.1</w:t>
            </w:r>
          </w:p>
        </w:tc>
        <w:tc>
          <w:tcPr>
            <w:tcW w:w="1494" w:type="dxa"/>
          </w:tcPr>
          <w:p>
            <w:pPr>
              <w:pStyle w:val="TableParagraph"/>
              <w:spacing w:line="221" w:lineRule="exact" w:before="0"/>
              <w:ind w:left="537"/>
              <w:jc w:val="left"/>
              <w:rPr>
                <w:sz w:val="20"/>
              </w:rPr>
            </w:pPr>
            <w:r>
              <w:rPr>
                <w:sz w:val="20"/>
              </w:rPr>
              <w:t>95.8</w:t>
            </w:r>
          </w:p>
        </w:tc>
      </w:tr>
      <w:tr>
        <w:trPr>
          <w:trHeight w:val="384" w:hRule="atLeast"/>
        </w:trPr>
        <w:tc>
          <w:tcPr>
            <w:tcW w:w="1975" w:type="dxa"/>
          </w:tcPr>
          <w:p>
            <w:pPr>
              <w:pStyle w:val="TableParagraph"/>
              <w:spacing w:line="220" w:lineRule="exact" w:before="0"/>
              <w:ind w:left="226" w:right="243"/>
              <w:rPr>
                <w:sz w:val="20"/>
              </w:rPr>
            </w:pPr>
            <w:r>
              <w:rPr>
                <w:sz w:val="20"/>
              </w:rPr>
              <w:t>M9PFNA</w:t>
            </w:r>
          </w:p>
        </w:tc>
        <w:tc>
          <w:tcPr>
            <w:tcW w:w="1260" w:type="dxa"/>
          </w:tcPr>
          <w:p>
            <w:pPr>
              <w:pStyle w:val="TableParagraph"/>
              <w:spacing w:line="220" w:lineRule="exact" w:before="0"/>
              <w:ind w:left="401" w:right="419"/>
              <w:rPr>
                <w:sz w:val="20"/>
              </w:rPr>
            </w:pPr>
            <w:r>
              <w:rPr>
                <w:sz w:val="20"/>
              </w:rPr>
              <w:t>102</w:t>
            </w:r>
          </w:p>
        </w:tc>
        <w:tc>
          <w:tcPr>
            <w:tcW w:w="2070" w:type="dxa"/>
          </w:tcPr>
          <w:p>
            <w:pPr>
              <w:pStyle w:val="TableParagraph"/>
              <w:spacing w:line="220" w:lineRule="exact" w:before="0"/>
              <w:ind w:left="807" w:right="823"/>
              <w:rPr>
                <w:sz w:val="20"/>
              </w:rPr>
            </w:pPr>
            <w:r>
              <w:rPr>
                <w:sz w:val="20"/>
              </w:rPr>
              <w:t>13.5</w:t>
            </w:r>
          </w:p>
        </w:tc>
        <w:tc>
          <w:tcPr>
            <w:tcW w:w="1511" w:type="dxa"/>
          </w:tcPr>
          <w:p>
            <w:pPr>
              <w:pStyle w:val="TableParagraph"/>
              <w:spacing w:line="220" w:lineRule="exact" w:before="0"/>
              <w:ind w:left="164" w:right="181"/>
              <w:rPr>
                <w:sz w:val="20"/>
              </w:rPr>
            </w:pPr>
            <w:r>
              <w:rPr>
                <w:sz w:val="20"/>
              </w:rPr>
              <w:t>97.9</w:t>
            </w:r>
          </w:p>
        </w:tc>
        <w:tc>
          <w:tcPr>
            <w:tcW w:w="1279" w:type="dxa"/>
          </w:tcPr>
          <w:p>
            <w:pPr>
              <w:pStyle w:val="TableParagraph"/>
              <w:spacing w:line="220" w:lineRule="exact" w:before="0"/>
              <w:ind w:left="410" w:right="428"/>
              <w:rPr>
                <w:sz w:val="20"/>
              </w:rPr>
            </w:pPr>
            <w:r>
              <w:rPr>
                <w:sz w:val="20"/>
              </w:rPr>
              <w:t>10.0</w:t>
            </w:r>
          </w:p>
        </w:tc>
        <w:tc>
          <w:tcPr>
            <w:tcW w:w="1890" w:type="dxa"/>
          </w:tcPr>
          <w:p>
            <w:pPr>
              <w:pStyle w:val="TableParagraph"/>
              <w:spacing w:line="220" w:lineRule="exact" w:before="0"/>
              <w:ind w:left="735"/>
              <w:jc w:val="left"/>
              <w:rPr>
                <w:sz w:val="20"/>
              </w:rPr>
            </w:pPr>
            <w:r>
              <w:rPr>
                <w:sz w:val="20"/>
              </w:rPr>
              <w:t>13.9</w:t>
            </w:r>
          </w:p>
        </w:tc>
        <w:tc>
          <w:tcPr>
            <w:tcW w:w="1494" w:type="dxa"/>
          </w:tcPr>
          <w:p>
            <w:pPr>
              <w:pStyle w:val="TableParagraph"/>
              <w:spacing w:line="220" w:lineRule="exact" w:before="0"/>
              <w:ind w:left="537"/>
              <w:jc w:val="left"/>
              <w:rPr>
                <w:sz w:val="20"/>
              </w:rPr>
            </w:pPr>
            <w:r>
              <w:rPr>
                <w:sz w:val="20"/>
              </w:rPr>
              <w:t>91.7</w:t>
            </w:r>
          </w:p>
        </w:tc>
      </w:tr>
      <w:tr>
        <w:trPr>
          <w:trHeight w:val="384" w:hRule="atLeast"/>
        </w:trPr>
        <w:tc>
          <w:tcPr>
            <w:tcW w:w="1975" w:type="dxa"/>
          </w:tcPr>
          <w:p>
            <w:pPr>
              <w:pStyle w:val="TableParagraph"/>
              <w:spacing w:line="220" w:lineRule="exact" w:before="0"/>
              <w:ind w:left="226" w:right="242"/>
              <w:rPr>
                <w:sz w:val="20"/>
              </w:rPr>
            </w:pPr>
            <w:r>
              <w:rPr>
                <w:sz w:val="20"/>
              </w:rPr>
              <w:t>M8PFOA</w:t>
            </w:r>
          </w:p>
        </w:tc>
        <w:tc>
          <w:tcPr>
            <w:tcW w:w="1260" w:type="dxa"/>
          </w:tcPr>
          <w:p>
            <w:pPr>
              <w:pStyle w:val="TableParagraph"/>
              <w:spacing w:line="220" w:lineRule="exact" w:before="0"/>
              <w:ind w:left="401" w:right="418"/>
              <w:rPr>
                <w:sz w:val="20"/>
              </w:rPr>
            </w:pPr>
            <w:r>
              <w:rPr>
                <w:sz w:val="20"/>
              </w:rPr>
              <w:t>103</w:t>
            </w:r>
          </w:p>
        </w:tc>
        <w:tc>
          <w:tcPr>
            <w:tcW w:w="2070" w:type="dxa"/>
          </w:tcPr>
          <w:p>
            <w:pPr>
              <w:pStyle w:val="TableParagraph"/>
              <w:spacing w:line="220" w:lineRule="exact" w:before="0"/>
              <w:ind w:left="807" w:right="823"/>
              <w:rPr>
                <w:sz w:val="20"/>
              </w:rPr>
            </w:pPr>
            <w:r>
              <w:rPr>
                <w:sz w:val="20"/>
              </w:rPr>
              <w:t>11.9</w:t>
            </w:r>
          </w:p>
        </w:tc>
        <w:tc>
          <w:tcPr>
            <w:tcW w:w="1511" w:type="dxa"/>
          </w:tcPr>
          <w:p>
            <w:pPr>
              <w:pStyle w:val="TableParagraph"/>
              <w:spacing w:line="220" w:lineRule="exact" w:before="0"/>
              <w:ind w:left="164" w:right="181"/>
              <w:rPr>
                <w:sz w:val="20"/>
              </w:rPr>
            </w:pPr>
            <w:r>
              <w:rPr>
                <w:sz w:val="20"/>
              </w:rPr>
              <w:t>97.9</w:t>
            </w:r>
          </w:p>
        </w:tc>
        <w:tc>
          <w:tcPr>
            <w:tcW w:w="1279" w:type="dxa"/>
          </w:tcPr>
          <w:p>
            <w:pPr>
              <w:pStyle w:val="TableParagraph"/>
              <w:spacing w:line="220" w:lineRule="exact" w:before="0"/>
              <w:ind w:left="409" w:right="428"/>
              <w:rPr>
                <w:sz w:val="20"/>
              </w:rPr>
            </w:pPr>
            <w:r>
              <w:rPr>
                <w:sz w:val="20"/>
              </w:rPr>
              <w:t>9.1</w:t>
            </w:r>
          </w:p>
        </w:tc>
        <w:tc>
          <w:tcPr>
            <w:tcW w:w="1890" w:type="dxa"/>
          </w:tcPr>
          <w:p>
            <w:pPr>
              <w:pStyle w:val="TableParagraph"/>
              <w:spacing w:line="220" w:lineRule="exact" w:before="0"/>
              <w:ind w:left="735"/>
              <w:jc w:val="left"/>
              <w:rPr>
                <w:sz w:val="20"/>
              </w:rPr>
            </w:pPr>
            <w:r>
              <w:rPr>
                <w:sz w:val="20"/>
              </w:rPr>
              <w:t>13.1</w:t>
            </w:r>
          </w:p>
        </w:tc>
        <w:tc>
          <w:tcPr>
            <w:tcW w:w="1494" w:type="dxa"/>
          </w:tcPr>
          <w:p>
            <w:pPr>
              <w:pStyle w:val="TableParagraph"/>
              <w:spacing w:line="220" w:lineRule="exact" w:before="0"/>
              <w:ind w:left="537"/>
              <w:jc w:val="left"/>
              <w:rPr>
                <w:sz w:val="20"/>
              </w:rPr>
            </w:pPr>
            <w:r>
              <w:rPr>
                <w:sz w:val="20"/>
              </w:rPr>
              <w:t>91.7</w:t>
            </w:r>
          </w:p>
        </w:tc>
      </w:tr>
      <w:tr>
        <w:trPr>
          <w:trHeight w:val="383" w:hRule="atLeast"/>
        </w:trPr>
        <w:tc>
          <w:tcPr>
            <w:tcW w:w="1975" w:type="dxa"/>
          </w:tcPr>
          <w:p>
            <w:pPr>
              <w:pStyle w:val="TableParagraph"/>
              <w:spacing w:line="220" w:lineRule="exact" w:before="0"/>
              <w:ind w:left="226" w:right="242"/>
              <w:rPr>
                <w:sz w:val="20"/>
              </w:rPr>
            </w:pPr>
            <w:r>
              <w:rPr>
                <w:sz w:val="20"/>
              </w:rPr>
              <w:t>M4PFHpA</w:t>
            </w:r>
          </w:p>
        </w:tc>
        <w:tc>
          <w:tcPr>
            <w:tcW w:w="1260" w:type="dxa"/>
          </w:tcPr>
          <w:p>
            <w:pPr>
              <w:pStyle w:val="TableParagraph"/>
              <w:spacing w:line="220" w:lineRule="exact" w:before="0"/>
              <w:ind w:left="401" w:right="419"/>
              <w:rPr>
                <w:sz w:val="20"/>
              </w:rPr>
            </w:pPr>
            <w:r>
              <w:rPr>
                <w:sz w:val="20"/>
              </w:rPr>
              <w:t>98.9</w:t>
            </w:r>
          </w:p>
        </w:tc>
        <w:tc>
          <w:tcPr>
            <w:tcW w:w="2070" w:type="dxa"/>
          </w:tcPr>
          <w:p>
            <w:pPr>
              <w:pStyle w:val="TableParagraph"/>
              <w:spacing w:line="220" w:lineRule="exact" w:before="0"/>
              <w:ind w:left="807" w:right="823"/>
              <w:rPr>
                <w:sz w:val="20"/>
              </w:rPr>
            </w:pPr>
            <w:r>
              <w:rPr>
                <w:sz w:val="20"/>
              </w:rPr>
              <w:t>12.7</w:t>
            </w:r>
          </w:p>
        </w:tc>
        <w:tc>
          <w:tcPr>
            <w:tcW w:w="1511" w:type="dxa"/>
          </w:tcPr>
          <w:p>
            <w:pPr>
              <w:pStyle w:val="TableParagraph"/>
              <w:spacing w:line="220" w:lineRule="exact" w:before="0"/>
              <w:ind w:left="164" w:right="181"/>
              <w:rPr>
                <w:sz w:val="20"/>
              </w:rPr>
            </w:pPr>
            <w:r>
              <w:rPr>
                <w:sz w:val="20"/>
              </w:rPr>
              <w:t>97.9</w:t>
            </w:r>
          </w:p>
        </w:tc>
        <w:tc>
          <w:tcPr>
            <w:tcW w:w="1279" w:type="dxa"/>
          </w:tcPr>
          <w:p>
            <w:pPr>
              <w:pStyle w:val="TableParagraph"/>
              <w:spacing w:line="220" w:lineRule="exact" w:before="0"/>
              <w:ind w:left="409" w:right="428"/>
              <w:rPr>
                <w:sz w:val="20"/>
              </w:rPr>
            </w:pPr>
            <w:r>
              <w:rPr>
                <w:sz w:val="20"/>
              </w:rPr>
              <w:t>8.6</w:t>
            </w:r>
          </w:p>
        </w:tc>
        <w:tc>
          <w:tcPr>
            <w:tcW w:w="1890" w:type="dxa"/>
          </w:tcPr>
          <w:p>
            <w:pPr>
              <w:pStyle w:val="TableParagraph"/>
              <w:spacing w:line="220" w:lineRule="exact" w:before="0"/>
              <w:ind w:left="735"/>
              <w:jc w:val="left"/>
              <w:rPr>
                <w:sz w:val="20"/>
              </w:rPr>
            </w:pPr>
            <w:r>
              <w:rPr>
                <w:sz w:val="20"/>
              </w:rPr>
              <w:t>13.5</w:t>
            </w:r>
          </w:p>
        </w:tc>
        <w:tc>
          <w:tcPr>
            <w:tcW w:w="1494" w:type="dxa"/>
          </w:tcPr>
          <w:p>
            <w:pPr>
              <w:pStyle w:val="TableParagraph"/>
              <w:spacing w:line="220" w:lineRule="exact" w:before="0"/>
              <w:ind w:left="537"/>
              <w:jc w:val="left"/>
              <w:rPr>
                <w:sz w:val="20"/>
              </w:rPr>
            </w:pPr>
            <w:r>
              <w:rPr>
                <w:sz w:val="20"/>
              </w:rPr>
              <w:t>91.7</w:t>
            </w:r>
          </w:p>
        </w:tc>
      </w:tr>
      <w:tr>
        <w:trPr>
          <w:trHeight w:val="384" w:hRule="atLeast"/>
        </w:trPr>
        <w:tc>
          <w:tcPr>
            <w:tcW w:w="1975" w:type="dxa"/>
          </w:tcPr>
          <w:p>
            <w:pPr>
              <w:pStyle w:val="TableParagraph"/>
              <w:spacing w:line="221" w:lineRule="exact" w:before="0"/>
              <w:ind w:left="226" w:right="243"/>
              <w:rPr>
                <w:sz w:val="20"/>
              </w:rPr>
            </w:pPr>
            <w:r>
              <w:rPr>
                <w:sz w:val="20"/>
              </w:rPr>
              <w:t>M5PFHxA</w:t>
            </w:r>
          </w:p>
        </w:tc>
        <w:tc>
          <w:tcPr>
            <w:tcW w:w="1260" w:type="dxa"/>
          </w:tcPr>
          <w:p>
            <w:pPr>
              <w:pStyle w:val="TableParagraph"/>
              <w:spacing w:line="221" w:lineRule="exact" w:before="0"/>
              <w:ind w:left="401" w:right="419"/>
              <w:rPr>
                <w:sz w:val="20"/>
              </w:rPr>
            </w:pPr>
            <w:r>
              <w:rPr>
                <w:sz w:val="20"/>
              </w:rPr>
              <w:t>98.7</w:t>
            </w:r>
          </w:p>
        </w:tc>
        <w:tc>
          <w:tcPr>
            <w:tcW w:w="2070" w:type="dxa"/>
          </w:tcPr>
          <w:p>
            <w:pPr>
              <w:pStyle w:val="TableParagraph"/>
              <w:spacing w:line="221" w:lineRule="exact" w:before="0"/>
              <w:ind w:left="807" w:right="823"/>
              <w:rPr>
                <w:sz w:val="20"/>
              </w:rPr>
            </w:pPr>
            <w:r>
              <w:rPr>
                <w:sz w:val="20"/>
              </w:rPr>
              <w:t>13.4</w:t>
            </w:r>
          </w:p>
        </w:tc>
        <w:tc>
          <w:tcPr>
            <w:tcW w:w="1511" w:type="dxa"/>
          </w:tcPr>
          <w:p>
            <w:pPr>
              <w:pStyle w:val="TableParagraph"/>
              <w:spacing w:line="221" w:lineRule="exact" w:before="0"/>
              <w:ind w:left="164" w:right="181"/>
              <w:rPr>
                <w:sz w:val="20"/>
              </w:rPr>
            </w:pPr>
            <w:r>
              <w:rPr>
                <w:sz w:val="20"/>
              </w:rPr>
              <w:t>97.9</w:t>
            </w:r>
          </w:p>
        </w:tc>
        <w:tc>
          <w:tcPr>
            <w:tcW w:w="1279" w:type="dxa"/>
          </w:tcPr>
          <w:p>
            <w:pPr>
              <w:pStyle w:val="TableParagraph"/>
              <w:spacing w:line="221" w:lineRule="exact" w:before="0"/>
              <w:ind w:left="409" w:right="428"/>
              <w:rPr>
                <w:sz w:val="20"/>
              </w:rPr>
            </w:pPr>
            <w:r>
              <w:rPr>
                <w:sz w:val="20"/>
              </w:rPr>
              <w:t>7.3</w:t>
            </w:r>
          </w:p>
        </w:tc>
        <w:tc>
          <w:tcPr>
            <w:tcW w:w="1890" w:type="dxa"/>
          </w:tcPr>
          <w:p>
            <w:pPr>
              <w:pStyle w:val="TableParagraph"/>
              <w:spacing w:line="221" w:lineRule="exact" w:before="0"/>
              <w:ind w:left="735"/>
              <w:jc w:val="left"/>
              <w:rPr>
                <w:sz w:val="20"/>
              </w:rPr>
            </w:pPr>
            <w:r>
              <w:rPr>
                <w:sz w:val="20"/>
              </w:rPr>
              <w:t>11.8</w:t>
            </w:r>
          </w:p>
        </w:tc>
        <w:tc>
          <w:tcPr>
            <w:tcW w:w="1494" w:type="dxa"/>
          </w:tcPr>
          <w:p>
            <w:pPr>
              <w:pStyle w:val="TableParagraph"/>
              <w:spacing w:line="221" w:lineRule="exact" w:before="0"/>
              <w:ind w:left="537"/>
              <w:jc w:val="left"/>
              <w:rPr>
                <w:sz w:val="20"/>
              </w:rPr>
            </w:pPr>
            <w:r>
              <w:rPr>
                <w:sz w:val="20"/>
              </w:rPr>
              <w:t>95.8</w:t>
            </w:r>
          </w:p>
        </w:tc>
      </w:tr>
      <w:tr>
        <w:trPr>
          <w:trHeight w:val="384" w:hRule="atLeast"/>
        </w:trPr>
        <w:tc>
          <w:tcPr>
            <w:tcW w:w="1975" w:type="dxa"/>
          </w:tcPr>
          <w:p>
            <w:pPr>
              <w:pStyle w:val="TableParagraph"/>
              <w:spacing w:line="220" w:lineRule="exact" w:before="0"/>
              <w:ind w:left="226" w:right="242"/>
              <w:rPr>
                <w:sz w:val="20"/>
              </w:rPr>
            </w:pPr>
            <w:r>
              <w:rPr>
                <w:sz w:val="20"/>
              </w:rPr>
              <w:t>M5PFPeA</w:t>
            </w:r>
          </w:p>
        </w:tc>
        <w:tc>
          <w:tcPr>
            <w:tcW w:w="1260" w:type="dxa"/>
          </w:tcPr>
          <w:p>
            <w:pPr>
              <w:pStyle w:val="TableParagraph"/>
              <w:spacing w:line="220" w:lineRule="exact" w:before="0"/>
              <w:ind w:left="401" w:right="419"/>
              <w:rPr>
                <w:sz w:val="20"/>
              </w:rPr>
            </w:pPr>
            <w:r>
              <w:rPr>
                <w:sz w:val="20"/>
              </w:rPr>
              <w:t>97.3</w:t>
            </w:r>
          </w:p>
        </w:tc>
        <w:tc>
          <w:tcPr>
            <w:tcW w:w="2070" w:type="dxa"/>
          </w:tcPr>
          <w:p>
            <w:pPr>
              <w:pStyle w:val="TableParagraph"/>
              <w:spacing w:line="220" w:lineRule="exact" w:before="0"/>
              <w:ind w:left="807" w:right="823"/>
              <w:rPr>
                <w:sz w:val="20"/>
              </w:rPr>
            </w:pPr>
            <w:r>
              <w:rPr>
                <w:sz w:val="20"/>
              </w:rPr>
              <w:t>11.6</w:t>
            </w:r>
          </w:p>
        </w:tc>
        <w:tc>
          <w:tcPr>
            <w:tcW w:w="1511" w:type="dxa"/>
          </w:tcPr>
          <w:p>
            <w:pPr>
              <w:pStyle w:val="TableParagraph"/>
              <w:spacing w:line="220" w:lineRule="exact" w:before="0"/>
              <w:ind w:left="164" w:right="181"/>
              <w:rPr>
                <w:sz w:val="20"/>
              </w:rPr>
            </w:pPr>
            <w:r>
              <w:rPr>
                <w:sz w:val="20"/>
              </w:rPr>
              <w:t>97.9</w:t>
            </w:r>
          </w:p>
        </w:tc>
        <w:tc>
          <w:tcPr>
            <w:tcW w:w="1279" w:type="dxa"/>
          </w:tcPr>
          <w:p>
            <w:pPr>
              <w:pStyle w:val="TableParagraph"/>
              <w:spacing w:line="220" w:lineRule="exact" w:before="0"/>
              <w:ind w:left="409" w:right="428"/>
              <w:rPr>
                <w:sz w:val="20"/>
              </w:rPr>
            </w:pPr>
            <w:r>
              <w:rPr>
                <w:sz w:val="20"/>
              </w:rPr>
              <w:t>5.3</w:t>
            </w:r>
          </w:p>
        </w:tc>
        <w:tc>
          <w:tcPr>
            <w:tcW w:w="1890" w:type="dxa"/>
          </w:tcPr>
          <w:p>
            <w:pPr>
              <w:pStyle w:val="TableParagraph"/>
              <w:spacing w:line="220" w:lineRule="exact" w:before="0"/>
              <w:ind w:left="735"/>
              <w:jc w:val="left"/>
              <w:rPr>
                <w:sz w:val="20"/>
              </w:rPr>
            </w:pPr>
            <w:r>
              <w:rPr>
                <w:sz w:val="20"/>
              </w:rPr>
              <w:t>10.4</w:t>
            </w:r>
          </w:p>
        </w:tc>
        <w:tc>
          <w:tcPr>
            <w:tcW w:w="1494" w:type="dxa"/>
          </w:tcPr>
          <w:p>
            <w:pPr>
              <w:pStyle w:val="TableParagraph"/>
              <w:spacing w:line="220" w:lineRule="exact" w:before="0"/>
              <w:ind w:left="537"/>
              <w:jc w:val="left"/>
              <w:rPr>
                <w:sz w:val="20"/>
              </w:rPr>
            </w:pPr>
            <w:r>
              <w:rPr>
                <w:sz w:val="20"/>
              </w:rPr>
              <w:t>95.8</w:t>
            </w:r>
          </w:p>
        </w:tc>
      </w:tr>
      <w:tr>
        <w:trPr>
          <w:trHeight w:val="383" w:hRule="atLeast"/>
        </w:trPr>
        <w:tc>
          <w:tcPr>
            <w:tcW w:w="1975" w:type="dxa"/>
          </w:tcPr>
          <w:p>
            <w:pPr>
              <w:pStyle w:val="TableParagraph"/>
              <w:spacing w:line="220" w:lineRule="exact" w:before="0"/>
              <w:ind w:left="224" w:right="243"/>
              <w:rPr>
                <w:sz w:val="20"/>
              </w:rPr>
            </w:pPr>
            <w:r>
              <w:rPr>
                <w:sz w:val="20"/>
              </w:rPr>
              <w:t>MPFBA</w:t>
            </w:r>
          </w:p>
        </w:tc>
        <w:tc>
          <w:tcPr>
            <w:tcW w:w="1260" w:type="dxa"/>
          </w:tcPr>
          <w:p>
            <w:pPr>
              <w:pStyle w:val="TableParagraph"/>
              <w:spacing w:line="220" w:lineRule="exact" w:before="0"/>
              <w:ind w:left="401" w:right="419"/>
              <w:rPr>
                <w:sz w:val="20"/>
              </w:rPr>
            </w:pPr>
            <w:r>
              <w:rPr>
                <w:sz w:val="20"/>
              </w:rPr>
              <w:t>95.2</w:t>
            </w:r>
          </w:p>
        </w:tc>
        <w:tc>
          <w:tcPr>
            <w:tcW w:w="2070" w:type="dxa"/>
          </w:tcPr>
          <w:p>
            <w:pPr>
              <w:pStyle w:val="TableParagraph"/>
              <w:spacing w:line="220" w:lineRule="exact" w:before="0"/>
              <w:ind w:left="807" w:right="823"/>
              <w:rPr>
                <w:sz w:val="20"/>
              </w:rPr>
            </w:pPr>
            <w:r>
              <w:rPr>
                <w:sz w:val="20"/>
              </w:rPr>
              <w:t>14.7</w:t>
            </w:r>
          </w:p>
        </w:tc>
        <w:tc>
          <w:tcPr>
            <w:tcW w:w="1511" w:type="dxa"/>
          </w:tcPr>
          <w:p>
            <w:pPr>
              <w:pStyle w:val="TableParagraph"/>
              <w:spacing w:line="220" w:lineRule="exact" w:before="0"/>
              <w:ind w:left="164" w:right="181"/>
              <w:rPr>
                <w:sz w:val="20"/>
              </w:rPr>
            </w:pPr>
            <w:r>
              <w:rPr>
                <w:sz w:val="20"/>
              </w:rPr>
              <w:t>87.5</w:t>
            </w:r>
          </w:p>
        </w:tc>
        <w:tc>
          <w:tcPr>
            <w:tcW w:w="1279" w:type="dxa"/>
          </w:tcPr>
          <w:p>
            <w:pPr>
              <w:pStyle w:val="TableParagraph"/>
              <w:spacing w:line="220" w:lineRule="exact" w:before="0"/>
              <w:ind w:left="409" w:right="428"/>
              <w:rPr>
                <w:sz w:val="20"/>
              </w:rPr>
            </w:pPr>
            <w:r>
              <w:rPr>
                <w:sz w:val="20"/>
              </w:rPr>
              <w:t>5.4</w:t>
            </w:r>
          </w:p>
        </w:tc>
        <w:tc>
          <w:tcPr>
            <w:tcW w:w="1890" w:type="dxa"/>
          </w:tcPr>
          <w:p>
            <w:pPr>
              <w:pStyle w:val="TableParagraph"/>
              <w:spacing w:line="220" w:lineRule="exact" w:before="0"/>
              <w:ind w:left="735"/>
              <w:jc w:val="left"/>
              <w:rPr>
                <w:sz w:val="20"/>
              </w:rPr>
            </w:pPr>
            <w:r>
              <w:rPr>
                <w:sz w:val="20"/>
              </w:rPr>
              <w:t>11.8</w:t>
            </w:r>
          </w:p>
        </w:tc>
        <w:tc>
          <w:tcPr>
            <w:tcW w:w="1494" w:type="dxa"/>
          </w:tcPr>
          <w:p>
            <w:pPr>
              <w:pStyle w:val="TableParagraph"/>
              <w:spacing w:line="220" w:lineRule="exact" w:before="0"/>
              <w:ind w:left="537"/>
              <w:jc w:val="left"/>
              <w:rPr>
                <w:sz w:val="20"/>
              </w:rPr>
            </w:pPr>
            <w:r>
              <w:rPr>
                <w:sz w:val="20"/>
              </w:rPr>
              <w:t>95.8</w:t>
            </w:r>
          </w:p>
        </w:tc>
      </w:tr>
      <w:tr>
        <w:trPr>
          <w:trHeight w:val="384" w:hRule="atLeast"/>
        </w:trPr>
        <w:tc>
          <w:tcPr>
            <w:tcW w:w="1975" w:type="dxa"/>
          </w:tcPr>
          <w:p>
            <w:pPr>
              <w:pStyle w:val="TableParagraph"/>
              <w:spacing w:line="221" w:lineRule="exact" w:before="0"/>
              <w:ind w:left="226" w:right="242"/>
              <w:rPr>
                <w:sz w:val="20"/>
              </w:rPr>
            </w:pPr>
            <w:r>
              <w:rPr>
                <w:sz w:val="20"/>
              </w:rPr>
              <w:t>M8PFOS</w:t>
            </w:r>
          </w:p>
        </w:tc>
        <w:tc>
          <w:tcPr>
            <w:tcW w:w="1260" w:type="dxa"/>
          </w:tcPr>
          <w:p>
            <w:pPr>
              <w:pStyle w:val="TableParagraph"/>
              <w:spacing w:line="221" w:lineRule="exact" w:before="0"/>
              <w:ind w:left="401" w:right="418"/>
              <w:rPr>
                <w:sz w:val="20"/>
              </w:rPr>
            </w:pPr>
            <w:r>
              <w:rPr>
                <w:sz w:val="20"/>
              </w:rPr>
              <w:t>103</w:t>
            </w:r>
          </w:p>
        </w:tc>
        <w:tc>
          <w:tcPr>
            <w:tcW w:w="2070" w:type="dxa"/>
          </w:tcPr>
          <w:p>
            <w:pPr>
              <w:pStyle w:val="TableParagraph"/>
              <w:spacing w:line="221" w:lineRule="exact" w:before="0"/>
              <w:ind w:left="807" w:right="823"/>
              <w:rPr>
                <w:sz w:val="20"/>
              </w:rPr>
            </w:pPr>
            <w:r>
              <w:rPr>
                <w:sz w:val="20"/>
              </w:rPr>
              <w:t>13.1</w:t>
            </w:r>
          </w:p>
        </w:tc>
        <w:tc>
          <w:tcPr>
            <w:tcW w:w="1511" w:type="dxa"/>
          </w:tcPr>
          <w:p>
            <w:pPr>
              <w:pStyle w:val="TableParagraph"/>
              <w:spacing w:line="221" w:lineRule="exact" w:before="0"/>
              <w:ind w:left="164" w:right="181"/>
              <w:rPr>
                <w:sz w:val="20"/>
              </w:rPr>
            </w:pPr>
            <w:r>
              <w:rPr>
                <w:sz w:val="20"/>
              </w:rPr>
              <w:t>97.9</w:t>
            </w:r>
          </w:p>
        </w:tc>
        <w:tc>
          <w:tcPr>
            <w:tcW w:w="1279" w:type="dxa"/>
          </w:tcPr>
          <w:p>
            <w:pPr>
              <w:pStyle w:val="TableParagraph"/>
              <w:spacing w:line="221" w:lineRule="exact" w:before="0"/>
              <w:ind w:left="410" w:right="428"/>
              <w:rPr>
                <w:sz w:val="20"/>
              </w:rPr>
            </w:pPr>
            <w:r>
              <w:rPr>
                <w:sz w:val="20"/>
              </w:rPr>
              <w:t>10.8</w:t>
            </w:r>
          </w:p>
        </w:tc>
        <w:tc>
          <w:tcPr>
            <w:tcW w:w="1890" w:type="dxa"/>
          </w:tcPr>
          <w:p>
            <w:pPr>
              <w:pStyle w:val="TableParagraph"/>
              <w:spacing w:line="221" w:lineRule="exact" w:before="0"/>
              <w:ind w:left="735"/>
              <w:jc w:val="left"/>
              <w:rPr>
                <w:sz w:val="20"/>
              </w:rPr>
            </w:pPr>
            <w:r>
              <w:rPr>
                <w:sz w:val="20"/>
              </w:rPr>
              <w:t>12.7</w:t>
            </w:r>
          </w:p>
        </w:tc>
        <w:tc>
          <w:tcPr>
            <w:tcW w:w="1494" w:type="dxa"/>
          </w:tcPr>
          <w:p>
            <w:pPr>
              <w:pStyle w:val="TableParagraph"/>
              <w:spacing w:line="221" w:lineRule="exact" w:before="0"/>
              <w:ind w:left="537"/>
              <w:jc w:val="left"/>
              <w:rPr>
                <w:sz w:val="20"/>
              </w:rPr>
            </w:pPr>
            <w:r>
              <w:rPr>
                <w:sz w:val="20"/>
              </w:rPr>
              <w:t>95.8</w:t>
            </w:r>
          </w:p>
        </w:tc>
      </w:tr>
      <w:tr>
        <w:trPr>
          <w:trHeight w:val="384" w:hRule="atLeast"/>
        </w:trPr>
        <w:tc>
          <w:tcPr>
            <w:tcW w:w="1975" w:type="dxa"/>
          </w:tcPr>
          <w:p>
            <w:pPr>
              <w:pStyle w:val="TableParagraph"/>
              <w:spacing w:line="221" w:lineRule="exact" w:before="0"/>
              <w:ind w:left="226" w:right="243"/>
              <w:rPr>
                <w:sz w:val="20"/>
              </w:rPr>
            </w:pPr>
            <w:r>
              <w:rPr>
                <w:sz w:val="20"/>
              </w:rPr>
              <w:t>M3PFHxS</w:t>
            </w:r>
          </w:p>
        </w:tc>
        <w:tc>
          <w:tcPr>
            <w:tcW w:w="1260" w:type="dxa"/>
          </w:tcPr>
          <w:p>
            <w:pPr>
              <w:pStyle w:val="TableParagraph"/>
              <w:spacing w:line="221" w:lineRule="exact" w:before="0"/>
              <w:ind w:left="401" w:right="418"/>
              <w:rPr>
                <w:sz w:val="20"/>
              </w:rPr>
            </w:pPr>
            <w:r>
              <w:rPr>
                <w:sz w:val="20"/>
              </w:rPr>
              <w:t>101</w:t>
            </w:r>
          </w:p>
        </w:tc>
        <w:tc>
          <w:tcPr>
            <w:tcW w:w="2070" w:type="dxa"/>
          </w:tcPr>
          <w:p>
            <w:pPr>
              <w:pStyle w:val="TableParagraph"/>
              <w:spacing w:line="221" w:lineRule="exact" w:before="0"/>
              <w:ind w:left="807" w:right="823"/>
              <w:rPr>
                <w:sz w:val="20"/>
              </w:rPr>
            </w:pPr>
            <w:r>
              <w:rPr>
                <w:sz w:val="20"/>
              </w:rPr>
              <w:t>12.3</w:t>
            </w:r>
          </w:p>
        </w:tc>
        <w:tc>
          <w:tcPr>
            <w:tcW w:w="1511" w:type="dxa"/>
          </w:tcPr>
          <w:p>
            <w:pPr>
              <w:pStyle w:val="TableParagraph"/>
              <w:spacing w:line="221" w:lineRule="exact" w:before="0"/>
              <w:ind w:left="164" w:right="181"/>
              <w:rPr>
                <w:sz w:val="20"/>
              </w:rPr>
            </w:pPr>
            <w:r>
              <w:rPr>
                <w:sz w:val="20"/>
              </w:rPr>
              <w:t>97.9</w:t>
            </w:r>
          </w:p>
        </w:tc>
        <w:tc>
          <w:tcPr>
            <w:tcW w:w="1279" w:type="dxa"/>
          </w:tcPr>
          <w:p>
            <w:pPr>
              <w:pStyle w:val="TableParagraph"/>
              <w:spacing w:line="221" w:lineRule="exact" w:before="0"/>
              <w:ind w:left="409" w:right="428"/>
              <w:rPr>
                <w:sz w:val="20"/>
              </w:rPr>
            </w:pPr>
            <w:r>
              <w:rPr>
                <w:sz w:val="20"/>
              </w:rPr>
              <w:t>7.4</w:t>
            </w:r>
          </w:p>
        </w:tc>
        <w:tc>
          <w:tcPr>
            <w:tcW w:w="1890" w:type="dxa"/>
          </w:tcPr>
          <w:p>
            <w:pPr>
              <w:pStyle w:val="TableParagraph"/>
              <w:spacing w:line="221" w:lineRule="exact" w:before="0"/>
              <w:ind w:left="735"/>
              <w:jc w:val="left"/>
              <w:rPr>
                <w:sz w:val="20"/>
              </w:rPr>
            </w:pPr>
            <w:r>
              <w:rPr>
                <w:sz w:val="20"/>
              </w:rPr>
              <w:t>11.8</w:t>
            </w:r>
          </w:p>
        </w:tc>
        <w:tc>
          <w:tcPr>
            <w:tcW w:w="1494" w:type="dxa"/>
          </w:tcPr>
          <w:p>
            <w:pPr>
              <w:pStyle w:val="TableParagraph"/>
              <w:spacing w:line="221" w:lineRule="exact" w:before="0"/>
              <w:ind w:left="537"/>
              <w:jc w:val="left"/>
              <w:rPr>
                <w:sz w:val="20"/>
              </w:rPr>
            </w:pPr>
            <w:r>
              <w:rPr>
                <w:sz w:val="20"/>
              </w:rPr>
              <w:t>95.8</w:t>
            </w:r>
          </w:p>
        </w:tc>
      </w:tr>
      <w:tr>
        <w:trPr>
          <w:trHeight w:val="384" w:hRule="atLeast"/>
        </w:trPr>
        <w:tc>
          <w:tcPr>
            <w:tcW w:w="1975" w:type="dxa"/>
          </w:tcPr>
          <w:p>
            <w:pPr>
              <w:pStyle w:val="TableParagraph"/>
              <w:spacing w:line="220" w:lineRule="exact" w:before="0"/>
              <w:ind w:left="225" w:right="243"/>
              <w:rPr>
                <w:sz w:val="20"/>
              </w:rPr>
            </w:pPr>
            <w:r>
              <w:rPr>
                <w:sz w:val="20"/>
              </w:rPr>
              <w:t>M3PFBS</w:t>
            </w:r>
          </w:p>
        </w:tc>
        <w:tc>
          <w:tcPr>
            <w:tcW w:w="1260" w:type="dxa"/>
          </w:tcPr>
          <w:p>
            <w:pPr>
              <w:pStyle w:val="TableParagraph"/>
              <w:spacing w:line="220" w:lineRule="exact" w:before="0"/>
              <w:ind w:left="401" w:right="419"/>
              <w:rPr>
                <w:sz w:val="20"/>
              </w:rPr>
            </w:pPr>
            <w:r>
              <w:rPr>
                <w:sz w:val="20"/>
              </w:rPr>
              <w:t>95.6</w:t>
            </w:r>
          </w:p>
        </w:tc>
        <w:tc>
          <w:tcPr>
            <w:tcW w:w="2070" w:type="dxa"/>
          </w:tcPr>
          <w:p>
            <w:pPr>
              <w:pStyle w:val="TableParagraph"/>
              <w:spacing w:line="220" w:lineRule="exact" w:before="0"/>
              <w:ind w:left="807" w:right="823"/>
              <w:rPr>
                <w:sz w:val="20"/>
              </w:rPr>
            </w:pPr>
            <w:r>
              <w:rPr>
                <w:sz w:val="20"/>
              </w:rPr>
              <w:t>13.5</w:t>
            </w:r>
          </w:p>
        </w:tc>
        <w:tc>
          <w:tcPr>
            <w:tcW w:w="1511" w:type="dxa"/>
          </w:tcPr>
          <w:p>
            <w:pPr>
              <w:pStyle w:val="TableParagraph"/>
              <w:spacing w:line="220" w:lineRule="exact" w:before="0"/>
              <w:ind w:left="164" w:right="181"/>
              <w:rPr>
                <w:sz w:val="20"/>
              </w:rPr>
            </w:pPr>
            <w:r>
              <w:rPr>
                <w:sz w:val="20"/>
              </w:rPr>
              <w:t>97.9</w:t>
            </w:r>
          </w:p>
        </w:tc>
        <w:tc>
          <w:tcPr>
            <w:tcW w:w="1279" w:type="dxa"/>
          </w:tcPr>
          <w:p>
            <w:pPr>
              <w:pStyle w:val="TableParagraph"/>
              <w:spacing w:line="220" w:lineRule="exact" w:before="0"/>
              <w:ind w:left="409" w:right="428"/>
              <w:rPr>
                <w:sz w:val="20"/>
              </w:rPr>
            </w:pPr>
            <w:r>
              <w:rPr>
                <w:sz w:val="20"/>
              </w:rPr>
              <w:t>7.2</w:t>
            </w:r>
          </w:p>
        </w:tc>
        <w:tc>
          <w:tcPr>
            <w:tcW w:w="1890" w:type="dxa"/>
          </w:tcPr>
          <w:p>
            <w:pPr>
              <w:pStyle w:val="TableParagraph"/>
              <w:spacing w:line="220" w:lineRule="exact" w:before="0"/>
              <w:ind w:left="735"/>
              <w:jc w:val="left"/>
              <w:rPr>
                <w:sz w:val="20"/>
              </w:rPr>
            </w:pPr>
            <w:r>
              <w:rPr>
                <w:sz w:val="20"/>
              </w:rPr>
              <w:t>12.2</w:t>
            </w:r>
          </w:p>
        </w:tc>
        <w:tc>
          <w:tcPr>
            <w:tcW w:w="1494" w:type="dxa"/>
          </w:tcPr>
          <w:p>
            <w:pPr>
              <w:pStyle w:val="TableParagraph"/>
              <w:spacing w:line="220" w:lineRule="exact" w:before="0"/>
              <w:ind w:left="537"/>
              <w:jc w:val="left"/>
              <w:rPr>
                <w:sz w:val="20"/>
              </w:rPr>
            </w:pPr>
            <w:r>
              <w:rPr>
                <w:sz w:val="20"/>
              </w:rPr>
              <w:t>95.8</w:t>
            </w:r>
          </w:p>
        </w:tc>
      </w:tr>
      <w:tr>
        <w:trPr>
          <w:trHeight w:val="383" w:hRule="atLeast"/>
        </w:trPr>
        <w:tc>
          <w:tcPr>
            <w:tcW w:w="1975" w:type="dxa"/>
          </w:tcPr>
          <w:p>
            <w:pPr>
              <w:pStyle w:val="TableParagraph"/>
              <w:spacing w:line="220" w:lineRule="exact" w:before="0"/>
              <w:ind w:left="226" w:right="242"/>
              <w:rPr>
                <w:sz w:val="20"/>
              </w:rPr>
            </w:pPr>
            <w:r>
              <w:rPr>
                <w:sz w:val="20"/>
              </w:rPr>
              <w:t>M8FOSA-I</w:t>
            </w:r>
          </w:p>
        </w:tc>
        <w:tc>
          <w:tcPr>
            <w:tcW w:w="1260" w:type="dxa"/>
          </w:tcPr>
          <w:p>
            <w:pPr>
              <w:pStyle w:val="TableParagraph"/>
              <w:spacing w:line="220" w:lineRule="exact" w:before="0"/>
              <w:ind w:left="401" w:right="418"/>
              <w:rPr>
                <w:sz w:val="20"/>
              </w:rPr>
            </w:pPr>
            <w:r>
              <w:rPr>
                <w:sz w:val="20"/>
              </w:rPr>
              <w:t>103</w:t>
            </w:r>
          </w:p>
        </w:tc>
        <w:tc>
          <w:tcPr>
            <w:tcW w:w="2070" w:type="dxa"/>
          </w:tcPr>
          <w:p>
            <w:pPr>
              <w:pStyle w:val="TableParagraph"/>
              <w:spacing w:line="220" w:lineRule="exact" w:before="0"/>
              <w:ind w:left="807" w:right="823"/>
              <w:rPr>
                <w:sz w:val="20"/>
              </w:rPr>
            </w:pPr>
            <w:r>
              <w:rPr>
                <w:sz w:val="20"/>
              </w:rPr>
              <w:t>13.9</w:t>
            </w:r>
          </w:p>
        </w:tc>
        <w:tc>
          <w:tcPr>
            <w:tcW w:w="1511" w:type="dxa"/>
          </w:tcPr>
          <w:p>
            <w:pPr>
              <w:pStyle w:val="TableParagraph"/>
              <w:spacing w:line="220" w:lineRule="exact" w:before="0"/>
              <w:ind w:left="164" w:right="181"/>
              <w:rPr>
                <w:sz w:val="20"/>
              </w:rPr>
            </w:pPr>
            <w:r>
              <w:rPr>
                <w:sz w:val="20"/>
              </w:rPr>
              <w:t>95.8</w:t>
            </w:r>
          </w:p>
        </w:tc>
        <w:tc>
          <w:tcPr>
            <w:tcW w:w="1279" w:type="dxa"/>
          </w:tcPr>
          <w:p>
            <w:pPr>
              <w:pStyle w:val="TableParagraph"/>
              <w:spacing w:line="220" w:lineRule="exact" w:before="0"/>
              <w:ind w:left="409" w:right="428"/>
              <w:rPr>
                <w:sz w:val="20"/>
              </w:rPr>
            </w:pPr>
            <w:r>
              <w:rPr>
                <w:sz w:val="20"/>
              </w:rPr>
              <w:t>7.1</w:t>
            </w:r>
          </w:p>
        </w:tc>
        <w:tc>
          <w:tcPr>
            <w:tcW w:w="1890" w:type="dxa"/>
          </w:tcPr>
          <w:p>
            <w:pPr>
              <w:pStyle w:val="TableParagraph"/>
              <w:spacing w:line="220" w:lineRule="exact" w:before="0"/>
              <w:ind w:left="735"/>
              <w:jc w:val="left"/>
              <w:rPr>
                <w:sz w:val="20"/>
              </w:rPr>
            </w:pPr>
            <w:r>
              <w:rPr>
                <w:sz w:val="20"/>
              </w:rPr>
              <w:t>12.0</w:t>
            </w:r>
          </w:p>
        </w:tc>
        <w:tc>
          <w:tcPr>
            <w:tcW w:w="1494" w:type="dxa"/>
          </w:tcPr>
          <w:p>
            <w:pPr>
              <w:pStyle w:val="TableParagraph"/>
              <w:spacing w:line="220" w:lineRule="exact" w:before="0"/>
              <w:ind w:left="537"/>
              <w:jc w:val="left"/>
              <w:rPr>
                <w:sz w:val="20"/>
              </w:rPr>
            </w:pPr>
            <w:r>
              <w:rPr>
                <w:sz w:val="20"/>
              </w:rPr>
              <w:t>95.8</w:t>
            </w:r>
          </w:p>
        </w:tc>
      </w:tr>
      <w:tr>
        <w:trPr>
          <w:trHeight w:val="384" w:hRule="atLeast"/>
        </w:trPr>
        <w:tc>
          <w:tcPr>
            <w:tcW w:w="1975" w:type="dxa"/>
          </w:tcPr>
          <w:p>
            <w:pPr>
              <w:pStyle w:val="TableParagraph"/>
              <w:spacing w:line="221" w:lineRule="exact" w:before="0"/>
              <w:ind w:left="226" w:right="242"/>
              <w:rPr>
                <w:sz w:val="20"/>
              </w:rPr>
            </w:pPr>
            <w:r>
              <w:rPr>
                <w:sz w:val="20"/>
              </w:rPr>
              <w:t>M2-8:2FTS</w:t>
            </w:r>
          </w:p>
        </w:tc>
        <w:tc>
          <w:tcPr>
            <w:tcW w:w="1260" w:type="dxa"/>
          </w:tcPr>
          <w:p>
            <w:pPr>
              <w:pStyle w:val="TableParagraph"/>
              <w:spacing w:line="221" w:lineRule="exact" w:before="0"/>
              <w:ind w:left="401" w:right="419"/>
              <w:rPr>
                <w:sz w:val="20"/>
              </w:rPr>
            </w:pPr>
            <w:r>
              <w:rPr>
                <w:sz w:val="20"/>
              </w:rPr>
              <w:t>108</w:t>
            </w:r>
          </w:p>
        </w:tc>
        <w:tc>
          <w:tcPr>
            <w:tcW w:w="2070" w:type="dxa"/>
          </w:tcPr>
          <w:p>
            <w:pPr>
              <w:pStyle w:val="TableParagraph"/>
              <w:spacing w:line="221" w:lineRule="exact" w:before="0"/>
              <w:ind w:left="807" w:right="823"/>
              <w:rPr>
                <w:sz w:val="20"/>
              </w:rPr>
            </w:pPr>
            <w:r>
              <w:rPr>
                <w:sz w:val="20"/>
              </w:rPr>
              <w:t>14.4</w:t>
            </w:r>
          </w:p>
        </w:tc>
        <w:tc>
          <w:tcPr>
            <w:tcW w:w="1511" w:type="dxa"/>
          </w:tcPr>
          <w:p>
            <w:pPr>
              <w:pStyle w:val="TableParagraph"/>
              <w:spacing w:line="221" w:lineRule="exact" w:before="0"/>
              <w:ind w:left="164" w:right="181"/>
              <w:rPr>
                <w:sz w:val="20"/>
              </w:rPr>
            </w:pPr>
            <w:r>
              <w:rPr>
                <w:sz w:val="20"/>
              </w:rPr>
              <w:t>95.8</w:t>
            </w:r>
          </w:p>
        </w:tc>
        <w:tc>
          <w:tcPr>
            <w:tcW w:w="1279" w:type="dxa"/>
          </w:tcPr>
          <w:p>
            <w:pPr>
              <w:pStyle w:val="TableParagraph"/>
              <w:spacing w:line="221" w:lineRule="exact" w:before="0"/>
              <w:ind w:left="409" w:right="428"/>
              <w:rPr>
                <w:sz w:val="20"/>
              </w:rPr>
            </w:pPr>
            <w:r>
              <w:rPr>
                <w:sz w:val="20"/>
              </w:rPr>
              <w:t>8.3</w:t>
            </w:r>
          </w:p>
        </w:tc>
        <w:tc>
          <w:tcPr>
            <w:tcW w:w="1890" w:type="dxa"/>
          </w:tcPr>
          <w:p>
            <w:pPr>
              <w:pStyle w:val="TableParagraph"/>
              <w:spacing w:line="221" w:lineRule="exact" w:before="0"/>
              <w:ind w:left="735"/>
              <w:jc w:val="left"/>
              <w:rPr>
                <w:sz w:val="20"/>
              </w:rPr>
            </w:pPr>
            <w:r>
              <w:rPr>
                <w:sz w:val="20"/>
              </w:rPr>
              <w:t>11.3</w:t>
            </w:r>
          </w:p>
        </w:tc>
        <w:tc>
          <w:tcPr>
            <w:tcW w:w="1494" w:type="dxa"/>
          </w:tcPr>
          <w:p>
            <w:pPr>
              <w:pStyle w:val="TableParagraph"/>
              <w:spacing w:line="221" w:lineRule="exact" w:before="0"/>
              <w:ind w:left="537"/>
              <w:jc w:val="left"/>
              <w:rPr>
                <w:sz w:val="20"/>
              </w:rPr>
            </w:pPr>
            <w:r>
              <w:rPr>
                <w:sz w:val="20"/>
              </w:rPr>
              <w:t>95.8</w:t>
            </w:r>
          </w:p>
        </w:tc>
      </w:tr>
      <w:tr>
        <w:trPr>
          <w:trHeight w:val="384" w:hRule="atLeast"/>
        </w:trPr>
        <w:tc>
          <w:tcPr>
            <w:tcW w:w="1975" w:type="dxa"/>
          </w:tcPr>
          <w:p>
            <w:pPr>
              <w:pStyle w:val="TableParagraph"/>
              <w:spacing w:line="220" w:lineRule="exact" w:before="0"/>
              <w:ind w:left="226" w:right="242"/>
              <w:rPr>
                <w:sz w:val="20"/>
              </w:rPr>
            </w:pPr>
            <w:r>
              <w:rPr>
                <w:sz w:val="20"/>
              </w:rPr>
              <w:t>M2-6:2FTS</w:t>
            </w:r>
          </w:p>
        </w:tc>
        <w:tc>
          <w:tcPr>
            <w:tcW w:w="1260" w:type="dxa"/>
          </w:tcPr>
          <w:p>
            <w:pPr>
              <w:pStyle w:val="TableParagraph"/>
              <w:spacing w:line="220" w:lineRule="exact" w:before="0"/>
              <w:ind w:left="401" w:right="419"/>
              <w:rPr>
                <w:sz w:val="20"/>
              </w:rPr>
            </w:pPr>
            <w:r>
              <w:rPr>
                <w:sz w:val="20"/>
              </w:rPr>
              <w:t>107</w:t>
            </w:r>
          </w:p>
        </w:tc>
        <w:tc>
          <w:tcPr>
            <w:tcW w:w="2070" w:type="dxa"/>
          </w:tcPr>
          <w:p>
            <w:pPr>
              <w:pStyle w:val="TableParagraph"/>
              <w:spacing w:line="220" w:lineRule="exact" w:before="0"/>
              <w:ind w:left="807" w:right="823"/>
              <w:rPr>
                <w:sz w:val="20"/>
              </w:rPr>
            </w:pPr>
            <w:r>
              <w:rPr>
                <w:sz w:val="20"/>
              </w:rPr>
              <w:t>17.3</w:t>
            </w:r>
          </w:p>
        </w:tc>
        <w:tc>
          <w:tcPr>
            <w:tcW w:w="1511" w:type="dxa"/>
          </w:tcPr>
          <w:p>
            <w:pPr>
              <w:pStyle w:val="TableParagraph"/>
              <w:spacing w:line="220" w:lineRule="exact" w:before="0"/>
              <w:ind w:left="164" w:right="181"/>
              <w:rPr>
                <w:sz w:val="20"/>
              </w:rPr>
            </w:pPr>
            <w:r>
              <w:rPr>
                <w:sz w:val="20"/>
              </w:rPr>
              <w:t>91.7</w:t>
            </w:r>
          </w:p>
        </w:tc>
        <w:tc>
          <w:tcPr>
            <w:tcW w:w="1279" w:type="dxa"/>
          </w:tcPr>
          <w:p>
            <w:pPr>
              <w:pStyle w:val="TableParagraph"/>
              <w:spacing w:line="220" w:lineRule="exact" w:before="0"/>
              <w:ind w:left="410" w:right="428"/>
              <w:rPr>
                <w:sz w:val="20"/>
              </w:rPr>
            </w:pPr>
            <w:r>
              <w:rPr>
                <w:sz w:val="20"/>
              </w:rPr>
              <w:t>10.8</w:t>
            </w:r>
          </w:p>
        </w:tc>
        <w:tc>
          <w:tcPr>
            <w:tcW w:w="1890" w:type="dxa"/>
          </w:tcPr>
          <w:p>
            <w:pPr>
              <w:pStyle w:val="TableParagraph"/>
              <w:spacing w:line="220" w:lineRule="exact" w:before="0"/>
              <w:ind w:left="735"/>
              <w:jc w:val="left"/>
              <w:rPr>
                <w:sz w:val="20"/>
              </w:rPr>
            </w:pPr>
            <w:r>
              <w:rPr>
                <w:sz w:val="20"/>
              </w:rPr>
              <w:t>11.8</w:t>
            </w:r>
          </w:p>
        </w:tc>
        <w:tc>
          <w:tcPr>
            <w:tcW w:w="1494" w:type="dxa"/>
          </w:tcPr>
          <w:p>
            <w:pPr>
              <w:pStyle w:val="TableParagraph"/>
              <w:spacing w:line="220" w:lineRule="exact" w:before="0"/>
              <w:ind w:left="537"/>
              <w:jc w:val="left"/>
              <w:rPr>
                <w:sz w:val="20"/>
              </w:rPr>
            </w:pPr>
            <w:r>
              <w:rPr>
                <w:sz w:val="20"/>
              </w:rPr>
              <w:t>95.8</w:t>
            </w:r>
          </w:p>
        </w:tc>
      </w:tr>
      <w:tr>
        <w:trPr>
          <w:trHeight w:val="384" w:hRule="atLeast"/>
        </w:trPr>
        <w:tc>
          <w:tcPr>
            <w:tcW w:w="1975" w:type="dxa"/>
          </w:tcPr>
          <w:p>
            <w:pPr>
              <w:pStyle w:val="TableParagraph"/>
              <w:spacing w:line="220" w:lineRule="exact" w:before="0"/>
              <w:ind w:left="226" w:right="242"/>
              <w:rPr>
                <w:sz w:val="20"/>
              </w:rPr>
            </w:pPr>
            <w:r>
              <w:rPr>
                <w:sz w:val="20"/>
              </w:rPr>
              <w:t>M2-4:2FTS</w:t>
            </w:r>
          </w:p>
        </w:tc>
        <w:tc>
          <w:tcPr>
            <w:tcW w:w="1260" w:type="dxa"/>
          </w:tcPr>
          <w:p>
            <w:pPr>
              <w:pStyle w:val="TableParagraph"/>
              <w:spacing w:line="220" w:lineRule="exact" w:before="0"/>
              <w:ind w:left="401" w:right="418"/>
              <w:rPr>
                <w:sz w:val="20"/>
              </w:rPr>
            </w:pPr>
            <w:r>
              <w:rPr>
                <w:sz w:val="20"/>
              </w:rPr>
              <w:t>103</w:t>
            </w:r>
          </w:p>
        </w:tc>
        <w:tc>
          <w:tcPr>
            <w:tcW w:w="2070" w:type="dxa"/>
          </w:tcPr>
          <w:p>
            <w:pPr>
              <w:pStyle w:val="TableParagraph"/>
              <w:spacing w:line="220" w:lineRule="exact" w:before="0"/>
              <w:ind w:left="807" w:right="823"/>
              <w:rPr>
                <w:sz w:val="20"/>
              </w:rPr>
            </w:pPr>
            <w:r>
              <w:rPr>
                <w:sz w:val="20"/>
              </w:rPr>
              <w:t>23.5</w:t>
            </w:r>
          </w:p>
        </w:tc>
        <w:tc>
          <w:tcPr>
            <w:tcW w:w="1511" w:type="dxa"/>
          </w:tcPr>
          <w:p>
            <w:pPr>
              <w:pStyle w:val="TableParagraph"/>
              <w:spacing w:line="220" w:lineRule="exact" w:before="0"/>
              <w:ind w:left="164" w:right="181"/>
              <w:rPr>
                <w:sz w:val="20"/>
              </w:rPr>
            </w:pPr>
            <w:r>
              <w:rPr>
                <w:sz w:val="20"/>
              </w:rPr>
              <w:t>87.5</w:t>
            </w:r>
          </w:p>
        </w:tc>
        <w:tc>
          <w:tcPr>
            <w:tcW w:w="1279" w:type="dxa"/>
          </w:tcPr>
          <w:p>
            <w:pPr>
              <w:pStyle w:val="TableParagraph"/>
              <w:spacing w:line="220" w:lineRule="exact" w:before="0"/>
              <w:ind w:left="410" w:right="428"/>
              <w:rPr>
                <w:sz w:val="20"/>
              </w:rPr>
            </w:pPr>
            <w:r>
              <w:rPr>
                <w:sz w:val="20"/>
              </w:rPr>
              <w:t>15.7</w:t>
            </w:r>
          </w:p>
        </w:tc>
        <w:tc>
          <w:tcPr>
            <w:tcW w:w="1890" w:type="dxa"/>
          </w:tcPr>
          <w:p>
            <w:pPr>
              <w:pStyle w:val="TableParagraph"/>
              <w:spacing w:line="220" w:lineRule="exact" w:before="0"/>
              <w:ind w:left="735"/>
              <w:jc w:val="left"/>
              <w:rPr>
                <w:sz w:val="20"/>
              </w:rPr>
            </w:pPr>
            <w:r>
              <w:rPr>
                <w:sz w:val="20"/>
              </w:rPr>
              <w:t>20.7</w:t>
            </w:r>
          </w:p>
        </w:tc>
        <w:tc>
          <w:tcPr>
            <w:tcW w:w="1494" w:type="dxa"/>
          </w:tcPr>
          <w:p>
            <w:pPr>
              <w:pStyle w:val="TableParagraph"/>
              <w:spacing w:line="220" w:lineRule="exact" w:before="0"/>
              <w:ind w:left="537"/>
              <w:jc w:val="left"/>
              <w:rPr>
                <w:sz w:val="20"/>
              </w:rPr>
            </w:pPr>
            <w:r>
              <w:rPr>
                <w:sz w:val="20"/>
              </w:rPr>
              <w:t>87.5</w:t>
            </w:r>
          </w:p>
        </w:tc>
      </w:tr>
      <w:tr>
        <w:trPr>
          <w:trHeight w:val="383" w:hRule="atLeast"/>
        </w:trPr>
        <w:tc>
          <w:tcPr>
            <w:tcW w:w="1975" w:type="dxa"/>
          </w:tcPr>
          <w:p>
            <w:pPr>
              <w:pStyle w:val="TableParagraph"/>
              <w:spacing w:line="220" w:lineRule="exact" w:before="0"/>
              <w:ind w:left="225" w:right="243"/>
              <w:rPr>
                <w:sz w:val="20"/>
              </w:rPr>
            </w:pPr>
            <w:r>
              <w:rPr>
                <w:sz w:val="20"/>
              </w:rPr>
              <w:t>d5-N-EtFOSAA</w:t>
            </w:r>
          </w:p>
        </w:tc>
        <w:tc>
          <w:tcPr>
            <w:tcW w:w="1260" w:type="dxa"/>
          </w:tcPr>
          <w:p>
            <w:pPr>
              <w:pStyle w:val="TableParagraph"/>
              <w:spacing w:line="220" w:lineRule="exact" w:before="0"/>
              <w:ind w:left="401" w:right="418"/>
              <w:rPr>
                <w:sz w:val="20"/>
              </w:rPr>
            </w:pPr>
            <w:r>
              <w:rPr>
                <w:sz w:val="20"/>
              </w:rPr>
              <w:t>106</w:t>
            </w:r>
          </w:p>
        </w:tc>
        <w:tc>
          <w:tcPr>
            <w:tcW w:w="2070" w:type="dxa"/>
          </w:tcPr>
          <w:p>
            <w:pPr>
              <w:pStyle w:val="TableParagraph"/>
              <w:spacing w:line="220" w:lineRule="exact" w:before="0"/>
              <w:ind w:left="807" w:right="823"/>
              <w:rPr>
                <w:sz w:val="20"/>
              </w:rPr>
            </w:pPr>
            <w:r>
              <w:rPr>
                <w:sz w:val="20"/>
              </w:rPr>
              <w:t>15.3</w:t>
            </w:r>
          </w:p>
        </w:tc>
        <w:tc>
          <w:tcPr>
            <w:tcW w:w="1511" w:type="dxa"/>
          </w:tcPr>
          <w:p>
            <w:pPr>
              <w:pStyle w:val="TableParagraph"/>
              <w:spacing w:line="220" w:lineRule="exact" w:before="0"/>
              <w:ind w:left="164" w:right="181"/>
              <w:rPr>
                <w:sz w:val="20"/>
              </w:rPr>
            </w:pPr>
            <w:r>
              <w:rPr>
                <w:sz w:val="20"/>
              </w:rPr>
              <w:t>91.7</w:t>
            </w:r>
          </w:p>
        </w:tc>
        <w:tc>
          <w:tcPr>
            <w:tcW w:w="1279" w:type="dxa"/>
          </w:tcPr>
          <w:p>
            <w:pPr>
              <w:pStyle w:val="TableParagraph"/>
              <w:spacing w:line="220" w:lineRule="exact" w:before="0"/>
              <w:ind w:left="410" w:right="428"/>
              <w:rPr>
                <w:sz w:val="20"/>
              </w:rPr>
            </w:pPr>
            <w:r>
              <w:rPr>
                <w:sz w:val="20"/>
              </w:rPr>
              <w:t>11.2</w:t>
            </w:r>
          </w:p>
        </w:tc>
        <w:tc>
          <w:tcPr>
            <w:tcW w:w="1890" w:type="dxa"/>
          </w:tcPr>
          <w:p>
            <w:pPr>
              <w:pStyle w:val="TableParagraph"/>
              <w:spacing w:line="220" w:lineRule="exact" w:before="0"/>
              <w:ind w:left="735"/>
              <w:jc w:val="left"/>
              <w:rPr>
                <w:sz w:val="20"/>
              </w:rPr>
            </w:pPr>
            <w:r>
              <w:rPr>
                <w:sz w:val="20"/>
              </w:rPr>
              <w:t>12.9</w:t>
            </w:r>
          </w:p>
        </w:tc>
        <w:tc>
          <w:tcPr>
            <w:tcW w:w="1494" w:type="dxa"/>
          </w:tcPr>
          <w:p>
            <w:pPr>
              <w:pStyle w:val="TableParagraph"/>
              <w:spacing w:line="220" w:lineRule="exact" w:before="0"/>
              <w:ind w:left="537"/>
              <w:jc w:val="left"/>
              <w:rPr>
                <w:sz w:val="20"/>
              </w:rPr>
            </w:pPr>
            <w:r>
              <w:rPr>
                <w:sz w:val="20"/>
              </w:rPr>
              <w:t>91.7</w:t>
            </w:r>
          </w:p>
        </w:tc>
      </w:tr>
      <w:tr>
        <w:trPr>
          <w:trHeight w:val="384" w:hRule="atLeast"/>
        </w:trPr>
        <w:tc>
          <w:tcPr>
            <w:tcW w:w="1975" w:type="dxa"/>
          </w:tcPr>
          <w:p>
            <w:pPr>
              <w:pStyle w:val="TableParagraph"/>
              <w:spacing w:line="221" w:lineRule="exact" w:before="0"/>
              <w:ind w:left="226" w:right="243"/>
              <w:rPr>
                <w:sz w:val="20"/>
              </w:rPr>
            </w:pPr>
            <w:r>
              <w:rPr>
                <w:sz w:val="20"/>
              </w:rPr>
              <w:t>d3-N-MeFOSAA</w:t>
            </w:r>
          </w:p>
        </w:tc>
        <w:tc>
          <w:tcPr>
            <w:tcW w:w="1260" w:type="dxa"/>
          </w:tcPr>
          <w:p>
            <w:pPr>
              <w:pStyle w:val="TableParagraph"/>
              <w:spacing w:line="221" w:lineRule="exact" w:before="0"/>
              <w:ind w:left="401" w:right="418"/>
              <w:rPr>
                <w:sz w:val="20"/>
              </w:rPr>
            </w:pPr>
            <w:r>
              <w:rPr>
                <w:sz w:val="20"/>
              </w:rPr>
              <w:t>103</w:t>
            </w:r>
          </w:p>
        </w:tc>
        <w:tc>
          <w:tcPr>
            <w:tcW w:w="2070" w:type="dxa"/>
          </w:tcPr>
          <w:p>
            <w:pPr>
              <w:pStyle w:val="TableParagraph"/>
              <w:spacing w:line="221" w:lineRule="exact" w:before="0"/>
              <w:ind w:left="807" w:right="823"/>
              <w:rPr>
                <w:sz w:val="20"/>
              </w:rPr>
            </w:pPr>
            <w:r>
              <w:rPr>
                <w:sz w:val="20"/>
              </w:rPr>
              <w:t>13.6</w:t>
            </w:r>
          </w:p>
        </w:tc>
        <w:tc>
          <w:tcPr>
            <w:tcW w:w="1511" w:type="dxa"/>
          </w:tcPr>
          <w:p>
            <w:pPr>
              <w:pStyle w:val="TableParagraph"/>
              <w:spacing w:line="221" w:lineRule="exact" w:before="0"/>
              <w:ind w:left="164" w:right="181"/>
              <w:rPr>
                <w:sz w:val="20"/>
              </w:rPr>
            </w:pPr>
            <w:r>
              <w:rPr>
                <w:sz w:val="20"/>
              </w:rPr>
              <w:t>95.8</w:t>
            </w:r>
          </w:p>
        </w:tc>
        <w:tc>
          <w:tcPr>
            <w:tcW w:w="1279" w:type="dxa"/>
          </w:tcPr>
          <w:p>
            <w:pPr>
              <w:pStyle w:val="TableParagraph"/>
              <w:spacing w:line="221" w:lineRule="exact" w:before="0"/>
              <w:ind w:left="409" w:right="428"/>
              <w:rPr>
                <w:sz w:val="20"/>
              </w:rPr>
            </w:pPr>
            <w:r>
              <w:rPr>
                <w:sz w:val="20"/>
              </w:rPr>
              <w:t>8.7</w:t>
            </w:r>
          </w:p>
        </w:tc>
        <w:tc>
          <w:tcPr>
            <w:tcW w:w="1890" w:type="dxa"/>
          </w:tcPr>
          <w:p>
            <w:pPr>
              <w:pStyle w:val="TableParagraph"/>
              <w:spacing w:line="221" w:lineRule="exact" w:before="0"/>
              <w:ind w:left="735"/>
              <w:jc w:val="left"/>
              <w:rPr>
                <w:sz w:val="20"/>
              </w:rPr>
            </w:pPr>
            <w:r>
              <w:rPr>
                <w:sz w:val="20"/>
              </w:rPr>
              <w:t>10.1</w:t>
            </w:r>
          </w:p>
        </w:tc>
        <w:tc>
          <w:tcPr>
            <w:tcW w:w="1494" w:type="dxa"/>
          </w:tcPr>
          <w:p>
            <w:pPr>
              <w:pStyle w:val="TableParagraph"/>
              <w:spacing w:line="221" w:lineRule="exact" w:before="0"/>
              <w:ind w:left="537"/>
              <w:jc w:val="left"/>
              <w:rPr>
                <w:sz w:val="20"/>
              </w:rPr>
            </w:pPr>
            <w:r>
              <w:rPr>
                <w:sz w:val="20"/>
              </w:rPr>
              <w:t>95.8</w:t>
            </w:r>
          </w:p>
        </w:tc>
      </w:tr>
    </w:tbl>
    <w:p>
      <w:pPr>
        <w:spacing w:after="0" w:line="221" w:lineRule="exact"/>
        <w:jc w:val="left"/>
        <w:rPr>
          <w:sz w:val="20"/>
        </w:rPr>
        <w:sectPr>
          <w:pgSz w:w="12240" w:h="15840"/>
          <w:pgMar w:header="0" w:footer="1134" w:top="1140" w:bottom="1320" w:left="260" w:right="260"/>
        </w:sectPr>
      </w:pPr>
    </w:p>
    <w:p>
      <w:pPr>
        <w:pStyle w:val="BodyText"/>
        <w:spacing w:before="70"/>
        <w:ind w:left="1417" w:right="697"/>
        <w:jc w:val="center"/>
      </w:pPr>
      <w:bookmarkStart w:name="TABLE 2B" w:id="288"/>
      <w:bookmarkEnd w:id="288"/>
      <w:r>
        <w:rPr/>
      </w:r>
      <w:bookmarkStart w:name="_bookmark21" w:id="289"/>
      <w:bookmarkEnd w:id="289"/>
      <w:r>
        <w:rPr/>
      </w:r>
      <w:r>
        <w:rPr/>
        <w:t>TABLE 2B</w:t>
      </w:r>
    </w:p>
    <w:p>
      <w:pPr>
        <w:pStyle w:val="BodyText"/>
        <w:spacing w:before="159"/>
        <w:ind w:left="1417" w:right="695"/>
        <w:jc w:val="center"/>
      </w:pPr>
      <w:bookmarkStart w:name="LLOQ VERIFICATION PERFORMANCE FROM MULTI" w:id="290"/>
      <w:bookmarkEnd w:id="290"/>
      <w:r>
        <w:rPr/>
      </w:r>
      <w:bookmarkStart w:name="_bookmark22" w:id="291"/>
      <w:bookmarkEnd w:id="291"/>
      <w:r>
        <w:rPr/>
      </w:r>
      <w:r>
        <w:rPr/>
        <w:t>LLOQ VERIFICATION PERFORMANCE FROM MULTI-LABORATORY VALIDATION</w:t>
      </w:r>
    </w:p>
    <w:p>
      <w:pPr>
        <w:pStyle w:val="BodyText"/>
        <w:spacing w:before="37"/>
        <w:ind w:left="1195" w:right="1196"/>
        <w:jc w:val="center"/>
      </w:pPr>
      <w:r>
        <w:rPr/>
        <w:t>STUDY</w:t>
      </w:r>
    </w:p>
    <w:p>
      <w:pPr>
        <w:pStyle w:val="BodyText"/>
        <w:spacing w:before="3"/>
        <w:rPr>
          <w:sz w:val="24"/>
        </w:rPr>
      </w:pPr>
    </w:p>
    <w:tbl>
      <w:tblPr>
        <w:tblW w:w="0" w:type="auto"/>
        <w:jc w:val="left"/>
        <w:tblInd w:w="1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5"/>
        <w:gridCol w:w="1080"/>
        <w:gridCol w:w="1349"/>
        <w:gridCol w:w="1450"/>
        <w:gridCol w:w="1169"/>
        <w:gridCol w:w="1425"/>
        <w:gridCol w:w="1534"/>
      </w:tblGrid>
      <w:tr>
        <w:trPr>
          <w:trHeight w:val="719" w:hRule="atLeast"/>
        </w:trPr>
        <w:tc>
          <w:tcPr>
            <w:tcW w:w="1345" w:type="dxa"/>
          </w:tcPr>
          <w:p>
            <w:pPr>
              <w:pStyle w:val="TableParagraph"/>
              <w:spacing w:before="2"/>
              <w:jc w:val="left"/>
              <w:rPr>
                <w:sz w:val="32"/>
              </w:rPr>
            </w:pPr>
          </w:p>
          <w:p>
            <w:pPr>
              <w:pStyle w:val="TableParagraph"/>
              <w:spacing w:before="0"/>
              <w:ind w:left="89" w:right="80"/>
              <w:rPr>
                <w:sz w:val="20"/>
              </w:rPr>
            </w:pPr>
            <w:r>
              <w:rPr>
                <w:sz w:val="20"/>
              </w:rPr>
              <w:t>Analyte:</w:t>
            </w:r>
          </w:p>
        </w:tc>
        <w:tc>
          <w:tcPr>
            <w:tcW w:w="3879" w:type="dxa"/>
            <w:gridSpan w:val="3"/>
          </w:tcPr>
          <w:p>
            <w:pPr>
              <w:pStyle w:val="TableParagraph"/>
              <w:spacing w:before="139"/>
              <w:ind w:left="1136" w:right="315" w:hanging="804"/>
              <w:jc w:val="left"/>
              <w:rPr>
                <w:sz w:val="20"/>
              </w:rPr>
            </w:pPr>
            <w:r>
              <w:rPr>
                <w:sz w:val="20"/>
              </w:rPr>
              <w:t>10 ng/L (nom., in 5 mL water) LLOQ verification (n=21)</w:t>
            </w:r>
          </w:p>
        </w:tc>
        <w:tc>
          <w:tcPr>
            <w:tcW w:w="4128" w:type="dxa"/>
            <w:gridSpan w:val="3"/>
          </w:tcPr>
          <w:p>
            <w:pPr>
              <w:pStyle w:val="TableParagraph"/>
              <w:spacing w:before="70"/>
              <w:ind w:left="1259" w:right="441" w:hanging="804"/>
              <w:jc w:val="left"/>
              <w:rPr>
                <w:sz w:val="20"/>
              </w:rPr>
            </w:pPr>
            <w:r>
              <w:rPr>
                <w:sz w:val="20"/>
              </w:rPr>
              <w:t>20 ng/L (nom., in 5 mL water) LLOQ verification (n=18)</w:t>
            </w:r>
          </w:p>
        </w:tc>
      </w:tr>
      <w:tr>
        <w:trPr>
          <w:trHeight w:val="1270" w:hRule="atLeast"/>
        </w:trPr>
        <w:tc>
          <w:tcPr>
            <w:tcW w:w="1345" w:type="dxa"/>
          </w:tcPr>
          <w:p>
            <w:pPr>
              <w:pStyle w:val="TableParagraph"/>
              <w:spacing w:before="0"/>
              <w:jc w:val="left"/>
              <w:rPr>
                <w:rFonts w:ascii="Times New Roman"/>
                <w:sz w:val="20"/>
              </w:rPr>
            </w:pPr>
          </w:p>
        </w:tc>
        <w:tc>
          <w:tcPr>
            <w:tcW w:w="1080" w:type="dxa"/>
          </w:tcPr>
          <w:p>
            <w:pPr>
              <w:pStyle w:val="TableParagraph"/>
              <w:spacing w:before="1"/>
              <w:jc w:val="left"/>
              <w:rPr>
                <w:sz w:val="20"/>
              </w:rPr>
            </w:pPr>
          </w:p>
          <w:p>
            <w:pPr>
              <w:pStyle w:val="TableParagraph"/>
              <w:spacing w:before="0"/>
              <w:ind w:left="116" w:right="104"/>
              <w:rPr>
                <w:sz w:val="20"/>
              </w:rPr>
            </w:pPr>
            <w:r>
              <w:rPr>
                <w:sz w:val="20"/>
              </w:rPr>
              <w:t>Average Recovery (%, non- zero)</w:t>
            </w:r>
          </w:p>
        </w:tc>
        <w:tc>
          <w:tcPr>
            <w:tcW w:w="1349" w:type="dxa"/>
          </w:tcPr>
          <w:p>
            <w:pPr>
              <w:pStyle w:val="TableParagraph"/>
              <w:spacing w:before="0"/>
              <w:ind w:left="145" w:right="134" w:hanging="1"/>
              <w:rPr>
                <w:sz w:val="20"/>
              </w:rPr>
            </w:pPr>
            <w:r>
              <w:rPr>
                <w:sz w:val="20"/>
              </w:rPr>
              <w:t>Standard Deviation of Recovery (%, non- zero)</w:t>
            </w:r>
          </w:p>
        </w:tc>
        <w:tc>
          <w:tcPr>
            <w:tcW w:w="1450" w:type="dxa"/>
          </w:tcPr>
          <w:p>
            <w:pPr>
              <w:pStyle w:val="TableParagraph"/>
              <w:spacing w:before="11"/>
              <w:jc w:val="left"/>
              <w:rPr>
                <w:sz w:val="29"/>
              </w:rPr>
            </w:pPr>
          </w:p>
          <w:p>
            <w:pPr>
              <w:pStyle w:val="TableParagraph"/>
              <w:spacing w:before="0"/>
              <w:ind w:left="147" w:right="141"/>
              <w:rPr>
                <w:rFonts w:ascii="Calibri"/>
                <w:sz w:val="22"/>
              </w:rPr>
            </w:pPr>
            <w:r>
              <w:rPr>
                <w:rFonts w:ascii="Calibri"/>
                <w:sz w:val="22"/>
              </w:rPr>
              <w:t>% within 50-</w:t>
            </w:r>
          </w:p>
          <w:p>
            <w:pPr>
              <w:pStyle w:val="TableParagraph"/>
              <w:spacing w:before="0"/>
              <w:ind w:left="147" w:right="141"/>
              <w:rPr>
                <w:rFonts w:ascii="Calibri"/>
                <w:sz w:val="22"/>
              </w:rPr>
            </w:pPr>
            <w:r>
              <w:rPr>
                <w:rFonts w:ascii="Calibri"/>
                <w:sz w:val="22"/>
              </w:rPr>
              <w:t>150%</w:t>
            </w:r>
          </w:p>
          <w:p>
            <w:pPr>
              <w:pStyle w:val="TableParagraph"/>
              <w:spacing w:before="0"/>
              <w:ind w:left="147" w:right="141"/>
              <w:rPr>
                <w:rFonts w:ascii="Calibri"/>
                <w:sz w:val="22"/>
              </w:rPr>
            </w:pPr>
            <w:r>
              <w:rPr>
                <w:rFonts w:ascii="Calibri"/>
                <w:sz w:val="22"/>
              </w:rPr>
              <w:t>recovery</w:t>
            </w:r>
          </w:p>
        </w:tc>
        <w:tc>
          <w:tcPr>
            <w:tcW w:w="1169" w:type="dxa"/>
          </w:tcPr>
          <w:p>
            <w:pPr>
              <w:pStyle w:val="TableParagraph"/>
              <w:spacing w:before="1"/>
              <w:jc w:val="left"/>
              <w:rPr>
                <w:sz w:val="20"/>
              </w:rPr>
            </w:pPr>
          </w:p>
          <w:p>
            <w:pPr>
              <w:pStyle w:val="TableParagraph"/>
              <w:spacing w:before="0"/>
              <w:ind w:left="199" w:right="188" w:hanging="1"/>
              <w:rPr>
                <w:sz w:val="20"/>
              </w:rPr>
            </w:pPr>
            <w:r>
              <w:rPr>
                <w:sz w:val="20"/>
              </w:rPr>
              <w:t>Average recovery (%, non- zero)</w:t>
            </w:r>
          </w:p>
        </w:tc>
        <w:tc>
          <w:tcPr>
            <w:tcW w:w="1425" w:type="dxa"/>
          </w:tcPr>
          <w:p>
            <w:pPr>
              <w:pStyle w:val="TableParagraph"/>
              <w:spacing w:before="0"/>
              <w:ind w:left="182" w:right="172" w:hanging="1"/>
              <w:rPr>
                <w:sz w:val="20"/>
              </w:rPr>
            </w:pPr>
            <w:r>
              <w:rPr>
                <w:sz w:val="20"/>
              </w:rPr>
              <w:t>Standard Deviation of Recovery (%, non- zero)</w:t>
            </w:r>
          </w:p>
        </w:tc>
        <w:tc>
          <w:tcPr>
            <w:tcW w:w="1534" w:type="dxa"/>
          </w:tcPr>
          <w:p>
            <w:pPr>
              <w:pStyle w:val="TableParagraph"/>
              <w:spacing w:before="11"/>
              <w:jc w:val="left"/>
              <w:rPr>
                <w:sz w:val="29"/>
              </w:rPr>
            </w:pPr>
          </w:p>
          <w:p>
            <w:pPr>
              <w:pStyle w:val="TableParagraph"/>
              <w:spacing w:before="0"/>
              <w:ind w:left="187" w:right="185"/>
              <w:rPr>
                <w:rFonts w:ascii="Calibri"/>
                <w:sz w:val="22"/>
              </w:rPr>
            </w:pPr>
            <w:r>
              <w:rPr>
                <w:rFonts w:ascii="Calibri"/>
                <w:sz w:val="22"/>
              </w:rPr>
              <w:t>% within 50-</w:t>
            </w:r>
          </w:p>
          <w:p>
            <w:pPr>
              <w:pStyle w:val="TableParagraph"/>
              <w:spacing w:before="0"/>
              <w:ind w:left="187" w:right="183"/>
              <w:rPr>
                <w:rFonts w:ascii="Calibri"/>
                <w:sz w:val="22"/>
              </w:rPr>
            </w:pPr>
            <w:r>
              <w:rPr>
                <w:rFonts w:ascii="Calibri"/>
                <w:sz w:val="22"/>
              </w:rPr>
              <w:t>150%</w:t>
            </w:r>
          </w:p>
          <w:p>
            <w:pPr>
              <w:pStyle w:val="TableParagraph"/>
              <w:spacing w:before="0"/>
              <w:ind w:left="187" w:right="183"/>
              <w:rPr>
                <w:rFonts w:ascii="Calibri"/>
                <w:sz w:val="22"/>
              </w:rPr>
            </w:pPr>
            <w:r>
              <w:rPr>
                <w:rFonts w:ascii="Calibri"/>
                <w:sz w:val="22"/>
              </w:rPr>
              <w:t>recovery</w:t>
            </w:r>
          </w:p>
        </w:tc>
      </w:tr>
      <w:tr>
        <w:trPr>
          <w:trHeight w:val="388" w:hRule="atLeast"/>
        </w:trPr>
        <w:tc>
          <w:tcPr>
            <w:tcW w:w="1345" w:type="dxa"/>
          </w:tcPr>
          <w:p>
            <w:pPr>
              <w:pStyle w:val="TableParagraph"/>
              <w:spacing w:before="39"/>
              <w:ind w:left="89" w:right="105"/>
              <w:rPr>
                <w:sz w:val="20"/>
              </w:rPr>
            </w:pPr>
            <w:r>
              <w:rPr>
                <w:sz w:val="20"/>
              </w:rPr>
              <w:t>PFTreA</w:t>
            </w:r>
          </w:p>
        </w:tc>
        <w:tc>
          <w:tcPr>
            <w:tcW w:w="1080" w:type="dxa"/>
          </w:tcPr>
          <w:p>
            <w:pPr>
              <w:pStyle w:val="TableParagraph"/>
              <w:spacing w:before="39"/>
              <w:ind w:left="88" w:right="104"/>
              <w:rPr>
                <w:sz w:val="20"/>
              </w:rPr>
            </w:pPr>
            <w:r>
              <w:rPr>
                <w:sz w:val="20"/>
              </w:rPr>
              <w:t>111.6</w:t>
            </w:r>
          </w:p>
        </w:tc>
        <w:tc>
          <w:tcPr>
            <w:tcW w:w="1349" w:type="dxa"/>
          </w:tcPr>
          <w:p>
            <w:pPr>
              <w:pStyle w:val="TableParagraph"/>
              <w:spacing w:before="39"/>
              <w:ind w:left="335" w:right="351"/>
              <w:rPr>
                <w:sz w:val="20"/>
              </w:rPr>
            </w:pPr>
            <w:r>
              <w:rPr>
                <w:sz w:val="20"/>
              </w:rPr>
              <w:t>25.1</w:t>
            </w:r>
          </w:p>
        </w:tc>
        <w:tc>
          <w:tcPr>
            <w:tcW w:w="1450" w:type="dxa"/>
          </w:tcPr>
          <w:p>
            <w:pPr>
              <w:pStyle w:val="TableParagraph"/>
              <w:spacing w:before="0"/>
              <w:ind w:left="122" w:right="141"/>
              <w:rPr>
                <w:rFonts w:ascii="Calibri"/>
                <w:sz w:val="22"/>
              </w:rPr>
            </w:pPr>
            <w:r>
              <w:rPr>
                <w:rFonts w:ascii="Calibri"/>
                <w:sz w:val="22"/>
              </w:rPr>
              <w:t>81.0</w:t>
            </w:r>
          </w:p>
        </w:tc>
        <w:tc>
          <w:tcPr>
            <w:tcW w:w="1169" w:type="dxa"/>
          </w:tcPr>
          <w:p>
            <w:pPr>
              <w:pStyle w:val="TableParagraph"/>
              <w:spacing w:before="39"/>
              <w:ind w:left="300" w:right="318"/>
              <w:rPr>
                <w:sz w:val="20"/>
              </w:rPr>
            </w:pPr>
            <w:r>
              <w:rPr>
                <w:sz w:val="20"/>
              </w:rPr>
              <w:t>110.2</w:t>
            </w:r>
          </w:p>
        </w:tc>
        <w:tc>
          <w:tcPr>
            <w:tcW w:w="1425" w:type="dxa"/>
          </w:tcPr>
          <w:p>
            <w:pPr>
              <w:pStyle w:val="TableParagraph"/>
              <w:spacing w:before="39"/>
              <w:ind w:left="501"/>
              <w:jc w:val="left"/>
              <w:rPr>
                <w:sz w:val="20"/>
              </w:rPr>
            </w:pPr>
            <w:r>
              <w:rPr>
                <w:sz w:val="20"/>
              </w:rPr>
              <w:t>30.0</w:t>
            </w:r>
          </w:p>
        </w:tc>
        <w:tc>
          <w:tcPr>
            <w:tcW w:w="1534" w:type="dxa"/>
          </w:tcPr>
          <w:p>
            <w:pPr>
              <w:pStyle w:val="TableParagraph"/>
              <w:spacing w:before="0"/>
              <w:ind w:left="554"/>
              <w:jc w:val="left"/>
              <w:rPr>
                <w:rFonts w:ascii="Calibri"/>
                <w:sz w:val="22"/>
              </w:rPr>
            </w:pPr>
            <w:r>
              <w:rPr>
                <w:rFonts w:ascii="Calibri"/>
                <w:sz w:val="22"/>
              </w:rPr>
              <w:t>94.4</w:t>
            </w:r>
          </w:p>
        </w:tc>
      </w:tr>
      <w:tr>
        <w:trPr>
          <w:trHeight w:val="440" w:hRule="atLeast"/>
        </w:trPr>
        <w:tc>
          <w:tcPr>
            <w:tcW w:w="1345" w:type="dxa"/>
          </w:tcPr>
          <w:p>
            <w:pPr>
              <w:pStyle w:val="TableParagraph"/>
              <w:spacing w:before="90"/>
              <w:ind w:left="89" w:right="105"/>
              <w:rPr>
                <w:sz w:val="20"/>
              </w:rPr>
            </w:pPr>
            <w:r>
              <w:rPr>
                <w:sz w:val="20"/>
              </w:rPr>
              <w:t>PFTriA</w:t>
            </w:r>
          </w:p>
        </w:tc>
        <w:tc>
          <w:tcPr>
            <w:tcW w:w="1080" w:type="dxa"/>
          </w:tcPr>
          <w:p>
            <w:pPr>
              <w:pStyle w:val="TableParagraph"/>
              <w:spacing w:before="90"/>
              <w:ind w:left="87" w:right="104"/>
              <w:rPr>
                <w:sz w:val="20"/>
              </w:rPr>
            </w:pPr>
            <w:r>
              <w:rPr>
                <w:sz w:val="20"/>
              </w:rPr>
              <w:t>125.6</w:t>
            </w:r>
          </w:p>
        </w:tc>
        <w:tc>
          <w:tcPr>
            <w:tcW w:w="1349" w:type="dxa"/>
          </w:tcPr>
          <w:p>
            <w:pPr>
              <w:pStyle w:val="TableParagraph"/>
              <w:spacing w:before="90"/>
              <w:ind w:left="335" w:right="351"/>
              <w:rPr>
                <w:sz w:val="20"/>
              </w:rPr>
            </w:pPr>
            <w:r>
              <w:rPr>
                <w:sz w:val="20"/>
              </w:rPr>
              <w:t>53.0</w:t>
            </w:r>
          </w:p>
        </w:tc>
        <w:tc>
          <w:tcPr>
            <w:tcW w:w="1450" w:type="dxa"/>
          </w:tcPr>
          <w:p>
            <w:pPr>
              <w:pStyle w:val="TableParagraph"/>
              <w:spacing w:before="52"/>
              <w:ind w:left="122" w:right="141"/>
              <w:rPr>
                <w:rFonts w:ascii="Calibri"/>
                <w:sz w:val="22"/>
              </w:rPr>
            </w:pPr>
            <w:r>
              <w:rPr>
                <w:rFonts w:ascii="Calibri"/>
                <w:sz w:val="22"/>
              </w:rPr>
              <w:t>71.4</w:t>
            </w:r>
          </w:p>
        </w:tc>
        <w:tc>
          <w:tcPr>
            <w:tcW w:w="1169" w:type="dxa"/>
          </w:tcPr>
          <w:p>
            <w:pPr>
              <w:pStyle w:val="TableParagraph"/>
              <w:spacing w:before="90"/>
              <w:ind w:left="300" w:right="318"/>
              <w:rPr>
                <w:sz w:val="20"/>
              </w:rPr>
            </w:pPr>
            <w:r>
              <w:rPr>
                <w:sz w:val="20"/>
              </w:rPr>
              <w:t>118.2</w:t>
            </w:r>
          </w:p>
        </w:tc>
        <w:tc>
          <w:tcPr>
            <w:tcW w:w="1425" w:type="dxa"/>
          </w:tcPr>
          <w:p>
            <w:pPr>
              <w:pStyle w:val="TableParagraph"/>
              <w:spacing w:before="90"/>
              <w:ind w:left="501"/>
              <w:jc w:val="left"/>
              <w:rPr>
                <w:sz w:val="20"/>
              </w:rPr>
            </w:pPr>
            <w:r>
              <w:rPr>
                <w:sz w:val="20"/>
              </w:rPr>
              <w:t>32.4</w:t>
            </w:r>
          </w:p>
        </w:tc>
        <w:tc>
          <w:tcPr>
            <w:tcW w:w="1534" w:type="dxa"/>
          </w:tcPr>
          <w:p>
            <w:pPr>
              <w:pStyle w:val="TableParagraph"/>
              <w:spacing w:before="52"/>
              <w:ind w:left="554"/>
              <w:jc w:val="left"/>
              <w:rPr>
                <w:rFonts w:ascii="Calibri"/>
                <w:sz w:val="22"/>
              </w:rPr>
            </w:pPr>
            <w:r>
              <w:rPr>
                <w:rFonts w:ascii="Calibri"/>
                <w:sz w:val="22"/>
              </w:rPr>
              <w:t>83.3</w:t>
            </w:r>
          </w:p>
        </w:tc>
      </w:tr>
      <w:tr>
        <w:trPr>
          <w:trHeight w:val="388" w:hRule="atLeast"/>
        </w:trPr>
        <w:tc>
          <w:tcPr>
            <w:tcW w:w="1345" w:type="dxa"/>
          </w:tcPr>
          <w:p>
            <w:pPr>
              <w:pStyle w:val="TableParagraph"/>
              <w:spacing w:before="39"/>
              <w:ind w:left="89" w:right="104"/>
              <w:rPr>
                <w:sz w:val="20"/>
              </w:rPr>
            </w:pPr>
            <w:r>
              <w:rPr>
                <w:sz w:val="20"/>
              </w:rPr>
              <w:t>PFDoA</w:t>
            </w:r>
          </w:p>
        </w:tc>
        <w:tc>
          <w:tcPr>
            <w:tcW w:w="1080" w:type="dxa"/>
          </w:tcPr>
          <w:p>
            <w:pPr>
              <w:pStyle w:val="TableParagraph"/>
              <w:spacing w:before="39"/>
              <w:ind w:left="88" w:right="104"/>
              <w:rPr>
                <w:sz w:val="20"/>
              </w:rPr>
            </w:pPr>
            <w:r>
              <w:rPr>
                <w:sz w:val="20"/>
              </w:rPr>
              <w:t>102.9</w:t>
            </w:r>
          </w:p>
        </w:tc>
        <w:tc>
          <w:tcPr>
            <w:tcW w:w="1349" w:type="dxa"/>
          </w:tcPr>
          <w:p>
            <w:pPr>
              <w:pStyle w:val="TableParagraph"/>
              <w:spacing w:before="39"/>
              <w:ind w:left="336" w:right="351"/>
              <w:rPr>
                <w:sz w:val="20"/>
              </w:rPr>
            </w:pPr>
            <w:r>
              <w:rPr>
                <w:sz w:val="20"/>
              </w:rPr>
              <w:t>29.9</w:t>
            </w:r>
          </w:p>
        </w:tc>
        <w:tc>
          <w:tcPr>
            <w:tcW w:w="1450" w:type="dxa"/>
          </w:tcPr>
          <w:p>
            <w:pPr>
              <w:pStyle w:val="TableParagraph"/>
              <w:spacing w:before="0"/>
              <w:ind w:left="122" w:right="141"/>
              <w:rPr>
                <w:rFonts w:ascii="Calibri"/>
                <w:sz w:val="22"/>
              </w:rPr>
            </w:pPr>
            <w:r>
              <w:rPr>
                <w:rFonts w:ascii="Calibri"/>
                <w:sz w:val="22"/>
              </w:rPr>
              <w:t>81.0</w:t>
            </w:r>
          </w:p>
        </w:tc>
        <w:tc>
          <w:tcPr>
            <w:tcW w:w="1169" w:type="dxa"/>
          </w:tcPr>
          <w:p>
            <w:pPr>
              <w:pStyle w:val="TableParagraph"/>
              <w:spacing w:before="39"/>
              <w:ind w:left="300" w:right="318"/>
              <w:rPr>
                <w:sz w:val="20"/>
              </w:rPr>
            </w:pPr>
            <w:r>
              <w:rPr>
                <w:sz w:val="20"/>
              </w:rPr>
              <w:t>109.3</w:t>
            </w:r>
          </w:p>
        </w:tc>
        <w:tc>
          <w:tcPr>
            <w:tcW w:w="1425" w:type="dxa"/>
          </w:tcPr>
          <w:p>
            <w:pPr>
              <w:pStyle w:val="TableParagraph"/>
              <w:spacing w:before="39"/>
              <w:ind w:left="501"/>
              <w:jc w:val="left"/>
              <w:rPr>
                <w:sz w:val="20"/>
              </w:rPr>
            </w:pPr>
            <w:r>
              <w:rPr>
                <w:sz w:val="20"/>
              </w:rPr>
              <w:t>20.5</w:t>
            </w:r>
          </w:p>
        </w:tc>
        <w:tc>
          <w:tcPr>
            <w:tcW w:w="1534" w:type="dxa"/>
          </w:tcPr>
          <w:p>
            <w:pPr>
              <w:pStyle w:val="TableParagraph"/>
              <w:spacing w:before="0"/>
              <w:ind w:left="554"/>
              <w:jc w:val="left"/>
              <w:rPr>
                <w:rFonts w:ascii="Calibri"/>
                <w:sz w:val="22"/>
              </w:rPr>
            </w:pPr>
            <w:r>
              <w:rPr>
                <w:rFonts w:ascii="Calibri"/>
                <w:sz w:val="22"/>
              </w:rPr>
              <w:t>94.4</w:t>
            </w:r>
          </w:p>
        </w:tc>
      </w:tr>
      <w:tr>
        <w:trPr>
          <w:trHeight w:val="388" w:hRule="atLeast"/>
        </w:trPr>
        <w:tc>
          <w:tcPr>
            <w:tcW w:w="1345" w:type="dxa"/>
          </w:tcPr>
          <w:p>
            <w:pPr>
              <w:pStyle w:val="TableParagraph"/>
              <w:spacing w:before="39"/>
              <w:ind w:left="89" w:right="104"/>
              <w:rPr>
                <w:sz w:val="20"/>
              </w:rPr>
            </w:pPr>
            <w:r>
              <w:rPr>
                <w:sz w:val="20"/>
              </w:rPr>
              <w:t>PFUnA</w:t>
            </w:r>
          </w:p>
        </w:tc>
        <w:tc>
          <w:tcPr>
            <w:tcW w:w="1080" w:type="dxa"/>
          </w:tcPr>
          <w:p>
            <w:pPr>
              <w:pStyle w:val="TableParagraph"/>
              <w:spacing w:before="39"/>
              <w:ind w:left="88" w:right="104"/>
              <w:rPr>
                <w:sz w:val="20"/>
              </w:rPr>
            </w:pPr>
            <w:r>
              <w:rPr>
                <w:sz w:val="20"/>
              </w:rPr>
              <w:t>107.6</w:t>
            </w:r>
          </w:p>
        </w:tc>
        <w:tc>
          <w:tcPr>
            <w:tcW w:w="1349" w:type="dxa"/>
          </w:tcPr>
          <w:p>
            <w:pPr>
              <w:pStyle w:val="TableParagraph"/>
              <w:spacing w:before="39"/>
              <w:ind w:left="336" w:right="351"/>
              <w:rPr>
                <w:sz w:val="20"/>
              </w:rPr>
            </w:pPr>
            <w:r>
              <w:rPr>
                <w:sz w:val="20"/>
              </w:rPr>
              <w:t>27.4</w:t>
            </w:r>
          </w:p>
        </w:tc>
        <w:tc>
          <w:tcPr>
            <w:tcW w:w="1450" w:type="dxa"/>
          </w:tcPr>
          <w:p>
            <w:pPr>
              <w:pStyle w:val="TableParagraph"/>
              <w:spacing w:before="0"/>
              <w:ind w:left="122" w:right="141"/>
              <w:rPr>
                <w:rFonts w:ascii="Calibri"/>
                <w:sz w:val="22"/>
              </w:rPr>
            </w:pPr>
            <w:r>
              <w:rPr>
                <w:rFonts w:ascii="Calibri"/>
                <w:sz w:val="22"/>
              </w:rPr>
              <w:t>81.0</w:t>
            </w:r>
          </w:p>
        </w:tc>
        <w:tc>
          <w:tcPr>
            <w:tcW w:w="1169" w:type="dxa"/>
          </w:tcPr>
          <w:p>
            <w:pPr>
              <w:pStyle w:val="TableParagraph"/>
              <w:spacing w:before="39"/>
              <w:ind w:left="300" w:right="317"/>
              <w:rPr>
                <w:sz w:val="20"/>
              </w:rPr>
            </w:pPr>
            <w:r>
              <w:rPr>
                <w:sz w:val="20"/>
              </w:rPr>
              <w:t>99.9</w:t>
            </w:r>
          </w:p>
        </w:tc>
        <w:tc>
          <w:tcPr>
            <w:tcW w:w="1425" w:type="dxa"/>
          </w:tcPr>
          <w:p>
            <w:pPr>
              <w:pStyle w:val="TableParagraph"/>
              <w:spacing w:before="39"/>
              <w:ind w:left="501"/>
              <w:jc w:val="left"/>
              <w:rPr>
                <w:sz w:val="20"/>
              </w:rPr>
            </w:pPr>
            <w:r>
              <w:rPr>
                <w:sz w:val="20"/>
              </w:rPr>
              <w:t>16.0</w:t>
            </w:r>
          </w:p>
        </w:tc>
        <w:tc>
          <w:tcPr>
            <w:tcW w:w="1534" w:type="dxa"/>
          </w:tcPr>
          <w:p>
            <w:pPr>
              <w:pStyle w:val="TableParagraph"/>
              <w:spacing w:before="0"/>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40"/>
              <w:ind w:left="89" w:right="105"/>
              <w:rPr>
                <w:sz w:val="20"/>
              </w:rPr>
            </w:pPr>
            <w:r>
              <w:rPr>
                <w:sz w:val="20"/>
              </w:rPr>
              <w:t>PFDA</w:t>
            </w:r>
          </w:p>
        </w:tc>
        <w:tc>
          <w:tcPr>
            <w:tcW w:w="1080" w:type="dxa"/>
          </w:tcPr>
          <w:p>
            <w:pPr>
              <w:pStyle w:val="TableParagraph"/>
              <w:spacing w:before="40"/>
              <w:ind w:left="89" w:right="104"/>
              <w:rPr>
                <w:sz w:val="20"/>
              </w:rPr>
            </w:pPr>
            <w:r>
              <w:rPr>
                <w:sz w:val="20"/>
              </w:rPr>
              <w:t>96.8</w:t>
            </w:r>
          </w:p>
        </w:tc>
        <w:tc>
          <w:tcPr>
            <w:tcW w:w="1349" w:type="dxa"/>
          </w:tcPr>
          <w:p>
            <w:pPr>
              <w:pStyle w:val="TableParagraph"/>
              <w:spacing w:before="40"/>
              <w:ind w:left="334" w:right="351"/>
              <w:rPr>
                <w:sz w:val="20"/>
              </w:rPr>
            </w:pPr>
            <w:r>
              <w:rPr>
                <w:sz w:val="20"/>
              </w:rPr>
              <w:t>26.3</w:t>
            </w:r>
          </w:p>
        </w:tc>
        <w:tc>
          <w:tcPr>
            <w:tcW w:w="1450" w:type="dxa"/>
          </w:tcPr>
          <w:p>
            <w:pPr>
              <w:pStyle w:val="TableParagraph"/>
              <w:spacing w:before="0"/>
              <w:ind w:left="122" w:right="141"/>
              <w:rPr>
                <w:rFonts w:ascii="Calibri"/>
                <w:sz w:val="22"/>
              </w:rPr>
            </w:pPr>
            <w:r>
              <w:rPr>
                <w:rFonts w:ascii="Calibri"/>
                <w:sz w:val="22"/>
              </w:rPr>
              <w:t>85.7</w:t>
            </w:r>
          </w:p>
        </w:tc>
        <w:tc>
          <w:tcPr>
            <w:tcW w:w="1169" w:type="dxa"/>
          </w:tcPr>
          <w:p>
            <w:pPr>
              <w:pStyle w:val="TableParagraph"/>
              <w:spacing w:before="40"/>
              <w:ind w:left="300" w:right="318"/>
              <w:rPr>
                <w:sz w:val="20"/>
              </w:rPr>
            </w:pPr>
            <w:r>
              <w:rPr>
                <w:sz w:val="20"/>
              </w:rPr>
              <w:t>103.1</w:t>
            </w:r>
          </w:p>
        </w:tc>
        <w:tc>
          <w:tcPr>
            <w:tcW w:w="1425" w:type="dxa"/>
          </w:tcPr>
          <w:p>
            <w:pPr>
              <w:pStyle w:val="TableParagraph"/>
              <w:spacing w:before="40"/>
              <w:ind w:left="501"/>
              <w:jc w:val="left"/>
              <w:rPr>
                <w:sz w:val="20"/>
              </w:rPr>
            </w:pPr>
            <w:r>
              <w:rPr>
                <w:sz w:val="20"/>
              </w:rPr>
              <w:t>19.5</w:t>
            </w:r>
          </w:p>
        </w:tc>
        <w:tc>
          <w:tcPr>
            <w:tcW w:w="1534" w:type="dxa"/>
          </w:tcPr>
          <w:p>
            <w:pPr>
              <w:pStyle w:val="TableParagraph"/>
              <w:spacing w:before="0"/>
              <w:ind w:left="554"/>
              <w:jc w:val="left"/>
              <w:rPr>
                <w:rFonts w:ascii="Calibri"/>
                <w:sz w:val="22"/>
              </w:rPr>
            </w:pPr>
            <w:r>
              <w:rPr>
                <w:rFonts w:ascii="Calibri"/>
                <w:sz w:val="22"/>
              </w:rPr>
              <w:t>94.4</w:t>
            </w:r>
          </w:p>
        </w:tc>
      </w:tr>
      <w:tr>
        <w:trPr>
          <w:trHeight w:val="388" w:hRule="atLeast"/>
        </w:trPr>
        <w:tc>
          <w:tcPr>
            <w:tcW w:w="1345" w:type="dxa"/>
          </w:tcPr>
          <w:p>
            <w:pPr>
              <w:pStyle w:val="TableParagraph"/>
              <w:spacing w:before="40"/>
              <w:ind w:left="89" w:right="105"/>
              <w:rPr>
                <w:sz w:val="20"/>
              </w:rPr>
            </w:pPr>
            <w:r>
              <w:rPr>
                <w:sz w:val="20"/>
              </w:rPr>
              <w:t>PFNA</w:t>
            </w:r>
          </w:p>
        </w:tc>
        <w:tc>
          <w:tcPr>
            <w:tcW w:w="1080" w:type="dxa"/>
          </w:tcPr>
          <w:p>
            <w:pPr>
              <w:pStyle w:val="TableParagraph"/>
              <w:spacing w:before="40"/>
              <w:ind w:left="88" w:right="104"/>
              <w:rPr>
                <w:sz w:val="20"/>
              </w:rPr>
            </w:pPr>
            <w:r>
              <w:rPr>
                <w:sz w:val="20"/>
              </w:rPr>
              <w:t>100.1</w:t>
            </w:r>
          </w:p>
        </w:tc>
        <w:tc>
          <w:tcPr>
            <w:tcW w:w="1349" w:type="dxa"/>
          </w:tcPr>
          <w:p>
            <w:pPr>
              <w:pStyle w:val="TableParagraph"/>
              <w:spacing w:before="40"/>
              <w:ind w:left="334" w:right="351"/>
              <w:rPr>
                <w:sz w:val="20"/>
              </w:rPr>
            </w:pPr>
            <w:r>
              <w:rPr>
                <w:sz w:val="20"/>
              </w:rPr>
              <w:t>26.1</w:t>
            </w:r>
          </w:p>
        </w:tc>
        <w:tc>
          <w:tcPr>
            <w:tcW w:w="1450" w:type="dxa"/>
          </w:tcPr>
          <w:p>
            <w:pPr>
              <w:pStyle w:val="TableParagraph"/>
              <w:spacing w:before="1"/>
              <w:ind w:left="122" w:right="141"/>
              <w:rPr>
                <w:rFonts w:ascii="Calibri"/>
                <w:sz w:val="22"/>
              </w:rPr>
            </w:pPr>
            <w:r>
              <w:rPr>
                <w:rFonts w:ascii="Calibri"/>
                <w:sz w:val="22"/>
              </w:rPr>
              <w:t>90.5</w:t>
            </w:r>
          </w:p>
        </w:tc>
        <w:tc>
          <w:tcPr>
            <w:tcW w:w="1169" w:type="dxa"/>
          </w:tcPr>
          <w:p>
            <w:pPr>
              <w:pStyle w:val="TableParagraph"/>
              <w:spacing w:before="40"/>
              <w:ind w:left="300" w:right="317"/>
              <w:rPr>
                <w:sz w:val="20"/>
              </w:rPr>
            </w:pPr>
            <w:r>
              <w:rPr>
                <w:sz w:val="20"/>
              </w:rPr>
              <w:t>99.7</w:t>
            </w:r>
          </w:p>
        </w:tc>
        <w:tc>
          <w:tcPr>
            <w:tcW w:w="1425" w:type="dxa"/>
          </w:tcPr>
          <w:p>
            <w:pPr>
              <w:pStyle w:val="TableParagraph"/>
              <w:spacing w:before="40"/>
              <w:ind w:left="501"/>
              <w:jc w:val="left"/>
              <w:rPr>
                <w:sz w:val="20"/>
              </w:rPr>
            </w:pPr>
            <w:r>
              <w:rPr>
                <w:sz w:val="20"/>
              </w:rPr>
              <w:t>14.1</w:t>
            </w:r>
          </w:p>
        </w:tc>
        <w:tc>
          <w:tcPr>
            <w:tcW w:w="1534" w:type="dxa"/>
          </w:tcPr>
          <w:p>
            <w:pPr>
              <w:pStyle w:val="TableParagraph"/>
              <w:spacing w:before="1"/>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40"/>
              <w:ind w:left="88" w:right="105"/>
              <w:rPr>
                <w:sz w:val="20"/>
              </w:rPr>
            </w:pPr>
            <w:r>
              <w:rPr>
                <w:sz w:val="20"/>
              </w:rPr>
              <w:t>PFOA</w:t>
            </w:r>
          </w:p>
        </w:tc>
        <w:tc>
          <w:tcPr>
            <w:tcW w:w="1080" w:type="dxa"/>
          </w:tcPr>
          <w:p>
            <w:pPr>
              <w:pStyle w:val="TableParagraph"/>
              <w:spacing w:before="40"/>
              <w:ind w:left="88" w:right="104"/>
              <w:rPr>
                <w:sz w:val="20"/>
              </w:rPr>
            </w:pPr>
            <w:r>
              <w:rPr>
                <w:sz w:val="20"/>
              </w:rPr>
              <w:t>100.7</w:t>
            </w:r>
          </w:p>
        </w:tc>
        <w:tc>
          <w:tcPr>
            <w:tcW w:w="1349" w:type="dxa"/>
          </w:tcPr>
          <w:p>
            <w:pPr>
              <w:pStyle w:val="TableParagraph"/>
              <w:spacing w:before="40"/>
              <w:ind w:left="336" w:right="351"/>
              <w:rPr>
                <w:sz w:val="20"/>
              </w:rPr>
            </w:pPr>
            <w:r>
              <w:rPr>
                <w:sz w:val="20"/>
              </w:rPr>
              <w:t>26.8</w:t>
            </w:r>
          </w:p>
        </w:tc>
        <w:tc>
          <w:tcPr>
            <w:tcW w:w="1450" w:type="dxa"/>
          </w:tcPr>
          <w:p>
            <w:pPr>
              <w:pStyle w:val="TableParagraph"/>
              <w:spacing w:before="1"/>
              <w:ind w:left="122" w:right="141"/>
              <w:rPr>
                <w:rFonts w:ascii="Calibri"/>
                <w:sz w:val="22"/>
              </w:rPr>
            </w:pPr>
            <w:r>
              <w:rPr>
                <w:rFonts w:ascii="Calibri"/>
                <w:sz w:val="22"/>
              </w:rPr>
              <w:t>85.7</w:t>
            </w:r>
          </w:p>
        </w:tc>
        <w:tc>
          <w:tcPr>
            <w:tcW w:w="1169" w:type="dxa"/>
          </w:tcPr>
          <w:p>
            <w:pPr>
              <w:pStyle w:val="TableParagraph"/>
              <w:spacing w:before="40"/>
              <w:ind w:left="300" w:right="317"/>
              <w:rPr>
                <w:sz w:val="20"/>
              </w:rPr>
            </w:pPr>
            <w:r>
              <w:rPr>
                <w:sz w:val="20"/>
              </w:rPr>
              <w:t>99.5</w:t>
            </w:r>
          </w:p>
        </w:tc>
        <w:tc>
          <w:tcPr>
            <w:tcW w:w="1425" w:type="dxa"/>
          </w:tcPr>
          <w:p>
            <w:pPr>
              <w:pStyle w:val="TableParagraph"/>
              <w:spacing w:before="40"/>
              <w:ind w:left="501"/>
              <w:jc w:val="left"/>
              <w:rPr>
                <w:sz w:val="20"/>
              </w:rPr>
            </w:pPr>
            <w:r>
              <w:rPr>
                <w:sz w:val="20"/>
              </w:rPr>
              <w:t>16.3</w:t>
            </w:r>
          </w:p>
        </w:tc>
        <w:tc>
          <w:tcPr>
            <w:tcW w:w="1534" w:type="dxa"/>
          </w:tcPr>
          <w:p>
            <w:pPr>
              <w:pStyle w:val="TableParagraph"/>
              <w:spacing w:before="1"/>
              <w:ind w:left="581"/>
              <w:jc w:val="left"/>
              <w:rPr>
                <w:rFonts w:ascii="Calibri"/>
                <w:sz w:val="22"/>
              </w:rPr>
            </w:pPr>
            <w:r>
              <w:rPr>
                <w:rFonts w:ascii="Calibri"/>
                <w:sz w:val="22"/>
              </w:rPr>
              <w:t>100</w:t>
            </w:r>
          </w:p>
        </w:tc>
      </w:tr>
      <w:tr>
        <w:trPr>
          <w:trHeight w:val="389" w:hRule="atLeast"/>
        </w:trPr>
        <w:tc>
          <w:tcPr>
            <w:tcW w:w="1345" w:type="dxa"/>
          </w:tcPr>
          <w:p>
            <w:pPr>
              <w:pStyle w:val="TableParagraph"/>
              <w:spacing w:before="40"/>
              <w:ind w:left="89" w:right="104"/>
              <w:rPr>
                <w:sz w:val="20"/>
              </w:rPr>
            </w:pPr>
            <w:r>
              <w:rPr>
                <w:sz w:val="20"/>
              </w:rPr>
              <w:t>PFHpA</w:t>
            </w:r>
          </w:p>
        </w:tc>
        <w:tc>
          <w:tcPr>
            <w:tcW w:w="1080" w:type="dxa"/>
          </w:tcPr>
          <w:p>
            <w:pPr>
              <w:pStyle w:val="TableParagraph"/>
              <w:spacing w:before="40"/>
              <w:ind w:left="89" w:right="104"/>
              <w:rPr>
                <w:sz w:val="20"/>
              </w:rPr>
            </w:pPr>
            <w:r>
              <w:rPr>
                <w:sz w:val="20"/>
              </w:rPr>
              <w:t>93.2</w:t>
            </w:r>
          </w:p>
        </w:tc>
        <w:tc>
          <w:tcPr>
            <w:tcW w:w="1349" w:type="dxa"/>
          </w:tcPr>
          <w:p>
            <w:pPr>
              <w:pStyle w:val="TableParagraph"/>
              <w:spacing w:before="40"/>
              <w:ind w:left="336" w:right="351"/>
              <w:rPr>
                <w:sz w:val="20"/>
              </w:rPr>
            </w:pPr>
            <w:r>
              <w:rPr>
                <w:sz w:val="20"/>
              </w:rPr>
              <w:t>15.7</w:t>
            </w:r>
          </w:p>
        </w:tc>
        <w:tc>
          <w:tcPr>
            <w:tcW w:w="1450" w:type="dxa"/>
          </w:tcPr>
          <w:p>
            <w:pPr>
              <w:pStyle w:val="TableParagraph"/>
              <w:spacing w:before="1"/>
              <w:ind w:left="123" w:right="141"/>
              <w:rPr>
                <w:rFonts w:ascii="Calibri"/>
                <w:sz w:val="22"/>
              </w:rPr>
            </w:pPr>
            <w:r>
              <w:rPr>
                <w:rFonts w:ascii="Calibri"/>
                <w:sz w:val="22"/>
              </w:rPr>
              <w:t>100</w:t>
            </w:r>
          </w:p>
        </w:tc>
        <w:tc>
          <w:tcPr>
            <w:tcW w:w="1169" w:type="dxa"/>
          </w:tcPr>
          <w:p>
            <w:pPr>
              <w:pStyle w:val="TableParagraph"/>
              <w:spacing w:before="40"/>
              <w:ind w:left="300" w:right="317"/>
              <w:rPr>
                <w:sz w:val="20"/>
              </w:rPr>
            </w:pPr>
            <w:r>
              <w:rPr>
                <w:sz w:val="20"/>
              </w:rPr>
              <w:t>99.5</w:t>
            </w:r>
          </w:p>
        </w:tc>
        <w:tc>
          <w:tcPr>
            <w:tcW w:w="1425" w:type="dxa"/>
          </w:tcPr>
          <w:p>
            <w:pPr>
              <w:pStyle w:val="TableParagraph"/>
              <w:spacing w:before="40"/>
              <w:ind w:left="501"/>
              <w:jc w:val="left"/>
              <w:rPr>
                <w:sz w:val="20"/>
              </w:rPr>
            </w:pPr>
            <w:r>
              <w:rPr>
                <w:sz w:val="20"/>
              </w:rPr>
              <w:t>13.8</w:t>
            </w:r>
          </w:p>
        </w:tc>
        <w:tc>
          <w:tcPr>
            <w:tcW w:w="1534" w:type="dxa"/>
          </w:tcPr>
          <w:p>
            <w:pPr>
              <w:pStyle w:val="TableParagraph"/>
              <w:spacing w:before="1"/>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39"/>
              <w:ind w:left="87" w:right="105"/>
              <w:rPr>
                <w:sz w:val="20"/>
              </w:rPr>
            </w:pPr>
            <w:r>
              <w:rPr>
                <w:sz w:val="20"/>
              </w:rPr>
              <w:t>PFHxA</w:t>
            </w:r>
          </w:p>
        </w:tc>
        <w:tc>
          <w:tcPr>
            <w:tcW w:w="1080" w:type="dxa"/>
          </w:tcPr>
          <w:p>
            <w:pPr>
              <w:pStyle w:val="TableParagraph"/>
              <w:spacing w:before="39"/>
              <w:ind w:left="89" w:right="104"/>
              <w:rPr>
                <w:sz w:val="20"/>
              </w:rPr>
            </w:pPr>
            <w:r>
              <w:rPr>
                <w:sz w:val="20"/>
              </w:rPr>
              <w:t>99.1</w:t>
            </w:r>
          </w:p>
        </w:tc>
        <w:tc>
          <w:tcPr>
            <w:tcW w:w="1349" w:type="dxa"/>
          </w:tcPr>
          <w:p>
            <w:pPr>
              <w:pStyle w:val="TableParagraph"/>
              <w:spacing w:before="39"/>
              <w:ind w:left="336" w:right="351"/>
              <w:rPr>
                <w:sz w:val="20"/>
              </w:rPr>
            </w:pPr>
            <w:r>
              <w:rPr>
                <w:sz w:val="20"/>
              </w:rPr>
              <w:t>41.6</w:t>
            </w:r>
          </w:p>
        </w:tc>
        <w:tc>
          <w:tcPr>
            <w:tcW w:w="1450" w:type="dxa"/>
          </w:tcPr>
          <w:p>
            <w:pPr>
              <w:pStyle w:val="TableParagraph"/>
              <w:spacing w:before="0"/>
              <w:ind w:left="122" w:right="141"/>
              <w:rPr>
                <w:rFonts w:ascii="Calibri"/>
                <w:sz w:val="22"/>
              </w:rPr>
            </w:pPr>
            <w:r>
              <w:rPr>
                <w:rFonts w:ascii="Calibri"/>
                <w:sz w:val="22"/>
              </w:rPr>
              <w:t>85.7</w:t>
            </w:r>
          </w:p>
        </w:tc>
        <w:tc>
          <w:tcPr>
            <w:tcW w:w="1169" w:type="dxa"/>
          </w:tcPr>
          <w:p>
            <w:pPr>
              <w:pStyle w:val="TableParagraph"/>
              <w:spacing w:before="39"/>
              <w:ind w:left="300" w:right="317"/>
              <w:rPr>
                <w:sz w:val="20"/>
              </w:rPr>
            </w:pPr>
            <w:r>
              <w:rPr>
                <w:sz w:val="20"/>
              </w:rPr>
              <w:t>94.9</w:t>
            </w:r>
          </w:p>
        </w:tc>
        <w:tc>
          <w:tcPr>
            <w:tcW w:w="1425" w:type="dxa"/>
          </w:tcPr>
          <w:p>
            <w:pPr>
              <w:pStyle w:val="TableParagraph"/>
              <w:spacing w:before="39"/>
              <w:ind w:left="501"/>
              <w:jc w:val="left"/>
              <w:rPr>
                <w:sz w:val="20"/>
              </w:rPr>
            </w:pPr>
            <w:r>
              <w:rPr>
                <w:sz w:val="20"/>
              </w:rPr>
              <w:t>17.6</w:t>
            </w:r>
          </w:p>
        </w:tc>
        <w:tc>
          <w:tcPr>
            <w:tcW w:w="1534" w:type="dxa"/>
          </w:tcPr>
          <w:p>
            <w:pPr>
              <w:pStyle w:val="TableParagraph"/>
              <w:spacing w:before="0"/>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39"/>
              <w:ind w:left="88" w:right="105"/>
              <w:rPr>
                <w:sz w:val="20"/>
              </w:rPr>
            </w:pPr>
            <w:r>
              <w:rPr>
                <w:sz w:val="20"/>
              </w:rPr>
              <w:t>PFPeA</w:t>
            </w:r>
          </w:p>
        </w:tc>
        <w:tc>
          <w:tcPr>
            <w:tcW w:w="1080" w:type="dxa"/>
          </w:tcPr>
          <w:p>
            <w:pPr>
              <w:pStyle w:val="TableParagraph"/>
              <w:spacing w:before="39"/>
              <w:ind w:left="87" w:right="104"/>
              <w:rPr>
                <w:sz w:val="20"/>
              </w:rPr>
            </w:pPr>
            <w:r>
              <w:rPr>
                <w:sz w:val="20"/>
              </w:rPr>
              <w:t>102.7</w:t>
            </w:r>
          </w:p>
        </w:tc>
        <w:tc>
          <w:tcPr>
            <w:tcW w:w="1349" w:type="dxa"/>
          </w:tcPr>
          <w:p>
            <w:pPr>
              <w:pStyle w:val="TableParagraph"/>
              <w:spacing w:before="39"/>
              <w:ind w:left="335" w:right="351"/>
              <w:rPr>
                <w:sz w:val="20"/>
              </w:rPr>
            </w:pPr>
            <w:r>
              <w:rPr>
                <w:sz w:val="20"/>
              </w:rPr>
              <w:t>36.2</w:t>
            </w:r>
          </w:p>
        </w:tc>
        <w:tc>
          <w:tcPr>
            <w:tcW w:w="1450" w:type="dxa"/>
          </w:tcPr>
          <w:p>
            <w:pPr>
              <w:pStyle w:val="TableParagraph"/>
              <w:spacing w:before="0"/>
              <w:ind w:left="122" w:right="141"/>
              <w:rPr>
                <w:rFonts w:ascii="Calibri"/>
                <w:sz w:val="22"/>
              </w:rPr>
            </w:pPr>
            <w:r>
              <w:rPr>
                <w:rFonts w:ascii="Calibri"/>
                <w:sz w:val="22"/>
              </w:rPr>
              <w:t>85.7</w:t>
            </w:r>
          </w:p>
        </w:tc>
        <w:tc>
          <w:tcPr>
            <w:tcW w:w="1169" w:type="dxa"/>
          </w:tcPr>
          <w:p>
            <w:pPr>
              <w:pStyle w:val="TableParagraph"/>
              <w:spacing w:before="39"/>
              <w:ind w:left="300" w:right="317"/>
              <w:rPr>
                <w:sz w:val="20"/>
              </w:rPr>
            </w:pPr>
            <w:r>
              <w:rPr>
                <w:sz w:val="20"/>
              </w:rPr>
              <w:t>99.1</w:t>
            </w:r>
          </w:p>
        </w:tc>
        <w:tc>
          <w:tcPr>
            <w:tcW w:w="1425" w:type="dxa"/>
          </w:tcPr>
          <w:p>
            <w:pPr>
              <w:pStyle w:val="TableParagraph"/>
              <w:spacing w:before="39"/>
              <w:ind w:left="501"/>
              <w:jc w:val="left"/>
              <w:rPr>
                <w:sz w:val="20"/>
              </w:rPr>
            </w:pPr>
            <w:r>
              <w:rPr>
                <w:sz w:val="20"/>
              </w:rPr>
              <w:t>13.2</w:t>
            </w:r>
          </w:p>
        </w:tc>
        <w:tc>
          <w:tcPr>
            <w:tcW w:w="1534" w:type="dxa"/>
          </w:tcPr>
          <w:p>
            <w:pPr>
              <w:pStyle w:val="TableParagraph"/>
              <w:spacing w:before="0"/>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39"/>
              <w:ind w:left="89" w:right="105"/>
              <w:rPr>
                <w:sz w:val="20"/>
              </w:rPr>
            </w:pPr>
            <w:r>
              <w:rPr>
                <w:sz w:val="20"/>
              </w:rPr>
              <w:t>PFBA</w:t>
            </w:r>
          </w:p>
        </w:tc>
        <w:tc>
          <w:tcPr>
            <w:tcW w:w="1080" w:type="dxa"/>
          </w:tcPr>
          <w:p>
            <w:pPr>
              <w:pStyle w:val="TableParagraph"/>
              <w:spacing w:before="39"/>
              <w:ind w:left="89" w:right="104"/>
              <w:rPr>
                <w:sz w:val="20"/>
              </w:rPr>
            </w:pPr>
            <w:r>
              <w:rPr>
                <w:sz w:val="20"/>
              </w:rPr>
              <w:t>89.1</w:t>
            </w:r>
          </w:p>
        </w:tc>
        <w:tc>
          <w:tcPr>
            <w:tcW w:w="1349" w:type="dxa"/>
          </w:tcPr>
          <w:p>
            <w:pPr>
              <w:pStyle w:val="TableParagraph"/>
              <w:spacing w:before="39"/>
              <w:ind w:left="336" w:right="351"/>
              <w:rPr>
                <w:sz w:val="20"/>
              </w:rPr>
            </w:pPr>
            <w:r>
              <w:rPr>
                <w:sz w:val="20"/>
              </w:rPr>
              <w:t>27.4</w:t>
            </w:r>
          </w:p>
        </w:tc>
        <w:tc>
          <w:tcPr>
            <w:tcW w:w="1450" w:type="dxa"/>
          </w:tcPr>
          <w:p>
            <w:pPr>
              <w:pStyle w:val="TableParagraph"/>
              <w:spacing w:before="0"/>
              <w:ind w:left="122" w:right="141"/>
              <w:rPr>
                <w:rFonts w:ascii="Calibri"/>
                <w:sz w:val="22"/>
              </w:rPr>
            </w:pPr>
            <w:r>
              <w:rPr>
                <w:rFonts w:ascii="Calibri"/>
                <w:sz w:val="22"/>
              </w:rPr>
              <w:t>85.7</w:t>
            </w:r>
          </w:p>
        </w:tc>
        <w:tc>
          <w:tcPr>
            <w:tcW w:w="1169" w:type="dxa"/>
          </w:tcPr>
          <w:p>
            <w:pPr>
              <w:pStyle w:val="TableParagraph"/>
              <w:spacing w:before="39"/>
              <w:ind w:left="300" w:right="317"/>
              <w:rPr>
                <w:sz w:val="20"/>
              </w:rPr>
            </w:pPr>
            <w:r>
              <w:rPr>
                <w:sz w:val="20"/>
              </w:rPr>
              <w:t>95.2</w:t>
            </w:r>
          </w:p>
        </w:tc>
        <w:tc>
          <w:tcPr>
            <w:tcW w:w="1425" w:type="dxa"/>
          </w:tcPr>
          <w:p>
            <w:pPr>
              <w:pStyle w:val="TableParagraph"/>
              <w:spacing w:before="39"/>
              <w:ind w:left="502"/>
              <w:jc w:val="left"/>
              <w:rPr>
                <w:sz w:val="20"/>
              </w:rPr>
            </w:pPr>
            <w:r>
              <w:rPr>
                <w:sz w:val="20"/>
              </w:rPr>
              <w:t>20.6</w:t>
            </w:r>
          </w:p>
        </w:tc>
        <w:tc>
          <w:tcPr>
            <w:tcW w:w="1534" w:type="dxa"/>
          </w:tcPr>
          <w:p>
            <w:pPr>
              <w:pStyle w:val="TableParagraph"/>
              <w:spacing w:before="0"/>
              <w:ind w:left="554"/>
              <w:jc w:val="left"/>
              <w:rPr>
                <w:rFonts w:ascii="Calibri"/>
                <w:sz w:val="22"/>
              </w:rPr>
            </w:pPr>
            <w:r>
              <w:rPr>
                <w:rFonts w:ascii="Calibri"/>
                <w:sz w:val="22"/>
              </w:rPr>
              <w:t>94.4</w:t>
            </w:r>
          </w:p>
        </w:tc>
      </w:tr>
      <w:tr>
        <w:trPr>
          <w:trHeight w:val="388" w:hRule="atLeast"/>
        </w:trPr>
        <w:tc>
          <w:tcPr>
            <w:tcW w:w="1345" w:type="dxa"/>
          </w:tcPr>
          <w:p>
            <w:pPr>
              <w:pStyle w:val="TableParagraph"/>
              <w:spacing w:before="39"/>
              <w:ind w:left="89" w:right="105"/>
              <w:rPr>
                <w:sz w:val="20"/>
              </w:rPr>
            </w:pPr>
            <w:r>
              <w:rPr>
                <w:sz w:val="20"/>
              </w:rPr>
              <w:t>PFDS</w:t>
            </w:r>
          </w:p>
        </w:tc>
        <w:tc>
          <w:tcPr>
            <w:tcW w:w="1080" w:type="dxa"/>
          </w:tcPr>
          <w:p>
            <w:pPr>
              <w:pStyle w:val="TableParagraph"/>
              <w:spacing w:before="39"/>
              <w:ind w:left="88" w:right="104"/>
              <w:rPr>
                <w:sz w:val="20"/>
              </w:rPr>
            </w:pPr>
            <w:r>
              <w:rPr>
                <w:sz w:val="20"/>
              </w:rPr>
              <w:t>104.9</w:t>
            </w:r>
          </w:p>
        </w:tc>
        <w:tc>
          <w:tcPr>
            <w:tcW w:w="1349" w:type="dxa"/>
          </w:tcPr>
          <w:p>
            <w:pPr>
              <w:pStyle w:val="TableParagraph"/>
              <w:spacing w:before="39"/>
              <w:ind w:left="334" w:right="351"/>
              <w:rPr>
                <w:sz w:val="20"/>
              </w:rPr>
            </w:pPr>
            <w:r>
              <w:rPr>
                <w:sz w:val="20"/>
              </w:rPr>
              <w:t>24.6</w:t>
            </w:r>
          </w:p>
        </w:tc>
        <w:tc>
          <w:tcPr>
            <w:tcW w:w="1450" w:type="dxa"/>
          </w:tcPr>
          <w:p>
            <w:pPr>
              <w:pStyle w:val="TableParagraph"/>
              <w:spacing w:before="0"/>
              <w:ind w:left="122" w:right="141"/>
              <w:rPr>
                <w:rFonts w:ascii="Calibri"/>
                <w:sz w:val="22"/>
              </w:rPr>
            </w:pPr>
            <w:r>
              <w:rPr>
                <w:rFonts w:ascii="Calibri"/>
                <w:sz w:val="22"/>
              </w:rPr>
              <w:t>81.0</w:t>
            </w:r>
          </w:p>
        </w:tc>
        <w:tc>
          <w:tcPr>
            <w:tcW w:w="1169" w:type="dxa"/>
          </w:tcPr>
          <w:p>
            <w:pPr>
              <w:pStyle w:val="TableParagraph"/>
              <w:spacing w:before="39"/>
              <w:ind w:left="300" w:right="318"/>
              <w:rPr>
                <w:sz w:val="20"/>
              </w:rPr>
            </w:pPr>
            <w:r>
              <w:rPr>
                <w:sz w:val="20"/>
              </w:rPr>
              <w:t>100.4</w:t>
            </w:r>
          </w:p>
        </w:tc>
        <w:tc>
          <w:tcPr>
            <w:tcW w:w="1425" w:type="dxa"/>
          </w:tcPr>
          <w:p>
            <w:pPr>
              <w:pStyle w:val="TableParagraph"/>
              <w:spacing w:before="39"/>
              <w:ind w:left="501"/>
              <w:jc w:val="left"/>
              <w:rPr>
                <w:sz w:val="20"/>
              </w:rPr>
            </w:pPr>
            <w:r>
              <w:rPr>
                <w:sz w:val="20"/>
              </w:rPr>
              <w:t>24.2</w:t>
            </w:r>
          </w:p>
        </w:tc>
        <w:tc>
          <w:tcPr>
            <w:tcW w:w="1534" w:type="dxa"/>
          </w:tcPr>
          <w:p>
            <w:pPr>
              <w:pStyle w:val="TableParagraph"/>
              <w:spacing w:before="0"/>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40"/>
              <w:ind w:left="89" w:right="105"/>
              <w:rPr>
                <w:sz w:val="20"/>
              </w:rPr>
            </w:pPr>
            <w:r>
              <w:rPr>
                <w:sz w:val="20"/>
              </w:rPr>
              <w:t>PFNS</w:t>
            </w:r>
          </w:p>
        </w:tc>
        <w:tc>
          <w:tcPr>
            <w:tcW w:w="1080" w:type="dxa"/>
          </w:tcPr>
          <w:p>
            <w:pPr>
              <w:pStyle w:val="TableParagraph"/>
              <w:spacing w:before="40"/>
              <w:ind w:left="88" w:right="104"/>
              <w:rPr>
                <w:sz w:val="20"/>
              </w:rPr>
            </w:pPr>
            <w:r>
              <w:rPr>
                <w:sz w:val="20"/>
              </w:rPr>
              <w:t>102.3</w:t>
            </w:r>
          </w:p>
        </w:tc>
        <w:tc>
          <w:tcPr>
            <w:tcW w:w="1349" w:type="dxa"/>
          </w:tcPr>
          <w:p>
            <w:pPr>
              <w:pStyle w:val="TableParagraph"/>
              <w:spacing w:before="40"/>
              <w:ind w:left="334" w:right="351"/>
              <w:rPr>
                <w:sz w:val="20"/>
              </w:rPr>
            </w:pPr>
            <w:r>
              <w:rPr>
                <w:sz w:val="20"/>
              </w:rPr>
              <w:t>28.5</w:t>
            </w:r>
          </w:p>
        </w:tc>
        <w:tc>
          <w:tcPr>
            <w:tcW w:w="1450" w:type="dxa"/>
          </w:tcPr>
          <w:p>
            <w:pPr>
              <w:pStyle w:val="TableParagraph"/>
              <w:spacing w:before="0"/>
              <w:ind w:left="122" w:right="141"/>
              <w:rPr>
                <w:rFonts w:ascii="Calibri"/>
                <w:sz w:val="22"/>
              </w:rPr>
            </w:pPr>
            <w:r>
              <w:rPr>
                <w:rFonts w:ascii="Calibri"/>
                <w:sz w:val="22"/>
              </w:rPr>
              <w:t>95.2</w:t>
            </w:r>
          </w:p>
        </w:tc>
        <w:tc>
          <w:tcPr>
            <w:tcW w:w="1169" w:type="dxa"/>
          </w:tcPr>
          <w:p>
            <w:pPr>
              <w:pStyle w:val="TableParagraph"/>
              <w:spacing w:before="40"/>
              <w:ind w:left="300" w:right="318"/>
              <w:rPr>
                <w:sz w:val="20"/>
              </w:rPr>
            </w:pPr>
            <w:r>
              <w:rPr>
                <w:sz w:val="20"/>
              </w:rPr>
              <w:t>105.7</w:t>
            </w:r>
          </w:p>
        </w:tc>
        <w:tc>
          <w:tcPr>
            <w:tcW w:w="1425" w:type="dxa"/>
          </w:tcPr>
          <w:p>
            <w:pPr>
              <w:pStyle w:val="TableParagraph"/>
              <w:spacing w:before="40"/>
              <w:ind w:left="501"/>
              <w:jc w:val="left"/>
              <w:rPr>
                <w:sz w:val="20"/>
              </w:rPr>
            </w:pPr>
            <w:r>
              <w:rPr>
                <w:sz w:val="20"/>
              </w:rPr>
              <w:t>18.0</w:t>
            </w:r>
          </w:p>
        </w:tc>
        <w:tc>
          <w:tcPr>
            <w:tcW w:w="1534" w:type="dxa"/>
          </w:tcPr>
          <w:p>
            <w:pPr>
              <w:pStyle w:val="TableParagraph"/>
              <w:spacing w:before="0"/>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40"/>
              <w:ind w:left="88" w:right="105"/>
              <w:rPr>
                <w:sz w:val="20"/>
              </w:rPr>
            </w:pPr>
            <w:r>
              <w:rPr>
                <w:sz w:val="20"/>
              </w:rPr>
              <w:t>PFOS</w:t>
            </w:r>
          </w:p>
        </w:tc>
        <w:tc>
          <w:tcPr>
            <w:tcW w:w="1080" w:type="dxa"/>
          </w:tcPr>
          <w:p>
            <w:pPr>
              <w:pStyle w:val="TableParagraph"/>
              <w:spacing w:before="40"/>
              <w:ind w:left="88" w:right="104"/>
              <w:rPr>
                <w:sz w:val="20"/>
              </w:rPr>
            </w:pPr>
            <w:r>
              <w:rPr>
                <w:sz w:val="20"/>
              </w:rPr>
              <w:t>111.8</w:t>
            </w:r>
          </w:p>
        </w:tc>
        <w:tc>
          <w:tcPr>
            <w:tcW w:w="1349" w:type="dxa"/>
          </w:tcPr>
          <w:p>
            <w:pPr>
              <w:pStyle w:val="TableParagraph"/>
              <w:spacing w:before="40"/>
              <w:ind w:left="336" w:right="351"/>
              <w:rPr>
                <w:sz w:val="20"/>
              </w:rPr>
            </w:pPr>
            <w:r>
              <w:rPr>
                <w:sz w:val="20"/>
              </w:rPr>
              <w:t>23.0</w:t>
            </w:r>
          </w:p>
        </w:tc>
        <w:tc>
          <w:tcPr>
            <w:tcW w:w="1450" w:type="dxa"/>
          </w:tcPr>
          <w:p>
            <w:pPr>
              <w:pStyle w:val="TableParagraph"/>
              <w:spacing w:before="1"/>
              <w:ind w:left="122" w:right="141"/>
              <w:rPr>
                <w:rFonts w:ascii="Calibri"/>
                <w:sz w:val="22"/>
              </w:rPr>
            </w:pPr>
            <w:r>
              <w:rPr>
                <w:rFonts w:ascii="Calibri"/>
                <w:sz w:val="22"/>
              </w:rPr>
              <w:t>85.7</w:t>
            </w:r>
          </w:p>
        </w:tc>
        <w:tc>
          <w:tcPr>
            <w:tcW w:w="1169" w:type="dxa"/>
          </w:tcPr>
          <w:p>
            <w:pPr>
              <w:pStyle w:val="TableParagraph"/>
              <w:spacing w:before="40"/>
              <w:ind w:left="300" w:right="318"/>
              <w:rPr>
                <w:sz w:val="20"/>
              </w:rPr>
            </w:pPr>
            <w:r>
              <w:rPr>
                <w:sz w:val="20"/>
              </w:rPr>
              <w:t>106.3</w:t>
            </w:r>
          </w:p>
        </w:tc>
        <w:tc>
          <w:tcPr>
            <w:tcW w:w="1425" w:type="dxa"/>
          </w:tcPr>
          <w:p>
            <w:pPr>
              <w:pStyle w:val="TableParagraph"/>
              <w:spacing w:before="40"/>
              <w:ind w:left="501"/>
              <w:jc w:val="left"/>
              <w:rPr>
                <w:sz w:val="20"/>
              </w:rPr>
            </w:pPr>
            <w:r>
              <w:rPr>
                <w:sz w:val="20"/>
              </w:rPr>
              <w:t>16.8</w:t>
            </w:r>
          </w:p>
        </w:tc>
        <w:tc>
          <w:tcPr>
            <w:tcW w:w="1534" w:type="dxa"/>
          </w:tcPr>
          <w:p>
            <w:pPr>
              <w:pStyle w:val="TableParagraph"/>
              <w:spacing w:before="1"/>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40"/>
              <w:ind w:left="89" w:right="104"/>
              <w:rPr>
                <w:sz w:val="20"/>
              </w:rPr>
            </w:pPr>
            <w:r>
              <w:rPr>
                <w:sz w:val="20"/>
              </w:rPr>
              <w:t>PFHpS</w:t>
            </w:r>
          </w:p>
        </w:tc>
        <w:tc>
          <w:tcPr>
            <w:tcW w:w="1080" w:type="dxa"/>
          </w:tcPr>
          <w:p>
            <w:pPr>
              <w:pStyle w:val="TableParagraph"/>
              <w:spacing w:before="40"/>
              <w:ind w:left="89" w:right="104"/>
              <w:rPr>
                <w:sz w:val="20"/>
              </w:rPr>
            </w:pPr>
            <w:r>
              <w:rPr>
                <w:sz w:val="20"/>
              </w:rPr>
              <w:t>89.1</w:t>
            </w:r>
          </w:p>
        </w:tc>
        <w:tc>
          <w:tcPr>
            <w:tcW w:w="1349" w:type="dxa"/>
          </w:tcPr>
          <w:p>
            <w:pPr>
              <w:pStyle w:val="TableParagraph"/>
              <w:spacing w:before="40"/>
              <w:ind w:left="336" w:right="351"/>
              <w:rPr>
                <w:sz w:val="20"/>
              </w:rPr>
            </w:pPr>
            <w:r>
              <w:rPr>
                <w:sz w:val="20"/>
              </w:rPr>
              <w:t>41.8</w:t>
            </w:r>
          </w:p>
        </w:tc>
        <w:tc>
          <w:tcPr>
            <w:tcW w:w="1450" w:type="dxa"/>
          </w:tcPr>
          <w:p>
            <w:pPr>
              <w:pStyle w:val="TableParagraph"/>
              <w:spacing w:before="1"/>
              <w:ind w:left="122" w:right="141"/>
              <w:rPr>
                <w:rFonts w:ascii="Calibri"/>
                <w:sz w:val="22"/>
              </w:rPr>
            </w:pPr>
            <w:r>
              <w:rPr>
                <w:rFonts w:ascii="Calibri"/>
                <w:sz w:val="22"/>
              </w:rPr>
              <w:t>90.5</w:t>
            </w:r>
          </w:p>
        </w:tc>
        <w:tc>
          <w:tcPr>
            <w:tcW w:w="1169" w:type="dxa"/>
          </w:tcPr>
          <w:p>
            <w:pPr>
              <w:pStyle w:val="TableParagraph"/>
              <w:spacing w:before="40"/>
              <w:ind w:left="300" w:right="318"/>
              <w:rPr>
                <w:sz w:val="20"/>
              </w:rPr>
            </w:pPr>
            <w:r>
              <w:rPr>
                <w:sz w:val="20"/>
              </w:rPr>
              <w:t>105.1</w:t>
            </w:r>
          </w:p>
        </w:tc>
        <w:tc>
          <w:tcPr>
            <w:tcW w:w="1425" w:type="dxa"/>
          </w:tcPr>
          <w:p>
            <w:pPr>
              <w:pStyle w:val="TableParagraph"/>
              <w:spacing w:before="40"/>
              <w:ind w:left="501"/>
              <w:jc w:val="left"/>
              <w:rPr>
                <w:sz w:val="20"/>
              </w:rPr>
            </w:pPr>
            <w:r>
              <w:rPr>
                <w:sz w:val="20"/>
              </w:rPr>
              <w:t>14.5</w:t>
            </w:r>
          </w:p>
        </w:tc>
        <w:tc>
          <w:tcPr>
            <w:tcW w:w="1534" w:type="dxa"/>
          </w:tcPr>
          <w:p>
            <w:pPr>
              <w:pStyle w:val="TableParagraph"/>
              <w:spacing w:before="1"/>
              <w:ind w:left="581"/>
              <w:jc w:val="left"/>
              <w:rPr>
                <w:rFonts w:ascii="Calibri"/>
                <w:sz w:val="22"/>
              </w:rPr>
            </w:pPr>
            <w:r>
              <w:rPr>
                <w:rFonts w:ascii="Calibri"/>
                <w:sz w:val="22"/>
              </w:rPr>
              <w:t>100</w:t>
            </w:r>
          </w:p>
        </w:tc>
      </w:tr>
      <w:tr>
        <w:trPr>
          <w:trHeight w:val="389" w:hRule="atLeast"/>
        </w:trPr>
        <w:tc>
          <w:tcPr>
            <w:tcW w:w="1345" w:type="dxa"/>
          </w:tcPr>
          <w:p>
            <w:pPr>
              <w:pStyle w:val="TableParagraph"/>
              <w:spacing w:before="40"/>
              <w:ind w:left="87" w:right="105"/>
              <w:rPr>
                <w:sz w:val="20"/>
              </w:rPr>
            </w:pPr>
            <w:r>
              <w:rPr>
                <w:sz w:val="20"/>
              </w:rPr>
              <w:t>PFHxS</w:t>
            </w:r>
          </w:p>
        </w:tc>
        <w:tc>
          <w:tcPr>
            <w:tcW w:w="1080" w:type="dxa"/>
          </w:tcPr>
          <w:p>
            <w:pPr>
              <w:pStyle w:val="TableParagraph"/>
              <w:spacing w:before="40"/>
              <w:ind w:left="89" w:right="104"/>
              <w:rPr>
                <w:sz w:val="20"/>
              </w:rPr>
            </w:pPr>
            <w:r>
              <w:rPr>
                <w:sz w:val="20"/>
              </w:rPr>
              <w:t>99.0</w:t>
            </w:r>
          </w:p>
        </w:tc>
        <w:tc>
          <w:tcPr>
            <w:tcW w:w="1349" w:type="dxa"/>
          </w:tcPr>
          <w:p>
            <w:pPr>
              <w:pStyle w:val="TableParagraph"/>
              <w:spacing w:before="40"/>
              <w:ind w:left="336" w:right="351"/>
              <w:rPr>
                <w:sz w:val="20"/>
              </w:rPr>
            </w:pPr>
            <w:r>
              <w:rPr>
                <w:sz w:val="20"/>
              </w:rPr>
              <w:t>17.7</w:t>
            </w:r>
          </w:p>
        </w:tc>
        <w:tc>
          <w:tcPr>
            <w:tcW w:w="1450" w:type="dxa"/>
          </w:tcPr>
          <w:p>
            <w:pPr>
              <w:pStyle w:val="TableParagraph"/>
              <w:spacing w:before="1"/>
              <w:ind w:left="123" w:right="141"/>
              <w:rPr>
                <w:rFonts w:ascii="Calibri"/>
                <w:sz w:val="22"/>
              </w:rPr>
            </w:pPr>
            <w:r>
              <w:rPr>
                <w:rFonts w:ascii="Calibri"/>
                <w:sz w:val="22"/>
              </w:rPr>
              <w:t>100</w:t>
            </w:r>
          </w:p>
        </w:tc>
        <w:tc>
          <w:tcPr>
            <w:tcW w:w="1169" w:type="dxa"/>
          </w:tcPr>
          <w:p>
            <w:pPr>
              <w:pStyle w:val="TableParagraph"/>
              <w:spacing w:before="40"/>
              <w:ind w:left="300" w:right="317"/>
              <w:rPr>
                <w:sz w:val="20"/>
              </w:rPr>
            </w:pPr>
            <w:r>
              <w:rPr>
                <w:sz w:val="20"/>
              </w:rPr>
              <w:t>99.3</w:t>
            </w:r>
          </w:p>
        </w:tc>
        <w:tc>
          <w:tcPr>
            <w:tcW w:w="1425" w:type="dxa"/>
          </w:tcPr>
          <w:p>
            <w:pPr>
              <w:pStyle w:val="TableParagraph"/>
              <w:spacing w:before="40"/>
              <w:ind w:left="501"/>
              <w:jc w:val="left"/>
              <w:rPr>
                <w:sz w:val="20"/>
              </w:rPr>
            </w:pPr>
            <w:r>
              <w:rPr>
                <w:sz w:val="20"/>
              </w:rPr>
              <w:t>12.7</w:t>
            </w:r>
          </w:p>
        </w:tc>
        <w:tc>
          <w:tcPr>
            <w:tcW w:w="1534" w:type="dxa"/>
          </w:tcPr>
          <w:p>
            <w:pPr>
              <w:pStyle w:val="TableParagraph"/>
              <w:spacing w:before="1"/>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39"/>
              <w:ind w:left="88" w:right="105"/>
              <w:rPr>
                <w:sz w:val="20"/>
              </w:rPr>
            </w:pPr>
            <w:r>
              <w:rPr>
                <w:sz w:val="20"/>
              </w:rPr>
              <w:t>PFPeS</w:t>
            </w:r>
          </w:p>
        </w:tc>
        <w:tc>
          <w:tcPr>
            <w:tcW w:w="1080" w:type="dxa"/>
          </w:tcPr>
          <w:p>
            <w:pPr>
              <w:pStyle w:val="TableParagraph"/>
              <w:spacing w:before="39"/>
              <w:ind w:left="89" w:right="104"/>
              <w:rPr>
                <w:sz w:val="20"/>
              </w:rPr>
            </w:pPr>
            <w:r>
              <w:rPr>
                <w:sz w:val="20"/>
              </w:rPr>
              <w:t>95.8</w:t>
            </w:r>
          </w:p>
        </w:tc>
        <w:tc>
          <w:tcPr>
            <w:tcW w:w="1349" w:type="dxa"/>
          </w:tcPr>
          <w:p>
            <w:pPr>
              <w:pStyle w:val="TableParagraph"/>
              <w:spacing w:before="39"/>
              <w:ind w:left="336" w:right="351"/>
              <w:rPr>
                <w:sz w:val="20"/>
              </w:rPr>
            </w:pPr>
            <w:r>
              <w:rPr>
                <w:sz w:val="20"/>
              </w:rPr>
              <w:t>12.4</w:t>
            </w:r>
          </w:p>
        </w:tc>
        <w:tc>
          <w:tcPr>
            <w:tcW w:w="1450" w:type="dxa"/>
          </w:tcPr>
          <w:p>
            <w:pPr>
              <w:pStyle w:val="TableParagraph"/>
              <w:spacing w:before="0"/>
              <w:ind w:left="123" w:right="141"/>
              <w:rPr>
                <w:rFonts w:ascii="Calibri"/>
                <w:sz w:val="22"/>
              </w:rPr>
            </w:pPr>
            <w:r>
              <w:rPr>
                <w:rFonts w:ascii="Calibri"/>
                <w:sz w:val="22"/>
              </w:rPr>
              <w:t>100</w:t>
            </w:r>
          </w:p>
        </w:tc>
        <w:tc>
          <w:tcPr>
            <w:tcW w:w="1169" w:type="dxa"/>
          </w:tcPr>
          <w:p>
            <w:pPr>
              <w:pStyle w:val="TableParagraph"/>
              <w:spacing w:before="39"/>
              <w:ind w:left="300" w:right="317"/>
              <w:rPr>
                <w:sz w:val="20"/>
              </w:rPr>
            </w:pPr>
            <w:r>
              <w:rPr>
                <w:sz w:val="20"/>
              </w:rPr>
              <w:t>99.7</w:t>
            </w:r>
          </w:p>
        </w:tc>
        <w:tc>
          <w:tcPr>
            <w:tcW w:w="1425" w:type="dxa"/>
          </w:tcPr>
          <w:p>
            <w:pPr>
              <w:pStyle w:val="TableParagraph"/>
              <w:spacing w:before="39"/>
              <w:ind w:left="501"/>
              <w:jc w:val="left"/>
              <w:rPr>
                <w:sz w:val="20"/>
              </w:rPr>
            </w:pPr>
            <w:r>
              <w:rPr>
                <w:sz w:val="20"/>
              </w:rPr>
              <w:t>12.3</w:t>
            </w:r>
          </w:p>
        </w:tc>
        <w:tc>
          <w:tcPr>
            <w:tcW w:w="1534" w:type="dxa"/>
          </w:tcPr>
          <w:p>
            <w:pPr>
              <w:pStyle w:val="TableParagraph"/>
              <w:spacing w:before="0"/>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39"/>
              <w:ind w:left="89" w:right="105"/>
              <w:rPr>
                <w:sz w:val="20"/>
              </w:rPr>
            </w:pPr>
            <w:r>
              <w:rPr>
                <w:sz w:val="20"/>
              </w:rPr>
              <w:t>PFBS</w:t>
            </w:r>
          </w:p>
        </w:tc>
        <w:tc>
          <w:tcPr>
            <w:tcW w:w="1080" w:type="dxa"/>
          </w:tcPr>
          <w:p>
            <w:pPr>
              <w:pStyle w:val="TableParagraph"/>
              <w:spacing w:before="39"/>
              <w:ind w:left="89" w:right="104"/>
              <w:rPr>
                <w:sz w:val="20"/>
              </w:rPr>
            </w:pPr>
            <w:r>
              <w:rPr>
                <w:sz w:val="20"/>
              </w:rPr>
              <w:t>93.1</w:t>
            </w:r>
          </w:p>
        </w:tc>
        <w:tc>
          <w:tcPr>
            <w:tcW w:w="1349" w:type="dxa"/>
          </w:tcPr>
          <w:p>
            <w:pPr>
              <w:pStyle w:val="TableParagraph"/>
              <w:spacing w:before="39"/>
              <w:ind w:left="335" w:right="351"/>
              <w:rPr>
                <w:sz w:val="20"/>
              </w:rPr>
            </w:pPr>
            <w:r>
              <w:rPr>
                <w:sz w:val="20"/>
              </w:rPr>
              <w:t>17.2</w:t>
            </w:r>
          </w:p>
        </w:tc>
        <w:tc>
          <w:tcPr>
            <w:tcW w:w="1450" w:type="dxa"/>
          </w:tcPr>
          <w:p>
            <w:pPr>
              <w:pStyle w:val="TableParagraph"/>
              <w:spacing w:before="0"/>
              <w:ind w:left="122" w:right="141"/>
              <w:rPr>
                <w:rFonts w:ascii="Calibri"/>
                <w:sz w:val="22"/>
              </w:rPr>
            </w:pPr>
            <w:r>
              <w:rPr>
                <w:rFonts w:ascii="Calibri"/>
                <w:sz w:val="22"/>
              </w:rPr>
              <w:t>95.2</w:t>
            </w:r>
          </w:p>
        </w:tc>
        <w:tc>
          <w:tcPr>
            <w:tcW w:w="1169" w:type="dxa"/>
          </w:tcPr>
          <w:p>
            <w:pPr>
              <w:pStyle w:val="TableParagraph"/>
              <w:spacing w:before="39"/>
              <w:ind w:left="300" w:right="317"/>
              <w:rPr>
                <w:sz w:val="20"/>
              </w:rPr>
            </w:pPr>
            <w:r>
              <w:rPr>
                <w:sz w:val="20"/>
              </w:rPr>
              <w:t>91.6</w:t>
            </w:r>
          </w:p>
        </w:tc>
        <w:tc>
          <w:tcPr>
            <w:tcW w:w="1425" w:type="dxa"/>
          </w:tcPr>
          <w:p>
            <w:pPr>
              <w:pStyle w:val="TableParagraph"/>
              <w:spacing w:before="39"/>
              <w:ind w:left="501"/>
              <w:jc w:val="left"/>
              <w:rPr>
                <w:sz w:val="20"/>
              </w:rPr>
            </w:pPr>
            <w:r>
              <w:rPr>
                <w:sz w:val="20"/>
              </w:rPr>
              <w:t>12.5</w:t>
            </w:r>
          </w:p>
        </w:tc>
        <w:tc>
          <w:tcPr>
            <w:tcW w:w="1534" w:type="dxa"/>
          </w:tcPr>
          <w:p>
            <w:pPr>
              <w:pStyle w:val="TableParagraph"/>
              <w:spacing w:before="0"/>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39"/>
              <w:ind w:left="89" w:right="105"/>
              <w:rPr>
                <w:sz w:val="20"/>
              </w:rPr>
            </w:pPr>
            <w:r>
              <w:rPr>
                <w:sz w:val="20"/>
              </w:rPr>
              <w:t>PFOSA</w:t>
            </w:r>
          </w:p>
        </w:tc>
        <w:tc>
          <w:tcPr>
            <w:tcW w:w="1080" w:type="dxa"/>
          </w:tcPr>
          <w:p>
            <w:pPr>
              <w:pStyle w:val="TableParagraph"/>
              <w:spacing w:before="39"/>
              <w:ind w:left="88" w:right="104"/>
              <w:rPr>
                <w:sz w:val="20"/>
              </w:rPr>
            </w:pPr>
            <w:r>
              <w:rPr>
                <w:sz w:val="20"/>
              </w:rPr>
              <w:t>100.6</w:t>
            </w:r>
          </w:p>
        </w:tc>
        <w:tc>
          <w:tcPr>
            <w:tcW w:w="1349" w:type="dxa"/>
          </w:tcPr>
          <w:p>
            <w:pPr>
              <w:pStyle w:val="TableParagraph"/>
              <w:spacing w:before="39"/>
              <w:ind w:left="335" w:right="351"/>
              <w:rPr>
                <w:sz w:val="20"/>
              </w:rPr>
            </w:pPr>
            <w:r>
              <w:rPr>
                <w:sz w:val="20"/>
              </w:rPr>
              <w:t>15.0</w:t>
            </w:r>
          </w:p>
        </w:tc>
        <w:tc>
          <w:tcPr>
            <w:tcW w:w="1450" w:type="dxa"/>
          </w:tcPr>
          <w:p>
            <w:pPr>
              <w:pStyle w:val="TableParagraph"/>
              <w:spacing w:before="0"/>
              <w:ind w:left="123" w:right="141"/>
              <w:rPr>
                <w:rFonts w:ascii="Calibri"/>
                <w:sz w:val="22"/>
              </w:rPr>
            </w:pPr>
            <w:r>
              <w:rPr>
                <w:rFonts w:ascii="Calibri"/>
                <w:sz w:val="22"/>
              </w:rPr>
              <w:t>100</w:t>
            </w:r>
          </w:p>
        </w:tc>
        <w:tc>
          <w:tcPr>
            <w:tcW w:w="1169" w:type="dxa"/>
          </w:tcPr>
          <w:p>
            <w:pPr>
              <w:pStyle w:val="TableParagraph"/>
              <w:spacing w:before="39"/>
              <w:ind w:left="300" w:right="317"/>
              <w:rPr>
                <w:sz w:val="20"/>
              </w:rPr>
            </w:pPr>
            <w:r>
              <w:rPr>
                <w:sz w:val="20"/>
              </w:rPr>
              <w:t>99.7</w:t>
            </w:r>
          </w:p>
        </w:tc>
        <w:tc>
          <w:tcPr>
            <w:tcW w:w="1425" w:type="dxa"/>
          </w:tcPr>
          <w:p>
            <w:pPr>
              <w:pStyle w:val="TableParagraph"/>
              <w:spacing w:before="39"/>
              <w:ind w:left="557"/>
              <w:jc w:val="left"/>
              <w:rPr>
                <w:sz w:val="20"/>
              </w:rPr>
            </w:pPr>
            <w:r>
              <w:rPr>
                <w:sz w:val="20"/>
              </w:rPr>
              <w:t>8.5</w:t>
            </w:r>
          </w:p>
        </w:tc>
        <w:tc>
          <w:tcPr>
            <w:tcW w:w="1534" w:type="dxa"/>
          </w:tcPr>
          <w:p>
            <w:pPr>
              <w:pStyle w:val="TableParagraph"/>
              <w:spacing w:before="0"/>
              <w:ind w:left="581"/>
              <w:jc w:val="left"/>
              <w:rPr>
                <w:rFonts w:ascii="Calibri"/>
                <w:sz w:val="22"/>
              </w:rPr>
            </w:pPr>
            <w:r>
              <w:rPr>
                <w:rFonts w:ascii="Calibri"/>
                <w:sz w:val="22"/>
              </w:rPr>
              <w:t>100</w:t>
            </w:r>
          </w:p>
        </w:tc>
      </w:tr>
      <w:tr>
        <w:trPr>
          <w:trHeight w:val="388" w:hRule="atLeast"/>
        </w:trPr>
        <w:tc>
          <w:tcPr>
            <w:tcW w:w="1345" w:type="dxa"/>
          </w:tcPr>
          <w:p>
            <w:pPr>
              <w:pStyle w:val="TableParagraph"/>
              <w:spacing w:before="39"/>
              <w:ind w:left="88" w:right="105"/>
              <w:rPr>
                <w:sz w:val="20"/>
              </w:rPr>
            </w:pPr>
            <w:r>
              <w:rPr>
                <w:sz w:val="20"/>
              </w:rPr>
              <w:t>FtS 8:2</w:t>
            </w:r>
          </w:p>
        </w:tc>
        <w:tc>
          <w:tcPr>
            <w:tcW w:w="1080" w:type="dxa"/>
          </w:tcPr>
          <w:p>
            <w:pPr>
              <w:pStyle w:val="TableParagraph"/>
              <w:spacing w:before="39"/>
              <w:ind w:left="88" w:right="104"/>
              <w:rPr>
                <w:sz w:val="20"/>
              </w:rPr>
            </w:pPr>
            <w:r>
              <w:rPr>
                <w:sz w:val="20"/>
              </w:rPr>
              <w:t>112.4</w:t>
            </w:r>
          </w:p>
        </w:tc>
        <w:tc>
          <w:tcPr>
            <w:tcW w:w="1349" w:type="dxa"/>
          </w:tcPr>
          <w:p>
            <w:pPr>
              <w:pStyle w:val="TableParagraph"/>
              <w:spacing w:before="39"/>
              <w:ind w:left="336" w:right="351"/>
              <w:rPr>
                <w:sz w:val="20"/>
              </w:rPr>
            </w:pPr>
            <w:r>
              <w:rPr>
                <w:sz w:val="20"/>
              </w:rPr>
              <w:t>36.5</w:t>
            </w:r>
          </w:p>
        </w:tc>
        <w:tc>
          <w:tcPr>
            <w:tcW w:w="1450" w:type="dxa"/>
          </w:tcPr>
          <w:p>
            <w:pPr>
              <w:pStyle w:val="TableParagraph"/>
              <w:spacing w:before="0"/>
              <w:ind w:left="122" w:right="141"/>
              <w:rPr>
                <w:rFonts w:ascii="Calibri"/>
                <w:sz w:val="22"/>
              </w:rPr>
            </w:pPr>
            <w:r>
              <w:rPr>
                <w:rFonts w:ascii="Calibri"/>
                <w:sz w:val="22"/>
              </w:rPr>
              <w:t>66.7</w:t>
            </w:r>
          </w:p>
        </w:tc>
        <w:tc>
          <w:tcPr>
            <w:tcW w:w="1169" w:type="dxa"/>
          </w:tcPr>
          <w:p>
            <w:pPr>
              <w:pStyle w:val="TableParagraph"/>
              <w:spacing w:before="39"/>
              <w:ind w:left="300" w:right="318"/>
              <w:rPr>
                <w:sz w:val="20"/>
              </w:rPr>
            </w:pPr>
            <w:r>
              <w:rPr>
                <w:sz w:val="20"/>
              </w:rPr>
              <w:t>129.0</w:t>
            </w:r>
          </w:p>
        </w:tc>
        <w:tc>
          <w:tcPr>
            <w:tcW w:w="1425" w:type="dxa"/>
          </w:tcPr>
          <w:p>
            <w:pPr>
              <w:pStyle w:val="TableParagraph"/>
              <w:spacing w:before="39"/>
              <w:ind w:left="501"/>
              <w:jc w:val="left"/>
              <w:rPr>
                <w:sz w:val="20"/>
              </w:rPr>
            </w:pPr>
            <w:r>
              <w:rPr>
                <w:sz w:val="20"/>
              </w:rPr>
              <w:t>57.9</w:t>
            </w:r>
          </w:p>
        </w:tc>
        <w:tc>
          <w:tcPr>
            <w:tcW w:w="1534" w:type="dxa"/>
          </w:tcPr>
          <w:p>
            <w:pPr>
              <w:pStyle w:val="TableParagraph"/>
              <w:spacing w:before="0"/>
              <w:ind w:left="554"/>
              <w:jc w:val="left"/>
              <w:rPr>
                <w:rFonts w:ascii="Calibri"/>
                <w:sz w:val="22"/>
              </w:rPr>
            </w:pPr>
            <w:r>
              <w:rPr>
                <w:rFonts w:ascii="Calibri"/>
                <w:sz w:val="22"/>
              </w:rPr>
              <w:t>72.2</w:t>
            </w:r>
          </w:p>
        </w:tc>
      </w:tr>
      <w:tr>
        <w:trPr>
          <w:trHeight w:val="388" w:hRule="atLeast"/>
        </w:trPr>
        <w:tc>
          <w:tcPr>
            <w:tcW w:w="1345" w:type="dxa"/>
          </w:tcPr>
          <w:p>
            <w:pPr>
              <w:pStyle w:val="TableParagraph"/>
              <w:spacing w:before="40"/>
              <w:ind w:left="88" w:right="105"/>
              <w:rPr>
                <w:sz w:val="20"/>
              </w:rPr>
            </w:pPr>
            <w:r>
              <w:rPr>
                <w:sz w:val="20"/>
              </w:rPr>
              <w:t>FtS 6:2</w:t>
            </w:r>
          </w:p>
        </w:tc>
        <w:tc>
          <w:tcPr>
            <w:tcW w:w="1080" w:type="dxa"/>
          </w:tcPr>
          <w:p>
            <w:pPr>
              <w:pStyle w:val="TableParagraph"/>
              <w:spacing w:before="40"/>
              <w:ind w:left="89" w:right="104"/>
              <w:rPr>
                <w:sz w:val="20"/>
              </w:rPr>
            </w:pPr>
            <w:r>
              <w:rPr>
                <w:sz w:val="20"/>
              </w:rPr>
              <w:t>1471.4</w:t>
            </w:r>
          </w:p>
        </w:tc>
        <w:tc>
          <w:tcPr>
            <w:tcW w:w="1349" w:type="dxa"/>
          </w:tcPr>
          <w:p>
            <w:pPr>
              <w:pStyle w:val="TableParagraph"/>
              <w:spacing w:before="40"/>
              <w:ind w:left="336" w:right="351"/>
              <w:rPr>
                <w:sz w:val="20"/>
              </w:rPr>
            </w:pPr>
            <w:r>
              <w:rPr>
                <w:sz w:val="20"/>
              </w:rPr>
              <w:t>5540.8</w:t>
            </w:r>
          </w:p>
        </w:tc>
        <w:tc>
          <w:tcPr>
            <w:tcW w:w="1450" w:type="dxa"/>
          </w:tcPr>
          <w:p>
            <w:pPr>
              <w:pStyle w:val="TableParagraph"/>
              <w:spacing w:before="0"/>
              <w:ind w:left="122" w:right="141"/>
              <w:rPr>
                <w:rFonts w:ascii="Calibri"/>
                <w:sz w:val="22"/>
              </w:rPr>
            </w:pPr>
            <w:r>
              <w:rPr>
                <w:rFonts w:ascii="Calibri"/>
                <w:sz w:val="22"/>
              </w:rPr>
              <w:t>57.1</w:t>
            </w:r>
          </w:p>
        </w:tc>
        <w:tc>
          <w:tcPr>
            <w:tcW w:w="1169" w:type="dxa"/>
          </w:tcPr>
          <w:p>
            <w:pPr>
              <w:pStyle w:val="TableParagraph"/>
              <w:spacing w:before="40"/>
              <w:ind w:left="300" w:right="318"/>
              <w:rPr>
                <w:sz w:val="20"/>
              </w:rPr>
            </w:pPr>
            <w:r>
              <w:rPr>
                <w:sz w:val="20"/>
              </w:rPr>
              <w:t>124.9</w:t>
            </w:r>
          </w:p>
        </w:tc>
        <w:tc>
          <w:tcPr>
            <w:tcW w:w="1425" w:type="dxa"/>
          </w:tcPr>
          <w:p>
            <w:pPr>
              <w:pStyle w:val="TableParagraph"/>
              <w:spacing w:before="40"/>
              <w:ind w:left="446"/>
              <w:jc w:val="left"/>
              <w:rPr>
                <w:sz w:val="20"/>
              </w:rPr>
            </w:pPr>
            <w:r>
              <w:rPr>
                <w:sz w:val="20"/>
              </w:rPr>
              <w:t>152.3</w:t>
            </w:r>
          </w:p>
        </w:tc>
        <w:tc>
          <w:tcPr>
            <w:tcW w:w="1534" w:type="dxa"/>
          </w:tcPr>
          <w:p>
            <w:pPr>
              <w:pStyle w:val="TableParagraph"/>
              <w:spacing w:before="0"/>
              <w:ind w:left="554"/>
              <w:jc w:val="left"/>
              <w:rPr>
                <w:rFonts w:ascii="Calibri"/>
                <w:sz w:val="22"/>
              </w:rPr>
            </w:pPr>
            <w:r>
              <w:rPr>
                <w:rFonts w:ascii="Calibri"/>
                <w:sz w:val="22"/>
              </w:rPr>
              <w:t>50.0</w:t>
            </w:r>
          </w:p>
        </w:tc>
      </w:tr>
      <w:tr>
        <w:trPr>
          <w:trHeight w:val="388" w:hRule="atLeast"/>
        </w:trPr>
        <w:tc>
          <w:tcPr>
            <w:tcW w:w="1345" w:type="dxa"/>
          </w:tcPr>
          <w:p>
            <w:pPr>
              <w:pStyle w:val="TableParagraph"/>
              <w:spacing w:before="40"/>
              <w:ind w:left="88" w:right="105"/>
              <w:rPr>
                <w:sz w:val="20"/>
              </w:rPr>
            </w:pPr>
            <w:r>
              <w:rPr>
                <w:sz w:val="20"/>
              </w:rPr>
              <w:t>FtS 4:2</w:t>
            </w:r>
          </w:p>
        </w:tc>
        <w:tc>
          <w:tcPr>
            <w:tcW w:w="1080" w:type="dxa"/>
          </w:tcPr>
          <w:p>
            <w:pPr>
              <w:pStyle w:val="TableParagraph"/>
              <w:spacing w:before="40"/>
              <w:ind w:left="88" w:right="104"/>
              <w:rPr>
                <w:sz w:val="20"/>
              </w:rPr>
            </w:pPr>
            <w:r>
              <w:rPr>
                <w:sz w:val="20"/>
              </w:rPr>
              <w:t>101.6</w:t>
            </w:r>
          </w:p>
        </w:tc>
        <w:tc>
          <w:tcPr>
            <w:tcW w:w="1349" w:type="dxa"/>
          </w:tcPr>
          <w:p>
            <w:pPr>
              <w:pStyle w:val="TableParagraph"/>
              <w:spacing w:before="40"/>
              <w:ind w:left="336" w:right="351"/>
              <w:rPr>
                <w:sz w:val="20"/>
              </w:rPr>
            </w:pPr>
            <w:r>
              <w:rPr>
                <w:sz w:val="20"/>
              </w:rPr>
              <w:t>16.4</w:t>
            </w:r>
          </w:p>
        </w:tc>
        <w:tc>
          <w:tcPr>
            <w:tcW w:w="1450" w:type="dxa"/>
          </w:tcPr>
          <w:p>
            <w:pPr>
              <w:pStyle w:val="TableParagraph"/>
              <w:spacing w:before="1"/>
              <w:ind w:left="122" w:right="141"/>
              <w:rPr>
                <w:rFonts w:ascii="Calibri"/>
                <w:sz w:val="22"/>
              </w:rPr>
            </w:pPr>
            <w:r>
              <w:rPr>
                <w:rFonts w:ascii="Calibri"/>
                <w:sz w:val="22"/>
              </w:rPr>
              <w:t>90.5</w:t>
            </w:r>
          </w:p>
        </w:tc>
        <w:tc>
          <w:tcPr>
            <w:tcW w:w="1169" w:type="dxa"/>
          </w:tcPr>
          <w:p>
            <w:pPr>
              <w:pStyle w:val="TableParagraph"/>
              <w:spacing w:before="40"/>
              <w:ind w:left="300" w:right="317"/>
              <w:rPr>
                <w:sz w:val="20"/>
              </w:rPr>
            </w:pPr>
            <w:r>
              <w:rPr>
                <w:sz w:val="20"/>
              </w:rPr>
              <w:t>96.2</w:t>
            </w:r>
          </w:p>
        </w:tc>
        <w:tc>
          <w:tcPr>
            <w:tcW w:w="1425" w:type="dxa"/>
          </w:tcPr>
          <w:p>
            <w:pPr>
              <w:pStyle w:val="TableParagraph"/>
              <w:spacing w:before="40"/>
              <w:ind w:left="501"/>
              <w:jc w:val="left"/>
              <w:rPr>
                <w:sz w:val="20"/>
              </w:rPr>
            </w:pPr>
            <w:r>
              <w:rPr>
                <w:sz w:val="20"/>
              </w:rPr>
              <w:t>14.3</w:t>
            </w:r>
          </w:p>
        </w:tc>
        <w:tc>
          <w:tcPr>
            <w:tcW w:w="1534" w:type="dxa"/>
          </w:tcPr>
          <w:p>
            <w:pPr>
              <w:pStyle w:val="TableParagraph"/>
              <w:spacing w:before="1"/>
              <w:ind w:left="581"/>
              <w:jc w:val="left"/>
              <w:rPr>
                <w:rFonts w:ascii="Calibri"/>
                <w:sz w:val="22"/>
              </w:rPr>
            </w:pPr>
            <w:r>
              <w:rPr>
                <w:rFonts w:ascii="Calibri"/>
                <w:sz w:val="22"/>
              </w:rPr>
              <w:t>100</w:t>
            </w:r>
          </w:p>
        </w:tc>
      </w:tr>
      <w:tr>
        <w:trPr>
          <w:trHeight w:val="389" w:hRule="atLeast"/>
        </w:trPr>
        <w:tc>
          <w:tcPr>
            <w:tcW w:w="1345" w:type="dxa"/>
          </w:tcPr>
          <w:p>
            <w:pPr>
              <w:pStyle w:val="TableParagraph"/>
              <w:spacing w:before="40"/>
              <w:ind w:left="89" w:right="105"/>
              <w:rPr>
                <w:sz w:val="20"/>
              </w:rPr>
            </w:pPr>
            <w:r>
              <w:rPr>
                <w:sz w:val="20"/>
              </w:rPr>
              <w:t>NEtFOSAA</w:t>
            </w:r>
          </w:p>
        </w:tc>
        <w:tc>
          <w:tcPr>
            <w:tcW w:w="1080" w:type="dxa"/>
          </w:tcPr>
          <w:p>
            <w:pPr>
              <w:pStyle w:val="TableParagraph"/>
              <w:spacing w:before="40"/>
              <w:ind w:left="87" w:right="104"/>
              <w:rPr>
                <w:sz w:val="20"/>
              </w:rPr>
            </w:pPr>
            <w:r>
              <w:rPr>
                <w:sz w:val="20"/>
              </w:rPr>
              <w:t>121.8</w:t>
            </w:r>
          </w:p>
        </w:tc>
        <w:tc>
          <w:tcPr>
            <w:tcW w:w="1349" w:type="dxa"/>
          </w:tcPr>
          <w:p>
            <w:pPr>
              <w:pStyle w:val="TableParagraph"/>
              <w:spacing w:before="40"/>
              <w:ind w:left="335" w:right="351"/>
              <w:rPr>
                <w:sz w:val="20"/>
              </w:rPr>
            </w:pPr>
            <w:r>
              <w:rPr>
                <w:sz w:val="20"/>
              </w:rPr>
              <w:t>33.6</w:t>
            </w:r>
          </w:p>
        </w:tc>
        <w:tc>
          <w:tcPr>
            <w:tcW w:w="1450" w:type="dxa"/>
          </w:tcPr>
          <w:p>
            <w:pPr>
              <w:pStyle w:val="TableParagraph"/>
              <w:spacing w:before="1"/>
              <w:ind w:left="122" w:right="141"/>
              <w:rPr>
                <w:rFonts w:ascii="Calibri"/>
                <w:sz w:val="22"/>
              </w:rPr>
            </w:pPr>
            <w:r>
              <w:rPr>
                <w:rFonts w:ascii="Calibri"/>
                <w:sz w:val="22"/>
              </w:rPr>
              <w:t>71.4</w:t>
            </w:r>
          </w:p>
        </w:tc>
        <w:tc>
          <w:tcPr>
            <w:tcW w:w="1169" w:type="dxa"/>
          </w:tcPr>
          <w:p>
            <w:pPr>
              <w:pStyle w:val="TableParagraph"/>
              <w:spacing w:before="40"/>
              <w:ind w:left="300" w:right="318"/>
              <w:rPr>
                <w:sz w:val="20"/>
              </w:rPr>
            </w:pPr>
            <w:r>
              <w:rPr>
                <w:sz w:val="20"/>
              </w:rPr>
              <w:t>111.0</w:t>
            </w:r>
          </w:p>
        </w:tc>
        <w:tc>
          <w:tcPr>
            <w:tcW w:w="1425" w:type="dxa"/>
          </w:tcPr>
          <w:p>
            <w:pPr>
              <w:pStyle w:val="TableParagraph"/>
              <w:spacing w:before="40"/>
              <w:ind w:left="501"/>
              <w:jc w:val="left"/>
              <w:rPr>
                <w:sz w:val="20"/>
              </w:rPr>
            </w:pPr>
            <w:r>
              <w:rPr>
                <w:sz w:val="20"/>
              </w:rPr>
              <w:t>18.9</w:t>
            </w:r>
          </w:p>
        </w:tc>
        <w:tc>
          <w:tcPr>
            <w:tcW w:w="1534" w:type="dxa"/>
          </w:tcPr>
          <w:p>
            <w:pPr>
              <w:pStyle w:val="TableParagraph"/>
              <w:spacing w:before="1"/>
              <w:ind w:left="554"/>
              <w:jc w:val="left"/>
              <w:rPr>
                <w:rFonts w:ascii="Calibri"/>
                <w:sz w:val="22"/>
              </w:rPr>
            </w:pPr>
            <w:r>
              <w:rPr>
                <w:rFonts w:ascii="Calibri"/>
                <w:sz w:val="22"/>
              </w:rPr>
              <w:t>77.8</w:t>
            </w:r>
          </w:p>
        </w:tc>
      </w:tr>
      <w:tr>
        <w:trPr>
          <w:trHeight w:val="388" w:hRule="atLeast"/>
        </w:trPr>
        <w:tc>
          <w:tcPr>
            <w:tcW w:w="1345" w:type="dxa"/>
          </w:tcPr>
          <w:p>
            <w:pPr>
              <w:pStyle w:val="TableParagraph"/>
              <w:spacing w:before="39"/>
              <w:ind w:left="89" w:right="105"/>
              <w:rPr>
                <w:sz w:val="20"/>
              </w:rPr>
            </w:pPr>
            <w:r>
              <w:rPr>
                <w:sz w:val="20"/>
              </w:rPr>
              <w:t>NMeFOSAA</w:t>
            </w:r>
          </w:p>
        </w:tc>
        <w:tc>
          <w:tcPr>
            <w:tcW w:w="1080" w:type="dxa"/>
          </w:tcPr>
          <w:p>
            <w:pPr>
              <w:pStyle w:val="TableParagraph"/>
              <w:spacing w:before="0"/>
              <w:ind w:left="88" w:right="104"/>
              <w:rPr>
                <w:sz w:val="20"/>
              </w:rPr>
            </w:pPr>
            <w:r>
              <w:rPr>
                <w:sz w:val="20"/>
              </w:rPr>
              <w:t>109.2</w:t>
            </w:r>
          </w:p>
        </w:tc>
        <w:tc>
          <w:tcPr>
            <w:tcW w:w="1349" w:type="dxa"/>
          </w:tcPr>
          <w:p>
            <w:pPr>
              <w:pStyle w:val="TableParagraph"/>
              <w:spacing w:before="0"/>
              <w:ind w:left="336" w:right="351"/>
              <w:rPr>
                <w:sz w:val="20"/>
              </w:rPr>
            </w:pPr>
            <w:r>
              <w:rPr>
                <w:sz w:val="20"/>
              </w:rPr>
              <w:t>52.8</w:t>
            </w:r>
          </w:p>
        </w:tc>
        <w:tc>
          <w:tcPr>
            <w:tcW w:w="1450" w:type="dxa"/>
          </w:tcPr>
          <w:p>
            <w:pPr>
              <w:pStyle w:val="TableParagraph"/>
              <w:spacing w:before="0"/>
              <w:ind w:left="122" w:right="141"/>
              <w:rPr>
                <w:rFonts w:ascii="Calibri"/>
                <w:sz w:val="22"/>
              </w:rPr>
            </w:pPr>
            <w:r>
              <w:rPr>
                <w:rFonts w:ascii="Calibri"/>
                <w:sz w:val="22"/>
              </w:rPr>
              <w:t>71.4</w:t>
            </w:r>
          </w:p>
        </w:tc>
        <w:tc>
          <w:tcPr>
            <w:tcW w:w="1169" w:type="dxa"/>
          </w:tcPr>
          <w:p>
            <w:pPr>
              <w:pStyle w:val="TableParagraph"/>
              <w:spacing w:before="0"/>
              <w:ind w:left="300" w:right="318"/>
              <w:rPr>
                <w:sz w:val="20"/>
              </w:rPr>
            </w:pPr>
            <w:r>
              <w:rPr>
                <w:sz w:val="20"/>
              </w:rPr>
              <w:t>104.4</w:t>
            </w:r>
          </w:p>
        </w:tc>
        <w:tc>
          <w:tcPr>
            <w:tcW w:w="1425" w:type="dxa"/>
          </w:tcPr>
          <w:p>
            <w:pPr>
              <w:pStyle w:val="TableParagraph"/>
              <w:spacing w:before="0"/>
              <w:ind w:left="502"/>
              <w:jc w:val="left"/>
              <w:rPr>
                <w:sz w:val="20"/>
              </w:rPr>
            </w:pPr>
            <w:r>
              <w:rPr>
                <w:sz w:val="20"/>
              </w:rPr>
              <w:t>34.1</w:t>
            </w:r>
          </w:p>
        </w:tc>
        <w:tc>
          <w:tcPr>
            <w:tcW w:w="1534" w:type="dxa"/>
          </w:tcPr>
          <w:p>
            <w:pPr>
              <w:pStyle w:val="TableParagraph"/>
              <w:spacing w:before="0"/>
              <w:ind w:left="554"/>
              <w:jc w:val="left"/>
              <w:rPr>
                <w:rFonts w:ascii="Calibri"/>
                <w:sz w:val="22"/>
              </w:rPr>
            </w:pPr>
            <w:r>
              <w:rPr>
                <w:rFonts w:ascii="Calibri"/>
                <w:sz w:val="22"/>
              </w:rPr>
              <w:t>83.3</w:t>
            </w:r>
          </w:p>
        </w:tc>
      </w:tr>
    </w:tbl>
    <w:p>
      <w:pPr>
        <w:spacing w:after="0"/>
        <w:jc w:val="left"/>
        <w:rPr>
          <w:rFonts w:ascii="Calibri"/>
          <w:sz w:val="22"/>
        </w:rPr>
        <w:sectPr>
          <w:pgSz w:w="12240" w:h="15840"/>
          <w:pgMar w:header="0" w:footer="1134" w:top="1060" w:bottom="1320" w:left="260" w:right="260"/>
        </w:sectPr>
      </w:pPr>
    </w:p>
    <w:p>
      <w:pPr>
        <w:pStyle w:val="BodyText"/>
        <w:rPr>
          <w:sz w:val="20"/>
        </w:rPr>
      </w:pPr>
    </w:p>
    <w:p>
      <w:pPr>
        <w:pStyle w:val="BodyText"/>
        <w:spacing w:before="10"/>
        <w:rPr>
          <w:sz w:val="18"/>
        </w:rPr>
      </w:pPr>
    </w:p>
    <w:p>
      <w:pPr>
        <w:pStyle w:val="BodyText"/>
        <w:spacing w:before="93"/>
        <w:ind w:left="1023" w:right="1141"/>
        <w:jc w:val="center"/>
      </w:pPr>
      <w:bookmarkStart w:name="TABLE 2C. RECOVERY AND PRECISION OF TARG" w:id="292"/>
      <w:bookmarkEnd w:id="292"/>
      <w:r>
        <w:rPr/>
      </w:r>
      <w:bookmarkStart w:name="_bookmark23" w:id="293"/>
      <w:bookmarkEnd w:id="293"/>
      <w:r>
        <w:rPr/>
      </w:r>
      <w:r>
        <w:rPr/>
        <w:t>TABLE 2C. RECOVERY AND PRECISION OF TARGET ANALYTES AND SURROGATES IN MULTI-LABORATORY STUDY MATRICES</w:t>
      </w:r>
    </w:p>
    <w:p>
      <w:pPr>
        <w:pStyle w:val="BodyText"/>
        <w:spacing w:before="37"/>
        <w:ind w:left="1023" w:right="568"/>
        <w:jc w:val="center"/>
        <w:rPr>
          <w:sz w:val="14"/>
        </w:rPr>
      </w:pPr>
      <w:r>
        <w:rPr/>
        <w:t>PREPARED BY METHOD 3512</w:t>
      </w:r>
      <w:r>
        <w:rPr>
          <w:position w:val="7"/>
          <w:sz w:val="14"/>
        </w:rPr>
        <w:t>1</w:t>
      </w:r>
    </w:p>
    <w:p>
      <w:pPr>
        <w:pStyle w:val="BodyText"/>
        <w:spacing w:before="3"/>
        <w:rPr>
          <w:sz w:val="24"/>
        </w:rPr>
      </w:pPr>
    </w:p>
    <w:tbl>
      <w:tblPr>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726"/>
        <w:gridCol w:w="631"/>
        <w:gridCol w:w="761"/>
        <w:gridCol w:w="681"/>
        <w:gridCol w:w="722"/>
        <w:gridCol w:w="631"/>
        <w:gridCol w:w="721"/>
        <w:gridCol w:w="720"/>
        <w:gridCol w:w="773"/>
        <w:gridCol w:w="541"/>
        <w:gridCol w:w="721"/>
        <w:gridCol w:w="759"/>
        <w:gridCol w:w="722"/>
        <w:gridCol w:w="631"/>
        <w:gridCol w:w="721"/>
        <w:gridCol w:w="720"/>
        <w:gridCol w:w="721"/>
        <w:gridCol w:w="630"/>
        <w:gridCol w:w="720"/>
        <w:gridCol w:w="719"/>
      </w:tblGrid>
      <w:tr>
        <w:trPr>
          <w:trHeight w:val="299" w:hRule="atLeast"/>
        </w:trPr>
        <w:tc>
          <w:tcPr>
            <w:tcW w:w="1435" w:type="dxa"/>
            <w:vMerge w:val="restart"/>
            <w:tcBorders>
              <w:right w:val="single" w:sz="12" w:space="0" w:color="000000"/>
            </w:tcBorders>
          </w:tcPr>
          <w:p>
            <w:pPr>
              <w:pStyle w:val="TableParagraph"/>
              <w:spacing w:before="0"/>
              <w:jc w:val="left"/>
              <w:rPr>
                <w:sz w:val="18"/>
              </w:rPr>
            </w:pPr>
          </w:p>
          <w:p>
            <w:pPr>
              <w:pStyle w:val="TableParagraph"/>
              <w:spacing w:before="0"/>
              <w:jc w:val="left"/>
              <w:rPr>
                <w:sz w:val="18"/>
              </w:rPr>
            </w:pPr>
          </w:p>
          <w:p>
            <w:pPr>
              <w:pStyle w:val="TableParagraph"/>
              <w:spacing w:line="220" w:lineRule="atLeast" w:before="144"/>
              <w:ind w:left="173" w:right="157" w:hanging="12"/>
              <w:rPr>
                <w:rFonts w:ascii="Calibri"/>
                <w:sz w:val="18"/>
              </w:rPr>
            </w:pPr>
            <w:r>
              <w:rPr>
                <w:rFonts w:ascii="Calibri"/>
                <w:sz w:val="18"/>
              </w:rPr>
              <w:t>Target Analyte or Surrogate name (abbrev)</w:t>
            </w:r>
          </w:p>
        </w:tc>
        <w:tc>
          <w:tcPr>
            <w:tcW w:w="2799" w:type="dxa"/>
            <w:gridSpan w:val="4"/>
            <w:tcBorders>
              <w:top w:val="single" w:sz="12" w:space="0" w:color="000000"/>
              <w:left w:val="single" w:sz="12" w:space="0" w:color="000000"/>
              <w:right w:val="single" w:sz="12" w:space="0" w:color="000000"/>
            </w:tcBorders>
          </w:tcPr>
          <w:p>
            <w:pPr>
              <w:pStyle w:val="TableParagraph"/>
              <w:spacing w:line="199" w:lineRule="exact"/>
              <w:ind w:left="653"/>
              <w:jc w:val="left"/>
              <w:rPr>
                <w:rFonts w:ascii="Calibri"/>
                <w:sz w:val="18"/>
              </w:rPr>
            </w:pPr>
            <w:r>
              <w:rPr>
                <w:rFonts w:ascii="Calibri"/>
                <w:sz w:val="18"/>
              </w:rPr>
              <w:t>All matrices (n=479)</w:t>
            </w:r>
          </w:p>
        </w:tc>
        <w:tc>
          <w:tcPr>
            <w:tcW w:w="2794" w:type="dxa"/>
            <w:gridSpan w:val="4"/>
            <w:tcBorders>
              <w:top w:val="single" w:sz="12" w:space="0" w:color="000000"/>
              <w:left w:val="single" w:sz="12" w:space="0" w:color="000000"/>
              <w:right w:val="single" w:sz="12" w:space="0" w:color="000000"/>
            </w:tcBorders>
          </w:tcPr>
          <w:p>
            <w:pPr>
              <w:pStyle w:val="TableParagraph"/>
              <w:spacing w:line="199" w:lineRule="exact"/>
              <w:ind w:left="541"/>
              <w:jc w:val="left"/>
              <w:rPr>
                <w:rFonts w:ascii="Calibri"/>
                <w:sz w:val="18"/>
              </w:rPr>
            </w:pPr>
            <w:r>
              <w:rPr>
                <w:rFonts w:ascii="Calibri"/>
                <w:sz w:val="18"/>
              </w:rPr>
              <w:t>Reagent water (n=120)</w:t>
            </w:r>
          </w:p>
        </w:tc>
        <w:tc>
          <w:tcPr>
            <w:tcW w:w="2794" w:type="dxa"/>
            <w:gridSpan w:val="4"/>
            <w:tcBorders>
              <w:top w:val="single" w:sz="12" w:space="0" w:color="000000"/>
              <w:left w:val="single" w:sz="12" w:space="0" w:color="000000"/>
              <w:right w:val="single" w:sz="12" w:space="0" w:color="000000"/>
            </w:tcBorders>
          </w:tcPr>
          <w:p>
            <w:pPr>
              <w:pStyle w:val="TableParagraph"/>
              <w:spacing w:line="199" w:lineRule="exact"/>
              <w:ind w:left="581"/>
              <w:jc w:val="left"/>
              <w:rPr>
                <w:rFonts w:ascii="Calibri"/>
                <w:sz w:val="18"/>
              </w:rPr>
            </w:pPr>
            <w:r>
              <w:rPr>
                <w:rFonts w:ascii="Calibri"/>
                <w:sz w:val="18"/>
              </w:rPr>
              <w:t>Groundwater (n=120)</w:t>
            </w:r>
          </w:p>
        </w:tc>
        <w:tc>
          <w:tcPr>
            <w:tcW w:w="2794" w:type="dxa"/>
            <w:gridSpan w:val="4"/>
            <w:tcBorders>
              <w:top w:val="single" w:sz="12" w:space="0" w:color="000000"/>
              <w:left w:val="single" w:sz="12" w:space="0" w:color="000000"/>
              <w:right w:val="single" w:sz="12" w:space="0" w:color="000000"/>
            </w:tcBorders>
          </w:tcPr>
          <w:p>
            <w:pPr>
              <w:pStyle w:val="TableParagraph"/>
              <w:spacing w:line="199" w:lineRule="exact"/>
              <w:ind w:left="560"/>
              <w:jc w:val="left"/>
              <w:rPr>
                <w:rFonts w:ascii="Calibri"/>
                <w:sz w:val="18"/>
              </w:rPr>
            </w:pPr>
            <w:r>
              <w:rPr>
                <w:rFonts w:ascii="Calibri"/>
                <w:sz w:val="18"/>
              </w:rPr>
              <w:t>Surface water (n=120)</w:t>
            </w:r>
          </w:p>
        </w:tc>
        <w:tc>
          <w:tcPr>
            <w:tcW w:w="2790" w:type="dxa"/>
            <w:gridSpan w:val="4"/>
            <w:tcBorders>
              <w:top w:val="single" w:sz="12" w:space="0" w:color="000000"/>
              <w:left w:val="single" w:sz="12" w:space="0" w:color="000000"/>
              <w:right w:val="single" w:sz="12" w:space="0" w:color="000000"/>
            </w:tcBorders>
          </w:tcPr>
          <w:p>
            <w:pPr>
              <w:pStyle w:val="TableParagraph"/>
              <w:spacing w:line="199" w:lineRule="exact"/>
              <w:ind w:left="617"/>
              <w:jc w:val="left"/>
              <w:rPr>
                <w:rFonts w:ascii="Calibri"/>
                <w:sz w:val="18"/>
              </w:rPr>
            </w:pPr>
            <w:r>
              <w:rPr>
                <w:rFonts w:ascii="Calibri"/>
                <w:sz w:val="18"/>
              </w:rPr>
              <w:t>Wastewater (n=119)</w:t>
            </w:r>
          </w:p>
        </w:tc>
      </w:tr>
      <w:tr>
        <w:trPr>
          <w:trHeight w:val="438" w:hRule="atLeast"/>
        </w:trPr>
        <w:tc>
          <w:tcPr>
            <w:tcW w:w="1435" w:type="dxa"/>
            <w:vMerge/>
            <w:tcBorders>
              <w:top w:val="nil"/>
              <w:right w:val="single" w:sz="12" w:space="0" w:color="000000"/>
            </w:tcBorders>
          </w:tcPr>
          <w:p>
            <w:pPr>
              <w:rPr>
                <w:sz w:val="2"/>
                <w:szCs w:val="2"/>
              </w:rPr>
            </w:pPr>
          </w:p>
        </w:tc>
        <w:tc>
          <w:tcPr>
            <w:tcW w:w="1357" w:type="dxa"/>
            <w:gridSpan w:val="2"/>
            <w:tcBorders>
              <w:left w:val="single" w:sz="12" w:space="0" w:color="000000"/>
            </w:tcBorders>
          </w:tcPr>
          <w:p>
            <w:pPr>
              <w:pStyle w:val="TableParagraph"/>
              <w:spacing w:line="220" w:lineRule="atLeast" w:before="0"/>
              <w:ind w:left="129" w:right="111" w:firstLine="196"/>
              <w:jc w:val="left"/>
              <w:rPr>
                <w:rFonts w:ascii="Calibri"/>
                <w:sz w:val="18"/>
              </w:rPr>
            </w:pPr>
            <w:r>
              <w:rPr>
                <w:rFonts w:ascii="Calibri"/>
                <w:sz w:val="18"/>
              </w:rPr>
              <w:t>low spike (60 ng/L nom.)</w:t>
            </w:r>
          </w:p>
        </w:tc>
        <w:tc>
          <w:tcPr>
            <w:tcW w:w="1442" w:type="dxa"/>
            <w:gridSpan w:val="2"/>
            <w:tcBorders>
              <w:right w:val="single" w:sz="12" w:space="0" w:color="000000"/>
            </w:tcBorders>
          </w:tcPr>
          <w:p>
            <w:pPr>
              <w:pStyle w:val="TableParagraph"/>
              <w:spacing w:line="220" w:lineRule="atLeast" w:before="0"/>
              <w:ind w:left="111" w:right="78" w:firstLine="238"/>
              <w:jc w:val="left"/>
              <w:rPr>
                <w:rFonts w:ascii="Calibri"/>
                <w:sz w:val="18"/>
              </w:rPr>
            </w:pPr>
            <w:r>
              <w:rPr>
                <w:rFonts w:ascii="Calibri"/>
                <w:sz w:val="18"/>
              </w:rPr>
              <w:t>high spike (200 ng/L, nom.)</w:t>
            </w:r>
          </w:p>
        </w:tc>
        <w:tc>
          <w:tcPr>
            <w:tcW w:w="1353" w:type="dxa"/>
            <w:gridSpan w:val="2"/>
            <w:tcBorders>
              <w:left w:val="single" w:sz="12" w:space="0" w:color="000000"/>
            </w:tcBorders>
          </w:tcPr>
          <w:p>
            <w:pPr>
              <w:pStyle w:val="TableParagraph"/>
              <w:spacing w:line="220" w:lineRule="atLeast" w:before="0"/>
              <w:ind w:left="122" w:right="114" w:firstLine="196"/>
              <w:jc w:val="left"/>
              <w:rPr>
                <w:rFonts w:ascii="Calibri"/>
                <w:sz w:val="18"/>
              </w:rPr>
            </w:pPr>
            <w:r>
              <w:rPr>
                <w:rFonts w:ascii="Calibri"/>
                <w:sz w:val="18"/>
              </w:rPr>
              <w:t>low spike (60 ng/L nom.)</w:t>
            </w:r>
          </w:p>
        </w:tc>
        <w:tc>
          <w:tcPr>
            <w:tcW w:w="1441" w:type="dxa"/>
            <w:gridSpan w:val="2"/>
            <w:tcBorders>
              <w:right w:val="single" w:sz="12" w:space="0" w:color="000000"/>
            </w:tcBorders>
          </w:tcPr>
          <w:p>
            <w:pPr>
              <w:pStyle w:val="TableParagraph"/>
              <w:spacing w:line="220" w:lineRule="atLeast" w:before="0"/>
              <w:ind w:left="106" w:right="82" w:firstLine="238"/>
              <w:jc w:val="left"/>
              <w:rPr>
                <w:rFonts w:ascii="Calibri"/>
                <w:sz w:val="18"/>
              </w:rPr>
            </w:pPr>
            <w:r>
              <w:rPr>
                <w:rFonts w:ascii="Calibri"/>
                <w:sz w:val="18"/>
              </w:rPr>
              <w:t>high spike (200 ng/L, nom.)</w:t>
            </w:r>
          </w:p>
        </w:tc>
        <w:tc>
          <w:tcPr>
            <w:tcW w:w="1314" w:type="dxa"/>
            <w:gridSpan w:val="2"/>
            <w:tcBorders>
              <w:left w:val="single" w:sz="12" w:space="0" w:color="000000"/>
            </w:tcBorders>
          </w:tcPr>
          <w:p>
            <w:pPr>
              <w:pStyle w:val="TableParagraph"/>
              <w:spacing w:line="220" w:lineRule="atLeast" w:before="0"/>
              <w:ind w:left="99" w:right="98" w:firstLine="196"/>
              <w:jc w:val="left"/>
              <w:rPr>
                <w:rFonts w:ascii="Calibri"/>
                <w:sz w:val="18"/>
              </w:rPr>
            </w:pPr>
            <w:r>
              <w:rPr>
                <w:rFonts w:ascii="Calibri"/>
                <w:sz w:val="18"/>
              </w:rPr>
              <w:t>low spike (60 ng/L nom.)</w:t>
            </w:r>
          </w:p>
        </w:tc>
        <w:tc>
          <w:tcPr>
            <w:tcW w:w="1480" w:type="dxa"/>
            <w:gridSpan w:val="2"/>
            <w:tcBorders>
              <w:right w:val="single" w:sz="12" w:space="0" w:color="000000"/>
            </w:tcBorders>
          </w:tcPr>
          <w:p>
            <w:pPr>
              <w:pStyle w:val="TableParagraph"/>
              <w:spacing w:line="220" w:lineRule="atLeast" w:before="0"/>
              <w:ind w:left="121" w:right="106" w:firstLine="238"/>
              <w:jc w:val="left"/>
              <w:rPr>
                <w:rFonts w:ascii="Calibri"/>
                <w:sz w:val="18"/>
              </w:rPr>
            </w:pPr>
            <w:r>
              <w:rPr>
                <w:rFonts w:ascii="Calibri"/>
                <w:sz w:val="18"/>
              </w:rPr>
              <w:t>high spike (200 ng/L, nom.)</w:t>
            </w:r>
          </w:p>
        </w:tc>
        <w:tc>
          <w:tcPr>
            <w:tcW w:w="1353" w:type="dxa"/>
            <w:gridSpan w:val="2"/>
            <w:tcBorders>
              <w:left w:val="single" w:sz="12" w:space="0" w:color="000000"/>
            </w:tcBorders>
          </w:tcPr>
          <w:p>
            <w:pPr>
              <w:pStyle w:val="TableParagraph"/>
              <w:spacing w:line="220" w:lineRule="atLeast" w:before="0"/>
              <w:ind w:left="114" w:right="122" w:firstLine="196"/>
              <w:jc w:val="left"/>
              <w:rPr>
                <w:rFonts w:ascii="Calibri"/>
                <w:sz w:val="18"/>
              </w:rPr>
            </w:pPr>
            <w:r>
              <w:rPr>
                <w:rFonts w:ascii="Calibri"/>
                <w:sz w:val="18"/>
              </w:rPr>
              <w:t>low spike (60 ng/L nom.)</w:t>
            </w:r>
          </w:p>
        </w:tc>
        <w:tc>
          <w:tcPr>
            <w:tcW w:w="1441" w:type="dxa"/>
            <w:gridSpan w:val="2"/>
            <w:tcBorders>
              <w:right w:val="single" w:sz="12" w:space="0" w:color="000000"/>
            </w:tcBorders>
          </w:tcPr>
          <w:p>
            <w:pPr>
              <w:pStyle w:val="TableParagraph"/>
              <w:spacing w:line="220" w:lineRule="atLeast" w:before="0"/>
              <w:ind w:left="98" w:right="90" w:firstLine="238"/>
              <w:jc w:val="left"/>
              <w:rPr>
                <w:rFonts w:ascii="Calibri"/>
                <w:sz w:val="18"/>
              </w:rPr>
            </w:pPr>
            <w:r>
              <w:rPr>
                <w:rFonts w:ascii="Calibri"/>
                <w:sz w:val="18"/>
              </w:rPr>
              <w:t>high spike (200 ng/L, nom.)</w:t>
            </w:r>
          </w:p>
        </w:tc>
        <w:tc>
          <w:tcPr>
            <w:tcW w:w="1351" w:type="dxa"/>
            <w:gridSpan w:val="2"/>
            <w:tcBorders>
              <w:left w:val="single" w:sz="12" w:space="0" w:color="000000"/>
            </w:tcBorders>
          </w:tcPr>
          <w:p>
            <w:pPr>
              <w:pStyle w:val="TableParagraph"/>
              <w:spacing w:line="220" w:lineRule="atLeast" w:before="0"/>
              <w:ind w:left="110" w:right="124" w:firstLine="196"/>
              <w:jc w:val="left"/>
              <w:rPr>
                <w:rFonts w:ascii="Calibri"/>
                <w:sz w:val="18"/>
              </w:rPr>
            </w:pPr>
            <w:r>
              <w:rPr>
                <w:rFonts w:ascii="Calibri"/>
                <w:sz w:val="18"/>
              </w:rPr>
              <w:t>low spike (60 ng/L nom.)</w:t>
            </w:r>
          </w:p>
        </w:tc>
        <w:tc>
          <w:tcPr>
            <w:tcW w:w="1439" w:type="dxa"/>
            <w:gridSpan w:val="2"/>
            <w:tcBorders>
              <w:right w:val="single" w:sz="12" w:space="0" w:color="000000"/>
            </w:tcBorders>
          </w:tcPr>
          <w:p>
            <w:pPr>
              <w:pStyle w:val="TableParagraph"/>
              <w:spacing w:line="220" w:lineRule="atLeast" w:before="0"/>
              <w:ind w:left="96" w:right="90" w:firstLine="238"/>
              <w:jc w:val="left"/>
              <w:rPr>
                <w:rFonts w:ascii="Calibri"/>
                <w:sz w:val="18"/>
              </w:rPr>
            </w:pPr>
            <w:r>
              <w:rPr>
                <w:rFonts w:ascii="Calibri"/>
                <w:sz w:val="18"/>
              </w:rPr>
              <w:t>high spike (200 ng/L, nom.)</w:t>
            </w:r>
          </w:p>
        </w:tc>
      </w:tr>
      <w:tr>
        <w:trPr>
          <w:trHeight w:val="457" w:hRule="atLeast"/>
        </w:trPr>
        <w:tc>
          <w:tcPr>
            <w:tcW w:w="1435" w:type="dxa"/>
            <w:vMerge/>
            <w:tcBorders>
              <w:top w:val="nil"/>
              <w:right w:val="single" w:sz="12" w:space="0" w:color="000000"/>
            </w:tcBorders>
          </w:tcPr>
          <w:p>
            <w:pPr>
              <w:rPr>
                <w:sz w:val="2"/>
                <w:szCs w:val="2"/>
              </w:rPr>
            </w:pPr>
          </w:p>
        </w:tc>
        <w:tc>
          <w:tcPr>
            <w:tcW w:w="726" w:type="dxa"/>
            <w:tcBorders>
              <w:left w:val="single" w:sz="12" w:space="0" w:color="000000"/>
            </w:tcBorders>
          </w:tcPr>
          <w:p>
            <w:pPr>
              <w:pStyle w:val="TableParagraph"/>
              <w:spacing w:before="18"/>
              <w:ind w:left="140"/>
              <w:jc w:val="left"/>
              <w:rPr>
                <w:rFonts w:ascii="Calibri"/>
                <w:sz w:val="18"/>
              </w:rPr>
            </w:pPr>
            <w:r>
              <w:rPr>
                <w:rFonts w:ascii="Calibri"/>
                <w:sz w:val="18"/>
              </w:rPr>
              <w:t>Mean</w:t>
            </w:r>
          </w:p>
          <w:p>
            <w:pPr>
              <w:pStyle w:val="TableParagraph"/>
              <w:spacing w:line="199" w:lineRule="exact" w:before="0"/>
              <w:ind w:left="113"/>
              <w:jc w:val="left"/>
              <w:rPr>
                <w:rFonts w:ascii="Calibri"/>
                <w:sz w:val="18"/>
              </w:rPr>
            </w:pPr>
            <w:r>
              <w:rPr>
                <w:rFonts w:ascii="Calibri"/>
                <w:sz w:val="18"/>
              </w:rPr>
              <w:t>%</w:t>
            </w:r>
            <w:r>
              <w:rPr>
                <w:rFonts w:ascii="Calibri"/>
                <w:spacing w:val="-4"/>
                <w:sz w:val="18"/>
              </w:rPr>
              <w:t> </w:t>
            </w:r>
            <w:r>
              <w:rPr>
                <w:rFonts w:ascii="Calibri"/>
                <w:sz w:val="18"/>
              </w:rPr>
              <w:t>Rec.</w:t>
            </w:r>
          </w:p>
        </w:tc>
        <w:tc>
          <w:tcPr>
            <w:tcW w:w="631" w:type="dxa"/>
          </w:tcPr>
          <w:p>
            <w:pPr>
              <w:pStyle w:val="TableParagraph"/>
              <w:spacing w:line="220" w:lineRule="atLeast" w:before="17"/>
              <w:ind w:left="168" w:right="141" w:firstLine="81"/>
              <w:jc w:val="left"/>
              <w:rPr>
                <w:rFonts w:ascii="Calibri"/>
                <w:sz w:val="18"/>
              </w:rPr>
            </w:pPr>
            <w:r>
              <w:rPr>
                <w:rFonts w:ascii="Calibri"/>
                <w:sz w:val="18"/>
              </w:rPr>
              <w:t>% RSD</w:t>
            </w:r>
          </w:p>
        </w:tc>
        <w:tc>
          <w:tcPr>
            <w:tcW w:w="761" w:type="dxa"/>
          </w:tcPr>
          <w:p>
            <w:pPr>
              <w:pStyle w:val="TableParagraph"/>
              <w:spacing w:before="18"/>
              <w:ind w:left="164"/>
              <w:jc w:val="left"/>
              <w:rPr>
                <w:rFonts w:ascii="Calibri"/>
                <w:sz w:val="18"/>
              </w:rPr>
            </w:pPr>
            <w:r>
              <w:rPr>
                <w:rFonts w:ascii="Calibri"/>
                <w:sz w:val="18"/>
              </w:rPr>
              <w:t>Mean</w:t>
            </w:r>
          </w:p>
          <w:p>
            <w:pPr>
              <w:pStyle w:val="TableParagraph"/>
              <w:spacing w:line="199" w:lineRule="exact" w:before="0"/>
              <w:ind w:left="138"/>
              <w:jc w:val="left"/>
              <w:rPr>
                <w:rFonts w:ascii="Calibri"/>
                <w:sz w:val="18"/>
              </w:rPr>
            </w:pPr>
            <w:r>
              <w:rPr>
                <w:rFonts w:ascii="Calibri"/>
                <w:sz w:val="18"/>
              </w:rPr>
              <w:t>%</w:t>
            </w:r>
            <w:r>
              <w:rPr>
                <w:rFonts w:ascii="Calibri"/>
                <w:spacing w:val="-4"/>
                <w:sz w:val="18"/>
              </w:rPr>
              <w:t> </w:t>
            </w:r>
            <w:r>
              <w:rPr>
                <w:rFonts w:ascii="Calibri"/>
                <w:sz w:val="18"/>
              </w:rPr>
              <w:t>Rec.</w:t>
            </w:r>
          </w:p>
        </w:tc>
        <w:tc>
          <w:tcPr>
            <w:tcW w:w="681" w:type="dxa"/>
            <w:tcBorders>
              <w:right w:val="single" w:sz="12" w:space="0" w:color="000000"/>
            </w:tcBorders>
          </w:tcPr>
          <w:p>
            <w:pPr>
              <w:pStyle w:val="TableParagraph"/>
              <w:spacing w:before="7"/>
              <w:jc w:val="left"/>
              <w:rPr>
                <w:sz w:val="20"/>
              </w:rPr>
            </w:pPr>
          </w:p>
          <w:p>
            <w:pPr>
              <w:pStyle w:val="TableParagraph"/>
              <w:spacing w:line="199" w:lineRule="exact" w:before="0"/>
              <w:ind w:left="85" w:right="75"/>
              <w:rPr>
                <w:rFonts w:ascii="Calibri"/>
                <w:sz w:val="18"/>
              </w:rPr>
            </w:pPr>
            <w:r>
              <w:rPr>
                <w:rFonts w:ascii="Calibri"/>
                <w:sz w:val="18"/>
              </w:rPr>
              <w:t>% RSD</w:t>
            </w:r>
          </w:p>
        </w:tc>
        <w:tc>
          <w:tcPr>
            <w:tcW w:w="722" w:type="dxa"/>
            <w:tcBorders>
              <w:left w:val="single" w:sz="12" w:space="0" w:color="000000"/>
            </w:tcBorders>
          </w:tcPr>
          <w:p>
            <w:pPr>
              <w:pStyle w:val="TableParagraph"/>
              <w:spacing w:before="18"/>
              <w:ind w:left="133"/>
              <w:jc w:val="left"/>
              <w:rPr>
                <w:rFonts w:ascii="Calibri"/>
                <w:sz w:val="18"/>
              </w:rPr>
            </w:pPr>
            <w:r>
              <w:rPr>
                <w:rFonts w:ascii="Calibri"/>
                <w:sz w:val="18"/>
              </w:rPr>
              <w:t>Mean</w:t>
            </w:r>
          </w:p>
          <w:p>
            <w:pPr>
              <w:pStyle w:val="TableParagraph"/>
              <w:spacing w:line="199" w:lineRule="exact" w:before="0"/>
              <w:ind w:left="107"/>
              <w:jc w:val="left"/>
              <w:rPr>
                <w:rFonts w:ascii="Calibri"/>
                <w:sz w:val="18"/>
              </w:rPr>
            </w:pPr>
            <w:r>
              <w:rPr>
                <w:rFonts w:ascii="Calibri"/>
                <w:sz w:val="18"/>
              </w:rPr>
              <w:t>%</w:t>
            </w:r>
            <w:r>
              <w:rPr>
                <w:rFonts w:ascii="Calibri"/>
                <w:spacing w:val="-4"/>
                <w:sz w:val="18"/>
              </w:rPr>
              <w:t> </w:t>
            </w:r>
            <w:r>
              <w:rPr>
                <w:rFonts w:ascii="Calibri"/>
                <w:sz w:val="18"/>
              </w:rPr>
              <w:t>Rec.</w:t>
            </w:r>
          </w:p>
        </w:tc>
        <w:tc>
          <w:tcPr>
            <w:tcW w:w="631" w:type="dxa"/>
          </w:tcPr>
          <w:p>
            <w:pPr>
              <w:pStyle w:val="TableParagraph"/>
              <w:spacing w:line="220" w:lineRule="atLeast" w:before="17"/>
              <w:ind w:left="162" w:right="147" w:firstLine="81"/>
              <w:jc w:val="left"/>
              <w:rPr>
                <w:rFonts w:ascii="Calibri"/>
                <w:sz w:val="18"/>
              </w:rPr>
            </w:pPr>
            <w:r>
              <w:rPr>
                <w:rFonts w:ascii="Calibri"/>
                <w:sz w:val="18"/>
              </w:rPr>
              <w:t>% RSD</w:t>
            </w:r>
          </w:p>
        </w:tc>
        <w:tc>
          <w:tcPr>
            <w:tcW w:w="721" w:type="dxa"/>
          </w:tcPr>
          <w:p>
            <w:pPr>
              <w:pStyle w:val="TableParagraph"/>
              <w:spacing w:before="18"/>
              <w:ind w:left="140"/>
              <w:jc w:val="left"/>
              <w:rPr>
                <w:rFonts w:ascii="Calibri"/>
                <w:sz w:val="18"/>
              </w:rPr>
            </w:pPr>
            <w:r>
              <w:rPr>
                <w:rFonts w:ascii="Calibri"/>
                <w:sz w:val="18"/>
              </w:rPr>
              <w:t>Mean</w:t>
            </w:r>
          </w:p>
          <w:p>
            <w:pPr>
              <w:pStyle w:val="TableParagraph"/>
              <w:spacing w:line="199" w:lineRule="exact" w:before="0"/>
              <w:ind w:left="113"/>
              <w:jc w:val="left"/>
              <w:rPr>
                <w:rFonts w:ascii="Calibri"/>
                <w:sz w:val="18"/>
              </w:rPr>
            </w:pPr>
            <w:r>
              <w:rPr>
                <w:rFonts w:ascii="Calibri"/>
                <w:sz w:val="18"/>
              </w:rPr>
              <w:t>%</w:t>
            </w:r>
            <w:r>
              <w:rPr>
                <w:rFonts w:ascii="Calibri"/>
                <w:spacing w:val="-4"/>
                <w:sz w:val="18"/>
              </w:rPr>
              <w:t> </w:t>
            </w:r>
            <w:r>
              <w:rPr>
                <w:rFonts w:ascii="Calibri"/>
                <w:sz w:val="18"/>
              </w:rPr>
              <w:t>Rec.</w:t>
            </w:r>
          </w:p>
        </w:tc>
        <w:tc>
          <w:tcPr>
            <w:tcW w:w="720" w:type="dxa"/>
            <w:tcBorders>
              <w:right w:val="single" w:sz="12" w:space="0" w:color="000000"/>
            </w:tcBorders>
          </w:tcPr>
          <w:p>
            <w:pPr>
              <w:pStyle w:val="TableParagraph"/>
              <w:spacing w:before="7"/>
              <w:jc w:val="left"/>
              <w:rPr>
                <w:sz w:val="20"/>
              </w:rPr>
            </w:pPr>
          </w:p>
          <w:p>
            <w:pPr>
              <w:pStyle w:val="TableParagraph"/>
              <w:spacing w:line="199" w:lineRule="exact" w:before="0"/>
              <w:ind w:left="94" w:right="92"/>
              <w:rPr>
                <w:rFonts w:ascii="Calibri"/>
                <w:sz w:val="18"/>
              </w:rPr>
            </w:pPr>
            <w:r>
              <w:rPr>
                <w:rFonts w:ascii="Calibri"/>
                <w:sz w:val="18"/>
              </w:rPr>
              <w:t>% RSD</w:t>
            </w:r>
          </w:p>
        </w:tc>
        <w:tc>
          <w:tcPr>
            <w:tcW w:w="773" w:type="dxa"/>
            <w:tcBorders>
              <w:left w:val="single" w:sz="12" w:space="0" w:color="000000"/>
            </w:tcBorders>
          </w:tcPr>
          <w:p>
            <w:pPr>
              <w:pStyle w:val="TableParagraph"/>
              <w:spacing w:before="18"/>
              <w:ind w:left="154"/>
              <w:jc w:val="left"/>
              <w:rPr>
                <w:rFonts w:ascii="Calibri"/>
                <w:sz w:val="18"/>
              </w:rPr>
            </w:pPr>
            <w:r>
              <w:rPr>
                <w:rFonts w:ascii="Calibri"/>
                <w:sz w:val="18"/>
              </w:rPr>
              <w:t>Mean</w:t>
            </w:r>
          </w:p>
          <w:p>
            <w:pPr>
              <w:pStyle w:val="TableParagraph"/>
              <w:spacing w:line="199" w:lineRule="exact" w:before="0"/>
              <w:ind w:left="128"/>
              <w:jc w:val="left"/>
              <w:rPr>
                <w:rFonts w:ascii="Calibri"/>
                <w:sz w:val="18"/>
              </w:rPr>
            </w:pPr>
            <w:r>
              <w:rPr>
                <w:rFonts w:ascii="Calibri"/>
                <w:sz w:val="18"/>
              </w:rPr>
              <w:t>%</w:t>
            </w:r>
            <w:r>
              <w:rPr>
                <w:rFonts w:ascii="Calibri"/>
                <w:spacing w:val="-4"/>
                <w:sz w:val="18"/>
              </w:rPr>
              <w:t> </w:t>
            </w:r>
            <w:r>
              <w:rPr>
                <w:rFonts w:ascii="Calibri"/>
                <w:sz w:val="18"/>
              </w:rPr>
              <w:t>Rec.</w:t>
            </w:r>
          </w:p>
        </w:tc>
        <w:tc>
          <w:tcPr>
            <w:tcW w:w="541" w:type="dxa"/>
          </w:tcPr>
          <w:p>
            <w:pPr>
              <w:pStyle w:val="TableParagraph"/>
              <w:spacing w:line="220" w:lineRule="atLeast" w:before="17"/>
              <w:ind w:left="112" w:right="107" w:firstLine="81"/>
              <w:jc w:val="left"/>
              <w:rPr>
                <w:rFonts w:ascii="Calibri"/>
                <w:sz w:val="18"/>
              </w:rPr>
            </w:pPr>
            <w:r>
              <w:rPr>
                <w:rFonts w:ascii="Calibri"/>
                <w:sz w:val="18"/>
              </w:rPr>
              <w:t>% RSD</w:t>
            </w:r>
          </w:p>
        </w:tc>
        <w:tc>
          <w:tcPr>
            <w:tcW w:w="721" w:type="dxa"/>
          </w:tcPr>
          <w:p>
            <w:pPr>
              <w:pStyle w:val="TableParagraph"/>
              <w:spacing w:before="18"/>
              <w:ind w:left="135"/>
              <w:jc w:val="left"/>
              <w:rPr>
                <w:rFonts w:ascii="Calibri"/>
                <w:sz w:val="18"/>
              </w:rPr>
            </w:pPr>
            <w:r>
              <w:rPr>
                <w:rFonts w:ascii="Calibri"/>
                <w:sz w:val="18"/>
              </w:rPr>
              <w:t>Mean</w:t>
            </w:r>
          </w:p>
          <w:p>
            <w:pPr>
              <w:pStyle w:val="TableParagraph"/>
              <w:spacing w:line="199" w:lineRule="exact" w:before="0"/>
              <w:ind w:left="109"/>
              <w:jc w:val="left"/>
              <w:rPr>
                <w:rFonts w:ascii="Calibri"/>
                <w:sz w:val="18"/>
              </w:rPr>
            </w:pPr>
            <w:r>
              <w:rPr>
                <w:rFonts w:ascii="Calibri"/>
                <w:sz w:val="18"/>
              </w:rPr>
              <w:t>%</w:t>
            </w:r>
            <w:r>
              <w:rPr>
                <w:rFonts w:ascii="Calibri"/>
                <w:spacing w:val="-4"/>
                <w:sz w:val="18"/>
              </w:rPr>
              <w:t> </w:t>
            </w:r>
            <w:r>
              <w:rPr>
                <w:rFonts w:ascii="Calibri"/>
                <w:sz w:val="18"/>
              </w:rPr>
              <w:t>Rec.</w:t>
            </w:r>
          </w:p>
        </w:tc>
        <w:tc>
          <w:tcPr>
            <w:tcW w:w="759" w:type="dxa"/>
            <w:tcBorders>
              <w:right w:val="single" w:sz="12" w:space="0" w:color="000000"/>
            </w:tcBorders>
          </w:tcPr>
          <w:p>
            <w:pPr>
              <w:pStyle w:val="TableParagraph"/>
              <w:spacing w:before="7"/>
              <w:jc w:val="left"/>
              <w:rPr>
                <w:sz w:val="20"/>
              </w:rPr>
            </w:pPr>
          </w:p>
          <w:p>
            <w:pPr>
              <w:pStyle w:val="TableParagraph"/>
              <w:spacing w:line="199" w:lineRule="exact" w:before="0"/>
              <w:ind w:left="117" w:right="121"/>
              <w:rPr>
                <w:rFonts w:ascii="Calibri"/>
                <w:sz w:val="18"/>
              </w:rPr>
            </w:pPr>
            <w:r>
              <w:rPr>
                <w:rFonts w:ascii="Calibri"/>
                <w:sz w:val="18"/>
              </w:rPr>
              <w:t>% RSD</w:t>
            </w:r>
          </w:p>
        </w:tc>
        <w:tc>
          <w:tcPr>
            <w:tcW w:w="722" w:type="dxa"/>
            <w:tcBorders>
              <w:left w:val="single" w:sz="12" w:space="0" w:color="000000"/>
            </w:tcBorders>
          </w:tcPr>
          <w:p>
            <w:pPr>
              <w:pStyle w:val="TableParagraph"/>
              <w:spacing w:before="18"/>
              <w:ind w:left="125"/>
              <w:jc w:val="left"/>
              <w:rPr>
                <w:rFonts w:ascii="Calibri"/>
                <w:sz w:val="18"/>
              </w:rPr>
            </w:pPr>
            <w:r>
              <w:rPr>
                <w:rFonts w:ascii="Calibri"/>
                <w:sz w:val="18"/>
              </w:rPr>
              <w:t>Mean</w:t>
            </w:r>
          </w:p>
          <w:p>
            <w:pPr>
              <w:pStyle w:val="TableParagraph"/>
              <w:spacing w:line="199" w:lineRule="exact" w:before="0"/>
              <w:ind w:left="98"/>
              <w:jc w:val="left"/>
              <w:rPr>
                <w:rFonts w:ascii="Calibri"/>
                <w:sz w:val="18"/>
              </w:rPr>
            </w:pPr>
            <w:r>
              <w:rPr>
                <w:rFonts w:ascii="Calibri"/>
                <w:sz w:val="18"/>
              </w:rPr>
              <w:t>%</w:t>
            </w:r>
            <w:r>
              <w:rPr>
                <w:rFonts w:ascii="Calibri"/>
                <w:spacing w:val="-4"/>
                <w:sz w:val="18"/>
              </w:rPr>
              <w:t> </w:t>
            </w:r>
            <w:r>
              <w:rPr>
                <w:rFonts w:ascii="Calibri"/>
                <w:sz w:val="18"/>
              </w:rPr>
              <w:t>Rec.</w:t>
            </w:r>
          </w:p>
        </w:tc>
        <w:tc>
          <w:tcPr>
            <w:tcW w:w="631" w:type="dxa"/>
          </w:tcPr>
          <w:p>
            <w:pPr>
              <w:pStyle w:val="TableParagraph"/>
              <w:spacing w:line="220" w:lineRule="atLeast" w:before="17"/>
              <w:ind w:left="155" w:right="154" w:firstLine="81"/>
              <w:jc w:val="left"/>
              <w:rPr>
                <w:rFonts w:ascii="Calibri"/>
                <w:sz w:val="18"/>
              </w:rPr>
            </w:pPr>
            <w:r>
              <w:rPr>
                <w:rFonts w:ascii="Calibri"/>
                <w:sz w:val="18"/>
              </w:rPr>
              <w:t>% RSD</w:t>
            </w:r>
          </w:p>
        </w:tc>
        <w:tc>
          <w:tcPr>
            <w:tcW w:w="721" w:type="dxa"/>
          </w:tcPr>
          <w:p>
            <w:pPr>
              <w:pStyle w:val="TableParagraph"/>
              <w:spacing w:before="18"/>
              <w:ind w:left="132"/>
              <w:jc w:val="left"/>
              <w:rPr>
                <w:rFonts w:ascii="Calibri"/>
                <w:sz w:val="18"/>
              </w:rPr>
            </w:pPr>
            <w:r>
              <w:rPr>
                <w:rFonts w:ascii="Calibri"/>
                <w:sz w:val="18"/>
              </w:rPr>
              <w:t>Mean</w:t>
            </w:r>
          </w:p>
          <w:p>
            <w:pPr>
              <w:pStyle w:val="TableParagraph"/>
              <w:spacing w:line="199" w:lineRule="exact" w:before="0"/>
              <w:ind w:left="105"/>
              <w:jc w:val="left"/>
              <w:rPr>
                <w:rFonts w:ascii="Calibri"/>
                <w:sz w:val="18"/>
              </w:rPr>
            </w:pPr>
            <w:r>
              <w:rPr>
                <w:rFonts w:ascii="Calibri"/>
                <w:sz w:val="18"/>
              </w:rPr>
              <w:t>%</w:t>
            </w:r>
            <w:r>
              <w:rPr>
                <w:rFonts w:ascii="Calibri"/>
                <w:spacing w:val="-4"/>
                <w:sz w:val="18"/>
              </w:rPr>
              <w:t> </w:t>
            </w:r>
            <w:r>
              <w:rPr>
                <w:rFonts w:ascii="Calibri"/>
                <w:sz w:val="18"/>
              </w:rPr>
              <w:t>Rec.</w:t>
            </w:r>
          </w:p>
        </w:tc>
        <w:tc>
          <w:tcPr>
            <w:tcW w:w="720" w:type="dxa"/>
            <w:tcBorders>
              <w:right w:val="single" w:sz="12" w:space="0" w:color="000000"/>
            </w:tcBorders>
          </w:tcPr>
          <w:p>
            <w:pPr>
              <w:pStyle w:val="TableParagraph"/>
              <w:spacing w:before="7"/>
              <w:jc w:val="left"/>
              <w:rPr>
                <w:sz w:val="20"/>
              </w:rPr>
            </w:pPr>
          </w:p>
          <w:p>
            <w:pPr>
              <w:pStyle w:val="TableParagraph"/>
              <w:spacing w:line="199" w:lineRule="exact" w:before="0"/>
              <w:ind w:left="87" w:right="98"/>
              <w:rPr>
                <w:rFonts w:ascii="Calibri"/>
                <w:sz w:val="18"/>
              </w:rPr>
            </w:pPr>
            <w:r>
              <w:rPr>
                <w:rFonts w:ascii="Calibri"/>
                <w:sz w:val="18"/>
              </w:rPr>
              <w:t>% RSD</w:t>
            </w:r>
          </w:p>
        </w:tc>
        <w:tc>
          <w:tcPr>
            <w:tcW w:w="721" w:type="dxa"/>
            <w:tcBorders>
              <w:left w:val="single" w:sz="12" w:space="0" w:color="000000"/>
            </w:tcBorders>
          </w:tcPr>
          <w:p>
            <w:pPr>
              <w:pStyle w:val="TableParagraph"/>
              <w:spacing w:before="18"/>
              <w:ind w:left="121"/>
              <w:jc w:val="left"/>
              <w:rPr>
                <w:rFonts w:ascii="Calibri"/>
                <w:sz w:val="18"/>
              </w:rPr>
            </w:pPr>
            <w:r>
              <w:rPr>
                <w:rFonts w:ascii="Calibri"/>
                <w:sz w:val="18"/>
              </w:rPr>
              <w:t>Mean</w:t>
            </w:r>
          </w:p>
          <w:p>
            <w:pPr>
              <w:pStyle w:val="TableParagraph"/>
              <w:spacing w:line="199" w:lineRule="exact" w:before="0"/>
              <w:ind w:left="95"/>
              <w:jc w:val="left"/>
              <w:rPr>
                <w:rFonts w:ascii="Calibri"/>
                <w:sz w:val="18"/>
              </w:rPr>
            </w:pPr>
            <w:r>
              <w:rPr>
                <w:rFonts w:ascii="Calibri"/>
                <w:sz w:val="18"/>
              </w:rPr>
              <w:t>%</w:t>
            </w:r>
            <w:r>
              <w:rPr>
                <w:rFonts w:ascii="Calibri"/>
                <w:spacing w:val="-4"/>
                <w:sz w:val="18"/>
              </w:rPr>
              <w:t> </w:t>
            </w:r>
            <w:r>
              <w:rPr>
                <w:rFonts w:ascii="Calibri"/>
                <w:sz w:val="18"/>
              </w:rPr>
              <w:t>Rec.</w:t>
            </w:r>
          </w:p>
        </w:tc>
        <w:tc>
          <w:tcPr>
            <w:tcW w:w="630" w:type="dxa"/>
          </w:tcPr>
          <w:p>
            <w:pPr>
              <w:pStyle w:val="TableParagraph"/>
              <w:spacing w:line="220" w:lineRule="atLeast" w:before="17"/>
              <w:ind w:left="152" w:right="156" w:firstLine="81"/>
              <w:jc w:val="left"/>
              <w:rPr>
                <w:rFonts w:ascii="Calibri"/>
                <w:sz w:val="18"/>
              </w:rPr>
            </w:pPr>
            <w:r>
              <w:rPr>
                <w:rFonts w:ascii="Calibri"/>
                <w:sz w:val="18"/>
              </w:rPr>
              <w:t>% RSD</w:t>
            </w:r>
          </w:p>
        </w:tc>
        <w:tc>
          <w:tcPr>
            <w:tcW w:w="720" w:type="dxa"/>
          </w:tcPr>
          <w:p>
            <w:pPr>
              <w:pStyle w:val="TableParagraph"/>
              <w:spacing w:before="18"/>
              <w:ind w:left="130"/>
              <w:jc w:val="left"/>
              <w:rPr>
                <w:rFonts w:ascii="Calibri"/>
                <w:sz w:val="18"/>
              </w:rPr>
            </w:pPr>
            <w:r>
              <w:rPr>
                <w:rFonts w:ascii="Calibri"/>
                <w:sz w:val="18"/>
              </w:rPr>
              <w:t>Mean</w:t>
            </w:r>
          </w:p>
          <w:p>
            <w:pPr>
              <w:pStyle w:val="TableParagraph"/>
              <w:spacing w:line="199" w:lineRule="exact" w:before="0"/>
              <w:ind w:left="104"/>
              <w:jc w:val="left"/>
              <w:rPr>
                <w:rFonts w:ascii="Calibri"/>
                <w:sz w:val="18"/>
              </w:rPr>
            </w:pPr>
            <w:r>
              <w:rPr>
                <w:rFonts w:ascii="Calibri"/>
                <w:sz w:val="18"/>
              </w:rPr>
              <w:t>%</w:t>
            </w:r>
            <w:r>
              <w:rPr>
                <w:rFonts w:ascii="Calibri"/>
                <w:spacing w:val="-4"/>
                <w:sz w:val="18"/>
              </w:rPr>
              <w:t> </w:t>
            </w:r>
            <w:r>
              <w:rPr>
                <w:rFonts w:ascii="Calibri"/>
                <w:sz w:val="18"/>
              </w:rPr>
              <w:t>Rec.</w:t>
            </w:r>
          </w:p>
        </w:tc>
        <w:tc>
          <w:tcPr>
            <w:tcW w:w="719" w:type="dxa"/>
            <w:tcBorders>
              <w:right w:val="single" w:sz="12" w:space="0" w:color="000000"/>
            </w:tcBorders>
          </w:tcPr>
          <w:p>
            <w:pPr>
              <w:pStyle w:val="TableParagraph"/>
              <w:spacing w:before="7"/>
              <w:jc w:val="left"/>
              <w:rPr>
                <w:sz w:val="20"/>
              </w:rPr>
            </w:pPr>
          </w:p>
          <w:p>
            <w:pPr>
              <w:pStyle w:val="TableParagraph"/>
              <w:spacing w:line="199" w:lineRule="exact" w:before="0"/>
              <w:ind w:left="93" w:right="105"/>
              <w:rPr>
                <w:rFonts w:ascii="Calibri"/>
                <w:sz w:val="18"/>
              </w:rPr>
            </w:pPr>
            <w:r>
              <w:rPr>
                <w:rFonts w:ascii="Calibri"/>
                <w:sz w:val="18"/>
              </w:rPr>
              <w:t>% RSD</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PFTreA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89.5</w:t>
            </w:r>
          </w:p>
        </w:tc>
        <w:tc>
          <w:tcPr>
            <w:tcW w:w="631" w:type="dxa"/>
          </w:tcPr>
          <w:p>
            <w:pPr>
              <w:pStyle w:val="TableParagraph"/>
              <w:spacing w:line="199" w:lineRule="exact"/>
              <w:ind w:left="129" w:right="124"/>
              <w:rPr>
                <w:rFonts w:ascii="Calibri"/>
                <w:sz w:val="18"/>
              </w:rPr>
            </w:pPr>
            <w:r>
              <w:rPr>
                <w:rFonts w:ascii="Calibri"/>
                <w:sz w:val="18"/>
              </w:rPr>
              <w:t>27.3</w:t>
            </w:r>
          </w:p>
        </w:tc>
        <w:tc>
          <w:tcPr>
            <w:tcW w:w="761" w:type="dxa"/>
          </w:tcPr>
          <w:p>
            <w:pPr>
              <w:pStyle w:val="TableParagraph"/>
              <w:spacing w:line="199" w:lineRule="exact"/>
              <w:ind w:left="151" w:right="148"/>
              <w:rPr>
                <w:rFonts w:ascii="Calibri"/>
                <w:sz w:val="18"/>
              </w:rPr>
            </w:pPr>
            <w:r>
              <w:rPr>
                <w:rFonts w:ascii="Calibri"/>
                <w:sz w:val="18"/>
              </w:rPr>
              <w:t>95.0</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18.3</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95.5</w:t>
            </w:r>
          </w:p>
        </w:tc>
        <w:tc>
          <w:tcPr>
            <w:tcW w:w="631" w:type="dxa"/>
          </w:tcPr>
          <w:p>
            <w:pPr>
              <w:pStyle w:val="TableParagraph"/>
              <w:spacing w:line="199" w:lineRule="exact"/>
              <w:ind w:left="126" w:right="128"/>
              <w:rPr>
                <w:rFonts w:ascii="Calibri"/>
                <w:sz w:val="18"/>
              </w:rPr>
            </w:pPr>
            <w:r>
              <w:rPr>
                <w:rFonts w:ascii="Calibri"/>
                <w:sz w:val="18"/>
              </w:rPr>
              <w:t>26.6</w:t>
            </w:r>
          </w:p>
        </w:tc>
        <w:tc>
          <w:tcPr>
            <w:tcW w:w="721" w:type="dxa"/>
          </w:tcPr>
          <w:p>
            <w:pPr>
              <w:pStyle w:val="TableParagraph"/>
              <w:spacing w:line="199" w:lineRule="exact"/>
              <w:ind w:left="128" w:right="131"/>
              <w:rPr>
                <w:rFonts w:ascii="Calibri"/>
                <w:sz w:val="18"/>
              </w:rPr>
            </w:pPr>
            <w:r>
              <w:rPr>
                <w:rFonts w:ascii="Calibri"/>
                <w:sz w:val="18"/>
              </w:rPr>
              <w:t>101.2</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18.5</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88.2</w:t>
            </w:r>
          </w:p>
        </w:tc>
        <w:tc>
          <w:tcPr>
            <w:tcW w:w="541" w:type="dxa"/>
          </w:tcPr>
          <w:p>
            <w:pPr>
              <w:pStyle w:val="TableParagraph"/>
              <w:spacing w:line="199" w:lineRule="exact"/>
              <w:ind w:left="99"/>
              <w:jc w:val="left"/>
              <w:rPr>
                <w:rFonts w:ascii="Calibri"/>
                <w:sz w:val="18"/>
              </w:rPr>
            </w:pPr>
            <w:r>
              <w:rPr>
                <w:rFonts w:ascii="Calibri"/>
                <w:sz w:val="18"/>
              </w:rPr>
              <w:t>24.6</w:t>
            </w:r>
          </w:p>
        </w:tc>
        <w:tc>
          <w:tcPr>
            <w:tcW w:w="721" w:type="dxa"/>
          </w:tcPr>
          <w:p>
            <w:pPr>
              <w:pStyle w:val="TableParagraph"/>
              <w:spacing w:line="199" w:lineRule="exact"/>
              <w:ind w:right="200"/>
              <w:jc w:val="right"/>
              <w:rPr>
                <w:rFonts w:ascii="Calibri"/>
                <w:sz w:val="18"/>
              </w:rPr>
            </w:pPr>
            <w:r>
              <w:rPr>
                <w:rFonts w:ascii="Calibri"/>
                <w:sz w:val="18"/>
              </w:rPr>
              <w:t>92.9</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17.4</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83.8</w:t>
            </w:r>
          </w:p>
        </w:tc>
        <w:tc>
          <w:tcPr>
            <w:tcW w:w="631" w:type="dxa"/>
          </w:tcPr>
          <w:p>
            <w:pPr>
              <w:pStyle w:val="TableParagraph"/>
              <w:spacing w:line="199" w:lineRule="exact"/>
              <w:ind w:left="140"/>
              <w:jc w:val="left"/>
              <w:rPr>
                <w:rFonts w:ascii="Calibri"/>
                <w:sz w:val="18"/>
              </w:rPr>
            </w:pPr>
            <w:r>
              <w:rPr>
                <w:rFonts w:ascii="Calibri"/>
                <w:sz w:val="18"/>
              </w:rPr>
              <w:t>23.4</w:t>
            </w:r>
          </w:p>
        </w:tc>
        <w:tc>
          <w:tcPr>
            <w:tcW w:w="721" w:type="dxa"/>
          </w:tcPr>
          <w:p>
            <w:pPr>
              <w:pStyle w:val="TableParagraph"/>
              <w:spacing w:line="199" w:lineRule="exact"/>
              <w:ind w:left="185"/>
              <w:jc w:val="left"/>
              <w:rPr>
                <w:rFonts w:ascii="Calibri"/>
                <w:sz w:val="18"/>
              </w:rPr>
            </w:pPr>
            <w:r>
              <w:rPr>
                <w:rFonts w:ascii="Calibri"/>
                <w:sz w:val="18"/>
              </w:rPr>
              <w:t>94.1</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16.8</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90.7</w:t>
            </w:r>
          </w:p>
        </w:tc>
        <w:tc>
          <w:tcPr>
            <w:tcW w:w="630" w:type="dxa"/>
          </w:tcPr>
          <w:p>
            <w:pPr>
              <w:pStyle w:val="TableParagraph"/>
              <w:spacing w:line="199" w:lineRule="exact"/>
              <w:ind w:left="137"/>
              <w:jc w:val="left"/>
              <w:rPr>
                <w:rFonts w:ascii="Calibri"/>
                <w:sz w:val="18"/>
              </w:rPr>
            </w:pPr>
            <w:r>
              <w:rPr>
                <w:rFonts w:ascii="Calibri"/>
                <w:sz w:val="18"/>
              </w:rPr>
              <w:t>32.4</w:t>
            </w:r>
          </w:p>
        </w:tc>
        <w:tc>
          <w:tcPr>
            <w:tcW w:w="720" w:type="dxa"/>
          </w:tcPr>
          <w:p>
            <w:pPr>
              <w:pStyle w:val="TableParagraph"/>
              <w:spacing w:line="199" w:lineRule="exact"/>
              <w:ind w:left="183"/>
              <w:jc w:val="left"/>
              <w:rPr>
                <w:rFonts w:ascii="Calibri"/>
                <w:sz w:val="18"/>
              </w:rPr>
            </w:pPr>
            <w:r>
              <w:rPr>
                <w:rFonts w:ascii="Calibri"/>
                <w:sz w:val="18"/>
              </w:rPr>
              <w:t>91.8</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19.3</w:t>
            </w:r>
          </w:p>
        </w:tc>
      </w:tr>
      <w:tr>
        <w:trPr>
          <w:trHeight w:val="299" w:hRule="atLeast"/>
        </w:trPr>
        <w:tc>
          <w:tcPr>
            <w:tcW w:w="1435" w:type="dxa"/>
            <w:tcBorders>
              <w:right w:val="single" w:sz="12" w:space="0" w:color="000000"/>
            </w:tcBorders>
          </w:tcPr>
          <w:p>
            <w:pPr>
              <w:pStyle w:val="TableParagraph"/>
              <w:spacing w:line="199" w:lineRule="exact"/>
              <w:ind w:left="175" w:right="158"/>
              <w:rPr>
                <w:rFonts w:ascii="Calibri"/>
                <w:sz w:val="18"/>
              </w:rPr>
            </w:pPr>
            <w:r>
              <w:rPr>
                <w:rFonts w:ascii="Calibri"/>
                <w:sz w:val="18"/>
              </w:rPr>
              <w:t>PFTriA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95.7</w:t>
            </w:r>
          </w:p>
        </w:tc>
        <w:tc>
          <w:tcPr>
            <w:tcW w:w="631" w:type="dxa"/>
          </w:tcPr>
          <w:p>
            <w:pPr>
              <w:pStyle w:val="TableParagraph"/>
              <w:spacing w:line="199" w:lineRule="exact"/>
              <w:ind w:left="129" w:right="124"/>
              <w:rPr>
                <w:rFonts w:ascii="Calibri"/>
                <w:sz w:val="18"/>
              </w:rPr>
            </w:pPr>
            <w:r>
              <w:rPr>
                <w:rFonts w:ascii="Calibri"/>
                <w:sz w:val="18"/>
              </w:rPr>
              <w:t>25.2</w:t>
            </w:r>
          </w:p>
        </w:tc>
        <w:tc>
          <w:tcPr>
            <w:tcW w:w="761" w:type="dxa"/>
          </w:tcPr>
          <w:p>
            <w:pPr>
              <w:pStyle w:val="TableParagraph"/>
              <w:spacing w:line="199" w:lineRule="exact"/>
              <w:ind w:left="151" w:right="148"/>
              <w:rPr>
                <w:rFonts w:ascii="Calibri"/>
                <w:sz w:val="18"/>
              </w:rPr>
            </w:pPr>
            <w:r>
              <w:rPr>
                <w:rFonts w:ascii="Calibri"/>
                <w:sz w:val="18"/>
              </w:rPr>
              <w:t>99.8</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18.2</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97.7</w:t>
            </w:r>
          </w:p>
        </w:tc>
        <w:tc>
          <w:tcPr>
            <w:tcW w:w="631" w:type="dxa"/>
          </w:tcPr>
          <w:p>
            <w:pPr>
              <w:pStyle w:val="TableParagraph"/>
              <w:spacing w:line="199" w:lineRule="exact"/>
              <w:ind w:left="126" w:right="128"/>
              <w:rPr>
                <w:rFonts w:ascii="Calibri"/>
                <w:sz w:val="18"/>
              </w:rPr>
            </w:pPr>
            <w:r>
              <w:rPr>
                <w:rFonts w:ascii="Calibri"/>
                <w:sz w:val="18"/>
              </w:rPr>
              <w:t>22.8</w:t>
            </w:r>
          </w:p>
        </w:tc>
        <w:tc>
          <w:tcPr>
            <w:tcW w:w="721" w:type="dxa"/>
          </w:tcPr>
          <w:p>
            <w:pPr>
              <w:pStyle w:val="TableParagraph"/>
              <w:spacing w:line="199" w:lineRule="exact"/>
              <w:ind w:left="128" w:right="131"/>
              <w:rPr>
                <w:rFonts w:ascii="Calibri"/>
                <w:sz w:val="18"/>
              </w:rPr>
            </w:pPr>
            <w:r>
              <w:rPr>
                <w:rFonts w:ascii="Calibri"/>
                <w:sz w:val="18"/>
              </w:rPr>
              <w:t>102.5</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17.6</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95.8</w:t>
            </w:r>
          </w:p>
        </w:tc>
        <w:tc>
          <w:tcPr>
            <w:tcW w:w="541" w:type="dxa"/>
          </w:tcPr>
          <w:p>
            <w:pPr>
              <w:pStyle w:val="TableParagraph"/>
              <w:spacing w:line="199" w:lineRule="exact"/>
              <w:ind w:left="99"/>
              <w:jc w:val="left"/>
              <w:rPr>
                <w:rFonts w:ascii="Calibri"/>
                <w:sz w:val="18"/>
              </w:rPr>
            </w:pPr>
            <w:r>
              <w:rPr>
                <w:rFonts w:ascii="Calibri"/>
                <w:sz w:val="18"/>
              </w:rPr>
              <w:t>25.4</w:t>
            </w:r>
          </w:p>
        </w:tc>
        <w:tc>
          <w:tcPr>
            <w:tcW w:w="721" w:type="dxa"/>
          </w:tcPr>
          <w:p>
            <w:pPr>
              <w:pStyle w:val="TableParagraph"/>
              <w:spacing w:line="199" w:lineRule="exact"/>
              <w:ind w:right="200"/>
              <w:jc w:val="right"/>
              <w:rPr>
                <w:rFonts w:ascii="Calibri"/>
                <w:sz w:val="18"/>
              </w:rPr>
            </w:pPr>
            <w:r>
              <w:rPr>
                <w:rFonts w:ascii="Calibri"/>
                <w:sz w:val="18"/>
              </w:rPr>
              <w:t>99.3</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17.6</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92.3</w:t>
            </w:r>
          </w:p>
        </w:tc>
        <w:tc>
          <w:tcPr>
            <w:tcW w:w="631" w:type="dxa"/>
          </w:tcPr>
          <w:p>
            <w:pPr>
              <w:pStyle w:val="TableParagraph"/>
              <w:spacing w:line="199" w:lineRule="exact"/>
              <w:ind w:left="140"/>
              <w:jc w:val="left"/>
              <w:rPr>
                <w:rFonts w:ascii="Calibri"/>
                <w:sz w:val="18"/>
              </w:rPr>
            </w:pPr>
            <w:r>
              <w:rPr>
                <w:rFonts w:ascii="Calibri"/>
                <w:sz w:val="18"/>
              </w:rPr>
              <w:t>24.7</w:t>
            </w:r>
          </w:p>
        </w:tc>
        <w:tc>
          <w:tcPr>
            <w:tcW w:w="721" w:type="dxa"/>
          </w:tcPr>
          <w:p>
            <w:pPr>
              <w:pStyle w:val="TableParagraph"/>
              <w:spacing w:line="199" w:lineRule="exact"/>
              <w:ind w:left="185"/>
              <w:jc w:val="left"/>
              <w:rPr>
                <w:rFonts w:ascii="Calibri"/>
                <w:sz w:val="18"/>
              </w:rPr>
            </w:pPr>
            <w:r>
              <w:rPr>
                <w:rFonts w:ascii="Calibri"/>
                <w:sz w:val="18"/>
              </w:rPr>
              <w:t>99.4</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17.8</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97.2</w:t>
            </w:r>
          </w:p>
        </w:tc>
        <w:tc>
          <w:tcPr>
            <w:tcW w:w="630" w:type="dxa"/>
          </w:tcPr>
          <w:p>
            <w:pPr>
              <w:pStyle w:val="TableParagraph"/>
              <w:spacing w:line="199" w:lineRule="exact"/>
              <w:ind w:left="137"/>
              <w:jc w:val="left"/>
              <w:rPr>
                <w:rFonts w:ascii="Calibri"/>
                <w:sz w:val="18"/>
              </w:rPr>
            </w:pPr>
            <w:r>
              <w:rPr>
                <w:rFonts w:ascii="Calibri"/>
                <w:sz w:val="18"/>
              </w:rPr>
              <w:t>28.2</w:t>
            </w:r>
          </w:p>
        </w:tc>
        <w:tc>
          <w:tcPr>
            <w:tcW w:w="720" w:type="dxa"/>
          </w:tcPr>
          <w:p>
            <w:pPr>
              <w:pStyle w:val="TableParagraph"/>
              <w:spacing w:line="199" w:lineRule="exact"/>
              <w:ind w:left="183"/>
              <w:jc w:val="left"/>
              <w:rPr>
                <w:rFonts w:ascii="Calibri"/>
                <w:sz w:val="18"/>
              </w:rPr>
            </w:pPr>
            <w:r>
              <w:rPr>
                <w:rFonts w:ascii="Calibri"/>
                <w:sz w:val="18"/>
              </w:rPr>
              <w:t>98.2</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20.4</w:t>
            </w:r>
          </w:p>
        </w:tc>
      </w:tr>
      <w:tr>
        <w:trPr>
          <w:trHeight w:val="299" w:hRule="atLeast"/>
        </w:trPr>
        <w:tc>
          <w:tcPr>
            <w:tcW w:w="1435" w:type="dxa"/>
            <w:tcBorders>
              <w:right w:val="single" w:sz="12" w:space="0" w:color="000000"/>
            </w:tcBorders>
          </w:tcPr>
          <w:p>
            <w:pPr>
              <w:pStyle w:val="TableParagraph"/>
              <w:spacing w:line="199" w:lineRule="exact"/>
              <w:ind w:left="175" w:right="158"/>
              <w:rPr>
                <w:rFonts w:ascii="Calibri"/>
                <w:sz w:val="18"/>
              </w:rPr>
            </w:pPr>
            <w:r>
              <w:rPr>
                <w:rFonts w:ascii="Calibri"/>
                <w:sz w:val="18"/>
              </w:rPr>
              <w:t>PFDoA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95.8</w:t>
            </w:r>
          </w:p>
        </w:tc>
        <w:tc>
          <w:tcPr>
            <w:tcW w:w="631" w:type="dxa"/>
          </w:tcPr>
          <w:p>
            <w:pPr>
              <w:pStyle w:val="TableParagraph"/>
              <w:spacing w:line="199" w:lineRule="exact"/>
              <w:ind w:left="129" w:right="124"/>
              <w:rPr>
                <w:rFonts w:ascii="Calibri"/>
                <w:sz w:val="18"/>
              </w:rPr>
            </w:pPr>
            <w:r>
              <w:rPr>
                <w:rFonts w:ascii="Calibri"/>
                <w:sz w:val="18"/>
              </w:rPr>
              <w:t>25.2</w:t>
            </w:r>
          </w:p>
        </w:tc>
        <w:tc>
          <w:tcPr>
            <w:tcW w:w="761" w:type="dxa"/>
          </w:tcPr>
          <w:p>
            <w:pPr>
              <w:pStyle w:val="TableParagraph"/>
              <w:spacing w:line="199" w:lineRule="exact"/>
              <w:ind w:left="151" w:right="148"/>
              <w:rPr>
                <w:rFonts w:ascii="Calibri"/>
                <w:sz w:val="18"/>
              </w:rPr>
            </w:pPr>
            <w:r>
              <w:rPr>
                <w:rFonts w:ascii="Calibri"/>
                <w:sz w:val="18"/>
              </w:rPr>
              <w:t>102.1</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18.0</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95.8</w:t>
            </w:r>
          </w:p>
        </w:tc>
        <w:tc>
          <w:tcPr>
            <w:tcW w:w="631" w:type="dxa"/>
          </w:tcPr>
          <w:p>
            <w:pPr>
              <w:pStyle w:val="TableParagraph"/>
              <w:spacing w:line="199" w:lineRule="exact"/>
              <w:ind w:left="126" w:right="128"/>
              <w:rPr>
                <w:rFonts w:ascii="Calibri"/>
                <w:sz w:val="18"/>
              </w:rPr>
            </w:pPr>
            <w:r>
              <w:rPr>
                <w:rFonts w:ascii="Calibri"/>
                <w:sz w:val="18"/>
              </w:rPr>
              <w:t>24.3</w:t>
            </w:r>
          </w:p>
        </w:tc>
        <w:tc>
          <w:tcPr>
            <w:tcW w:w="721" w:type="dxa"/>
          </w:tcPr>
          <w:p>
            <w:pPr>
              <w:pStyle w:val="TableParagraph"/>
              <w:spacing w:line="199" w:lineRule="exact"/>
              <w:ind w:left="128" w:right="131"/>
              <w:rPr>
                <w:rFonts w:ascii="Calibri"/>
                <w:sz w:val="18"/>
              </w:rPr>
            </w:pPr>
            <w:r>
              <w:rPr>
                <w:rFonts w:ascii="Calibri"/>
                <w:sz w:val="18"/>
              </w:rPr>
              <w:t>103.0</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14.5</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98.0</w:t>
            </w:r>
          </w:p>
        </w:tc>
        <w:tc>
          <w:tcPr>
            <w:tcW w:w="541" w:type="dxa"/>
          </w:tcPr>
          <w:p>
            <w:pPr>
              <w:pStyle w:val="TableParagraph"/>
              <w:spacing w:line="199" w:lineRule="exact"/>
              <w:ind w:left="99"/>
              <w:jc w:val="left"/>
              <w:rPr>
                <w:rFonts w:ascii="Calibri"/>
                <w:sz w:val="18"/>
              </w:rPr>
            </w:pPr>
            <w:r>
              <w:rPr>
                <w:rFonts w:ascii="Calibri"/>
                <w:sz w:val="18"/>
              </w:rPr>
              <w:t>26.2</w:t>
            </w:r>
          </w:p>
        </w:tc>
        <w:tc>
          <w:tcPr>
            <w:tcW w:w="721" w:type="dxa"/>
          </w:tcPr>
          <w:p>
            <w:pPr>
              <w:pStyle w:val="TableParagraph"/>
              <w:spacing w:line="199" w:lineRule="exact"/>
              <w:ind w:right="155"/>
              <w:jc w:val="right"/>
              <w:rPr>
                <w:rFonts w:ascii="Calibri"/>
                <w:sz w:val="18"/>
              </w:rPr>
            </w:pPr>
            <w:r>
              <w:rPr>
                <w:rFonts w:ascii="Calibri"/>
                <w:sz w:val="18"/>
              </w:rPr>
              <w:t>102.8</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19.5</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93.9</w:t>
            </w:r>
          </w:p>
        </w:tc>
        <w:tc>
          <w:tcPr>
            <w:tcW w:w="631" w:type="dxa"/>
          </w:tcPr>
          <w:p>
            <w:pPr>
              <w:pStyle w:val="TableParagraph"/>
              <w:spacing w:line="199" w:lineRule="exact"/>
              <w:ind w:left="140"/>
              <w:jc w:val="left"/>
              <w:rPr>
                <w:rFonts w:ascii="Calibri"/>
                <w:sz w:val="18"/>
              </w:rPr>
            </w:pPr>
            <w:r>
              <w:rPr>
                <w:rFonts w:ascii="Calibri"/>
                <w:sz w:val="18"/>
              </w:rPr>
              <w:t>20.9</w:t>
            </w:r>
          </w:p>
        </w:tc>
        <w:tc>
          <w:tcPr>
            <w:tcW w:w="721" w:type="dxa"/>
          </w:tcPr>
          <w:p>
            <w:pPr>
              <w:pStyle w:val="TableParagraph"/>
              <w:spacing w:line="199" w:lineRule="exact"/>
              <w:ind w:left="139"/>
              <w:jc w:val="left"/>
              <w:rPr>
                <w:rFonts w:ascii="Calibri"/>
                <w:sz w:val="18"/>
              </w:rPr>
            </w:pPr>
            <w:r>
              <w:rPr>
                <w:rFonts w:ascii="Calibri"/>
                <w:sz w:val="18"/>
              </w:rPr>
              <w:t>101.2</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19.0</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95.6</w:t>
            </w:r>
          </w:p>
        </w:tc>
        <w:tc>
          <w:tcPr>
            <w:tcW w:w="630" w:type="dxa"/>
          </w:tcPr>
          <w:p>
            <w:pPr>
              <w:pStyle w:val="TableParagraph"/>
              <w:spacing w:line="199" w:lineRule="exact"/>
              <w:ind w:left="137"/>
              <w:jc w:val="left"/>
              <w:rPr>
                <w:rFonts w:ascii="Calibri"/>
                <w:sz w:val="18"/>
              </w:rPr>
            </w:pPr>
            <w:r>
              <w:rPr>
                <w:rFonts w:ascii="Calibri"/>
                <w:sz w:val="18"/>
              </w:rPr>
              <w:t>29.3</w:t>
            </w:r>
          </w:p>
        </w:tc>
        <w:tc>
          <w:tcPr>
            <w:tcW w:w="720" w:type="dxa"/>
          </w:tcPr>
          <w:p>
            <w:pPr>
              <w:pStyle w:val="TableParagraph"/>
              <w:spacing w:line="199" w:lineRule="exact"/>
              <w:ind w:left="137"/>
              <w:jc w:val="left"/>
              <w:rPr>
                <w:rFonts w:ascii="Calibri"/>
                <w:sz w:val="18"/>
              </w:rPr>
            </w:pPr>
            <w:r>
              <w:rPr>
                <w:rFonts w:ascii="Calibri"/>
                <w:sz w:val="18"/>
              </w:rPr>
              <w:t>101.2</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19.2</w:t>
            </w:r>
          </w:p>
        </w:tc>
      </w:tr>
      <w:tr>
        <w:trPr>
          <w:trHeight w:val="300" w:hRule="atLeast"/>
        </w:trPr>
        <w:tc>
          <w:tcPr>
            <w:tcW w:w="1435" w:type="dxa"/>
            <w:tcBorders>
              <w:right w:val="single" w:sz="12" w:space="0" w:color="000000"/>
            </w:tcBorders>
          </w:tcPr>
          <w:p>
            <w:pPr>
              <w:pStyle w:val="TableParagraph"/>
              <w:spacing w:line="199" w:lineRule="exact" w:before="81"/>
              <w:ind w:left="177" w:right="158"/>
              <w:rPr>
                <w:rFonts w:ascii="Calibri"/>
                <w:sz w:val="18"/>
              </w:rPr>
            </w:pPr>
            <w:r>
              <w:rPr>
                <w:rFonts w:ascii="Calibri"/>
                <w:sz w:val="18"/>
              </w:rPr>
              <w:t>PFUnA</w:t>
            </w:r>
          </w:p>
        </w:tc>
        <w:tc>
          <w:tcPr>
            <w:tcW w:w="726" w:type="dxa"/>
            <w:tcBorders>
              <w:left w:val="single" w:sz="12" w:space="0" w:color="000000"/>
            </w:tcBorders>
          </w:tcPr>
          <w:p>
            <w:pPr>
              <w:pStyle w:val="TableParagraph"/>
              <w:spacing w:line="199" w:lineRule="exact" w:before="81"/>
              <w:ind w:left="127" w:right="127"/>
              <w:rPr>
                <w:rFonts w:ascii="Calibri"/>
                <w:sz w:val="18"/>
              </w:rPr>
            </w:pPr>
            <w:r>
              <w:rPr>
                <w:rFonts w:ascii="Calibri"/>
                <w:sz w:val="18"/>
              </w:rPr>
              <w:t>97.3</w:t>
            </w:r>
          </w:p>
        </w:tc>
        <w:tc>
          <w:tcPr>
            <w:tcW w:w="631" w:type="dxa"/>
          </w:tcPr>
          <w:p>
            <w:pPr>
              <w:pStyle w:val="TableParagraph"/>
              <w:spacing w:line="199" w:lineRule="exact" w:before="81"/>
              <w:ind w:left="129" w:right="124"/>
              <w:rPr>
                <w:rFonts w:ascii="Calibri"/>
                <w:sz w:val="18"/>
              </w:rPr>
            </w:pPr>
            <w:r>
              <w:rPr>
                <w:rFonts w:ascii="Calibri"/>
                <w:sz w:val="18"/>
              </w:rPr>
              <w:t>18.9</w:t>
            </w:r>
          </w:p>
        </w:tc>
        <w:tc>
          <w:tcPr>
            <w:tcW w:w="761" w:type="dxa"/>
          </w:tcPr>
          <w:p>
            <w:pPr>
              <w:pStyle w:val="TableParagraph"/>
              <w:spacing w:line="199" w:lineRule="exact" w:before="81"/>
              <w:ind w:left="151" w:right="148"/>
              <w:rPr>
                <w:rFonts w:ascii="Calibri"/>
                <w:sz w:val="18"/>
              </w:rPr>
            </w:pPr>
            <w:r>
              <w:rPr>
                <w:rFonts w:ascii="Calibri"/>
                <w:sz w:val="18"/>
              </w:rPr>
              <w:t>104.2</w:t>
            </w:r>
          </w:p>
        </w:tc>
        <w:tc>
          <w:tcPr>
            <w:tcW w:w="681" w:type="dxa"/>
            <w:tcBorders>
              <w:right w:val="single" w:sz="12" w:space="0" w:color="000000"/>
            </w:tcBorders>
          </w:tcPr>
          <w:p>
            <w:pPr>
              <w:pStyle w:val="TableParagraph"/>
              <w:spacing w:line="199" w:lineRule="exact" w:before="81"/>
              <w:ind w:left="85" w:right="74"/>
              <w:rPr>
                <w:rFonts w:ascii="Calibri"/>
                <w:sz w:val="18"/>
              </w:rPr>
            </w:pPr>
            <w:r>
              <w:rPr>
                <w:rFonts w:ascii="Calibri"/>
                <w:sz w:val="18"/>
              </w:rPr>
              <w:t>16.1</w:t>
            </w:r>
          </w:p>
        </w:tc>
        <w:tc>
          <w:tcPr>
            <w:tcW w:w="722" w:type="dxa"/>
            <w:tcBorders>
              <w:left w:val="single" w:sz="12" w:space="0" w:color="000000"/>
            </w:tcBorders>
          </w:tcPr>
          <w:p>
            <w:pPr>
              <w:pStyle w:val="TableParagraph"/>
              <w:spacing w:line="199" w:lineRule="exact" w:before="81"/>
              <w:ind w:left="113" w:right="121"/>
              <w:rPr>
                <w:rFonts w:ascii="Calibri"/>
                <w:sz w:val="18"/>
              </w:rPr>
            </w:pPr>
            <w:r>
              <w:rPr>
                <w:rFonts w:ascii="Calibri"/>
                <w:sz w:val="18"/>
              </w:rPr>
              <w:t>98.9</w:t>
            </w:r>
          </w:p>
        </w:tc>
        <w:tc>
          <w:tcPr>
            <w:tcW w:w="631" w:type="dxa"/>
          </w:tcPr>
          <w:p>
            <w:pPr>
              <w:pStyle w:val="TableParagraph"/>
              <w:spacing w:line="199" w:lineRule="exact" w:before="81"/>
              <w:ind w:left="126" w:right="128"/>
              <w:rPr>
                <w:rFonts w:ascii="Calibri"/>
                <w:sz w:val="18"/>
              </w:rPr>
            </w:pPr>
            <w:r>
              <w:rPr>
                <w:rFonts w:ascii="Calibri"/>
                <w:sz w:val="18"/>
              </w:rPr>
              <w:t>18.6</w:t>
            </w:r>
          </w:p>
        </w:tc>
        <w:tc>
          <w:tcPr>
            <w:tcW w:w="721" w:type="dxa"/>
          </w:tcPr>
          <w:p>
            <w:pPr>
              <w:pStyle w:val="TableParagraph"/>
              <w:spacing w:line="199" w:lineRule="exact" w:before="81"/>
              <w:ind w:left="128" w:right="131"/>
              <w:rPr>
                <w:rFonts w:ascii="Calibri"/>
                <w:sz w:val="18"/>
              </w:rPr>
            </w:pPr>
            <w:r>
              <w:rPr>
                <w:rFonts w:ascii="Calibri"/>
                <w:sz w:val="18"/>
              </w:rPr>
              <w:t>104.5</w:t>
            </w:r>
          </w:p>
        </w:tc>
        <w:tc>
          <w:tcPr>
            <w:tcW w:w="720" w:type="dxa"/>
            <w:tcBorders>
              <w:right w:val="single" w:sz="12" w:space="0" w:color="000000"/>
            </w:tcBorders>
          </w:tcPr>
          <w:p>
            <w:pPr>
              <w:pStyle w:val="TableParagraph"/>
              <w:spacing w:line="199" w:lineRule="exact" w:before="81"/>
              <w:ind w:left="94" w:right="91"/>
              <w:rPr>
                <w:rFonts w:ascii="Calibri"/>
                <w:sz w:val="18"/>
              </w:rPr>
            </w:pPr>
            <w:r>
              <w:rPr>
                <w:rFonts w:ascii="Calibri"/>
                <w:sz w:val="18"/>
              </w:rPr>
              <w:t>15.2</w:t>
            </w:r>
          </w:p>
        </w:tc>
        <w:tc>
          <w:tcPr>
            <w:tcW w:w="773" w:type="dxa"/>
            <w:tcBorders>
              <w:left w:val="single" w:sz="12" w:space="0" w:color="000000"/>
            </w:tcBorders>
          </w:tcPr>
          <w:p>
            <w:pPr>
              <w:pStyle w:val="TableParagraph"/>
              <w:spacing w:line="199" w:lineRule="exact" w:before="81"/>
              <w:ind w:left="143" w:right="159"/>
              <w:rPr>
                <w:rFonts w:ascii="Calibri"/>
                <w:sz w:val="18"/>
              </w:rPr>
            </w:pPr>
            <w:r>
              <w:rPr>
                <w:rFonts w:ascii="Calibri"/>
                <w:sz w:val="18"/>
              </w:rPr>
              <w:t>96.0</w:t>
            </w:r>
          </w:p>
        </w:tc>
        <w:tc>
          <w:tcPr>
            <w:tcW w:w="541" w:type="dxa"/>
          </w:tcPr>
          <w:p>
            <w:pPr>
              <w:pStyle w:val="TableParagraph"/>
              <w:spacing w:line="199" w:lineRule="exact" w:before="81"/>
              <w:ind w:left="99"/>
              <w:jc w:val="left"/>
              <w:rPr>
                <w:rFonts w:ascii="Calibri"/>
                <w:sz w:val="18"/>
              </w:rPr>
            </w:pPr>
            <w:r>
              <w:rPr>
                <w:rFonts w:ascii="Calibri"/>
                <w:sz w:val="18"/>
              </w:rPr>
              <w:t>17.4</w:t>
            </w:r>
          </w:p>
        </w:tc>
        <w:tc>
          <w:tcPr>
            <w:tcW w:w="721" w:type="dxa"/>
          </w:tcPr>
          <w:p>
            <w:pPr>
              <w:pStyle w:val="TableParagraph"/>
              <w:spacing w:line="199" w:lineRule="exact" w:before="81"/>
              <w:ind w:right="155"/>
              <w:jc w:val="right"/>
              <w:rPr>
                <w:rFonts w:ascii="Calibri"/>
                <w:sz w:val="18"/>
              </w:rPr>
            </w:pPr>
            <w:r>
              <w:rPr>
                <w:rFonts w:ascii="Calibri"/>
                <w:sz w:val="18"/>
              </w:rPr>
              <w:t>103.3</w:t>
            </w:r>
          </w:p>
        </w:tc>
        <w:tc>
          <w:tcPr>
            <w:tcW w:w="759" w:type="dxa"/>
            <w:tcBorders>
              <w:right w:val="single" w:sz="12" w:space="0" w:color="000000"/>
            </w:tcBorders>
          </w:tcPr>
          <w:p>
            <w:pPr>
              <w:pStyle w:val="TableParagraph"/>
              <w:spacing w:line="199" w:lineRule="exact" w:before="81"/>
              <w:ind w:left="117" w:right="120"/>
              <w:rPr>
                <w:rFonts w:ascii="Calibri"/>
                <w:sz w:val="18"/>
              </w:rPr>
            </w:pPr>
            <w:r>
              <w:rPr>
                <w:rFonts w:ascii="Calibri"/>
                <w:sz w:val="18"/>
              </w:rPr>
              <w:t>16.8</w:t>
            </w:r>
          </w:p>
        </w:tc>
        <w:tc>
          <w:tcPr>
            <w:tcW w:w="722" w:type="dxa"/>
            <w:tcBorders>
              <w:left w:val="single" w:sz="12" w:space="0" w:color="000000"/>
            </w:tcBorders>
          </w:tcPr>
          <w:p>
            <w:pPr>
              <w:pStyle w:val="TableParagraph"/>
              <w:spacing w:line="199" w:lineRule="exact" w:before="81"/>
              <w:ind w:left="105" w:right="129"/>
              <w:rPr>
                <w:rFonts w:ascii="Calibri"/>
                <w:sz w:val="18"/>
              </w:rPr>
            </w:pPr>
            <w:r>
              <w:rPr>
                <w:rFonts w:ascii="Calibri"/>
                <w:sz w:val="18"/>
              </w:rPr>
              <w:t>96.3</w:t>
            </w:r>
          </w:p>
        </w:tc>
        <w:tc>
          <w:tcPr>
            <w:tcW w:w="631" w:type="dxa"/>
          </w:tcPr>
          <w:p>
            <w:pPr>
              <w:pStyle w:val="TableParagraph"/>
              <w:spacing w:line="199" w:lineRule="exact" w:before="81"/>
              <w:ind w:left="140"/>
              <w:jc w:val="left"/>
              <w:rPr>
                <w:rFonts w:ascii="Calibri"/>
                <w:sz w:val="18"/>
              </w:rPr>
            </w:pPr>
            <w:r>
              <w:rPr>
                <w:rFonts w:ascii="Calibri"/>
                <w:sz w:val="18"/>
              </w:rPr>
              <w:t>20.1</w:t>
            </w:r>
          </w:p>
        </w:tc>
        <w:tc>
          <w:tcPr>
            <w:tcW w:w="721" w:type="dxa"/>
          </w:tcPr>
          <w:p>
            <w:pPr>
              <w:pStyle w:val="TableParagraph"/>
              <w:spacing w:line="199" w:lineRule="exact" w:before="81"/>
              <w:ind w:left="139"/>
              <w:jc w:val="left"/>
              <w:rPr>
                <w:rFonts w:ascii="Calibri"/>
                <w:sz w:val="18"/>
              </w:rPr>
            </w:pPr>
            <w:r>
              <w:rPr>
                <w:rFonts w:ascii="Calibri"/>
                <w:sz w:val="18"/>
              </w:rPr>
              <w:t>103.0</w:t>
            </w:r>
          </w:p>
        </w:tc>
        <w:tc>
          <w:tcPr>
            <w:tcW w:w="720" w:type="dxa"/>
            <w:tcBorders>
              <w:right w:val="single" w:sz="12" w:space="0" w:color="000000"/>
            </w:tcBorders>
          </w:tcPr>
          <w:p>
            <w:pPr>
              <w:pStyle w:val="TableParagraph"/>
              <w:spacing w:line="199" w:lineRule="exact" w:before="81"/>
              <w:ind w:left="88" w:right="98"/>
              <w:rPr>
                <w:rFonts w:ascii="Calibri"/>
                <w:sz w:val="18"/>
              </w:rPr>
            </w:pPr>
            <w:r>
              <w:rPr>
                <w:rFonts w:ascii="Calibri"/>
                <w:sz w:val="18"/>
              </w:rPr>
              <w:t>13.2</w:t>
            </w:r>
          </w:p>
        </w:tc>
        <w:tc>
          <w:tcPr>
            <w:tcW w:w="721" w:type="dxa"/>
            <w:tcBorders>
              <w:left w:val="single" w:sz="12" w:space="0" w:color="000000"/>
            </w:tcBorders>
          </w:tcPr>
          <w:p>
            <w:pPr>
              <w:pStyle w:val="TableParagraph"/>
              <w:spacing w:line="199" w:lineRule="exact" w:before="81"/>
              <w:ind w:left="174"/>
              <w:jc w:val="left"/>
              <w:rPr>
                <w:rFonts w:ascii="Calibri"/>
                <w:sz w:val="18"/>
              </w:rPr>
            </w:pPr>
            <w:r>
              <w:rPr>
                <w:rFonts w:ascii="Calibri"/>
                <w:sz w:val="18"/>
              </w:rPr>
              <w:t>98.2</w:t>
            </w:r>
          </w:p>
        </w:tc>
        <w:tc>
          <w:tcPr>
            <w:tcW w:w="630" w:type="dxa"/>
          </w:tcPr>
          <w:p>
            <w:pPr>
              <w:pStyle w:val="TableParagraph"/>
              <w:spacing w:line="199" w:lineRule="exact" w:before="81"/>
              <w:ind w:left="137"/>
              <w:jc w:val="left"/>
              <w:rPr>
                <w:rFonts w:ascii="Calibri"/>
                <w:sz w:val="18"/>
              </w:rPr>
            </w:pPr>
            <w:r>
              <w:rPr>
                <w:rFonts w:ascii="Calibri"/>
                <w:sz w:val="18"/>
              </w:rPr>
              <w:t>19.7</w:t>
            </w:r>
          </w:p>
        </w:tc>
        <w:tc>
          <w:tcPr>
            <w:tcW w:w="720" w:type="dxa"/>
          </w:tcPr>
          <w:p>
            <w:pPr>
              <w:pStyle w:val="TableParagraph"/>
              <w:spacing w:line="199" w:lineRule="exact" w:before="81"/>
              <w:ind w:left="137"/>
              <w:jc w:val="left"/>
              <w:rPr>
                <w:rFonts w:ascii="Calibri"/>
                <w:sz w:val="18"/>
              </w:rPr>
            </w:pPr>
            <w:r>
              <w:rPr>
                <w:rFonts w:ascii="Calibri"/>
                <w:sz w:val="18"/>
              </w:rPr>
              <w:t>106.0</w:t>
            </w:r>
          </w:p>
        </w:tc>
        <w:tc>
          <w:tcPr>
            <w:tcW w:w="719" w:type="dxa"/>
            <w:tcBorders>
              <w:right w:val="single" w:sz="12" w:space="0" w:color="000000"/>
            </w:tcBorders>
          </w:tcPr>
          <w:p>
            <w:pPr>
              <w:pStyle w:val="TableParagraph"/>
              <w:spacing w:line="199" w:lineRule="exact" w:before="81"/>
              <w:ind w:left="93" w:right="104"/>
              <w:rPr>
                <w:rFonts w:ascii="Calibri"/>
                <w:sz w:val="18"/>
              </w:rPr>
            </w:pPr>
            <w:r>
              <w:rPr>
                <w:rFonts w:ascii="Calibri"/>
                <w:sz w:val="18"/>
              </w:rPr>
              <w:t>18.7</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PFDA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99.4</w:t>
            </w:r>
          </w:p>
        </w:tc>
        <w:tc>
          <w:tcPr>
            <w:tcW w:w="631" w:type="dxa"/>
          </w:tcPr>
          <w:p>
            <w:pPr>
              <w:pStyle w:val="TableParagraph"/>
              <w:spacing w:line="199" w:lineRule="exact"/>
              <w:ind w:left="129" w:right="124"/>
              <w:rPr>
                <w:rFonts w:ascii="Calibri"/>
                <w:sz w:val="18"/>
              </w:rPr>
            </w:pPr>
            <w:r>
              <w:rPr>
                <w:rFonts w:ascii="Calibri"/>
                <w:sz w:val="18"/>
              </w:rPr>
              <w:t>18.8</w:t>
            </w:r>
          </w:p>
        </w:tc>
        <w:tc>
          <w:tcPr>
            <w:tcW w:w="761" w:type="dxa"/>
          </w:tcPr>
          <w:p>
            <w:pPr>
              <w:pStyle w:val="TableParagraph"/>
              <w:spacing w:line="199" w:lineRule="exact"/>
              <w:ind w:left="151" w:right="148"/>
              <w:rPr>
                <w:rFonts w:ascii="Calibri"/>
                <w:sz w:val="18"/>
              </w:rPr>
            </w:pPr>
            <w:r>
              <w:rPr>
                <w:rFonts w:ascii="Calibri"/>
                <w:sz w:val="18"/>
              </w:rPr>
              <w:t>104.4</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12.7</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102.1</w:t>
            </w:r>
          </w:p>
        </w:tc>
        <w:tc>
          <w:tcPr>
            <w:tcW w:w="631" w:type="dxa"/>
          </w:tcPr>
          <w:p>
            <w:pPr>
              <w:pStyle w:val="TableParagraph"/>
              <w:spacing w:line="199" w:lineRule="exact"/>
              <w:ind w:left="126" w:right="128"/>
              <w:rPr>
                <w:rFonts w:ascii="Calibri"/>
                <w:sz w:val="18"/>
              </w:rPr>
            </w:pPr>
            <w:r>
              <w:rPr>
                <w:rFonts w:ascii="Calibri"/>
                <w:sz w:val="18"/>
              </w:rPr>
              <w:t>19.9</w:t>
            </w:r>
          </w:p>
        </w:tc>
        <w:tc>
          <w:tcPr>
            <w:tcW w:w="721" w:type="dxa"/>
          </w:tcPr>
          <w:p>
            <w:pPr>
              <w:pStyle w:val="TableParagraph"/>
              <w:spacing w:line="199" w:lineRule="exact"/>
              <w:ind w:left="128" w:right="131"/>
              <w:rPr>
                <w:rFonts w:ascii="Calibri"/>
                <w:sz w:val="18"/>
              </w:rPr>
            </w:pPr>
            <w:r>
              <w:rPr>
                <w:rFonts w:ascii="Calibri"/>
                <w:sz w:val="18"/>
              </w:rPr>
              <w:t>105.5</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14.8</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98.2</w:t>
            </w:r>
          </w:p>
        </w:tc>
        <w:tc>
          <w:tcPr>
            <w:tcW w:w="541" w:type="dxa"/>
          </w:tcPr>
          <w:p>
            <w:pPr>
              <w:pStyle w:val="TableParagraph"/>
              <w:spacing w:line="199" w:lineRule="exact"/>
              <w:ind w:left="99"/>
              <w:jc w:val="left"/>
              <w:rPr>
                <w:rFonts w:ascii="Calibri"/>
                <w:sz w:val="18"/>
              </w:rPr>
            </w:pPr>
            <w:r>
              <w:rPr>
                <w:rFonts w:ascii="Calibri"/>
                <w:sz w:val="18"/>
              </w:rPr>
              <w:t>20.3</w:t>
            </w:r>
          </w:p>
        </w:tc>
        <w:tc>
          <w:tcPr>
            <w:tcW w:w="721" w:type="dxa"/>
          </w:tcPr>
          <w:p>
            <w:pPr>
              <w:pStyle w:val="TableParagraph"/>
              <w:spacing w:line="199" w:lineRule="exact"/>
              <w:ind w:right="155"/>
              <w:jc w:val="right"/>
              <w:rPr>
                <w:rFonts w:ascii="Calibri"/>
                <w:sz w:val="18"/>
              </w:rPr>
            </w:pPr>
            <w:r>
              <w:rPr>
                <w:rFonts w:ascii="Calibri"/>
                <w:sz w:val="18"/>
              </w:rPr>
              <w:t>102.0</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10.7</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97.2</w:t>
            </w:r>
          </w:p>
        </w:tc>
        <w:tc>
          <w:tcPr>
            <w:tcW w:w="631" w:type="dxa"/>
          </w:tcPr>
          <w:p>
            <w:pPr>
              <w:pStyle w:val="TableParagraph"/>
              <w:spacing w:line="199" w:lineRule="exact"/>
              <w:ind w:left="140"/>
              <w:jc w:val="left"/>
              <w:rPr>
                <w:rFonts w:ascii="Calibri"/>
                <w:sz w:val="18"/>
              </w:rPr>
            </w:pPr>
            <w:r>
              <w:rPr>
                <w:rFonts w:ascii="Calibri"/>
                <w:sz w:val="18"/>
              </w:rPr>
              <w:t>17.1</w:t>
            </w:r>
          </w:p>
        </w:tc>
        <w:tc>
          <w:tcPr>
            <w:tcW w:w="721" w:type="dxa"/>
          </w:tcPr>
          <w:p>
            <w:pPr>
              <w:pStyle w:val="TableParagraph"/>
              <w:spacing w:line="199" w:lineRule="exact"/>
              <w:ind w:left="139"/>
              <w:jc w:val="left"/>
              <w:rPr>
                <w:rFonts w:ascii="Calibri"/>
                <w:sz w:val="18"/>
              </w:rPr>
            </w:pPr>
            <w:r>
              <w:rPr>
                <w:rFonts w:ascii="Calibri"/>
                <w:sz w:val="18"/>
              </w:rPr>
              <w:t>103.5</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12.1</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100.0</w:t>
            </w:r>
          </w:p>
        </w:tc>
        <w:tc>
          <w:tcPr>
            <w:tcW w:w="630" w:type="dxa"/>
          </w:tcPr>
          <w:p>
            <w:pPr>
              <w:pStyle w:val="TableParagraph"/>
              <w:spacing w:line="199" w:lineRule="exact"/>
              <w:ind w:left="137"/>
              <w:jc w:val="left"/>
              <w:rPr>
                <w:rFonts w:ascii="Calibri"/>
                <w:sz w:val="18"/>
              </w:rPr>
            </w:pPr>
            <w:r>
              <w:rPr>
                <w:rFonts w:ascii="Calibri"/>
                <w:sz w:val="18"/>
              </w:rPr>
              <w:t>18.0</w:t>
            </w:r>
          </w:p>
        </w:tc>
        <w:tc>
          <w:tcPr>
            <w:tcW w:w="720" w:type="dxa"/>
          </w:tcPr>
          <w:p>
            <w:pPr>
              <w:pStyle w:val="TableParagraph"/>
              <w:spacing w:line="199" w:lineRule="exact"/>
              <w:ind w:left="137"/>
              <w:jc w:val="left"/>
              <w:rPr>
                <w:rFonts w:ascii="Calibri"/>
                <w:sz w:val="18"/>
              </w:rPr>
            </w:pPr>
            <w:r>
              <w:rPr>
                <w:rFonts w:ascii="Calibri"/>
                <w:sz w:val="18"/>
              </w:rPr>
              <w:t>106.4</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12.7</w:t>
            </w:r>
          </w:p>
        </w:tc>
      </w:tr>
      <w:tr>
        <w:trPr>
          <w:trHeight w:val="299" w:hRule="atLeast"/>
        </w:trPr>
        <w:tc>
          <w:tcPr>
            <w:tcW w:w="1435" w:type="dxa"/>
            <w:tcBorders>
              <w:right w:val="single" w:sz="12" w:space="0" w:color="000000"/>
            </w:tcBorders>
          </w:tcPr>
          <w:p>
            <w:pPr>
              <w:pStyle w:val="TableParagraph"/>
              <w:spacing w:line="199" w:lineRule="exact"/>
              <w:ind w:left="177" w:right="158"/>
              <w:rPr>
                <w:rFonts w:ascii="Calibri"/>
                <w:sz w:val="18"/>
              </w:rPr>
            </w:pPr>
            <w:r>
              <w:rPr>
                <w:rFonts w:ascii="Calibri"/>
                <w:sz w:val="18"/>
              </w:rPr>
              <w:t>PFNA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96.8</w:t>
            </w:r>
          </w:p>
        </w:tc>
        <w:tc>
          <w:tcPr>
            <w:tcW w:w="631" w:type="dxa"/>
          </w:tcPr>
          <w:p>
            <w:pPr>
              <w:pStyle w:val="TableParagraph"/>
              <w:spacing w:line="199" w:lineRule="exact"/>
              <w:ind w:left="129" w:right="124"/>
              <w:rPr>
                <w:rFonts w:ascii="Calibri"/>
                <w:sz w:val="18"/>
              </w:rPr>
            </w:pPr>
            <w:r>
              <w:rPr>
                <w:rFonts w:ascii="Calibri"/>
                <w:sz w:val="18"/>
              </w:rPr>
              <w:t>14.3</w:t>
            </w:r>
          </w:p>
        </w:tc>
        <w:tc>
          <w:tcPr>
            <w:tcW w:w="761" w:type="dxa"/>
          </w:tcPr>
          <w:p>
            <w:pPr>
              <w:pStyle w:val="TableParagraph"/>
              <w:spacing w:line="199" w:lineRule="exact"/>
              <w:ind w:left="151" w:right="148"/>
              <w:rPr>
                <w:rFonts w:ascii="Calibri"/>
                <w:sz w:val="18"/>
              </w:rPr>
            </w:pPr>
            <w:r>
              <w:rPr>
                <w:rFonts w:ascii="Calibri"/>
                <w:sz w:val="18"/>
              </w:rPr>
              <w:t>102.1</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11.4</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97.0</w:t>
            </w:r>
          </w:p>
        </w:tc>
        <w:tc>
          <w:tcPr>
            <w:tcW w:w="631" w:type="dxa"/>
          </w:tcPr>
          <w:p>
            <w:pPr>
              <w:pStyle w:val="TableParagraph"/>
              <w:spacing w:line="199" w:lineRule="exact"/>
              <w:ind w:left="126" w:right="128"/>
              <w:rPr>
                <w:rFonts w:ascii="Calibri"/>
                <w:sz w:val="18"/>
              </w:rPr>
            </w:pPr>
            <w:r>
              <w:rPr>
                <w:rFonts w:ascii="Calibri"/>
                <w:sz w:val="18"/>
              </w:rPr>
              <w:t>12.5</w:t>
            </w:r>
          </w:p>
        </w:tc>
        <w:tc>
          <w:tcPr>
            <w:tcW w:w="721" w:type="dxa"/>
          </w:tcPr>
          <w:p>
            <w:pPr>
              <w:pStyle w:val="TableParagraph"/>
              <w:spacing w:line="199" w:lineRule="exact"/>
              <w:ind w:left="128" w:right="131"/>
              <w:rPr>
                <w:rFonts w:ascii="Calibri"/>
                <w:sz w:val="18"/>
              </w:rPr>
            </w:pPr>
            <w:r>
              <w:rPr>
                <w:rFonts w:ascii="Calibri"/>
                <w:sz w:val="18"/>
              </w:rPr>
              <w:t>103.5</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11.1</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96.5</w:t>
            </w:r>
          </w:p>
        </w:tc>
        <w:tc>
          <w:tcPr>
            <w:tcW w:w="541" w:type="dxa"/>
          </w:tcPr>
          <w:p>
            <w:pPr>
              <w:pStyle w:val="TableParagraph"/>
              <w:spacing w:line="199" w:lineRule="exact"/>
              <w:ind w:left="99"/>
              <w:jc w:val="left"/>
              <w:rPr>
                <w:rFonts w:ascii="Calibri"/>
                <w:sz w:val="18"/>
              </w:rPr>
            </w:pPr>
            <w:r>
              <w:rPr>
                <w:rFonts w:ascii="Calibri"/>
                <w:sz w:val="18"/>
              </w:rPr>
              <w:t>16.2</w:t>
            </w:r>
          </w:p>
        </w:tc>
        <w:tc>
          <w:tcPr>
            <w:tcW w:w="721" w:type="dxa"/>
          </w:tcPr>
          <w:p>
            <w:pPr>
              <w:pStyle w:val="TableParagraph"/>
              <w:spacing w:line="199" w:lineRule="exact"/>
              <w:ind w:right="155"/>
              <w:jc w:val="right"/>
              <w:rPr>
                <w:rFonts w:ascii="Calibri"/>
                <w:sz w:val="18"/>
              </w:rPr>
            </w:pPr>
            <w:r>
              <w:rPr>
                <w:rFonts w:ascii="Calibri"/>
                <w:sz w:val="18"/>
              </w:rPr>
              <w:t>100.6</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10.5</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95.1</w:t>
            </w:r>
          </w:p>
        </w:tc>
        <w:tc>
          <w:tcPr>
            <w:tcW w:w="631" w:type="dxa"/>
          </w:tcPr>
          <w:p>
            <w:pPr>
              <w:pStyle w:val="TableParagraph"/>
              <w:spacing w:line="199" w:lineRule="exact"/>
              <w:ind w:left="140"/>
              <w:jc w:val="left"/>
              <w:rPr>
                <w:rFonts w:ascii="Calibri"/>
                <w:sz w:val="18"/>
              </w:rPr>
            </w:pPr>
            <w:r>
              <w:rPr>
                <w:rFonts w:ascii="Calibri"/>
                <w:sz w:val="18"/>
              </w:rPr>
              <w:t>15.4</w:t>
            </w:r>
          </w:p>
        </w:tc>
        <w:tc>
          <w:tcPr>
            <w:tcW w:w="721" w:type="dxa"/>
          </w:tcPr>
          <w:p>
            <w:pPr>
              <w:pStyle w:val="TableParagraph"/>
              <w:spacing w:line="199" w:lineRule="exact"/>
              <w:ind w:left="139"/>
              <w:jc w:val="left"/>
              <w:rPr>
                <w:rFonts w:ascii="Calibri"/>
                <w:sz w:val="18"/>
              </w:rPr>
            </w:pPr>
            <w:r>
              <w:rPr>
                <w:rFonts w:ascii="Calibri"/>
                <w:sz w:val="18"/>
              </w:rPr>
              <w:t>100.9</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12.8</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98.5</w:t>
            </w:r>
          </w:p>
        </w:tc>
        <w:tc>
          <w:tcPr>
            <w:tcW w:w="630" w:type="dxa"/>
          </w:tcPr>
          <w:p>
            <w:pPr>
              <w:pStyle w:val="TableParagraph"/>
              <w:spacing w:line="199" w:lineRule="exact"/>
              <w:ind w:left="137"/>
              <w:jc w:val="left"/>
              <w:rPr>
                <w:rFonts w:ascii="Calibri"/>
                <w:sz w:val="18"/>
              </w:rPr>
            </w:pPr>
            <w:r>
              <w:rPr>
                <w:rFonts w:ascii="Calibri"/>
                <w:sz w:val="18"/>
              </w:rPr>
              <w:t>13.0</w:t>
            </w:r>
          </w:p>
        </w:tc>
        <w:tc>
          <w:tcPr>
            <w:tcW w:w="720" w:type="dxa"/>
          </w:tcPr>
          <w:p>
            <w:pPr>
              <w:pStyle w:val="TableParagraph"/>
              <w:spacing w:line="199" w:lineRule="exact"/>
              <w:ind w:left="137"/>
              <w:jc w:val="left"/>
              <w:rPr>
                <w:rFonts w:ascii="Calibri"/>
                <w:sz w:val="18"/>
              </w:rPr>
            </w:pPr>
            <w:r>
              <w:rPr>
                <w:rFonts w:ascii="Calibri"/>
                <w:sz w:val="18"/>
              </w:rPr>
              <w:t>103.3</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11.4</w:t>
            </w:r>
          </w:p>
        </w:tc>
      </w:tr>
      <w:tr>
        <w:trPr>
          <w:trHeight w:val="300" w:hRule="atLeast"/>
        </w:trPr>
        <w:tc>
          <w:tcPr>
            <w:tcW w:w="1435" w:type="dxa"/>
            <w:tcBorders>
              <w:right w:val="single" w:sz="12" w:space="0" w:color="000000"/>
            </w:tcBorders>
          </w:tcPr>
          <w:p>
            <w:pPr>
              <w:pStyle w:val="TableParagraph"/>
              <w:spacing w:line="199" w:lineRule="exact" w:before="81"/>
              <w:ind w:left="175" w:right="158"/>
              <w:rPr>
                <w:rFonts w:ascii="Calibri"/>
                <w:sz w:val="18"/>
              </w:rPr>
            </w:pPr>
            <w:r>
              <w:rPr>
                <w:rFonts w:ascii="Calibri"/>
                <w:sz w:val="18"/>
              </w:rPr>
              <w:t>PFOA</w:t>
            </w:r>
          </w:p>
        </w:tc>
        <w:tc>
          <w:tcPr>
            <w:tcW w:w="726" w:type="dxa"/>
            <w:tcBorders>
              <w:left w:val="single" w:sz="12" w:space="0" w:color="000000"/>
            </w:tcBorders>
          </w:tcPr>
          <w:p>
            <w:pPr>
              <w:pStyle w:val="TableParagraph"/>
              <w:spacing w:line="199" w:lineRule="exact" w:before="81"/>
              <w:ind w:left="127" w:right="127"/>
              <w:rPr>
                <w:rFonts w:ascii="Calibri"/>
                <w:sz w:val="18"/>
              </w:rPr>
            </w:pPr>
            <w:r>
              <w:rPr>
                <w:rFonts w:ascii="Calibri"/>
                <w:sz w:val="18"/>
              </w:rPr>
              <w:t>99.9</w:t>
            </w:r>
          </w:p>
        </w:tc>
        <w:tc>
          <w:tcPr>
            <w:tcW w:w="631" w:type="dxa"/>
          </w:tcPr>
          <w:p>
            <w:pPr>
              <w:pStyle w:val="TableParagraph"/>
              <w:spacing w:line="199" w:lineRule="exact" w:before="81"/>
              <w:ind w:left="129" w:right="124"/>
              <w:rPr>
                <w:rFonts w:ascii="Calibri"/>
                <w:sz w:val="18"/>
              </w:rPr>
            </w:pPr>
            <w:r>
              <w:rPr>
                <w:rFonts w:ascii="Calibri"/>
                <w:sz w:val="18"/>
              </w:rPr>
              <w:t>13.9</w:t>
            </w:r>
          </w:p>
        </w:tc>
        <w:tc>
          <w:tcPr>
            <w:tcW w:w="761" w:type="dxa"/>
          </w:tcPr>
          <w:p>
            <w:pPr>
              <w:pStyle w:val="TableParagraph"/>
              <w:spacing w:line="199" w:lineRule="exact" w:before="81"/>
              <w:ind w:left="151" w:right="148"/>
              <w:rPr>
                <w:rFonts w:ascii="Calibri"/>
                <w:sz w:val="18"/>
              </w:rPr>
            </w:pPr>
            <w:r>
              <w:rPr>
                <w:rFonts w:ascii="Calibri"/>
                <w:sz w:val="18"/>
              </w:rPr>
              <w:t>103.2</w:t>
            </w:r>
          </w:p>
        </w:tc>
        <w:tc>
          <w:tcPr>
            <w:tcW w:w="681" w:type="dxa"/>
            <w:tcBorders>
              <w:right w:val="single" w:sz="12" w:space="0" w:color="000000"/>
            </w:tcBorders>
          </w:tcPr>
          <w:p>
            <w:pPr>
              <w:pStyle w:val="TableParagraph"/>
              <w:spacing w:line="199" w:lineRule="exact" w:before="81"/>
              <w:ind w:left="85" w:right="74"/>
              <w:rPr>
                <w:rFonts w:ascii="Calibri"/>
                <w:sz w:val="18"/>
              </w:rPr>
            </w:pPr>
            <w:r>
              <w:rPr>
                <w:rFonts w:ascii="Calibri"/>
                <w:sz w:val="18"/>
              </w:rPr>
              <w:t>10.6</w:t>
            </w:r>
          </w:p>
        </w:tc>
        <w:tc>
          <w:tcPr>
            <w:tcW w:w="722" w:type="dxa"/>
            <w:tcBorders>
              <w:left w:val="single" w:sz="12" w:space="0" w:color="000000"/>
            </w:tcBorders>
          </w:tcPr>
          <w:p>
            <w:pPr>
              <w:pStyle w:val="TableParagraph"/>
              <w:spacing w:line="199" w:lineRule="exact" w:before="81"/>
              <w:ind w:left="113" w:right="121"/>
              <w:rPr>
                <w:rFonts w:ascii="Calibri"/>
                <w:sz w:val="18"/>
              </w:rPr>
            </w:pPr>
            <w:r>
              <w:rPr>
                <w:rFonts w:ascii="Calibri"/>
                <w:sz w:val="18"/>
              </w:rPr>
              <w:t>100.0</w:t>
            </w:r>
          </w:p>
        </w:tc>
        <w:tc>
          <w:tcPr>
            <w:tcW w:w="631" w:type="dxa"/>
          </w:tcPr>
          <w:p>
            <w:pPr>
              <w:pStyle w:val="TableParagraph"/>
              <w:spacing w:line="199" w:lineRule="exact" w:before="81"/>
              <w:ind w:left="126" w:right="128"/>
              <w:rPr>
                <w:rFonts w:ascii="Calibri"/>
                <w:sz w:val="18"/>
              </w:rPr>
            </w:pPr>
            <w:r>
              <w:rPr>
                <w:rFonts w:ascii="Calibri"/>
                <w:sz w:val="18"/>
              </w:rPr>
              <w:t>13.8</w:t>
            </w:r>
          </w:p>
        </w:tc>
        <w:tc>
          <w:tcPr>
            <w:tcW w:w="721" w:type="dxa"/>
          </w:tcPr>
          <w:p>
            <w:pPr>
              <w:pStyle w:val="TableParagraph"/>
              <w:spacing w:line="199" w:lineRule="exact" w:before="81"/>
              <w:ind w:left="128" w:right="131"/>
              <w:rPr>
                <w:rFonts w:ascii="Calibri"/>
                <w:sz w:val="18"/>
              </w:rPr>
            </w:pPr>
            <w:r>
              <w:rPr>
                <w:rFonts w:ascii="Calibri"/>
                <w:sz w:val="18"/>
              </w:rPr>
              <w:t>104.4</w:t>
            </w:r>
          </w:p>
        </w:tc>
        <w:tc>
          <w:tcPr>
            <w:tcW w:w="720" w:type="dxa"/>
            <w:tcBorders>
              <w:right w:val="single" w:sz="12" w:space="0" w:color="000000"/>
            </w:tcBorders>
          </w:tcPr>
          <w:p>
            <w:pPr>
              <w:pStyle w:val="TableParagraph"/>
              <w:spacing w:line="199" w:lineRule="exact" w:before="81"/>
              <w:ind w:left="94" w:right="91"/>
              <w:rPr>
                <w:rFonts w:ascii="Calibri"/>
                <w:sz w:val="18"/>
              </w:rPr>
            </w:pPr>
            <w:r>
              <w:rPr>
                <w:rFonts w:ascii="Calibri"/>
                <w:sz w:val="18"/>
              </w:rPr>
              <w:t>10.8</w:t>
            </w:r>
          </w:p>
        </w:tc>
        <w:tc>
          <w:tcPr>
            <w:tcW w:w="773" w:type="dxa"/>
            <w:tcBorders>
              <w:left w:val="single" w:sz="12" w:space="0" w:color="000000"/>
            </w:tcBorders>
          </w:tcPr>
          <w:p>
            <w:pPr>
              <w:pStyle w:val="TableParagraph"/>
              <w:spacing w:line="199" w:lineRule="exact" w:before="81"/>
              <w:ind w:left="143" w:right="159"/>
              <w:rPr>
                <w:rFonts w:ascii="Calibri"/>
                <w:sz w:val="18"/>
              </w:rPr>
            </w:pPr>
            <w:r>
              <w:rPr>
                <w:rFonts w:ascii="Calibri"/>
                <w:sz w:val="18"/>
              </w:rPr>
              <w:t>98.8</w:t>
            </w:r>
          </w:p>
        </w:tc>
        <w:tc>
          <w:tcPr>
            <w:tcW w:w="541" w:type="dxa"/>
          </w:tcPr>
          <w:p>
            <w:pPr>
              <w:pStyle w:val="TableParagraph"/>
              <w:spacing w:line="199" w:lineRule="exact" w:before="81"/>
              <w:ind w:left="99"/>
              <w:jc w:val="left"/>
              <w:rPr>
                <w:rFonts w:ascii="Calibri"/>
                <w:sz w:val="18"/>
              </w:rPr>
            </w:pPr>
            <w:r>
              <w:rPr>
                <w:rFonts w:ascii="Calibri"/>
                <w:sz w:val="18"/>
              </w:rPr>
              <w:t>13.9</w:t>
            </w:r>
          </w:p>
        </w:tc>
        <w:tc>
          <w:tcPr>
            <w:tcW w:w="721" w:type="dxa"/>
          </w:tcPr>
          <w:p>
            <w:pPr>
              <w:pStyle w:val="TableParagraph"/>
              <w:spacing w:line="199" w:lineRule="exact" w:before="81"/>
              <w:ind w:right="155"/>
              <w:jc w:val="right"/>
              <w:rPr>
                <w:rFonts w:ascii="Calibri"/>
                <w:sz w:val="18"/>
              </w:rPr>
            </w:pPr>
            <w:r>
              <w:rPr>
                <w:rFonts w:ascii="Calibri"/>
                <w:sz w:val="18"/>
              </w:rPr>
              <w:t>102.0</w:t>
            </w:r>
          </w:p>
        </w:tc>
        <w:tc>
          <w:tcPr>
            <w:tcW w:w="759" w:type="dxa"/>
            <w:tcBorders>
              <w:right w:val="single" w:sz="12" w:space="0" w:color="000000"/>
            </w:tcBorders>
          </w:tcPr>
          <w:p>
            <w:pPr>
              <w:pStyle w:val="TableParagraph"/>
              <w:spacing w:line="199" w:lineRule="exact" w:before="81"/>
              <w:ind w:left="117" w:right="120"/>
              <w:rPr>
                <w:rFonts w:ascii="Calibri"/>
                <w:sz w:val="18"/>
              </w:rPr>
            </w:pPr>
            <w:r>
              <w:rPr>
                <w:rFonts w:ascii="Calibri"/>
                <w:sz w:val="18"/>
              </w:rPr>
              <w:t>11.3</w:t>
            </w:r>
          </w:p>
        </w:tc>
        <w:tc>
          <w:tcPr>
            <w:tcW w:w="722" w:type="dxa"/>
            <w:tcBorders>
              <w:left w:val="single" w:sz="12" w:space="0" w:color="000000"/>
            </w:tcBorders>
          </w:tcPr>
          <w:p>
            <w:pPr>
              <w:pStyle w:val="TableParagraph"/>
              <w:spacing w:line="199" w:lineRule="exact" w:before="81"/>
              <w:ind w:left="105" w:right="129"/>
              <w:rPr>
                <w:rFonts w:ascii="Calibri"/>
                <w:sz w:val="18"/>
              </w:rPr>
            </w:pPr>
            <w:r>
              <w:rPr>
                <w:rFonts w:ascii="Calibri"/>
                <w:sz w:val="18"/>
              </w:rPr>
              <w:t>100.6</w:t>
            </w:r>
          </w:p>
        </w:tc>
        <w:tc>
          <w:tcPr>
            <w:tcW w:w="631" w:type="dxa"/>
          </w:tcPr>
          <w:p>
            <w:pPr>
              <w:pStyle w:val="TableParagraph"/>
              <w:spacing w:line="199" w:lineRule="exact" w:before="81"/>
              <w:ind w:left="140"/>
              <w:jc w:val="left"/>
              <w:rPr>
                <w:rFonts w:ascii="Calibri"/>
                <w:sz w:val="18"/>
              </w:rPr>
            </w:pPr>
            <w:r>
              <w:rPr>
                <w:rFonts w:ascii="Calibri"/>
                <w:sz w:val="18"/>
              </w:rPr>
              <w:t>15.8</w:t>
            </w:r>
          </w:p>
        </w:tc>
        <w:tc>
          <w:tcPr>
            <w:tcW w:w="721" w:type="dxa"/>
          </w:tcPr>
          <w:p>
            <w:pPr>
              <w:pStyle w:val="TableParagraph"/>
              <w:spacing w:line="199" w:lineRule="exact" w:before="81"/>
              <w:ind w:left="139"/>
              <w:jc w:val="left"/>
              <w:rPr>
                <w:rFonts w:ascii="Calibri"/>
                <w:sz w:val="18"/>
              </w:rPr>
            </w:pPr>
            <w:r>
              <w:rPr>
                <w:rFonts w:ascii="Calibri"/>
                <w:sz w:val="18"/>
              </w:rPr>
              <w:t>102.6</w:t>
            </w:r>
          </w:p>
        </w:tc>
        <w:tc>
          <w:tcPr>
            <w:tcW w:w="720" w:type="dxa"/>
            <w:tcBorders>
              <w:right w:val="single" w:sz="12" w:space="0" w:color="000000"/>
            </w:tcBorders>
          </w:tcPr>
          <w:p>
            <w:pPr>
              <w:pStyle w:val="TableParagraph"/>
              <w:spacing w:line="199" w:lineRule="exact" w:before="81"/>
              <w:ind w:left="88" w:right="98"/>
              <w:rPr>
                <w:rFonts w:ascii="Calibri"/>
                <w:sz w:val="18"/>
              </w:rPr>
            </w:pPr>
            <w:r>
              <w:rPr>
                <w:rFonts w:ascii="Calibri"/>
                <w:sz w:val="18"/>
              </w:rPr>
              <w:t>9.7</w:t>
            </w:r>
          </w:p>
        </w:tc>
        <w:tc>
          <w:tcPr>
            <w:tcW w:w="721" w:type="dxa"/>
            <w:tcBorders>
              <w:left w:val="single" w:sz="12" w:space="0" w:color="000000"/>
            </w:tcBorders>
          </w:tcPr>
          <w:p>
            <w:pPr>
              <w:pStyle w:val="TableParagraph"/>
              <w:spacing w:line="199" w:lineRule="exact" w:before="81"/>
              <w:ind w:left="128"/>
              <w:jc w:val="left"/>
              <w:rPr>
                <w:rFonts w:ascii="Calibri"/>
                <w:sz w:val="18"/>
              </w:rPr>
            </w:pPr>
            <w:r>
              <w:rPr>
                <w:rFonts w:ascii="Calibri"/>
                <w:sz w:val="18"/>
              </w:rPr>
              <w:t>100.2</w:t>
            </w:r>
          </w:p>
        </w:tc>
        <w:tc>
          <w:tcPr>
            <w:tcW w:w="630" w:type="dxa"/>
          </w:tcPr>
          <w:p>
            <w:pPr>
              <w:pStyle w:val="TableParagraph"/>
              <w:spacing w:line="199" w:lineRule="exact" w:before="81"/>
              <w:ind w:left="137"/>
              <w:jc w:val="left"/>
              <w:rPr>
                <w:rFonts w:ascii="Calibri"/>
                <w:sz w:val="18"/>
              </w:rPr>
            </w:pPr>
            <w:r>
              <w:rPr>
                <w:rFonts w:ascii="Calibri"/>
                <w:sz w:val="18"/>
              </w:rPr>
              <w:t>12.5</w:t>
            </w:r>
          </w:p>
        </w:tc>
        <w:tc>
          <w:tcPr>
            <w:tcW w:w="720" w:type="dxa"/>
          </w:tcPr>
          <w:p>
            <w:pPr>
              <w:pStyle w:val="TableParagraph"/>
              <w:spacing w:line="199" w:lineRule="exact" w:before="81"/>
              <w:ind w:left="137"/>
              <w:jc w:val="left"/>
              <w:rPr>
                <w:rFonts w:ascii="Calibri"/>
                <w:sz w:val="18"/>
              </w:rPr>
            </w:pPr>
            <w:r>
              <w:rPr>
                <w:rFonts w:ascii="Calibri"/>
                <w:sz w:val="18"/>
              </w:rPr>
              <w:t>103.8</w:t>
            </w:r>
          </w:p>
        </w:tc>
        <w:tc>
          <w:tcPr>
            <w:tcW w:w="719" w:type="dxa"/>
            <w:tcBorders>
              <w:right w:val="single" w:sz="12" w:space="0" w:color="000000"/>
            </w:tcBorders>
          </w:tcPr>
          <w:p>
            <w:pPr>
              <w:pStyle w:val="TableParagraph"/>
              <w:spacing w:line="199" w:lineRule="exact" w:before="81"/>
              <w:ind w:left="93" w:right="104"/>
              <w:rPr>
                <w:rFonts w:ascii="Calibri"/>
                <w:sz w:val="18"/>
              </w:rPr>
            </w:pPr>
            <w:r>
              <w:rPr>
                <w:rFonts w:ascii="Calibri"/>
                <w:sz w:val="18"/>
              </w:rPr>
              <w:t>10.7</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PFHpA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97.9</w:t>
            </w:r>
          </w:p>
        </w:tc>
        <w:tc>
          <w:tcPr>
            <w:tcW w:w="631" w:type="dxa"/>
          </w:tcPr>
          <w:p>
            <w:pPr>
              <w:pStyle w:val="TableParagraph"/>
              <w:spacing w:line="199" w:lineRule="exact"/>
              <w:ind w:left="129" w:right="124"/>
              <w:rPr>
                <w:rFonts w:ascii="Calibri"/>
                <w:sz w:val="18"/>
              </w:rPr>
            </w:pPr>
            <w:r>
              <w:rPr>
                <w:rFonts w:ascii="Calibri"/>
                <w:sz w:val="18"/>
              </w:rPr>
              <w:t>13.3</w:t>
            </w:r>
          </w:p>
        </w:tc>
        <w:tc>
          <w:tcPr>
            <w:tcW w:w="761" w:type="dxa"/>
          </w:tcPr>
          <w:p>
            <w:pPr>
              <w:pStyle w:val="TableParagraph"/>
              <w:spacing w:line="199" w:lineRule="exact"/>
              <w:ind w:left="151" w:right="148"/>
              <w:rPr>
                <w:rFonts w:ascii="Calibri"/>
                <w:sz w:val="18"/>
              </w:rPr>
            </w:pPr>
            <w:r>
              <w:rPr>
                <w:rFonts w:ascii="Calibri"/>
                <w:sz w:val="18"/>
              </w:rPr>
              <w:t>100.0</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9.2</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98.5</w:t>
            </w:r>
          </w:p>
        </w:tc>
        <w:tc>
          <w:tcPr>
            <w:tcW w:w="631" w:type="dxa"/>
          </w:tcPr>
          <w:p>
            <w:pPr>
              <w:pStyle w:val="TableParagraph"/>
              <w:spacing w:line="199" w:lineRule="exact"/>
              <w:ind w:left="126" w:right="128"/>
              <w:rPr>
                <w:rFonts w:ascii="Calibri"/>
                <w:sz w:val="18"/>
              </w:rPr>
            </w:pPr>
            <w:r>
              <w:rPr>
                <w:rFonts w:ascii="Calibri"/>
                <w:sz w:val="18"/>
              </w:rPr>
              <w:t>13.0</w:t>
            </w:r>
          </w:p>
        </w:tc>
        <w:tc>
          <w:tcPr>
            <w:tcW w:w="721" w:type="dxa"/>
          </w:tcPr>
          <w:p>
            <w:pPr>
              <w:pStyle w:val="TableParagraph"/>
              <w:spacing w:line="199" w:lineRule="exact"/>
              <w:ind w:left="128" w:right="131"/>
              <w:rPr>
                <w:rFonts w:ascii="Calibri"/>
                <w:sz w:val="18"/>
              </w:rPr>
            </w:pPr>
            <w:r>
              <w:rPr>
                <w:rFonts w:ascii="Calibri"/>
                <w:sz w:val="18"/>
              </w:rPr>
              <w:t>101.3</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9.8</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96.2</w:t>
            </w:r>
          </w:p>
        </w:tc>
        <w:tc>
          <w:tcPr>
            <w:tcW w:w="541" w:type="dxa"/>
          </w:tcPr>
          <w:p>
            <w:pPr>
              <w:pStyle w:val="TableParagraph"/>
              <w:spacing w:line="199" w:lineRule="exact"/>
              <w:ind w:left="99"/>
              <w:jc w:val="left"/>
              <w:rPr>
                <w:rFonts w:ascii="Calibri"/>
                <w:sz w:val="18"/>
              </w:rPr>
            </w:pPr>
            <w:r>
              <w:rPr>
                <w:rFonts w:ascii="Calibri"/>
                <w:sz w:val="18"/>
              </w:rPr>
              <w:t>13.3</w:t>
            </w:r>
          </w:p>
        </w:tc>
        <w:tc>
          <w:tcPr>
            <w:tcW w:w="721" w:type="dxa"/>
          </w:tcPr>
          <w:p>
            <w:pPr>
              <w:pStyle w:val="TableParagraph"/>
              <w:spacing w:line="199" w:lineRule="exact"/>
              <w:ind w:right="200"/>
              <w:jc w:val="right"/>
              <w:rPr>
                <w:rFonts w:ascii="Calibri"/>
                <w:sz w:val="18"/>
              </w:rPr>
            </w:pPr>
            <w:r>
              <w:rPr>
                <w:rFonts w:ascii="Calibri"/>
                <w:sz w:val="18"/>
              </w:rPr>
              <w:t>98.8</w:t>
            </w:r>
          </w:p>
        </w:tc>
        <w:tc>
          <w:tcPr>
            <w:tcW w:w="759" w:type="dxa"/>
            <w:tcBorders>
              <w:right w:val="single" w:sz="12" w:space="0" w:color="000000"/>
            </w:tcBorders>
          </w:tcPr>
          <w:p>
            <w:pPr>
              <w:pStyle w:val="TableParagraph"/>
              <w:spacing w:line="199" w:lineRule="exact"/>
              <w:ind w:left="117" w:right="121"/>
              <w:rPr>
                <w:rFonts w:ascii="Calibri"/>
                <w:sz w:val="18"/>
              </w:rPr>
            </w:pPr>
            <w:r>
              <w:rPr>
                <w:rFonts w:ascii="Calibri"/>
                <w:sz w:val="18"/>
              </w:rPr>
              <w:t>8.5</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95.6</w:t>
            </w:r>
          </w:p>
        </w:tc>
        <w:tc>
          <w:tcPr>
            <w:tcW w:w="631" w:type="dxa"/>
          </w:tcPr>
          <w:p>
            <w:pPr>
              <w:pStyle w:val="TableParagraph"/>
              <w:spacing w:line="199" w:lineRule="exact"/>
              <w:ind w:left="140"/>
              <w:jc w:val="left"/>
              <w:rPr>
                <w:rFonts w:ascii="Calibri"/>
                <w:sz w:val="18"/>
              </w:rPr>
            </w:pPr>
            <w:r>
              <w:rPr>
                <w:rFonts w:ascii="Calibri"/>
                <w:sz w:val="18"/>
              </w:rPr>
              <w:t>15.7</w:t>
            </w:r>
          </w:p>
        </w:tc>
        <w:tc>
          <w:tcPr>
            <w:tcW w:w="721" w:type="dxa"/>
          </w:tcPr>
          <w:p>
            <w:pPr>
              <w:pStyle w:val="TableParagraph"/>
              <w:spacing w:line="199" w:lineRule="exact"/>
              <w:ind w:left="139"/>
              <w:jc w:val="left"/>
              <w:rPr>
                <w:rFonts w:ascii="Calibri"/>
                <w:sz w:val="18"/>
              </w:rPr>
            </w:pPr>
            <w:r>
              <w:rPr>
                <w:rFonts w:ascii="Calibri"/>
                <w:sz w:val="18"/>
              </w:rPr>
              <w:t>100.0</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8.1</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101.3</w:t>
            </w:r>
          </w:p>
        </w:tc>
        <w:tc>
          <w:tcPr>
            <w:tcW w:w="630" w:type="dxa"/>
          </w:tcPr>
          <w:p>
            <w:pPr>
              <w:pStyle w:val="TableParagraph"/>
              <w:spacing w:line="199" w:lineRule="exact"/>
              <w:ind w:left="137"/>
              <w:jc w:val="left"/>
              <w:rPr>
                <w:rFonts w:ascii="Calibri"/>
                <w:sz w:val="18"/>
              </w:rPr>
            </w:pPr>
            <w:r>
              <w:rPr>
                <w:rFonts w:ascii="Calibri"/>
                <w:sz w:val="18"/>
              </w:rPr>
              <w:t>10.5</w:t>
            </w:r>
          </w:p>
        </w:tc>
        <w:tc>
          <w:tcPr>
            <w:tcW w:w="720" w:type="dxa"/>
          </w:tcPr>
          <w:p>
            <w:pPr>
              <w:pStyle w:val="TableParagraph"/>
              <w:spacing w:line="199" w:lineRule="exact"/>
              <w:ind w:left="137"/>
              <w:jc w:val="left"/>
              <w:rPr>
                <w:rFonts w:ascii="Calibri"/>
                <w:sz w:val="18"/>
              </w:rPr>
            </w:pPr>
            <w:r>
              <w:rPr>
                <w:rFonts w:ascii="Calibri"/>
                <w:sz w:val="18"/>
              </w:rPr>
              <w:t>100.1</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10.4</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PFHxA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97.2</w:t>
            </w:r>
          </w:p>
        </w:tc>
        <w:tc>
          <w:tcPr>
            <w:tcW w:w="631" w:type="dxa"/>
          </w:tcPr>
          <w:p>
            <w:pPr>
              <w:pStyle w:val="TableParagraph"/>
              <w:spacing w:line="199" w:lineRule="exact"/>
              <w:ind w:left="129" w:right="124"/>
              <w:rPr>
                <w:rFonts w:ascii="Calibri"/>
                <w:sz w:val="18"/>
              </w:rPr>
            </w:pPr>
            <w:r>
              <w:rPr>
                <w:rFonts w:ascii="Calibri"/>
                <w:sz w:val="18"/>
              </w:rPr>
              <w:t>18.4</w:t>
            </w:r>
          </w:p>
        </w:tc>
        <w:tc>
          <w:tcPr>
            <w:tcW w:w="761" w:type="dxa"/>
          </w:tcPr>
          <w:p>
            <w:pPr>
              <w:pStyle w:val="TableParagraph"/>
              <w:spacing w:line="199" w:lineRule="exact"/>
              <w:ind w:left="151" w:right="148"/>
              <w:rPr>
                <w:rFonts w:ascii="Calibri"/>
                <w:sz w:val="18"/>
              </w:rPr>
            </w:pPr>
            <w:r>
              <w:rPr>
                <w:rFonts w:ascii="Calibri"/>
                <w:sz w:val="18"/>
              </w:rPr>
              <w:t>98.5</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11.2</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97.4</w:t>
            </w:r>
          </w:p>
        </w:tc>
        <w:tc>
          <w:tcPr>
            <w:tcW w:w="631" w:type="dxa"/>
          </w:tcPr>
          <w:p>
            <w:pPr>
              <w:pStyle w:val="TableParagraph"/>
              <w:spacing w:line="199" w:lineRule="exact"/>
              <w:ind w:left="126" w:right="128"/>
              <w:rPr>
                <w:rFonts w:ascii="Calibri"/>
                <w:sz w:val="18"/>
              </w:rPr>
            </w:pPr>
            <w:r>
              <w:rPr>
                <w:rFonts w:ascii="Calibri"/>
                <w:sz w:val="18"/>
              </w:rPr>
              <w:t>13.5</w:t>
            </w:r>
          </w:p>
        </w:tc>
        <w:tc>
          <w:tcPr>
            <w:tcW w:w="721" w:type="dxa"/>
          </w:tcPr>
          <w:p>
            <w:pPr>
              <w:pStyle w:val="TableParagraph"/>
              <w:spacing w:line="199" w:lineRule="exact"/>
              <w:ind w:left="128" w:right="131"/>
              <w:rPr>
                <w:rFonts w:ascii="Calibri"/>
                <w:sz w:val="18"/>
              </w:rPr>
            </w:pPr>
            <w:r>
              <w:rPr>
                <w:rFonts w:ascii="Calibri"/>
                <w:sz w:val="18"/>
              </w:rPr>
              <w:t>99.5</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11.0</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95.0</w:t>
            </w:r>
          </w:p>
        </w:tc>
        <w:tc>
          <w:tcPr>
            <w:tcW w:w="541" w:type="dxa"/>
          </w:tcPr>
          <w:p>
            <w:pPr>
              <w:pStyle w:val="TableParagraph"/>
              <w:spacing w:line="199" w:lineRule="exact"/>
              <w:ind w:left="99"/>
              <w:jc w:val="left"/>
              <w:rPr>
                <w:rFonts w:ascii="Calibri"/>
                <w:sz w:val="18"/>
              </w:rPr>
            </w:pPr>
            <w:r>
              <w:rPr>
                <w:rFonts w:ascii="Calibri"/>
                <w:sz w:val="18"/>
              </w:rPr>
              <w:t>14.8</w:t>
            </w:r>
          </w:p>
        </w:tc>
        <w:tc>
          <w:tcPr>
            <w:tcW w:w="721" w:type="dxa"/>
          </w:tcPr>
          <w:p>
            <w:pPr>
              <w:pStyle w:val="TableParagraph"/>
              <w:spacing w:line="199" w:lineRule="exact"/>
              <w:ind w:right="200"/>
              <w:jc w:val="right"/>
              <w:rPr>
                <w:rFonts w:ascii="Calibri"/>
                <w:sz w:val="18"/>
              </w:rPr>
            </w:pPr>
            <w:r>
              <w:rPr>
                <w:rFonts w:ascii="Calibri"/>
                <w:sz w:val="18"/>
              </w:rPr>
              <w:t>96.9</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10.5</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98.2</w:t>
            </w:r>
          </w:p>
        </w:tc>
        <w:tc>
          <w:tcPr>
            <w:tcW w:w="631" w:type="dxa"/>
          </w:tcPr>
          <w:p>
            <w:pPr>
              <w:pStyle w:val="TableParagraph"/>
              <w:spacing w:line="199" w:lineRule="exact"/>
              <w:ind w:left="140"/>
              <w:jc w:val="left"/>
              <w:rPr>
                <w:rFonts w:ascii="Calibri"/>
                <w:sz w:val="18"/>
              </w:rPr>
            </w:pPr>
            <w:r>
              <w:rPr>
                <w:rFonts w:ascii="Calibri"/>
                <w:sz w:val="18"/>
              </w:rPr>
              <w:t>22.3</w:t>
            </w:r>
          </w:p>
        </w:tc>
        <w:tc>
          <w:tcPr>
            <w:tcW w:w="721" w:type="dxa"/>
          </w:tcPr>
          <w:p>
            <w:pPr>
              <w:pStyle w:val="TableParagraph"/>
              <w:spacing w:line="199" w:lineRule="exact"/>
              <w:ind w:left="185"/>
              <w:jc w:val="left"/>
              <w:rPr>
                <w:rFonts w:ascii="Calibri"/>
                <w:sz w:val="18"/>
              </w:rPr>
            </w:pPr>
            <w:r>
              <w:rPr>
                <w:rFonts w:ascii="Calibri"/>
                <w:sz w:val="18"/>
              </w:rPr>
              <w:t>98.9</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9.9</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98.2</w:t>
            </w:r>
          </w:p>
        </w:tc>
        <w:tc>
          <w:tcPr>
            <w:tcW w:w="630" w:type="dxa"/>
          </w:tcPr>
          <w:p>
            <w:pPr>
              <w:pStyle w:val="TableParagraph"/>
              <w:spacing w:line="199" w:lineRule="exact"/>
              <w:ind w:left="137"/>
              <w:jc w:val="left"/>
              <w:rPr>
                <w:rFonts w:ascii="Calibri"/>
                <w:sz w:val="18"/>
              </w:rPr>
            </w:pPr>
            <w:r>
              <w:rPr>
                <w:rFonts w:ascii="Calibri"/>
                <w:sz w:val="18"/>
              </w:rPr>
              <w:t>21.7</w:t>
            </w:r>
          </w:p>
        </w:tc>
        <w:tc>
          <w:tcPr>
            <w:tcW w:w="720" w:type="dxa"/>
          </w:tcPr>
          <w:p>
            <w:pPr>
              <w:pStyle w:val="TableParagraph"/>
              <w:spacing w:line="199" w:lineRule="exact"/>
              <w:ind w:left="183"/>
              <w:jc w:val="left"/>
              <w:rPr>
                <w:rFonts w:ascii="Calibri"/>
                <w:sz w:val="18"/>
              </w:rPr>
            </w:pPr>
            <w:r>
              <w:rPr>
                <w:rFonts w:ascii="Calibri"/>
                <w:sz w:val="18"/>
              </w:rPr>
              <w:t>98.7</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13.5</w:t>
            </w:r>
          </w:p>
        </w:tc>
      </w:tr>
      <w:tr>
        <w:trPr>
          <w:trHeight w:val="300" w:hRule="atLeast"/>
        </w:trPr>
        <w:tc>
          <w:tcPr>
            <w:tcW w:w="1435" w:type="dxa"/>
            <w:tcBorders>
              <w:right w:val="single" w:sz="12" w:space="0" w:color="000000"/>
            </w:tcBorders>
          </w:tcPr>
          <w:p>
            <w:pPr>
              <w:pStyle w:val="TableParagraph"/>
              <w:spacing w:line="199" w:lineRule="exact" w:before="81"/>
              <w:ind w:left="176" w:right="158"/>
              <w:rPr>
                <w:rFonts w:ascii="Calibri"/>
                <w:sz w:val="18"/>
              </w:rPr>
            </w:pPr>
            <w:r>
              <w:rPr>
                <w:rFonts w:ascii="Calibri"/>
                <w:sz w:val="18"/>
              </w:rPr>
              <w:t>PFPeA</w:t>
            </w:r>
          </w:p>
        </w:tc>
        <w:tc>
          <w:tcPr>
            <w:tcW w:w="726" w:type="dxa"/>
            <w:tcBorders>
              <w:left w:val="single" w:sz="12" w:space="0" w:color="000000"/>
            </w:tcBorders>
          </w:tcPr>
          <w:p>
            <w:pPr>
              <w:pStyle w:val="TableParagraph"/>
              <w:spacing w:line="199" w:lineRule="exact" w:before="81"/>
              <w:ind w:left="127" w:right="127"/>
              <w:rPr>
                <w:rFonts w:ascii="Calibri"/>
                <w:sz w:val="18"/>
              </w:rPr>
            </w:pPr>
            <w:r>
              <w:rPr>
                <w:rFonts w:ascii="Calibri"/>
                <w:sz w:val="18"/>
              </w:rPr>
              <w:t>106.5</w:t>
            </w:r>
          </w:p>
        </w:tc>
        <w:tc>
          <w:tcPr>
            <w:tcW w:w="631" w:type="dxa"/>
          </w:tcPr>
          <w:p>
            <w:pPr>
              <w:pStyle w:val="TableParagraph"/>
              <w:spacing w:line="199" w:lineRule="exact" w:before="81"/>
              <w:ind w:left="129" w:right="124"/>
              <w:rPr>
                <w:rFonts w:ascii="Calibri"/>
                <w:sz w:val="18"/>
              </w:rPr>
            </w:pPr>
            <w:r>
              <w:rPr>
                <w:rFonts w:ascii="Calibri"/>
                <w:sz w:val="18"/>
              </w:rPr>
              <w:t>24.7</w:t>
            </w:r>
          </w:p>
        </w:tc>
        <w:tc>
          <w:tcPr>
            <w:tcW w:w="761" w:type="dxa"/>
          </w:tcPr>
          <w:p>
            <w:pPr>
              <w:pStyle w:val="TableParagraph"/>
              <w:spacing w:line="199" w:lineRule="exact" w:before="81"/>
              <w:ind w:left="151" w:right="148"/>
              <w:rPr>
                <w:rFonts w:ascii="Calibri"/>
                <w:sz w:val="18"/>
              </w:rPr>
            </w:pPr>
            <w:r>
              <w:rPr>
                <w:rFonts w:ascii="Calibri"/>
                <w:sz w:val="18"/>
              </w:rPr>
              <w:t>100.3</w:t>
            </w:r>
          </w:p>
        </w:tc>
        <w:tc>
          <w:tcPr>
            <w:tcW w:w="681" w:type="dxa"/>
            <w:tcBorders>
              <w:right w:val="single" w:sz="12" w:space="0" w:color="000000"/>
            </w:tcBorders>
          </w:tcPr>
          <w:p>
            <w:pPr>
              <w:pStyle w:val="TableParagraph"/>
              <w:spacing w:line="199" w:lineRule="exact" w:before="81"/>
              <w:ind w:left="85" w:right="74"/>
              <w:rPr>
                <w:rFonts w:ascii="Calibri"/>
                <w:sz w:val="18"/>
              </w:rPr>
            </w:pPr>
            <w:r>
              <w:rPr>
                <w:rFonts w:ascii="Calibri"/>
                <w:sz w:val="18"/>
              </w:rPr>
              <w:t>12.6</w:t>
            </w:r>
          </w:p>
        </w:tc>
        <w:tc>
          <w:tcPr>
            <w:tcW w:w="722" w:type="dxa"/>
            <w:tcBorders>
              <w:left w:val="single" w:sz="12" w:space="0" w:color="000000"/>
            </w:tcBorders>
          </w:tcPr>
          <w:p>
            <w:pPr>
              <w:pStyle w:val="TableParagraph"/>
              <w:spacing w:line="199" w:lineRule="exact" w:before="81"/>
              <w:ind w:left="113" w:right="121"/>
              <w:rPr>
                <w:rFonts w:ascii="Calibri"/>
                <w:sz w:val="18"/>
              </w:rPr>
            </w:pPr>
            <w:r>
              <w:rPr>
                <w:rFonts w:ascii="Calibri"/>
                <w:sz w:val="18"/>
              </w:rPr>
              <w:t>104.0</w:t>
            </w:r>
          </w:p>
        </w:tc>
        <w:tc>
          <w:tcPr>
            <w:tcW w:w="631" w:type="dxa"/>
          </w:tcPr>
          <w:p>
            <w:pPr>
              <w:pStyle w:val="TableParagraph"/>
              <w:spacing w:line="199" w:lineRule="exact" w:before="81"/>
              <w:ind w:left="126" w:right="128"/>
              <w:rPr>
                <w:rFonts w:ascii="Calibri"/>
                <w:sz w:val="18"/>
              </w:rPr>
            </w:pPr>
            <w:r>
              <w:rPr>
                <w:rFonts w:ascii="Calibri"/>
                <w:sz w:val="18"/>
              </w:rPr>
              <w:t>17.2</w:t>
            </w:r>
          </w:p>
        </w:tc>
        <w:tc>
          <w:tcPr>
            <w:tcW w:w="721" w:type="dxa"/>
          </w:tcPr>
          <w:p>
            <w:pPr>
              <w:pStyle w:val="TableParagraph"/>
              <w:spacing w:line="199" w:lineRule="exact" w:before="81"/>
              <w:ind w:left="128" w:right="131"/>
              <w:rPr>
                <w:rFonts w:ascii="Calibri"/>
                <w:sz w:val="18"/>
              </w:rPr>
            </w:pPr>
            <w:r>
              <w:rPr>
                <w:rFonts w:ascii="Calibri"/>
                <w:sz w:val="18"/>
              </w:rPr>
              <w:t>100.1</w:t>
            </w:r>
          </w:p>
        </w:tc>
        <w:tc>
          <w:tcPr>
            <w:tcW w:w="720" w:type="dxa"/>
            <w:tcBorders>
              <w:right w:val="single" w:sz="12" w:space="0" w:color="000000"/>
            </w:tcBorders>
          </w:tcPr>
          <w:p>
            <w:pPr>
              <w:pStyle w:val="TableParagraph"/>
              <w:spacing w:line="199" w:lineRule="exact" w:before="81"/>
              <w:ind w:left="94" w:right="91"/>
              <w:rPr>
                <w:rFonts w:ascii="Calibri"/>
                <w:sz w:val="18"/>
              </w:rPr>
            </w:pPr>
            <w:r>
              <w:rPr>
                <w:rFonts w:ascii="Calibri"/>
                <w:sz w:val="18"/>
              </w:rPr>
              <w:t>13.1</w:t>
            </w:r>
          </w:p>
        </w:tc>
        <w:tc>
          <w:tcPr>
            <w:tcW w:w="773" w:type="dxa"/>
            <w:tcBorders>
              <w:left w:val="single" w:sz="12" w:space="0" w:color="000000"/>
            </w:tcBorders>
          </w:tcPr>
          <w:p>
            <w:pPr>
              <w:pStyle w:val="TableParagraph"/>
              <w:spacing w:line="199" w:lineRule="exact" w:before="81"/>
              <w:ind w:left="143" w:right="159"/>
              <w:rPr>
                <w:rFonts w:ascii="Calibri"/>
                <w:sz w:val="18"/>
              </w:rPr>
            </w:pPr>
            <w:r>
              <w:rPr>
                <w:rFonts w:ascii="Calibri"/>
                <w:sz w:val="18"/>
              </w:rPr>
              <w:t>112.7</w:t>
            </w:r>
          </w:p>
        </w:tc>
        <w:tc>
          <w:tcPr>
            <w:tcW w:w="541" w:type="dxa"/>
          </w:tcPr>
          <w:p>
            <w:pPr>
              <w:pStyle w:val="TableParagraph"/>
              <w:spacing w:line="199" w:lineRule="exact" w:before="81"/>
              <w:ind w:left="99"/>
              <w:jc w:val="left"/>
              <w:rPr>
                <w:rFonts w:ascii="Calibri"/>
                <w:sz w:val="18"/>
              </w:rPr>
            </w:pPr>
            <w:r>
              <w:rPr>
                <w:rFonts w:ascii="Calibri"/>
                <w:sz w:val="18"/>
              </w:rPr>
              <w:t>38.4</w:t>
            </w:r>
          </w:p>
        </w:tc>
        <w:tc>
          <w:tcPr>
            <w:tcW w:w="721" w:type="dxa"/>
          </w:tcPr>
          <w:p>
            <w:pPr>
              <w:pStyle w:val="TableParagraph"/>
              <w:spacing w:line="199" w:lineRule="exact" w:before="81"/>
              <w:ind w:right="155"/>
              <w:jc w:val="right"/>
              <w:rPr>
                <w:rFonts w:ascii="Calibri"/>
                <w:sz w:val="18"/>
              </w:rPr>
            </w:pPr>
            <w:r>
              <w:rPr>
                <w:rFonts w:ascii="Calibri"/>
                <w:sz w:val="18"/>
              </w:rPr>
              <w:t>100.2</w:t>
            </w:r>
          </w:p>
        </w:tc>
        <w:tc>
          <w:tcPr>
            <w:tcW w:w="759" w:type="dxa"/>
            <w:tcBorders>
              <w:right w:val="single" w:sz="12" w:space="0" w:color="000000"/>
            </w:tcBorders>
          </w:tcPr>
          <w:p>
            <w:pPr>
              <w:pStyle w:val="TableParagraph"/>
              <w:spacing w:line="199" w:lineRule="exact" w:before="81"/>
              <w:ind w:left="117" w:right="120"/>
              <w:rPr>
                <w:rFonts w:ascii="Calibri"/>
                <w:sz w:val="18"/>
              </w:rPr>
            </w:pPr>
            <w:r>
              <w:rPr>
                <w:rFonts w:ascii="Calibri"/>
                <w:sz w:val="18"/>
              </w:rPr>
              <w:t>11.7</w:t>
            </w:r>
          </w:p>
        </w:tc>
        <w:tc>
          <w:tcPr>
            <w:tcW w:w="722" w:type="dxa"/>
            <w:tcBorders>
              <w:left w:val="single" w:sz="12" w:space="0" w:color="000000"/>
            </w:tcBorders>
          </w:tcPr>
          <w:p>
            <w:pPr>
              <w:pStyle w:val="TableParagraph"/>
              <w:spacing w:line="199" w:lineRule="exact" w:before="81"/>
              <w:ind w:left="105" w:right="129"/>
              <w:rPr>
                <w:rFonts w:ascii="Calibri"/>
                <w:sz w:val="18"/>
              </w:rPr>
            </w:pPr>
            <w:r>
              <w:rPr>
                <w:rFonts w:ascii="Calibri"/>
                <w:sz w:val="18"/>
              </w:rPr>
              <w:t>102.5</w:t>
            </w:r>
          </w:p>
        </w:tc>
        <w:tc>
          <w:tcPr>
            <w:tcW w:w="631" w:type="dxa"/>
          </w:tcPr>
          <w:p>
            <w:pPr>
              <w:pStyle w:val="TableParagraph"/>
              <w:spacing w:line="199" w:lineRule="exact" w:before="81"/>
              <w:ind w:left="140"/>
              <w:jc w:val="left"/>
              <w:rPr>
                <w:rFonts w:ascii="Calibri"/>
                <w:sz w:val="18"/>
              </w:rPr>
            </w:pPr>
            <w:r>
              <w:rPr>
                <w:rFonts w:ascii="Calibri"/>
                <w:sz w:val="18"/>
              </w:rPr>
              <w:t>17.8</w:t>
            </w:r>
          </w:p>
        </w:tc>
        <w:tc>
          <w:tcPr>
            <w:tcW w:w="721" w:type="dxa"/>
          </w:tcPr>
          <w:p>
            <w:pPr>
              <w:pStyle w:val="TableParagraph"/>
              <w:spacing w:line="199" w:lineRule="exact" w:before="81"/>
              <w:ind w:left="185"/>
              <w:jc w:val="left"/>
              <w:rPr>
                <w:rFonts w:ascii="Calibri"/>
                <w:sz w:val="18"/>
              </w:rPr>
            </w:pPr>
            <w:r>
              <w:rPr>
                <w:rFonts w:ascii="Calibri"/>
                <w:sz w:val="18"/>
              </w:rPr>
              <w:t>99.5</w:t>
            </w:r>
          </w:p>
        </w:tc>
        <w:tc>
          <w:tcPr>
            <w:tcW w:w="720" w:type="dxa"/>
            <w:tcBorders>
              <w:right w:val="single" w:sz="12" w:space="0" w:color="000000"/>
            </w:tcBorders>
          </w:tcPr>
          <w:p>
            <w:pPr>
              <w:pStyle w:val="TableParagraph"/>
              <w:spacing w:line="199" w:lineRule="exact" w:before="81"/>
              <w:ind w:left="88" w:right="98"/>
              <w:rPr>
                <w:rFonts w:ascii="Calibri"/>
                <w:sz w:val="18"/>
              </w:rPr>
            </w:pPr>
            <w:r>
              <w:rPr>
                <w:rFonts w:ascii="Calibri"/>
                <w:sz w:val="18"/>
              </w:rPr>
              <w:t>11.8</w:t>
            </w:r>
          </w:p>
        </w:tc>
        <w:tc>
          <w:tcPr>
            <w:tcW w:w="721" w:type="dxa"/>
            <w:tcBorders>
              <w:left w:val="single" w:sz="12" w:space="0" w:color="000000"/>
            </w:tcBorders>
          </w:tcPr>
          <w:p>
            <w:pPr>
              <w:pStyle w:val="TableParagraph"/>
              <w:spacing w:line="199" w:lineRule="exact" w:before="81"/>
              <w:ind w:left="128"/>
              <w:jc w:val="left"/>
              <w:rPr>
                <w:rFonts w:ascii="Calibri"/>
                <w:sz w:val="18"/>
              </w:rPr>
            </w:pPr>
            <w:r>
              <w:rPr>
                <w:rFonts w:ascii="Calibri"/>
                <w:sz w:val="18"/>
              </w:rPr>
              <w:t>107.0</w:t>
            </w:r>
          </w:p>
        </w:tc>
        <w:tc>
          <w:tcPr>
            <w:tcW w:w="630" w:type="dxa"/>
          </w:tcPr>
          <w:p>
            <w:pPr>
              <w:pStyle w:val="TableParagraph"/>
              <w:spacing w:line="199" w:lineRule="exact" w:before="81"/>
              <w:ind w:left="137"/>
              <w:jc w:val="left"/>
              <w:rPr>
                <w:rFonts w:ascii="Calibri"/>
                <w:sz w:val="18"/>
              </w:rPr>
            </w:pPr>
            <w:r>
              <w:rPr>
                <w:rFonts w:ascii="Calibri"/>
                <w:sz w:val="18"/>
              </w:rPr>
              <w:t>14.1</w:t>
            </w:r>
          </w:p>
        </w:tc>
        <w:tc>
          <w:tcPr>
            <w:tcW w:w="720" w:type="dxa"/>
          </w:tcPr>
          <w:p>
            <w:pPr>
              <w:pStyle w:val="TableParagraph"/>
              <w:spacing w:line="199" w:lineRule="exact" w:before="81"/>
              <w:ind w:left="137"/>
              <w:jc w:val="left"/>
              <w:rPr>
                <w:rFonts w:ascii="Calibri"/>
                <w:sz w:val="18"/>
              </w:rPr>
            </w:pPr>
            <w:r>
              <w:rPr>
                <w:rFonts w:ascii="Calibri"/>
                <w:sz w:val="18"/>
              </w:rPr>
              <w:t>101.5</w:t>
            </w:r>
          </w:p>
        </w:tc>
        <w:tc>
          <w:tcPr>
            <w:tcW w:w="719" w:type="dxa"/>
            <w:tcBorders>
              <w:right w:val="single" w:sz="12" w:space="0" w:color="000000"/>
            </w:tcBorders>
          </w:tcPr>
          <w:p>
            <w:pPr>
              <w:pStyle w:val="TableParagraph"/>
              <w:spacing w:line="199" w:lineRule="exact" w:before="81"/>
              <w:ind w:left="93" w:right="104"/>
              <w:rPr>
                <w:rFonts w:ascii="Calibri"/>
                <w:sz w:val="18"/>
              </w:rPr>
            </w:pPr>
            <w:r>
              <w:rPr>
                <w:rFonts w:ascii="Calibri"/>
                <w:sz w:val="18"/>
              </w:rPr>
              <w:t>14.0</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PFBA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93.6</w:t>
            </w:r>
          </w:p>
        </w:tc>
        <w:tc>
          <w:tcPr>
            <w:tcW w:w="631" w:type="dxa"/>
          </w:tcPr>
          <w:p>
            <w:pPr>
              <w:pStyle w:val="TableParagraph"/>
              <w:spacing w:line="199" w:lineRule="exact"/>
              <w:ind w:left="129" w:right="124"/>
              <w:rPr>
                <w:rFonts w:ascii="Calibri"/>
                <w:sz w:val="18"/>
              </w:rPr>
            </w:pPr>
            <w:r>
              <w:rPr>
                <w:rFonts w:ascii="Calibri"/>
                <w:sz w:val="18"/>
              </w:rPr>
              <w:t>24.1</w:t>
            </w:r>
          </w:p>
        </w:tc>
        <w:tc>
          <w:tcPr>
            <w:tcW w:w="761" w:type="dxa"/>
          </w:tcPr>
          <w:p>
            <w:pPr>
              <w:pStyle w:val="TableParagraph"/>
              <w:spacing w:line="199" w:lineRule="exact"/>
              <w:ind w:left="151" w:right="148"/>
              <w:rPr>
                <w:rFonts w:ascii="Calibri"/>
                <w:sz w:val="18"/>
              </w:rPr>
            </w:pPr>
            <w:r>
              <w:rPr>
                <w:rFonts w:ascii="Calibri"/>
                <w:sz w:val="18"/>
              </w:rPr>
              <w:t>94.8</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17.5</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93.1</w:t>
            </w:r>
          </w:p>
        </w:tc>
        <w:tc>
          <w:tcPr>
            <w:tcW w:w="631" w:type="dxa"/>
          </w:tcPr>
          <w:p>
            <w:pPr>
              <w:pStyle w:val="TableParagraph"/>
              <w:spacing w:line="199" w:lineRule="exact"/>
              <w:ind w:left="126" w:right="128"/>
              <w:rPr>
                <w:rFonts w:ascii="Calibri"/>
                <w:sz w:val="18"/>
              </w:rPr>
            </w:pPr>
            <w:r>
              <w:rPr>
                <w:rFonts w:ascii="Calibri"/>
                <w:sz w:val="18"/>
              </w:rPr>
              <w:t>23.6</w:t>
            </w:r>
          </w:p>
        </w:tc>
        <w:tc>
          <w:tcPr>
            <w:tcW w:w="721" w:type="dxa"/>
          </w:tcPr>
          <w:p>
            <w:pPr>
              <w:pStyle w:val="TableParagraph"/>
              <w:spacing w:line="199" w:lineRule="exact"/>
              <w:ind w:left="128" w:right="131"/>
              <w:rPr>
                <w:rFonts w:ascii="Calibri"/>
                <w:sz w:val="18"/>
              </w:rPr>
            </w:pPr>
            <w:r>
              <w:rPr>
                <w:rFonts w:ascii="Calibri"/>
                <w:sz w:val="18"/>
              </w:rPr>
              <w:t>96.4</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18.6</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98.0</w:t>
            </w:r>
          </w:p>
        </w:tc>
        <w:tc>
          <w:tcPr>
            <w:tcW w:w="541" w:type="dxa"/>
          </w:tcPr>
          <w:p>
            <w:pPr>
              <w:pStyle w:val="TableParagraph"/>
              <w:spacing w:line="199" w:lineRule="exact"/>
              <w:ind w:left="99"/>
              <w:jc w:val="left"/>
              <w:rPr>
                <w:rFonts w:ascii="Calibri"/>
                <w:sz w:val="18"/>
              </w:rPr>
            </w:pPr>
            <w:r>
              <w:rPr>
                <w:rFonts w:ascii="Calibri"/>
                <w:sz w:val="18"/>
              </w:rPr>
              <w:t>22.5</w:t>
            </w:r>
          </w:p>
        </w:tc>
        <w:tc>
          <w:tcPr>
            <w:tcW w:w="721" w:type="dxa"/>
          </w:tcPr>
          <w:p>
            <w:pPr>
              <w:pStyle w:val="TableParagraph"/>
              <w:spacing w:line="199" w:lineRule="exact"/>
              <w:ind w:right="200"/>
              <w:jc w:val="right"/>
              <w:rPr>
                <w:rFonts w:ascii="Calibri"/>
                <w:sz w:val="18"/>
              </w:rPr>
            </w:pPr>
            <w:r>
              <w:rPr>
                <w:rFonts w:ascii="Calibri"/>
                <w:sz w:val="18"/>
              </w:rPr>
              <w:t>97.2</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12.0</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86.7</w:t>
            </w:r>
          </w:p>
        </w:tc>
        <w:tc>
          <w:tcPr>
            <w:tcW w:w="631" w:type="dxa"/>
          </w:tcPr>
          <w:p>
            <w:pPr>
              <w:pStyle w:val="TableParagraph"/>
              <w:spacing w:line="199" w:lineRule="exact"/>
              <w:ind w:left="140"/>
              <w:jc w:val="left"/>
              <w:rPr>
                <w:rFonts w:ascii="Calibri"/>
                <w:sz w:val="18"/>
              </w:rPr>
            </w:pPr>
            <w:r>
              <w:rPr>
                <w:rFonts w:ascii="Calibri"/>
                <w:sz w:val="18"/>
              </w:rPr>
              <w:t>29.0</w:t>
            </w:r>
          </w:p>
        </w:tc>
        <w:tc>
          <w:tcPr>
            <w:tcW w:w="721" w:type="dxa"/>
          </w:tcPr>
          <w:p>
            <w:pPr>
              <w:pStyle w:val="TableParagraph"/>
              <w:spacing w:line="199" w:lineRule="exact"/>
              <w:ind w:left="185"/>
              <w:jc w:val="left"/>
              <w:rPr>
                <w:rFonts w:ascii="Calibri"/>
                <w:sz w:val="18"/>
              </w:rPr>
            </w:pPr>
            <w:r>
              <w:rPr>
                <w:rFonts w:ascii="Calibri"/>
                <w:sz w:val="18"/>
              </w:rPr>
              <w:t>90.2</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19.4</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96.6</w:t>
            </w:r>
          </w:p>
        </w:tc>
        <w:tc>
          <w:tcPr>
            <w:tcW w:w="630" w:type="dxa"/>
          </w:tcPr>
          <w:p>
            <w:pPr>
              <w:pStyle w:val="TableParagraph"/>
              <w:spacing w:line="199" w:lineRule="exact"/>
              <w:ind w:left="137"/>
              <w:jc w:val="left"/>
              <w:rPr>
                <w:rFonts w:ascii="Calibri"/>
                <w:sz w:val="18"/>
              </w:rPr>
            </w:pPr>
            <w:r>
              <w:rPr>
                <w:rFonts w:ascii="Calibri"/>
                <w:sz w:val="18"/>
              </w:rPr>
              <w:t>20.5</w:t>
            </w:r>
          </w:p>
        </w:tc>
        <w:tc>
          <w:tcPr>
            <w:tcW w:w="720" w:type="dxa"/>
          </w:tcPr>
          <w:p>
            <w:pPr>
              <w:pStyle w:val="TableParagraph"/>
              <w:spacing w:line="199" w:lineRule="exact"/>
              <w:ind w:left="183"/>
              <w:jc w:val="left"/>
              <w:rPr>
                <w:rFonts w:ascii="Calibri"/>
                <w:sz w:val="18"/>
              </w:rPr>
            </w:pPr>
            <w:r>
              <w:rPr>
                <w:rFonts w:ascii="Calibri"/>
                <w:sz w:val="18"/>
              </w:rPr>
              <w:t>95.4</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18.9</w:t>
            </w:r>
          </w:p>
        </w:tc>
      </w:tr>
      <w:tr>
        <w:trPr>
          <w:trHeight w:val="305" w:hRule="atLeast"/>
        </w:trPr>
        <w:tc>
          <w:tcPr>
            <w:tcW w:w="1435" w:type="dxa"/>
            <w:tcBorders>
              <w:right w:val="single" w:sz="12" w:space="0" w:color="000000"/>
            </w:tcBorders>
          </w:tcPr>
          <w:p>
            <w:pPr>
              <w:pStyle w:val="TableParagraph"/>
              <w:spacing w:line="200" w:lineRule="exact" w:before="85"/>
              <w:ind w:left="176" w:right="158"/>
              <w:rPr>
                <w:rFonts w:ascii="Calibri"/>
                <w:sz w:val="18"/>
              </w:rPr>
            </w:pPr>
            <w:r>
              <w:rPr>
                <w:rFonts w:ascii="Calibri"/>
                <w:sz w:val="18"/>
              </w:rPr>
              <w:t>PFDS</w:t>
            </w:r>
          </w:p>
        </w:tc>
        <w:tc>
          <w:tcPr>
            <w:tcW w:w="726" w:type="dxa"/>
            <w:tcBorders>
              <w:left w:val="single" w:sz="12" w:space="0" w:color="000000"/>
            </w:tcBorders>
          </w:tcPr>
          <w:p>
            <w:pPr>
              <w:pStyle w:val="TableParagraph"/>
              <w:spacing w:line="200" w:lineRule="exact" w:before="85"/>
              <w:ind w:left="127" w:right="127"/>
              <w:rPr>
                <w:rFonts w:ascii="Calibri"/>
                <w:sz w:val="18"/>
              </w:rPr>
            </w:pPr>
            <w:r>
              <w:rPr>
                <w:rFonts w:ascii="Calibri"/>
                <w:sz w:val="18"/>
              </w:rPr>
              <w:t>95.7</w:t>
            </w:r>
          </w:p>
        </w:tc>
        <w:tc>
          <w:tcPr>
            <w:tcW w:w="631" w:type="dxa"/>
          </w:tcPr>
          <w:p>
            <w:pPr>
              <w:pStyle w:val="TableParagraph"/>
              <w:spacing w:line="200" w:lineRule="exact" w:before="85"/>
              <w:ind w:left="129" w:right="124"/>
              <w:rPr>
                <w:rFonts w:ascii="Calibri"/>
                <w:sz w:val="18"/>
              </w:rPr>
            </w:pPr>
            <w:r>
              <w:rPr>
                <w:rFonts w:ascii="Calibri"/>
                <w:sz w:val="18"/>
              </w:rPr>
              <w:t>20.4</w:t>
            </w:r>
          </w:p>
        </w:tc>
        <w:tc>
          <w:tcPr>
            <w:tcW w:w="761" w:type="dxa"/>
          </w:tcPr>
          <w:p>
            <w:pPr>
              <w:pStyle w:val="TableParagraph"/>
              <w:spacing w:line="200" w:lineRule="exact" w:before="85"/>
              <w:ind w:left="151" w:right="148"/>
              <w:rPr>
                <w:rFonts w:ascii="Calibri"/>
                <w:sz w:val="18"/>
              </w:rPr>
            </w:pPr>
            <w:r>
              <w:rPr>
                <w:rFonts w:ascii="Calibri"/>
                <w:sz w:val="18"/>
              </w:rPr>
              <w:t>100.3</w:t>
            </w:r>
          </w:p>
        </w:tc>
        <w:tc>
          <w:tcPr>
            <w:tcW w:w="681" w:type="dxa"/>
            <w:tcBorders>
              <w:right w:val="single" w:sz="12" w:space="0" w:color="000000"/>
            </w:tcBorders>
          </w:tcPr>
          <w:p>
            <w:pPr>
              <w:pStyle w:val="TableParagraph"/>
              <w:spacing w:line="200" w:lineRule="exact" w:before="85"/>
              <w:ind w:left="85" w:right="74"/>
              <w:rPr>
                <w:rFonts w:ascii="Calibri"/>
                <w:sz w:val="18"/>
              </w:rPr>
            </w:pPr>
            <w:r>
              <w:rPr>
                <w:rFonts w:ascii="Calibri"/>
                <w:sz w:val="18"/>
              </w:rPr>
              <w:t>17.6</w:t>
            </w:r>
          </w:p>
        </w:tc>
        <w:tc>
          <w:tcPr>
            <w:tcW w:w="722" w:type="dxa"/>
            <w:tcBorders>
              <w:left w:val="single" w:sz="12" w:space="0" w:color="000000"/>
            </w:tcBorders>
          </w:tcPr>
          <w:p>
            <w:pPr>
              <w:pStyle w:val="TableParagraph"/>
              <w:spacing w:line="200" w:lineRule="exact" w:before="85"/>
              <w:ind w:left="113" w:right="121"/>
              <w:rPr>
                <w:rFonts w:ascii="Calibri"/>
                <w:sz w:val="18"/>
              </w:rPr>
            </w:pPr>
            <w:r>
              <w:rPr>
                <w:rFonts w:ascii="Calibri"/>
                <w:sz w:val="18"/>
              </w:rPr>
              <w:t>97.7</w:t>
            </w:r>
          </w:p>
        </w:tc>
        <w:tc>
          <w:tcPr>
            <w:tcW w:w="631" w:type="dxa"/>
          </w:tcPr>
          <w:p>
            <w:pPr>
              <w:pStyle w:val="TableParagraph"/>
              <w:spacing w:line="200" w:lineRule="exact" w:before="85"/>
              <w:ind w:left="126" w:right="128"/>
              <w:rPr>
                <w:rFonts w:ascii="Calibri"/>
                <w:sz w:val="18"/>
              </w:rPr>
            </w:pPr>
            <w:r>
              <w:rPr>
                <w:rFonts w:ascii="Calibri"/>
                <w:sz w:val="18"/>
              </w:rPr>
              <w:t>18.1</w:t>
            </w:r>
          </w:p>
        </w:tc>
        <w:tc>
          <w:tcPr>
            <w:tcW w:w="721" w:type="dxa"/>
          </w:tcPr>
          <w:p>
            <w:pPr>
              <w:pStyle w:val="TableParagraph"/>
              <w:spacing w:line="200" w:lineRule="exact" w:before="85"/>
              <w:ind w:left="128" w:right="131"/>
              <w:rPr>
                <w:rFonts w:ascii="Calibri"/>
                <w:sz w:val="18"/>
              </w:rPr>
            </w:pPr>
            <w:r>
              <w:rPr>
                <w:rFonts w:ascii="Calibri"/>
                <w:sz w:val="18"/>
              </w:rPr>
              <w:t>103.5</w:t>
            </w:r>
          </w:p>
        </w:tc>
        <w:tc>
          <w:tcPr>
            <w:tcW w:w="720" w:type="dxa"/>
            <w:tcBorders>
              <w:right w:val="single" w:sz="12" w:space="0" w:color="000000"/>
            </w:tcBorders>
          </w:tcPr>
          <w:p>
            <w:pPr>
              <w:pStyle w:val="TableParagraph"/>
              <w:spacing w:line="200" w:lineRule="exact" w:before="85"/>
              <w:ind w:left="94" w:right="91"/>
              <w:rPr>
                <w:rFonts w:ascii="Calibri"/>
                <w:sz w:val="18"/>
              </w:rPr>
            </w:pPr>
            <w:r>
              <w:rPr>
                <w:rFonts w:ascii="Calibri"/>
                <w:sz w:val="18"/>
              </w:rPr>
              <w:t>15.2</w:t>
            </w:r>
          </w:p>
        </w:tc>
        <w:tc>
          <w:tcPr>
            <w:tcW w:w="773" w:type="dxa"/>
            <w:tcBorders>
              <w:left w:val="single" w:sz="12" w:space="0" w:color="000000"/>
            </w:tcBorders>
          </w:tcPr>
          <w:p>
            <w:pPr>
              <w:pStyle w:val="TableParagraph"/>
              <w:spacing w:line="200" w:lineRule="exact" w:before="85"/>
              <w:ind w:left="143" w:right="159"/>
              <w:rPr>
                <w:rFonts w:ascii="Calibri"/>
                <w:sz w:val="18"/>
              </w:rPr>
            </w:pPr>
            <w:r>
              <w:rPr>
                <w:rFonts w:ascii="Calibri"/>
                <w:sz w:val="18"/>
              </w:rPr>
              <w:t>95.6</w:t>
            </w:r>
          </w:p>
        </w:tc>
        <w:tc>
          <w:tcPr>
            <w:tcW w:w="541" w:type="dxa"/>
          </w:tcPr>
          <w:p>
            <w:pPr>
              <w:pStyle w:val="TableParagraph"/>
              <w:spacing w:line="200" w:lineRule="exact" w:before="85"/>
              <w:ind w:left="99"/>
              <w:jc w:val="left"/>
              <w:rPr>
                <w:rFonts w:ascii="Calibri"/>
                <w:sz w:val="18"/>
              </w:rPr>
            </w:pPr>
            <w:r>
              <w:rPr>
                <w:rFonts w:ascii="Calibri"/>
                <w:sz w:val="18"/>
              </w:rPr>
              <w:t>20.2</w:t>
            </w:r>
          </w:p>
        </w:tc>
        <w:tc>
          <w:tcPr>
            <w:tcW w:w="721" w:type="dxa"/>
          </w:tcPr>
          <w:p>
            <w:pPr>
              <w:pStyle w:val="TableParagraph"/>
              <w:spacing w:line="200" w:lineRule="exact" w:before="85"/>
              <w:ind w:right="155"/>
              <w:jc w:val="right"/>
              <w:rPr>
                <w:rFonts w:ascii="Calibri"/>
                <w:sz w:val="18"/>
              </w:rPr>
            </w:pPr>
            <w:r>
              <w:rPr>
                <w:rFonts w:ascii="Calibri"/>
                <w:sz w:val="18"/>
              </w:rPr>
              <w:t>102.2</w:t>
            </w:r>
          </w:p>
        </w:tc>
        <w:tc>
          <w:tcPr>
            <w:tcW w:w="759" w:type="dxa"/>
            <w:tcBorders>
              <w:right w:val="single" w:sz="12" w:space="0" w:color="000000"/>
            </w:tcBorders>
          </w:tcPr>
          <w:p>
            <w:pPr>
              <w:pStyle w:val="TableParagraph"/>
              <w:spacing w:line="200" w:lineRule="exact" w:before="85"/>
              <w:ind w:left="117" w:right="120"/>
              <w:rPr>
                <w:rFonts w:ascii="Calibri"/>
                <w:sz w:val="18"/>
              </w:rPr>
            </w:pPr>
            <w:r>
              <w:rPr>
                <w:rFonts w:ascii="Calibri"/>
                <w:sz w:val="18"/>
              </w:rPr>
              <w:t>16.0</w:t>
            </w:r>
          </w:p>
        </w:tc>
        <w:tc>
          <w:tcPr>
            <w:tcW w:w="722" w:type="dxa"/>
            <w:tcBorders>
              <w:left w:val="single" w:sz="12" w:space="0" w:color="000000"/>
            </w:tcBorders>
          </w:tcPr>
          <w:p>
            <w:pPr>
              <w:pStyle w:val="TableParagraph"/>
              <w:spacing w:line="200" w:lineRule="exact" w:before="85"/>
              <w:ind w:left="105" w:right="129"/>
              <w:rPr>
                <w:rFonts w:ascii="Calibri"/>
                <w:sz w:val="18"/>
              </w:rPr>
            </w:pPr>
            <w:r>
              <w:rPr>
                <w:rFonts w:ascii="Calibri"/>
                <w:sz w:val="18"/>
              </w:rPr>
              <w:t>94.4</w:t>
            </w:r>
          </w:p>
        </w:tc>
        <w:tc>
          <w:tcPr>
            <w:tcW w:w="631" w:type="dxa"/>
          </w:tcPr>
          <w:p>
            <w:pPr>
              <w:pStyle w:val="TableParagraph"/>
              <w:spacing w:line="200" w:lineRule="exact" w:before="85"/>
              <w:ind w:left="140"/>
              <w:jc w:val="left"/>
              <w:rPr>
                <w:rFonts w:ascii="Calibri"/>
                <w:sz w:val="18"/>
              </w:rPr>
            </w:pPr>
            <w:r>
              <w:rPr>
                <w:rFonts w:ascii="Calibri"/>
                <w:sz w:val="18"/>
              </w:rPr>
              <w:t>22.1</w:t>
            </w:r>
          </w:p>
        </w:tc>
        <w:tc>
          <w:tcPr>
            <w:tcW w:w="721" w:type="dxa"/>
          </w:tcPr>
          <w:p>
            <w:pPr>
              <w:pStyle w:val="TableParagraph"/>
              <w:spacing w:line="200" w:lineRule="exact" w:before="85"/>
              <w:ind w:left="139"/>
              <w:jc w:val="left"/>
              <w:rPr>
                <w:rFonts w:ascii="Calibri"/>
                <w:sz w:val="18"/>
              </w:rPr>
            </w:pPr>
            <w:r>
              <w:rPr>
                <w:rFonts w:ascii="Calibri"/>
                <w:sz w:val="18"/>
              </w:rPr>
              <w:t>100.1</w:t>
            </w:r>
          </w:p>
        </w:tc>
        <w:tc>
          <w:tcPr>
            <w:tcW w:w="720" w:type="dxa"/>
            <w:tcBorders>
              <w:right w:val="single" w:sz="12" w:space="0" w:color="000000"/>
            </w:tcBorders>
          </w:tcPr>
          <w:p>
            <w:pPr>
              <w:pStyle w:val="TableParagraph"/>
              <w:spacing w:line="200" w:lineRule="exact" w:before="85"/>
              <w:ind w:left="88" w:right="98"/>
              <w:rPr>
                <w:rFonts w:ascii="Calibri"/>
                <w:sz w:val="18"/>
              </w:rPr>
            </w:pPr>
            <w:r>
              <w:rPr>
                <w:rFonts w:ascii="Calibri"/>
                <w:sz w:val="18"/>
              </w:rPr>
              <w:t>16.0</w:t>
            </w:r>
          </w:p>
        </w:tc>
        <w:tc>
          <w:tcPr>
            <w:tcW w:w="721" w:type="dxa"/>
            <w:tcBorders>
              <w:left w:val="single" w:sz="12" w:space="0" w:color="000000"/>
            </w:tcBorders>
          </w:tcPr>
          <w:p>
            <w:pPr>
              <w:pStyle w:val="TableParagraph"/>
              <w:spacing w:line="200" w:lineRule="exact" w:before="85"/>
              <w:ind w:left="174"/>
              <w:jc w:val="left"/>
              <w:rPr>
                <w:rFonts w:ascii="Calibri"/>
                <w:sz w:val="18"/>
              </w:rPr>
            </w:pPr>
            <w:r>
              <w:rPr>
                <w:rFonts w:ascii="Calibri"/>
                <w:sz w:val="18"/>
              </w:rPr>
              <w:t>95.1</w:t>
            </w:r>
          </w:p>
        </w:tc>
        <w:tc>
          <w:tcPr>
            <w:tcW w:w="630" w:type="dxa"/>
          </w:tcPr>
          <w:p>
            <w:pPr>
              <w:pStyle w:val="TableParagraph"/>
              <w:spacing w:line="200" w:lineRule="exact" w:before="85"/>
              <w:ind w:left="137"/>
              <w:jc w:val="left"/>
              <w:rPr>
                <w:rFonts w:ascii="Calibri"/>
                <w:sz w:val="18"/>
              </w:rPr>
            </w:pPr>
            <w:r>
              <w:rPr>
                <w:rFonts w:ascii="Calibri"/>
                <w:sz w:val="18"/>
              </w:rPr>
              <w:t>21.7</w:t>
            </w:r>
          </w:p>
        </w:tc>
        <w:tc>
          <w:tcPr>
            <w:tcW w:w="720" w:type="dxa"/>
          </w:tcPr>
          <w:p>
            <w:pPr>
              <w:pStyle w:val="TableParagraph"/>
              <w:spacing w:line="200" w:lineRule="exact" w:before="85"/>
              <w:ind w:left="183"/>
              <w:jc w:val="left"/>
              <w:rPr>
                <w:rFonts w:ascii="Calibri"/>
                <w:sz w:val="18"/>
              </w:rPr>
            </w:pPr>
            <w:r>
              <w:rPr>
                <w:rFonts w:ascii="Calibri"/>
                <w:sz w:val="18"/>
              </w:rPr>
              <w:t>95.5</w:t>
            </w:r>
          </w:p>
        </w:tc>
        <w:tc>
          <w:tcPr>
            <w:tcW w:w="719" w:type="dxa"/>
            <w:tcBorders>
              <w:right w:val="single" w:sz="12" w:space="0" w:color="000000"/>
            </w:tcBorders>
          </w:tcPr>
          <w:p>
            <w:pPr>
              <w:pStyle w:val="TableParagraph"/>
              <w:spacing w:line="200" w:lineRule="exact" w:before="85"/>
              <w:ind w:left="93" w:right="104"/>
              <w:rPr>
                <w:rFonts w:ascii="Calibri"/>
                <w:sz w:val="18"/>
              </w:rPr>
            </w:pPr>
            <w:r>
              <w:rPr>
                <w:rFonts w:ascii="Calibri"/>
                <w:sz w:val="18"/>
              </w:rPr>
              <w:t>22.5</w:t>
            </w:r>
          </w:p>
        </w:tc>
      </w:tr>
      <w:tr>
        <w:trPr>
          <w:trHeight w:val="299" w:hRule="atLeast"/>
        </w:trPr>
        <w:tc>
          <w:tcPr>
            <w:tcW w:w="1435" w:type="dxa"/>
            <w:tcBorders>
              <w:right w:val="single" w:sz="12" w:space="0" w:color="000000"/>
            </w:tcBorders>
          </w:tcPr>
          <w:p>
            <w:pPr>
              <w:pStyle w:val="TableParagraph"/>
              <w:spacing w:line="199" w:lineRule="exact"/>
              <w:ind w:left="177" w:right="158"/>
              <w:rPr>
                <w:rFonts w:ascii="Calibri"/>
                <w:sz w:val="18"/>
              </w:rPr>
            </w:pPr>
            <w:r>
              <w:rPr>
                <w:rFonts w:ascii="Calibri"/>
                <w:sz w:val="18"/>
              </w:rPr>
              <w:t>PFNS</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100.4</w:t>
            </w:r>
          </w:p>
        </w:tc>
        <w:tc>
          <w:tcPr>
            <w:tcW w:w="631" w:type="dxa"/>
          </w:tcPr>
          <w:p>
            <w:pPr>
              <w:pStyle w:val="TableParagraph"/>
              <w:spacing w:line="199" w:lineRule="exact"/>
              <w:ind w:left="129" w:right="124"/>
              <w:rPr>
                <w:rFonts w:ascii="Calibri"/>
                <w:sz w:val="18"/>
              </w:rPr>
            </w:pPr>
            <w:r>
              <w:rPr>
                <w:rFonts w:ascii="Calibri"/>
                <w:sz w:val="18"/>
              </w:rPr>
              <w:t>17.8</w:t>
            </w:r>
          </w:p>
        </w:tc>
        <w:tc>
          <w:tcPr>
            <w:tcW w:w="761" w:type="dxa"/>
          </w:tcPr>
          <w:p>
            <w:pPr>
              <w:pStyle w:val="TableParagraph"/>
              <w:spacing w:line="199" w:lineRule="exact"/>
              <w:ind w:left="151" w:right="148"/>
              <w:rPr>
                <w:rFonts w:ascii="Calibri"/>
                <w:sz w:val="18"/>
              </w:rPr>
            </w:pPr>
            <w:r>
              <w:rPr>
                <w:rFonts w:ascii="Calibri"/>
                <w:sz w:val="18"/>
              </w:rPr>
              <w:t>105.6</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13.9</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101.7</w:t>
            </w:r>
          </w:p>
        </w:tc>
        <w:tc>
          <w:tcPr>
            <w:tcW w:w="631" w:type="dxa"/>
          </w:tcPr>
          <w:p>
            <w:pPr>
              <w:pStyle w:val="TableParagraph"/>
              <w:spacing w:line="199" w:lineRule="exact"/>
              <w:ind w:left="126" w:right="128"/>
              <w:rPr>
                <w:rFonts w:ascii="Calibri"/>
                <w:sz w:val="18"/>
              </w:rPr>
            </w:pPr>
            <w:r>
              <w:rPr>
                <w:rFonts w:ascii="Calibri"/>
                <w:sz w:val="18"/>
              </w:rPr>
              <w:t>16.5</w:t>
            </w:r>
          </w:p>
        </w:tc>
        <w:tc>
          <w:tcPr>
            <w:tcW w:w="721" w:type="dxa"/>
          </w:tcPr>
          <w:p>
            <w:pPr>
              <w:pStyle w:val="TableParagraph"/>
              <w:spacing w:line="199" w:lineRule="exact"/>
              <w:ind w:left="128" w:right="131"/>
              <w:rPr>
                <w:rFonts w:ascii="Calibri"/>
                <w:sz w:val="18"/>
              </w:rPr>
            </w:pPr>
            <w:r>
              <w:rPr>
                <w:rFonts w:ascii="Calibri"/>
                <w:sz w:val="18"/>
              </w:rPr>
              <w:t>106.1</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14.0</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99.8</w:t>
            </w:r>
          </w:p>
        </w:tc>
        <w:tc>
          <w:tcPr>
            <w:tcW w:w="541" w:type="dxa"/>
          </w:tcPr>
          <w:p>
            <w:pPr>
              <w:pStyle w:val="TableParagraph"/>
              <w:spacing w:line="199" w:lineRule="exact"/>
              <w:ind w:left="99"/>
              <w:jc w:val="left"/>
              <w:rPr>
                <w:rFonts w:ascii="Calibri"/>
                <w:sz w:val="18"/>
              </w:rPr>
            </w:pPr>
            <w:r>
              <w:rPr>
                <w:rFonts w:ascii="Calibri"/>
                <w:sz w:val="18"/>
              </w:rPr>
              <w:t>18.6</w:t>
            </w:r>
          </w:p>
        </w:tc>
        <w:tc>
          <w:tcPr>
            <w:tcW w:w="721" w:type="dxa"/>
          </w:tcPr>
          <w:p>
            <w:pPr>
              <w:pStyle w:val="TableParagraph"/>
              <w:spacing w:line="199" w:lineRule="exact"/>
              <w:ind w:right="155"/>
              <w:jc w:val="right"/>
              <w:rPr>
                <w:rFonts w:ascii="Calibri"/>
                <w:sz w:val="18"/>
              </w:rPr>
            </w:pPr>
            <w:r>
              <w:rPr>
                <w:rFonts w:ascii="Calibri"/>
                <w:sz w:val="18"/>
              </w:rPr>
              <w:t>106.1</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13.7</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99.4</w:t>
            </w:r>
          </w:p>
        </w:tc>
        <w:tc>
          <w:tcPr>
            <w:tcW w:w="631" w:type="dxa"/>
          </w:tcPr>
          <w:p>
            <w:pPr>
              <w:pStyle w:val="TableParagraph"/>
              <w:spacing w:line="199" w:lineRule="exact"/>
              <w:ind w:left="140"/>
              <w:jc w:val="left"/>
              <w:rPr>
                <w:rFonts w:ascii="Calibri"/>
                <w:sz w:val="18"/>
              </w:rPr>
            </w:pPr>
            <w:r>
              <w:rPr>
                <w:rFonts w:ascii="Calibri"/>
                <w:sz w:val="18"/>
              </w:rPr>
              <w:t>19.5</w:t>
            </w:r>
          </w:p>
        </w:tc>
        <w:tc>
          <w:tcPr>
            <w:tcW w:w="721" w:type="dxa"/>
          </w:tcPr>
          <w:p>
            <w:pPr>
              <w:pStyle w:val="TableParagraph"/>
              <w:spacing w:line="199" w:lineRule="exact"/>
              <w:ind w:left="139"/>
              <w:jc w:val="left"/>
              <w:rPr>
                <w:rFonts w:ascii="Calibri"/>
                <w:sz w:val="18"/>
              </w:rPr>
            </w:pPr>
            <w:r>
              <w:rPr>
                <w:rFonts w:ascii="Calibri"/>
                <w:sz w:val="18"/>
              </w:rPr>
              <w:t>105.6</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12.7</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100.6</w:t>
            </w:r>
          </w:p>
        </w:tc>
        <w:tc>
          <w:tcPr>
            <w:tcW w:w="630" w:type="dxa"/>
          </w:tcPr>
          <w:p>
            <w:pPr>
              <w:pStyle w:val="TableParagraph"/>
              <w:spacing w:line="199" w:lineRule="exact"/>
              <w:ind w:left="137"/>
              <w:jc w:val="left"/>
              <w:rPr>
                <w:rFonts w:ascii="Calibri"/>
                <w:sz w:val="18"/>
              </w:rPr>
            </w:pPr>
            <w:r>
              <w:rPr>
                <w:rFonts w:ascii="Calibri"/>
                <w:sz w:val="18"/>
              </w:rPr>
              <w:t>17.2</w:t>
            </w:r>
          </w:p>
        </w:tc>
        <w:tc>
          <w:tcPr>
            <w:tcW w:w="720" w:type="dxa"/>
          </w:tcPr>
          <w:p>
            <w:pPr>
              <w:pStyle w:val="TableParagraph"/>
              <w:spacing w:line="199" w:lineRule="exact"/>
              <w:ind w:left="137"/>
              <w:jc w:val="left"/>
              <w:rPr>
                <w:rFonts w:ascii="Calibri"/>
                <w:sz w:val="18"/>
              </w:rPr>
            </w:pPr>
            <w:r>
              <w:rPr>
                <w:rFonts w:ascii="Calibri"/>
                <w:sz w:val="18"/>
              </w:rPr>
              <w:t>104.4</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15.6</w:t>
            </w:r>
          </w:p>
        </w:tc>
      </w:tr>
      <w:tr>
        <w:trPr>
          <w:trHeight w:val="299" w:hRule="atLeast"/>
        </w:trPr>
        <w:tc>
          <w:tcPr>
            <w:tcW w:w="1435" w:type="dxa"/>
            <w:tcBorders>
              <w:right w:val="single" w:sz="12" w:space="0" w:color="000000"/>
            </w:tcBorders>
          </w:tcPr>
          <w:p>
            <w:pPr>
              <w:pStyle w:val="TableParagraph"/>
              <w:spacing w:line="199" w:lineRule="exact"/>
              <w:ind w:left="175" w:right="158"/>
              <w:rPr>
                <w:rFonts w:ascii="Calibri"/>
                <w:sz w:val="18"/>
              </w:rPr>
            </w:pPr>
            <w:r>
              <w:rPr>
                <w:rFonts w:ascii="Calibri"/>
                <w:sz w:val="18"/>
              </w:rPr>
              <w:t>PFOS</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103.5</w:t>
            </w:r>
          </w:p>
        </w:tc>
        <w:tc>
          <w:tcPr>
            <w:tcW w:w="631" w:type="dxa"/>
          </w:tcPr>
          <w:p>
            <w:pPr>
              <w:pStyle w:val="TableParagraph"/>
              <w:spacing w:line="199" w:lineRule="exact"/>
              <w:ind w:left="129" w:right="124"/>
              <w:rPr>
                <w:rFonts w:ascii="Calibri"/>
                <w:sz w:val="18"/>
              </w:rPr>
            </w:pPr>
            <w:r>
              <w:rPr>
                <w:rFonts w:ascii="Calibri"/>
                <w:sz w:val="18"/>
              </w:rPr>
              <w:t>17.8</w:t>
            </w:r>
          </w:p>
        </w:tc>
        <w:tc>
          <w:tcPr>
            <w:tcW w:w="761" w:type="dxa"/>
          </w:tcPr>
          <w:p>
            <w:pPr>
              <w:pStyle w:val="TableParagraph"/>
              <w:spacing w:line="199" w:lineRule="exact"/>
              <w:ind w:left="151" w:right="148"/>
              <w:rPr>
                <w:rFonts w:ascii="Calibri"/>
                <w:sz w:val="18"/>
              </w:rPr>
            </w:pPr>
            <w:r>
              <w:rPr>
                <w:rFonts w:ascii="Calibri"/>
                <w:sz w:val="18"/>
              </w:rPr>
              <w:t>108.0</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27.9</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100.0</w:t>
            </w:r>
          </w:p>
        </w:tc>
        <w:tc>
          <w:tcPr>
            <w:tcW w:w="631" w:type="dxa"/>
          </w:tcPr>
          <w:p>
            <w:pPr>
              <w:pStyle w:val="TableParagraph"/>
              <w:spacing w:line="199" w:lineRule="exact"/>
              <w:ind w:left="126" w:right="128"/>
              <w:rPr>
                <w:rFonts w:ascii="Calibri"/>
                <w:sz w:val="18"/>
              </w:rPr>
            </w:pPr>
            <w:r>
              <w:rPr>
                <w:rFonts w:ascii="Calibri"/>
                <w:sz w:val="18"/>
              </w:rPr>
              <w:t>19.5</w:t>
            </w:r>
          </w:p>
        </w:tc>
        <w:tc>
          <w:tcPr>
            <w:tcW w:w="721" w:type="dxa"/>
          </w:tcPr>
          <w:p>
            <w:pPr>
              <w:pStyle w:val="TableParagraph"/>
              <w:spacing w:line="199" w:lineRule="exact"/>
              <w:ind w:left="128" w:right="131"/>
              <w:rPr>
                <w:rFonts w:ascii="Calibri"/>
                <w:sz w:val="18"/>
              </w:rPr>
            </w:pPr>
            <w:r>
              <w:rPr>
                <w:rFonts w:ascii="Calibri"/>
                <w:sz w:val="18"/>
              </w:rPr>
              <w:t>104.1</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11.4</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102.5</w:t>
            </w:r>
          </w:p>
        </w:tc>
        <w:tc>
          <w:tcPr>
            <w:tcW w:w="541" w:type="dxa"/>
          </w:tcPr>
          <w:p>
            <w:pPr>
              <w:pStyle w:val="TableParagraph"/>
              <w:spacing w:line="199" w:lineRule="exact"/>
              <w:ind w:left="99"/>
              <w:jc w:val="left"/>
              <w:rPr>
                <w:rFonts w:ascii="Calibri"/>
                <w:sz w:val="18"/>
              </w:rPr>
            </w:pPr>
            <w:r>
              <w:rPr>
                <w:rFonts w:ascii="Calibri"/>
                <w:sz w:val="18"/>
              </w:rPr>
              <w:t>17.9</w:t>
            </w:r>
          </w:p>
        </w:tc>
        <w:tc>
          <w:tcPr>
            <w:tcW w:w="721" w:type="dxa"/>
          </w:tcPr>
          <w:p>
            <w:pPr>
              <w:pStyle w:val="TableParagraph"/>
              <w:spacing w:line="199" w:lineRule="exact"/>
              <w:ind w:right="155"/>
              <w:jc w:val="right"/>
              <w:rPr>
                <w:rFonts w:ascii="Calibri"/>
                <w:sz w:val="18"/>
              </w:rPr>
            </w:pPr>
            <w:r>
              <w:rPr>
                <w:rFonts w:ascii="Calibri"/>
                <w:sz w:val="18"/>
              </w:rPr>
              <w:t>105.1</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11.5</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103.5</w:t>
            </w:r>
          </w:p>
        </w:tc>
        <w:tc>
          <w:tcPr>
            <w:tcW w:w="631" w:type="dxa"/>
          </w:tcPr>
          <w:p>
            <w:pPr>
              <w:pStyle w:val="TableParagraph"/>
              <w:spacing w:line="199" w:lineRule="exact"/>
              <w:ind w:left="140"/>
              <w:jc w:val="left"/>
              <w:rPr>
                <w:rFonts w:ascii="Calibri"/>
                <w:sz w:val="18"/>
              </w:rPr>
            </w:pPr>
            <w:r>
              <w:rPr>
                <w:rFonts w:ascii="Calibri"/>
                <w:sz w:val="18"/>
              </w:rPr>
              <w:t>15.6</w:t>
            </w:r>
          </w:p>
        </w:tc>
        <w:tc>
          <w:tcPr>
            <w:tcW w:w="721" w:type="dxa"/>
          </w:tcPr>
          <w:p>
            <w:pPr>
              <w:pStyle w:val="TableParagraph"/>
              <w:spacing w:line="199" w:lineRule="exact"/>
              <w:ind w:left="139"/>
              <w:jc w:val="left"/>
              <w:rPr>
                <w:rFonts w:ascii="Calibri"/>
                <w:sz w:val="18"/>
              </w:rPr>
            </w:pPr>
            <w:r>
              <w:rPr>
                <w:rFonts w:ascii="Calibri"/>
                <w:sz w:val="18"/>
              </w:rPr>
              <w:t>103.3</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10.3</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108.1</w:t>
            </w:r>
          </w:p>
        </w:tc>
        <w:tc>
          <w:tcPr>
            <w:tcW w:w="630" w:type="dxa"/>
          </w:tcPr>
          <w:p>
            <w:pPr>
              <w:pStyle w:val="TableParagraph"/>
              <w:spacing w:line="199" w:lineRule="exact"/>
              <w:ind w:left="137"/>
              <w:jc w:val="left"/>
              <w:rPr>
                <w:rFonts w:ascii="Calibri"/>
                <w:sz w:val="18"/>
              </w:rPr>
            </w:pPr>
            <w:r>
              <w:rPr>
                <w:rFonts w:ascii="Calibri"/>
                <w:sz w:val="18"/>
              </w:rPr>
              <w:t>18.0</w:t>
            </w:r>
          </w:p>
        </w:tc>
        <w:tc>
          <w:tcPr>
            <w:tcW w:w="720" w:type="dxa"/>
          </w:tcPr>
          <w:p>
            <w:pPr>
              <w:pStyle w:val="TableParagraph"/>
              <w:spacing w:line="199" w:lineRule="exact"/>
              <w:ind w:left="137"/>
              <w:jc w:val="left"/>
              <w:rPr>
                <w:rFonts w:ascii="Calibri"/>
                <w:sz w:val="18"/>
              </w:rPr>
            </w:pPr>
            <w:r>
              <w:rPr>
                <w:rFonts w:ascii="Calibri"/>
                <w:sz w:val="18"/>
              </w:rPr>
              <w:t>119.5</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46.7</w:t>
            </w:r>
          </w:p>
        </w:tc>
      </w:tr>
      <w:tr>
        <w:trPr>
          <w:trHeight w:val="300" w:hRule="atLeast"/>
        </w:trPr>
        <w:tc>
          <w:tcPr>
            <w:tcW w:w="1435" w:type="dxa"/>
            <w:tcBorders>
              <w:right w:val="single" w:sz="12" w:space="0" w:color="000000"/>
            </w:tcBorders>
          </w:tcPr>
          <w:p>
            <w:pPr>
              <w:pStyle w:val="TableParagraph"/>
              <w:spacing w:line="200" w:lineRule="exact"/>
              <w:ind w:left="176" w:right="158"/>
              <w:rPr>
                <w:rFonts w:ascii="Calibri"/>
                <w:sz w:val="18"/>
              </w:rPr>
            </w:pPr>
            <w:r>
              <w:rPr>
                <w:rFonts w:ascii="Calibri"/>
                <w:sz w:val="18"/>
              </w:rPr>
              <w:t>PFHpS</w:t>
            </w:r>
          </w:p>
        </w:tc>
        <w:tc>
          <w:tcPr>
            <w:tcW w:w="726" w:type="dxa"/>
            <w:tcBorders>
              <w:left w:val="single" w:sz="12" w:space="0" w:color="000000"/>
            </w:tcBorders>
          </w:tcPr>
          <w:p>
            <w:pPr>
              <w:pStyle w:val="TableParagraph"/>
              <w:spacing w:line="200" w:lineRule="exact"/>
              <w:ind w:left="127" w:right="127"/>
              <w:rPr>
                <w:rFonts w:ascii="Calibri"/>
                <w:sz w:val="18"/>
              </w:rPr>
            </w:pPr>
            <w:r>
              <w:rPr>
                <w:rFonts w:ascii="Calibri"/>
                <w:sz w:val="18"/>
              </w:rPr>
              <w:t>98.9</w:t>
            </w:r>
          </w:p>
        </w:tc>
        <w:tc>
          <w:tcPr>
            <w:tcW w:w="631" w:type="dxa"/>
          </w:tcPr>
          <w:p>
            <w:pPr>
              <w:pStyle w:val="TableParagraph"/>
              <w:spacing w:line="200" w:lineRule="exact"/>
              <w:ind w:left="129" w:right="124"/>
              <w:rPr>
                <w:rFonts w:ascii="Calibri"/>
                <w:sz w:val="18"/>
              </w:rPr>
            </w:pPr>
            <w:r>
              <w:rPr>
                <w:rFonts w:ascii="Calibri"/>
                <w:sz w:val="18"/>
              </w:rPr>
              <w:t>14.2</w:t>
            </w:r>
          </w:p>
        </w:tc>
        <w:tc>
          <w:tcPr>
            <w:tcW w:w="761" w:type="dxa"/>
          </w:tcPr>
          <w:p>
            <w:pPr>
              <w:pStyle w:val="TableParagraph"/>
              <w:spacing w:line="200" w:lineRule="exact"/>
              <w:ind w:left="151" w:right="148"/>
              <w:rPr>
                <w:rFonts w:ascii="Calibri"/>
                <w:sz w:val="18"/>
              </w:rPr>
            </w:pPr>
            <w:r>
              <w:rPr>
                <w:rFonts w:ascii="Calibri"/>
                <w:sz w:val="18"/>
              </w:rPr>
              <w:t>102.4</w:t>
            </w:r>
          </w:p>
        </w:tc>
        <w:tc>
          <w:tcPr>
            <w:tcW w:w="681" w:type="dxa"/>
            <w:tcBorders>
              <w:right w:val="single" w:sz="12" w:space="0" w:color="000000"/>
            </w:tcBorders>
          </w:tcPr>
          <w:p>
            <w:pPr>
              <w:pStyle w:val="TableParagraph"/>
              <w:spacing w:line="200" w:lineRule="exact"/>
              <w:ind w:left="85" w:right="74"/>
              <w:rPr>
                <w:rFonts w:ascii="Calibri"/>
                <w:sz w:val="18"/>
              </w:rPr>
            </w:pPr>
            <w:r>
              <w:rPr>
                <w:rFonts w:ascii="Calibri"/>
                <w:sz w:val="18"/>
              </w:rPr>
              <w:t>10.2</w:t>
            </w:r>
          </w:p>
        </w:tc>
        <w:tc>
          <w:tcPr>
            <w:tcW w:w="722" w:type="dxa"/>
            <w:tcBorders>
              <w:left w:val="single" w:sz="12" w:space="0" w:color="000000"/>
            </w:tcBorders>
          </w:tcPr>
          <w:p>
            <w:pPr>
              <w:pStyle w:val="TableParagraph"/>
              <w:spacing w:line="200" w:lineRule="exact"/>
              <w:ind w:left="113" w:right="121"/>
              <w:rPr>
                <w:rFonts w:ascii="Calibri"/>
                <w:sz w:val="18"/>
              </w:rPr>
            </w:pPr>
            <w:r>
              <w:rPr>
                <w:rFonts w:ascii="Calibri"/>
                <w:sz w:val="18"/>
              </w:rPr>
              <w:t>101.2</w:t>
            </w:r>
          </w:p>
        </w:tc>
        <w:tc>
          <w:tcPr>
            <w:tcW w:w="631" w:type="dxa"/>
          </w:tcPr>
          <w:p>
            <w:pPr>
              <w:pStyle w:val="TableParagraph"/>
              <w:spacing w:line="200" w:lineRule="exact"/>
              <w:ind w:left="126" w:right="128"/>
              <w:rPr>
                <w:rFonts w:ascii="Calibri"/>
                <w:sz w:val="18"/>
              </w:rPr>
            </w:pPr>
            <w:r>
              <w:rPr>
                <w:rFonts w:ascii="Calibri"/>
                <w:sz w:val="18"/>
              </w:rPr>
              <w:t>13.6</w:t>
            </w:r>
          </w:p>
        </w:tc>
        <w:tc>
          <w:tcPr>
            <w:tcW w:w="721" w:type="dxa"/>
          </w:tcPr>
          <w:p>
            <w:pPr>
              <w:pStyle w:val="TableParagraph"/>
              <w:spacing w:line="200" w:lineRule="exact"/>
              <w:ind w:left="128" w:right="131"/>
              <w:rPr>
                <w:rFonts w:ascii="Calibri"/>
                <w:sz w:val="18"/>
              </w:rPr>
            </w:pPr>
            <w:r>
              <w:rPr>
                <w:rFonts w:ascii="Calibri"/>
                <w:sz w:val="18"/>
              </w:rPr>
              <w:t>103.9</w:t>
            </w:r>
          </w:p>
        </w:tc>
        <w:tc>
          <w:tcPr>
            <w:tcW w:w="720" w:type="dxa"/>
            <w:tcBorders>
              <w:right w:val="single" w:sz="12" w:space="0" w:color="000000"/>
            </w:tcBorders>
          </w:tcPr>
          <w:p>
            <w:pPr>
              <w:pStyle w:val="TableParagraph"/>
              <w:spacing w:line="200" w:lineRule="exact"/>
              <w:ind w:left="94" w:right="91"/>
              <w:rPr>
                <w:rFonts w:ascii="Calibri"/>
                <w:sz w:val="18"/>
              </w:rPr>
            </w:pPr>
            <w:r>
              <w:rPr>
                <w:rFonts w:ascii="Calibri"/>
                <w:sz w:val="18"/>
              </w:rPr>
              <w:t>10.1</w:t>
            </w:r>
          </w:p>
        </w:tc>
        <w:tc>
          <w:tcPr>
            <w:tcW w:w="773" w:type="dxa"/>
            <w:tcBorders>
              <w:left w:val="single" w:sz="12" w:space="0" w:color="000000"/>
            </w:tcBorders>
          </w:tcPr>
          <w:p>
            <w:pPr>
              <w:pStyle w:val="TableParagraph"/>
              <w:spacing w:line="200" w:lineRule="exact"/>
              <w:ind w:left="143" w:right="159"/>
              <w:rPr>
                <w:rFonts w:ascii="Calibri"/>
                <w:sz w:val="18"/>
              </w:rPr>
            </w:pPr>
            <w:r>
              <w:rPr>
                <w:rFonts w:ascii="Calibri"/>
                <w:sz w:val="18"/>
              </w:rPr>
              <w:t>97.5</w:t>
            </w:r>
          </w:p>
        </w:tc>
        <w:tc>
          <w:tcPr>
            <w:tcW w:w="541" w:type="dxa"/>
          </w:tcPr>
          <w:p>
            <w:pPr>
              <w:pStyle w:val="TableParagraph"/>
              <w:spacing w:line="200" w:lineRule="exact"/>
              <w:ind w:left="99"/>
              <w:jc w:val="left"/>
              <w:rPr>
                <w:rFonts w:ascii="Calibri"/>
                <w:sz w:val="18"/>
              </w:rPr>
            </w:pPr>
            <w:r>
              <w:rPr>
                <w:rFonts w:ascii="Calibri"/>
                <w:sz w:val="18"/>
              </w:rPr>
              <w:t>15.2</w:t>
            </w:r>
          </w:p>
        </w:tc>
        <w:tc>
          <w:tcPr>
            <w:tcW w:w="721" w:type="dxa"/>
          </w:tcPr>
          <w:p>
            <w:pPr>
              <w:pStyle w:val="TableParagraph"/>
              <w:spacing w:line="200" w:lineRule="exact"/>
              <w:ind w:right="155"/>
              <w:jc w:val="right"/>
              <w:rPr>
                <w:rFonts w:ascii="Calibri"/>
                <w:sz w:val="18"/>
              </w:rPr>
            </w:pPr>
            <w:r>
              <w:rPr>
                <w:rFonts w:ascii="Calibri"/>
                <w:sz w:val="18"/>
              </w:rPr>
              <w:t>101.6</w:t>
            </w:r>
          </w:p>
        </w:tc>
        <w:tc>
          <w:tcPr>
            <w:tcW w:w="759" w:type="dxa"/>
            <w:tcBorders>
              <w:right w:val="single" w:sz="12" w:space="0" w:color="000000"/>
            </w:tcBorders>
          </w:tcPr>
          <w:p>
            <w:pPr>
              <w:pStyle w:val="TableParagraph"/>
              <w:spacing w:line="200" w:lineRule="exact"/>
              <w:ind w:left="117" w:right="121"/>
              <w:rPr>
                <w:rFonts w:ascii="Calibri"/>
                <w:sz w:val="18"/>
              </w:rPr>
            </w:pPr>
            <w:r>
              <w:rPr>
                <w:rFonts w:ascii="Calibri"/>
                <w:sz w:val="18"/>
              </w:rPr>
              <w:t>9.4</w:t>
            </w:r>
          </w:p>
        </w:tc>
        <w:tc>
          <w:tcPr>
            <w:tcW w:w="722" w:type="dxa"/>
            <w:tcBorders>
              <w:left w:val="single" w:sz="12" w:space="0" w:color="000000"/>
            </w:tcBorders>
          </w:tcPr>
          <w:p>
            <w:pPr>
              <w:pStyle w:val="TableParagraph"/>
              <w:spacing w:line="200" w:lineRule="exact"/>
              <w:ind w:left="105" w:right="129"/>
              <w:rPr>
                <w:rFonts w:ascii="Calibri"/>
                <w:sz w:val="18"/>
              </w:rPr>
            </w:pPr>
            <w:r>
              <w:rPr>
                <w:rFonts w:ascii="Calibri"/>
                <w:sz w:val="18"/>
              </w:rPr>
              <w:t>96.5</w:t>
            </w:r>
          </w:p>
        </w:tc>
        <w:tc>
          <w:tcPr>
            <w:tcW w:w="631" w:type="dxa"/>
          </w:tcPr>
          <w:p>
            <w:pPr>
              <w:pStyle w:val="TableParagraph"/>
              <w:spacing w:line="200" w:lineRule="exact"/>
              <w:ind w:left="140"/>
              <w:jc w:val="left"/>
              <w:rPr>
                <w:rFonts w:ascii="Calibri"/>
                <w:sz w:val="18"/>
              </w:rPr>
            </w:pPr>
            <w:r>
              <w:rPr>
                <w:rFonts w:ascii="Calibri"/>
                <w:sz w:val="18"/>
              </w:rPr>
              <w:t>14.5</w:t>
            </w:r>
          </w:p>
        </w:tc>
        <w:tc>
          <w:tcPr>
            <w:tcW w:w="721" w:type="dxa"/>
          </w:tcPr>
          <w:p>
            <w:pPr>
              <w:pStyle w:val="TableParagraph"/>
              <w:spacing w:line="200" w:lineRule="exact"/>
              <w:ind w:left="139"/>
              <w:jc w:val="left"/>
              <w:rPr>
                <w:rFonts w:ascii="Calibri"/>
                <w:sz w:val="18"/>
              </w:rPr>
            </w:pPr>
            <w:r>
              <w:rPr>
                <w:rFonts w:ascii="Calibri"/>
                <w:sz w:val="18"/>
              </w:rPr>
              <w:t>100.2</w:t>
            </w:r>
          </w:p>
        </w:tc>
        <w:tc>
          <w:tcPr>
            <w:tcW w:w="720" w:type="dxa"/>
            <w:tcBorders>
              <w:right w:val="single" w:sz="12" w:space="0" w:color="000000"/>
            </w:tcBorders>
          </w:tcPr>
          <w:p>
            <w:pPr>
              <w:pStyle w:val="TableParagraph"/>
              <w:spacing w:line="200" w:lineRule="exact"/>
              <w:ind w:left="88" w:right="98"/>
              <w:rPr>
                <w:rFonts w:ascii="Calibri"/>
                <w:sz w:val="18"/>
              </w:rPr>
            </w:pPr>
            <w:r>
              <w:rPr>
                <w:rFonts w:ascii="Calibri"/>
                <w:sz w:val="18"/>
              </w:rPr>
              <w:t>10.5</w:t>
            </w:r>
          </w:p>
        </w:tc>
        <w:tc>
          <w:tcPr>
            <w:tcW w:w="721" w:type="dxa"/>
            <w:tcBorders>
              <w:left w:val="single" w:sz="12" w:space="0" w:color="000000"/>
            </w:tcBorders>
          </w:tcPr>
          <w:p>
            <w:pPr>
              <w:pStyle w:val="TableParagraph"/>
              <w:spacing w:line="200" w:lineRule="exact"/>
              <w:ind w:left="128"/>
              <w:jc w:val="left"/>
              <w:rPr>
                <w:rFonts w:ascii="Calibri"/>
                <w:sz w:val="18"/>
              </w:rPr>
            </w:pPr>
            <w:r>
              <w:rPr>
                <w:rFonts w:ascii="Calibri"/>
                <w:sz w:val="18"/>
              </w:rPr>
              <w:t>100.2</w:t>
            </w:r>
          </w:p>
        </w:tc>
        <w:tc>
          <w:tcPr>
            <w:tcW w:w="630" w:type="dxa"/>
          </w:tcPr>
          <w:p>
            <w:pPr>
              <w:pStyle w:val="TableParagraph"/>
              <w:spacing w:line="200" w:lineRule="exact"/>
              <w:ind w:left="137"/>
              <w:jc w:val="left"/>
              <w:rPr>
                <w:rFonts w:ascii="Calibri"/>
                <w:sz w:val="18"/>
              </w:rPr>
            </w:pPr>
            <w:r>
              <w:rPr>
                <w:rFonts w:ascii="Calibri"/>
                <w:sz w:val="18"/>
              </w:rPr>
              <w:t>13.4</w:t>
            </w:r>
          </w:p>
        </w:tc>
        <w:tc>
          <w:tcPr>
            <w:tcW w:w="720" w:type="dxa"/>
          </w:tcPr>
          <w:p>
            <w:pPr>
              <w:pStyle w:val="TableParagraph"/>
              <w:spacing w:line="200" w:lineRule="exact"/>
              <w:ind w:left="137"/>
              <w:jc w:val="left"/>
              <w:rPr>
                <w:rFonts w:ascii="Calibri"/>
                <w:sz w:val="18"/>
              </w:rPr>
            </w:pPr>
            <w:r>
              <w:rPr>
                <w:rFonts w:ascii="Calibri"/>
                <w:sz w:val="18"/>
              </w:rPr>
              <w:t>103.9</w:t>
            </w:r>
          </w:p>
        </w:tc>
        <w:tc>
          <w:tcPr>
            <w:tcW w:w="719" w:type="dxa"/>
            <w:tcBorders>
              <w:right w:val="single" w:sz="12" w:space="0" w:color="000000"/>
            </w:tcBorders>
          </w:tcPr>
          <w:p>
            <w:pPr>
              <w:pStyle w:val="TableParagraph"/>
              <w:spacing w:line="200" w:lineRule="exact"/>
              <w:ind w:left="93" w:right="104"/>
              <w:rPr>
                <w:rFonts w:ascii="Calibri"/>
                <w:sz w:val="18"/>
              </w:rPr>
            </w:pPr>
            <w:r>
              <w:rPr>
                <w:rFonts w:ascii="Calibri"/>
                <w:sz w:val="18"/>
              </w:rPr>
              <w:t>10.8</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PFHxS</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97.2</w:t>
            </w:r>
          </w:p>
        </w:tc>
        <w:tc>
          <w:tcPr>
            <w:tcW w:w="631" w:type="dxa"/>
          </w:tcPr>
          <w:p>
            <w:pPr>
              <w:pStyle w:val="TableParagraph"/>
              <w:spacing w:line="199" w:lineRule="exact"/>
              <w:ind w:left="129" w:right="124"/>
              <w:rPr>
                <w:rFonts w:ascii="Calibri"/>
                <w:sz w:val="18"/>
              </w:rPr>
            </w:pPr>
            <w:r>
              <w:rPr>
                <w:rFonts w:ascii="Calibri"/>
                <w:sz w:val="18"/>
              </w:rPr>
              <w:t>15.9</w:t>
            </w:r>
          </w:p>
        </w:tc>
        <w:tc>
          <w:tcPr>
            <w:tcW w:w="761" w:type="dxa"/>
          </w:tcPr>
          <w:p>
            <w:pPr>
              <w:pStyle w:val="TableParagraph"/>
              <w:spacing w:line="199" w:lineRule="exact"/>
              <w:ind w:left="151" w:right="148"/>
              <w:rPr>
                <w:rFonts w:ascii="Calibri"/>
                <w:sz w:val="18"/>
              </w:rPr>
            </w:pPr>
            <w:r>
              <w:rPr>
                <w:rFonts w:ascii="Calibri"/>
                <w:sz w:val="18"/>
              </w:rPr>
              <w:t>102.1</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10.5</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95.3</w:t>
            </w:r>
          </w:p>
        </w:tc>
        <w:tc>
          <w:tcPr>
            <w:tcW w:w="631" w:type="dxa"/>
          </w:tcPr>
          <w:p>
            <w:pPr>
              <w:pStyle w:val="TableParagraph"/>
              <w:spacing w:line="199" w:lineRule="exact"/>
              <w:ind w:left="126" w:right="128"/>
              <w:rPr>
                <w:rFonts w:ascii="Calibri"/>
                <w:sz w:val="18"/>
              </w:rPr>
            </w:pPr>
            <w:r>
              <w:rPr>
                <w:rFonts w:ascii="Calibri"/>
                <w:sz w:val="18"/>
              </w:rPr>
              <w:t>16.4</w:t>
            </w:r>
          </w:p>
        </w:tc>
        <w:tc>
          <w:tcPr>
            <w:tcW w:w="721" w:type="dxa"/>
          </w:tcPr>
          <w:p>
            <w:pPr>
              <w:pStyle w:val="TableParagraph"/>
              <w:spacing w:line="199" w:lineRule="exact"/>
              <w:ind w:left="128" w:right="131"/>
              <w:rPr>
                <w:rFonts w:ascii="Calibri"/>
                <w:sz w:val="18"/>
              </w:rPr>
            </w:pPr>
            <w:r>
              <w:rPr>
                <w:rFonts w:ascii="Calibri"/>
                <w:sz w:val="18"/>
              </w:rPr>
              <w:t>101.1</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9.9</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94.9</w:t>
            </w:r>
          </w:p>
        </w:tc>
        <w:tc>
          <w:tcPr>
            <w:tcW w:w="541" w:type="dxa"/>
          </w:tcPr>
          <w:p>
            <w:pPr>
              <w:pStyle w:val="TableParagraph"/>
              <w:spacing w:line="199" w:lineRule="exact"/>
              <w:ind w:left="99"/>
              <w:jc w:val="left"/>
              <w:rPr>
                <w:rFonts w:ascii="Calibri"/>
                <w:sz w:val="18"/>
              </w:rPr>
            </w:pPr>
            <w:r>
              <w:rPr>
                <w:rFonts w:ascii="Calibri"/>
                <w:sz w:val="18"/>
              </w:rPr>
              <w:t>18.7</w:t>
            </w:r>
          </w:p>
        </w:tc>
        <w:tc>
          <w:tcPr>
            <w:tcW w:w="721" w:type="dxa"/>
          </w:tcPr>
          <w:p>
            <w:pPr>
              <w:pStyle w:val="TableParagraph"/>
              <w:spacing w:line="199" w:lineRule="exact"/>
              <w:ind w:right="155"/>
              <w:jc w:val="right"/>
              <w:rPr>
                <w:rFonts w:ascii="Calibri"/>
                <w:sz w:val="18"/>
              </w:rPr>
            </w:pPr>
            <w:r>
              <w:rPr>
                <w:rFonts w:ascii="Calibri"/>
                <w:sz w:val="18"/>
              </w:rPr>
              <w:t>100.5</w:t>
            </w:r>
          </w:p>
        </w:tc>
        <w:tc>
          <w:tcPr>
            <w:tcW w:w="759" w:type="dxa"/>
            <w:tcBorders>
              <w:right w:val="single" w:sz="12" w:space="0" w:color="000000"/>
            </w:tcBorders>
          </w:tcPr>
          <w:p>
            <w:pPr>
              <w:pStyle w:val="TableParagraph"/>
              <w:spacing w:line="199" w:lineRule="exact"/>
              <w:ind w:left="117" w:right="121"/>
              <w:rPr>
                <w:rFonts w:ascii="Calibri"/>
                <w:sz w:val="18"/>
              </w:rPr>
            </w:pPr>
            <w:r>
              <w:rPr>
                <w:rFonts w:ascii="Calibri"/>
                <w:sz w:val="18"/>
              </w:rPr>
              <w:t>7.6</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96.9</w:t>
            </w:r>
          </w:p>
        </w:tc>
        <w:tc>
          <w:tcPr>
            <w:tcW w:w="631" w:type="dxa"/>
          </w:tcPr>
          <w:p>
            <w:pPr>
              <w:pStyle w:val="TableParagraph"/>
              <w:spacing w:line="199" w:lineRule="exact"/>
              <w:ind w:left="140"/>
              <w:jc w:val="left"/>
              <w:rPr>
                <w:rFonts w:ascii="Calibri"/>
                <w:sz w:val="18"/>
              </w:rPr>
            </w:pPr>
            <w:r>
              <w:rPr>
                <w:rFonts w:ascii="Calibri"/>
                <w:sz w:val="18"/>
              </w:rPr>
              <w:t>14.0</w:t>
            </w:r>
          </w:p>
        </w:tc>
        <w:tc>
          <w:tcPr>
            <w:tcW w:w="721" w:type="dxa"/>
          </w:tcPr>
          <w:p>
            <w:pPr>
              <w:pStyle w:val="TableParagraph"/>
              <w:spacing w:line="199" w:lineRule="exact"/>
              <w:ind w:left="139"/>
              <w:jc w:val="left"/>
              <w:rPr>
                <w:rFonts w:ascii="Calibri"/>
                <w:sz w:val="18"/>
              </w:rPr>
            </w:pPr>
            <w:r>
              <w:rPr>
                <w:rFonts w:ascii="Calibri"/>
                <w:sz w:val="18"/>
              </w:rPr>
              <w:t>101.3</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8.1</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101.7</w:t>
            </w:r>
          </w:p>
        </w:tc>
        <w:tc>
          <w:tcPr>
            <w:tcW w:w="630" w:type="dxa"/>
          </w:tcPr>
          <w:p>
            <w:pPr>
              <w:pStyle w:val="TableParagraph"/>
              <w:spacing w:line="199" w:lineRule="exact"/>
              <w:ind w:left="137"/>
              <w:jc w:val="left"/>
              <w:rPr>
                <w:rFonts w:ascii="Calibri"/>
                <w:sz w:val="18"/>
              </w:rPr>
            </w:pPr>
            <w:r>
              <w:rPr>
                <w:rFonts w:ascii="Calibri"/>
                <w:sz w:val="18"/>
              </w:rPr>
              <w:t>14.1</w:t>
            </w:r>
          </w:p>
        </w:tc>
        <w:tc>
          <w:tcPr>
            <w:tcW w:w="720" w:type="dxa"/>
          </w:tcPr>
          <w:p>
            <w:pPr>
              <w:pStyle w:val="TableParagraph"/>
              <w:spacing w:line="199" w:lineRule="exact"/>
              <w:ind w:left="137"/>
              <w:jc w:val="left"/>
              <w:rPr>
                <w:rFonts w:ascii="Calibri"/>
                <w:sz w:val="18"/>
              </w:rPr>
            </w:pPr>
            <w:r>
              <w:rPr>
                <w:rFonts w:ascii="Calibri"/>
                <w:sz w:val="18"/>
              </w:rPr>
              <w:t>105.6</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14.3</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PFPeS</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96.0</w:t>
            </w:r>
          </w:p>
        </w:tc>
        <w:tc>
          <w:tcPr>
            <w:tcW w:w="631" w:type="dxa"/>
          </w:tcPr>
          <w:p>
            <w:pPr>
              <w:pStyle w:val="TableParagraph"/>
              <w:spacing w:line="199" w:lineRule="exact"/>
              <w:ind w:left="129" w:right="124"/>
              <w:rPr>
                <w:rFonts w:ascii="Calibri"/>
                <w:sz w:val="18"/>
              </w:rPr>
            </w:pPr>
            <w:r>
              <w:rPr>
                <w:rFonts w:ascii="Calibri"/>
                <w:sz w:val="18"/>
              </w:rPr>
              <w:t>10.8</w:t>
            </w:r>
          </w:p>
        </w:tc>
        <w:tc>
          <w:tcPr>
            <w:tcW w:w="761" w:type="dxa"/>
          </w:tcPr>
          <w:p>
            <w:pPr>
              <w:pStyle w:val="TableParagraph"/>
              <w:spacing w:line="199" w:lineRule="exact"/>
              <w:ind w:left="151" w:right="148"/>
              <w:rPr>
                <w:rFonts w:ascii="Calibri"/>
                <w:sz w:val="18"/>
              </w:rPr>
            </w:pPr>
            <w:r>
              <w:rPr>
                <w:rFonts w:ascii="Calibri"/>
                <w:sz w:val="18"/>
              </w:rPr>
              <w:t>99.3</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8.8</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96.8</w:t>
            </w:r>
          </w:p>
        </w:tc>
        <w:tc>
          <w:tcPr>
            <w:tcW w:w="631" w:type="dxa"/>
          </w:tcPr>
          <w:p>
            <w:pPr>
              <w:pStyle w:val="TableParagraph"/>
              <w:spacing w:line="199" w:lineRule="exact"/>
              <w:ind w:left="126" w:right="128"/>
              <w:rPr>
                <w:rFonts w:ascii="Calibri"/>
                <w:sz w:val="18"/>
              </w:rPr>
            </w:pPr>
            <w:r>
              <w:rPr>
                <w:rFonts w:ascii="Calibri"/>
                <w:sz w:val="18"/>
              </w:rPr>
              <w:t>9.8</w:t>
            </w:r>
          </w:p>
        </w:tc>
        <w:tc>
          <w:tcPr>
            <w:tcW w:w="721" w:type="dxa"/>
          </w:tcPr>
          <w:p>
            <w:pPr>
              <w:pStyle w:val="TableParagraph"/>
              <w:spacing w:line="199" w:lineRule="exact"/>
              <w:ind w:left="128" w:right="131"/>
              <w:rPr>
                <w:rFonts w:ascii="Calibri"/>
                <w:sz w:val="18"/>
              </w:rPr>
            </w:pPr>
            <w:r>
              <w:rPr>
                <w:rFonts w:ascii="Calibri"/>
                <w:sz w:val="18"/>
              </w:rPr>
              <w:t>99.0</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9.1</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95.8</w:t>
            </w:r>
          </w:p>
        </w:tc>
        <w:tc>
          <w:tcPr>
            <w:tcW w:w="541" w:type="dxa"/>
          </w:tcPr>
          <w:p>
            <w:pPr>
              <w:pStyle w:val="TableParagraph"/>
              <w:spacing w:line="199" w:lineRule="exact"/>
              <w:ind w:left="99"/>
              <w:jc w:val="left"/>
              <w:rPr>
                <w:rFonts w:ascii="Calibri"/>
                <w:sz w:val="18"/>
              </w:rPr>
            </w:pPr>
            <w:r>
              <w:rPr>
                <w:rFonts w:ascii="Calibri"/>
                <w:sz w:val="18"/>
              </w:rPr>
              <w:t>10.2</w:t>
            </w:r>
          </w:p>
        </w:tc>
        <w:tc>
          <w:tcPr>
            <w:tcW w:w="721" w:type="dxa"/>
          </w:tcPr>
          <w:p>
            <w:pPr>
              <w:pStyle w:val="TableParagraph"/>
              <w:spacing w:line="199" w:lineRule="exact"/>
              <w:ind w:right="200"/>
              <w:jc w:val="right"/>
              <w:rPr>
                <w:rFonts w:ascii="Calibri"/>
                <w:sz w:val="18"/>
              </w:rPr>
            </w:pPr>
            <w:r>
              <w:rPr>
                <w:rFonts w:ascii="Calibri"/>
                <w:sz w:val="18"/>
              </w:rPr>
              <w:t>99.2</w:t>
            </w:r>
          </w:p>
        </w:tc>
        <w:tc>
          <w:tcPr>
            <w:tcW w:w="759" w:type="dxa"/>
            <w:tcBorders>
              <w:right w:val="single" w:sz="12" w:space="0" w:color="000000"/>
            </w:tcBorders>
          </w:tcPr>
          <w:p>
            <w:pPr>
              <w:pStyle w:val="TableParagraph"/>
              <w:spacing w:line="199" w:lineRule="exact"/>
              <w:ind w:left="117" w:right="121"/>
              <w:rPr>
                <w:rFonts w:ascii="Calibri"/>
                <w:sz w:val="18"/>
              </w:rPr>
            </w:pPr>
            <w:r>
              <w:rPr>
                <w:rFonts w:ascii="Calibri"/>
                <w:sz w:val="18"/>
              </w:rPr>
              <w:t>8.2</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95.3</w:t>
            </w:r>
          </w:p>
        </w:tc>
        <w:tc>
          <w:tcPr>
            <w:tcW w:w="631" w:type="dxa"/>
          </w:tcPr>
          <w:p>
            <w:pPr>
              <w:pStyle w:val="TableParagraph"/>
              <w:spacing w:line="199" w:lineRule="exact"/>
              <w:ind w:left="140"/>
              <w:jc w:val="left"/>
              <w:rPr>
                <w:rFonts w:ascii="Calibri"/>
                <w:sz w:val="18"/>
              </w:rPr>
            </w:pPr>
            <w:r>
              <w:rPr>
                <w:rFonts w:ascii="Calibri"/>
                <w:sz w:val="18"/>
              </w:rPr>
              <w:t>14.0</w:t>
            </w:r>
          </w:p>
        </w:tc>
        <w:tc>
          <w:tcPr>
            <w:tcW w:w="721" w:type="dxa"/>
          </w:tcPr>
          <w:p>
            <w:pPr>
              <w:pStyle w:val="TableParagraph"/>
              <w:spacing w:line="199" w:lineRule="exact"/>
              <w:ind w:left="185"/>
              <w:jc w:val="left"/>
              <w:rPr>
                <w:rFonts w:ascii="Calibri"/>
                <w:sz w:val="18"/>
              </w:rPr>
            </w:pPr>
            <w:r>
              <w:rPr>
                <w:rFonts w:ascii="Calibri"/>
                <w:sz w:val="18"/>
              </w:rPr>
              <w:t>98.7</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8.9</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96.3</w:t>
            </w:r>
          </w:p>
        </w:tc>
        <w:tc>
          <w:tcPr>
            <w:tcW w:w="630" w:type="dxa"/>
          </w:tcPr>
          <w:p>
            <w:pPr>
              <w:pStyle w:val="TableParagraph"/>
              <w:spacing w:line="199" w:lineRule="exact"/>
              <w:ind w:left="183"/>
              <w:jc w:val="left"/>
              <w:rPr>
                <w:rFonts w:ascii="Calibri"/>
                <w:sz w:val="18"/>
              </w:rPr>
            </w:pPr>
            <w:r>
              <w:rPr>
                <w:rFonts w:ascii="Calibri"/>
                <w:sz w:val="18"/>
              </w:rPr>
              <w:t>8.6</w:t>
            </w:r>
          </w:p>
        </w:tc>
        <w:tc>
          <w:tcPr>
            <w:tcW w:w="720" w:type="dxa"/>
          </w:tcPr>
          <w:p>
            <w:pPr>
              <w:pStyle w:val="TableParagraph"/>
              <w:spacing w:line="199" w:lineRule="exact"/>
              <w:ind w:left="137"/>
              <w:jc w:val="left"/>
              <w:rPr>
                <w:rFonts w:ascii="Calibri"/>
                <w:sz w:val="18"/>
              </w:rPr>
            </w:pPr>
            <w:r>
              <w:rPr>
                <w:rFonts w:ascii="Calibri"/>
                <w:sz w:val="18"/>
              </w:rPr>
              <w:t>100.1</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9.1</w:t>
            </w:r>
          </w:p>
        </w:tc>
      </w:tr>
      <w:tr>
        <w:trPr>
          <w:trHeight w:val="300" w:hRule="atLeast"/>
        </w:trPr>
        <w:tc>
          <w:tcPr>
            <w:tcW w:w="1435" w:type="dxa"/>
            <w:tcBorders>
              <w:right w:val="single" w:sz="12" w:space="0" w:color="000000"/>
            </w:tcBorders>
          </w:tcPr>
          <w:p>
            <w:pPr>
              <w:pStyle w:val="TableParagraph"/>
              <w:spacing w:line="200" w:lineRule="exact"/>
              <w:ind w:left="176" w:right="158"/>
              <w:rPr>
                <w:rFonts w:ascii="Calibri"/>
                <w:sz w:val="18"/>
              </w:rPr>
            </w:pPr>
            <w:r>
              <w:rPr>
                <w:rFonts w:ascii="Calibri"/>
                <w:sz w:val="18"/>
              </w:rPr>
              <w:t>PFBS</w:t>
            </w:r>
          </w:p>
        </w:tc>
        <w:tc>
          <w:tcPr>
            <w:tcW w:w="726" w:type="dxa"/>
            <w:tcBorders>
              <w:left w:val="single" w:sz="12" w:space="0" w:color="000000"/>
            </w:tcBorders>
          </w:tcPr>
          <w:p>
            <w:pPr>
              <w:pStyle w:val="TableParagraph"/>
              <w:spacing w:line="200" w:lineRule="exact"/>
              <w:ind w:left="127" w:right="127"/>
              <w:rPr>
                <w:rFonts w:ascii="Calibri"/>
                <w:sz w:val="18"/>
              </w:rPr>
            </w:pPr>
            <w:r>
              <w:rPr>
                <w:rFonts w:ascii="Calibri"/>
                <w:sz w:val="18"/>
              </w:rPr>
              <w:t>96.7</w:t>
            </w:r>
          </w:p>
        </w:tc>
        <w:tc>
          <w:tcPr>
            <w:tcW w:w="631" w:type="dxa"/>
          </w:tcPr>
          <w:p>
            <w:pPr>
              <w:pStyle w:val="TableParagraph"/>
              <w:spacing w:line="200" w:lineRule="exact"/>
              <w:ind w:left="129" w:right="124"/>
              <w:rPr>
                <w:rFonts w:ascii="Calibri"/>
                <w:sz w:val="18"/>
              </w:rPr>
            </w:pPr>
            <w:r>
              <w:rPr>
                <w:rFonts w:ascii="Calibri"/>
                <w:sz w:val="18"/>
              </w:rPr>
              <w:t>14.4</w:t>
            </w:r>
          </w:p>
        </w:tc>
        <w:tc>
          <w:tcPr>
            <w:tcW w:w="761" w:type="dxa"/>
          </w:tcPr>
          <w:p>
            <w:pPr>
              <w:pStyle w:val="TableParagraph"/>
              <w:spacing w:line="200" w:lineRule="exact"/>
              <w:ind w:left="151" w:right="148"/>
              <w:rPr>
                <w:rFonts w:ascii="Calibri"/>
                <w:sz w:val="18"/>
              </w:rPr>
            </w:pPr>
            <w:r>
              <w:rPr>
                <w:rFonts w:ascii="Calibri"/>
                <w:sz w:val="18"/>
              </w:rPr>
              <w:t>99.8</w:t>
            </w:r>
          </w:p>
        </w:tc>
        <w:tc>
          <w:tcPr>
            <w:tcW w:w="681" w:type="dxa"/>
            <w:tcBorders>
              <w:right w:val="single" w:sz="12" w:space="0" w:color="000000"/>
            </w:tcBorders>
          </w:tcPr>
          <w:p>
            <w:pPr>
              <w:pStyle w:val="TableParagraph"/>
              <w:spacing w:line="200" w:lineRule="exact"/>
              <w:ind w:left="85" w:right="74"/>
              <w:rPr>
                <w:rFonts w:ascii="Calibri"/>
                <w:sz w:val="18"/>
              </w:rPr>
            </w:pPr>
            <w:r>
              <w:rPr>
                <w:rFonts w:ascii="Calibri"/>
                <w:sz w:val="18"/>
              </w:rPr>
              <w:t>11.1</w:t>
            </w:r>
          </w:p>
        </w:tc>
        <w:tc>
          <w:tcPr>
            <w:tcW w:w="722" w:type="dxa"/>
            <w:tcBorders>
              <w:left w:val="single" w:sz="12" w:space="0" w:color="000000"/>
            </w:tcBorders>
          </w:tcPr>
          <w:p>
            <w:pPr>
              <w:pStyle w:val="TableParagraph"/>
              <w:spacing w:line="200" w:lineRule="exact"/>
              <w:ind w:left="113" w:right="121"/>
              <w:rPr>
                <w:rFonts w:ascii="Calibri"/>
                <w:sz w:val="18"/>
              </w:rPr>
            </w:pPr>
            <w:r>
              <w:rPr>
                <w:rFonts w:ascii="Calibri"/>
                <w:sz w:val="18"/>
              </w:rPr>
              <w:t>92.7</w:t>
            </w:r>
          </w:p>
        </w:tc>
        <w:tc>
          <w:tcPr>
            <w:tcW w:w="631" w:type="dxa"/>
          </w:tcPr>
          <w:p>
            <w:pPr>
              <w:pStyle w:val="TableParagraph"/>
              <w:spacing w:line="200" w:lineRule="exact"/>
              <w:ind w:left="126" w:right="128"/>
              <w:rPr>
                <w:rFonts w:ascii="Calibri"/>
                <w:sz w:val="18"/>
              </w:rPr>
            </w:pPr>
            <w:r>
              <w:rPr>
                <w:rFonts w:ascii="Calibri"/>
                <w:sz w:val="18"/>
              </w:rPr>
              <w:t>12.1</w:t>
            </w:r>
          </w:p>
        </w:tc>
        <w:tc>
          <w:tcPr>
            <w:tcW w:w="721" w:type="dxa"/>
          </w:tcPr>
          <w:p>
            <w:pPr>
              <w:pStyle w:val="TableParagraph"/>
              <w:spacing w:line="200" w:lineRule="exact"/>
              <w:ind w:left="128" w:right="131"/>
              <w:rPr>
                <w:rFonts w:ascii="Calibri"/>
                <w:sz w:val="18"/>
              </w:rPr>
            </w:pPr>
            <w:r>
              <w:rPr>
                <w:rFonts w:ascii="Calibri"/>
                <w:sz w:val="18"/>
              </w:rPr>
              <w:t>100.0</w:t>
            </w:r>
          </w:p>
        </w:tc>
        <w:tc>
          <w:tcPr>
            <w:tcW w:w="720" w:type="dxa"/>
            <w:tcBorders>
              <w:right w:val="single" w:sz="12" w:space="0" w:color="000000"/>
            </w:tcBorders>
          </w:tcPr>
          <w:p>
            <w:pPr>
              <w:pStyle w:val="TableParagraph"/>
              <w:spacing w:line="200" w:lineRule="exact"/>
              <w:ind w:left="94" w:right="91"/>
              <w:rPr>
                <w:rFonts w:ascii="Calibri"/>
                <w:sz w:val="18"/>
              </w:rPr>
            </w:pPr>
            <w:r>
              <w:rPr>
                <w:rFonts w:ascii="Calibri"/>
                <w:sz w:val="18"/>
              </w:rPr>
              <w:t>12.3</w:t>
            </w:r>
          </w:p>
        </w:tc>
        <w:tc>
          <w:tcPr>
            <w:tcW w:w="773" w:type="dxa"/>
            <w:tcBorders>
              <w:left w:val="single" w:sz="12" w:space="0" w:color="000000"/>
            </w:tcBorders>
          </w:tcPr>
          <w:p>
            <w:pPr>
              <w:pStyle w:val="TableParagraph"/>
              <w:spacing w:line="200" w:lineRule="exact"/>
              <w:ind w:left="143" w:right="159"/>
              <w:rPr>
                <w:rFonts w:ascii="Calibri"/>
                <w:sz w:val="18"/>
              </w:rPr>
            </w:pPr>
            <w:r>
              <w:rPr>
                <w:rFonts w:ascii="Calibri"/>
                <w:sz w:val="18"/>
              </w:rPr>
              <w:t>99.1</w:t>
            </w:r>
          </w:p>
        </w:tc>
        <w:tc>
          <w:tcPr>
            <w:tcW w:w="541" w:type="dxa"/>
          </w:tcPr>
          <w:p>
            <w:pPr>
              <w:pStyle w:val="TableParagraph"/>
              <w:spacing w:line="200" w:lineRule="exact"/>
              <w:ind w:left="99"/>
              <w:jc w:val="left"/>
              <w:rPr>
                <w:rFonts w:ascii="Calibri"/>
                <w:sz w:val="18"/>
              </w:rPr>
            </w:pPr>
            <w:r>
              <w:rPr>
                <w:rFonts w:ascii="Calibri"/>
                <w:sz w:val="18"/>
              </w:rPr>
              <w:t>15.9</w:t>
            </w:r>
          </w:p>
        </w:tc>
        <w:tc>
          <w:tcPr>
            <w:tcW w:w="721" w:type="dxa"/>
          </w:tcPr>
          <w:p>
            <w:pPr>
              <w:pStyle w:val="TableParagraph"/>
              <w:spacing w:line="200" w:lineRule="exact"/>
              <w:ind w:right="155"/>
              <w:jc w:val="right"/>
              <w:rPr>
                <w:rFonts w:ascii="Calibri"/>
                <w:sz w:val="18"/>
              </w:rPr>
            </w:pPr>
            <w:r>
              <w:rPr>
                <w:rFonts w:ascii="Calibri"/>
                <w:sz w:val="18"/>
              </w:rPr>
              <w:t>100.5</w:t>
            </w:r>
          </w:p>
        </w:tc>
        <w:tc>
          <w:tcPr>
            <w:tcW w:w="759" w:type="dxa"/>
            <w:tcBorders>
              <w:right w:val="single" w:sz="12" w:space="0" w:color="000000"/>
            </w:tcBorders>
          </w:tcPr>
          <w:p>
            <w:pPr>
              <w:pStyle w:val="TableParagraph"/>
              <w:spacing w:line="200" w:lineRule="exact"/>
              <w:ind w:left="117" w:right="121"/>
              <w:rPr>
                <w:rFonts w:ascii="Calibri"/>
                <w:sz w:val="18"/>
              </w:rPr>
            </w:pPr>
            <w:r>
              <w:rPr>
                <w:rFonts w:ascii="Calibri"/>
                <w:sz w:val="18"/>
              </w:rPr>
              <w:t>9.9</w:t>
            </w:r>
          </w:p>
        </w:tc>
        <w:tc>
          <w:tcPr>
            <w:tcW w:w="722" w:type="dxa"/>
            <w:tcBorders>
              <w:left w:val="single" w:sz="12" w:space="0" w:color="000000"/>
            </w:tcBorders>
          </w:tcPr>
          <w:p>
            <w:pPr>
              <w:pStyle w:val="TableParagraph"/>
              <w:spacing w:line="200" w:lineRule="exact"/>
              <w:ind w:left="105" w:right="129"/>
              <w:rPr>
                <w:rFonts w:ascii="Calibri"/>
                <w:sz w:val="18"/>
              </w:rPr>
            </w:pPr>
            <w:r>
              <w:rPr>
                <w:rFonts w:ascii="Calibri"/>
                <w:sz w:val="18"/>
              </w:rPr>
              <w:t>94.9</w:t>
            </w:r>
          </w:p>
        </w:tc>
        <w:tc>
          <w:tcPr>
            <w:tcW w:w="631" w:type="dxa"/>
          </w:tcPr>
          <w:p>
            <w:pPr>
              <w:pStyle w:val="TableParagraph"/>
              <w:spacing w:line="200" w:lineRule="exact"/>
              <w:ind w:left="140"/>
              <w:jc w:val="left"/>
              <w:rPr>
                <w:rFonts w:ascii="Calibri"/>
                <w:sz w:val="18"/>
              </w:rPr>
            </w:pPr>
            <w:r>
              <w:rPr>
                <w:rFonts w:ascii="Calibri"/>
                <w:sz w:val="18"/>
              </w:rPr>
              <w:t>15.1</w:t>
            </w:r>
          </w:p>
        </w:tc>
        <w:tc>
          <w:tcPr>
            <w:tcW w:w="721" w:type="dxa"/>
          </w:tcPr>
          <w:p>
            <w:pPr>
              <w:pStyle w:val="TableParagraph"/>
              <w:spacing w:line="200" w:lineRule="exact"/>
              <w:ind w:left="185"/>
              <w:jc w:val="left"/>
              <w:rPr>
                <w:rFonts w:ascii="Calibri"/>
                <w:sz w:val="18"/>
              </w:rPr>
            </w:pPr>
            <w:r>
              <w:rPr>
                <w:rFonts w:ascii="Calibri"/>
                <w:sz w:val="18"/>
              </w:rPr>
              <w:t>99.2</w:t>
            </w:r>
          </w:p>
        </w:tc>
        <w:tc>
          <w:tcPr>
            <w:tcW w:w="720" w:type="dxa"/>
            <w:tcBorders>
              <w:right w:val="single" w:sz="12" w:space="0" w:color="000000"/>
            </w:tcBorders>
          </w:tcPr>
          <w:p>
            <w:pPr>
              <w:pStyle w:val="TableParagraph"/>
              <w:spacing w:line="200" w:lineRule="exact"/>
              <w:ind w:left="88" w:right="98"/>
              <w:rPr>
                <w:rFonts w:ascii="Calibri"/>
                <w:sz w:val="18"/>
              </w:rPr>
            </w:pPr>
            <w:r>
              <w:rPr>
                <w:rFonts w:ascii="Calibri"/>
                <w:sz w:val="18"/>
              </w:rPr>
              <w:t>10.9</w:t>
            </w:r>
          </w:p>
        </w:tc>
        <w:tc>
          <w:tcPr>
            <w:tcW w:w="721" w:type="dxa"/>
            <w:tcBorders>
              <w:left w:val="single" w:sz="12" w:space="0" w:color="000000"/>
            </w:tcBorders>
          </w:tcPr>
          <w:p>
            <w:pPr>
              <w:pStyle w:val="TableParagraph"/>
              <w:spacing w:line="200" w:lineRule="exact"/>
              <w:ind w:left="128"/>
              <w:jc w:val="left"/>
              <w:rPr>
                <w:rFonts w:ascii="Calibri"/>
                <w:sz w:val="18"/>
              </w:rPr>
            </w:pPr>
            <w:r>
              <w:rPr>
                <w:rFonts w:ascii="Calibri"/>
                <w:sz w:val="18"/>
              </w:rPr>
              <w:t>100.0</w:t>
            </w:r>
          </w:p>
        </w:tc>
        <w:tc>
          <w:tcPr>
            <w:tcW w:w="630" w:type="dxa"/>
          </w:tcPr>
          <w:p>
            <w:pPr>
              <w:pStyle w:val="TableParagraph"/>
              <w:spacing w:line="200" w:lineRule="exact"/>
              <w:ind w:left="137"/>
              <w:jc w:val="left"/>
              <w:rPr>
                <w:rFonts w:ascii="Calibri"/>
                <w:sz w:val="18"/>
              </w:rPr>
            </w:pPr>
            <w:r>
              <w:rPr>
                <w:rFonts w:ascii="Calibri"/>
                <w:sz w:val="18"/>
              </w:rPr>
              <w:t>13.0</w:t>
            </w:r>
          </w:p>
        </w:tc>
        <w:tc>
          <w:tcPr>
            <w:tcW w:w="720" w:type="dxa"/>
          </w:tcPr>
          <w:p>
            <w:pPr>
              <w:pStyle w:val="TableParagraph"/>
              <w:spacing w:line="200" w:lineRule="exact"/>
              <w:ind w:left="183"/>
              <w:jc w:val="left"/>
              <w:rPr>
                <w:rFonts w:ascii="Calibri"/>
                <w:sz w:val="18"/>
              </w:rPr>
            </w:pPr>
            <w:r>
              <w:rPr>
                <w:rFonts w:ascii="Calibri"/>
                <w:sz w:val="18"/>
              </w:rPr>
              <w:t>99.5</w:t>
            </w:r>
          </w:p>
        </w:tc>
        <w:tc>
          <w:tcPr>
            <w:tcW w:w="719" w:type="dxa"/>
            <w:tcBorders>
              <w:right w:val="single" w:sz="12" w:space="0" w:color="000000"/>
            </w:tcBorders>
          </w:tcPr>
          <w:p>
            <w:pPr>
              <w:pStyle w:val="TableParagraph"/>
              <w:spacing w:line="200" w:lineRule="exact"/>
              <w:ind w:left="93" w:right="104"/>
              <w:rPr>
                <w:rFonts w:ascii="Calibri"/>
                <w:sz w:val="18"/>
              </w:rPr>
            </w:pPr>
            <w:r>
              <w:rPr>
                <w:rFonts w:ascii="Calibri"/>
                <w:sz w:val="18"/>
              </w:rPr>
              <w:t>11.7</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PFOSA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88.7</w:t>
            </w:r>
          </w:p>
        </w:tc>
        <w:tc>
          <w:tcPr>
            <w:tcW w:w="631" w:type="dxa"/>
          </w:tcPr>
          <w:p>
            <w:pPr>
              <w:pStyle w:val="TableParagraph"/>
              <w:spacing w:line="199" w:lineRule="exact"/>
              <w:ind w:left="129" w:right="124"/>
              <w:rPr>
                <w:rFonts w:ascii="Calibri"/>
                <w:sz w:val="18"/>
              </w:rPr>
            </w:pPr>
            <w:r>
              <w:rPr>
                <w:rFonts w:ascii="Calibri"/>
                <w:sz w:val="18"/>
              </w:rPr>
              <w:t>14.1</w:t>
            </w:r>
          </w:p>
        </w:tc>
        <w:tc>
          <w:tcPr>
            <w:tcW w:w="761" w:type="dxa"/>
          </w:tcPr>
          <w:p>
            <w:pPr>
              <w:pStyle w:val="TableParagraph"/>
              <w:spacing w:line="199" w:lineRule="exact"/>
              <w:ind w:left="151" w:right="148"/>
              <w:rPr>
                <w:rFonts w:ascii="Calibri"/>
                <w:sz w:val="18"/>
              </w:rPr>
            </w:pPr>
            <w:r>
              <w:rPr>
                <w:rFonts w:ascii="Calibri"/>
                <w:sz w:val="18"/>
              </w:rPr>
              <w:t>95.5</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10.6</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87.7</w:t>
            </w:r>
          </w:p>
        </w:tc>
        <w:tc>
          <w:tcPr>
            <w:tcW w:w="631" w:type="dxa"/>
          </w:tcPr>
          <w:p>
            <w:pPr>
              <w:pStyle w:val="TableParagraph"/>
              <w:spacing w:line="199" w:lineRule="exact"/>
              <w:ind w:left="126" w:right="128"/>
              <w:rPr>
                <w:rFonts w:ascii="Calibri"/>
                <w:sz w:val="18"/>
              </w:rPr>
            </w:pPr>
            <w:r>
              <w:rPr>
                <w:rFonts w:ascii="Calibri"/>
                <w:sz w:val="18"/>
              </w:rPr>
              <w:t>12.4</w:t>
            </w:r>
          </w:p>
        </w:tc>
        <w:tc>
          <w:tcPr>
            <w:tcW w:w="721" w:type="dxa"/>
          </w:tcPr>
          <w:p>
            <w:pPr>
              <w:pStyle w:val="TableParagraph"/>
              <w:spacing w:line="199" w:lineRule="exact"/>
              <w:ind w:left="128" w:right="131"/>
              <w:rPr>
                <w:rFonts w:ascii="Calibri"/>
                <w:sz w:val="18"/>
              </w:rPr>
            </w:pPr>
            <w:r>
              <w:rPr>
                <w:rFonts w:ascii="Calibri"/>
                <w:sz w:val="18"/>
              </w:rPr>
              <w:t>92.1</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11.1</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89.6</w:t>
            </w:r>
          </w:p>
        </w:tc>
        <w:tc>
          <w:tcPr>
            <w:tcW w:w="541" w:type="dxa"/>
          </w:tcPr>
          <w:p>
            <w:pPr>
              <w:pStyle w:val="TableParagraph"/>
              <w:spacing w:line="199" w:lineRule="exact"/>
              <w:ind w:left="99"/>
              <w:jc w:val="left"/>
              <w:rPr>
                <w:rFonts w:ascii="Calibri"/>
                <w:sz w:val="18"/>
              </w:rPr>
            </w:pPr>
            <w:r>
              <w:rPr>
                <w:rFonts w:ascii="Calibri"/>
                <w:sz w:val="18"/>
              </w:rPr>
              <w:t>13.9</w:t>
            </w:r>
          </w:p>
        </w:tc>
        <w:tc>
          <w:tcPr>
            <w:tcW w:w="721" w:type="dxa"/>
          </w:tcPr>
          <w:p>
            <w:pPr>
              <w:pStyle w:val="TableParagraph"/>
              <w:spacing w:line="199" w:lineRule="exact"/>
              <w:ind w:right="200"/>
              <w:jc w:val="right"/>
              <w:rPr>
                <w:rFonts w:ascii="Calibri"/>
                <w:sz w:val="18"/>
              </w:rPr>
            </w:pPr>
            <w:r>
              <w:rPr>
                <w:rFonts w:ascii="Calibri"/>
                <w:sz w:val="18"/>
              </w:rPr>
              <w:t>97.3</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10.4</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85.2</w:t>
            </w:r>
          </w:p>
        </w:tc>
        <w:tc>
          <w:tcPr>
            <w:tcW w:w="631" w:type="dxa"/>
          </w:tcPr>
          <w:p>
            <w:pPr>
              <w:pStyle w:val="TableParagraph"/>
              <w:spacing w:line="199" w:lineRule="exact"/>
              <w:ind w:left="140"/>
              <w:jc w:val="left"/>
              <w:rPr>
                <w:rFonts w:ascii="Calibri"/>
                <w:sz w:val="18"/>
              </w:rPr>
            </w:pPr>
            <w:r>
              <w:rPr>
                <w:rFonts w:ascii="Calibri"/>
                <w:sz w:val="18"/>
              </w:rPr>
              <w:t>18.3</w:t>
            </w:r>
          </w:p>
        </w:tc>
        <w:tc>
          <w:tcPr>
            <w:tcW w:w="721" w:type="dxa"/>
          </w:tcPr>
          <w:p>
            <w:pPr>
              <w:pStyle w:val="TableParagraph"/>
              <w:spacing w:line="199" w:lineRule="exact"/>
              <w:ind w:left="185"/>
              <w:jc w:val="left"/>
              <w:rPr>
                <w:rFonts w:ascii="Calibri"/>
                <w:sz w:val="18"/>
              </w:rPr>
            </w:pPr>
            <w:r>
              <w:rPr>
                <w:rFonts w:ascii="Calibri"/>
                <w:sz w:val="18"/>
              </w:rPr>
              <w:t>94.2</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7.9</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92.4</w:t>
            </w:r>
          </w:p>
        </w:tc>
        <w:tc>
          <w:tcPr>
            <w:tcW w:w="630" w:type="dxa"/>
          </w:tcPr>
          <w:p>
            <w:pPr>
              <w:pStyle w:val="TableParagraph"/>
              <w:spacing w:line="199" w:lineRule="exact"/>
              <w:ind w:left="137"/>
              <w:jc w:val="left"/>
              <w:rPr>
                <w:rFonts w:ascii="Calibri"/>
                <w:sz w:val="18"/>
              </w:rPr>
            </w:pPr>
            <w:r>
              <w:rPr>
                <w:rFonts w:ascii="Calibri"/>
                <w:sz w:val="18"/>
              </w:rPr>
              <w:t>10.3</w:t>
            </w:r>
          </w:p>
        </w:tc>
        <w:tc>
          <w:tcPr>
            <w:tcW w:w="720" w:type="dxa"/>
          </w:tcPr>
          <w:p>
            <w:pPr>
              <w:pStyle w:val="TableParagraph"/>
              <w:spacing w:line="199" w:lineRule="exact"/>
              <w:ind w:left="183"/>
              <w:jc w:val="left"/>
              <w:rPr>
                <w:rFonts w:ascii="Calibri"/>
                <w:sz w:val="18"/>
              </w:rPr>
            </w:pPr>
            <w:r>
              <w:rPr>
                <w:rFonts w:ascii="Calibri"/>
                <w:sz w:val="18"/>
              </w:rPr>
              <w:t>98.6</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11.4</w:t>
            </w:r>
          </w:p>
        </w:tc>
      </w:tr>
      <w:tr>
        <w:trPr>
          <w:trHeight w:val="299" w:hRule="atLeast"/>
        </w:trPr>
        <w:tc>
          <w:tcPr>
            <w:tcW w:w="1435" w:type="dxa"/>
            <w:tcBorders>
              <w:right w:val="single" w:sz="12" w:space="0" w:color="000000"/>
            </w:tcBorders>
          </w:tcPr>
          <w:p>
            <w:pPr>
              <w:pStyle w:val="TableParagraph"/>
              <w:spacing w:line="199" w:lineRule="exact"/>
              <w:ind w:left="177" w:right="158"/>
              <w:rPr>
                <w:rFonts w:ascii="Calibri"/>
                <w:sz w:val="18"/>
              </w:rPr>
            </w:pPr>
            <w:r>
              <w:rPr>
                <w:rFonts w:ascii="Calibri"/>
                <w:sz w:val="18"/>
              </w:rPr>
              <w:t>FtS82</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102.6</w:t>
            </w:r>
          </w:p>
        </w:tc>
        <w:tc>
          <w:tcPr>
            <w:tcW w:w="631" w:type="dxa"/>
          </w:tcPr>
          <w:p>
            <w:pPr>
              <w:pStyle w:val="TableParagraph"/>
              <w:spacing w:line="199" w:lineRule="exact"/>
              <w:ind w:left="129" w:right="124"/>
              <w:rPr>
                <w:rFonts w:ascii="Calibri"/>
                <w:sz w:val="18"/>
              </w:rPr>
            </w:pPr>
            <w:r>
              <w:rPr>
                <w:rFonts w:ascii="Calibri"/>
                <w:sz w:val="18"/>
              </w:rPr>
              <w:t>20.1</w:t>
            </w:r>
          </w:p>
        </w:tc>
        <w:tc>
          <w:tcPr>
            <w:tcW w:w="761" w:type="dxa"/>
          </w:tcPr>
          <w:p>
            <w:pPr>
              <w:pStyle w:val="TableParagraph"/>
              <w:spacing w:line="199" w:lineRule="exact"/>
              <w:ind w:left="151" w:right="148"/>
              <w:rPr>
                <w:rFonts w:ascii="Calibri"/>
                <w:sz w:val="18"/>
              </w:rPr>
            </w:pPr>
            <w:r>
              <w:rPr>
                <w:rFonts w:ascii="Calibri"/>
                <w:sz w:val="18"/>
              </w:rPr>
              <w:t>109.7</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16.1</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105.1</w:t>
            </w:r>
          </w:p>
        </w:tc>
        <w:tc>
          <w:tcPr>
            <w:tcW w:w="631" w:type="dxa"/>
          </w:tcPr>
          <w:p>
            <w:pPr>
              <w:pStyle w:val="TableParagraph"/>
              <w:spacing w:line="199" w:lineRule="exact"/>
              <w:ind w:left="126" w:right="128"/>
              <w:rPr>
                <w:rFonts w:ascii="Calibri"/>
                <w:sz w:val="18"/>
              </w:rPr>
            </w:pPr>
            <w:r>
              <w:rPr>
                <w:rFonts w:ascii="Calibri"/>
                <w:sz w:val="18"/>
              </w:rPr>
              <w:t>13.9</w:t>
            </w:r>
          </w:p>
        </w:tc>
        <w:tc>
          <w:tcPr>
            <w:tcW w:w="721" w:type="dxa"/>
          </w:tcPr>
          <w:p>
            <w:pPr>
              <w:pStyle w:val="TableParagraph"/>
              <w:spacing w:line="199" w:lineRule="exact"/>
              <w:ind w:left="128" w:right="131"/>
              <w:rPr>
                <w:rFonts w:ascii="Calibri"/>
                <w:sz w:val="18"/>
              </w:rPr>
            </w:pPr>
            <w:r>
              <w:rPr>
                <w:rFonts w:ascii="Calibri"/>
                <w:sz w:val="18"/>
              </w:rPr>
              <w:t>108.8</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13.4</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100.9</w:t>
            </w:r>
          </w:p>
        </w:tc>
        <w:tc>
          <w:tcPr>
            <w:tcW w:w="541" w:type="dxa"/>
          </w:tcPr>
          <w:p>
            <w:pPr>
              <w:pStyle w:val="TableParagraph"/>
              <w:spacing w:line="199" w:lineRule="exact"/>
              <w:ind w:left="99"/>
              <w:jc w:val="left"/>
              <w:rPr>
                <w:rFonts w:ascii="Calibri"/>
                <w:sz w:val="18"/>
              </w:rPr>
            </w:pPr>
            <w:r>
              <w:rPr>
                <w:rFonts w:ascii="Calibri"/>
                <w:sz w:val="18"/>
              </w:rPr>
              <w:t>20.8</w:t>
            </w:r>
          </w:p>
        </w:tc>
        <w:tc>
          <w:tcPr>
            <w:tcW w:w="721" w:type="dxa"/>
          </w:tcPr>
          <w:p>
            <w:pPr>
              <w:pStyle w:val="TableParagraph"/>
              <w:spacing w:line="199" w:lineRule="exact"/>
              <w:ind w:right="155"/>
              <w:jc w:val="right"/>
              <w:rPr>
                <w:rFonts w:ascii="Calibri"/>
                <w:sz w:val="18"/>
              </w:rPr>
            </w:pPr>
            <w:r>
              <w:rPr>
                <w:rFonts w:ascii="Calibri"/>
                <w:sz w:val="18"/>
              </w:rPr>
              <w:t>105.1</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12.9</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93.9</w:t>
            </w:r>
          </w:p>
        </w:tc>
        <w:tc>
          <w:tcPr>
            <w:tcW w:w="631" w:type="dxa"/>
          </w:tcPr>
          <w:p>
            <w:pPr>
              <w:pStyle w:val="TableParagraph"/>
              <w:spacing w:line="199" w:lineRule="exact"/>
              <w:ind w:left="140"/>
              <w:jc w:val="left"/>
              <w:rPr>
                <w:rFonts w:ascii="Calibri"/>
                <w:sz w:val="18"/>
              </w:rPr>
            </w:pPr>
            <w:r>
              <w:rPr>
                <w:rFonts w:ascii="Calibri"/>
                <w:sz w:val="18"/>
              </w:rPr>
              <w:t>20.0</w:t>
            </w:r>
          </w:p>
        </w:tc>
        <w:tc>
          <w:tcPr>
            <w:tcW w:w="721" w:type="dxa"/>
          </w:tcPr>
          <w:p>
            <w:pPr>
              <w:pStyle w:val="TableParagraph"/>
              <w:spacing w:line="199" w:lineRule="exact"/>
              <w:ind w:left="139"/>
              <w:jc w:val="left"/>
              <w:rPr>
                <w:rFonts w:ascii="Calibri"/>
                <w:sz w:val="18"/>
              </w:rPr>
            </w:pPr>
            <w:r>
              <w:rPr>
                <w:rFonts w:ascii="Calibri"/>
                <w:sz w:val="18"/>
              </w:rPr>
              <w:t>106.7</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15.3</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110.6</w:t>
            </w:r>
          </w:p>
        </w:tc>
        <w:tc>
          <w:tcPr>
            <w:tcW w:w="630" w:type="dxa"/>
          </w:tcPr>
          <w:p>
            <w:pPr>
              <w:pStyle w:val="TableParagraph"/>
              <w:spacing w:line="199" w:lineRule="exact"/>
              <w:ind w:left="137"/>
              <w:jc w:val="left"/>
              <w:rPr>
                <w:rFonts w:ascii="Calibri"/>
                <w:sz w:val="18"/>
              </w:rPr>
            </w:pPr>
            <w:r>
              <w:rPr>
                <w:rFonts w:ascii="Calibri"/>
                <w:sz w:val="18"/>
              </w:rPr>
              <w:t>21.8</w:t>
            </w:r>
          </w:p>
        </w:tc>
        <w:tc>
          <w:tcPr>
            <w:tcW w:w="720" w:type="dxa"/>
          </w:tcPr>
          <w:p>
            <w:pPr>
              <w:pStyle w:val="TableParagraph"/>
              <w:spacing w:line="199" w:lineRule="exact"/>
              <w:ind w:left="137"/>
              <w:jc w:val="left"/>
              <w:rPr>
                <w:rFonts w:ascii="Calibri"/>
                <w:sz w:val="18"/>
              </w:rPr>
            </w:pPr>
            <w:r>
              <w:rPr>
                <w:rFonts w:ascii="Calibri"/>
                <w:sz w:val="18"/>
              </w:rPr>
              <w:t>118.2</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18.9</w:t>
            </w:r>
          </w:p>
        </w:tc>
      </w:tr>
      <w:tr>
        <w:trPr>
          <w:trHeight w:val="300" w:hRule="atLeast"/>
        </w:trPr>
        <w:tc>
          <w:tcPr>
            <w:tcW w:w="1435" w:type="dxa"/>
            <w:tcBorders>
              <w:right w:val="single" w:sz="12" w:space="0" w:color="000000"/>
            </w:tcBorders>
          </w:tcPr>
          <w:p>
            <w:pPr>
              <w:pStyle w:val="TableParagraph"/>
              <w:spacing w:line="200" w:lineRule="exact"/>
              <w:ind w:left="177" w:right="158"/>
              <w:rPr>
                <w:rFonts w:ascii="Calibri"/>
                <w:sz w:val="18"/>
              </w:rPr>
            </w:pPr>
            <w:r>
              <w:rPr>
                <w:rFonts w:ascii="Calibri"/>
                <w:sz w:val="18"/>
              </w:rPr>
              <w:t>FtS62</w:t>
            </w:r>
          </w:p>
        </w:tc>
        <w:tc>
          <w:tcPr>
            <w:tcW w:w="726" w:type="dxa"/>
            <w:tcBorders>
              <w:left w:val="single" w:sz="12" w:space="0" w:color="000000"/>
            </w:tcBorders>
          </w:tcPr>
          <w:p>
            <w:pPr>
              <w:pStyle w:val="TableParagraph"/>
              <w:spacing w:line="200" w:lineRule="exact"/>
              <w:ind w:left="127" w:right="127"/>
              <w:rPr>
                <w:rFonts w:ascii="Calibri"/>
                <w:sz w:val="18"/>
              </w:rPr>
            </w:pPr>
            <w:r>
              <w:rPr>
                <w:rFonts w:ascii="Calibri"/>
                <w:sz w:val="18"/>
              </w:rPr>
              <w:t>95.0</w:t>
            </w:r>
          </w:p>
        </w:tc>
        <w:tc>
          <w:tcPr>
            <w:tcW w:w="631" w:type="dxa"/>
          </w:tcPr>
          <w:p>
            <w:pPr>
              <w:pStyle w:val="TableParagraph"/>
              <w:spacing w:line="200" w:lineRule="exact"/>
              <w:ind w:left="129" w:right="124"/>
              <w:rPr>
                <w:rFonts w:ascii="Calibri"/>
                <w:sz w:val="18"/>
              </w:rPr>
            </w:pPr>
            <w:r>
              <w:rPr>
                <w:rFonts w:ascii="Calibri"/>
                <w:sz w:val="18"/>
              </w:rPr>
              <w:t>192</w:t>
            </w:r>
          </w:p>
        </w:tc>
        <w:tc>
          <w:tcPr>
            <w:tcW w:w="761" w:type="dxa"/>
          </w:tcPr>
          <w:p>
            <w:pPr>
              <w:pStyle w:val="TableParagraph"/>
              <w:spacing w:line="200" w:lineRule="exact"/>
              <w:ind w:left="151" w:right="148"/>
              <w:rPr>
                <w:rFonts w:ascii="Calibri"/>
                <w:sz w:val="18"/>
              </w:rPr>
            </w:pPr>
            <w:r>
              <w:rPr>
                <w:rFonts w:ascii="Calibri"/>
                <w:sz w:val="18"/>
              </w:rPr>
              <w:t>92.4</w:t>
            </w:r>
          </w:p>
        </w:tc>
        <w:tc>
          <w:tcPr>
            <w:tcW w:w="681" w:type="dxa"/>
            <w:tcBorders>
              <w:right w:val="single" w:sz="12" w:space="0" w:color="000000"/>
            </w:tcBorders>
          </w:tcPr>
          <w:p>
            <w:pPr>
              <w:pStyle w:val="TableParagraph"/>
              <w:spacing w:line="200" w:lineRule="exact"/>
              <w:ind w:left="85" w:right="74"/>
              <w:rPr>
                <w:rFonts w:ascii="Calibri"/>
                <w:sz w:val="18"/>
              </w:rPr>
            </w:pPr>
            <w:r>
              <w:rPr>
                <w:rFonts w:ascii="Calibri"/>
                <w:sz w:val="18"/>
              </w:rPr>
              <w:t>51.8</w:t>
            </w:r>
          </w:p>
        </w:tc>
        <w:tc>
          <w:tcPr>
            <w:tcW w:w="722" w:type="dxa"/>
            <w:tcBorders>
              <w:left w:val="single" w:sz="12" w:space="0" w:color="000000"/>
            </w:tcBorders>
          </w:tcPr>
          <w:p>
            <w:pPr>
              <w:pStyle w:val="TableParagraph"/>
              <w:spacing w:line="200" w:lineRule="exact"/>
              <w:ind w:left="113" w:right="121"/>
              <w:rPr>
                <w:rFonts w:ascii="Calibri"/>
                <w:sz w:val="18"/>
              </w:rPr>
            </w:pPr>
            <w:r>
              <w:rPr>
                <w:rFonts w:ascii="Calibri"/>
                <w:sz w:val="18"/>
              </w:rPr>
              <w:t>85.5</w:t>
            </w:r>
          </w:p>
        </w:tc>
        <w:tc>
          <w:tcPr>
            <w:tcW w:w="631" w:type="dxa"/>
          </w:tcPr>
          <w:p>
            <w:pPr>
              <w:pStyle w:val="TableParagraph"/>
              <w:spacing w:line="200" w:lineRule="exact"/>
              <w:ind w:left="126" w:right="128"/>
              <w:rPr>
                <w:rFonts w:ascii="Calibri"/>
                <w:sz w:val="18"/>
              </w:rPr>
            </w:pPr>
            <w:r>
              <w:rPr>
                <w:rFonts w:ascii="Calibri"/>
                <w:sz w:val="18"/>
              </w:rPr>
              <w:t>49.7</w:t>
            </w:r>
          </w:p>
        </w:tc>
        <w:tc>
          <w:tcPr>
            <w:tcW w:w="721" w:type="dxa"/>
          </w:tcPr>
          <w:p>
            <w:pPr>
              <w:pStyle w:val="TableParagraph"/>
              <w:spacing w:line="200" w:lineRule="exact"/>
              <w:ind w:left="128" w:right="131"/>
              <w:rPr>
                <w:rFonts w:ascii="Calibri"/>
                <w:sz w:val="18"/>
              </w:rPr>
            </w:pPr>
            <w:r>
              <w:rPr>
                <w:rFonts w:ascii="Calibri"/>
                <w:sz w:val="18"/>
              </w:rPr>
              <w:t>92.3</w:t>
            </w:r>
          </w:p>
        </w:tc>
        <w:tc>
          <w:tcPr>
            <w:tcW w:w="720" w:type="dxa"/>
            <w:tcBorders>
              <w:right w:val="single" w:sz="12" w:space="0" w:color="000000"/>
            </w:tcBorders>
          </w:tcPr>
          <w:p>
            <w:pPr>
              <w:pStyle w:val="TableParagraph"/>
              <w:spacing w:line="200" w:lineRule="exact"/>
              <w:ind w:left="94" w:right="91"/>
              <w:rPr>
                <w:rFonts w:ascii="Calibri"/>
                <w:sz w:val="18"/>
              </w:rPr>
            </w:pPr>
            <w:r>
              <w:rPr>
                <w:rFonts w:ascii="Calibri"/>
                <w:sz w:val="18"/>
              </w:rPr>
              <w:t>29.3</w:t>
            </w:r>
          </w:p>
        </w:tc>
        <w:tc>
          <w:tcPr>
            <w:tcW w:w="773" w:type="dxa"/>
            <w:tcBorders>
              <w:left w:val="single" w:sz="12" w:space="0" w:color="000000"/>
            </w:tcBorders>
          </w:tcPr>
          <w:p>
            <w:pPr>
              <w:pStyle w:val="TableParagraph"/>
              <w:spacing w:line="200" w:lineRule="exact"/>
              <w:ind w:left="143" w:right="159"/>
              <w:rPr>
                <w:rFonts w:ascii="Calibri"/>
                <w:sz w:val="18"/>
              </w:rPr>
            </w:pPr>
            <w:r>
              <w:rPr>
                <w:rFonts w:ascii="Calibri"/>
                <w:sz w:val="18"/>
              </w:rPr>
              <w:t>75.6</w:t>
            </w:r>
          </w:p>
        </w:tc>
        <w:tc>
          <w:tcPr>
            <w:tcW w:w="541" w:type="dxa"/>
          </w:tcPr>
          <w:p>
            <w:pPr>
              <w:pStyle w:val="TableParagraph"/>
              <w:spacing w:line="200" w:lineRule="exact"/>
              <w:ind w:left="99"/>
              <w:jc w:val="left"/>
              <w:rPr>
                <w:rFonts w:ascii="Calibri"/>
                <w:sz w:val="18"/>
              </w:rPr>
            </w:pPr>
            <w:r>
              <w:rPr>
                <w:rFonts w:ascii="Calibri"/>
                <w:sz w:val="18"/>
              </w:rPr>
              <w:t>34.1</w:t>
            </w:r>
          </w:p>
        </w:tc>
        <w:tc>
          <w:tcPr>
            <w:tcW w:w="721" w:type="dxa"/>
          </w:tcPr>
          <w:p>
            <w:pPr>
              <w:pStyle w:val="TableParagraph"/>
              <w:spacing w:line="200" w:lineRule="exact"/>
              <w:ind w:right="200"/>
              <w:jc w:val="right"/>
              <w:rPr>
                <w:rFonts w:ascii="Calibri"/>
                <w:sz w:val="18"/>
              </w:rPr>
            </w:pPr>
            <w:r>
              <w:rPr>
                <w:rFonts w:ascii="Calibri"/>
                <w:sz w:val="18"/>
              </w:rPr>
              <w:t>97.1</w:t>
            </w:r>
          </w:p>
        </w:tc>
        <w:tc>
          <w:tcPr>
            <w:tcW w:w="759" w:type="dxa"/>
            <w:tcBorders>
              <w:right w:val="single" w:sz="12" w:space="0" w:color="000000"/>
            </w:tcBorders>
          </w:tcPr>
          <w:p>
            <w:pPr>
              <w:pStyle w:val="TableParagraph"/>
              <w:spacing w:line="200" w:lineRule="exact"/>
              <w:ind w:left="117" w:right="120"/>
              <w:rPr>
                <w:rFonts w:ascii="Calibri"/>
                <w:sz w:val="18"/>
              </w:rPr>
            </w:pPr>
            <w:r>
              <w:rPr>
                <w:rFonts w:ascii="Calibri"/>
                <w:sz w:val="18"/>
              </w:rPr>
              <w:t>84.4</w:t>
            </w:r>
          </w:p>
        </w:tc>
        <w:tc>
          <w:tcPr>
            <w:tcW w:w="722" w:type="dxa"/>
            <w:tcBorders>
              <w:left w:val="single" w:sz="12" w:space="0" w:color="000000"/>
            </w:tcBorders>
          </w:tcPr>
          <w:p>
            <w:pPr>
              <w:pStyle w:val="TableParagraph"/>
              <w:spacing w:line="200" w:lineRule="exact"/>
              <w:ind w:left="105" w:right="129"/>
              <w:rPr>
                <w:rFonts w:ascii="Calibri"/>
                <w:sz w:val="18"/>
              </w:rPr>
            </w:pPr>
            <w:r>
              <w:rPr>
                <w:rFonts w:ascii="Calibri"/>
                <w:sz w:val="18"/>
              </w:rPr>
              <w:t>130.3</w:t>
            </w:r>
          </w:p>
        </w:tc>
        <w:tc>
          <w:tcPr>
            <w:tcW w:w="631" w:type="dxa"/>
          </w:tcPr>
          <w:p>
            <w:pPr>
              <w:pStyle w:val="TableParagraph"/>
              <w:spacing w:line="200" w:lineRule="exact"/>
              <w:ind w:left="95"/>
              <w:jc w:val="left"/>
              <w:rPr>
                <w:rFonts w:ascii="Calibri"/>
                <w:sz w:val="18"/>
              </w:rPr>
            </w:pPr>
            <w:r>
              <w:rPr>
                <w:rFonts w:ascii="Calibri"/>
                <w:sz w:val="18"/>
              </w:rPr>
              <w:t>275.5</w:t>
            </w:r>
          </w:p>
        </w:tc>
        <w:tc>
          <w:tcPr>
            <w:tcW w:w="721" w:type="dxa"/>
          </w:tcPr>
          <w:p>
            <w:pPr>
              <w:pStyle w:val="TableParagraph"/>
              <w:spacing w:line="200" w:lineRule="exact"/>
              <w:ind w:left="185"/>
              <w:jc w:val="left"/>
              <w:rPr>
                <w:rFonts w:ascii="Calibri"/>
                <w:sz w:val="18"/>
              </w:rPr>
            </w:pPr>
            <w:r>
              <w:rPr>
                <w:rFonts w:ascii="Calibri"/>
                <w:sz w:val="18"/>
              </w:rPr>
              <w:t>86.2</w:t>
            </w:r>
          </w:p>
        </w:tc>
        <w:tc>
          <w:tcPr>
            <w:tcW w:w="720" w:type="dxa"/>
            <w:tcBorders>
              <w:right w:val="single" w:sz="12" w:space="0" w:color="000000"/>
            </w:tcBorders>
          </w:tcPr>
          <w:p>
            <w:pPr>
              <w:pStyle w:val="TableParagraph"/>
              <w:spacing w:line="200" w:lineRule="exact"/>
              <w:ind w:left="88" w:right="98"/>
              <w:rPr>
                <w:rFonts w:ascii="Calibri"/>
                <w:sz w:val="18"/>
              </w:rPr>
            </w:pPr>
            <w:r>
              <w:rPr>
                <w:rFonts w:ascii="Calibri"/>
                <w:sz w:val="18"/>
              </w:rPr>
              <w:t>33.8</w:t>
            </w:r>
          </w:p>
        </w:tc>
        <w:tc>
          <w:tcPr>
            <w:tcW w:w="721" w:type="dxa"/>
            <w:tcBorders>
              <w:left w:val="single" w:sz="12" w:space="0" w:color="000000"/>
            </w:tcBorders>
          </w:tcPr>
          <w:p>
            <w:pPr>
              <w:pStyle w:val="TableParagraph"/>
              <w:spacing w:line="200" w:lineRule="exact"/>
              <w:ind w:left="174"/>
              <w:jc w:val="left"/>
              <w:rPr>
                <w:rFonts w:ascii="Calibri"/>
                <w:sz w:val="18"/>
              </w:rPr>
            </w:pPr>
            <w:r>
              <w:rPr>
                <w:rFonts w:ascii="Calibri"/>
                <w:sz w:val="18"/>
              </w:rPr>
              <w:t>88.4</w:t>
            </w:r>
          </w:p>
        </w:tc>
        <w:tc>
          <w:tcPr>
            <w:tcW w:w="630" w:type="dxa"/>
          </w:tcPr>
          <w:p>
            <w:pPr>
              <w:pStyle w:val="TableParagraph"/>
              <w:spacing w:line="200" w:lineRule="exact"/>
              <w:ind w:left="137"/>
              <w:jc w:val="left"/>
              <w:rPr>
                <w:rFonts w:ascii="Calibri"/>
                <w:sz w:val="18"/>
              </w:rPr>
            </w:pPr>
            <w:r>
              <w:rPr>
                <w:rFonts w:ascii="Calibri"/>
                <w:sz w:val="18"/>
              </w:rPr>
              <w:t>37.0</w:t>
            </w:r>
          </w:p>
        </w:tc>
        <w:tc>
          <w:tcPr>
            <w:tcW w:w="720" w:type="dxa"/>
          </w:tcPr>
          <w:p>
            <w:pPr>
              <w:pStyle w:val="TableParagraph"/>
              <w:spacing w:line="200" w:lineRule="exact"/>
              <w:ind w:left="183"/>
              <w:jc w:val="left"/>
              <w:rPr>
                <w:rFonts w:ascii="Calibri"/>
                <w:sz w:val="18"/>
              </w:rPr>
            </w:pPr>
            <w:r>
              <w:rPr>
                <w:rFonts w:ascii="Calibri"/>
                <w:sz w:val="18"/>
              </w:rPr>
              <w:t>93.9</w:t>
            </w:r>
          </w:p>
        </w:tc>
        <w:tc>
          <w:tcPr>
            <w:tcW w:w="719" w:type="dxa"/>
            <w:tcBorders>
              <w:right w:val="single" w:sz="12" w:space="0" w:color="000000"/>
            </w:tcBorders>
          </w:tcPr>
          <w:p>
            <w:pPr>
              <w:pStyle w:val="TableParagraph"/>
              <w:spacing w:line="200" w:lineRule="exact"/>
              <w:ind w:left="93" w:right="104"/>
              <w:rPr>
                <w:rFonts w:ascii="Calibri"/>
                <w:sz w:val="18"/>
              </w:rPr>
            </w:pPr>
            <w:r>
              <w:rPr>
                <w:rFonts w:ascii="Calibri"/>
                <w:sz w:val="18"/>
              </w:rPr>
              <w:t>33.5</w:t>
            </w:r>
          </w:p>
        </w:tc>
      </w:tr>
      <w:tr>
        <w:trPr>
          <w:trHeight w:val="299" w:hRule="atLeast"/>
        </w:trPr>
        <w:tc>
          <w:tcPr>
            <w:tcW w:w="1435" w:type="dxa"/>
            <w:tcBorders>
              <w:right w:val="single" w:sz="12" w:space="0" w:color="000000"/>
            </w:tcBorders>
          </w:tcPr>
          <w:p>
            <w:pPr>
              <w:pStyle w:val="TableParagraph"/>
              <w:spacing w:line="199" w:lineRule="exact"/>
              <w:ind w:left="177" w:right="158"/>
              <w:rPr>
                <w:rFonts w:ascii="Calibri"/>
                <w:sz w:val="18"/>
              </w:rPr>
            </w:pPr>
            <w:r>
              <w:rPr>
                <w:rFonts w:ascii="Calibri"/>
                <w:sz w:val="18"/>
              </w:rPr>
              <w:t>FtS42</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95.1</w:t>
            </w:r>
          </w:p>
        </w:tc>
        <w:tc>
          <w:tcPr>
            <w:tcW w:w="631" w:type="dxa"/>
          </w:tcPr>
          <w:p>
            <w:pPr>
              <w:pStyle w:val="TableParagraph"/>
              <w:spacing w:line="199" w:lineRule="exact"/>
              <w:ind w:left="129" w:right="124"/>
              <w:rPr>
                <w:rFonts w:ascii="Calibri"/>
                <w:sz w:val="18"/>
              </w:rPr>
            </w:pPr>
            <w:r>
              <w:rPr>
                <w:rFonts w:ascii="Calibri"/>
                <w:sz w:val="18"/>
              </w:rPr>
              <w:t>19.7</w:t>
            </w:r>
          </w:p>
        </w:tc>
        <w:tc>
          <w:tcPr>
            <w:tcW w:w="761" w:type="dxa"/>
          </w:tcPr>
          <w:p>
            <w:pPr>
              <w:pStyle w:val="TableParagraph"/>
              <w:spacing w:line="199" w:lineRule="exact"/>
              <w:ind w:left="151" w:right="148"/>
              <w:rPr>
                <w:rFonts w:ascii="Calibri"/>
                <w:sz w:val="18"/>
              </w:rPr>
            </w:pPr>
            <w:r>
              <w:rPr>
                <w:rFonts w:ascii="Calibri"/>
                <w:sz w:val="18"/>
              </w:rPr>
              <w:t>102.1</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14.4</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98.5</w:t>
            </w:r>
          </w:p>
        </w:tc>
        <w:tc>
          <w:tcPr>
            <w:tcW w:w="631" w:type="dxa"/>
          </w:tcPr>
          <w:p>
            <w:pPr>
              <w:pStyle w:val="TableParagraph"/>
              <w:spacing w:line="199" w:lineRule="exact"/>
              <w:ind w:left="126" w:right="128"/>
              <w:rPr>
                <w:rFonts w:ascii="Calibri"/>
                <w:sz w:val="18"/>
              </w:rPr>
            </w:pPr>
            <w:r>
              <w:rPr>
                <w:rFonts w:ascii="Calibri"/>
                <w:sz w:val="18"/>
              </w:rPr>
              <w:t>15.9</w:t>
            </w:r>
          </w:p>
        </w:tc>
        <w:tc>
          <w:tcPr>
            <w:tcW w:w="721" w:type="dxa"/>
          </w:tcPr>
          <w:p>
            <w:pPr>
              <w:pStyle w:val="TableParagraph"/>
              <w:spacing w:line="199" w:lineRule="exact"/>
              <w:ind w:left="128" w:right="131"/>
              <w:rPr>
                <w:rFonts w:ascii="Calibri"/>
                <w:sz w:val="18"/>
              </w:rPr>
            </w:pPr>
            <w:r>
              <w:rPr>
                <w:rFonts w:ascii="Calibri"/>
                <w:sz w:val="18"/>
              </w:rPr>
              <w:t>104.0</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9.5</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91.0</w:t>
            </w:r>
          </w:p>
        </w:tc>
        <w:tc>
          <w:tcPr>
            <w:tcW w:w="541" w:type="dxa"/>
          </w:tcPr>
          <w:p>
            <w:pPr>
              <w:pStyle w:val="TableParagraph"/>
              <w:spacing w:line="199" w:lineRule="exact"/>
              <w:ind w:left="99"/>
              <w:jc w:val="left"/>
              <w:rPr>
                <w:rFonts w:ascii="Calibri"/>
                <w:sz w:val="18"/>
              </w:rPr>
            </w:pPr>
            <w:r>
              <w:rPr>
                <w:rFonts w:ascii="Calibri"/>
                <w:sz w:val="18"/>
              </w:rPr>
              <w:t>21.5</w:t>
            </w:r>
          </w:p>
        </w:tc>
        <w:tc>
          <w:tcPr>
            <w:tcW w:w="721" w:type="dxa"/>
          </w:tcPr>
          <w:p>
            <w:pPr>
              <w:pStyle w:val="TableParagraph"/>
              <w:spacing w:line="199" w:lineRule="exact"/>
              <w:ind w:right="200"/>
              <w:jc w:val="right"/>
              <w:rPr>
                <w:rFonts w:ascii="Calibri"/>
                <w:sz w:val="18"/>
              </w:rPr>
            </w:pPr>
            <w:r>
              <w:rPr>
                <w:rFonts w:ascii="Calibri"/>
                <w:sz w:val="18"/>
              </w:rPr>
              <w:t>97.6</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12.5</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92.2</w:t>
            </w:r>
          </w:p>
        </w:tc>
        <w:tc>
          <w:tcPr>
            <w:tcW w:w="631" w:type="dxa"/>
          </w:tcPr>
          <w:p>
            <w:pPr>
              <w:pStyle w:val="TableParagraph"/>
              <w:spacing w:line="199" w:lineRule="exact"/>
              <w:ind w:left="140"/>
              <w:jc w:val="left"/>
              <w:rPr>
                <w:rFonts w:ascii="Calibri"/>
                <w:sz w:val="18"/>
              </w:rPr>
            </w:pPr>
            <w:r>
              <w:rPr>
                <w:rFonts w:ascii="Calibri"/>
                <w:sz w:val="18"/>
              </w:rPr>
              <w:t>18.6</w:t>
            </w:r>
          </w:p>
        </w:tc>
        <w:tc>
          <w:tcPr>
            <w:tcW w:w="721" w:type="dxa"/>
          </w:tcPr>
          <w:p>
            <w:pPr>
              <w:pStyle w:val="TableParagraph"/>
              <w:spacing w:line="199" w:lineRule="exact"/>
              <w:ind w:left="139"/>
              <w:jc w:val="left"/>
              <w:rPr>
                <w:rFonts w:ascii="Calibri"/>
                <w:sz w:val="18"/>
              </w:rPr>
            </w:pPr>
            <w:r>
              <w:rPr>
                <w:rFonts w:ascii="Calibri"/>
                <w:sz w:val="18"/>
              </w:rPr>
              <w:t>101.1</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14.2</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98.7</w:t>
            </w:r>
          </w:p>
        </w:tc>
        <w:tc>
          <w:tcPr>
            <w:tcW w:w="630" w:type="dxa"/>
          </w:tcPr>
          <w:p>
            <w:pPr>
              <w:pStyle w:val="TableParagraph"/>
              <w:spacing w:line="199" w:lineRule="exact"/>
              <w:ind w:left="137"/>
              <w:jc w:val="left"/>
              <w:rPr>
                <w:rFonts w:ascii="Calibri"/>
                <w:sz w:val="18"/>
              </w:rPr>
            </w:pPr>
            <w:r>
              <w:rPr>
                <w:rFonts w:ascii="Calibri"/>
                <w:sz w:val="18"/>
              </w:rPr>
              <w:t>21.7</w:t>
            </w:r>
          </w:p>
        </w:tc>
        <w:tc>
          <w:tcPr>
            <w:tcW w:w="720" w:type="dxa"/>
          </w:tcPr>
          <w:p>
            <w:pPr>
              <w:pStyle w:val="TableParagraph"/>
              <w:spacing w:line="199" w:lineRule="exact"/>
              <w:ind w:left="137"/>
              <w:jc w:val="left"/>
              <w:rPr>
                <w:rFonts w:ascii="Calibri"/>
                <w:sz w:val="18"/>
              </w:rPr>
            </w:pPr>
            <w:r>
              <w:rPr>
                <w:rFonts w:ascii="Calibri"/>
                <w:sz w:val="18"/>
              </w:rPr>
              <w:t>105.7</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18.8</w:t>
            </w:r>
          </w:p>
        </w:tc>
      </w:tr>
    </w:tbl>
    <w:p>
      <w:pPr>
        <w:spacing w:after="0" w:line="199" w:lineRule="exact"/>
        <w:rPr>
          <w:rFonts w:ascii="Calibri"/>
          <w:sz w:val="18"/>
        </w:rPr>
        <w:sectPr>
          <w:footerReference w:type="default" r:id="rId14"/>
          <w:pgSz w:w="15840" w:h="12240" w:orient="landscape"/>
          <w:pgMar w:footer="923" w:header="0" w:top="1140" w:bottom="1120" w:left="160" w:right="40"/>
          <w:pgNumType w:start="34"/>
        </w:sectPr>
      </w:pPr>
    </w:p>
    <w:p>
      <w:pPr>
        <w:pStyle w:val="BodyText"/>
        <w:spacing w:before="1"/>
        <w:rPr>
          <w:sz w:val="26"/>
        </w:rPr>
      </w:pPr>
    </w:p>
    <w:tbl>
      <w:tblPr>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5"/>
        <w:gridCol w:w="726"/>
        <w:gridCol w:w="631"/>
        <w:gridCol w:w="761"/>
        <w:gridCol w:w="681"/>
        <w:gridCol w:w="722"/>
        <w:gridCol w:w="631"/>
        <w:gridCol w:w="721"/>
        <w:gridCol w:w="720"/>
        <w:gridCol w:w="773"/>
        <w:gridCol w:w="541"/>
        <w:gridCol w:w="721"/>
        <w:gridCol w:w="759"/>
        <w:gridCol w:w="722"/>
        <w:gridCol w:w="631"/>
        <w:gridCol w:w="721"/>
        <w:gridCol w:w="720"/>
        <w:gridCol w:w="721"/>
        <w:gridCol w:w="630"/>
        <w:gridCol w:w="720"/>
        <w:gridCol w:w="719"/>
      </w:tblGrid>
      <w:tr>
        <w:trPr>
          <w:trHeight w:val="299" w:hRule="atLeast"/>
        </w:trPr>
        <w:tc>
          <w:tcPr>
            <w:tcW w:w="1435" w:type="dxa"/>
            <w:vMerge w:val="restart"/>
            <w:tcBorders>
              <w:right w:val="single" w:sz="12" w:space="0" w:color="000000"/>
            </w:tcBorders>
          </w:tcPr>
          <w:p>
            <w:pPr>
              <w:pStyle w:val="TableParagraph"/>
              <w:spacing w:before="0"/>
              <w:jc w:val="left"/>
              <w:rPr>
                <w:sz w:val="18"/>
              </w:rPr>
            </w:pPr>
          </w:p>
          <w:p>
            <w:pPr>
              <w:pStyle w:val="TableParagraph"/>
              <w:spacing w:before="0"/>
              <w:jc w:val="left"/>
              <w:rPr>
                <w:sz w:val="18"/>
              </w:rPr>
            </w:pPr>
          </w:p>
          <w:p>
            <w:pPr>
              <w:pStyle w:val="TableParagraph"/>
              <w:spacing w:line="220" w:lineRule="atLeast" w:before="144"/>
              <w:ind w:left="173" w:right="157" w:hanging="12"/>
              <w:rPr>
                <w:rFonts w:ascii="Calibri"/>
                <w:sz w:val="18"/>
              </w:rPr>
            </w:pPr>
            <w:r>
              <w:rPr>
                <w:rFonts w:ascii="Calibri"/>
                <w:sz w:val="18"/>
              </w:rPr>
              <w:t>Target Analyte or Surrogate name (abbrev)</w:t>
            </w:r>
          </w:p>
        </w:tc>
        <w:tc>
          <w:tcPr>
            <w:tcW w:w="2799" w:type="dxa"/>
            <w:gridSpan w:val="4"/>
            <w:tcBorders>
              <w:top w:val="single" w:sz="12" w:space="0" w:color="000000"/>
              <w:left w:val="single" w:sz="12" w:space="0" w:color="000000"/>
              <w:right w:val="single" w:sz="12" w:space="0" w:color="000000"/>
            </w:tcBorders>
          </w:tcPr>
          <w:p>
            <w:pPr>
              <w:pStyle w:val="TableParagraph"/>
              <w:spacing w:line="199" w:lineRule="exact"/>
              <w:ind w:left="653"/>
              <w:jc w:val="left"/>
              <w:rPr>
                <w:rFonts w:ascii="Calibri"/>
                <w:sz w:val="18"/>
              </w:rPr>
            </w:pPr>
            <w:r>
              <w:rPr>
                <w:rFonts w:ascii="Calibri"/>
                <w:sz w:val="18"/>
              </w:rPr>
              <w:t>All matrices (n=479)</w:t>
            </w:r>
          </w:p>
        </w:tc>
        <w:tc>
          <w:tcPr>
            <w:tcW w:w="2794" w:type="dxa"/>
            <w:gridSpan w:val="4"/>
            <w:tcBorders>
              <w:top w:val="single" w:sz="12" w:space="0" w:color="000000"/>
              <w:left w:val="single" w:sz="12" w:space="0" w:color="000000"/>
              <w:right w:val="single" w:sz="12" w:space="0" w:color="000000"/>
            </w:tcBorders>
          </w:tcPr>
          <w:p>
            <w:pPr>
              <w:pStyle w:val="TableParagraph"/>
              <w:spacing w:line="199" w:lineRule="exact"/>
              <w:ind w:left="541"/>
              <w:jc w:val="left"/>
              <w:rPr>
                <w:rFonts w:ascii="Calibri"/>
                <w:sz w:val="18"/>
              </w:rPr>
            </w:pPr>
            <w:r>
              <w:rPr>
                <w:rFonts w:ascii="Calibri"/>
                <w:sz w:val="18"/>
              </w:rPr>
              <w:t>Reagent water (n=120)</w:t>
            </w:r>
          </w:p>
        </w:tc>
        <w:tc>
          <w:tcPr>
            <w:tcW w:w="2794" w:type="dxa"/>
            <w:gridSpan w:val="4"/>
            <w:tcBorders>
              <w:top w:val="single" w:sz="12" w:space="0" w:color="000000"/>
              <w:left w:val="single" w:sz="12" w:space="0" w:color="000000"/>
              <w:right w:val="single" w:sz="12" w:space="0" w:color="000000"/>
            </w:tcBorders>
          </w:tcPr>
          <w:p>
            <w:pPr>
              <w:pStyle w:val="TableParagraph"/>
              <w:spacing w:line="199" w:lineRule="exact"/>
              <w:ind w:left="581"/>
              <w:jc w:val="left"/>
              <w:rPr>
                <w:rFonts w:ascii="Calibri"/>
                <w:sz w:val="18"/>
              </w:rPr>
            </w:pPr>
            <w:r>
              <w:rPr>
                <w:rFonts w:ascii="Calibri"/>
                <w:sz w:val="18"/>
              </w:rPr>
              <w:t>Groundwater (n=120)</w:t>
            </w:r>
          </w:p>
        </w:tc>
        <w:tc>
          <w:tcPr>
            <w:tcW w:w="2794" w:type="dxa"/>
            <w:gridSpan w:val="4"/>
            <w:tcBorders>
              <w:top w:val="single" w:sz="12" w:space="0" w:color="000000"/>
              <w:left w:val="single" w:sz="12" w:space="0" w:color="000000"/>
              <w:right w:val="single" w:sz="12" w:space="0" w:color="000000"/>
            </w:tcBorders>
          </w:tcPr>
          <w:p>
            <w:pPr>
              <w:pStyle w:val="TableParagraph"/>
              <w:spacing w:line="199" w:lineRule="exact"/>
              <w:ind w:left="560"/>
              <w:jc w:val="left"/>
              <w:rPr>
                <w:rFonts w:ascii="Calibri"/>
                <w:sz w:val="18"/>
              </w:rPr>
            </w:pPr>
            <w:r>
              <w:rPr>
                <w:rFonts w:ascii="Calibri"/>
                <w:sz w:val="18"/>
              </w:rPr>
              <w:t>Surface water (n=120)</w:t>
            </w:r>
          </w:p>
        </w:tc>
        <w:tc>
          <w:tcPr>
            <w:tcW w:w="2790" w:type="dxa"/>
            <w:gridSpan w:val="4"/>
            <w:tcBorders>
              <w:top w:val="single" w:sz="12" w:space="0" w:color="000000"/>
              <w:left w:val="single" w:sz="12" w:space="0" w:color="000000"/>
              <w:right w:val="single" w:sz="12" w:space="0" w:color="000000"/>
            </w:tcBorders>
          </w:tcPr>
          <w:p>
            <w:pPr>
              <w:pStyle w:val="TableParagraph"/>
              <w:spacing w:line="199" w:lineRule="exact"/>
              <w:ind w:left="617"/>
              <w:jc w:val="left"/>
              <w:rPr>
                <w:rFonts w:ascii="Calibri"/>
                <w:sz w:val="18"/>
              </w:rPr>
            </w:pPr>
            <w:r>
              <w:rPr>
                <w:rFonts w:ascii="Calibri"/>
                <w:sz w:val="18"/>
              </w:rPr>
              <w:t>Wastewater (n=119)</w:t>
            </w:r>
          </w:p>
        </w:tc>
      </w:tr>
      <w:tr>
        <w:trPr>
          <w:trHeight w:val="440" w:hRule="atLeast"/>
        </w:trPr>
        <w:tc>
          <w:tcPr>
            <w:tcW w:w="1435" w:type="dxa"/>
            <w:vMerge/>
            <w:tcBorders>
              <w:top w:val="nil"/>
              <w:right w:val="single" w:sz="12" w:space="0" w:color="000000"/>
            </w:tcBorders>
          </w:tcPr>
          <w:p>
            <w:pPr>
              <w:rPr>
                <w:sz w:val="2"/>
                <w:szCs w:val="2"/>
              </w:rPr>
            </w:pPr>
          </w:p>
        </w:tc>
        <w:tc>
          <w:tcPr>
            <w:tcW w:w="1357" w:type="dxa"/>
            <w:gridSpan w:val="2"/>
            <w:tcBorders>
              <w:left w:val="single" w:sz="12" w:space="0" w:color="000000"/>
            </w:tcBorders>
          </w:tcPr>
          <w:p>
            <w:pPr>
              <w:pStyle w:val="TableParagraph"/>
              <w:spacing w:line="220" w:lineRule="atLeast" w:before="0"/>
              <w:ind w:left="129" w:right="111" w:firstLine="196"/>
              <w:jc w:val="left"/>
              <w:rPr>
                <w:rFonts w:ascii="Calibri"/>
                <w:sz w:val="18"/>
              </w:rPr>
            </w:pPr>
            <w:r>
              <w:rPr>
                <w:rFonts w:ascii="Calibri"/>
                <w:sz w:val="18"/>
              </w:rPr>
              <w:t>low spike (60 ng/L nom.)</w:t>
            </w:r>
          </w:p>
        </w:tc>
        <w:tc>
          <w:tcPr>
            <w:tcW w:w="1442" w:type="dxa"/>
            <w:gridSpan w:val="2"/>
            <w:tcBorders>
              <w:right w:val="single" w:sz="12" w:space="0" w:color="000000"/>
            </w:tcBorders>
          </w:tcPr>
          <w:p>
            <w:pPr>
              <w:pStyle w:val="TableParagraph"/>
              <w:spacing w:line="220" w:lineRule="atLeast" w:before="0"/>
              <w:ind w:left="111" w:right="78" w:firstLine="238"/>
              <w:jc w:val="left"/>
              <w:rPr>
                <w:rFonts w:ascii="Calibri"/>
                <w:sz w:val="18"/>
              </w:rPr>
            </w:pPr>
            <w:r>
              <w:rPr>
                <w:rFonts w:ascii="Calibri"/>
                <w:sz w:val="18"/>
              </w:rPr>
              <w:t>high spike (200 ng/L, nom.)</w:t>
            </w:r>
          </w:p>
        </w:tc>
        <w:tc>
          <w:tcPr>
            <w:tcW w:w="1353" w:type="dxa"/>
            <w:gridSpan w:val="2"/>
            <w:tcBorders>
              <w:left w:val="single" w:sz="12" w:space="0" w:color="000000"/>
            </w:tcBorders>
          </w:tcPr>
          <w:p>
            <w:pPr>
              <w:pStyle w:val="TableParagraph"/>
              <w:spacing w:line="220" w:lineRule="atLeast" w:before="0"/>
              <w:ind w:left="122" w:right="114" w:firstLine="196"/>
              <w:jc w:val="left"/>
              <w:rPr>
                <w:rFonts w:ascii="Calibri"/>
                <w:sz w:val="18"/>
              </w:rPr>
            </w:pPr>
            <w:r>
              <w:rPr>
                <w:rFonts w:ascii="Calibri"/>
                <w:sz w:val="18"/>
              </w:rPr>
              <w:t>low spike (60 ng/L nom.)</w:t>
            </w:r>
          </w:p>
        </w:tc>
        <w:tc>
          <w:tcPr>
            <w:tcW w:w="1441" w:type="dxa"/>
            <w:gridSpan w:val="2"/>
            <w:tcBorders>
              <w:right w:val="single" w:sz="12" w:space="0" w:color="000000"/>
            </w:tcBorders>
          </w:tcPr>
          <w:p>
            <w:pPr>
              <w:pStyle w:val="TableParagraph"/>
              <w:spacing w:line="220" w:lineRule="atLeast" w:before="0"/>
              <w:ind w:left="106" w:right="82" w:firstLine="238"/>
              <w:jc w:val="left"/>
              <w:rPr>
                <w:rFonts w:ascii="Calibri"/>
                <w:sz w:val="18"/>
              </w:rPr>
            </w:pPr>
            <w:r>
              <w:rPr>
                <w:rFonts w:ascii="Calibri"/>
                <w:sz w:val="18"/>
              </w:rPr>
              <w:t>high spike (200 ng/L, nom.)</w:t>
            </w:r>
          </w:p>
        </w:tc>
        <w:tc>
          <w:tcPr>
            <w:tcW w:w="1314" w:type="dxa"/>
            <w:gridSpan w:val="2"/>
            <w:tcBorders>
              <w:left w:val="single" w:sz="12" w:space="0" w:color="000000"/>
            </w:tcBorders>
          </w:tcPr>
          <w:p>
            <w:pPr>
              <w:pStyle w:val="TableParagraph"/>
              <w:spacing w:line="220" w:lineRule="atLeast" w:before="0"/>
              <w:ind w:left="99" w:right="98" w:firstLine="196"/>
              <w:jc w:val="left"/>
              <w:rPr>
                <w:rFonts w:ascii="Calibri"/>
                <w:sz w:val="18"/>
              </w:rPr>
            </w:pPr>
            <w:r>
              <w:rPr>
                <w:rFonts w:ascii="Calibri"/>
                <w:sz w:val="18"/>
              </w:rPr>
              <w:t>low spike (60 ng/L nom.)</w:t>
            </w:r>
          </w:p>
        </w:tc>
        <w:tc>
          <w:tcPr>
            <w:tcW w:w="1480" w:type="dxa"/>
            <w:gridSpan w:val="2"/>
            <w:tcBorders>
              <w:right w:val="single" w:sz="12" w:space="0" w:color="000000"/>
            </w:tcBorders>
          </w:tcPr>
          <w:p>
            <w:pPr>
              <w:pStyle w:val="TableParagraph"/>
              <w:spacing w:line="220" w:lineRule="atLeast" w:before="0"/>
              <w:ind w:left="121" w:right="106" w:firstLine="238"/>
              <w:jc w:val="left"/>
              <w:rPr>
                <w:rFonts w:ascii="Calibri"/>
                <w:sz w:val="18"/>
              </w:rPr>
            </w:pPr>
            <w:r>
              <w:rPr>
                <w:rFonts w:ascii="Calibri"/>
                <w:sz w:val="18"/>
              </w:rPr>
              <w:t>high spike (200 ng/L, nom.)</w:t>
            </w:r>
          </w:p>
        </w:tc>
        <w:tc>
          <w:tcPr>
            <w:tcW w:w="1353" w:type="dxa"/>
            <w:gridSpan w:val="2"/>
            <w:tcBorders>
              <w:left w:val="single" w:sz="12" w:space="0" w:color="000000"/>
            </w:tcBorders>
          </w:tcPr>
          <w:p>
            <w:pPr>
              <w:pStyle w:val="TableParagraph"/>
              <w:spacing w:line="220" w:lineRule="atLeast" w:before="0"/>
              <w:ind w:left="114" w:right="122" w:firstLine="196"/>
              <w:jc w:val="left"/>
              <w:rPr>
                <w:rFonts w:ascii="Calibri"/>
                <w:sz w:val="18"/>
              </w:rPr>
            </w:pPr>
            <w:r>
              <w:rPr>
                <w:rFonts w:ascii="Calibri"/>
                <w:sz w:val="18"/>
              </w:rPr>
              <w:t>low spike (60 ng/L nom.)</w:t>
            </w:r>
          </w:p>
        </w:tc>
        <w:tc>
          <w:tcPr>
            <w:tcW w:w="1441" w:type="dxa"/>
            <w:gridSpan w:val="2"/>
            <w:tcBorders>
              <w:right w:val="single" w:sz="12" w:space="0" w:color="000000"/>
            </w:tcBorders>
          </w:tcPr>
          <w:p>
            <w:pPr>
              <w:pStyle w:val="TableParagraph"/>
              <w:spacing w:line="220" w:lineRule="atLeast" w:before="0"/>
              <w:ind w:left="98" w:right="90" w:firstLine="238"/>
              <w:jc w:val="left"/>
              <w:rPr>
                <w:rFonts w:ascii="Calibri"/>
                <w:sz w:val="18"/>
              </w:rPr>
            </w:pPr>
            <w:r>
              <w:rPr>
                <w:rFonts w:ascii="Calibri"/>
                <w:sz w:val="18"/>
              </w:rPr>
              <w:t>high spike (200 ng/L, nom.)</w:t>
            </w:r>
          </w:p>
        </w:tc>
        <w:tc>
          <w:tcPr>
            <w:tcW w:w="1351" w:type="dxa"/>
            <w:gridSpan w:val="2"/>
            <w:tcBorders>
              <w:left w:val="single" w:sz="12" w:space="0" w:color="000000"/>
            </w:tcBorders>
          </w:tcPr>
          <w:p>
            <w:pPr>
              <w:pStyle w:val="TableParagraph"/>
              <w:spacing w:line="220" w:lineRule="atLeast" w:before="0"/>
              <w:ind w:left="110" w:right="124" w:firstLine="196"/>
              <w:jc w:val="left"/>
              <w:rPr>
                <w:rFonts w:ascii="Calibri"/>
                <w:sz w:val="18"/>
              </w:rPr>
            </w:pPr>
            <w:r>
              <w:rPr>
                <w:rFonts w:ascii="Calibri"/>
                <w:sz w:val="18"/>
              </w:rPr>
              <w:t>low spike (60 ng/L nom.)</w:t>
            </w:r>
          </w:p>
        </w:tc>
        <w:tc>
          <w:tcPr>
            <w:tcW w:w="1439" w:type="dxa"/>
            <w:gridSpan w:val="2"/>
            <w:tcBorders>
              <w:right w:val="single" w:sz="12" w:space="0" w:color="000000"/>
            </w:tcBorders>
          </w:tcPr>
          <w:p>
            <w:pPr>
              <w:pStyle w:val="TableParagraph"/>
              <w:spacing w:line="220" w:lineRule="atLeast" w:before="0"/>
              <w:ind w:left="96" w:right="90" w:firstLine="238"/>
              <w:jc w:val="left"/>
              <w:rPr>
                <w:rFonts w:ascii="Calibri"/>
                <w:sz w:val="18"/>
              </w:rPr>
            </w:pPr>
            <w:r>
              <w:rPr>
                <w:rFonts w:ascii="Calibri"/>
                <w:sz w:val="18"/>
              </w:rPr>
              <w:t>high spike (200 ng/L, nom.)</w:t>
            </w:r>
          </w:p>
        </w:tc>
      </w:tr>
      <w:tr>
        <w:trPr>
          <w:trHeight w:val="457" w:hRule="atLeast"/>
        </w:trPr>
        <w:tc>
          <w:tcPr>
            <w:tcW w:w="1435" w:type="dxa"/>
            <w:vMerge/>
            <w:tcBorders>
              <w:top w:val="nil"/>
              <w:right w:val="single" w:sz="12" w:space="0" w:color="000000"/>
            </w:tcBorders>
          </w:tcPr>
          <w:p>
            <w:pPr>
              <w:rPr>
                <w:sz w:val="2"/>
                <w:szCs w:val="2"/>
              </w:rPr>
            </w:pPr>
          </w:p>
        </w:tc>
        <w:tc>
          <w:tcPr>
            <w:tcW w:w="726" w:type="dxa"/>
            <w:tcBorders>
              <w:left w:val="single" w:sz="12" w:space="0" w:color="000000"/>
            </w:tcBorders>
          </w:tcPr>
          <w:p>
            <w:pPr>
              <w:pStyle w:val="TableParagraph"/>
              <w:spacing w:before="18"/>
              <w:ind w:left="140"/>
              <w:jc w:val="left"/>
              <w:rPr>
                <w:rFonts w:ascii="Calibri"/>
                <w:sz w:val="18"/>
              </w:rPr>
            </w:pPr>
            <w:r>
              <w:rPr>
                <w:rFonts w:ascii="Calibri"/>
                <w:sz w:val="18"/>
              </w:rPr>
              <w:t>Mean</w:t>
            </w:r>
          </w:p>
          <w:p>
            <w:pPr>
              <w:pStyle w:val="TableParagraph"/>
              <w:spacing w:line="200" w:lineRule="exact" w:before="0"/>
              <w:ind w:left="113"/>
              <w:jc w:val="left"/>
              <w:rPr>
                <w:rFonts w:ascii="Calibri"/>
                <w:sz w:val="18"/>
              </w:rPr>
            </w:pPr>
            <w:r>
              <w:rPr>
                <w:rFonts w:ascii="Calibri"/>
                <w:sz w:val="18"/>
              </w:rPr>
              <w:t>%</w:t>
            </w:r>
            <w:r>
              <w:rPr>
                <w:rFonts w:ascii="Calibri"/>
                <w:spacing w:val="-4"/>
                <w:sz w:val="18"/>
              </w:rPr>
              <w:t> </w:t>
            </w:r>
            <w:r>
              <w:rPr>
                <w:rFonts w:ascii="Calibri"/>
                <w:sz w:val="18"/>
              </w:rPr>
              <w:t>Rec.</w:t>
            </w:r>
          </w:p>
        </w:tc>
        <w:tc>
          <w:tcPr>
            <w:tcW w:w="631" w:type="dxa"/>
          </w:tcPr>
          <w:p>
            <w:pPr>
              <w:pStyle w:val="TableParagraph"/>
              <w:spacing w:line="220" w:lineRule="atLeast" w:before="17"/>
              <w:ind w:left="168" w:right="141" w:firstLine="81"/>
              <w:jc w:val="left"/>
              <w:rPr>
                <w:rFonts w:ascii="Calibri"/>
                <w:sz w:val="18"/>
              </w:rPr>
            </w:pPr>
            <w:r>
              <w:rPr>
                <w:rFonts w:ascii="Calibri"/>
                <w:sz w:val="18"/>
              </w:rPr>
              <w:t>% RSD</w:t>
            </w:r>
          </w:p>
        </w:tc>
        <w:tc>
          <w:tcPr>
            <w:tcW w:w="761" w:type="dxa"/>
          </w:tcPr>
          <w:p>
            <w:pPr>
              <w:pStyle w:val="TableParagraph"/>
              <w:spacing w:before="18"/>
              <w:ind w:left="164"/>
              <w:jc w:val="left"/>
              <w:rPr>
                <w:rFonts w:ascii="Calibri"/>
                <w:sz w:val="18"/>
              </w:rPr>
            </w:pPr>
            <w:r>
              <w:rPr>
                <w:rFonts w:ascii="Calibri"/>
                <w:sz w:val="18"/>
              </w:rPr>
              <w:t>Mean</w:t>
            </w:r>
          </w:p>
          <w:p>
            <w:pPr>
              <w:pStyle w:val="TableParagraph"/>
              <w:spacing w:line="200" w:lineRule="exact" w:before="0"/>
              <w:ind w:left="138"/>
              <w:jc w:val="left"/>
              <w:rPr>
                <w:rFonts w:ascii="Calibri"/>
                <w:sz w:val="18"/>
              </w:rPr>
            </w:pPr>
            <w:r>
              <w:rPr>
                <w:rFonts w:ascii="Calibri"/>
                <w:sz w:val="18"/>
              </w:rPr>
              <w:t>%</w:t>
            </w:r>
            <w:r>
              <w:rPr>
                <w:rFonts w:ascii="Calibri"/>
                <w:spacing w:val="-4"/>
                <w:sz w:val="18"/>
              </w:rPr>
              <w:t> </w:t>
            </w:r>
            <w:r>
              <w:rPr>
                <w:rFonts w:ascii="Calibri"/>
                <w:sz w:val="18"/>
              </w:rPr>
              <w:t>Rec.</w:t>
            </w:r>
          </w:p>
        </w:tc>
        <w:tc>
          <w:tcPr>
            <w:tcW w:w="681" w:type="dxa"/>
            <w:tcBorders>
              <w:right w:val="single" w:sz="12" w:space="0" w:color="000000"/>
            </w:tcBorders>
          </w:tcPr>
          <w:p>
            <w:pPr>
              <w:pStyle w:val="TableParagraph"/>
              <w:spacing w:before="7"/>
              <w:jc w:val="left"/>
              <w:rPr>
                <w:sz w:val="20"/>
              </w:rPr>
            </w:pPr>
          </w:p>
          <w:p>
            <w:pPr>
              <w:pStyle w:val="TableParagraph"/>
              <w:spacing w:line="200" w:lineRule="exact" w:before="0"/>
              <w:ind w:left="85" w:right="75"/>
              <w:rPr>
                <w:rFonts w:ascii="Calibri"/>
                <w:sz w:val="18"/>
              </w:rPr>
            </w:pPr>
            <w:r>
              <w:rPr>
                <w:rFonts w:ascii="Calibri"/>
                <w:sz w:val="18"/>
              </w:rPr>
              <w:t>% RSD</w:t>
            </w:r>
          </w:p>
        </w:tc>
        <w:tc>
          <w:tcPr>
            <w:tcW w:w="722" w:type="dxa"/>
            <w:tcBorders>
              <w:left w:val="single" w:sz="12" w:space="0" w:color="000000"/>
            </w:tcBorders>
          </w:tcPr>
          <w:p>
            <w:pPr>
              <w:pStyle w:val="TableParagraph"/>
              <w:spacing w:before="18"/>
              <w:ind w:left="133"/>
              <w:jc w:val="left"/>
              <w:rPr>
                <w:rFonts w:ascii="Calibri"/>
                <w:sz w:val="18"/>
              </w:rPr>
            </w:pPr>
            <w:r>
              <w:rPr>
                <w:rFonts w:ascii="Calibri"/>
                <w:sz w:val="18"/>
              </w:rPr>
              <w:t>Mean</w:t>
            </w:r>
          </w:p>
          <w:p>
            <w:pPr>
              <w:pStyle w:val="TableParagraph"/>
              <w:spacing w:line="200" w:lineRule="exact" w:before="0"/>
              <w:ind w:left="107"/>
              <w:jc w:val="left"/>
              <w:rPr>
                <w:rFonts w:ascii="Calibri"/>
                <w:sz w:val="18"/>
              </w:rPr>
            </w:pPr>
            <w:r>
              <w:rPr>
                <w:rFonts w:ascii="Calibri"/>
                <w:sz w:val="18"/>
              </w:rPr>
              <w:t>%</w:t>
            </w:r>
            <w:r>
              <w:rPr>
                <w:rFonts w:ascii="Calibri"/>
                <w:spacing w:val="-4"/>
                <w:sz w:val="18"/>
              </w:rPr>
              <w:t> </w:t>
            </w:r>
            <w:r>
              <w:rPr>
                <w:rFonts w:ascii="Calibri"/>
                <w:sz w:val="18"/>
              </w:rPr>
              <w:t>Rec.</w:t>
            </w:r>
          </w:p>
        </w:tc>
        <w:tc>
          <w:tcPr>
            <w:tcW w:w="631" w:type="dxa"/>
          </w:tcPr>
          <w:p>
            <w:pPr>
              <w:pStyle w:val="TableParagraph"/>
              <w:spacing w:line="220" w:lineRule="atLeast" w:before="17"/>
              <w:ind w:left="162" w:right="147" w:firstLine="81"/>
              <w:jc w:val="left"/>
              <w:rPr>
                <w:rFonts w:ascii="Calibri"/>
                <w:sz w:val="18"/>
              </w:rPr>
            </w:pPr>
            <w:r>
              <w:rPr>
                <w:rFonts w:ascii="Calibri"/>
                <w:sz w:val="18"/>
              </w:rPr>
              <w:t>% RSD</w:t>
            </w:r>
          </w:p>
        </w:tc>
        <w:tc>
          <w:tcPr>
            <w:tcW w:w="721" w:type="dxa"/>
          </w:tcPr>
          <w:p>
            <w:pPr>
              <w:pStyle w:val="TableParagraph"/>
              <w:spacing w:before="18"/>
              <w:ind w:left="140"/>
              <w:jc w:val="left"/>
              <w:rPr>
                <w:rFonts w:ascii="Calibri"/>
                <w:sz w:val="18"/>
              </w:rPr>
            </w:pPr>
            <w:r>
              <w:rPr>
                <w:rFonts w:ascii="Calibri"/>
                <w:sz w:val="18"/>
              </w:rPr>
              <w:t>Mean</w:t>
            </w:r>
          </w:p>
          <w:p>
            <w:pPr>
              <w:pStyle w:val="TableParagraph"/>
              <w:spacing w:line="200" w:lineRule="exact" w:before="0"/>
              <w:ind w:left="113"/>
              <w:jc w:val="left"/>
              <w:rPr>
                <w:rFonts w:ascii="Calibri"/>
                <w:sz w:val="18"/>
              </w:rPr>
            </w:pPr>
            <w:r>
              <w:rPr>
                <w:rFonts w:ascii="Calibri"/>
                <w:sz w:val="18"/>
              </w:rPr>
              <w:t>%</w:t>
            </w:r>
            <w:r>
              <w:rPr>
                <w:rFonts w:ascii="Calibri"/>
                <w:spacing w:val="-4"/>
                <w:sz w:val="18"/>
              </w:rPr>
              <w:t> </w:t>
            </w:r>
            <w:r>
              <w:rPr>
                <w:rFonts w:ascii="Calibri"/>
                <w:sz w:val="18"/>
              </w:rPr>
              <w:t>Rec.</w:t>
            </w:r>
          </w:p>
        </w:tc>
        <w:tc>
          <w:tcPr>
            <w:tcW w:w="720" w:type="dxa"/>
            <w:tcBorders>
              <w:right w:val="single" w:sz="12" w:space="0" w:color="000000"/>
            </w:tcBorders>
          </w:tcPr>
          <w:p>
            <w:pPr>
              <w:pStyle w:val="TableParagraph"/>
              <w:spacing w:before="7"/>
              <w:jc w:val="left"/>
              <w:rPr>
                <w:sz w:val="20"/>
              </w:rPr>
            </w:pPr>
          </w:p>
          <w:p>
            <w:pPr>
              <w:pStyle w:val="TableParagraph"/>
              <w:spacing w:line="200" w:lineRule="exact" w:before="0"/>
              <w:ind w:left="94" w:right="92"/>
              <w:rPr>
                <w:rFonts w:ascii="Calibri"/>
                <w:sz w:val="18"/>
              </w:rPr>
            </w:pPr>
            <w:r>
              <w:rPr>
                <w:rFonts w:ascii="Calibri"/>
                <w:sz w:val="18"/>
              </w:rPr>
              <w:t>% RSD</w:t>
            </w:r>
          </w:p>
        </w:tc>
        <w:tc>
          <w:tcPr>
            <w:tcW w:w="773" w:type="dxa"/>
            <w:tcBorders>
              <w:left w:val="single" w:sz="12" w:space="0" w:color="000000"/>
            </w:tcBorders>
          </w:tcPr>
          <w:p>
            <w:pPr>
              <w:pStyle w:val="TableParagraph"/>
              <w:spacing w:before="18"/>
              <w:ind w:left="154"/>
              <w:jc w:val="left"/>
              <w:rPr>
                <w:rFonts w:ascii="Calibri"/>
                <w:sz w:val="18"/>
              </w:rPr>
            </w:pPr>
            <w:r>
              <w:rPr>
                <w:rFonts w:ascii="Calibri"/>
                <w:sz w:val="18"/>
              </w:rPr>
              <w:t>Mean</w:t>
            </w:r>
          </w:p>
          <w:p>
            <w:pPr>
              <w:pStyle w:val="TableParagraph"/>
              <w:spacing w:line="200" w:lineRule="exact" w:before="0"/>
              <w:ind w:left="128"/>
              <w:jc w:val="left"/>
              <w:rPr>
                <w:rFonts w:ascii="Calibri"/>
                <w:sz w:val="18"/>
              </w:rPr>
            </w:pPr>
            <w:r>
              <w:rPr>
                <w:rFonts w:ascii="Calibri"/>
                <w:sz w:val="18"/>
              </w:rPr>
              <w:t>%</w:t>
            </w:r>
            <w:r>
              <w:rPr>
                <w:rFonts w:ascii="Calibri"/>
                <w:spacing w:val="-4"/>
                <w:sz w:val="18"/>
              </w:rPr>
              <w:t> </w:t>
            </w:r>
            <w:r>
              <w:rPr>
                <w:rFonts w:ascii="Calibri"/>
                <w:sz w:val="18"/>
              </w:rPr>
              <w:t>Rec.</w:t>
            </w:r>
          </w:p>
        </w:tc>
        <w:tc>
          <w:tcPr>
            <w:tcW w:w="541" w:type="dxa"/>
          </w:tcPr>
          <w:p>
            <w:pPr>
              <w:pStyle w:val="TableParagraph"/>
              <w:spacing w:line="220" w:lineRule="atLeast" w:before="17"/>
              <w:ind w:left="112" w:right="107" w:firstLine="81"/>
              <w:jc w:val="left"/>
              <w:rPr>
                <w:rFonts w:ascii="Calibri"/>
                <w:sz w:val="18"/>
              </w:rPr>
            </w:pPr>
            <w:r>
              <w:rPr>
                <w:rFonts w:ascii="Calibri"/>
                <w:sz w:val="18"/>
              </w:rPr>
              <w:t>% RSD</w:t>
            </w:r>
          </w:p>
        </w:tc>
        <w:tc>
          <w:tcPr>
            <w:tcW w:w="721" w:type="dxa"/>
          </w:tcPr>
          <w:p>
            <w:pPr>
              <w:pStyle w:val="TableParagraph"/>
              <w:spacing w:before="18"/>
              <w:ind w:left="135"/>
              <w:jc w:val="left"/>
              <w:rPr>
                <w:rFonts w:ascii="Calibri"/>
                <w:sz w:val="18"/>
              </w:rPr>
            </w:pPr>
            <w:r>
              <w:rPr>
                <w:rFonts w:ascii="Calibri"/>
                <w:sz w:val="18"/>
              </w:rPr>
              <w:t>Mean</w:t>
            </w:r>
          </w:p>
          <w:p>
            <w:pPr>
              <w:pStyle w:val="TableParagraph"/>
              <w:spacing w:line="200" w:lineRule="exact" w:before="0"/>
              <w:ind w:left="109"/>
              <w:jc w:val="left"/>
              <w:rPr>
                <w:rFonts w:ascii="Calibri"/>
                <w:sz w:val="18"/>
              </w:rPr>
            </w:pPr>
            <w:r>
              <w:rPr>
                <w:rFonts w:ascii="Calibri"/>
                <w:sz w:val="18"/>
              </w:rPr>
              <w:t>%</w:t>
            </w:r>
            <w:r>
              <w:rPr>
                <w:rFonts w:ascii="Calibri"/>
                <w:spacing w:val="-4"/>
                <w:sz w:val="18"/>
              </w:rPr>
              <w:t> </w:t>
            </w:r>
            <w:r>
              <w:rPr>
                <w:rFonts w:ascii="Calibri"/>
                <w:sz w:val="18"/>
              </w:rPr>
              <w:t>Rec.</w:t>
            </w:r>
          </w:p>
        </w:tc>
        <w:tc>
          <w:tcPr>
            <w:tcW w:w="759" w:type="dxa"/>
            <w:tcBorders>
              <w:right w:val="single" w:sz="12" w:space="0" w:color="000000"/>
            </w:tcBorders>
          </w:tcPr>
          <w:p>
            <w:pPr>
              <w:pStyle w:val="TableParagraph"/>
              <w:spacing w:before="7"/>
              <w:jc w:val="left"/>
              <w:rPr>
                <w:sz w:val="20"/>
              </w:rPr>
            </w:pPr>
          </w:p>
          <w:p>
            <w:pPr>
              <w:pStyle w:val="TableParagraph"/>
              <w:spacing w:line="200" w:lineRule="exact" w:before="0"/>
              <w:ind w:left="117" w:right="121"/>
              <w:rPr>
                <w:rFonts w:ascii="Calibri"/>
                <w:sz w:val="18"/>
              </w:rPr>
            </w:pPr>
            <w:r>
              <w:rPr>
                <w:rFonts w:ascii="Calibri"/>
                <w:sz w:val="18"/>
              </w:rPr>
              <w:t>% RSD</w:t>
            </w:r>
          </w:p>
        </w:tc>
        <w:tc>
          <w:tcPr>
            <w:tcW w:w="722" w:type="dxa"/>
            <w:tcBorders>
              <w:left w:val="single" w:sz="12" w:space="0" w:color="000000"/>
            </w:tcBorders>
          </w:tcPr>
          <w:p>
            <w:pPr>
              <w:pStyle w:val="TableParagraph"/>
              <w:spacing w:before="18"/>
              <w:ind w:left="125"/>
              <w:jc w:val="left"/>
              <w:rPr>
                <w:rFonts w:ascii="Calibri"/>
                <w:sz w:val="18"/>
              </w:rPr>
            </w:pPr>
            <w:r>
              <w:rPr>
                <w:rFonts w:ascii="Calibri"/>
                <w:sz w:val="18"/>
              </w:rPr>
              <w:t>Mean</w:t>
            </w:r>
          </w:p>
          <w:p>
            <w:pPr>
              <w:pStyle w:val="TableParagraph"/>
              <w:spacing w:line="200" w:lineRule="exact" w:before="0"/>
              <w:ind w:left="98"/>
              <w:jc w:val="left"/>
              <w:rPr>
                <w:rFonts w:ascii="Calibri"/>
                <w:sz w:val="18"/>
              </w:rPr>
            </w:pPr>
            <w:r>
              <w:rPr>
                <w:rFonts w:ascii="Calibri"/>
                <w:sz w:val="18"/>
              </w:rPr>
              <w:t>%</w:t>
            </w:r>
            <w:r>
              <w:rPr>
                <w:rFonts w:ascii="Calibri"/>
                <w:spacing w:val="-4"/>
                <w:sz w:val="18"/>
              </w:rPr>
              <w:t> </w:t>
            </w:r>
            <w:r>
              <w:rPr>
                <w:rFonts w:ascii="Calibri"/>
                <w:sz w:val="18"/>
              </w:rPr>
              <w:t>Rec.</w:t>
            </w:r>
          </w:p>
        </w:tc>
        <w:tc>
          <w:tcPr>
            <w:tcW w:w="631" w:type="dxa"/>
          </w:tcPr>
          <w:p>
            <w:pPr>
              <w:pStyle w:val="TableParagraph"/>
              <w:spacing w:line="220" w:lineRule="atLeast" w:before="17"/>
              <w:ind w:left="155" w:right="154" w:firstLine="81"/>
              <w:jc w:val="left"/>
              <w:rPr>
                <w:rFonts w:ascii="Calibri"/>
                <w:sz w:val="18"/>
              </w:rPr>
            </w:pPr>
            <w:r>
              <w:rPr>
                <w:rFonts w:ascii="Calibri"/>
                <w:sz w:val="18"/>
              </w:rPr>
              <w:t>% RSD</w:t>
            </w:r>
          </w:p>
        </w:tc>
        <w:tc>
          <w:tcPr>
            <w:tcW w:w="721" w:type="dxa"/>
          </w:tcPr>
          <w:p>
            <w:pPr>
              <w:pStyle w:val="TableParagraph"/>
              <w:spacing w:before="18"/>
              <w:ind w:left="132"/>
              <w:jc w:val="left"/>
              <w:rPr>
                <w:rFonts w:ascii="Calibri"/>
                <w:sz w:val="18"/>
              </w:rPr>
            </w:pPr>
            <w:r>
              <w:rPr>
                <w:rFonts w:ascii="Calibri"/>
                <w:sz w:val="18"/>
              </w:rPr>
              <w:t>Mean</w:t>
            </w:r>
          </w:p>
          <w:p>
            <w:pPr>
              <w:pStyle w:val="TableParagraph"/>
              <w:spacing w:line="200" w:lineRule="exact" w:before="0"/>
              <w:ind w:left="105"/>
              <w:jc w:val="left"/>
              <w:rPr>
                <w:rFonts w:ascii="Calibri"/>
                <w:sz w:val="18"/>
              </w:rPr>
            </w:pPr>
            <w:r>
              <w:rPr>
                <w:rFonts w:ascii="Calibri"/>
                <w:sz w:val="18"/>
              </w:rPr>
              <w:t>%</w:t>
            </w:r>
            <w:r>
              <w:rPr>
                <w:rFonts w:ascii="Calibri"/>
                <w:spacing w:val="-4"/>
                <w:sz w:val="18"/>
              </w:rPr>
              <w:t> </w:t>
            </w:r>
            <w:r>
              <w:rPr>
                <w:rFonts w:ascii="Calibri"/>
                <w:sz w:val="18"/>
              </w:rPr>
              <w:t>Rec.</w:t>
            </w:r>
          </w:p>
        </w:tc>
        <w:tc>
          <w:tcPr>
            <w:tcW w:w="720" w:type="dxa"/>
            <w:tcBorders>
              <w:right w:val="single" w:sz="12" w:space="0" w:color="000000"/>
            </w:tcBorders>
          </w:tcPr>
          <w:p>
            <w:pPr>
              <w:pStyle w:val="TableParagraph"/>
              <w:spacing w:before="7"/>
              <w:jc w:val="left"/>
              <w:rPr>
                <w:sz w:val="20"/>
              </w:rPr>
            </w:pPr>
          </w:p>
          <w:p>
            <w:pPr>
              <w:pStyle w:val="TableParagraph"/>
              <w:spacing w:line="200" w:lineRule="exact" w:before="0"/>
              <w:ind w:left="87" w:right="98"/>
              <w:rPr>
                <w:rFonts w:ascii="Calibri"/>
                <w:sz w:val="18"/>
              </w:rPr>
            </w:pPr>
            <w:r>
              <w:rPr>
                <w:rFonts w:ascii="Calibri"/>
                <w:sz w:val="18"/>
              </w:rPr>
              <w:t>% RSD</w:t>
            </w:r>
          </w:p>
        </w:tc>
        <w:tc>
          <w:tcPr>
            <w:tcW w:w="721" w:type="dxa"/>
            <w:tcBorders>
              <w:left w:val="single" w:sz="12" w:space="0" w:color="000000"/>
            </w:tcBorders>
          </w:tcPr>
          <w:p>
            <w:pPr>
              <w:pStyle w:val="TableParagraph"/>
              <w:spacing w:before="18"/>
              <w:ind w:left="121"/>
              <w:jc w:val="left"/>
              <w:rPr>
                <w:rFonts w:ascii="Calibri"/>
                <w:sz w:val="18"/>
              </w:rPr>
            </w:pPr>
            <w:r>
              <w:rPr>
                <w:rFonts w:ascii="Calibri"/>
                <w:sz w:val="18"/>
              </w:rPr>
              <w:t>Mean</w:t>
            </w:r>
          </w:p>
          <w:p>
            <w:pPr>
              <w:pStyle w:val="TableParagraph"/>
              <w:spacing w:line="200" w:lineRule="exact" w:before="0"/>
              <w:ind w:left="95"/>
              <w:jc w:val="left"/>
              <w:rPr>
                <w:rFonts w:ascii="Calibri"/>
                <w:sz w:val="18"/>
              </w:rPr>
            </w:pPr>
            <w:r>
              <w:rPr>
                <w:rFonts w:ascii="Calibri"/>
                <w:sz w:val="18"/>
              </w:rPr>
              <w:t>%</w:t>
            </w:r>
            <w:r>
              <w:rPr>
                <w:rFonts w:ascii="Calibri"/>
                <w:spacing w:val="-4"/>
                <w:sz w:val="18"/>
              </w:rPr>
              <w:t> </w:t>
            </w:r>
            <w:r>
              <w:rPr>
                <w:rFonts w:ascii="Calibri"/>
                <w:sz w:val="18"/>
              </w:rPr>
              <w:t>Rec.</w:t>
            </w:r>
          </w:p>
        </w:tc>
        <w:tc>
          <w:tcPr>
            <w:tcW w:w="630" w:type="dxa"/>
          </w:tcPr>
          <w:p>
            <w:pPr>
              <w:pStyle w:val="TableParagraph"/>
              <w:spacing w:line="220" w:lineRule="atLeast" w:before="17"/>
              <w:ind w:left="152" w:right="156" w:firstLine="81"/>
              <w:jc w:val="left"/>
              <w:rPr>
                <w:rFonts w:ascii="Calibri"/>
                <w:sz w:val="18"/>
              </w:rPr>
            </w:pPr>
            <w:r>
              <w:rPr>
                <w:rFonts w:ascii="Calibri"/>
                <w:sz w:val="18"/>
              </w:rPr>
              <w:t>% RSD</w:t>
            </w:r>
          </w:p>
        </w:tc>
        <w:tc>
          <w:tcPr>
            <w:tcW w:w="720" w:type="dxa"/>
          </w:tcPr>
          <w:p>
            <w:pPr>
              <w:pStyle w:val="TableParagraph"/>
              <w:spacing w:before="18"/>
              <w:ind w:left="130"/>
              <w:jc w:val="left"/>
              <w:rPr>
                <w:rFonts w:ascii="Calibri"/>
                <w:sz w:val="18"/>
              </w:rPr>
            </w:pPr>
            <w:r>
              <w:rPr>
                <w:rFonts w:ascii="Calibri"/>
                <w:sz w:val="18"/>
              </w:rPr>
              <w:t>Mean</w:t>
            </w:r>
          </w:p>
          <w:p>
            <w:pPr>
              <w:pStyle w:val="TableParagraph"/>
              <w:spacing w:line="200" w:lineRule="exact" w:before="0"/>
              <w:ind w:left="104"/>
              <w:jc w:val="left"/>
              <w:rPr>
                <w:rFonts w:ascii="Calibri"/>
                <w:sz w:val="18"/>
              </w:rPr>
            </w:pPr>
            <w:r>
              <w:rPr>
                <w:rFonts w:ascii="Calibri"/>
                <w:sz w:val="18"/>
              </w:rPr>
              <w:t>%</w:t>
            </w:r>
            <w:r>
              <w:rPr>
                <w:rFonts w:ascii="Calibri"/>
                <w:spacing w:val="-4"/>
                <w:sz w:val="18"/>
              </w:rPr>
              <w:t> </w:t>
            </w:r>
            <w:r>
              <w:rPr>
                <w:rFonts w:ascii="Calibri"/>
                <w:sz w:val="18"/>
              </w:rPr>
              <w:t>Rec.</w:t>
            </w:r>
          </w:p>
        </w:tc>
        <w:tc>
          <w:tcPr>
            <w:tcW w:w="719" w:type="dxa"/>
            <w:tcBorders>
              <w:right w:val="single" w:sz="12" w:space="0" w:color="000000"/>
            </w:tcBorders>
          </w:tcPr>
          <w:p>
            <w:pPr>
              <w:pStyle w:val="TableParagraph"/>
              <w:spacing w:before="7"/>
              <w:jc w:val="left"/>
              <w:rPr>
                <w:sz w:val="20"/>
              </w:rPr>
            </w:pPr>
          </w:p>
          <w:p>
            <w:pPr>
              <w:pStyle w:val="TableParagraph"/>
              <w:spacing w:line="200" w:lineRule="exact" w:before="0"/>
              <w:ind w:left="93" w:right="105"/>
              <w:rPr>
                <w:rFonts w:ascii="Calibri"/>
                <w:sz w:val="18"/>
              </w:rPr>
            </w:pPr>
            <w:r>
              <w:rPr>
                <w:rFonts w:ascii="Calibri"/>
                <w:sz w:val="18"/>
              </w:rPr>
              <w:t>% RSD</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NEtFOSAA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99.3</w:t>
            </w:r>
          </w:p>
        </w:tc>
        <w:tc>
          <w:tcPr>
            <w:tcW w:w="631" w:type="dxa"/>
          </w:tcPr>
          <w:p>
            <w:pPr>
              <w:pStyle w:val="TableParagraph"/>
              <w:spacing w:line="199" w:lineRule="exact"/>
              <w:ind w:left="129" w:right="124"/>
              <w:rPr>
                <w:rFonts w:ascii="Calibri"/>
                <w:sz w:val="18"/>
              </w:rPr>
            </w:pPr>
            <w:r>
              <w:rPr>
                <w:rFonts w:ascii="Calibri"/>
                <w:sz w:val="18"/>
              </w:rPr>
              <w:t>26.4</w:t>
            </w:r>
          </w:p>
        </w:tc>
        <w:tc>
          <w:tcPr>
            <w:tcW w:w="761" w:type="dxa"/>
          </w:tcPr>
          <w:p>
            <w:pPr>
              <w:pStyle w:val="TableParagraph"/>
              <w:spacing w:line="199" w:lineRule="exact"/>
              <w:ind w:left="151" w:right="148"/>
              <w:rPr>
                <w:rFonts w:ascii="Calibri"/>
                <w:sz w:val="18"/>
              </w:rPr>
            </w:pPr>
            <w:r>
              <w:rPr>
                <w:rFonts w:ascii="Calibri"/>
                <w:sz w:val="18"/>
              </w:rPr>
              <w:t>106.6</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20.1</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96.5</w:t>
            </w:r>
          </w:p>
        </w:tc>
        <w:tc>
          <w:tcPr>
            <w:tcW w:w="631" w:type="dxa"/>
          </w:tcPr>
          <w:p>
            <w:pPr>
              <w:pStyle w:val="TableParagraph"/>
              <w:spacing w:line="199" w:lineRule="exact"/>
              <w:ind w:left="126" w:right="128"/>
              <w:rPr>
                <w:rFonts w:ascii="Calibri"/>
                <w:sz w:val="18"/>
              </w:rPr>
            </w:pPr>
            <w:r>
              <w:rPr>
                <w:rFonts w:ascii="Calibri"/>
                <w:sz w:val="18"/>
              </w:rPr>
              <w:t>24.1</w:t>
            </w:r>
          </w:p>
        </w:tc>
        <w:tc>
          <w:tcPr>
            <w:tcW w:w="721" w:type="dxa"/>
          </w:tcPr>
          <w:p>
            <w:pPr>
              <w:pStyle w:val="TableParagraph"/>
              <w:spacing w:line="199" w:lineRule="exact"/>
              <w:ind w:left="128" w:right="131"/>
              <w:rPr>
                <w:rFonts w:ascii="Calibri"/>
                <w:sz w:val="18"/>
              </w:rPr>
            </w:pPr>
            <w:r>
              <w:rPr>
                <w:rFonts w:ascii="Calibri"/>
                <w:sz w:val="18"/>
              </w:rPr>
              <w:t>104.0</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21.6</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97.6</w:t>
            </w:r>
          </w:p>
        </w:tc>
        <w:tc>
          <w:tcPr>
            <w:tcW w:w="541" w:type="dxa"/>
          </w:tcPr>
          <w:p>
            <w:pPr>
              <w:pStyle w:val="TableParagraph"/>
              <w:spacing w:line="199" w:lineRule="exact"/>
              <w:ind w:left="99"/>
              <w:jc w:val="left"/>
              <w:rPr>
                <w:rFonts w:ascii="Calibri"/>
                <w:sz w:val="18"/>
              </w:rPr>
            </w:pPr>
            <w:r>
              <w:rPr>
                <w:rFonts w:ascii="Calibri"/>
                <w:sz w:val="18"/>
              </w:rPr>
              <w:t>29.2</w:t>
            </w:r>
          </w:p>
        </w:tc>
        <w:tc>
          <w:tcPr>
            <w:tcW w:w="721" w:type="dxa"/>
          </w:tcPr>
          <w:p>
            <w:pPr>
              <w:pStyle w:val="TableParagraph"/>
              <w:spacing w:line="199" w:lineRule="exact"/>
              <w:ind w:right="155"/>
              <w:jc w:val="right"/>
              <w:rPr>
                <w:rFonts w:ascii="Calibri"/>
                <w:sz w:val="18"/>
              </w:rPr>
            </w:pPr>
            <w:r>
              <w:rPr>
                <w:rFonts w:ascii="Calibri"/>
                <w:sz w:val="18"/>
              </w:rPr>
              <w:t>107.7</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21.3</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99.0</w:t>
            </w:r>
          </w:p>
        </w:tc>
        <w:tc>
          <w:tcPr>
            <w:tcW w:w="631" w:type="dxa"/>
          </w:tcPr>
          <w:p>
            <w:pPr>
              <w:pStyle w:val="TableParagraph"/>
              <w:spacing w:line="199" w:lineRule="exact"/>
              <w:ind w:right="158"/>
              <w:jc w:val="right"/>
              <w:rPr>
                <w:rFonts w:ascii="Calibri"/>
                <w:sz w:val="18"/>
              </w:rPr>
            </w:pPr>
            <w:r>
              <w:rPr>
                <w:rFonts w:ascii="Calibri"/>
                <w:sz w:val="18"/>
              </w:rPr>
              <w:t>26.3</w:t>
            </w:r>
          </w:p>
        </w:tc>
        <w:tc>
          <w:tcPr>
            <w:tcW w:w="721" w:type="dxa"/>
          </w:tcPr>
          <w:p>
            <w:pPr>
              <w:pStyle w:val="TableParagraph"/>
              <w:spacing w:line="199" w:lineRule="exact"/>
              <w:ind w:left="139"/>
              <w:jc w:val="left"/>
              <w:rPr>
                <w:rFonts w:ascii="Calibri"/>
                <w:sz w:val="18"/>
              </w:rPr>
            </w:pPr>
            <w:r>
              <w:rPr>
                <w:rFonts w:ascii="Calibri"/>
                <w:sz w:val="18"/>
              </w:rPr>
              <w:t>105.4</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18.7</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104.4</w:t>
            </w:r>
          </w:p>
        </w:tc>
        <w:tc>
          <w:tcPr>
            <w:tcW w:w="630" w:type="dxa"/>
          </w:tcPr>
          <w:p>
            <w:pPr>
              <w:pStyle w:val="TableParagraph"/>
              <w:spacing w:line="199" w:lineRule="exact"/>
              <w:ind w:left="137"/>
              <w:jc w:val="left"/>
              <w:rPr>
                <w:rFonts w:ascii="Calibri"/>
                <w:sz w:val="18"/>
              </w:rPr>
            </w:pPr>
            <w:r>
              <w:rPr>
                <w:rFonts w:ascii="Calibri"/>
                <w:sz w:val="18"/>
              </w:rPr>
              <w:t>26.2</w:t>
            </w:r>
          </w:p>
        </w:tc>
        <w:tc>
          <w:tcPr>
            <w:tcW w:w="720" w:type="dxa"/>
          </w:tcPr>
          <w:p>
            <w:pPr>
              <w:pStyle w:val="TableParagraph"/>
              <w:spacing w:line="199" w:lineRule="exact"/>
              <w:ind w:left="137"/>
              <w:jc w:val="left"/>
              <w:rPr>
                <w:rFonts w:ascii="Calibri"/>
                <w:sz w:val="18"/>
              </w:rPr>
            </w:pPr>
            <w:r>
              <w:rPr>
                <w:rFonts w:ascii="Calibri"/>
                <w:sz w:val="18"/>
              </w:rPr>
              <w:t>109.4</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19.1</w:t>
            </w:r>
          </w:p>
        </w:tc>
      </w:tr>
      <w:tr>
        <w:trPr>
          <w:trHeight w:val="299" w:hRule="atLeast"/>
        </w:trPr>
        <w:tc>
          <w:tcPr>
            <w:tcW w:w="1435" w:type="dxa"/>
            <w:tcBorders>
              <w:right w:val="single" w:sz="12" w:space="0" w:color="000000"/>
            </w:tcBorders>
          </w:tcPr>
          <w:p>
            <w:pPr>
              <w:pStyle w:val="TableParagraph"/>
              <w:spacing w:line="199" w:lineRule="exact"/>
              <w:ind w:left="177" w:right="157"/>
              <w:rPr>
                <w:rFonts w:ascii="Calibri"/>
                <w:sz w:val="18"/>
              </w:rPr>
            </w:pPr>
            <w:r>
              <w:rPr>
                <w:rFonts w:ascii="Calibri"/>
                <w:sz w:val="18"/>
              </w:rPr>
              <w:t>NMeFOSAA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98.2</w:t>
            </w:r>
          </w:p>
        </w:tc>
        <w:tc>
          <w:tcPr>
            <w:tcW w:w="631" w:type="dxa"/>
          </w:tcPr>
          <w:p>
            <w:pPr>
              <w:pStyle w:val="TableParagraph"/>
              <w:spacing w:line="199" w:lineRule="exact"/>
              <w:ind w:left="129" w:right="124"/>
              <w:rPr>
                <w:rFonts w:ascii="Calibri"/>
                <w:sz w:val="18"/>
              </w:rPr>
            </w:pPr>
            <w:r>
              <w:rPr>
                <w:rFonts w:ascii="Calibri"/>
                <w:sz w:val="18"/>
              </w:rPr>
              <w:t>22.7</w:t>
            </w:r>
          </w:p>
        </w:tc>
        <w:tc>
          <w:tcPr>
            <w:tcW w:w="761" w:type="dxa"/>
          </w:tcPr>
          <w:p>
            <w:pPr>
              <w:pStyle w:val="TableParagraph"/>
              <w:spacing w:line="199" w:lineRule="exact"/>
              <w:ind w:left="151" w:right="148"/>
              <w:rPr>
                <w:rFonts w:ascii="Calibri"/>
                <w:sz w:val="18"/>
              </w:rPr>
            </w:pPr>
            <w:r>
              <w:rPr>
                <w:rFonts w:ascii="Calibri"/>
                <w:sz w:val="18"/>
              </w:rPr>
              <w:t>101.7</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16.6</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98.6</w:t>
            </w:r>
          </w:p>
        </w:tc>
        <w:tc>
          <w:tcPr>
            <w:tcW w:w="631" w:type="dxa"/>
          </w:tcPr>
          <w:p>
            <w:pPr>
              <w:pStyle w:val="TableParagraph"/>
              <w:spacing w:line="199" w:lineRule="exact"/>
              <w:ind w:left="126" w:right="128"/>
              <w:rPr>
                <w:rFonts w:ascii="Calibri"/>
                <w:sz w:val="18"/>
              </w:rPr>
            </w:pPr>
            <w:r>
              <w:rPr>
                <w:rFonts w:ascii="Calibri"/>
                <w:sz w:val="18"/>
              </w:rPr>
              <w:t>18.4</w:t>
            </w:r>
          </w:p>
        </w:tc>
        <w:tc>
          <w:tcPr>
            <w:tcW w:w="721" w:type="dxa"/>
          </w:tcPr>
          <w:p>
            <w:pPr>
              <w:pStyle w:val="TableParagraph"/>
              <w:spacing w:line="199" w:lineRule="exact"/>
              <w:ind w:left="128" w:right="131"/>
              <w:rPr>
                <w:rFonts w:ascii="Calibri"/>
                <w:sz w:val="18"/>
              </w:rPr>
            </w:pPr>
            <w:r>
              <w:rPr>
                <w:rFonts w:ascii="Calibri"/>
                <w:sz w:val="18"/>
              </w:rPr>
              <w:t>100.4</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13.6</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96.0</w:t>
            </w:r>
          </w:p>
        </w:tc>
        <w:tc>
          <w:tcPr>
            <w:tcW w:w="541" w:type="dxa"/>
          </w:tcPr>
          <w:p>
            <w:pPr>
              <w:pStyle w:val="TableParagraph"/>
              <w:spacing w:line="199" w:lineRule="exact"/>
              <w:ind w:left="99"/>
              <w:jc w:val="left"/>
              <w:rPr>
                <w:rFonts w:ascii="Calibri"/>
                <w:sz w:val="18"/>
              </w:rPr>
            </w:pPr>
            <w:r>
              <w:rPr>
                <w:rFonts w:ascii="Calibri"/>
                <w:sz w:val="18"/>
              </w:rPr>
              <w:t>20.1</w:t>
            </w:r>
          </w:p>
        </w:tc>
        <w:tc>
          <w:tcPr>
            <w:tcW w:w="721" w:type="dxa"/>
          </w:tcPr>
          <w:p>
            <w:pPr>
              <w:pStyle w:val="TableParagraph"/>
              <w:spacing w:line="199" w:lineRule="exact"/>
              <w:ind w:right="155"/>
              <w:jc w:val="right"/>
              <w:rPr>
                <w:rFonts w:ascii="Calibri"/>
                <w:sz w:val="18"/>
              </w:rPr>
            </w:pPr>
            <w:r>
              <w:rPr>
                <w:rFonts w:ascii="Calibri"/>
                <w:sz w:val="18"/>
              </w:rPr>
              <w:t>103.3</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17.2</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98.5</w:t>
            </w:r>
          </w:p>
        </w:tc>
        <w:tc>
          <w:tcPr>
            <w:tcW w:w="631" w:type="dxa"/>
          </w:tcPr>
          <w:p>
            <w:pPr>
              <w:pStyle w:val="TableParagraph"/>
              <w:spacing w:line="199" w:lineRule="exact"/>
              <w:ind w:right="158"/>
              <w:jc w:val="right"/>
              <w:rPr>
                <w:rFonts w:ascii="Calibri"/>
                <w:sz w:val="18"/>
              </w:rPr>
            </w:pPr>
            <w:r>
              <w:rPr>
                <w:rFonts w:ascii="Calibri"/>
                <w:sz w:val="18"/>
              </w:rPr>
              <w:t>28.9</w:t>
            </w:r>
          </w:p>
        </w:tc>
        <w:tc>
          <w:tcPr>
            <w:tcW w:w="721" w:type="dxa"/>
          </w:tcPr>
          <w:p>
            <w:pPr>
              <w:pStyle w:val="TableParagraph"/>
              <w:spacing w:line="199" w:lineRule="exact"/>
              <w:ind w:left="139"/>
              <w:jc w:val="left"/>
              <w:rPr>
                <w:rFonts w:ascii="Calibri"/>
                <w:sz w:val="18"/>
              </w:rPr>
            </w:pPr>
            <w:r>
              <w:rPr>
                <w:rFonts w:ascii="Calibri"/>
                <w:sz w:val="18"/>
              </w:rPr>
              <w:t>103.0</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18.0</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99.8</w:t>
            </w:r>
          </w:p>
        </w:tc>
        <w:tc>
          <w:tcPr>
            <w:tcW w:w="630" w:type="dxa"/>
          </w:tcPr>
          <w:p>
            <w:pPr>
              <w:pStyle w:val="TableParagraph"/>
              <w:spacing w:line="199" w:lineRule="exact"/>
              <w:ind w:left="137"/>
              <w:jc w:val="left"/>
              <w:rPr>
                <w:rFonts w:ascii="Calibri"/>
                <w:sz w:val="18"/>
              </w:rPr>
            </w:pPr>
            <w:r>
              <w:rPr>
                <w:rFonts w:ascii="Calibri"/>
                <w:sz w:val="18"/>
              </w:rPr>
              <w:t>22.5</w:t>
            </w:r>
          </w:p>
        </w:tc>
        <w:tc>
          <w:tcPr>
            <w:tcW w:w="720" w:type="dxa"/>
          </w:tcPr>
          <w:p>
            <w:pPr>
              <w:pStyle w:val="TableParagraph"/>
              <w:spacing w:line="199" w:lineRule="exact"/>
              <w:ind w:left="137"/>
              <w:jc w:val="left"/>
              <w:rPr>
                <w:rFonts w:ascii="Calibri"/>
                <w:sz w:val="18"/>
              </w:rPr>
            </w:pPr>
            <w:r>
              <w:rPr>
                <w:rFonts w:ascii="Calibri"/>
                <w:sz w:val="18"/>
              </w:rPr>
              <w:t>100.0</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17.7</w:t>
            </w:r>
          </w:p>
        </w:tc>
      </w:tr>
      <w:tr>
        <w:trPr>
          <w:trHeight w:val="300" w:hRule="atLeast"/>
        </w:trPr>
        <w:tc>
          <w:tcPr>
            <w:tcW w:w="1435" w:type="dxa"/>
            <w:tcBorders>
              <w:right w:val="single" w:sz="12" w:space="0" w:color="000000"/>
            </w:tcBorders>
          </w:tcPr>
          <w:p>
            <w:pPr>
              <w:pStyle w:val="TableParagraph"/>
              <w:spacing w:line="200" w:lineRule="exact"/>
              <w:ind w:left="175" w:right="158"/>
              <w:rPr>
                <w:rFonts w:ascii="Calibri"/>
                <w:sz w:val="18"/>
              </w:rPr>
            </w:pPr>
            <w:r>
              <w:rPr>
                <w:rFonts w:ascii="Calibri"/>
                <w:sz w:val="18"/>
              </w:rPr>
              <w:t>M2PFTeDA</w:t>
            </w:r>
          </w:p>
        </w:tc>
        <w:tc>
          <w:tcPr>
            <w:tcW w:w="726" w:type="dxa"/>
            <w:tcBorders>
              <w:left w:val="single" w:sz="12" w:space="0" w:color="000000"/>
            </w:tcBorders>
          </w:tcPr>
          <w:p>
            <w:pPr>
              <w:pStyle w:val="TableParagraph"/>
              <w:spacing w:line="200" w:lineRule="exact"/>
              <w:ind w:left="127" w:right="127"/>
              <w:rPr>
                <w:rFonts w:ascii="Calibri"/>
                <w:sz w:val="18"/>
              </w:rPr>
            </w:pPr>
            <w:r>
              <w:rPr>
                <w:rFonts w:ascii="Calibri"/>
                <w:sz w:val="18"/>
              </w:rPr>
              <w:t>95.2</w:t>
            </w:r>
          </w:p>
        </w:tc>
        <w:tc>
          <w:tcPr>
            <w:tcW w:w="631" w:type="dxa"/>
          </w:tcPr>
          <w:p>
            <w:pPr>
              <w:pStyle w:val="TableParagraph"/>
              <w:spacing w:line="200" w:lineRule="exact"/>
              <w:ind w:left="129" w:right="124"/>
              <w:rPr>
                <w:rFonts w:ascii="Calibri"/>
                <w:sz w:val="18"/>
              </w:rPr>
            </w:pPr>
            <w:r>
              <w:rPr>
                <w:rFonts w:ascii="Calibri"/>
                <w:sz w:val="18"/>
              </w:rPr>
              <w:t>21.3</w:t>
            </w:r>
          </w:p>
        </w:tc>
        <w:tc>
          <w:tcPr>
            <w:tcW w:w="761" w:type="dxa"/>
          </w:tcPr>
          <w:p>
            <w:pPr>
              <w:pStyle w:val="TableParagraph"/>
              <w:spacing w:line="200" w:lineRule="exact"/>
              <w:ind w:left="151" w:right="148"/>
              <w:rPr>
                <w:rFonts w:ascii="Calibri"/>
                <w:sz w:val="18"/>
              </w:rPr>
            </w:pPr>
            <w:r>
              <w:rPr>
                <w:rFonts w:ascii="Calibri"/>
                <w:sz w:val="18"/>
              </w:rPr>
              <w:t>99.8</w:t>
            </w:r>
          </w:p>
        </w:tc>
        <w:tc>
          <w:tcPr>
            <w:tcW w:w="681" w:type="dxa"/>
            <w:tcBorders>
              <w:right w:val="single" w:sz="12" w:space="0" w:color="000000"/>
            </w:tcBorders>
          </w:tcPr>
          <w:p>
            <w:pPr>
              <w:pStyle w:val="TableParagraph"/>
              <w:spacing w:line="200" w:lineRule="exact"/>
              <w:ind w:left="85" w:right="74"/>
              <w:rPr>
                <w:rFonts w:ascii="Calibri"/>
                <w:sz w:val="18"/>
              </w:rPr>
            </w:pPr>
            <w:r>
              <w:rPr>
                <w:rFonts w:ascii="Calibri"/>
                <w:sz w:val="18"/>
              </w:rPr>
              <w:t>18.2</w:t>
            </w:r>
          </w:p>
        </w:tc>
        <w:tc>
          <w:tcPr>
            <w:tcW w:w="722" w:type="dxa"/>
            <w:tcBorders>
              <w:left w:val="single" w:sz="12" w:space="0" w:color="000000"/>
            </w:tcBorders>
          </w:tcPr>
          <w:p>
            <w:pPr>
              <w:pStyle w:val="TableParagraph"/>
              <w:spacing w:line="200" w:lineRule="exact"/>
              <w:ind w:left="113" w:right="121"/>
              <w:rPr>
                <w:rFonts w:ascii="Calibri"/>
                <w:sz w:val="18"/>
              </w:rPr>
            </w:pPr>
            <w:r>
              <w:rPr>
                <w:rFonts w:ascii="Calibri"/>
                <w:sz w:val="18"/>
              </w:rPr>
              <w:t>99.9</w:t>
            </w:r>
          </w:p>
        </w:tc>
        <w:tc>
          <w:tcPr>
            <w:tcW w:w="631" w:type="dxa"/>
          </w:tcPr>
          <w:p>
            <w:pPr>
              <w:pStyle w:val="TableParagraph"/>
              <w:spacing w:line="200" w:lineRule="exact"/>
              <w:ind w:left="126" w:right="128"/>
              <w:rPr>
                <w:rFonts w:ascii="Calibri"/>
                <w:sz w:val="18"/>
              </w:rPr>
            </w:pPr>
            <w:r>
              <w:rPr>
                <w:rFonts w:ascii="Calibri"/>
                <w:sz w:val="18"/>
              </w:rPr>
              <w:t>22.2</w:t>
            </w:r>
          </w:p>
        </w:tc>
        <w:tc>
          <w:tcPr>
            <w:tcW w:w="721" w:type="dxa"/>
          </w:tcPr>
          <w:p>
            <w:pPr>
              <w:pStyle w:val="TableParagraph"/>
              <w:spacing w:line="200" w:lineRule="exact"/>
              <w:ind w:left="128" w:right="131"/>
              <w:rPr>
                <w:rFonts w:ascii="Calibri"/>
                <w:sz w:val="18"/>
              </w:rPr>
            </w:pPr>
            <w:r>
              <w:rPr>
                <w:rFonts w:ascii="Calibri"/>
                <w:sz w:val="18"/>
              </w:rPr>
              <w:t>100.8</w:t>
            </w:r>
          </w:p>
        </w:tc>
        <w:tc>
          <w:tcPr>
            <w:tcW w:w="720" w:type="dxa"/>
            <w:tcBorders>
              <w:right w:val="single" w:sz="12" w:space="0" w:color="000000"/>
            </w:tcBorders>
          </w:tcPr>
          <w:p>
            <w:pPr>
              <w:pStyle w:val="TableParagraph"/>
              <w:spacing w:line="200" w:lineRule="exact"/>
              <w:ind w:left="94" w:right="91"/>
              <w:rPr>
                <w:rFonts w:ascii="Calibri"/>
                <w:sz w:val="18"/>
              </w:rPr>
            </w:pPr>
            <w:r>
              <w:rPr>
                <w:rFonts w:ascii="Calibri"/>
                <w:sz w:val="18"/>
              </w:rPr>
              <w:t>18.1</w:t>
            </w:r>
          </w:p>
        </w:tc>
        <w:tc>
          <w:tcPr>
            <w:tcW w:w="773" w:type="dxa"/>
            <w:tcBorders>
              <w:left w:val="single" w:sz="12" w:space="0" w:color="000000"/>
            </w:tcBorders>
          </w:tcPr>
          <w:p>
            <w:pPr>
              <w:pStyle w:val="TableParagraph"/>
              <w:spacing w:line="200" w:lineRule="exact"/>
              <w:ind w:left="143" w:right="159"/>
              <w:rPr>
                <w:rFonts w:ascii="Calibri"/>
                <w:sz w:val="18"/>
              </w:rPr>
            </w:pPr>
            <w:r>
              <w:rPr>
                <w:rFonts w:ascii="Calibri"/>
                <w:sz w:val="18"/>
              </w:rPr>
              <w:t>91.6</w:t>
            </w:r>
          </w:p>
        </w:tc>
        <w:tc>
          <w:tcPr>
            <w:tcW w:w="541" w:type="dxa"/>
          </w:tcPr>
          <w:p>
            <w:pPr>
              <w:pStyle w:val="TableParagraph"/>
              <w:spacing w:line="200" w:lineRule="exact"/>
              <w:ind w:left="99"/>
              <w:jc w:val="left"/>
              <w:rPr>
                <w:rFonts w:ascii="Calibri"/>
                <w:sz w:val="18"/>
              </w:rPr>
            </w:pPr>
            <w:r>
              <w:rPr>
                <w:rFonts w:ascii="Calibri"/>
                <w:sz w:val="18"/>
              </w:rPr>
              <w:t>20.1</w:t>
            </w:r>
          </w:p>
        </w:tc>
        <w:tc>
          <w:tcPr>
            <w:tcW w:w="721" w:type="dxa"/>
          </w:tcPr>
          <w:p>
            <w:pPr>
              <w:pStyle w:val="TableParagraph"/>
              <w:spacing w:line="200" w:lineRule="exact"/>
              <w:ind w:right="200"/>
              <w:jc w:val="right"/>
              <w:rPr>
                <w:rFonts w:ascii="Calibri"/>
                <w:sz w:val="18"/>
              </w:rPr>
            </w:pPr>
            <w:r>
              <w:rPr>
                <w:rFonts w:ascii="Calibri"/>
                <w:sz w:val="18"/>
              </w:rPr>
              <w:t>97.0</w:t>
            </w:r>
          </w:p>
        </w:tc>
        <w:tc>
          <w:tcPr>
            <w:tcW w:w="759" w:type="dxa"/>
            <w:tcBorders>
              <w:right w:val="single" w:sz="12" w:space="0" w:color="000000"/>
            </w:tcBorders>
          </w:tcPr>
          <w:p>
            <w:pPr>
              <w:pStyle w:val="TableParagraph"/>
              <w:spacing w:line="200" w:lineRule="exact"/>
              <w:ind w:left="117" w:right="120"/>
              <w:rPr>
                <w:rFonts w:ascii="Calibri"/>
                <w:sz w:val="18"/>
              </w:rPr>
            </w:pPr>
            <w:r>
              <w:rPr>
                <w:rFonts w:ascii="Calibri"/>
                <w:sz w:val="18"/>
              </w:rPr>
              <w:t>17.3</w:t>
            </w:r>
          </w:p>
        </w:tc>
        <w:tc>
          <w:tcPr>
            <w:tcW w:w="722" w:type="dxa"/>
            <w:tcBorders>
              <w:left w:val="single" w:sz="12" w:space="0" w:color="000000"/>
            </w:tcBorders>
          </w:tcPr>
          <w:p>
            <w:pPr>
              <w:pStyle w:val="TableParagraph"/>
              <w:spacing w:line="200" w:lineRule="exact"/>
              <w:ind w:left="105" w:right="129"/>
              <w:rPr>
                <w:rFonts w:ascii="Calibri"/>
                <w:sz w:val="18"/>
              </w:rPr>
            </w:pPr>
            <w:r>
              <w:rPr>
                <w:rFonts w:ascii="Calibri"/>
                <w:sz w:val="18"/>
              </w:rPr>
              <w:t>93.2</w:t>
            </w:r>
          </w:p>
        </w:tc>
        <w:tc>
          <w:tcPr>
            <w:tcW w:w="631" w:type="dxa"/>
          </w:tcPr>
          <w:p>
            <w:pPr>
              <w:pStyle w:val="TableParagraph"/>
              <w:spacing w:line="200" w:lineRule="exact"/>
              <w:ind w:right="158"/>
              <w:jc w:val="right"/>
              <w:rPr>
                <w:rFonts w:ascii="Calibri"/>
                <w:sz w:val="18"/>
              </w:rPr>
            </w:pPr>
            <w:r>
              <w:rPr>
                <w:rFonts w:ascii="Calibri"/>
                <w:sz w:val="18"/>
              </w:rPr>
              <w:t>21.4</w:t>
            </w:r>
          </w:p>
        </w:tc>
        <w:tc>
          <w:tcPr>
            <w:tcW w:w="721" w:type="dxa"/>
          </w:tcPr>
          <w:p>
            <w:pPr>
              <w:pStyle w:val="TableParagraph"/>
              <w:spacing w:line="200" w:lineRule="exact"/>
              <w:ind w:left="185"/>
              <w:jc w:val="left"/>
              <w:rPr>
                <w:rFonts w:ascii="Calibri"/>
                <w:sz w:val="18"/>
              </w:rPr>
            </w:pPr>
            <w:r>
              <w:rPr>
                <w:rFonts w:ascii="Calibri"/>
                <w:sz w:val="18"/>
              </w:rPr>
              <w:t>98.5</w:t>
            </w:r>
          </w:p>
        </w:tc>
        <w:tc>
          <w:tcPr>
            <w:tcW w:w="720" w:type="dxa"/>
            <w:tcBorders>
              <w:right w:val="single" w:sz="12" w:space="0" w:color="000000"/>
            </w:tcBorders>
          </w:tcPr>
          <w:p>
            <w:pPr>
              <w:pStyle w:val="TableParagraph"/>
              <w:spacing w:line="200" w:lineRule="exact"/>
              <w:ind w:left="88" w:right="98"/>
              <w:rPr>
                <w:rFonts w:ascii="Calibri"/>
                <w:sz w:val="18"/>
              </w:rPr>
            </w:pPr>
            <w:r>
              <w:rPr>
                <w:rFonts w:ascii="Calibri"/>
                <w:sz w:val="18"/>
              </w:rPr>
              <w:t>14.9</w:t>
            </w:r>
          </w:p>
        </w:tc>
        <w:tc>
          <w:tcPr>
            <w:tcW w:w="721" w:type="dxa"/>
            <w:tcBorders>
              <w:left w:val="single" w:sz="12" w:space="0" w:color="000000"/>
            </w:tcBorders>
          </w:tcPr>
          <w:p>
            <w:pPr>
              <w:pStyle w:val="TableParagraph"/>
              <w:spacing w:line="200" w:lineRule="exact"/>
              <w:ind w:left="174"/>
              <w:jc w:val="left"/>
              <w:rPr>
                <w:rFonts w:ascii="Calibri"/>
                <w:sz w:val="18"/>
              </w:rPr>
            </w:pPr>
            <w:r>
              <w:rPr>
                <w:rFonts w:ascii="Calibri"/>
                <w:sz w:val="18"/>
              </w:rPr>
              <w:t>96.0</w:t>
            </w:r>
          </w:p>
        </w:tc>
        <w:tc>
          <w:tcPr>
            <w:tcW w:w="630" w:type="dxa"/>
          </w:tcPr>
          <w:p>
            <w:pPr>
              <w:pStyle w:val="TableParagraph"/>
              <w:spacing w:line="200" w:lineRule="exact"/>
              <w:ind w:left="137"/>
              <w:jc w:val="left"/>
              <w:rPr>
                <w:rFonts w:ascii="Calibri"/>
                <w:sz w:val="18"/>
              </w:rPr>
            </w:pPr>
            <w:r>
              <w:rPr>
                <w:rFonts w:ascii="Calibri"/>
                <w:sz w:val="18"/>
              </w:rPr>
              <w:t>21.1</w:t>
            </w:r>
          </w:p>
        </w:tc>
        <w:tc>
          <w:tcPr>
            <w:tcW w:w="720" w:type="dxa"/>
          </w:tcPr>
          <w:p>
            <w:pPr>
              <w:pStyle w:val="TableParagraph"/>
              <w:spacing w:line="200" w:lineRule="exact"/>
              <w:ind w:left="137"/>
              <w:jc w:val="left"/>
              <w:rPr>
                <w:rFonts w:ascii="Calibri"/>
                <w:sz w:val="18"/>
              </w:rPr>
            </w:pPr>
            <w:r>
              <w:rPr>
                <w:rFonts w:ascii="Calibri"/>
                <w:sz w:val="18"/>
              </w:rPr>
              <w:t>102.9</w:t>
            </w:r>
          </w:p>
        </w:tc>
        <w:tc>
          <w:tcPr>
            <w:tcW w:w="719" w:type="dxa"/>
            <w:tcBorders>
              <w:right w:val="single" w:sz="12" w:space="0" w:color="000000"/>
            </w:tcBorders>
          </w:tcPr>
          <w:p>
            <w:pPr>
              <w:pStyle w:val="TableParagraph"/>
              <w:spacing w:line="200" w:lineRule="exact"/>
              <w:ind w:left="93" w:right="104"/>
              <w:rPr>
                <w:rFonts w:ascii="Calibri"/>
                <w:sz w:val="18"/>
              </w:rPr>
            </w:pPr>
            <w:r>
              <w:rPr>
                <w:rFonts w:ascii="Calibri"/>
                <w:sz w:val="18"/>
              </w:rPr>
              <w:t>21.7</w:t>
            </w:r>
          </w:p>
        </w:tc>
      </w:tr>
      <w:tr>
        <w:trPr>
          <w:trHeight w:val="299" w:hRule="atLeast"/>
        </w:trPr>
        <w:tc>
          <w:tcPr>
            <w:tcW w:w="1435" w:type="dxa"/>
            <w:tcBorders>
              <w:right w:val="single" w:sz="12" w:space="0" w:color="000000"/>
            </w:tcBorders>
          </w:tcPr>
          <w:p>
            <w:pPr>
              <w:pStyle w:val="TableParagraph"/>
              <w:spacing w:line="199" w:lineRule="exact"/>
              <w:ind w:left="174" w:right="158"/>
              <w:rPr>
                <w:rFonts w:ascii="Calibri"/>
                <w:sz w:val="18"/>
              </w:rPr>
            </w:pPr>
            <w:r>
              <w:rPr>
                <w:rFonts w:ascii="Calibri"/>
                <w:sz w:val="18"/>
              </w:rPr>
              <w:t>MPFDoA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100.3</w:t>
            </w:r>
          </w:p>
        </w:tc>
        <w:tc>
          <w:tcPr>
            <w:tcW w:w="631" w:type="dxa"/>
          </w:tcPr>
          <w:p>
            <w:pPr>
              <w:pStyle w:val="TableParagraph"/>
              <w:spacing w:line="199" w:lineRule="exact"/>
              <w:ind w:left="129" w:right="124"/>
              <w:rPr>
                <w:rFonts w:ascii="Calibri"/>
                <w:sz w:val="18"/>
              </w:rPr>
            </w:pPr>
            <w:r>
              <w:rPr>
                <w:rFonts w:ascii="Calibri"/>
                <w:sz w:val="18"/>
              </w:rPr>
              <w:t>15.1</w:t>
            </w:r>
          </w:p>
        </w:tc>
        <w:tc>
          <w:tcPr>
            <w:tcW w:w="761" w:type="dxa"/>
          </w:tcPr>
          <w:p>
            <w:pPr>
              <w:pStyle w:val="TableParagraph"/>
              <w:spacing w:line="199" w:lineRule="exact"/>
              <w:ind w:left="151" w:right="148"/>
              <w:rPr>
                <w:rFonts w:ascii="Calibri"/>
                <w:sz w:val="18"/>
              </w:rPr>
            </w:pPr>
            <w:r>
              <w:rPr>
                <w:rFonts w:ascii="Calibri"/>
                <w:sz w:val="18"/>
              </w:rPr>
              <w:t>101.2</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15.1</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100.4</w:t>
            </w:r>
          </w:p>
        </w:tc>
        <w:tc>
          <w:tcPr>
            <w:tcW w:w="631" w:type="dxa"/>
          </w:tcPr>
          <w:p>
            <w:pPr>
              <w:pStyle w:val="TableParagraph"/>
              <w:spacing w:line="199" w:lineRule="exact"/>
              <w:ind w:left="126" w:right="128"/>
              <w:rPr>
                <w:rFonts w:ascii="Calibri"/>
                <w:sz w:val="18"/>
              </w:rPr>
            </w:pPr>
            <w:r>
              <w:rPr>
                <w:rFonts w:ascii="Calibri"/>
                <w:sz w:val="18"/>
              </w:rPr>
              <w:t>14.0</w:t>
            </w:r>
          </w:p>
        </w:tc>
        <w:tc>
          <w:tcPr>
            <w:tcW w:w="721" w:type="dxa"/>
          </w:tcPr>
          <w:p>
            <w:pPr>
              <w:pStyle w:val="TableParagraph"/>
              <w:spacing w:line="199" w:lineRule="exact"/>
              <w:ind w:left="128" w:right="131"/>
              <w:rPr>
                <w:rFonts w:ascii="Calibri"/>
                <w:sz w:val="18"/>
              </w:rPr>
            </w:pPr>
            <w:r>
              <w:rPr>
                <w:rFonts w:ascii="Calibri"/>
                <w:sz w:val="18"/>
              </w:rPr>
              <w:t>101.9</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8.9</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98.1</w:t>
            </w:r>
          </w:p>
        </w:tc>
        <w:tc>
          <w:tcPr>
            <w:tcW w:w="541" w:type="dxa"/>
          </w:tcPr>
          <w:p>
            <w:pPr>
              <w:pStyle w:val="TableParagraph"/>
              <w:spacing w:line="199" w:lineRule="exact"/>
              <w:ind w:left="99"/>
              <w:jc w:val="left"/>
              <w:rPr>
                <w:rFonts w:ascii="Calibri"/>
                <w:sz w:val="18"/>
              </w:rPr>
            </w:pPr>
            <w:r>
              <w:rPr>
                <w:rFonts w:ascii="Calibri"/>
                <w:sz w:val="18"/>
              </w:rPr>
              <w:t>12.9</w:t>
            </w:r>
          </w:p>
        </w:tc>
        <w:tc>
          <w:tcPr>
            <w:tcW w:w="721" w:type="dxa"/>
          </w:tcPr>
          <w:p>
            <w:pPr>
              <w:pStyle w:val="TableParagraph"/>
              <w:spacing w:line="199" w:lineRule="exact"/>
              <w:ind w:right="200"/>
              <w:jc w:val="right"/>
              <w:rPr>
                <w:rFonts w:ascii="Calibri"/>
                <w:sz w:val="18"/>
              </w:rPr>
            </w:pPr>
            <w:r>
              <w:rPr>
                <w:rFonts w:ascii="Calibri"/>
                <w:sz w:val="18"/>
              </w:rPr>
              <w:t>98.7</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14.2</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99.6</w:t>
            </w:r>
          </w:p>
        </w:tc>
        <w:tc>
          <w:tcPr>
            <w:tcW w:w="631" w:type="dxa"/>
          </w:tcPr>
          <w:p>
            <w:pPr>
              <w:pStyle w:val="TableParagraph"/>
              <w:spacing w:line="199" w:lineRule="exact"/>
              <w:ind w:right="158"/>
              <w:jc w:val="right"/>
              <w:rPr>
                <w:rFonts w:ascii="Calibri"/>
                <w:sz w:val="18"/>
              </w:rPr>
            </w:pPr>
            <w:r>
              <w:rPr>
                <w:rFonts w:ascii="Calibri"/>
                <w:sz w:val="18"/>
              </w:rPr>
              <w:t>17.5</w:t>
            </w:r>
          </w:p>
        </w:tc>
        <w:tc>
          <w:tcPr>
            <w:tcW w:w="721" w:type="dxa"/>
          </w:tcPr>
          <w:p>
            <w:pPr>
              <w:pStyle w:val="TableParagraph"/>
              <w:spacing w:line="199" w:lineRule="exact"/>
              <w:ind w:left="185"/>
              <w:jc w:val="left"/>
              <w:rPr>
                <w:rFonts w:ascii="Calibri"/>
                <w:sz w:val="18"/>
              </w:rPr>
            </w:pPr>
            <w:r>
              <w:rPr>
                <w:rFonts w:ascii="Calibri"/>
                <w:sz w:val="18"/>
              </w:rPr>
              <w:t>98.6</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13.0</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103.2</w:t>
            </w:r>
          </w:p>
        </w:tc>
        <w:tc>
          <w:tcPr>
            <w:tcW w:w="630" w:type="dxa"/>
          </w:tcPr>
          <w:p>
            <w:pPr>
              <w:pStyle w:val="TableParagraph"/>
              <w:spacing w:line="199" w:lineRule="exact"/>
              <w:ind w:left="137"/>
              <w:jc w:val="left"/>
              <w:rPr>
                <w:rFonts w:ascii="Calibri"/>
                <w:sz w:val="18"/>
              </w:rPr>
            </w:pPr>
            <w:r>
              <w:rPr>
                <w:rFonts w:ascii="Calibri"/>
                <w:sz w:val="18"/>
              </w:rPr>
              <w:t>15.6</w:t>
            </w:r>
          </w:p>
        </w:tc>
        <w:tc>
          <w:tcPr>
            <w:tcW w:w="720" w:type="dxa"/>
          </w:tcPr>
          <w:p>
            <w:pPr>
              <w:pStyle w:val="TableParagraph"/>
              <w:spacing w:line="199" w:lineRule="exact"/>
              <w:ind w:left="137"/>
              <w:jc w:val="left"/>
              <w:rPr>
                <w:rFonts w:ascii="Calibri"/>
                <w:sz w:val="18"/>
              </w:rPr>
            </w:pPr>
            <w:r>
              <w:rPr>
                <w:rFonts w:ascii="Calibri"/>
                <w:sz w:val="18"/>
              </w:rPr>
              <w:t>105.6</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20.8</w:t>
            </w:r>
          </w:p>
        </w:tc>
      </w:tr>
      <w:tr>
        <w:trPr>
          <w:trHeight w:val="299" w:hRule="atLeast"/>
        </w:trPr>
        <w:tc>
          <w:tcPr>
            <w:tcW w:w="1435" w:type="dxa"/>
            <w:tcBorders>
              <w:right w:val="single" w:sz="12" w:space="0" w:color="000000"/>
            </w:tcBorders>
          </w:tcPr>
          <w:p>
            <w:pPr>
              <w:pStyle w:val="TableParagraph"/>
              <w:spacing w:line="199" w:lineRule="exact"/>
              <w:ind w:left="175" w:right="158"/>
              <w:rPr>
                <w:rFonts w:ascii="Calibri"/>
                <w:sz w:val="18"/>
              </w:rPr>
            </w:pPr>
            <w:r>
              <w:rPr>
                <w:rFonts w:ascii="Calibri"/>
                <w:sz w:val="18"/>
              </w:rPr>
              <w:t>M7PFUdA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103.0</w:t>
            </w:r>
          </w:p>
        </w:tc>
        <w:tc>
          <w:tcPr>
            <w:tcW w:w="631" w:type="dxa"/>
          </w:tcPr>
          <w:p>
            <w:pPr>
              <w:pStyle w:val="TableParagraph"/>
              <w:spacing w:line="199" w:lineRule="exact"/>
              <w:ind w:left="129" w:right="124"/>
              <w:rPr>
                <w:rFonts w:ascii="Calibri"/>
                <w:sz w:val="18"/>
              </w:rPr>
            </w:pPr>
            <w:r>
              <w:rPr>
                <w:rFonts w:ascii="Calibri"/>
                <w:sz w:val="18"/>
              </w:rPr>
              <w:t>11.8</w:t>
            </w:r>
          </w:p>
        </w:tc>
        <w:tc>
          <w:tcPr>
            <w:tcW w:w="761" w:type="dxa"/>
          </w:tcPr>
          <w:p>
            <w:pPr>
              <w:pStyle w:val="TableParagraph"/>
              <w:spacing w:line="199" w:lineRule="exact"/>
              <w:ind w:left="151" w:right="148"/>
              <w:rPr>
                <w:rFonts w:ascii="Calibri"/>
                <w:sz w:val="18"/>
              </w:rPr>
            </w:pPr>
            <w:r>
              <w:rPr>
                <w:rFonts w:ascii="Calibri"/>
                <w:sz w:val="18"/>
              </w:rPr>
              <w:t>104.3</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12.6</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102.8</w:t>
            </w:r>
          </w:p>
        </w:tc>
        <w:tc>
          <w:tcPr>
            <w:tcW w:w="631" w:type="dxa"/>
          </w:tcPr>
          <w:p>
            <w:pPr>
              <w:pStyle w:val="TableParagraph"/>
              <w:spacing w:line="199" w:lineRule="exact"/>
              <w:ind w:left="126" w:right="128"/>
              <w:rPr>
                <w:rFonts w:ascii="Calibri"/>
                <w:sz w:val="18"/>
              </w:rPr>
            </w:pPr>
            <w:r>
              <w:rPr>
                <w:rFonts w:ascii="Calibri"/>
                <w:sz w:val="18"/>
              </w:rPr>
              <w:t>11.2</w:t>
            </w:r>
          </w:p>
        </w:tc>
        <w:tc>
          <w:tcPr>
            <w:tcW w:w="721" w:type="dxa"/>
          </w:tcPr>
          <w:p>
            <w:pPr>
              <w:pStyle w:val="TableParagraph"/>
              <w:spacing w:line="199" w:lineRule="exact"/>
              <w:ind w:left="128" w:right="131"/>
              <w:rPr>
                <w:rFonts w:ascii="Calibri"/>
                <w:sz w:val="18"/>
              </w:rPr>
            </w:pPr>
            <w:r>
              <w:rPr>
                <w:rFonts w:ascii="Calibri"/>
                <w:sz w:val="18"/>
              </w:rPr>
              <w:t>104.3</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10.0</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101.9</w:t>
            </w:r>
          </w:p>
        </w:tc>
        <w:tc>
          <w:tcPr>
            <w:tcW w:w="541" w:type="dxa"/>
          </w:tcPr>
          <w:p>
            <w:pPr>
              <w:pStyle w:val="TableParagraph"/>
              <w:spacing w:line="199" w:lineRule="exact"/>
              <w:ind w:left="99"/>
              <w:jc w:val="left"/>
              <w:rPr>
                <w:rFonts w:ascii="Calibri"/>
                <w:sz w:val="18"/>
              </w:rPr>
            </w:pPr>
            <w:r>
              <w:rPr>
                <w:rFonts w:ascii="Calibri"/>
                <w:sz w:val="18"/>
              </w:rPr>
              <w:t>13.3</w:t>
            </w:r>
          </w:p>
        </w:tc>
        <w:tc>
          <w:tcPr>
            <w:tcW w:w="721" w:type="dxa"/>
          </w:tcPr>
          <w:p>
            <w:pPr>
              <w:pStyle w:val="TableParagraph"/>
              <w:spacing w:line="199" w:lineRule="exact"/>
              <w:ind w:right="155"/>
              <w:jc w:val="right"/>
              <w:rPr>
                <w:rFonts w:ascii="Calibri"/>
                <w:sz w:val="18"/>
              </w:rPr>
            </w:pPr>
            <w:r>
              <w:rPr>
                <w:rFonts w:ascii="Calibri"/>
                <w:sz w:val="18"/>
              </w:rPr>
              <w:t>101.9</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11.3</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101.8</w:t>
            </w:r>
          </w:p>
        </w:tc>
        <w:tc>
          <w:tcPr>
            <w:tcW w:w="631" w:type="dxa"/>
          </w:tcPr>
          <w:p>
            <w:pPr>
              <w:pStyle w:val="TableParagraph"/>
              <w:spacing w:line="199" w:lineRule="exact"/>
              <w:ind w:right="158"/>
              <w:jc w:val="right"/>
              <w:rPr>
                <w:rFonts w:ascii="Calibri"/>
                <w:sz w:val="18"/>
              </w:rPr>
            </w:pPr>
            <w:r>
              <w:rPr>
                <w:rFonts w:ascii="Calibri"/>
                <w:sz w:val="18"/>
              </w:rPr>
              <w:t>11.6</w:t>
            </w:r>
          </w:p>
        </w:tc>
        <w:tc>
          <w:tcPr>
            <w:tcW w:w="721" w:type="dxa"/>
          </w:tcPr>
          <w:p>
            <w:pPr>
              <w:pStyle w:val="TableParagraph"/>
              <w:spacing w:line="199" w:lineRule="exact"/>
              <w:ind w:left="139"/>
              <w:jc w:val="left"/>
              <w:rPr>
                <w:rFonts w:ascii="Calibri"/>
                <w:sz w:val="18"/>
              </w:rPr>
            </w:pPr>
            <w:r>
              <w:rPr>
                <w:rFonts w:ascii="Calibri"/>
                <w:sz w:val="18"/>
              </w:rPr>
              <w:t>103.1</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10.4</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105.6</w:t>
            </w:r>
          </w:p>
        </w:tc>
        <w:tc>
          <w:tcPr>
            <w:tcW w:w="630" w:type="dxa"/>
          </w:tcPr>
          <w:p>
            <w:pPr>
              <w:pStyle w:val="TableParagraph"/>
              <w:spacing w:line="199" w:lineRule="exact"/>
              <w:ind w:left="137"/>
              <w:jc w:val="left"/>
              <w:rPr>
                <w:rFonts w:ascii="Calibri"/>
                <w:sz w:val="18"/>
              </w:rPr>
            </w:pPr>
            <w:r>
              <w:rPr>
                <w:rFonts w:ascii="Calibri"/>
                <w:sz w:val="18"/>
              </w:rPr>
              <w:t>11.3</w:t>
            </w:r>
          </w:p>
        </w:tc>
        <w:tc>
          <w:tcPr>
            <w:tcW w:w="720" w:type="dxa"/>
          </w:tcPr>
          <w:p>
            <w:pPr>
              <w:pStyle w:val="TableParagraph"/>
              <w:spacing w:line="199" w:lineRule="exact"/>
              <w:ind w:left="137"/>
              <w:jc w:val="left"/>
              <w:rPr>
                <w:rFonts w:ascii="Calibri"/>
                <w:sz w:val="18"/>
              </w:rPr>
            </w:pPr>
            <w:r>
              <w:rPr>
                <w:rFonts w:ascii="Calibri"/>
                <w:sz w:val="18"/>
              </w:rPr>
              <w:t>107.8</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16.8</w:t>
            </w:r>
          </w:p>
        </w:tc>
      </w:tr>
      <w:tr>
        <w:trPr>
          <w:trHeight w:val="300" w:hRule="atLeast"/>
        </w:trPr>
        <w:tc>
          <w:tcPr>
            <w:tcW w:w="1435" w:type="dxa"/>
            <w:tcBorders>
              <w:right w:val="single" w:sz="12" w:space="0" w:color="000000"/>
            </w:tcBorders>
          </w:tcPr>
          <w:p>
            <w:pPr>
              <w:pStyle w:val="TableParagraph"/>
              <w:spacing w:line="200" w:lineRule="exact"/>
              <w:ind w:left="175" w:right="158"/>
              <w:rPr>
                <w:rFonts w:ascii="Calibri"/>
                <w:sz w:val="18"/>
              </w:rPr>
            </w:pPr>
            <w:r>
              <w:rPr>
                <w:rFonts w:ascii="Calibri"/>
                <w:sz w:val="18"/>
              </w:rPr>
              <w:t>M6PFDA</w:t>
            </w:r>
          </w:p>
        </w:tc>
        <w:tc>
          <w:tcPr>
            <w:tcW w:w="726" w:type="dxa"/>
            <w:tcBorders>
              <w:left w:val="single" w:sz="12" w:space="0" w:color="000000"/>
            </w:tcBorders>
          </w:tcPr>
          <w:p>
            <w:pPr>
              <w:pStyle w:val="TableParagraph"/>
              <w:spacing w:line="200" w:lineRule="exact"/>
              <w:ind w:left="127" w:right="127"/>
              <w:rPr>
                <w:rFonts w:ascii="Calibri"/>
                <w:sz w:val="18"/>
              </w:rPr>
            </w:pPr>
            <w:r>
              <w:rPr>
                <w:rFonts w:ascii="Calibri"/>
                <w:sz w:val="18"/>
              </w:rPr>
              <w:t>104.5</w:t>
            </w:r>
          </w:p>
        </w:tc>
        <w:tc>
          <w:tcPr>
            <w:tcW w:w="631" w:type="dxa"/>
          </w:tcPr>
          <w:p>
            <w:pPr>
              <w:pStyle w:val="TableParagraph"/>
              <w:spacing w:line="200" w:lineRule="exact"/>
              <w:ind w:left="129" w:right="124"/>
              <w:rPr>
                <w:rFonts w:ascii="Calibri"/>
                <w:sz w:val="18"/>
              </w:rPr>
            </w:pPr>
            <w:r>
              <w:rPr>
                <w:rFonts w:ascii="Calibri"/>
                <w:sz w:val="18"/>
              </w:rPr>
              <w:t>11.7</w:t>
            </w:r>
          </w:p>
        </w:tc>
        <w:tc>
          <w:tcPr>
            <w:tcW w:w="761" w:type="dxa"/>
          </w:tcPr>
          <w:p>
            <w:pPr>
              <w:pStyle w:val="TableParagraph"/>
              <w:spacing w:line="200" w:lineRule="exact"/>
              <w:ind w:left="151" w:right="148"/>
              <w:rPr>
                <w:rFonts w:ascii="Calibri"/>
                <w:sz w:val="18"/>
              </w:rPr>
            </w:pPr>
            <w:r>
              <w:rPr>
                <w:rFonts w:ascii="Calibri"/>
                <w:sz w:val="18"/>
              </w:rPr>
              <w:t>105.0</w:t>
            </w:r>
          </w:p>
        </w:tc>
        <w:tc>
          <w:tcPr>
            <w:tcW w:w="681" w:type="dxa"/>
            <w:tcBorders>
              <w:right w:val="single" w:sz="12" w:space="0" w:color="000000"/>
            </w:tcBorders>
          </w:tcPr>
          <w:p>
            <w:pPr>
              <w:pStyle w:val="TableParagraph"/>
              <w:spacing w:line="200" w:lineRule="exact"/>
              <w:ind w:left="85" w:right="74"/>
              <w:rPr>
                <w:rFonts w:ascii="Calibri"/>
                <w:sz w:val="18"/>
              </w:rPr>
            </w:pPr>
            <w:r>
              <w:rPr>
                <w:rFonts w:ascii="Calibri"/>
                <w:sz w:val="18"/>
              </w:rPr>
              <w:t>13.2</w:t>
            </w:r>
          </w:p>
        </w:tc>
        <w:tc>
          <w:tcPr>
            <w:tcW w:w="722" w:type="dxa"/>
            <w:tcBorders>
              <w:left w:val="single" w:sz="12" w:space="0" w:color="000000"/>
            </w:tcBorders>
          </w:tcPr>
          <w:p>
            <w:pPr>
              <w:pStyle w:val="TableParagraph"/>
              <w:spacing w:line="200" w:lineRule="exact"/>
              <w:ind w:left="113" w:right="121"/>
              <w:rPr>
                <w:rFonts w:ascii="Calibri"/>
                <w:sz w:val="18"/>
              </w:rPr>
            </w:pPr>
            <w:r>
              <w:rPr>
                <w:rFonts w:ascii="Calibri"/>
                <w:sz w:val="18"/>
              </w:rPr>
              <w:t>103.1</w:t>
            </w:r>
          </w:p>
        </w:tc>
        <w:tc>
          <w:tcPr>
            <w:tcW w:w="631" w:type="dxa"/>
          </w:tcPr>
          <w:p>
            <w:pPr>
              <w:pStyle w:val="TableParagraph"/>
              <w:spacing w:line="200" w:lineRule="exact"/>
              <w:ind w:left="126" w:right="128"/>
              <w:rPr>
                <w:rFonts w:ascii="Calibri"/>
                <w:sz w:val="18"/>
              </w:rPr>
            </w:pPr>
            <w:r>
              <w:rPr>
                <w:rFonts w:ascii="Calibri"/>
                <w:sz w:val="18"/>
              </w:rPr>
              <w:t>9.8</w:t>
            </w:r>
          </w:p>
        </w:tc>
        <w:tc>
          <w:tcPr>
            <w:tcW w:w="721" w:type="dxa"/>
          </w:tcPr>
          <w:p>
            <w:pPr>
              <w:pStyle w:val="TableParagraph"/>
              <w:spacing w:line="200" w:lineRule="exact"/>
              <w:ind w:left="128" w:right="131"/>
              <w:rPr>
                <w:rFonts w:ascii="Calibri"/>
                <w:sz w:val="18"/>
              </w:rPr>
            </w:pPr>
            <w:r>
              <w:rPr>
                <w:rFonts w:ascii="Calibri"/>
                <w:sz w:val="18"/>
              </w:rPr>
              <w:t>105.6</w:t>
            </w:r>
          </w:p>
        </w:tc>
        <w:tc>
          <w:tcPr>
            <w:tcW w:w="720" w:type="dxa"/>
            <w:tcBorders>
              <w:right w:val="single" w:sz="12" w:space="0" w:color="000000"/>
            </w:tcBorders>
          </w:tcPr>
          <w:p>
            <w:pPr>
              <w:pStyle w:val="TableParagraph"/>
              <w:spacing w:line="200" w:lineRule="exact"/>
              <w:ind w:left="94" w:right="91"/>
              <w:rPr>
                <w:rFonts w:ascii="Calibri"/>
                <w:sz w:val="18"/>
              </w:rPr>
            </w:pPr>
            <w:r>
              <w:rPr>
                <w:rFonts w:ascii="Calibri"/>
                <w:sz w:val="18"/>
              </w:rPr>
              <w:t>9.5</w:t>
            </w:r>
          </w:p>
        </w:tc>
        <w:tc>
          <w:tcPr>
            <w:tcW w:w="773" w:type="dxa"/>
            <w:tcBorders>
              <w:left w:val="single" w:sz="12" w:space="0" w:color="000000"/>
            </w:tcBorders>
          </w:tcPr>
          <w:p>
            <w:pPr>
              <w:pStyle w:val="TableParagraph"/>
              <w:spacing w:line="200" w:lineRule="exact"/>
              <w:ind w:left="143" w:right="159"/>
              <w:rPr>
                <w:rFonts w:ascii="Calibri"/>
                <w:sz w:val="18"/>
              </w:rPr>
            </w:pPr>
            <w:r>
              <w:rPr>
                <w:rFonts w:ascii="Calibri"/>
                <w:sz w:val="18"/>
              </w:rPr>
              <w:t>103.8</w:t>
            </w:r>
          </w:p>
        </w:tc>
        <w:tc>
          <w:tcPr>
            <w:tcW w:w="541" w:type="dxa"/>
          </w:tcPr>
          <w:p>
            <w:pPr>
              <w:pStyle w:val="TableParagraph"/>
              <w:spacing w:line="200" w:lineRule="exact"/>
              <w:ind w:left="99"/>
              <w:jc w:val="left"/>
              <w:rPr>
                <w:rFonts w:ascii="Calibri"/>
                <w:sz w:val="18"/>
              </w:rPr>
            </w:pPr>
            <w:r>
              <w:rPr>
                <w:rFonts w:ascii="Calibri"/>
                <w:sz w:val="18"/>
              </w:rPr>
              <w:t>12.9</w:t>
            </w:r>
          </w:p>
        </w:tc>
        <w:tc>
          <w:tcPr>
            <w:tcW w:w="721" w:type="dxa"/>
          </w:tcPr>
          <w:p>
            <w:pPr>
              <w:pStyle w:val="TableParagraph"/>
              <w:spacing w:line="200" w:lineRule="exact"/>
              <w:ind w:right="155"/>
              <w:jc w:val="right"/>
              <w:rPr>
                <w:rFonts w:ascii="Calibri"/>
                <w:sz w:val="18"/>
              </w:rPr>
            </w:pPr>
            <w:r>
              <w:rPr>
                <w:rFonts w:ascii="Calibri"/>
                <w:sz w:val="18"/>
              </w:rPr>
              <w:t>104.8</w:t>
            </w:r>
          </w:p>
        </w:tc>
        <w:tc>
          <w:tcPr>
            <w:tcW w:w="759" w:type="dxa"/>
            <w:tcBorders>
              <w:right w:val="single" w:sz="12" w:space="0" w:color="000000"/>
            </w:tcBorders>
          </w:tcPr>
          <w:p>
            <w:pPr>
              <w:pStyle w:val="TableParagraph"/>
              <w:spacing w:line="200" w:lineRule="exact"/>
              <w:ind w:left="117" w:right="121"/>
              <w:rPr>
                <w:rFonts w:ascii="Calibri"/>
                <w:sz w:val="18"/>
              </w:rPr>
            </w:pPr>
            <w:r>
              <w:rPr>
                <w:rFonts w:ascii="Calibri"/>
                <w:sz w:val="18"/>
              </w:rPr>
              <w:t>9.4</w:t>
            </w:r>
          </w:p>
        </w:tc>
        <w:tc>
          <w:tcPr>
            <w:tcW w:w="722" w:type="dxa"/>
            <w:tcBorders>
              <w:left w:val="single" w:sz="12" w:space="0" w:color="000000"/>
            </w:tcBorders>
          </w:tcPr>
          <w:p>
            <w:pPr>
              <w:pStyle w:val="TableParagraph"/>
              <w:spacing w:line="200" w:lineRule="exact"/>
              <w:ind w:left="105" w:right="129"/>
              <w:rPr>
                <w:rFonts w:ascii="Calibri"/>
                <w:sz w:val="18"/>
              </w:rPr>
            </w:pPr>
            <w:r>
              <w:rPr>
                <w:rFonts w:ascii="Calibri"/>
                <w:sz w:val="18"/>
              </w:rPr>
              <w:t>105.2</w:t>
            </w:r>
          </w:p>
        </w:tc>
        <w:tc>
          <w:tcPr>
            <w:tcW w:w="631" w:type="dxa"/>
          </w:tcPr>
          <w:p>
            <w:pPr>
              <w:pStyle w:val="TableParagraph"/>
              <w:spacing w:line="200" w:lineRule="exact"/>
              <w:ind w:right="158"/>
              <w:jc w:val="right"/>
              <w:rPr>
                <w:rFonts w:ascii="Calibri"/>
                <w:sz w:val="18"/>
              </w:rPr>
            </w:pPr>
            <w:r>
              <w:rPr>
                <w:rFonts w:ascii="Calibri"/>
                <w:sz w:val="18"/>
              </w:rPr>
              <w:t>12.5</w:t>
            </w:r>
          </w:p>
        </w:tc>
        <w:tc>
          <w:tcPr>
            <w:tcW w:w="721" w:type="dxa"/>
          </w:tcPr>
          <w:p>
            <w:pPr>
              <w:pStyle w:val="TableParagraph"/>
              <w:spacing w:line="200" w:lineRule="exact"/>
              <w:ind w:left="139"/>
              <w:jc w:val="left"/>
              <w:rPr>
                <w:rFonts w:ascii="Calibri"/>
                <w:sz w:val="18"/>
              </w:rPr>
            </w:pPr>
            <w:r>
              <w:rPr>
                <w:rFonts w:ascii="Calibri"/>
                <w:sz w:val="18"/>
              </w:rPr>
              <w:t>102.3</w:t>
            </w:r>
          </w:p>
        </w:tc>
        <w:tc>
          <w:tcPr>
            <w:tcW w:w="720" w:type="dxa"/>
            <w:tcBorders>
              <w:right w:val="single" w:sz="12" w:space="0" w:color="000000"/>
            </w:tcBorders>
          </w:tcPr>
          <w:p>
            <w:pPr>
              <w:pStyle w:val="TableParagraph"/>
              <w:spacing w:line="200" w:lineRule="exact"/>
              <w:ind w:left="88" w:right="98"/>
              <w:rPr>
                <w:rFonts w:ascii="Calibri"/>
                <w:sz w:val="18"/>
              </w:rPr>
            </w:pPr>
            <w:r>
              <w:rPr>
                <w:rFonts w:ascii="Calibri"/>
                <w:sz w:val="18"/>
              </w:rPr>
              <w:t>11.0</w:t>
            </w:r>
          </w:p>
        </w:tc>
        <w:tc>
          <w:tcPr>
            <w:tcW w:w="721" w:type="dxa"/>
            <w:tcBorders>
              <w:left w:val="single" w:sz="12" w:space="0" w:color="000000"/>
            </w:tcBorders>
          </w:tcPr>
          <w:p>
            <w:pPr>
              <w:pStyle w:val="TableParagraph"/>
              <w:spacing w:line="200" w:lineRule="exact"/>
              <w:ind w:left="128"/>
              <w:jc w:val="left"/>
              <w:rPr>
                <w:rFonts w:ascii="Calibri"/>
                <w:sz w:val="18"/>
              </w:rPr>
            </w:pPr>
            <w:r>
              <w:rPr>
                <w:rFonts w:ascii="Calibri"/>
                <w:sz w:val="18"/>
              </w:rPr>
              <w:t>105.8</w:t>
            </w:r>
          </w:p>
        </w:tc>
        <w:tc>
          <w:tcPr>
            <w:tcW w:w="630" w:type="dxa"/>
          </w:tcPr>
          <w:p>
            <w:pPr>
              <w:pStyle w:val="TableParagraph"/>
              <w:spacing w:line="200" w:lineRule="exact"/>
              <w:ind w:left="137"/>
              <w:jc w:val="left"/>
              <w:rPr>
                <w:rFonts w:ascii="Calibri"/>
                <w:sz w:val="18"/>
              </w:rPr>
            </w:pPr>
            <w:r>
              <w:rPr>
                <w:rFonts w:ascii="Calibri"/>
                <w:sz w:val="18"/>
              </w:rPr>
              <w:t>11.6</w:t>
            </w:r>
          </w:p>
        </w:tc>
        <w:tc>
          <w:tcPr>
            <w:tcW w:w="720" w:type="dxa"/>
          </w:tcPr>
          <w:p>
            <w:pPr>
              <w:pStyle w:val="TableParagraph"/>
              <w:spacing w:line="200" w:lineRule="exact"/>
              <w:ind w:left="137"/>
              <w:jc w:val="left"/>
              <w:rPr>
                <w:rFonts w:ascii="Calibri"/>
                <w:sz w:val="18"/>
              </w:rPr>
            </w:pPr>
            <w:r>
              <w:rPr>
                <w:rFonts w:ascii="Calibri"/>
                <w:sz w:val="18"/>
              </w:rPr>
              <w:t>107.3</w:t>
            </w:r>
          </w:p>
        </w:tc>
        <w:tc>
          <w:tcPr>
            <w:tcW w:w="719" w:type="dxa"/>
            <w:tcBorders>
              <w:right w:val="single" w:sz="12" w:space="0" w:color="000000"/>
            </w:tcBorders>
          </w:tcPr>
          <w:p>
            <w:pPr>
              <w:pStyle w:val="TableParagraph"/>
              <w:spacing w:line="200" w:lineRule="exact"/>
              <w:ind w:left="93" w:right="104"/>
              <w:rPr>
                <w:rFonts w:ascii="Calibri"/>
                <w:sz w:val="18"/>
              </w:rPr>
            </w:pPr>
            <w:r>
              <w:rPr>
                <w:rFonts w:ascii="Calibri"/>
                <w:sz w:val="18"/>
              </w:rPr>
              <w:t>19.6</w:t>
            </w:r>
          </w:p>
        </w:tc>
      </w:tr>
      <w:tr>
        <w:trPr>
          <w:trHeight w:val="299" w:hRule="atLeast"/>
        </w:trPr>
        <w:tc>
          <w:tcPr>
            <w:tcW w:w="1435" w:type="dxa"/>
            <w:tcBorders>
              <w:right w:val="single" w:sz="12" w:space="0" w:color="000000"/>
            </w:tcBorders>
          </w:tcPr>
          <w:p>
            <w:pPr>
              <w:pStyle w:val="TableParagraph"/>
              <w:spacing w:line="199" w:lineRule="exact"/>
              <w:ind w:left="177" w:right="158"/>
              <w:rPr>
                <w:rFonts w:ascii="Calibri"/>
                <w:sz w:val="18"/>
              </w:rPr>
            </w:pPr>
            <w:r>
              <w:rPr>
                <w:rFonts w:ascii="Calibri"/>
                <w:sz w:val="18"/>
              </w:rPr>
              <w:t>M9PFNA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101.9</w:t>
            </w:r>
          </w:p>
        </w:tc>
        <w:tc>
          <w:tcPr>
            <w:tcW w:w="631" w:type="dxa"/>
          </w:tcPr>
          <w:p>
            <w:pPr>
              <w:pStyle w:val="TableParagraph"/>
              <w:spacing w:line="199" w:lineRule="exact"/>
              <w:ind w:left="129" w:right="124"/>
              <w:rPr>
                <w:rFonts w:ascii="Calibri"/>
                <w:sz w:val="18"/>
              </w:rPr>
            </w:pPr>
            <w:r>
              <w:rPr>
                <w:rFonts w:ascii="Calibri"/>
                <w:sz w:val="18"/>
              </w:rPr>
              <w:t>12.0</w:t>
            </w:r>
          </w:p>
        </w:tc>
        <w:tc>
          <w:tcPr>
            <w:tcW w:w="761" w:type="dxa"/>
          </w:tcPr>
          <w:p>
            <w:pPr>
              <w:pStyle w:val="TableParagraph"/>
              <w:spacing w:line="199" w:lineRule="exact"/>
              <w:ind w:left="151" w:right="148"/>
              <w:rPr>
                <w:rFonts w:ascii="Calibri"/>
                <w:sz w:val="18"/>
              </w:rPr>
            </w:pPr>
            <w:r>
              <w:rPr>
                <w:rFonts w:ascii="Calibri"/>
                <w:sz w:val="18"/>
              </w:rPr>
              <w:t>101.8</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13.0</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102.0</w:t>
            </w:r>
          </w:p>
        </w:tc>
        <w:tc>
          <w:tcPr>
            <w:tcW w:w="631" w:type="dxa"/>
          </w:tcPr>
          <w:p>
            <w:pPr>
              <w:pStyle w:val="TableParagraph"/>
              <w:spacing w:line="199" w:lineRule="exact"/>
              <w:ind w:left="126" w:right="128"/>
              <w:rPr>
                <w:rFonts w:ascii="Calibri"/>
                <w:sz w:val="18"/>
              </w:rPr>
            </w:pPr>
            <w:r>
              <w:rPr>
                <w:rFonts w:ascii="Calibri"/>
                <w:sz w:val="18"/>
              </w:rPr>
              <w:t>11.4</w:t>
            </w:r>
          </w:p>
        </w:tc>
        <w:tc>
          <w:tcPr>
            <w:tcW w:w="721" w:type="dxa"/>
          </w:tcPr>
          <w:p>
            <w:pPr>
              <w:pStyle w:val="TableParagraph"/>
              <w:spacing w:line="199" w:lineRule="exact"/>
              <w:ind w:left="128" w:right="131"/>
              <w:rPr>
                <w:rFonts w:ascii="Calibri"/>
                <w:sz w:val="18"/>
              </w:rPr>
            </w:pPr>
            <w:r>
              <w:rPr>
                <w:rFonts w:ascii="Calibri"/>
                <w:sz w:val="18"/>
              </w:rPr>
              <w:t>102.7</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10.3</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101.1</w:t>
            </w:r>
          </w:p>
        </w:tc>
        <w:tc>
          <w:tcPr>
            <w:tcW w:w="541" w:type="dxa"/>
          </w:tcPr>
          <w:p>
            <w:pPr>
              <w:pStyle w:val="TableParagraph"/>
              <w:spacing w:line="199" w:lineRule="exact"/>
              <w:ind w:left="99"/>
              <w:jc w:val="left"/>
              <w:rPr>
                <w:rFonts w:ascii="Calibri"/>
                <w:sz w:val="18"/>
              </w:rPr>
            </w:pPr>
            <w:r>
              <w:rPr>
                <w:rFonts w:ascii="Calibri"/>
                <w:sz w:val="18"/>
              </w:rPr>
              <w:t>14.7</w:t>
            </w:r>
          </w:p>
        </w:tc>
        <w:tc>
          <w:tcPr>
            <w:tcW w:w="721" w:type="dxa"/>
          </w:tcPr>
          <w:p>
            <w:pPr>
              <w:pStyle w:val="TableParagraph"/>
              <w:spacing w:line="199" w:lineRule="exact"/>
              <w:ind w:right="155"/>
              <w:jc w:val="right"/>
              <w:rPr>
                <w:rFonts w:ascii="Calibri"/>
                <w:sz w:val="18"/>
              </w:rPr>
            </w:pPr>
            <w:r>
              <w:rPr>
                <w:rFonts w:ascii="Calibri"/>
                <w:sz w:val="18"/>
              </w:rPr>
              <w:t>100.6</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11.6</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103.5</w:t>
            </w:r>
          </w:p>
        </w:tc>
        <w:tc>
          <w:tcPr>
            <w:tcW w:w="631" w:type="dxa"/>
          </w:tcPr>
          <w:p>
            <w:pPr>
              <w:pStyle w:val="TableParagraph"/>
              <w:spacing w:line="199" w:lineRule="exact"/>
              <w:ind w:right="158"/>
              <w:jc w:val="right"/>
              <w:rPr>
                <w:rFonts w:ascii="Calibri"/>
                <w:sz w:val="18"/>
              </w:rPr>
            </w:pPr>
            <w:r>
              <w:rPr>
                <w:rFonts w:ascii="Calibri"/>
                <w:sz w:val="18"/>
              </w:rPr>
              <w:t>11.4</w:t>
            </w:r>
          </w:p>
        </w:tc>
        <w:tc>
          <w:tcPr>
            <w:tcW w:w="721" w:type="dxa"/>
          </w:tcPr>
          <w:p>
            <w:pPr>
              <w:pStyle w:val="TableParagraph"/>
              <w:spacing w:line="199" w:lineRule="exact"/>
              <w:ind w:left="139"/>
              <w:jc w:val="left"/>
              <w:rPr>
                <w:rFonts w:ascii="Calibri"/>
                <w:sz w:val="18"/>
              </w:rPr>
            </w:pPr>
            <w:r>
              <w:rPr>
                <w:rFonts w:ascii="Calibri"/>
                <w:sz w:val="18"/>
              </w:rPr>
              <w:t>101.1</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11.5</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101.1</w:t>
            </w:r>
          </w:p>
        </w:tc>
        <w:tc>
          <w:tcPr>
            <w:tcW w:w="630" w:type="dxa"/>
          </w:tcPr>
          <w:p>
            <w:pPr>
              <w:pStyle w:val="TableParagraph"/>
              <w:spacing w:line="199" w:lineRule="exact"/>
              <w:ind w:left="137"/>
              <w:jc w:val="left"/>
              <w:rPr>
                <w:rFonts w:ascii="Calibri"/>
                <w:sz w:val="18"/>
              </w:rPr>
            </w:pPr>
            <w:r>
              <w:rPr>
                <w:rFonts w:ascii="Calibri"/>
                <w:sz w:val="18"/>
              </w:rPr>
              <w:t>10.4</w:t>
            </w:r>
          </w:p>
        </w:tc>
        <w:tc>
          <w:tcPr>
            <w:tcW w:w="720" w:type="dxa"/>
          </w:tcPr>
          <w:p>
            <w:pPr>
              <w:pStyle w:val="TableParagraph"/>
              <w:spacing w:line="199" w:lineRule="exact"/>
              <w:ind w:left="137"/>
              <w:jc w:val="left"/>
              <w:rPr>
                <w:rFonts w:ascii="Calibri"/>
                <w:sz w:val="18"/>
              </w:rPr>
            </w:pPr>
            <w:r>
              <w:rPr>
                <w:rFonts w:ascii="Calibri"/>
                <w:sz w:val="18"/>
              </w:rPr>
              <w:t>102.8</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17.6</w:t>
            </w:r>
          </w:p>
        </w:tc>
      </w:tr>
      <w:tr>
        <w:trPr>
          <w:trHeight w:val="299" w:hRule="atLeast"/>
        </w:trPr>
        <w:tc>
          <w:tcPr>
            <w:tcW w:w="1435" w:type="dxa"/>
            <w:tcBorders>
              <w:right w:val="single" w:sz="12" w:space="0" w:color="000000"/>
            </w:tcBorders>
          </w:tcPr>
          <w:p>
            <w:pPr>
              <w:pStyle w:val="TableParagraph"/>
              <w:spacing w:line="199" w:lineRule="exact"/>
              <w:ind w:left="174" w:right="158"/>
              <w:rPr>
                <w:rFonts w:ascii="Calibri"/>
                <w:sz w:val="18"/>
              </w:rPr>
            </w:pPr>
            <w:r>
              <w:rPr>
                <w:rFonts w:ascii="Calibri"/>
                <w:sz w:val="18"/>
              </w:rPr>
              <w:t>M8PFOA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100.6</w:t>
            </w:r>
          </w:p>
        </w:tc>
        <w:tc>
          <w:tcPr>
            <w:tcW w:w="631" w:type="dxa"/>
          </w:tcPr>
          <w:p>
            <w:pPr>
              <w:pStyle w:val="TableParagraph"/>
              <w:spacing w:line="199" w:lineRule="exact"/>
              <w:ind w:left="129" w:right="124"/>
              <w:rPr>
                <w:rFonts w:ascii="Calibri"/>
                <w:sz w:val="18"/>
              </w:rPr>
            </w:pPr>
            <w:r>
              <w:rPr>
                <w:rFonts w:ascii="Calibri"/>
                <w:sz w:val="18"/>
              </w:rPr>
              <w:t>10.5</w:t>
            </w:r>
          </w:p>
        </w:tc>
        <w:tc>
          <w:tcPr>
            <w:tcW w:w="761" w:type="dxa"/>
          </w:tcPr>
          <w:p>
            <w:pPr>
              <w:pStyle w:val="TableParagraph"/>
              <w:spacing w:line="199" w:lineRule="exact"/>
              <w:ind w:left="151" w:right="148"/>
              <w:rPr>
                <w:rFonts w:ascii="Calibri"/>
                <w:sz w:val="18"/>
              </w:rPr>
            </w:pPr>
            <w:r>
              <w:rPr>
                <w:rFonts w:ascii="Calibri"/>
                <w:sz w:val="18"/>
              </w:rPr>
              <w:t>101.2</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11.5</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100.9</w:t>
            </w:r>
          </w:p>
        </w:tc>
        <w:tc>
          <w:tcPr>
            <w:tcW w:w="631" w:type="dxa"/>
          </w:tcPr>
          <w:p>
            <w:pPr>
              <w:pStyle w:val="TableParagraph"/>
              <w:spacing w:line="199" w:lineRule="exact"/>
              <w:ind w:left="126" w:right="128"/>
              <w:rPr>
                <w:rFonts w:ascii="Calibri"/>
                <w:sz w:val="18"/>
              </w:rPr>
            </w:pPr>
            <w:r>
              <w:rPr>
                <w:rFonts w:ascii="Calibri"/>
                <w:sz w:val="18"/>
              </w:rPr>
              <w:t>10.6</w:t>
            </w:r>
          </w:p>
        </w:tc>
        <w:tc>
          <w:tcPr>
            <w:tcW w:w="721" w:type="dxa"/>
          </w:tcPr>
          <w:p>
            <w:pPr>
              <w:pStyle w:val="TableParagraph"/>
              <w:spacing w:line="199" w:lineRule="exact"/>
              <w:ind w:left="128" w:right="131"/>
              <w:rPr>
                <w:rFonts w:ascii="Calibri"/>
                <w:sz w:val="18"/>
              </w:rPr>
            </w:pPr>
            <w:r>
              <w:rPr>
                <w:rFonts w:ascii="Calibri"/>
                <w:sz w:val="18"/>
              </w:rPr>
              <w:t>101.2</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7.8</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99.4</w:t>
            </w:r>
          </w:p>
        </w:tc>
        <w:tc>
          <w:tcPr>
            <w:tcW w:w="541" w:type="dxa"/>
          </w:tcPr>
          <w:p>
            <w:pPr>
              <w:pStyle w:val="TableParagraph"/>
              <w:spacing w:line="199" w:lineRule="exact"/>
              <w:ind w:left="99"/>
              <w:jc w:val="left"/>
              <w:rPr>
                <w:rFonts w:ascii="Calibri"/>
                <w:sz w:val="18"/>
              </w:rPr>
            </w:pPr>
            <w:r>
              <w:rPr>
                <w:rFonts w:ascii="Calibri"/>
                <w:sz w:val="18"/>
              </w:rPr>
              <w:t>11.5</w:t>
            </w:r>
          </w:p>
        </w:tc>
        <w:tc>
          <w:tcPr>
            <w:tcW w:w="721" w:type="dxa"/>
          </w:tcPr>
          <w:p>
            <w:pPr>
              <w:pStyle w:val="TableParagraph"/>
              <w:spacing w:line="199" w:lineRule="exact"/>
              <w:ind w:right="200"/>
              <w:jc w:val="right"/>
              <w:rPr>
                <w:rFonts w:ascii="Calibri"/>
                <w:sz w:val="18"/>
              </w:rPr>
            </w:pPr>
            <w:r>
              <w:rPr>
                <w:rFonts w:ascii="Calibri"/>
                <w:sz w:val="18"/>
              </w:rPr>
              <w:t>99.6</w:t>
            </w:r>
          </w:p>
        </w:tc>
        <w:tc>
          <w:tcPr>
            <w:tcW w:w="759" w:type="dxa"/>
            <w:tcBorders>
              <w:right w:val="single" w:sz="12" w:space="0" w:color="000000"/>
            </w:tcBorders>
          </w:tcPr>
          <w:p>
            <w:pPr>
              <w:pStyle w:val="TableParagraph"/>
              <w:spacing w:line="199" w:lineRule="exact"/>
              <w:ind w:left="117" w:right="121"/>
              <w:rPr>
                <w:rFonts w:ascii="Calibri"/>
                <w:sz w:val="18"/>
              </w:rPr>
            </w:pPr>
            <w:r>
              <w:rPr>
                <w:rFonts w:ascii="Calibri"/>
                <w:sz w:val="18"/>
              </w:rPr>
              <w:t>9.6</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101.6</w:t>
            </w:r>
          </w:p>
        </w:tc>
        <w:tc>
          <w:tcPr>
            <w:tcW w:w="631" w:type="dxa"/>
          </w:tcPr>
          <w:p>
            <w:pPr>
              <w:pStyle w:val="TableParagraph"/>
              <w:spacing w:line="199" w:lineRule="exact"/>
              <w:ind w:right="158"/>
              <w:jc w:val="right"/>
              <w:rPr>
                <w:rFonts w:ascii="Calibri"/>
                <w:sz w:val="18"/>
              </w:rPr>
            </w:pPr>
            <w:r>
              <w:rPr>
                <w:rFonts w:ascii="Calibri"/>
                <w:sz w:val="18"/>
              </w:rPr>
              <w:t>10.9</w:t>
            </w:r>
          </w:p>
        </w:tc>
        <w:tc>
          <w:tcPr>
            <w:tcW w:w="721" w:type="dxa"/>
          </w:tcPr>
          <w:p>
            <w:pPr>
              <w:pStyle w:val="TableParagraph"/>
              <w:spacing w:line="199" w:lineRule="exact"/>
              <w:ind w:left="139"/>
              <w:jc w:val="left"/>
              <w:rPr>
                <w:rFonts w:ascii="Calibri"/>
                <w:sz w:val="18"/>
              </w:rPr>
            </w:pPr>
            <w:r>
              <w:rPr>
                <w:rFonts w:ascii="Calibri"/>
                <w:sz w:val="18"/>
              </w:rPr>
              <w:t>101.0</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8.2</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100.4</w:t>
            </w:r>
          </w:p>
        </w:tc>
        <w:tc>
          <w:tcPr>
            <w:tcW w:w="630" w:type="dxa"/>
          </w:tcPr>
          <w:p>
            <w:pPr>
              <w:pStyle w:val="TableParagraph"/>
              <w:spacing w:line="199" w:lineRule="exact"/>
              <w:ind w:left="183"/>
              <w:jc w:val="left"/>
              <w:rPr>
                <w:rFonts w:ascii="Calibri"/>
                <w:sz w:val="18"/>
              </w:rPr>
            </w:pPr>
            <w:r>
              <w:rPr>
                <w:rFonts w:ascii="Calibri"/>
                <w:sz w:val="18"/>
              </w:rPr>
              <w:t>9.0</w:t>
            </w:r>
          </w:p>
        </w:tc>
        <w:tc>
          <w:tcPr>
            <w:tcW w:w="720" w:type="dxa"/>
          </w:tcPr>
          <w:p>
            <w:pPr>
              <w:pStyle w:val="TableParagraph"/>
              <w:spacing w:line="199" w:lineRule="exact"/>
              <w:ind w:left="137"/>
              <w:jc w:val="left"/>
              <w:rPr>
                <w:rFonts w:ascii="Calibri"/>
                <w:sz w:val="18"/>
              </w:rPr>
            </w:pPr>
            <w:r>
              <w:rPr>
                <w:rFonts w:ascii="Calibri"/>
                <w:sz w:val="18"/>
              </w:rPr>
              <w:t>102.9</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17.4</w:t>
            </w:r>
          </w:p>
        </w:tc>
      </w:tr>
      <w:tr>
        <w:trPr>
          <w:trHeight w:val="300" w:hRule="atLeast"/>
        </w:trPr>
        <w:tc>
          <w:tcPr>
            <w:tcW w:w="1435" w:type="dxa"/>
            <w:tcBorders>
              <w:right w:val="single" w:sz="12" w:space="0" w:color="000000"/>
            </w:tcBorders>
          </w:tcPr>
          <w:p>
            <w:pPr>
              <w:pStyle w:val="TableParagraph"/>
              <w:spacing w:line="200" w:lineRule="exact"/>
              <w:ind w:left="176" w:right="158"/>
              <w:rPr>
                <w:rFonts w:ascii="Calibri"/>
                <w:sz w:val="18"/>
              </w:rPr>
            </w:pPr>
            <w:r>
              <w:rPr>
                <w:rFonts w:ascii="Calibri"/>
                <w:sz w:val="18"/>
              </w:rPr>
              <w:t>M4PFHpA</w:t>
            </w:r>
          </w:p>
        </w:tc>
        <w:tc>
          <w:tcPr>
            <w:tcW w:w="726" w:type="dxa"/>
            <w:tcBorders>
              <w:left w:val="single" w:sz="12" w:space="0" w:color="000000"/>
            </w:tcBorders>
          </w:tcPr>
          <w:p>
            <w:pPr>
              <w:pStyle w:val="TableParagraph"/>
              <w:spacing w:line="200" w:lineRule="exact"/>
              <w:ind w:left="127" w:right="127"/>
              <w:rPr>
                <w:rFonts w:ascii="Calibri"/>
                <w:sz w:val="18"/>
              </w:rPr>
            </w:pPr>
            <w:r>
              <w:rPr>
                <w:rFonts w:ascii="Calibri"/>
                <w:sz w:val="18"/>
              </w:rPr>
              <w:t>98.5</w:t>
            </w:r>
          </w:p>
        </w:tc>
        <w:tc>
          <w:tcPr>
            <w:tcW w:w="631" w:type="dxa"/>
          </w:tcPr>
          <w:p>
            <w:pPr>
              <w:pStyle w:val="TableParagraph"/>
              <w:spacing w:line="200" w:lineRule="exact"/>
              <w:ind w:left="129" w:right="124"/>
              <w:rPr>
                <w:rFonts w:ascii="Calibri"/>
                <w:sz w:val="18"/>
              </w:rPr>
            </w:pPr>
            <w:r>
              <w:rPr>
                <w:rFonts w:ascii="Calibri"/>
                <w:sz w:val="18"/>
              </w:rPr>
              <w:t>12.0</w:t>
            </w:r>
          </w:p>
        </w:tc>
        <w:tc>
          <w:tcPr>
            <w:tcW w:w="761" w:type="dxa"/>
          </w:tcPr>
          <w:p>
            <w:pPr>
              <w:pStyle w:val="TableParagraph"/>
              <w:spacing w:line="200" w:lineRule="exact"/>
              <w:ind w:left="151" w:right="148"/>
              <w:rPr>
                <w:rFonts w:ascii="Calibri"/>
                <w:sz w:val="18"/>
              </w:rPr>
            </w:pPr>
            <w:r>
              <w:rPr>
                <w:rFonts w:ascii="Calibri"/>
                <w:sz w:val="18"/>
              </w:rPr>
              <w:t>98.8</w:t>
            </w:r>
          </w:p>
        </w:tc>
        <w:tc>
          <w:tcPr>
            <w:tcW w:w="681" w:type="dxa"/>
            <w:tcBorders>
              <w:right w:val="single" w:sz="12" w:space="0" w:color="000000"/>
            </w:tcBorders>
          </w:tcPr>
          <w:p>
            <w:pPr>
              <w:pStyle w:val="TableParagraph"/>
              <w:spacing w:line="200" w:lineRule="exact"/>
              <w:ind w:left="85" w:right="74"/>
              <w:rPr>
                <w:rFonts w:ascii="Calibri"/>
                <w:sz w:val="18"/>
              </w:rPr>
            </w:pPr>
            <w:r>
              <w:rPr>
                <w:rFonts w:ascii="Calibri"/>
                <w:sz w:val="18"/>
              </w:rPr>
              <w:t>12.8</w:t>
            </w:r>
          </w:p>
        </w:tc>
        <w:tc>
          <w:tcPr>
            <w:tcW w:w="722" w:type="dxa"/>
            <w:tcBorders>
              <w:left w:val="single" w:sz="12" w:space="0" w:color="000000"/>
            </w:tcBorders>
          </w:tcPr>
          <w:p>
            <w:pPr>
              <w:pStyle w:val="TableParagraph"/>
              <w:spacing w:line="200" w:lineRule="exact"/>
              <w:ind w:left="113" w:right="121"/>
              <w:rPr>
                <w:rFonts w:ascii="Calibri"/>
                <w:sz w:val="18"/>
              </w:rPr>
            </w:pPr>
            <w:r>
              <w:rPr>
                <w:rFonts w:ascii="Calibri"/>
                <w:sz w:val="18"/>
              </w:rPr>
              <w:t>99.8</w:t>
            </w:r>
          </w:p>
        </w:tc>
        <w:tc>
          <w:tcPr>
            <w:tcW w:w="631" w:type="dxa"/>
          </w:tcPr>
          <w:p>
            <w:pPr>
              <w:pStyle w:val="TableParagraph"/>
              <w:spacing w:line="200" w:lineRule="exact"/>
              <w:ind w:left="126" w:right="128"/>
              <w:rPr>
                <w:rFonts w:ascii="Calibri"/>
                <w:sz w:val="18"/>
              </w:rPr>
            </w:pPr>
            <w:r>
              <w:rPr>
                <w:rFonts w:ascii="Calibri"/>
                <w:sz w:val="18"/>
              </w:rPr>
              <w:t>10.7</w:t>
            </w:r>
          </w:p>
        </w:tc>
        <w:tc>
          <w:tcPr>
            <w:tcW w:w="721" w:type="dxa"/>
          </w:tcPr>
          <w:p>
            <w:pPr>
              <w:pStyle w:val="TableParagraph"/>
              <w:spacing w:line="200" w:lineRule="exact"/>
              <w:ind w:left="128" w:right="131"/>
              <w:rPr>
                <w:rFonts w:ascii="Calibri"/>
                <w:sz w:val="18"/>
              </w:rPr>
            </w:pPr>
            <w:r>
              <w:rPr>
                <w:rFonts w:ascii="Calibri"/>
                <w:sz w:val="18"/>
              </w:rPr>
              <w:t>99.6</w:t>
            </w:r>
          </w:p>
        </w:tc>
        <w:tc>
          <w:tcPr>
            <w:tcW w:w="720" w:type="dxa"/>
            <w:tcBorders>
              <w:right w:val="single" w:sz="12" w:space="0" w:color="000000"/>
            </w:tcBorders>
          </w:tcPr>
          <w:p>
            <w:pPr>
              <w:pStyle w:val="TableParagraph"/>
              <w:spacing w:line="200" w:lineRule="exact"/>
              <w:ind w:left="94" w:right="91"/>
              <w:rPr>
                <w:rFonts w:ascii="Calibri"/>
                <w:sz w:val="18"/>
              </w:rPr>
            </w:pPr>
            <w:r>
              <w:rPr>
                <w:rFonts w:ascii="Calibri"/>
                <w:sz w:val="18"/>
              </w:rPr>
              <w:t>8.7</w:t>
            </w:r>
          </w:p>
        </w:tc>
        <w:tc>
          <w:tcPr>
            <w:tcW w:w="773" w:type="dxa"/>
            <w:tcBorders>
              <w:left w:val="single" w:sz="12" w:space="0" w:color="000000"/>
            </w:tcBorders>
          </w:tcPr>
          <w:p>
            <w:pPr>
              <w:pStyle w:val="TableParagraph"/>
              <w:spacing w:line="200" w:lineRule="exact"/>
              <w:ind w:left="143" w:right="159"/>
              <w:rPr>
                <w:rFonts w:ascii="Calibri"/>
                <w:sz w:val="18"/>
              </w:rPr>
            </w:pPr>
            <w:r>
              <w:rPr>
                <w:rFonts w:ascii="Calibri"/>
                <w:sz w:val="18"/>
              </w:rPr>
              <w:t>99.0</w:t>
            </w:r>
          </w:p>
        </w:tc>
        <w:tc>
          <w:tcPr>
            <w:tcW w:w="541" w:type="dxa"/>
          </w:tcPr>
          <w:p>
            <w:pPr>
              <w:pStyle w:val="TableParagraph"/>
              <w:spacing w:line="200" w:lineRule="exact"/>
              <w:ind w:left="99"/>
              <w:jc w:val="left"/>
              <w:rPr>
                <w:rFonts w:ascii="Calibri"/>
                <w:sz w:val="18"/>
              </w:rPr>
            </w:pPr>
            <w:r>
              <w:rPr>
                <w:rFonts w:ascii="Calibri"/>
                <w:sz w:val="18"/>
              </w:rPr>
              <w:t>13.1</w:t>
            </w:r>
          </w:p>
        </w:tc>
        <w:tc>
          <w:tcPr>
            <w:tcW w:w="721" w:type="dxa"/>
          </w:tcPr>
          <w:p>
            <w:pPr>
              <w:pStyle w:val="TableParagraph"/>
              <w:spacing w:line="200" w:lineRule="exact"/>
              <w:ind w:right="200"/>
              <w:jc w:val="right"/>
              <w:rPr>
                <w:rFonts w:ascii="Calibri"/>
                <w:sz w:val="18"/>
              </w:rPr>
            </w:pPr>
            <w:r>
              <w:rPr>
                <w:rFonts w:ascii="Calibri"/>
                <w:sz w:val="18"/>
              </w:rPr>
              <w:t>97.1</w:t>
            </w:r>
          </w:p>
        </w:tc>
        <w:tc>
          <w:tcPr>
            <w:tcW w:w="759" w:type="dxa"/>
            <w:tcBorders>
              <w:right w:val="single" w:sz="12" w:space="0" w:color="000000"/>
            </w:tcBorders>
          </w:tcPr>
          <w:p>
            <w:pPr>
              <w:pStyle w:val="TableParagraph"/>
              <w:spacing w:line="200" w:lineRule="exact"/>
              <w:ind w:left="117" w:right="121"/>
              <w:rPr>
                <w:rFonts w:ascii="Calibri"/>
                <w:sz w:val="18"/>
              </w:rPr>
            </w:pPr>
            <w:r>
              <w:rPr>
                <w:rFonts w:ascii="Calibri"/>
                <w:sz w:val="18"/>
              </w:rPr>
              <w:t>8.1</w:t>
            </w:r>
          </w:p>
        </w:tc>
        <w:tc>
          <w:tcPr>
            <w:tcW w:w="722" w:type="dxa"/>
            <w:tcBorders>
              <w:left w:val="single" w:sz="12" w:space="0" w:color="000000"/>
            </w:tcBorders>
          </w:tcPr>
          <w:p>
            <w:pPr>
              <w:pStyle w:val="TableParagraph"/>
              <w:spacing w:line="200" w:lineRule="exact"/>
              <w:ind w:left="105" w:right="129"/>
              <w:rPr>
                <w:rFonts w:ascii="Calibri"/>
                <w:sz w:val="18"/>
              </w:rPr>
            </w:pPr>
            <w:r>
              <w:rPr>
                <w:rFonts w:ascii="Calibri"/>
                <w:sz w:val="18"/>
              </w:rPr>
              <w:t>98.8</w:t>
            </w:r>
          </w:p>
        </w:tc>
        <w:tc>
          <w:tcPr>
            <w:tcW w:w="631" w:type="dxa"/>
          </w:tcPr>
          <w:p>
            <w:pPr>
              <w:pStyle w:val="TableParagraph"/>
              <w:spacing w:line="200" w:lineRule="exact"/>
              <w:ind w:right="158"/>
              <w:jc w:val="right"/>
              <w:rPr>
                <w:rFonts w:ascii="Calibri"/>
                <w:sz w:val="18"/>
              </w:rPr>
            </w:pPr>
            <w:r>
              <w:rPr>
                <w:rFonts w:ascii="Calibri"/>
                <w:sz w:val="18"/>
              </w:rPr>
              <w:t>11.0</w:t>
            </w:r>
          </w:p>
        </w:tc>
        <w:tc>
          <w:tcPr>
            <w:tcW w:w="721" w:type="dxa"/>
          </w:tcPr>
          <w:p>
            <w:pPr>
              <w:pStyle w:val="TableParagraph"/>
              <w:spacing w:line="200" w:lineRule="exact"/>
              <w:ind w:left="185"/>
              <w:jc w:val="left"/>
              <w:rPr>
                <w:rFonts w:ascii="Calibri"/>
                <w:sz w:val="18"/>
              </w:rPr>
            </w:pPr>
            <w:r>
              <w:rPr>
                <w:rFonts w:ascii="Calibri"/>
                <w:sz w:val="18"/>
              </w:rPr>
              <w:t>98.8</w:t>
            </w:r>
          </w:p>
        </w:tc>
        <w:tc>
          <w:tcPr>
            <w:tcW w:w="720" w:type="dxa"/>
            <w:tcBorders>
              <w:right w:val="single" w:sz="12" w:space="0" w:color="000000"/>
            </w:tcBorders>
          </w:tcPr>
          <w:p>
            <w:pPr>
              <w:pStyle w:val="TableParagraph"/>
              <w:spacing w:line="200" w:lineRule="exact"/>
              <w:ind w:left="88" w:right="98"/>
              <w:rPr>
                <w:rFonts w:ascii="Calibri"/>
                <w:sz w:val="18"/>
              </w:rPr>
            </w:pPr>
            <w:r>
              <w:rPr>
                <w:rFonts w:ascii="Calibri"/>
                <w:sz w:val="18"/>
              </w:rPr>
              <w:t>8.6</w:t>
            </w:r>
          </w:p>
        </w:tc>
        <w:tc>
          <w:tcPr>
            <w:tcW w:w="721" w:type="dxa"/>
            <w:tcBorders>
              <w:left w:val="single" w:sz="12" w:space="0" w:color="000000"/>
            </w:tcBorders>
          </w:tcPr>
          <w:p>
            <w:pPr>
              <w:pStyle w:val="TableParagraph"/>
              <w:spacing w:line="200" w:lineRule="exact"/>
              <w:ind w:left="174"/>
              <w:jc w:val="left"/>
              <w:rPr>
                <w:rFonts w:ascii="Calibri"/>
                <w:sz w:val="18"/>
              </w:rPr>
            </w:pPr>
            <w:r>
              <w:rPr>
                <w:rFonts w:ascii="Calibri"/>
                <w:sz w:val="18"/>
              </w:rPr>
              <w:t>96.2</w:t>
            </w:r>
          </w:p>
        </w:tc>
        <w:tc>
          <w:tcPr>
            <w:tcW w:w="630" w:type="dxa"/>
          </w:tcPr>
          <w:p>
            <w:pPr>
              <w:pStyle w:val="TableParagraph"/>
              <w:spacing w:line="200" w:lineRule="exact"/>
              <w:ind w:left="137"/>
              <w:jc w:val="left"/>
              <w:rPr>
                <w:rFonts w:ascii="Calibri"/>
                <w:sz w:val="18"/>
              </w:rPr>
            </w:pPr>
            <w:r>
              <w:rPr>
                <w:rFonts w:ascii="Calibri"/>
                <w:sz w:val="18"/>
              </w:rPr>
              <w:t>13.3</w:t>
            </w:r>
          </w:p>
        </w:tc>
        <w:tc>
          <w:tcPr>
            <w:tcW w:w="720" w:type="dxa"/>
          </w:tcPr>
          <w:p>
            <w:pPr>
              <w:pStyle w:val="TableParagraph"/>
              <w:spacing w:line="200" w:lineRule="exact"/>
              <w:ind w:left="183"/>
              <w:jc w:val="left"/>
              <w:rPr>
                <w:rFonts w:ascii="Calibri"/>
                <w:sz w:val="18"/>
              </w:rPr>
            </w:pPr>
            <w:r>
              <w:rPr>
                <w:rFonts w:ascii="Calibri"/>
                <w:sz w:val="18"/>
              </w:rPr>
              <w:t>99.9</w:t>
            </w:r>
          </w:p>
        </w:tc>
        <w:tc>
          <w:tcPr>
            <w:tcW w:w="719" w:type="dxa"/>
            <w:tcBorders>
              <w:right w:val="single" w:sz="12" w:space="0" w:color="000000"/>
            </w:tcBorders>
          </w:tcPr>
          <w:p>
            <w:pPr>
              <w:pStyle w:val="TableParagraph"/>
              <w:spacing w:line="200" w:lineRule="exact"/>
              <w:ind w:left="93" w:right="104"/>
              <w:rPr>
                <w:rFonts w:ascii="Calibri"/>
                <w:sz w:val="18"/>
              </w:rPr>
            </w:pPr>
            <w:r>
              <w:rPr>
                <w:rFonts w:ascii="Calibri"/>
                <w:sz w:val="18"/>
              </w:rPr>
              <w:t>21.1</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M5PFHxA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96.6</w:t>
            </w:r>
          </w:p>
        </w:tc>
        <w:tc>
          <w:tcPr>
            <w:tcW w:w="631" w:type="dxa"/>
          </w:tcPr>
          <w:p>
            <w:pPr>
              <w:pStyle w:val="TableParagraph"/>
              <w:spacing w:line="199" w:lineRule="exact"/>
              <w:ind w:left="129" w:right="124"/>
              <w:rPr>
                <w:rFonts w:ascii="Calibri"/>
                <w:sz w:val="18"/>
              </w:rPr>
            </w:pPr>
            <w:r>
              <w:rPr>
                <w:rFonts w:ascii="Calibri"/>
                <w:sz w:val="18"/>
              </w:rPr>
              <w:t>12.8</w:t>
            </w:r>
          </w:p>
        </w:tc>
        <w:tc>
          <w:tcPr>
            <w:tcW w:w="761" w:type="dxa"/>
          </w:tcPr>
          <w:p>
            <w:pPr>
              <w:pStyle w:val="TableParagraph"/>
              <w:spacing w:line="199" w:lineRule="exact"/>
              <w:ind w:left="151" w:right="148"/>
              <w:rPr>
                <w:rFonts w:ascii="Calibri"/>
                <w:sz w:val="18"/>
              </w:rPr>
            </w:pPr>
            <w:r>
              <w:rPr>
                <w:rFonts w:ascii="Calibri"/>
                <w:sz w:val="18"/>
              </w:rPr>
              <w:t>97.7</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13.6</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98.2</w:t>
            </w:r>
          </w:p>
        </w:tc>
        <w:tc>
          <w:tcPr>
            <w:tcW w:w="631" w:type="dxa"/>
          </w:tcPr>
          <w:p>
            <w:pPr>
              <w:pStyle w:val="TableParagraph"/>
              <w:spacing w:line="199" w:lineRule="exact"/>
              <w:ind w:left="126" w:right="128"/>
              <w:rPr>
                <w:rFonts w:ascii="Calibri"/>
                <w:sz w:val="18"/>
              </w:rPr>
            </w:pPr>
            <w:r>
              <w:rPr>
                <w:rFonts w:ascii="Calibri"/>
                <w:sz w:val="18"/>
              </w:rPr>
              <w:t>11.5</w:t>
            </w:r>
          </w:p>
        </w:tc>
        <w:tc>
          <w:tcPr>
            <w:tcW w:w="721" w:type="dxa"/>
          </w:tcPr>
          <w:p>
            <w:pPr>
              <w:pStyle w:val="TableParagraph"/>
              <w:spacing w:line="199" w:lineRule="exact"/>
              <w:ind w:left="128" w:right="131"/>
              <w:rPr>
                <w:rFonts w:ascii="Calibri"/>
                <w:sz w:val="18"/>
              </w:rPr>
            </w:pPr>
            <w:r>
              <w:rPr>
                <w:rFonts w:ascii="Calibri"/>
                <w:sz w:val="18"/>
              </w:rPr>
              <w:t>99.0</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10.1</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96.4</w:t>
            </w:r>
          </w:p>
        </w:tc>
        <w:tc>
          <w:tcPr>
            <w:tcW w:w="541" w:type="dxa"/>
          </w:tcPr>
          <w:p>
            <w:pPr>
              <w:pStyle w:val="TableParagraph"/>
              <w:spacing w:line="199" w:lineRule="exact"/>
              <w:ind w:left="99"/>
              <w:jc w:val="left"/>
              <w:rPr>
                <w:rFonts w:ascii="Calibri"/>
                <w:sz w:val="18"/>
              </w:rPr>
            </w:pPr>
            <w:r>
              <w:rPr>
                <w:rFonts w:ascii="Calibri"/>
                <w:sz w:val="18"/>
              </w:rPr>
              <w:t>13.5</w:t>
            </w:r>
          </w:p>
        </w:tc>
        <w:tc>
          <w:tcPr>
            <w:tcW w:w="721" w:type="dxa"/>
          </w:tcPr>
          <w:p>
            <w:pPr>
              <w:pStyle w:val="TableParagraph"/>
              <w:spacing w:line="199" w:lineRule="exact"/>
              <w:ind w:right="200"/>
              <w:jc w:val="right"/>
              <w:rPr>
                <w:rFonts w:ascii="Calibri"/>
                <w:sz w:val="18"/>
              </w:rPr>
            </w:pPr>
            <w:r>
              <w:rPr>
                <w:rFonts w:ascii="Calibri"/>
                <w:sz w:val="18"/>
              </w:rPr>
              <w:t>97.9</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10.7</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96.3</w:t>
            </w:r>
          </w:p>
        </w:tc>
        <w:tc>
          <w:tcPr>
            <w:tcW w:w="631" w:type="dxa"/>
          </w:tcPr>
          <w:p>
            <w:pPr>
              <w:pStyle w:val="TableParagraph"/>
              <w:spacing w:line="199" w:lineRule="exact"/>
              <w:ind w:right="158"/>
              <w:jc w:val="right"/>
              <w:rPr>
                <w:rFonts w:ascii="Calibri"/>
                <w:sz w:val="18"/>
              </w:rPr>
            </w:pPr>
            <w:r>
              <w:rPr>
                <w:rFonts w:ascii="Calibri"/>
                <w:sz w:val="18"/>
              </w:rPr>
              <w:t>14.4</w:t>
            </w:r>
          </w:p>
        </w:tc>
        <w:tc>
          <w:tcPr>
            <w:tcW w:w="721" w:type="dxa"/>
          </w:tcPr>
          <w:p>
            <w:pPr>
              <w:pStyle w:val="TableParagraph"/>
              <w:spacing w:line="199" w:lineRule="exact"/>
              <w:ind w:left="185"/>
              <w:jc w:val="left"/>
              <w:rPr>
                <w:rFonts w:ascii="Calibri"/>
                <w:sz w:val="18"/>
              </w:rPr>
            </w:pPr>
            <w:r>
              <w:rPr>
                <w:rFonts w:ascii="Calibri"/>
                <w:sz w:val="18"/>
              </w:rPr>
              <w:t>96.7</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11.2</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95.4</w:t>
            </w:r>
          </w:p>
        </w:tc>
        <w:tc>
          <w:tcPr>
            <w:tcW w:w="630" w:type="dxa"/>
          </w:tcPr>
          <w:p>
            <w:pPr>
              <w:pStyle w:val="TableParagraph"/>
              <w:spacing w:line="199" w:lineRule="exact"/>
              <w:ind w:left="137"/>
              <w:jc w:val="left"/>
              <w:rPr>
                <w:rFonts w:ascii="Calibri"/>
                <w:sz w:val="18"/>
              </w:rPr>
            </w:pPr>
            <w:r>
              <w:rPr>
                <w:rFonts w:ascii="Calibri"/>
                <w:sz w:val="18"/>
              </w:rPr>
              <w:t>12.0</w:t>
            </w:r>
          </w:p>
        </w:tc>
        <w:tc>
          <w:tcPr>
            <w:tcW w:w="720" w:type="dxa"/>
          </w:tcPr>
          <w:p>
            <w:pPr>
              <w:pStyle w:val="TableParagraph"/>
              <w:spacing w:line="199" w:lineRule="exact"/>
              <w:ind w:left="183"/>
              <w:jc w:val="left"/>
              <w:rPr>
                <w:rFonts w:ascii="Calibri"/>
                <w:sz w:val="18"/>
              </w:rPr>
            </w:pPr>
            <w:r>
              <w:rPr>
                <w:rFonts w:ascii="Calibri"/>
                <w:sz w:val="18"/>
              </w:rPr>
              <w:t>97.4</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20.3</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M5PFPeA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98.3</w:t>
            </w:r>
          </w:p>
        </w:tc>
        <w:tc>
          <w:tcPr>
            <w:tcW w:w="631" w:type="dxa"/>
          </w:tcPr>
          <w:p>
            <w:pPr>
              <w:pStyle w:val="TableParagraph"/>
              <w:spacing w:line="199" w:lineRule="exact"/>
              <w:ind w:left="129" w:right="124"/>
              <w:rPr>
                <w:rFonts w:ascii="Calibri"/>
                <w:sz w:val="18"/>
              </w:rPr>
            </w:pPr>
            <w:r>
              <w:rPr>
                <w:rFonts w:ascii="Calibri"/>
                <w:sz w:val="18"/>
              </w:rPr>
              <w:t>7.8</w:t>
            </w:r>
          </w:p>
        </w:tc>
        <w:tc>
          <w:tcPr>
            <w:tcW w:w="761" w:type="dxa"/>
          </w:tcPr>
          <w:p>
            <w:pPr>
              <w:pStyle w:val="TableParagraph"/>
              <w:spacing w:line="199" w:lineRule="exact"/>
              <w:ind w:left="151" w:right="148"/>
              <w:rPr>
                <w:rFonts w:ascii="Calibri"/>
                <w:sz w:val="18"/>
              </w:rPr>
            </w:pPr>
            <w:r>
              <w:rPr>
                <w:rFonts w:ascii="Calibri"/>
                <w:sz w:val="18"/>
              </w:rPr>
              <w:t>99.0</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11.2</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97.9</w:t>
            </w:r>
          </w:p>
        </w:tc>
        <w:tc>
          <w:tcPr>
            <w:tcW w:w="631" w:type="dxa"/>
          </w:tcPr>
          <w:p>
            <w:pPr>
              <w:pStyle w:val="TableParagraph"/>
              <w:spacing w:line="199" w:lineRule="exact"/>
              <w:ind w:left="126" w:right="128"/>
              <w:rPr>
                <w:rFonts w:ascii="Calibri"/>
                <w:sz w:val="18"/>
              </w:rPr>
            </w:pPr>
            <w:r>
              <w:rPr>
                <w:rFonts w:ascii="Calibri"/>
                <w:sz w:val="18"/>
              </w:rPr>
              <w:t>8.2</w:t>
            </w:r>
          </w:p>
        </w:tc>
        <w:tc>
          <w:tcPr>
            <w:tcW w:w="721" w:type="dxa"/>
          </w:tcPr>
          <w:p>
            <w:pPr>
              <w:pStyle w:val="TableParagraph"/>
              <w:spacing w:line="199" w:lineRule="exact"/>
              <w:ind w:left="128" w:right="131"/>
              <w:rPr>
                <w:rFonts w:ascii="Calibri"/>
                <w:sz w:val="18"/>
              </w:rPr>
            </w:pPr>
            <w:r>
              <w:rPr>
                <w:rFonts w:ascii="Calibri"/>
                <w:sz w:val="18"/>
              </w:rPr>
              <w:t>99.3</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7.9</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96.9</w:t>
            </w:r>
          </w:p>
        </w:tc>
        <w:tc>
          <w:tcPr>
            <w:tcW w:w="541" w:type="dxa"/>
          </w:tcPr>
          <w:p>
            <w:pPr>
              <w:pStyle w:val="TableParagraph"/>
              <w:spacing w:line="199" w:lineRule="exact"/>
              <w:ind w:left="145"/>
              <w:jc w:val="left"/>
              <w:rPr>
                <w:rFonts w:ascii="Calibri"/>
                <w:sz w:val="18"/>
              </w:rPr>
            </w:pPr>
            <w:r>
              <w:rPr>
                <w:rFonts w:ascii="Calibri"/>
                <w:sz w:val="18"/>
              </w:rPr>
              <w:t>8.2</w:t>
            </w:r>
          </w:p>
        </w:tc>
        <w:tc>
          <w:tcPr>
            <w:tcW w:w="721" w:type="dxa"/>
          </w:tcPr>
          <w:p>
            <w:pPr>
              <w:pStyle w:val="TableParagraph"/>
              <w:spacing w:line="199" w:lineRule="exact"/>
              <w:ind w:right="201"/>
              <w:jc w:val="right"/>
              <w:rPr>
                <w:rFonts w:ascii="Calibri"/>
                <w:sz w:val="18"/>
              </w:rPr>
            </w:pPr>
            <w:r>
              <w:rPr>
                <w:rFonts w:ascii="Calibri"/>
                <w:sz w:val="18"/>
              </w:rPr>
              <w:t>99.3</w:t>
            </w:r>
          </w:p>
        </w:tc>
        <w:tc>
          <w:tcPr>
            <w:tcW w:w="759" w:type="dxa"/>
            <w:tcBorders>
              <w:right w:val="single" w:sz="12" w:space="0" w:color="000000"/>
            </w:tcBorders>
          </w:tcPr>
          <w:p>
            <w:pPr>
              <w:pStyle w:val="TableParagraph"/>
              <w:spacing w:line="199" w:lineRule="exact"/>
              <w:ind w:left="117" w:right="121"/>
              <w:rPr>
                <w:rFonts w:ascii="Calibri"/>
                <w:sz w:val="18"/>
              </w:rPr>
            </w:pPr>
            <w:r>
              <w:rPr>
                <w:rFonts w:ascii="Calibri"/>
                <w:sz w:val="18"/>
              </w:rPr>
              <w:t>6.1</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99.2</w:t>
            </w:r>
          </w:p>
        </w:tc>
        <w:tc>
          <w:tcPr>
            <w:tcW w:w="631" w:type="dxa"/>
          </w:tcPr>
          <w:p>
            <w:pPr>
              <w:pStyle w:val="TableParagraph"/>
              <w:spacing w:line="199" w:lineRule="exact"/>
              <w:ind w:right="204"/>
              <w:jc w:val="right"/>
              <w:rPr>
                <w:rFonts w:ascii="Calibri"/>
                <w:sz w:val="18"/>
              </w:rPr>
            </w:pPr>
            <w:r>
              <w:rPr>
                <w:rFonts w:ascii="Calibri"/>
                <w:sz w:val="18"/>
              </w:rPr>
              <w:t>7.6</w:t>
            </w:r>
          </w:p>
        </w:tc>
        <w:tc>
          <w:tcPr>
            <w:tcW w:w="721" w:type="dxa"/>
          </w:tcPr>
          <w:p>
            <w:pPr>
              <w:pStyle w:val="TableParagraph"/>
              <w:spacing w:line="199" w:lineRule="exact"/>
              <w:ind w:left="185"/>
              <w:jc w:val="left"/>
              <w:rPr>
                <w:rFonts w:ascii="Calibri"/>
                <w:sz w:val="18"/>
              </w:rPr>
            </w:pPr>
            <w:r>
              <w:rPr>
                <w:rFonts w:ascii="Calibri"/>
                <w:sz w:val="18"/>
              </w:rPr>
              <w:t>97.2</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7.2</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99.2</w:t>
            </w:r>
          </w:p>
        </w:tc>
        <w:tc>
          <w:tcPr>
            <w:tcW w:w="630" w:type="dxa"/>
          </w:tcPr>
          <w:p>
            <w:pPr>
              <w:pStyle w:val="TableParagraph"/>
              <w:spacing w:line="199" w:lineRule="exact"/>
              <w:ind w:left="183"/>
              <w:jc w:val="left"/>
              <w:rPr>
                <w:rFonts w:ascii="Calibri"/>
                <w:sz w:val="18"/>
              </w:rPr>
            </w:pPr>
            <w:r>
              <w:rPr>
                <w:rFonts w:ascii="Calibri"/>
                <w:sz w:val="18"/>
              </w:rPr>
              <w:t>7.2</w:t>
            </w:r>
          </w:p>
        </w:tc>
        <w:tc>
          <w:tcPr>
            <w:tcW w:w="720" w:type="dxa"/>
          </w:tcPr>
          <w:p>
            <w:pPr>
              <w:pStyle w:val="TableParagraph"/>
              <w:spacing w:line="199" w:lineRule="exact"/>
              <w:ind w:left="137"/>
              <w:jc w:val="left"/>
              <w:rPr>
                <w:rFonts w:ascii="Calibri"/>
                <w:sz w:val="18"/>
              </w:rPr>
            </w:pPr>
            <w:r>
              <w:rPr>
                <w:rFonts w:ascii="Calibri"/>
                <w:sz w:val="18"/>
              </w:rPr>
              <w:t>100.4</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18.5</w:t>
            </w:r>
          </w:p>
        </w:tc>
      </w:tr>
      <w:tr>
        <w:trPr>
          <w:trHeight w:val="300" w:hRule="atLeast"/>
        </w:trPr>
        <w:tc>
          <w:tcPr>
            <w:tcW w:w="1435" w:type="dxa"/>
            <w:tcBorders>
              <w:right w:val="single" w:sz="12" w:space="0" w:color="000000"/>
            </w:tcBorders>
          </w:tcPr>
          <w:p>
            <w:pPr>
              <w:pStyle w:val="TableParagraph"/>
              <w:spacing w:line="200" w:lineRule="exact"/>
              <w:ind w:left="176" w:right="158"/>
              <w:rPr>
                <w:rFonts w:ascii="Calibri"/>
                <w:sz w:val="18"/>
              </w:rPr>
            </w:pPr>
            <w:r>
              <w:rPr>
                <w:rFonts w:ascii="Calibri"/>
                <w:sz w:val="18"/>
              </w:rPr>
              <w:t>MPFBA</w:t>
            </w:r>
          </w:p>
        </w:tc>
        <w:tc>
          <w:tcPr>
            <w:tcW w:w="726" w:type="dxa"/>
            <w:tcBorders>
              <w:left w:val="single" w:sz="12" w:space="0" w:color="000000"/>
            </w:tcBorders>
          </w:tcPr>
          <w:p>
            <w:pPr>
              <w:pStyle w:val="TableParagraph"/>
              <w:spacing w:line="200" w:lineRule="exact"/>
              <w:ind w:left="127" w:right="127"/>
              <w:rPr>
                <w:rFonts w:ascii="Calibri"/>
                <w:sz w:val="18"/>
              </w:rPr>
            </w:pPr>
            <w:r>
              <w:rPr>
                <w:rFonts w:ascii="Calibri"/>
                <w:sz w:val="18"/>
              </w:rPr>
              <w:t>95.1</w:t>
            </w:r>
          </w:p>
        </w:tc>
        <w:tc>
          <w:tcPr>
            <w:tcW w:w="631" w:type="dxa"/>
          </w:tcPr>
          <w:p>
            <w:pPr>
              <w:pStyle w:val="TableParagraph"/>
              <w:spacing w:line="200" w:lineRule="exact"/>
              <w:ind w:left="129" w:right="124"/>
              <w:rPr>
                <w:rFonts w:ascii="Calibri"/>
                <w:sz w:val="18"/>
              </w:rPr>
            </w:pPr>
            <w:r>
              <w:rPr>
                <w:rFonts w:ascii="Calibri"/>
                <w:sz w:val="18"/>
              </w:rPr>
              <w:t>12.6</w:t>
            </w:r>
          </w:p>
        </w:tc>
        <w:tc>
          <w:tcPr>
            <w:tcW w:w="761" w:type="dxa"/>
          </w:tcPr>
          <w:p>
            <w:pPr>
              <w:pStyle w:val="TableParagraph"/>
              <w:spacing w:line="200" w:lineRule="exact"/>
              <w:ind w:left="151" w:right="148"/>
              <w:rPr>
                <w:rFonts w:ascii="Calibri"/>
                <w:sz w:val="18"/>
              </w:rPr>
            </w:pPr>
            <w:r>
              <w:rPr>
                <w:rFonts w:ascii="Calibri"/>
                <w:sz w:val="18"/>
              </w:rPr>
              <w:t>96.5</w:t>
            </w:r>
          </w:p>
        </w:tc>
        <w:tc>
          <w:tcPr>
            <w:tcW w:w="681" w:type="dxa"/>
            <w:tcBorders>
              <w:right w:val="single" w:sz="12" w:space="0" w:color="000000"/>
            </w:tcBorders>
          </w:tcPr>
          <w:p>
            <w:pPr>
              <w:pStyle w:val="TableParagraph"/>
              <w:spacing w:line="200" w:lineRule="exact"/>
              <w:ind w:left="85" w:right="74"/>
              <w:rPr>
                <w:rFonts w:ascii="Calibri"/>
                <w:sz w:val="18"/>
              </w:rPr>
            </w:pPr>
            <w:r>
              <w:rPr>
                <w:rFonts w:ascii="Calibri"/>
                <w:sz w:val="18"/>
              </w:rPr>
              <w:t>12.2</w:t>
            </w:r>
          </w:p>
        </w:tc>
        <w:tc>
          <w:tcPr>
            <w:tcW w:w="722" w:type="dxa"/>
            <w:tcBorders>
              <w:left w:val="single" w:sz="12" w:space="0" w:color="000000"/>
            </w:tcBorders>
          </w:tcPr>
          <w:p>
            <w:pPr>
              <w:pStyle w:val="TableParagraph"/>
              <w:spacing w:line="200" w:lineRule="exact"/>
              <w:ind w:left="113" w:right="121"/>
              <w:rPr>
                <w:rFonts w:ascii="Calibri"/>
                <w:sz w:val="18"/>
              </w:rPr>
            </w:pPr>
            <w:r>
              <w:rPr>
                <w:rFonts w:ascii="Calibri"/>
                <w:sz w:val="18"/>
              </w:rPr>
              <w:t>93.0</w:t>
            </w:r>
          </w:p>
        </w:tc>
        <w:tc>
          <w:tcPr>
            <w:tcW w:w="631" w:type="dxa"/>
          </w:tcPr>
          <w:p>
            <w:pPr>
              <w:pStyle w:val="TableParagraph"/>
              <w:spacing w:line="200" w:lineRule="exact"/>
              <w:ind w:left="126" w:right="128"/>
              <w:rPr>
                <w:rFonts w:ascii="Calibri"/>
                <w:sz w:val="18"/>
              </w:rPr>
            </w:pPr>
            <w:r>
              <w:rPr>
                <w:rFonts w:ascii="Calibri"/>
                <w:sz w:val="18"/>
              </w:rPr>
              <w:t>15.0</w:t>
            </w:r>
          </w:p>
        </w:tc>
        <w:tc>
          <w:tcPr>
            <w:tcW w:w="721" w:type="dxa"/>
          </w:tcPr>
          <w:p>
            <w:pPr>
              <w:pStyle w:val="TableParagraph"/>
              <w:spacing w:line="200" w:lineRule="exact"/>
              <w:ind w:left="128" w:right="131"/>
              <w:rPr>
                <w:rFonts w:ascii="Calibri"/>
                <w:sz w:val="18"/>
              </w:rPr>
            </w:pPr>
            <w:r>
              <w:rPr>
                <w:rFonts w:ascii="Calibri"/>
                <w:sz w:val="18"/>
              </w:rPr>
              <w:t>95.9</w:t>
            </w:r>
          </w:p>
        </w:tc>
        <w:tc>
          <w:tcPr>
            <w:tcW w:w="720" w:type="dxa"/>
            <w:tcBorders>
              <w:right w:val="single" w:sz="12" w:space="0" w:color="000000"/>
            </w:tcBorders>
          </w:tcPr>
          <w:p>
            <w:pPr>
              <w:pStyle w:val="TableParagraph"/>
              <w:spacing w:line="200" w:lineRule="exact"/>
              <w:ind w:left="94" w:right="91"/>
              <w:rPr>
                <w:rFonts w:ascii="Calibri"/>
                <w:sz w:val="18"/>
              </w:rPr>
            </w:pPr>
            <w:r>
              <w:rPr>
                <w:rFonts w:ascii="Calibri"/>
                <w:sz w:val="18"/>
              </w:rPr>
              <w:t>11.4</w:t>
            </w:r>
          </w:p>
        </w:tc>
        <w:tc>
          <w:tcPr>
            <w:tcW w:w="773" w:type="dxa"/>
            <w:tcBorders>
              <w:left w:val="single" w:sz="12" w:space="0" w:color="000000"/>
            </w:tcBorders>
          </w:tcPr>
          <w:p>
            <w:pPr>
              <w:pStyle w:val="TableParagraph"/>
              <w:spacing w:line="200" w:lineRule="exact"/>
              <w:ind w:left="143" w:right="159"/>
              <w:rPr>
                <w:rFonts w:ascii="Calibri"/>
                <w:sz w:val="18"/>
              </w:rPr>
            </w:pPr>
            <w:r>
              <w:rPr>
                <w:rFonts w:ascii="Calibri"/>
                <w:sz w:val="18"/>
              </w:rPr>
              <w:t>97.3</w:t>
            </w:r>
          </w:p>
        </w:tc>
        <w:tc>
          <w:tcPr>
            <w:tcW w:w="541" w:type="dxa"/>
          </w:tcPr>
          <w:p>
            <w:pPr>
              <w:pStyle w:val="TableParagraph"/>
              <w:spacing w:line="200" w:lineRule="exact"/>
              <w:ind w:left="145"/>
              <w:jc w:val="left"/>
              <w:rPr>
                <w:rFonts w:ascii="Calibri"/>
                <w:sz w:val="18"/>
              </w:rPr>
            </w:pPr>
            <w:r>
              <w:rPr>
                <w:rFonts w:ascii="Calibri"/>
                <w:sz w:val="18"/>
              </w:rPr>
              <w:t>9.6</w:t>
            </w:r>
          </w:p>
        </w:tc>
        <w:tc>
          <w:tcPr>
            <w:tcW w:w="721" w:type="dxa"/>
          </w:tcPr>
          <w:p>
            <w:pPr>
              <w:pStyle w:val="TableParagraph"/>
              <w:spacing w:line="200" w:lineRule="exact"/>
              <w:ind w:right="200"/>
              <w:jc w:val="right"/>
              <w:rPr>
                <w:rFonts w:ascii="Calibri"/>
                <w:sz w:val="18"/>
              </w:rPr>
            </w:pPr>
            <w:r>
              <w:rPr>
                <w:rFonts w:ascii="Calibri"/>
                <w:sz w:val="18"/>
              </w:rPr>
              <w:t>97.0</w:t>
            </w:r>
          </w:p>
        </w:tc>
        <w:tc>
          <w:tcPr>
            <w:tcW w:w="759" w:type="dxa"/>
            <w:tcBorders>
              <w:right w:val="single" w:sz="12" w:space="0" w:color="000000"/>
            </w:tcBorders>
          </w:tcPr>
          <w:p>
            <w:pPr>
              <w:pStyle w:val="TableParagraph"/>
              <w:spacing w:line="200" w:lineRule="exact"/>
              <w:ind w:left="117" w:right="121"/>
              <w:rPr>
                <w:rFonts w:ascii="Calibri"/>
                <w:sz w:val="18"/>
              </w:rPr>
            </w:pPr>
            <w:r>
              <w:rPr>
                <w:rFonts w:ascii="Calibri"/>
                <w:sz w:val="18"/>
              </w:rPr>
              <w:t>7.1</w:t>
            </w:r>
          </w:p>
        </w:tc>
        <w:tc>
          <w:tcPr>
            <w:tcW w:w="722" w:type="dxa"/>
            <w:tcBorders>
              <w:left w:val="single" w:sz="12" w:space="0" w:color="000000"/>
            </w:tcBorders>
          </w:tcPr>
          <w:p>
            <w:pPr>
              <w:pStyle w:val="TableParagraph"/>
              <w:spacing w:line="200" w:lineRule="exact"/>
              <w:ind w:left="105" w:right="129"/>
              <w:rPr>
                <w:rFonts w:ascii="Calibri"/>
                <w:sz w:val="18"/>
              </w:rPr>
            </w:pPr>
            <w:r>
              <w:rPr>
                <w:rFonts w:ascii="Calibri"/>
                <w:sz w:val="18"/>
              </w:rPr>
              <w:t>94.1</w:t>
            </w:r>
          </w:p>
        </w:tc>
        <w:tc>
          <w:tcPr>
            <w:tcW w:w="631" w:type="dxa"/>
          </w:tcPr>
          <w:p>
            <w:pPr>
              <w:pStyle w:val="TableParagraph"/>
              <w:spacing w:line="200" w:lineRule="exact"/>
              <w:ind w:right="158"/>
              <w:jc w:val="right"/>
              <w:rPr>
                <w:rFonts w:ascii="Calibri"/>
                <w:sz w:val="18"/>
              </w:rPr>
            </w:pPr>
            <w:r>
              <w:rPr>
                <w:rFonts w:ascii="Calibri"/>
                <w:sz w:val="18"/>
              </w:rPr>
              <w:t>12.9</w:t>
            </w:r>
          </w:p>
        </w:tc>
        <w:tc>
          <w:tcPr>
            <w:tcW w:w="721" w:type="dxa"/>
          </w:tcPr>
          <w:p>
            <w:pPr>
              <w:pStyle w:val="TableParagraph"/>
              <w:spacing w:line="200" w:lineRule="exact"/>
              <w:ind w:left="185"/>
              <w:jc w:val="left"/>
              <w:rPr>
                <w:rFonts w:ascii="Calibri"/>
                <w:sz w:val="18"/>
              </w:rPr>
            </w:pPr>
            <w:r>
              <w:rPr>
                <w:rFonts w:ascii="Calibri"/>
                <w:sz w:val="18"/>
              </w:rPr>
              <w:t>94.2</w:t>
            </w:r>
          </w:p>
        </w:tc>
        <w:tc>
          <w:tcPr>
            <w:tcW w:w="720" w:type="dxa"/>
            <w:tcBorders>
              <w:right w:val="single" w:sz="12" w:space="0" w:color="000000"/>
            </w:tcBorders>
          </w:tcPr>
          <w:p>
            <w:pPr>
              <w:pStyle w:val="TableParagraph"/>
              <w:spacing w:line="200" w:lineRule="exact"/>
              <w:ind w:left="88" w:right="98"/>
              <w:rPr>
                <w:rFonts w:ascii="Calibri"/>
                <w:sz w:val="18"/>
              </w:rPr>
            </w:pPr>
            <w:r>
              <w:rPr>
                <w:rFonts w:ascii="Calibri"/>
                <w:sz w:val="18"/>
              </w:rPr>
              <w:t>10.2</w:t>
            </w:r>
          </w:p>
        </w:tc>
        <w:tc>
          <w:tcPr>
            <w:tcW w:w="721" w:type="dxa"/>
            <w:tcBorders>
              <w:left w:val="single" w:sz="12" w:space="0" w:color="000000"/>
            </w:tcBorders>
          </w:tcPr>
          <w:p>
            <w:pPr>
              <w:pStyle w:val="TableParagraph"/>
              <w:spacing w:line="200" w:lineRule="exact"/>
              <w:ind w:left="174"/>
              <w:jc w:val="left"/>
              <w:rPr>
                <w:rFonts w:ascii="Calibri"/>
                <w:sz w:val="18"/>
              </w:rPr>
            </w:pPr>
            <w:r>
              <w:rPr>
                <w:rFonts w:ascii="Calibri"/>
                <w:sz w:val="18"/>
              </w:rPr>
              <w:t>96.1</w:t>
            </w:r>
          </w:p>
        </w:tc>
        <w:tc>
          <w:tcPr>
            <w:tcW w:w="630" w:type="dxa"/>
          </w:tcPr>
          <w:p>
            <w:pPr>
              <w:pStyle w:val="TableParagraph"/>
              <w:spacing w:line="200" w:lineRule="exact"/>
              <w:ind w:left="137"/>
              <w:jc w:val="left"/>
              <w:rPr>
                <w:rFonts w:ascii="Calibri"/>
                <w:sz w:val="18"/>
              </w:rPr>
            </w:pPr>
            <w:r>
              <w:rPr>
                <w:rFonts w:ascii="Calibri"/>
                <w:sz w:val="18"/>
              </w:rPr>
              <w:t>12.4</w:t>
            </w:r>
          </w:p>
        </w:tc>
        <w:tc>
          <w:tcPr>
            <w:tcW w:w="720" w:type="dxa"/>
          </w:tcPr>
          <w:p>
            <w:pPr>
              <w:pStyle w:val="TableParagraph"/>
              <w:spacing w:line="200" w:lineRule="exact"/>
              <w:ind w:left="183"/>
              <w:jc w:val="left"/>
              <w:rPr>
                <w:rFonts w:ascii="Calibri"/>
                <w:sz w:val="18"/>
              </w:rPr>
            </w:pPr>
            <w:r>
              <w:rPr>
                <w:rFonts w:ascii="Calibri"/>
                <w:sz w:val="18"/>
              </w:rPr>
              <w:t>98.9</w:t>
            </w:r>
          </w:p>
        </w:tc>
        <w:tc>
          <w:tcPr>
            <w:tcW w:w="719" w:type="dxa"/>
            <w:tcBorders>
              <w:right w:val="single" w:sz="12" w:space="0" w:color="000000"/>
            </w:tcBorders>
          </w:tcPr>
          <w:p>
            <w:pPr>
              <w:pStyle w:val="TableParagraph"/>
              <w:spacing w:line="200" w:lineRule="exact"/>
              <w:ind w:left="93" w:right="104"/>
              <w:rPr>
                <w:rFonts w:ascii="Calibri"/>
                <w:sz w:val="18"/>
              </w:rPr>
            </w:pPr>
            <w:r>
              <w:rPr>
                <w:rFonts w:ascii="Calibri"/>
                <w:sz w:val="18"/>
              </w:rPr>
              <w:t>17.4</w:t>
            </w:r>
          </w:p>
        </w:tc>
      </w:tr>
      <w:tr>
        <w:trPr>
          <w:trHeight w:val="299" w:hRule="atLeast"/>
        </w:trPr>
        <w:tc>
          <w:tcPr>
            <w:tcW w:w="1435" w:type="dxa"/>
            <w:tcBorders>
              <w:right w:val="single" w:sz="12" w:space="0" w:color="000000"/>
            </w:tcBorders>
          </w:tcPr>
          <w:p>
            <w:pPr>
              <w:pStyle w:val="TableParagraph"/>
              <w:spacing w:line="199" w:lineRule="exact"/>
              <w:ind w:left="174" w:right="158"/>
              <w:rPr>
                <w:rFonts w:ascii="Calibri"/>
                <w:sz w:val="18"/>
              </w:rPr>
            </w:pPr>
            <w:r>
              <w:rPr>
                <w:rFonts w:ascii="Calibri"/>
                <w:sz w:val="18"/>
              </w:rPr>
              <w:t>M8PFOS</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98.9</w:t>
            </w:r>
          </w:p>
        </w:tc>
        <w:tc>
          <w:tcPr>
            <w:tcW w:w="631" w:type="dxa"/>
          </w:tcPr>
          <w:p>
            <w:pPr>
              <w:pStyle w:val="TableParagraph"/>
              <w:spacing w:line="199" w:lineRule="exact"/>
              <w:ind w:left="129" w:right="124"/>
              <w:rPr>
                <w:rFonts w:ascii="Calibri"/>
                <w:sz w:val="18"/>
              </w:rPr>
            </w:pPr>
            <w:r>
              <w:rPr>
                <w:rFonts w:ascii="Calibri"/>
                <w:sz w:val="18"/>
              </w:rPr>
              <w:t>11.5</w:t>
            </w:r>
          </w:p>
        </w:tc>
        <w:tc>
          <w:tcPr>
            <w:tcW w:w="761" w:type="dxa"/>
          </w:tcPr>
          <w:p>
            <w:pPr>
              <w:pStyle w:val="TableParagraph"/>
              <w:spacing w:line="199" w:lineRule="exact"/>
              <w:ind w:left="151" w:right="148"/>
              <w:rPr>
                <w:rFonts w:ascii="Calibri"/>
                <w:sz w:val="18"/>
              </w:rPr>
            </w:pPr>
            <w:r>
              <w:rPr>
                <w:rFonts w:ascii="Calibri"/>
                <w:sz w:val="18"/>
              </w:rPr>
              <w:t>100.2</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13.1</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97.8</w:t>
            </w:r>
          </w:p>
        </w:tc>
        <w:tc>
          <w:tcPr>
            <w:tcW w:w="631" w:type="dxa"/>
          </w:tcPr>
          <w:p>
            <w:pPr>
              <w:pStyle w:val="TableParagraph"/>
              <w:spacing w:line="199" w:lineRule="exact"/>
              <w:ind w:left="126" w:right="128"/>
              <w:rPr>
                <w:rFonts w:ascii="Calibri"/>
                <w:sz w:val="18"/>
              </w:rPr>
            </w:pPr>
            <w:r>
              <w:rPr>
                <w:rFonts w:ascii="Calibri"/>
                <w:sz w:val="18"/>
              </w:rPr>
              <w:t>9.1</w:t>
            </w:r>
          </w:p>
        </w:tc>
        <w:tc>
          <w:tcPr>
            <w:tcW w:w="721" w:type="dxa"/>
          </w:tcPr>
          <w:p>
            <w:pPr>
              <w:pStyle w:val="TableParagraph"/>
              <w:spacing w:line="199" w:lineRule="exact"/>
              <w:ind w:left="128" w:right="131"/>
              <w:rPr>
                <w:rFonts w:ascii="Calibri"/>
                <w:sz w:val="18"/>
              </w:rPr>
            </w:pPr>
            <w:r>
              <w:rPr>
                <w:rFonts w:ascii="Calibri"/>
                <w:sz w:val="18"/>
              </w:rPr>
              <w:t>99.6</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9.9</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100.3</w:t>
            </w:r>
          </w:p>
        </w:tc>
        <w:tc>
          <w:tcPr>
            <w:tcW w:w="541" w:type="dxa"/>
          </w:tcPr>
          <w:p>
            <w:pPr>
              <w:pStyle w:val="TableParagraph"/>
              <w:spacing w:line="199" w:lineRule="exact"/>
              <w:ind w:left="145"/>
              <w:jc w:val="left"/>
              <w:rPr>
                <w:rFonts w:ascii="Calibri"/>
                <w:sz w:val="18"/>
              </w:rPr>
            </w:pPr>
            <w:r>
              <w:rPr>
                <w:rFonts w:ascii="Calibri"/>
                <w:sz w:val="18"/>
              </w:rPr>
              <w:t>9.5</w:t>
            </w:r>
          </w:p>
        </w:tc>
        <w:tc>
          <w:tcPr>
            <w:tcW w:w="721" w:type="dxa"/>
          </w:tcPr>
          <w:p>
            <w:pPr>
              <w:pStyle w:val="TableParagraph"/>
              <w:spacing w:line="199" w:lineRule="exact"/>
              <w:ind w:right="155"/>
              <w:jc w:val="right"/>
              <w:rPr>
                <w:rFonts w:ascii="Calibri"/>
                <w:sz w:val="18"/>
              </w:rPr>
            </w:pPr>
            <w:r>
              <w:rPr>
                <w:rFonts w:ascii="Calibri"/>
                <w:sz w:val="18"/>
              </w:rPr>
              <w:t>100.5</w:t>
            </w:r>
          </w:p>
        </w:tc>
        <w:tc>
          <w:tcPr>
            <w:tcW w:w="759" w:type="dxa"/>
            <w:tcBorders>
              <w:right w:val="single" w:sz="12" w:space="0" w:color="000000"/>
            </w:tcBorders>
          </w:tcPr>
          <w:p>
            <w:pPr>
              <w:pStyle w:val="TableParagraph"/>
              <w:spacing w:line="199" w:lineRule="exact"/>
              <w:ind w:left="117" w:right="121"/>
              <w:rPr>
                <w:rFonts w:ascii="Calibri"/>
                <w:sz w:val="18"/>
              </w:rPr>
            </w:pPr>
            <w:r>
              <w:rPr>
                <w:rFonts w:ascii="Calibri"/>
                <w:sz w:val="18"/>
              </w:rPr>
              <w:t>9.4</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98.9</w:t>
            </w:r>
          </w:p>
        </w:tc>
        <w:tc>
          <w:tcPr>
            <w:tcW w:w="631" w:type="dxa"/>
          </w:tcPr>
          <w:p>
            <w:pPr>
              <w:pStyle w:val="TableParagraph"/>
              <w:spacing w:line="199" w:lineRule="exact"/>
              <w:ind w:right="158"/>
              <w:jc w:val="right"/>
              <w:rPr>
                <w:rFonts w:ascii="Calibri"/>
                <w:sz w:val="18"/>
              </w:rPr>
            </w:pPr>
            <w:r>
              <w:rPr>
                <w:rFonts w:ascii="Calibri"/>
                <w:sz w:val="18"/>
              </w:rPr>
              <w:t>13.1</w:t>
            </w:r>
          </w:p>
        </w:tc>
        <w:tc>
          <w:tcPr>
            <w:tcW w:w="721" w:type="dxa"/>
          </w:tcPr>
          <w:p>
            <w:pPr>
              <w:pStyle w:val="TableParagraph"/>
              <w:spacing w:line="199" w:lineRule="exact"/>
              <w:ind w:left="185"/>
              <w:jc w:val="left"/>
              <w:rPr>
                <w:rFonts w:ascii="Calibri"/>
                <w:sz w:val="18"/>
              </w:rPr>
            </w:pPr>
            <w:r>
              <w:rPr>
                <w:rFonts w:ascii="Calibri"/>
                <w:sz w:val="18"/>
              </w:rPr>
              <w:t>98.8</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9.7</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98.7</w:t>
            </w:r>
          </w:p>
        </w:tc>
        <w:tc>
          <w:tcPr>
            <w:tcW w:w="630" w:type="dxa"/>
          </w:tcPr>
          <w:p>
            <w:pPr>
              <w:pStyle w:val="TableParagraph"/>
              <w:spacing w:line="199" w:lineRule="exact"/>
              <w:ind w:left="137"/>
              <w:jc w:val="left"/>
              <w:rPr>
                <w:rFonts w:ascii="Calibri"/>
                <w:sz w:val="18"/>
              </w:rPr>
            </w:pPr>
            <w:r>
              <w:rPr>
                <w:rFonts w:ascii="Calibri"/>
                <w:sz w:val="18"/>
              </w:rPr>
              <w:t>13.7</w:t>
            </w:r>
          </w:p>
        </w:tc>
        <w:tc>
          <w:tcPr>
            <w:tcW w:w="720" w:type="dxa"/>
          </w:tcPr>
          <w:p>
            <w:pPr>
              <w:pStyle w:val="TableParagraph"/>
              <w:spacing w:line="199" w:lineRule="exact"/>
              <w:ind w:left="137"/>
              <w:jc w:val="left"/>
              <w:rPr>
                <w:rFonts w:ascii="Calibri"/>
                <w:sz w:val="18"/>
              </w:rPr>
            </w:pPr>
            <w:r>
              <w:rPr>
                <w:rFonts w:ascii="Calibri"/>
                <w:sz w:val="18"/>
              </w:rPr>
              <w:t>101.8</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20.0</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M3PFHxS</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95.4</w:t>
            </w:r>
          </w:p>
        </w:tc>
        <w:tc>
          <w:tcPr>
            <w:tcW w:w="631" w:type="dxa"/>
          </w:tcPr>
          <w:p>
            <w:pPr>
              <w:pStyle w:val="TableParagraph"/>
              <w:spacing w:line="199" w:lineRule="exact"/>
              <w:ind w:left="129" w:right="124"/>
              <w:rPr>
                <w:rFonts w:ascii="Calibri"/>
                <w:sz w:val="18"/>
              </w:rPr>
            </w:pPr>
            <w:r>
              <w:rPr>
                <w:rFonts w:ascii="Calibri"/>
                <w:sz w:val="18"/>
              </w:rPr>
              <w:t>7.8</w:t>
            </w:r>
          </w:p>
        </w:tc>
        <w:tc>
          <w:tcPr>
            <w:tcW w:w="761" w:type="dxa"/>
          </w:tcPr>
          <w:p>
            <w:pPr>
              <w:pStyle w:val="TableParagraph"/>
              <w:spacing w:line="199" w:lineRule="exact"/>
              <w:ind w:left="151" w:right="148"/>
              <w:rPr>
                <w:rFonts w:ascii="Calibri"/>
                <w:sz w:val="18"/>
              </w:rPr>
            </w:pPr>
            <w:r>
              <w:rPr>
                <w:rFonts w:ascii="Calibri"/>
                <w:sz w:val="18"/>
              </w:rPr>
              <w:t>96.2</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11.0</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94.4</w:t>
            </w:r>
          </w:p>
        </w:tc>
        <w:tc>
          <w:tcPr>
            <w:tcW w:w="631" w:type="dxa"/>
          </w:tcPr>
          <w:p>
            <w:pPr>
              <w:pStyle w:val="TableParagraph"/>
              <w:spacing w:line="199" w:lineRule="exact"/>
              <w:ind w:left="126" w:right="128"/>
              <w:rPr>
                <w:rFonts w:ascii="Calibri"/>
                <w:sz w:val="18"/>
              </w:rPr>
            </w:pPr>
            <w:r>
              <w:rPr>
                <w:rFonts w:ascii="Calibri"/>
                <w:sz w:val="18"/>
              </w:rPr>
              <w:t>7.4</w:t>
            </w:r>
          </w:p>
        </w:tc>
        <w:tc>
          <w:tcPr>
            <w:tcW w:w="721" w:type="dxa"/>
          </w:tcPr>
          <w:p>
            <w:pPr>
              <w:pStyle w:val="TableParagraph"/>
              <w:spacing w:line="199" w:lineRule="exact"/>
              <w:ind w:left="128" w:right="131"/>
              <w:rPr>
                <w:rFonts w:ascii="Calibri"/>
                <w:sz w:val="18"/>
              </w:rPr>
            </w:pPr>
            <w:r>
              <w:rPr>
                <w:rFonts w:ascii="Calibri"/>
                <w:sz w:val="18"/>
              </w:rPr>
              <w:t>96.6</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5.9</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95.6</w:t>
            </w:r>
          </w:p>
        </w:tc>
        <w:tc>
          <w:tcPr>
            <w:tcW w:w="541" w:type="dxa"/>
          </w:tcPr>
          <w:p>
            <w:pPr>
              <w:pStyle w:val="TableParagraph"/>
              <w:spacing w:line="199" w:lineRule="exact"/>
              <w:ind w:left="145"/>
              <w:jc w:val="left"/>
              <w:rPr>
                <w:rFonts w:ascii="Calibri"/>
                <w:sz w:val="18"/>
              </w:rPr>
            </w:pPr>
            <w:r>
              <w:rPr>
                <w:rFonts w:ascii="Calibri"/>
                <w:sz w:val="18"/>
              </w:rPr>
              <w:t>8.7</w:t>
            </w:r>
          </w:p>
        </w:tc>
        <w:tc>
          <w:tcPr>
            <w:tcW w:w="721" w:type="dxa"/>
          </w:tcPr>
          <w:p>
            <w:pPr>
              <w:pStyle w:val="TableParagraph"/>
              <w:spacing w:line="199" w:lineRule="exact"/>
              <w:ind w:right="200"/>
              <w:jc w:val="right"/>
              <w:rPr>
                <w:rFonts w:ascii="Calibri"/>
                <w:sz w:val="18"/>
              </w:rPr>
            </w:pPr>
            <w:r>
              <w:rPr>
                <w:rFonts w:ascii="Calibri"/>
                <w:sz w:val="18"/>
              </w:rPr>
              <w:t>94.8</w:t>
            </w:r>
          </w:p>
        </w:tc>
        <w:tc>
          <w:tcPr>
            <w:tcW w:w="759" w:type="dxa"/>
            <w:tcBorders>
              <w:right w:val="single" w:sz="12" w:space="0" w:color="000000"/>
            </w:tcBorders>
          </w:tcPr>
          <w:p>
            <w:pPr>
              <w:pStyle w:val="TableParagraph"/>
              <w:spacing w:line="199" w:lineRule="exact"/>
              <w:ind w:left="117" w:right="121"/>
              <w:rPr>
                <w:rFonts w:ascii="Calibri"/>
                <w:sz w:val="18"/>
              </w:rPr>
            </w:pPr>
            <w:r>
              <w:rPr>
                <w:rFonts w:ascii="Calibri"/>
                <w:sz w:val="18"/>
              </w:rPr>
              <w:t>6.6</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95.7</w:t>
            </w:r>
          </w:p>
        </w:tc>
        <w:tc>
          <w:tcPr>
            <w:tcW w:w="631" w:type="dxa"/>
          </w:tcPr>
          <w:p>
            <w:pPr>
              <w:pStyle w:val="TableParagraph"/>
              <w:spacing w:line="199" w:lineRule="exact"/>
              <w:ind w:right="204"/>
              <w:jc w:val="right"/>
              <w:rPr>
                <w:rFonts w:ascii="Calibri"/>
                <w:sz w:val="18"/>
              </w:rPr>
            </w:pPr>
            <w:r>
              <w:rPr>
                <w:rFonts w:ascii="Calibri"/>
                <w:sz w:val="18"/>
              </w:rPr>
              <w:t>8.3</w:t>
            </w:r>
          </w:p>
        </w:tc>
        <w:tc>
          <w:tcPr>
            <w:tcW w:w="721" w:type="dxa"/>
          </w:tcPr>
          <w:p>
            <w:pPr>
              <w:pStyle w:val="TableParagraph"/>
              <w:spacing w:line="199" w:lineRule="exact"/>
              <w:ind w:left="185"/>
              <w:jc w:val="left"/>
              <w:rPr>
                <w:rFonts w:ascii="Calibri"/>
                <w:sz w:val="18"/>
              </w:rPr>
            </w:pPr>
            <w:r>
              <w:rPr>
                <w:rFonts w:ascii="Calibri"/>
                <w:sz w:val="18"/>
              </w:rPr>
              <w:t>95.1</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8.9</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95.8</w:t>
            </w:r>
          </w:p>
        </w:tc>
        <w:tc>
          <w:tcPr>
            <w:tcW w:w="630" w:type="dxa"/>
          </w:tcPr>
          <w:p>
            <w:pPr>
              <w:pStyle w:val="TableParagraph"/>
              <w:spacing w:line="199" w:lineRule="exact"/>
              <w:ind w:left="183"/>
              <w:jc w:val="left"/>
              <w:rPr>
                <w:rFonts w:ascii="Calibri"/>
                <w:sz w:val="18"/>
              </w:rPr>
            </w:pPr>
            <w:r>
              <w:rPr>
                <w:rFonts w:ascii="Calibri"/>
                <w:sz w:val="18"/>
              </w:rPr>
              <w:t>6.9</w:t>
            </w:r>
          </w:p>
        </w:tc>
        <w:tc>
          <w:tcPr>
            <w:tcW w:w="720" w:type="dxa"/>
          </w:tcPr>
          <w:p>
            <w:pPr>
              <w:pStyle w:val="TableParagraph"/>
              <w:spacing w:line="199" w:lineRule="exact"/>
              <w:ind w:left="183"/>
              <w:jc w:val="left"/>
              <w:rPr>
                <w:rFonts w:ascii="Calibri"/>
                <w:sz w:val="18"/>
              </w:rPr>
            </w:pPr>
            <w:r>
              <w:rPr>
                <w:rFonts w:ascii="Calibri"/>
                <w:sz w:val="18"/>
              </w:rPr>
              <w:t>98.3</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17.9</w:t>
            </w:r>
          </w:p>
        </w:tc>
      </w:tr>
      <w:tr>
        <w:trPr>
          <w:trHeight w:val="300" w:hRule="atLeast"/>
        </w:trPr>
        <w:tc>
          <w:tcPr>
            <w:tcW w:w="1435" w:type="dxa"/>
            <w:tcBorders>
              <w:right w:val="single" w:sz="12" w:space="0" w:color="000000"/>
            </w:tcBorders>
          </w:tcPr>
          <w:p>
            <w:pPr>
              <w:pStyle w:val="TableParagraph"/>
              <w:spacing w:line="200" w:lineRule="exact"/>
              <w:ind w:left="176" w:right="158"/>
              <w:rPr>
                <w:rFonts w:ascii="Calibri"/>
                <w:sz w:val="18"/>
              </w:rPr>
            </w:pPr>
            <w:r>
              <w:rPr>
                <w:rFonts w:ascii="Calibri"/>
                <w:sz w:val="18"/>
              </w:rPr>
              <w:t>M3PFBS</w:t>
            </w:r>
          </w:p>
        </w:tc>
        <w:tc>
          <w:tcPr>
            <w:tcW w:w="726" w:type="dxa"/>
            <w:tcBorders>
              <w:left w:val="single" w:sz="12" w:space="0" w:color="000000"/>
            </w:tcBorders>
          </w:tcPr>
          <w:p>
            <w:pPr>
              <w:pStyle w:val="TableParagraph"/>
              <w:spacing w:line="200" w:lineRule="exact"/>
              <w:ind w:left="127" w:right="127"/>
              <w:rPr>
                <w:rFonts w:ascii="Calibri"/>
                <w:sz w:val="18"/>
              </w:rPr>
            </w:pPr>
            <w:r>
              <w:rPr>
                <w:rFonts w:ascii="Calibri"/>
                <w:sz w:val="18"/>
              </w:rPr>
              <w:t>89.8</w:t>
            </w:r>
          </w:p>
        </w:tc>
        <w:tc>
          <w:tcPr>
            <w:tcW w:w="631" w:type="dxa"/>
          </w:tcPr>
          <w:p>
            <w:pPr>
              <w:pStyle w:val="TableParagraph"/>
              <w:spacing w:line="200" w:lineRule="exact"/>
              <w:ind w:left="129" w:right="124"/>
              <w:rPr>
                <w:rFonts w:ascii="Calibri"/>
                <w:sz w:val="18"/>
              </w:rPr>
            </w:pPr>
            <w:r>
              <w:rPr>
                <w:rFonts w:ascii="Calibri"/>
                <w:sz w:val="18"/>
              </w:rPr>
              <w:t>12.3</w:t>
            </w:r>
          </w:p>
        </w:tc>
        <w:tc>
          <w:tcPr>
            <w:tcW w:w="761" w:type="dxa"/>
          </w:tcPr>
          <w:p>
            <w:pPr>
              <w:pStyle w:val="TableParagraph"/>
              <w:spacing w:line="200" w:lineRule="exact"/>
              <w:ind w:left="151" w:right="148"/>
              <w:rPr>
                <w:rFonts w:ascii="Calibri"/>
                <w:sz w:val="18"/>
              </w:rPr>
            </w:pPr>
            <w:r>
              <w:rPr>
                <w:rFonts w:ascii="Calibri"/>
                <w:sz w:val="18"/>
              </w:rPr>
              <w:t>89.9</w:t>
            </w:r>
          </w:p>
        </w:tc>
        <w:tc>
          <w:tcPr>
            <w:tcW w:w="681" w:type="dxa"/>
            <w:tcBorders>
              <w:right w:val="single" w:sz="12" w:space="0" w:color="000000"/>
            </w:tcBorders>
          </w:tcPr>
          <w:p>
            <w:pPr>
              <w:pStyle w:val="TableParagraph"/>
              <w:spacing w:line="200" w:lineRule="exact"/>
              <w:ind w:left="85" w:right="74"/>
              <w:rPr>
                <w:rFonts w:ascii="Calibri"/>
                <w:sz w:val="18"/>
              </w:rPr>
            </w:pPr>
            <w:r>
              <w:rPr>
                <w:rFonts w:ascii="Calibri"/>
                <w:sz w:val="18"/>
              </w:rPr>
              <w:t>15.7</w:t>
            </w:r>
          </w:p>
        </w:tc>
        <w:tc>
          <w:tcPr>
            <w:tcW w:w="722" w:type="dxa"/>
            <w:tcBorders>
              <w:left w:val="single" w:sz="12" w:space="0" w:color="000000"/>
            </w:tcBorders>
          </w:tcPr>
          <w:p>
            <w:pPr>
              <w:pStyle w:val="TableParagraph"/>
              <w:spacing w:line="200" w:lineRule="exact"/>
              <w:ind w:left="113" w:right="121"/>
              <w:rPr>
                <w:rFonts w:ascii="Calibri"/>
                <w:sz w:val="18"/>
              </w:rPr>
            </w:pPr>
            <w:r>
              <w:rPr>
                <w:rFonts w:ascii="Calibri"/>
                <w:sz w:val="18"/>
              </w:rPr>
              <w:t>89.4</w:t>
            </w:r>
          </w:p>
        </w:tc>
        <w:tc>
          <w:tcPr>
            <w:tcW w:w="631" w:type="dxa"/>
          </w:tcPr>
          <w:p>
            <w:pPr>
              <w:pStyle w:val="TableParagraph"/>
              <w:spacing w:line="200" w:lineRule="exact"/>
              <w:ind w:left="126" w:right="128"/>
              <w:rPr>
                <w:rFonts w:ascii="Calibri"/>
                <w:sz w:val="18"/>
              </w:rPr>
            </w:pPr>
            <w:r>
              <w:rPr>
                <w:rFonts w:ascii="Calibri"/>
                <w:sz w:val="18"/>
              </w:rPr>
              <w:t>10.6</w:t>
            </w:r>
          </w:p>
        </w:tc>
        <w:tc>
          <w:tcPr>
            <w:tcW w:w="721" w:type="dxa"/>
          </w:tcPr>
          <w:p>
            <w:pPr>
              <w:pStyle w:val="TableParagraph"/>
              <w:spacing w:line="200" w:lineRule="exact"/>
              <w:ind w:left="128" w:right="131"/>
              <w:rPr>
                <w:rFonts w:ascii="Calibri"/>
                <w:sz w:val="18"/>
              </w:rPr>
            </w:pPr>
            <w:r>
              <w:rPr>
                <w:rFonts w:ascii="Calibri"/>
                <w:sz w:val="18"/>
              </w:rPr>
              <w:t>91.0</w:t>
            </w:r>
          </w:p>
        </w:tc>
        <w:tc>
          <w:tcPr>
            <w:tcW w:w="720" w:type="dxa"/>
            <w:tcBorders>
              <w:right w:val="single" w:sz="12" w:space="0" w:color="000000"/>
            </w:tcBorders>
          </w:tcPr>
          <w:p>
            <w:pPr>
              <w:pStyle w:val="TableParagraph"/>
              <w:spacing w:line="200" w:lineRule="exact"/>
              <w:ind w:left="94" w:right="91"/>
              <w:rPr>
                <w:rFonts w:ascii="Calibri"/>
                <w:sz w:val="18"/>
              </w:rPr>
            </w:pPr>
            <w:r>
              <w:rPr>
                <w:rFonts w:ascii="Calibri"/>
                <w:sz w:val="18"/>
              </w:rPr>
              <w:t>10.3</w:t>
            </w:r>
          </w:p>
        </w:tc>
        <w:tc>
          <w:tcPr>
            <w:tcW w:w="773" w:type="dxa"/>
            <w:tcBorders>
              <w:left w:val="single" w:sz="12" w:space="0" w:color="000000"/>
            </w:tcBorders>
          </w:tcPr>
          <w:p>
            <w:pPr>
              <w:pStyle w:val="TableParagraph"/>
              <w:spacing w:line="200" w:lineRule="exact"/>
              <w:ind w:left="143" w:right="159"/>
              <w:rPr>
                <w:rFonts w:ascii="Calibri"/>
                <w:sz w:val="18"/>
              </w:rPr>
            </w:pPr>
            <w:r>
              <w:rPr>
                <w:rFonts w:ascii="Calibri"/>
                <w:sz w:val="18"/>
              </w:rPr>
              <w:t>90.2</w:t>
            </w:r>
          </w:p>
        </w:tc>
        <w:tc>
          <w:tcPr>
            <w:tcW w:w="541" w:type="dxa"/>
          </w:tcPr>
          <w:p>
            <w:pPr>
              <w:pStyle w:val="TableParagraph"/>
              <w:spacing w:line="200" w:lineRule="exact"/>
              <w:ind w:left="99"/>
              <w:jc w:val="left"/>
              <w:rPr>
                <w:rFonts w:ascii="Calibri"/>
                <w:sz w:val="18"/>
              </w:rPr>
            </w:pPr>
            <w:r>
              <w:rPr>
                <w:rFonts w:ascii="Calibri"/>
                <w:sz w:val="18"/>
              </w:rPr>
              <w:t>11.2</w:t>
            </w:r>
          </w:p>
        </w:tc>
        <w:tc>
          <w:tcPr>
            <w:tcW w:w="721" w:type="dxa"/>
          </w:tcPr>
          <w:p>
            <w:pPr>
              <w:pStyle w:val="TableParagraph"/>
              <w:spacing w:line="200" w:lineRule="exact"/>
              <w:ind w:right="200"/>
              <w:jc w:val="right"/>
              <w:rPr>
                <w:rFonts w:ascii="Calibri"/>
                <w:sz w:val="18"/>
              </w:rPr>
            </w:pPr>
            <w:r>
              <w:rPr>
                <w:rFonts w:ascii="Calibri"/>
                <w:sz w:val="18"/>
              </w:rPr>
              <w:t>91.2</w:t>
            </w:r>
          </w:p>
        </w:tc>
        <w:tc>
          <w:tcPr>
            <w:tcW w:w="759" w:type="dxa"/>
            <w:tcBorders>
              <w:right w:val="single" w:sz="12" w:space="0" w:color="000000"/>
            </w:tcBorders>
          </w:tcPr>
          <w:p>
            <w:pPr>
              <w:pStyle w:val="TableParagraph"/>
              <w:spacing w:line="200" w:lineRule="exact"/>
              <w:ind w:left="117" w:right="121"/>
              <w:rPr>
                <w:rFonts w:ascii="Calibri"/>
                <w:sz w:val="18"/>
              </w:rPr>
            </w:pPr>
            <w:r>
              <w:rPr>
                <w:rFonts w:ascii="Calibri"/>
                <w:sz w:val="18"/>
              </w:rPr>
              <w:t>9.2</w:t>
            </w:r>
          </w:p>
        </w:tc>
        <w:tc>
          <w:tcPr>
            <w:tcW w:w="722" w:type="dxa"/>
            <w:tcBorders>
              <w:left w:val="single" w:sz="12" w:space="0" w:color="000000"/>
            </w:tcBorders>
          </w:tcPr>
          <w:p>
            <w:pPr>
              <w:pStyle w:val="TableParagraph"/>
              <w:spacing w:line="200" w:lineRule="exact"/>
              <w:ind w:left="105" w:right="129"/>
              <w:rPr>
                <w:rFonts w:ascii="Calibri"/>
                <w:sz w:val="18"/>
              </w:rPr>
            </w:pPr>
            <w:r>
              <w:rPr>
                <w:rFonts w:ascii="Calibri"/>
                <w:sz w:val="18"/>
              </w:rPr>
              <w:t>90.1</w:t>
            </w:r>
          </w:p>
        </w:tc>
        <w:tc>
          <w:tcPr>
            <w:tcW w:w="631" w:type="dxa"/>
          </w:tcPr>
          <w:p>
            <w:pPr>
              <w:pStyle w:val="TableParagraph"/>
              <w:spacing w:line="200" w:lineRule="exact"/>
              <w:ind w:right="158"/>
              <w:jc w:val="right"/>
              <w:rPr>
                <w:rFonts w:ascii="Calibri"/>
                <w:sz w:val="18"/>
              </w:rPr>
            </w:pPr>
            <w:r>
              <w:rPr>
                <w:rFonts w:ascii="Calibri"/>
                <w:sz w:val="18"/>
              </w:rPr>
              <w:t>13.7</w:t>
            </w:r>
          </w:p>
        </w:tc>
        <w:tc>
          <w:tcPr>
            <w:tcW w:w="721" w:type="dxa"/>
          </w:tcPr>
          <w:p>
            <w:pPr>
              <w:pStyle w:val="TableParagraph"/>
              <w:spacing w:line="200" w:lineRule="exact"/>
              <w:ind w:left="185"/>
              <w:jc w:val="left"/>
              <w:rPr>
                <w:rFonts w:ascii="Calibri"/>
                <w:sz w:val="18"/>
              </w:rPr>
            </w:pPr>
            <w:r>
              <w:rPr>
                <w:rFonts w:ascii="Calibri"/>
                <w:sz w:val="18"/>
              </w:rPr>
              <w:t>86.7</w:t>
            </w:r>
          </w:p>
        </w:tc>
        <w:tc>
          <w:tcPr>
            <w:tcW w:w="720" w:type="dxa"/>
            <w:tcBorders>
              <w:right w:val="single" w:sz="12" w:space="0" w:color="000000"/>
            </w:tcBorders>
          </w:tcPr>
          <w:p>
            <w:pPr>
              <w:pStyle w:val="TableParagraph"/>
              <w:spacing w:line="200" w:lineRule="exact"/>
              <w:ind w:left="88" w:right="98"/>
              <w:rPr>
                <w:rFonts w:ascii="Calibri"/>
                <w:sz w:val="18"/>
              </w:rPr>
            </w:pPr>
            <w:r>
              <w:rPr>
                <w:rFonts w:ascii="Calibri"/>
                <w:sz w:val="18"/>
              </w:rPr>
              <w:t>19.2</w:t>
            </w:r>
          </w:p>
        </w:tc>
        <w:tc>
          <w:tcPr>
            <w:tcW w:w="721" w:type="dxa"/>
            <w:tcBorders>
              <w:left w:val="single" w:sz="12" w:space="0" w:color="000000"/>
            </w:tcBorders>
          </w:tcPr>
          <w:p>
            <w:pPr>
              <w:pStyle w:val="TableParagraph"/>
              <w:spacing w:line="200" w:lineRule="exact"/>
              <w:ind w:left="174"/>
              <w:jc w:val="left"/>
              <w:rPr>
                <w:rFonts w:ascii="Calibri"/>
                <w:sz w:val="18"/>
              </w:rPr>
            </w:pPr>
            <w:r>
              <w:rPr>
                <w:rFonts w:ascii="Calibri"/>
                <w:sz w:val="18"/>
              </w:rPr>
              <w:t>89.5</w:t>
            </w:r>
          </w:p>
        </w:tc>
        <w:tc>
          <w:tcPr>
            <w:tcW w:w="630" w:type="dxa"/>
          </w:tcPr>
          <w:p>
            <w:pPr>
              <w:pStyle w:val="TableParagraph"/>
              <w:spacing w:line="200" w:lineRule="exact"/>
              <w:ind w:left="137"/>
              <w:jc w:val="left"/>
              <w:rPr>
                <w:rFonts w:ascii="Calibri"/>
                <w:sz w:val="18"/>
              </w:rPr>
            </w:pPr>
            <w:r>
              <w:rPr>
                <w:rFonts w:ascii="Calibri"/>
                <w:sz w:val="18"/>
              </w:rPr>
              <w:t>13.7</w:t>
            </w:r>
          </w:p>
        </w:tc>
        <w:tc>
          <w:tcPr>
            <w:tcW w:w="720" w:type="dxa"/>
          </w:tcPr>
          <w:p>
            <w:pPr>
              <w:pStyle w:val="TableParagraph"/>
              <w:spacing w:line="200" w:lineRule="exact"/>
              <w:ind w:left="183"/>
              <w:jc w:val="left"/>
              <w:rPr>
                <w:rFonts w:ascii="Calibri"/>
                <w:sz w:val="18"/>
              </w:rPr>
            </w:pPr>
            <w:r>
              <w:rPr>
                <w:rFonts w:ascii="Calibri"/>
                <w:sz w:val="18"/>
              </w:rPr>
              <w:t>90.8</w:t>
            </w:r>
          </w:p>
        </w:tc>
        <w:tc>
          <w:tcPr>
            <w:tcW w:w="719" w:type="dxa"/>
            <w:tcBorders>
              <w:right w:val="single" w:sz="12" w:space="0" w:color="000000"/>
            </w:tcBorders>
          </w:tcPr>
          <w:p>
            <w:pPr>
              <w:pStyle w:val="TableParagraph"/>
              <w:spacing w:line="200" w:lineRule="exact"/>
              <w:ind w:left="93" w:right="104"/>
              <w:rPr>
                <w:rFonts w:ascii="Calibri"/>
                <w:sz w:val="18"/>
              </w:rPr>
            </w:pPr>
            <w:r>
              <w:rPr>
                <w:rFonts w:ascii="Calibri"/>
                <w:sz w:val="18"/>
              </w:rPr>
              <w:t>20.9</w:t>
            </w:r>
          </w:p>
        </w:tc>
      </w:tr>
      <w:tr>
        <w:trPr>
          <w:trHeight w:val="299" w:hRule="atLeast"/>
        </w:trPr>
        <w:tc>
          <w:tcPr>
            <w:tcW w:w="1435" w:type="dxa"/>
            <w:tcBorders>
              <w:right w:val="single" w:sz="12" w:space="0" w:color="000000"/>
            </w:tcBorders>
          </w:tcPr>
          <w:p>
            <w:pPr>
              <w:pStyle w:val="TableParagraph"/>
              <w:spacing w:line="199" w:lineRule="exact"/>
              <w:ind w:left="177" w:right="158"/>
              <w:rPr>
                <w:rFonts w:ascii="Calibri"/>
                <w:sz w:val="18"/>
              </w:rPr>
            </w:pPr>
            <w:r>
              <w:rPr>
                <w:rFonts w:ascii="Calibri"/>
                <w:sz w:val="18"/>
              </w:rPr>
              <w:t>M8FOSAI</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108.3</w:t>
            </w:r>
          </w:p>
        </w:tc>
        <w:tc>
          <w:tcPr>
            <w:tcW w:w="631" w:type="dxa"/>
          </w:tcPr>
          <w:p>
            <w:pPr>
              <w:pStyle w:val="TableParagraph"/>
              <w:spacing w:line="199" w:lineRule="exact"/>
              <w:ind w:left="129" w:right="124"/>
              <w:rPr>
                <w:rFonts w:ascii="Calibri"/>
                <w:sz w:val="18"/>
              </w:rPr>
            </w:pPr>
            <w:r>
              <w:rPr>
                <w:rFonts w:ascii="Calibri"/>
                <w:sz w:val="18"/>
              </w:rPr>
              <w:t>9.1</w:t>
            </w:r>
          </w:p>
        </w:tc>
        <w:tc>
          <w:tcPr>
            <w:tcW w:w="761" w:type="dxa"/>
          </w:tcPr>
          <w:p>
            <w:pPr>
              <w:pStyle w:val="TableParagraph"/>
              <w:spacing w:line="199" w:lineRule="exact"/>
              <w:ind w:left="151" w:right="148"/>
              <w:rPr>
                <w:rFonts w:ascii="Calibri"/>
                <w:sz w:val="18"/>
              </w:rPr>
            </w:pPr>
            <w:r>
              <w:rPr>
                <w:rFonts w:ascii="Calibri"/>
                <w:sz w:val="18"/>
              </w:rPr>
              <w:t>108.7</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12.3</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108.6</w:t>
            </w:r>
          </w:p>
        </w:tc>
        <w:tc>
          <w:tcPr>
            <w:tcW w:w="631" w:type="dxa"/>
          </w:tcPr>
          <w:p>
            <w:pPr>
              <w:pStyle w:val="TableParagraph"/>
              <w:spacing w:line="199" w:lineRule="exact"/>
              <w:ind w:left="126" w:right="128"/>
              <w:rPr>
                <w:rFonts w:ascii="Calibri"/>
                <w:sz w:val="18"/>
              </w:rPr>
            </w:pPr>
            <w:r>
              <w:rPr>
                <w:rFonts w:ascii="Calibri"/>
                <w:sz w:val="18"/>
              </w:rPr>
              <w:t>7.6</w:t>
            </w:r>
          </w:p>
        </w:tc>
        <w:tc>
          <w:tcPr>
            <w:tcW w:w="721" w:type="dxa"/>
          </w:tcPr>
          <w:p>
            <w:pPr>
              <w:pStyle w:val="TableParagraph"/>
              <w:spacing w:line="199" w:lineRule="exact"/>
              <w:ind w:left="128" w:right="131"/>
              <w:rPr>
                <w:rFonts w:ascii="Calibri"/>
                <w:sz w:val="18"/>
              </w:rPr>
            </w:pPr>
            <w:r>
              <w:rPr>
                <w:rFonts w:ascii="Calibri"/>
                <w:sz w:val="18"/>
              </w:rPr>
              <w:t>107.5</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7.2</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107.3</w:t>
            </w:r>
          </w:p>
        </w:tc>
        <w:tc>
          <w:tcPr>
            <w:tcW w:w="541" w:type="dxa"/>
          </w:tcPr>
          <w:p>
            <w:pPr>
              <w:pStyle w:val="TableParagraph"/>
              <w:spacing w:line="199" w:lineRule="exact"/>
              <w:ind w:left="145"/>
              <w:jc w:val="left"/>
              <w:rPr>
                <w:rFonts w:ascii="Calibri"/>
                <w:sz w:val="18"/>
              </w:rPr>
            </w:pPr>
            <w:r>
              <w:rPr>
                <w:rFonts w:ascii="Calibri"/>
                <w:sz w:val="18"/>
              </w:rPr>
              <w:t>9.1</w:t>
            </w:r>
          </w:p>
        </w:tc>
        <w:tc>
          <w:tcPr>
            <w:tcW w:w="721" w:type="dxa"/>
          </w:tcPr>
          <w:p>
            <w:pPr>
              <w:pStyle w:val="TableParagraph"/>
              <w:spacing w:line="199" w:lineRule="exact"/>
              <w:ind w:right="155"/>
              <w:jc w:val="right"/>
              <w:rPr>
                <w:rFonts w:ascii="Calibri"/>
                <w:sz w:val="18"/>
              </w:rPr>
            </w:pPr>
            <w:r>
              <w:rPr>
                <w:rFonts w:ascii="Calibri"/>
                <w:sz w:val="18"/>
              </w:rPr>
              <w:t>108.6</w:t>
            </w:r>
          </w:p>
        </w:tc>
        <w:tc>
          <w:tcPr>
            <w:tcW w:w="759" w:type="dxa"/>
            <w:tcBorders>
              <w:right w:val="single" w:sz="12" w:space="0" w:color="000000"/>
            </w:tcBorders>
          </w:tcPr>
          <w:p>
            <w:pPr>
              <w:pStyle w:val="TableParagraph"/>
              <w:spacing w:line="199" w:lineRule="exact"/>
              <w:ind w:left="117" w:right="121"/>
              <w:rPr>
                <w:rFonts w:ascii="Calibri"/>
                <w:sz w:val="18"/>
              </w:rPr>
            </w:pPr>
            <w:r>
              <w:rPr>
                <w:rFonts w:ascii="Calibri"/>
                <w:sz w:val="18"/>
              </w:rPr>
              <w:t>8.7</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108.5</w:t>
            </w:r>
          </w:p>
        </w:tc>
        <w:tc>
          <w:tcPr>
            <w:tcW w:w="631" w:type="dxa"/>
          </w:tcPr>
          <w:p>
            <w:pPr>
              <w:pStyle w:val="TableParagraph"/>
              <w:spacing w:line="199" w:lineRule="exact"/>
              <w:ind w:right="158"/>
              <w:jc w:val="right"/>
              <w:rPr>
                <w:rFonts w:ascii="Calibri"/>
                <w:sz w:val="18"/>
              </w:rPr>
            </w:pPr>
            <w:r>
              <w:rPr>
                <w:rFonts w:ascii="Calibri"/>
                <w:sz w:val="18"/>
              </w:rPr>
              <w:t>10.0</w:t>
            </w:r>
          </w:p>
        </w:tc>
        <w:tc>
          <w:tcPr>
            <w:tcW w:w="721" w:type="dxa"/>
          </w:tcPr>
          <w:p>
            <w:pPr>
              <w:pStyle w:val="TableParagraph"/>
              <w:spacing w:line="199" w:lineRule="exact"/>
              <w:ind w:left="139"/>
              <w:jc w:val="left"/>
              <w:rPr>
                <w:rFonts w:ascii="Calibri"/>
                <w:sz w:val="18"/>
              </w:rPr>
            </w:pPr>
            <w:r>
              <w:rPr>
                <w:rFonts w:ascii="Calibri"/>
                <w:sz w:val="18"/>
              </w:rPr>
              <w:t>107.8</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12.3</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108.8</w:t>
            </w:r>
          </w:p>
        </w:tc>
        <w:tc>
          <w:tcPr>
            <w:tcW w:w="630" w:type="dxa"/>
          </w:tcPr>
          <w:p>
            <w:pPr>
              <w:pStyle w:val="TableParagraph"/>
              <w:spacing w:line="199" w:lineRule="exact"/>
              <w:ind w:left="183"/>
              <w:jc w:val="left"/>
              <w:rPr>
                <w:rFonts w:ascii="Calibri"/>
                <w:sz w:val="18"/>
              </w:rPr>
            </w:pPr>
            <w:r>
              <w:rPr>
                <w:rFonts w:ascii="Calibri"/>
                <w:sz w:val="18"/>
              </w:rPr>
              <w:t>9.6</w:t>
            </w:r>
          </w:p>
        </w:tc>
        <w:tc>
          <w:tcPr>
            <w:tcW w:w="720" w:type="dxa"/>
          </w:tcPr>
          <w:p>
            <w:pPr>
              <w:pStyle w:val="TableParagraph"/>
              <w:spacing w:line="199" w:lineRule="exact"/>
              <w:ind w:left="137"/>
              <w:jc w:val="left"/>
              <w:rPr>
                <w:rFonts w:ascii="Calibri"/>
                <w:sz w:val="18"/>
              </w:rPr>
            </w:pPr>
            <w:r>
              <w:rPr>
                <w:rFonts w:ascii="Calibri"/>
                <w:sz w:val="18"/>
              </w:rPr>
              <w:t>110.8</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18.0</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M282FTS</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106.8</w:t>
            </w:r>
          </w:p>
        </w:tc>
        <w:tc>
          <w:tcPr>
            <w:tcW w:w="631" w:type="dxa"/>
          </w:tcPr>
          <w:p>
            <w:pPr>
              <w:pStyle w:val="TableParagraph"/>
              <w:spacing w:line="199" w:lineRule="exact"/>
              <w:ind w:left="129" w:right="124"/>
              <w:rPr>
                <w:rFonts w:ascii="Calibri"/>
                <w:sz w:val="18"/>
              </w:rPr>
            </w:pPr>
            <w:r>
              <w:rPr>
                <w:rFonts w:ascii="Calibri"/>
                <w:sz w:val="18"/>
              </w:rPr>
              <w:t>12.7</w:t>
            </w:r>
          </w:p>
        </w:tc>
        <w:tc>
          <w:tcPr>
            <w:tcW w:w="761" w:type="dxa"/>
          </w:tcPr>
          <w:p>
            <w:pPr>
              <w:pStyle w:val="TableParagraph"/>
              <w:spacing w:line="199" w:lineRule="exact"/>
              <w:ind w:left="151" w:right="148"/>
              <w:rPr>
                <w:rFonts w:ascii="Calibri"/>
                <w:sz w:val="18"/>
              </w:rPr>
            </w:pPr>
            <w:r>
              <w:rPr>
                <w:rFonts w:ascii="Calibri"/>
                <w:sz w:val="18"/>
              </w:rPr>
              <w:t>114.0</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15.0</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104.4</w:t>
            </w:r>
          </w:p>
        </w:tc>
        <w:tc>
          <w:tcPr>
            <w:tcW w:w="631" w:type="dxa"/>
          </w:tcPr>
          <w:p>
            <w:pPr>
              <w:pStyle w:val="TableParagraph"/>
              <w:spacing w:line="199" w:lineRule="exact"/>
              <w:ind w:left="126" w:right="128"/>
              <w:rPr>
                <w:rFonts w:ascii="Calibri"/>
                <w:sz w:val="18"/>
              </w:rPr>
            </w:pPr>
            <w:r>
              <w:rPr>
                <w:rFonts w:ascii="Calibri"/>
                <w:sz w:val="18"/>
              </w:rPr>
              <w:t>14.1</w:t>
            </w:r>
          </w:p>
        </w:tc>
        <w:tc>
          <w:tcPr>
            <w:tcW w:w="721" w:type="dxa"/>
          </w:tcPr>
          <w:p>
            <w:pPr>
              <w:pStyle w:val="TableParagraph"/>
              <w:spacing w:line="199" w:lineRule="exact"/>
              <w:ind w:left="128" w:right="131"/>
              <w:rPr>
                <w:rFonts w:ascii="Calibri"/>
                <w:sz w:val="18"/>
              </w:rPr>
            </w:pPr>
            <w:r>
              <w:rPr>
                <w:rFonts w:ascii="Calibri"/>
                <w:sz w:val="18"/>
              </w:rPr>
              <w:t>112.3</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11.8</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104.8</w:t>
            </w:r>
          </w:p>
        </w:tc>
        <w:tc>
          <w:tcPr>
            <w:tcW w:w="541" w:type="dxa"/>
          </w:tcPr>
          <w:p>
            <w:pPr>
              <w:pStyle w:val="TableParagraph"/>
              <w:spacing w:line="199" w:lineRule="exact"/>
              <w:ind w:left="99"/>
              <w:jc w:val="left"/>
              <w:rPr>
                <w:rFonts w:ascii="Calibri"/>
                <w:sz w:val="18"/>
              </w:rPr>
            </w:pPr>
            <w:r>
              <w:rPr>
                <w:rFonts w:ascii="Calibri"/>
                <w:sz w:val="18"/>
              </w:rPr>
              <w:t>14.0</w:t>
            </w:r>
          </w:p>
        </w:tc>
        <w:tc>
          <w:tcPr>
            <w:tcW w:w="721" w:type="dxa"/>
          </w:tcPr>
          <w:p>
            <w:pPr>
              <w:pStyle w:val="TableParagraph"/>
              <w:spacing w:line="199" w:lineRule="exact"/>
              <w:ind w:right="155"/>
              <w:jc w:val="right"/>
              <w:rPr>
                <w:rFonts w:ascii="Calibri"/>
                <w:sz w:val="18"/>
              </w:rPr>
            </w:pPr>
            <w:r>
              <w:rPr>
                <w:rFonts w:ascii="Calibri"/>
                <w:sz w:val="18"/>
              </w:rPr>
              <w:t>110.3</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11.7</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107.8</w:t>
            </w:r>
          </w:p>
        </w:tc>
        <w:tc>
          <w:tcPr>
            <w:tcW w:w="631" w:type="dxa"/>
          </w:tcPr>
          <w:p>
            <w:pPr>
              <w:pStyle w:val="TableParagraph"/>
              <w:spacing w:line="199" w:lineRule="exact"/>
              <w:ind w:right="158"/>
              <w:jc w:val="right"/>
              <w:rPr>
                <w:rFonts w:ascii="Calibri"/>
                <w:sz w:val="18"/>
              </w:rPr>
            </w:pPr>
            <w:r>
              <w:rPr>
                <w:rFonts w:ascii="Calibri"/>
                <w:sz w:val="18"/>
              </w:rPr>
              <w:t>12.6</w:t>
            </w:r>
          </w:p>
        </w:tc>
        <w:tc>
          <w:tcPr>
            <w:tcW w:w="721" w:type="dxa"/>
          </w:tcPr>
          <w:p>
            <w:pPr>
              <w:pStyle w:val="TableParagraph"/>
              <w:spacing w:line="199" w:lineRule="exact"/>
              <w:ind w:left="139"/>
              <w:jc w:val="left"/>
              <w:rPr>
                <w:rFonts w:ascii="Calibri"/>
                <w:sz w:val="18"/>
              </w:rPr>
            </w:pPr>
            <w:r>
              <w:rPr>
                <w:rFonts w:ascii="Calibri"/>
                <w:sz w:val="18"/>
              </w:rPr>
              <w:t>111.4</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12.9</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110.3</w:t>
            </w:r>
          </w:p>
        </w:tc>
        <w:tc>
          <w:tcPr>
            <w:tcW w:w="630" w:type="dxa"/>
          </w:tcPr>
          <w:p>
            <w:pPr>
              <w:pStyle w:val="TableParagraph"/>
              <w:spacing w:line="199" w:lineRule="exact"/>
              <w:ind w:left="183"/>
              <w:jc w:val="left"/>
              <w:rPr>
                <w:rFonts w:ascii="Calibri"/>
                <w:sz w:val="18"/>
              </w:rPr>
            </w:pPr>
            <w:r>
              <w:rPr>
                <w:rFonts w:ascii="Calibri"/>
                <w:sz w:val="18"/>
              </w:rPr>
              <w:t>9.3</w:t>
            </w:r>
          </w:p>
        </w:tc>
        <w:tc>
          <w:tcPr>
            <w:tcW w:w="720" w:type="dxa"/>
          </w:tcPr>
          <w:p>
            <w:pPr>
              <w:pStyle w:val="TableParagraph"/>
              <w:spacing w:line="199" w:lineRule="exact"/>
              <w:ind w:left="137"/>
              <w:jc w:val="left"/>
              <w:rPr>
                <w:rFonts w:ascii="Calibri"/>
                <w:sz w:val="18"/>
              </w:rPr>
            </w:pPr>
            <w:r>
              <w:rPr>
                <w:rFonts w:ascii="Calibri"/>
                <w:sz w:val="18"/>
              </w:rPr>
              <w:t>122.0</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19.3</w:t>
            </w:r>
          </w:p>
        </w:tc>
      </w:tr>
      <w:tr>
        <w:trPr>
          <w:trHeight w:val="300" w:hRule="atLeast"/>
        </w:trPr>
        <w:tc>
          <w:tcPr>
            <w:tcW w:w="1435" w:type="dxa"/>
            <w:tcBorders>
              <w:right w:val="single" w:sz="12" w:space="0" w:color="000000"/>
            </w:tcBorders>
          </w:tcPr>
          <w:p>
            <w:pPr>
              <w:pStyle w:val="TableParagraph"/>
              <w:spacing w:line="200" w:lineRule="exact"/>
              <w:ind w:left="176" w:right="158"/>
              <w:rPr>
                <w:rFonts w:ascii="Calibri"/>
                <w:sz w:val="18"/>
              </w:rPr>
            </w:pPr>
            <w:r>
              <w:rPr>
                <w:rFonts w:ascii="Calibri"/>
                <w:sz w:val="18"/>
              </w:rPr>
              <w:t>M262FTS</w:t>
            </w:r>
          </w:p>
        </w:tc>
        <w:tc>
          <w:tcPr>
            <w:tcW w:w="726" w:type="dxa"/>
            <w:tcBorders>
              <w:left w:val="single" w:sz="12" w:space="0" w:color="000000"/>
            </w:tcBorders>
          </w:tcPr>
          <w:p>
            <w:pPr>
              <w:pStyle w:val="TableParagraph"/>
              <w:spacing w:line="200" w:lineRule="exact"/>
              <w:ind w:left="127" w:right="127"/>
              <w:rPr>
                <w:rFonts w:ascii="Calibri"/>
                <w:sz w:val="18"/>
              </w:rPr>
            </w:pPr>
            <w:r>
              <w:rPr>
                <w:rFonts w:ascii="Calibri"/>
                <w:sz w:val="18"/>
              </w:rPr>
              <w:t>99.1</w:t>
            </w:r>
          </w:p>
        </w:tc>
        <w:tc>
          <w:tcPr>
            <w:tcW w:w="631" w:type="dxa"/>
          </w:tcPr>
          <w:p>
            <w:pPr>
              <w:pStyle w:val="TableParagraph"/>
              <w:spacing w:line="200" w:lineRule="exact"/>
              <w:ind w:left="129" w:right="124"/>
              <w:rPr>
                <w:rFonts w:ascii="Calibri"/>
                <w:sz w:val="18"/>
              </w:rPr>
            </w:pPr>
            <w:r>
              <w:rPr>
                <w:rFonts w:ascii="Calibri"/>
                <w:sz w:val="18"/>
              </w:rPr>
              <w:t>18.5</w:t>
            </w:r>
          </w:p>
        </w:tc>
        <w:tc>
          <w:tcPr>
            <w:tcW w:w="761" w:type="dxa"/>
          </w:tcPr>
          <w:p>
            <w:pPr>
              <w:pStyle w:val="TableParagraph"/>
              <w:spacing w:line="200" w:lineRule="exact"/>
              <w:ind w:left="151" w:right="148"/>
              <w:rPr>
                <w:rFonts w:ascii="Calibri"/>
                <w:sz w:val="18"/>
              </w:rPr>
            </w:pPr>
            <w:r>
              <w:rPr>
                <w:rFonts w:ascii="Calibri"/>
                <w:sz w:val="18"/>
              </w:rPr>
              <w:t>105.1</w:t>
            </w:r>
          </w:p>
        </w:tc>
        <w:tc>
          <w:tcPr>
            <w:tcW w:w="681" w:type="dxa"/>
            <w:tcBorders>
              <w:right w:val="single" w:sz="12" w:space="0" w:color="000000"/>
            </w:tcBorders>
          </w:tcPr>
          <w:p>
            <w:pPr>
              <w:pStyle w:val="TableParagraph"/>
              <w:spacing w:line="200" w:lineRule="exact"/>
              <w:ind w:left="85" w:right="74"/>
              <w:rPr>
                <w:rFonts w:ascii="Calibri"/>
                <w:sz w:val="18"/>
              </w:rPr>
            </w:pPr>
            <w:r>
              <w:rPr>
                <w:rFonts w:ascii="Calibri"/>
                <w:sz w:val="18"/>
              </w:rPr>
              <w:t>15.2</w:t>
            </w:r>
          </w:p>
        </w:tc>
        <w:tc>
          <w:tcPr>
            <w:tcW w:w="722" w:type="dxa"/>
            <w:tcBorders>
              <w:left w:val="single" w:sz="12" w:space="0" w:color="000000"/>
            </w:tcBorders>
          </w:tcPr>
          <w:p>
            <w:pPr>
              <w:pStyle w:val="TableParagraph"/>
              <w:spacing w:line="200" w:lineRule="exact"/>
              <w:ind w:left="113" w:right="121"/>
              <w:rPr>
                <w:rFonts w:ascii="Calibri"/>
                <w:sz w:val="18"/>
              </w:rPr>
            </w:pPr>
            <w:r>
              <w:rPr>
                <w:rFonts w:ascii="Calibri"/>
                <w:sz w:val="18"/>
              </w:rPr>
              <w:t>98.0</w:t>
            </w:r>
          </w:p>
        </w:tc>
        <w:tc>
          <w:tcPr>
            <w:tcW w:w="631" w:type="dxa"/>
          </w:tcPr>
          <w:p>
            <w:pPr>
              <w:pStyle w:val="TableParagraph"/>
              <w:spacing w:line="200" w:lineRule="exact"/>
              <w:ind w:left="126" w:right="128"/>
              <w:rPr>
                <w:rFonts w:ascii="Calibri"/>
                <w:sz w:val="18"/>
              </w:rPr>
            </w:pPr>
            <w:r>
              <w:rPr>
                <w:rFonts w:ascii="Calibri"/>
                <w:sz w:val="18"/>
              </w:rPr>
              <w:t>13.7</w:t>
            </w:r>
          </w:p>
        </w:tc>
        <w:tc>
          <w:tcPr>
            <w:tcW w:w="721" w:type="dxa"/>
          </w:tcPr>
          <w:p>
            <w:pPr>
              <w:pStyle w:val="TableParagraph"/>
              <w:spacing w:line="200" w:lineRule="exact"/>
              <w:ind w:left="128" w:right="131"/>
              <w:rPr>
                <w:rFonts w:ascii="Calibri"/>
                <w:sz w:val="18"/>
              </w:rPr>
            </w:pPr>
            <w:r>
              <w:rPr>
                <w:rFonts w:ascii="Calibri"/>
                <w:sz w:val="18"/>
              </w:rPr>
              <w:t>105.8</w:t>
            </w:r>
          </w:p>
        </w:tc>
        <w:tc>
          <w:tcPr>
            <w:tcW w:w="720" w:type="dxa"/>
            <w:tcBorders>
              <w:right w:val="single" w:sz="12" w:space="0" w:color="000000"/>
            </w:tcBorders>
          </w:tcPr>
          <w:p>
            <w:pPr>
              <w:pStyle w:val="TableParagraph"/>
              <w:spacing w:line="200" w:lineRule="exact"/>
              <w:ind w:left="94" w:right="91"/>
              <w:rPr>
                <w:rFonts w:ascii="Calibri"/>
                <w:sz w:val="18"/>
              </w:rPr>
            </w:pPr>
            <w:r>
              <w:rPr>
                <w:rFonts w:ascii="Calibri"/>
                <w:sz w:val="18"/>
              </w:rPr>
              <w:t>11.2</w:t>
            </w:r>
          </w:p>
        </w:tc>
        <w:tc>
          <w:tcPr>
            <w:tcW w:w="773" w:type="dxa"/>
            <w:tcBorders>
              <w:left w:val="single" w:sz="12" w:space="0" w:color="000000"/>
            </w:tcBorders>
          </w:tcPr>
          <w:p>
            <w:pPr>
              <w:pStyle w:val="TableParagraph"/>
              <w:spacing w:line="200" w:lineRule="exact"/>
              <w:ind w:left="143" w:right="159"/>
              <w:rPr>
                <w:rFonts w:ascii="Calibri"/>
                <w:sz w:val="18"/>
              </w:rPr>
            </w:pPr>
            <w:r>
              <w:rPr>
                <w:rFonts w:ascii="Calibri"/>
                <w:sz w:val="18"/>
              </w:rPr>
              <w:t>95.2</w:t>
            </w:r>
          </w:p>
        </w:tc>
        <w:tc>
          <w:tcPr>
            <w:tcW w:w="541" w:type="dxa"/>
          </w:tcPr>
          <w:p>
            <w:pPr>
              <w:pStyle w:val="TableParagraph"/>
              <w:spacing w:line="200" w:lineRule="exact"/>
              <w:ind w:left="99"/>
              <w:jc w:val="left"/>
              <w:rPr>
                <w:rFonts w:ascii="Calibri"/>
                <w:sz w:val="18"/>
              </w:rPr>
            </w:pPr>
            <w:r>
              <w:rPr>
                <w:rFonts w:ascii="Calibri"/>
                <w:sz w:val="18"/>
              </w:rPr>
              <w:t>10.9</w:t>
            </w:r>
          </w:p>
        </w:tc>
        <w:tc>
          <w:tcPr>
            <w:tcW w:w="721" w:type="dxa"/>
          </w:tcPr>
          <w:p>
            <w:pPr>
              <w:pStyle w:val="TableParagraph"/>
              <w:spacing w:line="200" w:lineRule="exact"/>
              <w:ind w:right="155"/>
              <w:jc w:val="right"/>
              <w:rPr>
                <w:rFonts w:ascii="Calibri"/>
                <w:sz w:val="18"/>
              </w:rPr>
            </w:pPr>
            <w:r>
              <w:rPr>
                <w:rFonts w:ascii="Calibri"/>
                <w:sz w:val="18"/>
              </w:rPr>
              <w:t>100.6</w:t>
            </w:r>
          </w:p>
        </w:tc>
        <w:tc>
          <w:tcPr>
            <w:tcW w:w="759" w:type="dxa"/>
            <w:tcBorders>
              <w:right w:val="single" w:sz="12" w:space="0" w:color="000000"/>
            </w:tcBorders>
          </w:tcPr>
          <w:p>
            <w:pPr>
              <w:pStyle w:val="TableParagraph"/>
              <w:spacing w:line="200" w:lineRule="exact"/>
              <w:ind w:left="117" w:right="120"/>
              <w:rPr>
                <w:rFonts w:ascii="Calibri"/>
                <w:sz w:val="18"/>
              </w:rPr>
            </w:pPr>
            <w:r>
              <w:rPr>
                <w:rFonts w:ascii="Calibri"/>
                <w:sz w:val="18"/>
              </w:rPr>
              <w:t>10.6</w:t>
            </w:r>
          </w:p>
        </w:tc>
        <w:tc>
          <w:tcPr>
            <w:tcW w:w="722" w:type="dxa"/>
            <w:tcBorders>
              <w:left w:val="single" w:sz="12" w:space="0" w:color="000000"/>
            </w:tcBorders>
          </w:tcPr>
          <w:p>
            <w:pPr>
              <w:pStyle w:val="TableParagraph"/>
              <w:spacing w:line="200" w:lineRule="exact"/>
              <w:ind w:left="105" w:right="129"/>
              <w:rPr>
                <w:rFonts w:ascii="Calibri"/>
                <w:sz w:val="18"/>
              </w:rPr>
            </w:pPr>
            <w:r>
              <w:rPr>
                <w:rFonts w:ascii="Calibri"/>
                <w:sz w:val="18"/>
              </w:rPr>
              <w:t>104.4</w:t>
            </w:r>
          </w:p>
        </w:tc>
        <w:tc>
          <w:tcPr>
            <w:tcW w:w="631" w:type="dxa"/>
          </w:tcPr>
          <w:p>
            <w:pPr>
              <w:pStyle w:val="TableParagraph"/>
              <w:spacing w:line="200" w:lineRule="exact"/>
              <w:ind w:right="158"/>
              <w:jc w:val="right"/>
              <w:rPr>
                <w:rFonts w:ascii="Calibri"/>
                <w:sz w:val="18"/>
              </w:rPr>
            </w:pPr>
            <w:r>
              <w:rPr>
                <w:rFonts w:ascii="Calibri"/>
                <w:sz w:val="18"/>
              </w:rPr>
              <w:t>29.2</w:t>
            </w:r>
          </w:p>
        </w:tc>
        <w:tc>
          <w:tcPr>
            <w:tcW w:w="721" w:type="dxa"/>
          </w:tcPr>
          <w:p>
            <w:pPr>
              <w:pStyle w:val="TableParagraph"/>
              <w:spacing w:line="200" w:lineRule="exact"/>
              <w:ind w:left="139"/>
              <w:jc w:val="left"/>
              <w:rPr>
                <w:rFonts w:ascii="Calibri"/>
                <w:sz w:val="18"/>
              </w:rPr>
            </w:pPr>
            <w:r>
              <w:rPr>
                <w:rFonts w:ascii="Calibri"/>
                <w:sz w:val="18"/>
              </w:rPr>
              <w:t>103.9</w:t>
            </w:r>
          </w:p>
        </w:tc>
        <w:tc>
          <w:tcPr>
            <w:tcW w:w="720" w:type="dxa"/>
            <w:tcBorders>
              <w:right w:val="single" w:sz="12" w:space="0" w:color="000000"/>
            </w:tcBorders>
          </w:tcPr>
          <w:p>
            <w:pPr>
              <w:pStyle w:val="TableParagraph"/>
              <w:spacing w:line="200" w:lineRule="exact"/>
              <w:ind w:left="88" w:right="98"/>
              <w:rPr>
                <w:rFonts w:ascii="Calibri"/>
                <w:sz w:val="18"/>
              </w:rPr>
            </w:pPr>
            <w:r>
              <w:rPr>
                <w:rFonts w:ascii="Calibri"/>
                <w:sz w:val="18"/>
              </w:rPr>
              <w:t>14.1</w:t>
            </w:r>
          </w:p>
        </w:tc>
        <w:tc>
          <w:tcPr>
            <w:tcW w:w="721" w:type="dxa"/>
            <w:tcBorders>
              <w:left w:val="single" w:sz="12" w:space="0" w:color="000000"/>
            </w:tcBorders>
          </w:tcPr>
          <w:p>
            <w:pPr>
              <w:pStyle w:val="TableParagraph"/>
              <w:spacing w:line="200" w:lineRule="exact"/>
              <w:ind w:left="174"/>
              <w:jc w:val="left"/>
              <w:rPr>
                <w:rFonts w:ascii="Calibri"/>
                <w:sz w:val="18"/>
              </w:rPr>
            </w:pPr>
            <w:r>
              <w:rPr>
                <w:rFonts w:ascii="Calibri"/>
                <w:sz w:val="18"/>
              </w:rPr>
              <w:t>98.9</w:t>
            </w:r>
          </w:p>
        </w:tc>
        <w:tc>
          <w:tcPr>
            <w:tcW w:w="630" w:type="dxa"/>
          </w:tcPr>
          <w:p>
            <w:pPr>
              <w:pStyle w:val="TableParagraph"/>
              <w:spacing w:line="200" w:lineRule="exact"/>
              <w:ind w:left="137"/>
              <w:jc w:val="left"/>
              <w:rPr>
                <w:rFonts w:ascii="Calibri"/>
                <w:sz w:val="18"/>
              </w:rPr>
            </w:pPr>
            <w:r>
              <w:rPr>
                <w:rFonts w:ascii="Calibri"/>
                <w:sz w:val="18"/>
              </w:rPr>
              <w:t>10.0</w:t>
            </w:r>
          </w:p>
        </w:tc>
        <w:tc>
          <w:tcPr>
            <w:tcW w:w="720" w:type="dxa"/>
          </w:tcPr>
          <w:p>
            <w:pPr>
              <w:pStyle w:val="TableParagraph"/>
              <w:spacing w:line="200" w:lineRule="exact"/>
              <w:ind w:left="137"/>
              <w:jc w:val="left"/>
              <w:rPr>
                <w:rFonts w:ascii="Calibri"/>
                <w:sz w:val="18"/>
              </w:rPr>
            </w:pPr>
            <w:r>
              <w:rPr>
                <w:rFonts w:ascii="Calibri"/>
                <w:sz w:val="18"/>
              </w:rPr>
              <w:t>110.0</w:t>
            </w:r>
          </w:p>
        </w:tc>
        <w:tc>
          <w:tcPr>
            <w:tcW w:w="719" w:type="dxa"/>
            <w:tcBorders>
              <w:right w:val="single" w:sz="12" w:space="0" w:color="000000"/>
            </w:tcBorders>
          </w:tcPr>
          <w:p>
            <w:pPr>
              <w:pStyle w:val="TableParagraph"/>
              <w:spacing w:line="200" w:lineRule="exact"/>
              <w:ind w:left="93" w:right="104"/>
              <w:rPr>
                <w:rFonts w:ascii="Calibri"/>
                <w:sz w:val="18"/>
              </w:rPr>
            </w:pPr>
            <w:r>
              <w:rPr>
                <w:rFonts w:ascii="Calibri"/>
                <w:sz w:val="18"/>
              </w:rPr>
              <w:t>20.9</w:t>
            </w:r>
          </w:p>
        </w:tc>
      </w:tr>
      <w:tr>
        <w:trPr>
          <w:trHeight w:val="299" w:hRule="atLeast"/>
        </w:trPr>
        <w:tc>
          <w:tcPr>
            <w:tcW w:w="1435" w:type="dxa"/>
            <w:tcBorders>
              <w:right w:val="single" w:sz="12" w:space="0" w:color="000000"/>
            </w:tcBorders>
          </w:tcPr>
          <w:p>
            <w:pPr>
              <w:pStyle w:val="TableParagraph"/>
              <w:spacing w:line="199" w:lineRule="exact"/>
              <w:ind w:left="176" w:right="158"/>
              <w:rPr>
                <w:rFonts w:ascii="Calibri"/>
                <w:sz w:val="18"/>
              </w:rPr>
            </w:pPr>
            <w:r>
              <w:rPr>
                <w:rFonts w:ascii="Calibri"/>
                <w:sz w:val="18"/>
              </w:rPr>
              <w:t>M242FTS</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93.4</w:t>
            </w:r>
          </w:p>
        </w:tc>
        <w:tc>
          <w:tcPr>
            <w:tcW w:w="631" w:type="dxa"/>
          </w:tcPr>
          <w:p>
            <w:pPr>
              <w:pStyle w:val="TableParagraph"/>
              <w:spacing w:line="199" w:lineRule="exact"/>
              <w:ind w:left="129" w:right="124"/>
              <w:rPr>
                <w:rFonts w:ascii="Calibri"/>
                <w:sz w:val="18"/>
              </w:rPr>
            </w:pPr>
            <w:r>
              <w:rPr>
                <w:rFonts w:ascii="Calibri"/>
                <w:sz w:val="18"/>
              </w:rPr>
              <w:t>19.2</w:t>
            </w:r>
          </w:p>
        </w:tc>
        <w:tc>
          <w:tcPr>
            <w:tcW w:w="761" w:type="dxa"/>
          </w:tcPr>
          <w:p>
            <w:pPr>
              <w:pStyle w:val="TableParagraph"/>
              <w:spacing w:line="199" w:lineRule="exact"/>
              <w:ind w:left="151" w:right="148"/>
              <w:rPr>
                <w:rFonts w:ascii="Calibri"/>
                <w:sz w:val="18"/>
              </w:rPr>
            </w:pPr>
            <w:r>
              <w:rPr>
                <w:rFonts w:ascii="Calibri"/>
                <w:sz w:val="18"/>
              </w:rPr>
              <w:t>99.3</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22.4</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97.0</w:t>
            </w:r>
          </w:p>
        </w:tc>
        <w:tc>
          <w:tcPr>
            <w:tcW w:w="631" w:type="dxa"/>
          </w:tcPr>
          <w:p>
            <w:pPr>
              <w:pStyle w:val="TableParagraph"/>
              <w:spacing w:line="199" w:lineRule="exact"/>
              <w:ind w:left="126" w:right="128"/>
              <w:rPr>
                <w:rFonts w:ascii="Calibri"/>
                <w:sz w:val="18"/>
              </w:rPr>
            </w:pPr>
            <w:r>
              <w:rPr>
                <w:rFonts w:ascii="Calibri"/>
                <w:sz w:val="18"/>
              </w:rPr>
              <w:t>18.2</w:t>
            </w:r>
          </w:p>
        </w:tc>
        <w:tc>
          <w:tcPr>
            <w:tcW w:w="721" w:type="dxa"/>
          </w:tcPr>
          <w:p>
            <w:pPr>
              <w:pStyle w:val="TableParagraph"/>
              <w:spacing w:line="199" w:lineRule="exact"/>
              <w:ind w:left="128" w:right="131"/>
              <w:rPr>
                <w:rFonts w:ascii="Calibri"/>
                <w:sz w:val="18"/>
              </w:rPr>
            </w:pPr>
            <w:r>
              <w:rPr>
                <w:rFonts w:ascii="Calibri"/>
                <w:sz w:val="18"/>
              </w:rPr>
              <w:t>98.7</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16.5</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87.6</w:t>
            </w:r>
          </w:p>
        </w:tc>
        <w:tc>
          <w:tcPr>
            <w:tcW w:w="541" w:type="dxa"/>
          </w:tcPr>
          <w:p>
            <w:pPr>
              <w:pStyle w:val="TableParagraph"/>
              <w:spacing w:line="199" w:lineRule="exact"/>
              <w:ind w:left="99"/>
              <w:jc w:val="left"/>
              <w:rPr>
                <w:rFonts w:ascii="Calibri"/>
                <w:sz w:val="18"/>
              </w:rPr>
            </w:pPr>
            <w:r>
              <w:rPr>
                <w:rFonts w:ascii="Calibri"/>
                <w:sz w:val="18"/>
              </w:rPr>
              <w:t>22.8</w:t>
            </w:r>
          </w:p>
        </w:tc>
        <w:tc>
          <w:tcPr>
            <w:tcW w:w="721" w:type="dxa"/>
          </w:tcPr>
          <w:p>
            <w:pPr>
              <w:pStyle w:val="TableParagraph"/>
              <w:spacing w:line="199" w:lineRule="exact"/>
              <w:ind w:right="200"/>
              <w:jc w:val="right"/>
              <w:rPr>
                <w:rFonts w:ascii="Calibri"/>
                <w:sz w:val="18"/>
              </w:rPr>
            </w:pPr>
            <w:r>
              <w:rPr>
                <w:rFonts w:ascii="Calibri"/>
                <w:sz w:val="18"/>
              </w:rPr>
              <w:t>94.9</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20.6</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93.3</w:t>
            </w:r>
          </w:p>
        </w:tc>
        <w:tc>
          <w:tcPr>
            <w:tcW w:w="631" w:type="dxa"/>
          </w:tcPr>
          <w:p>
            <w:pPr>
              <w:pStyle w:val="TableParagraph"/>
              <w:spacing w:line="199" w:lineRule="exact"/>
              <w:ind w:right="158"/>
              <w:jc w:val="right"/>
              <w:rPr>
                <w:rFonts w:ascii="Calibri"/>
                <w:sz w:val="18"/>
              </w:rPr>
            </w:pPr>
            <w:r>
              <w:rPr>
                <w:rFonts w:ascii="Calibri"/>
                <w:sz w:val="18"/>
              </w:rPr>
              <w:t>13.9</w:t>
            </w:r>
          </w:p>
        </w:tc>
        <w:tc>
          <w:tcPr>
            <w:tcW w:w="721" w:type="dxa"/>
          </w:tcPr>
          <w:p>
            <w:pPr>
              <w:pStyle w:val="TableParagraph"/>
              <w:spacing w:line="199" w:lineRule="exact"/>
              <w:ind w:left="139"/>
              <w:jc w:val="left"/>
              <w:rPr>
                <w:rFonts w:ascii="Calibri"/>
                <w:sz w:val="18"/>
              </w:rPr>
            </w:pPr>
            <w:r>
              <w:rPr>
                <w:rFonts w:ascii="Calibri"/>
                <w:sz w:val="18"/>
              </w:rPr>
              <w:t>100.3</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27.0</w:t>
            </w:r>
          </w:p>
        </w:tc>
        <w:tc>
          <w:tcPr>
            <w:tcW w:w="721" w:type="dxa"/>
            <w:tcBorders>
              <w:left w:val="single" w:sz="12" w:space="0" w:color="000000"/>
            </w:tcBorders>
          </w:tcPr>
          <w:p>
            <w:pPr>
              <w:pStyle w:val="TableParagraph"/>
              <w:spacing w:line="199" w:lineRule="exact"/>
              <w:ind w:left="174"/>
              <w:jc w:val="left"/>
              <w:rPr>
                <w:rFonts w:ascii="Calibri"/>
                <w:sz w:val="18"/>
              </w:rPr>
            </w:pPr>
            <w:r>
              <w:rPr>
                <w:rFonts w:ascii="Calibri"/>
                <w:sz w:val="18"/>
              </w:rPr>
              <w:t>95.9</w:t>
            </w:r>
          </w:p>
        </w:tc>
        <w:tc>
          <w:tcPr>
            <w:tcW w:w="630" w:type="dxa"/>
          </w:tcPr>
          <w:p>
            <w:pPr>
              <w:pStyle w:val="TableParagraph"/>
              <w:spacing w:line="199" w:lineRule="exact"/>
              <w:ind w:left="137"/>
              <w:jc w:val="left"/>
              <w:rPr>
                <w:rFonts w:ascii="Calibri"/>
                <w:sz w:val="18"/>
              </w:rPr>
            </w:pPr>
            <w:r>
              <w:rPr>
                <w:rFonts w:ascii="Calibri"/>
                <w:sz w:val="18"/>
              </w:rPr>
              <w:t>20.4</w:t>
            </w:r>
          </w:p>
        </w:tc>
        <w:tc>
          <w:tcPr>
            <w:tcW w:w="720" w:type="dxa"/>
          </w:tcPr>
          <w:p>
            <w:pPr>
              <w:pStyle w:val="TableParagraph"/>
              <w:spacing w:line="199" w:lineRule="exact"/>
              <w:ind w:left="137"/>
              <w:jc w:val="left"/>
              <w:rPr>
                <w:rFonts w:ascii="Calibri"/>
                <w:sz w:val="18"/>
              </w:rPr>
            </w:pPr>
            <w:r>
              <w:rPr>
                <w:rFonts w:ascii="Calibri"/>
                <w:sz w:val="18"/>
              </w:rPr>
              <w:t>103.3</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23.8</w:t>
            </w:r>
          </w:p>
        </w:tc>
      </w:tr>
      <w:tr>
        <w:trPr>
          <w:trHeight w:val="299" w:hRule="atLeast"/>
        </w:trPr>
        <w:tc>
          <w:tcPr>
            <w:tcW w:w="1435" w:type="dxa"/>
            <w:tcBorders>
              <w:right w:val="single" w:sz="12" w:space="0" w:color="000000"/>
            </w:tcBorders>
          </w:tcPr>
          <w:p>
            <w:pPr>
              <w:pStyle w:val="TableParagraph"/>
              <w:spacing w:line="199" w:lineRule="exact"/>
              <w:ind w:left="177" w:right="158"/>
              <w:rPr>
                <w:rFonts w:ascii="Calibri"/>
                <w:sz w:val="18"/>
              </w:rPr>
            </w:pPr>
            <w:r>
              <w:rPr>
                <w:rFonts w:ascii="Calibri"/>
                <w:sz w:val="18"/>
              </w:rPr>
              <w:t>d5NEtFOSAA</w:t>
            </w:r>
          </w:p>
        </w:tc>
        <w:tc>
          <w:tcPr>
            <w:tcW w:w="726" w:type="dxa"/>
            <w:tcBorders>
              <w:left w:val="single" w:sz="12" w:space="0" w:color="000000"/>
            </w:tcBorders>
          </w:tcPr>
          <w:p>
            <w:pPr>
              <w:pStyle w:val="TableParagraph"/>
              <w:spacing w:line="199" w:lineRule="exact"/>
              <w:ind w:left="127" w:right="127"/>
              <w:rPr>
                <w:rFonts w:ascii="Calibri"/>
                <w:sz w:val="18"/>
              </w:rPr>
            </w:pPr>
            <w:r>
              <w:rPr>
                <w:rFonts w:ascii="Calibri"/>
                <w:sz w:val="18"/>
              </w:rPr>
              <w:t>110.8</w:t>
            </w:r>
          </w:p>
        </w:tc>
        <w:tc>
          <w:tcPr>
            <w:tcW w:w="631" w:type="dxa"/>
          </w:tcPr>
          <w:p>
            <w:pPr>
              <w:pStyle w:val="TableParagraph"/>
              <w:spacing w:line="199" w:lineRule="exact"/>
              <w:ind w:left="129" w:right="124"/>
              <w:rPr>
                <w:rFonts w:ascii="Calibri"/>
                <w:sz w:val="18"/>
              </w:rPr>
            </w:pPr>
            <w:r>
              <w:rPr>
                <w:rFonts w:ascii="Calibri"/>
                <w:sz w:val="18"/>
              </w:rPr>
              <w:t>14.9</w:t>
            </w:r>
          </w:p>
        </w:tc>
        <w:tc>
          <w:tcPr>
            <w:tcW w:w="761" w:type="dxa"/>
          </w:tcPr>
          <w:p>
            <w:pPr>
              <w:pStyle w:val="TableParagraph"/>
              <w:spacing w:line="199" w:lineRule="exact"/>
              <w:ind w:left="151" w:right="148"/>
              <w:rPr>
                <w:rFonts w:ascii="Calibri"/>
                <w:sz w:val="18"/>
              </w:rPr>
            </w:pPr>
            <w:r>
              <w:rPr>
                <w:rFonts w:ascii="Calibri"/>
                <w:sz w:val="18"/>
              </w:rPr>
              <w:t>109.3</w:t>
            </w:r>
          </w:p>
        </w:tc>
        <w:tc>
          <w:tcPr>
            <w:tcW w:w="681" w:type="dxa"/>
            <w:tcBorders>
              <w:right w:val="single" w:sz="12" w:space="0" w:color="000000"/>
            </w:tcBorders>
          </w:tcPr>
          <w:p>
            <w:pPr>
              <w:pStyle w:val="TableParagraph"/>
              <w:spacing w:line="199" w:lineRule="exact"/>
              <w:ind w:left="85" w:right="74"/>
              <w:rPr>
                <w:rFonts w:ascii="Calibri"/>
                <w:sz w:val="18"/>
              </w:rPr>
            </w:pPr>
            <w:r>
              <w:rPr>
                <w:rFonts w:ascii="Calibri"/>
                <w:sz w:val="18"/>
              </w:rPr>
              <w:t>16.3</w:t>
            </w:r>
          </w:p>
        </w:tc>
        <w:tc>
          <w:tcPr>
            <w:tcW w:w="722" w:type="dxa"/>
            <w:tcBorders>
              <w:left w:val="single" w:sz="12" w:space="0" w:color="000000"/>
            </w:tcBorders>
          </w:tcPr>
          <w:p>
            <w:pPr>
              <w:pStyle w:val="TableParagraph"/>
              <w:spacing w:line="199" w:lineRule="exact"/>
              <w:ind w:left="113" w:right="121"/>
              <w:rPr>
                <w:rFonts w:ascii="Calibri"/>
                <w:sz w:val="18"/>
              </w:rPr>
            </w:pPr>
            <w:r>
              <w:rPr>
                <w:rFonts w:ascii="Calibri"/>
                <w:sz w:val="18"/>
              </w:rPr>
              <w:t>107.6</w:t>
            </w:r>
          </w:p>
        </w:tc>
        <w:tc>
          <w:tcPr>
            <w:tcW w:w="631" w:type="dxa"/>
          </w:tcPr>
          <w:p>
            <w:pPr>
              <w:pStyle w:val="TableParagraph"/>
              <w:spacing w:line="199" w:lineRule="exact"/>
              <w:ind w:left="126" w:right="128"/>
              <w:rPr>
                <w:rFonts w:ascii="Calibri"/>
                <w:sz w:val="18"/>
              </w:rPr>
            </w:pPr>
            <w:r>
              <w:rPr>
                <w:rFonts w:ascii="Calibri"/>
                <w:sz w:val="18"/>
              </w:rPr>
              <w:t>13.3</w:t>
            </w:r>
          </w:p>
        </w:tc>
        <w:tc>
          <w:tcPr>
            <w:tcW w:w="721" w:type="dxa"/>
          </w:tcPr>
          <w:p>
            <w:pPr>
              <w:pStyle w:val="TableParagraph"/>
              <w:spacing w:line="199" w:lineRule="exact"/>
              <w:ind w:left="128" w:right="131"/>
              <w:rPr>
                <w:rFonts w:ascii="Calibri"/>
                <w:sz w:val="18"/>
              </w:rPr>
            </w:pPr>
            <w:r>
              <w:rPr>
                <w:rFonts w:ascii="Calibri"/>
                <w:sz w:val="18"/>
              </w:rPr>
              <w:t>107.9</w:t>
            </w:r>
          </w:p>
        </w:tc>
        <w:tc>
          <w:tcPr>
            <w:tcW w:w="720" w:type="dxa"/>
            <w:tcBorders>
              <w:right w:val="single" w:sz="12" w:space="0" w:color="000000"/>
            </w:tcBorders>
          </w:tcPr>
          <w:p>
            <w:pPr>
              <w:pStyle w:val="TableParagraph"/>
              <w:spacing w:line="199" w:lineRule="exact"/>
              <w:ind w:left="94" w:right="91"/>
              <w:rPr>
                <w:rFonts w:ascii="Calibri"/>
                <w:sz w:val="18"/>
              </w:rPr>
            </w:pPr>
            <w:r>
              <w:rPr>
                <w:rFonts w:ascii="Calibri"/>
                <w:sz w:val="18"/>
              </w:rPr>
              <w:t>14.2</w:t>
            </w:r>
          </w:p>
        </w:tc>
        <w:tc>
          <w:tcPr>
            <w:tcW w:w="773" w:type="dxa"/>
            <w:tcBorders>
              <w:left w:val="single" w:sz="12" w:space="0" w:color="000000"/>
            </w:tcBorders>
          </w:tcPr>
          <w:p>
            <w:pPr>
              <w:pStyle w:val="TableParagraph"/>
              <w:spacing w:line="199" w:lineRule="exact"/>
              <w:ind w:left="143" w:right="159"/>
              <w:rPr>
                <w:rFonts w:ascii="Calibri"/>
                <w:sz w:val="18"/>
              </w:rPr>
            </w:pPr>
            <w:r>
              <w:rPr>
                <w:rFonts w:ascii="Calibri"/>
                <w:sz w:val="18"/>
              </w:rPr>
              <w:t>108.0</w:t>
            </w:r>
          </w:p>
        </w:tc>
        <w:tc>
          <w:tcPr>
            <w:tcW w:w="541" w:type="dxa"/>
          </w:tcPr>
          <w:p>
            <w:pPr>
              <w:pStyle w:val="TableParagraph"/>
              <w:spacing w:line="199" w:lineRule="exact"/>
              <w:ind w:left="99"/>
              <w:jc w:val="left"/>
              <w:rPr>
                <w:rFonts w:ascii="Calibri"/>
                <w:sz w:val="18"/>
              </w:rPr>
            </w:pPr>
            <w:r>
              <w:rPr>
                <w:rFonts w:ascii="Calibri"/>
                <w:sz w:val="18"/>
              </w:rPr>
              <w:t>13.1</w:t>
            </w:r>
          </w:p>
        </w:tc>
        <w:tc>
          <w:tcPr>
            <w:tcW w:w="721" w:type="dxa"/>
          </w:tcPr>
          <w:p>
            <w:pPr>
              <w:pStyle w:val="TableParagraph"/>
              <w:spacing w:line="199" w:lineRule="exact"/>
              <w:ind w:right="155"/>
              <w:jc w:val="right"/>
              <w:rPr>
                <w:rFonts w:ascii="Calibri"/>
                <w:sz w:val="18"/>
              </w:rPr>
            </w:pPr>
            <w:r>
              <w:rPr>
                <w:rFonts w:ascii="Calibri"/>
                <w:sz w:val="18"/>
              </w:rPr>
              <w:t>106.1</w:t>
            </w:r>
          </w:p>
        </w:tc>
        <w:tc>
          <w:tcPr>
            <w:tcW w:w="759" w:type="dxa"/>
            <w:tcBorders>
              <w:right w:val="single" w:sz="12" w:space="0" w:color="000000"/>
            </w:tcBorders>
          </w:tcPr>
          <w:p>
            <w:pPr>
              <w:pStyle w:val="TableParagraph"/>
              <w:spacing w:line="199" w:lineRule="exact"/>
              <w:ind w:left="117" w:right="120"/>
              <w:rPr>
                <w:rFonts w:ascii="Calibri"/>
                <w:sz w:val="18"/>
              </w:rPr>
            </w:pPr>
            <w:r>
              <w:rPr>
                <w:rFonts w:ascii="Calibri"/>
                <w:sz w:val="18"/>
              </w:rPr>
              <w:t>16.7</w:t>
            </w:r>
          </w:p>
        </w:tc>
        <w:tc>
          <w:tcPr>
            <w:tcW w:w="722" w:type="dxa"/>
            <w:tcBorders>
              <w:left w:val="single" w:sz="12" w:space="0" w:color="000000"/>
            </w:tcBorders>
          </w:tcPr>
          <w:p>
            <w:pPr>
              <w:pStyle w:val="TableParagraph"/>
              <w:spacing w:line="199" w:lineRule="exact"/>
              <w:ind w:left="105" w:right="129"/>
              <w:rPr>
                <w:rFonts w:ascii="Calibri"/>
                <w:sz w:val="18"/>
              </w:rPr>
            </w:pPr>
            <w:r>
              <w:rPr>
                <w:rFonts w:ascii="Calibri"/>
                <w:sz w:val="18"/>
              </w:rPr>
              <w:t>112.7</w:t>
            </w:r>
          </w:p>
        </w:tc>
        <w:tc>
          <w:tcPr>
            <w:tcW w:w="631" w:type="dxa"/>
          </w:tcPr>
          <w:p>
            <w:pPr>
              <w:pStyle w:val="TableParagraph"/>
              <w:spacing w:line="199" w:lineRule="exact"/>
              <w:ind w:right="158"/>
              <w:jc w:val="right"/>
              <w:rPr>
                <w:rFonts w:ascii="Calibri"/>
                <w:sz w:val="18"/>
              </w:rPr>
            </w:pPr>
            <w:r>
              <w:rPr>
                <w:rFonts w:ascii="Calibri"/>
                <w:sz w:val="18"/>
              </w:rPr>
              <w:t>16.5</w:t>
            </w:r>
          </w:p>
        </w:tc>
        <w:tc>
          <w:tcPr>
            <w:tcW w:w="721" w:type="dxa"/>
          </w:tcPr>
          <w:p>
            <w:pPr>
              <w:pStyle w:val="TableParagraph"/>
              <w:spacing w:line="199" w:lineRule="exact"/>
              <w:ind w:left="139"/>
              <w:jc w:val="left"/>
              <w:rPr>
                <w:rFonts w:ascii="Calibri"/>
                <w:sz w:val="18"/>
              </w:rPr>
            </w:pPr>
            <w:r>
              <w:rPr>
                <w:rFonts w:ascii="Calibri"/>
                <w:sz w:val="18"/>
              </w:rPr>
              <w:t>109.0</w:t>
            </w:r>
          </w:p>
        </w:tc>
        <w:tc>
          <w:tcPr>
            <w:tcW w:w="720" w:type="dxa"/>
            <w:tcBorders>
              <w:right w:val="single" w:sz="12" w:space="0" w:color="000000"/>
            </w:tcBorders>
          </w:tcPr>
          <w:p>
            <w:pPr>
              <w:pStyle w:val="TableParagraph"/>
              <w:spacing w:line="199" w:lineRule="exact"/>
              <w:ind w:left="88" w:right="98"/>
              <w:rPr>
                <w:rFonts w:ascii="Calibri"/>
                <w:sz w:val="18"/>
              </w:rPr>
            </w:pPr>
            <w:r>
              <w:rPr>
                <w:rFonts w:ascii="Calibri"/>
                <w:sz w:val="18"/>
              </w:rPr>
              <w:t>15.9</w:t>
            </w:r>
          </w:p>
        </w:tc>
        <w:tc>
          <w:tcPr>
            <w:tcW w:w="721" w:type="dxa"/>
            <w:tcBorders>
              <w:left w:val="single" w:sz="12" w:space="0" w:color="000000"/>
            </w:tcBorders>
          </w:tcPr>
          <w:p>
            <w:pPr>
              <w:pStyle w:val="TableParagraph"/>
              <w:spacing w:line="199" w:lineRule="exact"/>
              <w:ind w:left="128"/>
              <w:jc w:val="left"/>
              <w:rPr>
                <w:rFonts w:ascii="Calibri"/>
                <w:sz w:val="18"/>
              </w:rPr>
            </w:pPr>
            <w:r>
              <w:rPr>
                <w:rFonts w:ascii="Calibri"/>
                <w:sz w:val="18"/>
              </w:rPr>
              <w:t>115.2</w:t>
            </w:r>
          </w:p>
        </w:tc>
        <w:tc>
          <w:tcPr>
            <w:tcW w:w="630" w:type="dxa"/>
          </w:tcPr>
          <w:p>
            <w:pPr>
              <w:pStyle w:val="TableParagraph"/>
              <w:spacing w:line="199" w:lineRule="exact"/>
              <w:ind w:left="137"/>
              <w:jc w:val="left"/>
              <w:rPr>
                <w:rFonts w:ascii="Calibri"/>
                <w:sz w:val="18"/>
              </w:rPr>
            </w:pPr>
            <w:r>
              <w:rPr>
                <w:rFonts w:ascii="Calibri"/>
                <w:sz w:val="18"/>
              </w:rPr>
              <w:t>15.7</w:t>
            </w:r>
          </w:p>
        </w:tc>
        <w:tc>
          <w:tcPr>
            <w:tcW w:w="720" w:type="dxa"/>
          </w:tcPr>
          <w:p>
            <w:pPr>
              <w:pStyle w:val="TableParagraph"/>
              <w:spacing w:line="199" w:lineRule="exact"/>
              <w:ind w:left="137"/>
              <w:jc w:val="left"/>
              <w:rPr>
                <w:rFonts w:ascii="Calibri"/>
                <w:sz w:val="18"/>
              </w:rPr>
            </w:pPr>
            <w:r>
              <w:rPr>
                <w:rFonts w:ascii="Calibri"/>
                <w:sz w:val="18"/>
              </w:rPr>
              <w:t>114.2</w:t>
            </w:r>
          </w:p>
        </w:tc>
        <w:tc>
          <w:tcPr>
            <w:tcW w:w="719" w:type="dxa"/>
            <w:tcBorders>
              <w:right w:val="single" w:sz="12" w:space="0" w:color="000000"/>
            </w:tcBorders>
          </w:tcPr>
          <w:p>
            <w:pPr>
              <w:pStyle w:val="TableParagraph"/>
              <w:spacing w:line="199" w:lineRule="exact"/>
              <w:ind w:left="93" w:right="104"/>
              <w:rPr>
                <w:rFonts w:ascii="Calibri"/>
                <w:sz w:val="18"/>
              </w:rPr>
            </w:pPr>
            <w:r>
              <w:rPr>
                <w:rFonts w:ascii="Calibri"/>
                <w:sz w:val="18"/>
              </w:rPr>
              <w:t>17.7</w:t>
            </w:r>
          </w:p>
        </w:tc>
      </w:tr>
      <w:tr>
        <w:trPr>
          <w:trHeight w:val="290" w:hRule="atLeast"/>
        </w:trPr>
        <w:tc>
          <w:tcPr>
            <w:tcW w:w="1435" w:type="dxa"/>
            <w:tcBorders>
              <w:right w:val="single" w:sz="12" w:space="0" w:color="000000"/>
            </w:tcBorders>
          </w:tcPr>
          <w:p>
            <w:pPr>
              <w:pStyle w:val="TableParagraph"/>
              <w:spacing w:line="190" w:lineRule="exact"/>
              <w:ind w:left="177" w:right="158"/>
              <w:rPr>
                <w:rFonts w:ascii="Calibri"/>
                <w:sz w:val="18"/>
              </w:rPr>
            </w:pPr>
            <w:r>
              <w:rPr>
                <w:rFonts w:ascii="Calibri"/>
                <w:sz w:val="18"/>
              </w:rPr>
              <w:t>d3NMeFOSAA</w:t>
            </w:r>
          </w:p>
        </w:tc>
        <w:tc>
          <w:tcPr>
            <w:tcW w:w="726" w:type="dxa"/>
            <w:tcBorders>
              <w:left w:val="single" w:sz="12" w:space="0" w:color="000000"/>
              <w:bottom w:val="single" w:sz="12" w:space="0" w:color="000000"/>
            </w:tcBorders>
          </w:tcPr>
          <w:p>
            <w:pPr>
              <w:pStyle w:val="TableParagraph"/>
              <w:spacing w:line="190" w:lineRule="exact"/>
              <w:ind w:left="127" w:right="127"/>
              <w:rPr>
                <w:rFonts w:ascii="Calibri"/>
                <w:sz w:val="18"/>
              </w:rPr>
            </w:pPr>
            <w:r>
              <w:rPr>
                <w:rFonts w:ascii="Calibri"/>
                <w:sz w:val="18"/>
              </w:rPr>
              <w:t>107.8</w:t>
            </w:r>
          </w:p>
        </w:tc>
        <w:tc>
          <w:tcPr>
            <w:tcW w:w="631" w:type="dxa"/>
            <w:tcBorders>
              <w:bottom w:val="single" w:sz="12" w:space="0" w:color="000000"/>
            </w:tcBorders>
          </w:tcPr>
          <w:p>
            <w:pPr>
              <w:pStyle w:val="TableParagraph"/>
              <w:spacing w:line="190" w:lineRule="exact"/>
              <w:ind w:left="129" w:right="124"/>
              <w:rPr>
                <w:rFonts w:ascii="Calibri"/>
                <w:sz w:val="18"/>
              </w:rPr>
            </w:pPr>
            <w:r>
              <w:rPr>
                <w:rFonts w:ascii="Calibri"/>
                <w:sz w:val="18"/>
              </w:rPr>
              <w:t>15.7</w:t>
            </w:r>
          </w:p>
        </w:tc>
        <w:tc>
          <w:tcPr>
            <w:tcW w:w="761" w:type="dxa"/>
            <w:tcBorders>
              <w:bottom w:val="single" w:sz="12" w:space="0" w:color="000000"/>
            </w:tcBorders>
          </w:tcPr>
          <w:p>
            <w:pPr>
              <w:pStyle w:val="TableParagraph"/>
              <w:spacing w:line="190" w:lineRule="exact"/>
              <w:ind w:left="151" w:right="148"/>
              <w:rPr>
                <w:rFonts w:ascii="Calibri"/>
                <w:sz w:val="18"/>
              </w:rPr>
            </w:pPr>
            <w:r>
              <w:rPr>
                <w:rFonts w:ascii="Calibri"/>
                <w:sz w:val="18"/>
              </w:rPr>
              <w:t>106.2</w:t>
            </w:r>
          </w:p>
        </w:tc>
        <w:tc>
          <w:tcPr>
            <w:tcW w:w="681" w:type="dxa"/>
            <w:tcBorders>
              <w:bottom w:val="single" w:sz="12" w:space="0" w:color="000000"/>
              <w:right w:val="single" w:sz="12" w:space="0" w:color="000000"/>
            </w:tcBorders>
          </w:tcPr>
          <w:p>
            <w:pPr>
              <w:pStyle w:val="TableParagraph"/>
              <w:spacing w:line="190" w:lineRule="exact"/>
              <w:ind w:left="85" w:right="74"/>
              <w:rPr>
                <w:rFonts w:ascii="Calibri"/>
                <w:sz w:val="18"/>
              </w:rPr>
            </w:pPr>
            <w:r>
              <w:rPr>
                <w:rFonts w:ascii="Calibri"/>
                <w:sz w:val="18"/>
              </w:rPr>
              <w:t>17.5</w:t>
            </w:r>
          </w:p>
        </w:tc>
        <w:tc>
          <w:tcPr>
            <w:tcW w:w="722" w:type="dxa"/>
            <w:tcBorders>
              <w:left w:val="single" w:sz="12" w:space="0" w:color="000000"/>
              <w:bottom w:val="single" w:sz="12" w:space="0" w:color="000000"/>
            </w:tcBorders>
          </w:tcPr>
          <w:p>
            <w:pPr>
              <w:pStyle w:val="TableParagraph"/>
              <w:spacing w:line="190" w:lineRule="exact"/>
              <w:ind w:left="113" w:right="121"/>
              <w:rPr>
                <w:rFonts w:ascii="Calibri"/>
                <w:sz w:val="18"/>
              </w:rPr>
            </w:pPr>
            <w:r>
              <w:rPr>
                <w:rFonts w:ascii="Calibri"/>
                <w:sz w:val="18"/>
              </w:rPr>
              <w:t>106.4</w:t>
            </w:r>
          </w:p>
        </w:tc>
        <w:tc>
          <w:tcPr>
            <w:tcW w:w="631" w:type="dxa"/>
            <w:tcBorders>
              <w:bottom w:val="single" w:sz="12" w:space="0" w:color="000000"/>
            </w:tcBorders>
          </w:tcPr>
          <w:p>
            <w:pPr>
              <w:pStyle w:val="TableParagraph"/>
              <w:spacing w:line="190" w:lineRule="exact"/>
              <w:ind w:left="126" w:right="128"/>
              <w:rPr>
                <w:rFonts w:ascii="Calibri"/>
                <w:sz w:val="18"/>
              </w:rPr>
            </w:pPr>
            <w:r>
              <w:rPr>
                <w:rFonts w:ascii="Calibri"/>
                <w:sz w:val="18"/>
              </w:rPr>
              <w:t>13.4</w:t>
            </w:r>
          </w:p>
        </w:tc>
        <w:tc>
          <w:tcPr>
            <w:tcW w:w="721" w:type="dxa"/>
            <w:tcBorders>
              <w:bottom w:val="single" w:sz="12" w:space="0" w:color="000000"/>
            </w:tcBorders>
          </w:tcPr>
          <w:p>
            <w:pPr>
              <w:pStyle w:val="TableParagraph"/>
              <w:spacing w:line="190" w:lineRule="exact"/>
              <w:ind w:left="128" w:right="131"/>
              <w:rPr>
                <w:rFonts w:ascii="Calibri"/>
                <w:sz w:val="18"/>
              </w:rPr>
            </w:pPr>
            <w:r>
              <w:rPr>
                <w:rFonts w:ascii="Calibri"/>
                <w:sz w:val="18"/>
              </w:rPr>
              <w:t>103.9</w:t>
            </w:r>
          </w:p>
        </w:tc>
        <w:tc>
          <w:tcPr>
            <w:tcW w:w="720" w:type="dxa"/>
            <w:tcBorders>
              <w:bottom w:val="single" w:sz="12" w:space="0" w:color="000000"/>
              <w:right w:val="single" w:sz="12" w:space="0" w:color="000000"/>
            </w:tcBorders>
          </w:tcPr>
          <w:p>
            <w:pPr>
              <w:pStyle w:val="TableParagraph"/>
              <w:spacing w:line="190" w:lineRule="exact"/>
              <w:ind w:left="94" w:right="91"/>
              <w:rPr>
                <w:rFonts w:ascii="Calibri"/>
                <w:sz w:val="18"/>
              </w:rPr>
            </w:pPr>
            <w:r>
              <w:rPr>
                <w:rFonts w:ascii="Calibri"/>
                <w:sz w:val="18"/>
              </w:rPr>
              <w:t>13.5</w:t>
            </w:r>
          </w:p>
        </w:tc>
        <w:tc>
          <w:tcPr>
            <w:tcW w:w="773" w:type="dxa"/>
            <w:tcBorders>
              <w:left w:val="single" w:sz="12" w:space="0" w:color="000000"/>
              <w:bottom w:val="single" w:sz="12" w:space="0" w:color="000000"/>
            </w:tcBorders>
          </w:tcPr>
          <w:p>
            <w:pPr>
              <w:pStyle w:val="TableParagraph"/>
              <w:spacing w:line="190" w:lineRule="exact"/>
              <w:ind w:left="143" w:right="159"/>
              <w:rPr>
                <w:rFonts w:ascii="Calibri"/>
                <w:sz w:val="18"/>
              </w:rPr>
            </w:pPr>
            <w:r>
              <w:rPr>
                <w:rFonts w:ascii="Calibri"/>
                <w:sz w:val="18"/>
              </w:rPr>
              <w:t>105.2</w:t>
            </w:r>
          </w:p>
        </w:tc>
        <w:tc>
          <w:tcPr>
            <w:tcW w:w="541" w:type="dxa"/>
            <w:tcBorders>
              <w:bottom w:val="single" w:sz="12" w:space="0" w:color="000000"/>
            </w:tcBorders>
          </w:tcPr>
          <w:p>
            <w:pPr>
              <w:pStyle w:val="TableParagraph"/>
              <w:spacing w:line="190" w:lineRule="exact"/>
              <w:ind w:left="99"/>
              <w:jc w:val="left"/>
              <w:rPr>
                <w:rFonts w:ascii="Calibri"/>
                <w:sz w:val="18"/>
              </w:rPr>
            </w:pPr>
            <w:r>
              <w:rPr>
                <w:rFonts w:ascii="Calibri"/>
                <w:sz w:val="18"/>
              </w:rPr>
              <w:t>14.4</w:t>
            </w:r>
          </w:p>
        </w:tc>
        <w:tc>
          <w:tcPr>
            <w:tcW w:w="721" w:type="dxa"/>
            <w:tcBorders>
              <w:bottom w:val="single" w:sz="12" w:space="0" w:color="000000"/>
            </w:tcBorders>
          </w:tcPr>
          <w:p>
            <w:pPr>
              <w:pStyle w:val="TableParagraph"/>
              <w:spacing w:line="190" w:lineRule="exact"/>
              <w:ind w:right="155"/>
              <w:jc w:val="right"/>
              <w:rPr>
                <w:rFonts w:ascii="Calibri"/>
                <w:sz w:val="18"/>
              </w:rPr>
            </w:pPr>
            <w:r>
              <w:rPr>
                <w:rFonts w:ascii="Calibri"/>
                <w:sz w:val="18"/>
              </w:rPr>
              <w:t>108.2</w:t>
            </w:r>
          </w:p>
        </w:tc>
        <w:tc>
          <w:tcPr>
            <w:tcW w:w="759" w:type="dxa"/>
            <w:tcBorders>
              <w:bottom w:val="single" w:sz="12" w:space="0" w:color="000000"/>
              <w:right w:val="single" w:sz="12" w:space="0" w:color="000000"/>
            </w:tcBorders>
          </w:tcPr>
          <w:p>
            <w:pPr>
              <w:pStyle w:val="TableParagraph"/>
              <w:spacing w:line="190" w:lineRule="exact"/>
              <w:ind w:left="117" w:right="120"/>
              <w:rPr>
                <w:rFonts w:ascii="Calibri"/>
                <w:sz w:val="18"/>
              </w:rPr>
            </w:pPr>
            <w:r>
              <w:rPr>
                <w:rFonts w:ascii="Calibri"/>
                <w:sz w:val="18"/>
              </w:rPr>
              <w:t>17.7</w:t>
            </w:r>
          </w:p>
        </w:tc>
        <w:tc>
          <w:tcPr>
            <w:tcW w:w="722" w:type="dxa"/>
            <w:tcBorders>
              <w:left w:val="single" w:sz="12" w:space="0" w:color="000000"/>
              <w:bottom w:val="single" w:sz="12" w:space="0" w:color="000000"/>
            </w:tcBorders>
          </w:tcPr>
          <w:p>
            <w:pPr>
              <w:pStyle w:val="TableParagraph"/>
              <w:spacing w:line="190" w:lineRule="exact"/>
              <w:ind w:left="105" w:right="129"/>
              <w:rPr>
                <w:rFonts w:ascii="Calibri"/>
                <w:sz w:val="18"/>
              </w:rPr>
            </w:pPr>
            <w:r>
              <w:rPr>
                <w:rFonts w:ascii="Calibri"/>
                <w:sz w:val="18"/>
              </w:rPr>
              <w:t>110.8</w:t>
            </w:r>
          </w:p>
        </w:tc>
        <w:tc>
          <w:tcPr>
            <w:tcW w:w="631" w:type="dxa"/>
            <w:tcBorders>
              <w:bottom w:val="single" w:sz="12" w:space="0" w:color="000000"/>
            </w:tcBorders>
          </w:tcPr>
          <w:p>
            <w:pPr>
              <w:pStyle w:val="TableParagraph"/>
              <w:spacing w:line="190" w:lineRule="exact"/>
              <w:ind w:right="158"/>
              <w:jc w:val="right"/>
              <w:rPr>
                <w:rFonts w:ascii="Calibri"/>
                <w:sz w:val="18"/>
              </w:rPr>
            </w:pPr>
            <w:r>
              <w:rPr>
                <w:rFonts w:ascii="Calibri"/>
                <w:sz w:val="18"/>
              </w:rPr>
              <w:t>19.5</w:t>
            </w:r>
          </w:p>
        </w:tc>
        <w:tc>
          <w:tcPr>
            <w:tcW w:w="721" w:type="dxa"/>
            <w:tcBorders>
              <w:bottom w:val="single" w:sz="12" w:space="0" w:color="000000"/>
            </w:tcBorders>
          </w:tcPr>
          <w:p>
            <w:pPr>
              <w:pStyle w:val="TableParagraph"/>
              <w:spacing w:line="190" w:lineRule="exact"/>
              <w:ind w:left="139"/>
              <w:jc w:val="left"/>
              <w:rPr>
                <w:rFonts w:ascii="Calibri"/>
                <w:sz w:val="18"/>
              </w:rPr>
            </w:pPr>
            <w:r>
              <w:rPr>
                <w:rFonts w:ascii="Calibri"/>
                <w:sz w:val="18"/>
              </w:rPr>
              <w:t>105.2</w:t>
            </w:r>
          </w:p>
        </w:tc>
        <w:tc>
          <w:tcPr>
            <w:tcW w:w="720" w:type="dxa"/>
            <w:tcBorders>
              <w:bottom w:val="single" w:sz="12" w:space="0" w:color="000000"/>
              <w:right w:val="single" w:sz="12" w:space="0" w:color="000000"/>
            </w:tcBorders>
          </w:tcPr>
          <w:p>
            <w:pPr>
              <w:pStyle w:val="TableParagraph"/>
              <w:spacing w:line="190" w:lineRule="exact"/>
              <w:ind w:left="88" w:right="98"/>
              <w:rPr>
                <w:rFonts w:ascii="Calibri"/>
                <w:sz w:val="18"/>
              </w:rPr>
            </w:pPr>
            <w:r>
              <w:rPr>
                <w:rFonts w:ascii="Calibri"/>
                <w:sz w:val="18"/>
              </w:rPr>
              <w:t>14.6</w:t>
            </w:r>
          </w:p>
        </w:tc>
        <w:tc>
          <w:tcPr>
            <w:tcW w:w="721" w:type="dxa"/>
            <w:tcBorders>
              <w:left w:val="single" w:sz="12" w:space="0" w:color="000000"/>
              <w:bottom w:val="single" w:sz="12" w:space="0" w:color="000000"/>
            </w:tcBorders>
          </w:tcPr>
          <w:p>
            <w:pPr>
              <w:pStyle w:val="TableParagraph"/>
              <w:spacing w:line="190" w:lineRule="exact"/>
              <w:ind w:left="128"/>
              <w:jc w:val="left"/>
              <w:rPr>
                <w:rFonts w:ascii="Calibri"/>
                <w:sz w:val="18"/>
              </w:rPr>
            </w:pPr>
            <w:r>
              <w:rPr>
                <w:rFonts w:ascii="Calibri"/>
                <w:sz w:val="18"/>
              </w:rPr>
              <w:t>108.9</w:t>
            </w:r>
          </w:p>
        </w:tc>
        <w:tc>
          <w:tcPr>
            <w:tcW w:w="630" w:type="dxa"/>
            <w:tcBorders>
              <w:bottom w:val="single" w:sz="12" w:space="0" w:color="000000"/>
            </w:tcBorders>
          </w:tcPr>
          <w:p>
            <w:pPr>
              <w:pStyle w:val="TableParagraph"/>
              <w:spacing w:line="190" w:lineRule="exact"/>
              <w:ind w:left="137"/>
              <w:jc w:val="left"/>
              <w:rPr>
                <w:rFonts w:ascii="Calibri"/>
                <w:sz w:val="18"/>
              </w:rPr>
            </w:pPr>
            <w:r>
              <w:rPr>
                <w:rFonts w:ascii="Calibri"/>
                <w:sz w:val="18"/>
              </w:rPr>
              <w:t>14.6</w:t>
            </w:r>
          </w:p>
        </w:tc>
        <w:tc>
          <w:tcPr>
            <w:tcW w:w="720" w:type="dxa"/>
            <w:tcBorders>
              <w:bottom w:val="single" w:sz="12" w:space="0" w:color="000000"/>
            </w:tcBorders>
          </w:tcPr>
          <w:p>
            <w:pPr>
              <w:pStyle w:val="TableParagraph"/>
              <w:spacing w:line="190" w:lineRule="exact"/>
              <w:ind w:left="137"/>
              <w:jc w:val="left"/>
              <w:rPr>
                <w:rFonts w:ascii="Calibri"/>
                <w:sz w:val="18"/>
              </w:rPr>
            </w:pPr>
            <w:r>
              <w:rPr>
                <w:rFonts w:ascii="Calibri"/>
                <w:sz w:val="18"/>
              </w:rPr>
              <w:t>107.4</w:t>
            </w:r>
          </w:p>
        </w:tc>
        <w:tc>
          <w:tcPr>
            <w:tcW w:w="719" w:type="dxa"/>
            <w:tcBorders>
              <w:bottom w:val="single" w:sz="12" w:space="0" w:color="000000"/>
              <w:right w:val="single" w:sz="12" w:space="0" w:color="000000"/>
            </w:tcBorders>
          </w:tcPr>
          <w:p>
            <w:pPr>
              <w:pStyle w:val="TableParagraph"/>
              <w:spacing w:line="190" w:lineRule="exact"/>
              <w:ind w:left="93" w:right="104"/>
              <w:rPr>
                <w:rFonts w:ascii="Calibri"/>
                <w:sz w:val="18"/>
              </w:rPr>
            </w:pPr>
            <w:r>
              <w:rPr>
                <w:rFonts w:ascii="Calibri"/>
                <w:sz w:val="18"/>
              </w:rPr>
              <w:t>22.8</w:t>
            </w:r>
          </w:p>
        </w:tc>
      </w:tr>
    </w:tbl>
    <w:p>
      <w:pPr>
        <w:spacing w:line="292" w:lineRule="auto" w:before="15"/>
        <w:ind w:left="560" w:right="0" w:firstLine="719"/>
        <w:jc w:val="left"/>
        <w:rPr>
          <w:sz w:val="18"/>
        </w:rPr>
      </w:pPr>
      <w:r>
        <w:rPr>
          <w:position w:val="7"/>
          <w:sz w:val="14"/>
        </w:rPr>
        <w:t>1</w:t>
      </w:r>
      <w:r>
        <w:rPr>
          <w:sz w:val="18"/>
        </w:rPr>
        <w:t>% Recovery of each replicate sample was calculated after subtracting average unspiked concentration by matrix determined at each laboratory if the average unspiked concentration was &gt; 5 ng/L.</w:t>
      </w:r>
    </w:p>
    <w:p>
      <w:pPr>
        <w:spacing w:after="0" w:line="292" w:lineRule="auto"/>
        <w:jc w:val="left"/>
        <w:rPr>
          <w:sz w:val="18"/>
        </w:rPr>
        <w:sectPr>
          <w:pgSz w:w="15840" w:h="12240" w:orient="landscape"/>
          <w:pgMar w:header="0" w:footer="923" w:top="1140" w:bottom="1120" w:left="160" w:right="40"/>
        </w:sectPr>
      </w:pPr>
    </w:p>
    <w:p>
      <w:pPr>
        <w:pStyle w:val="BodyText"/>
        <w:spacing w:before="82"/>
        <w:ind w:left="740"/>
        <w:jc w:val="center"/>
      </w:pPr>
      <w:bookmarkStart w:name="TABLE 3" w:id="294"/>
      <w:bookmarkEnd w:id="294"/>
      <w:r>
        <w:rPr/>
      </w:r>
      <w:bookmarkStart w:name="_bookmark24" w:id="295"/>
      <w:bookmarkEnd w:id="295"/>
      <w:r>
        <w:rPr/>
      </w:r>
      <w:r>
        <w:rPr/>
        <w:t>TABLE 3</w:t>
      </w:r>
    </w:p>
    <w:p>
      <w:pPr>
        <w:pStyle w:val="BodyText"/>
        <w:spacing w:before="157"/>
        <w:ind w:left="739"/>
        <w:jc w:val="center"/>
      </w:pPr>
      <w:bookmarkStart w:name="RETENTION TIME (RT) AND MRM IONS" w:id="296"/>
      <w:bookmarkEnd w:id="296"/>
      <w:r>
        <w:rPr/>
      </w:r>
      <w:bookmarkStart w:name="_bookmark25" w:id="297"/>
      <w:bookmarkEnd w:id="297"/>
      <w:r>
        <w:rPr/>
      </w:r>
      <w:r>
        <w:rPr/>
        <w:t>RETENTION TIME (RT) AND MRM IONS</w:t>
      </w:r>
    </w:p>
    <w:p>
      <w:pPr>
        <w:pStyle w:val="BodyText"/>
        <w:spacing w:before="2" w:after="1"/>
        <w:rPr>
          <w:sz w:val="24"/>
        </w:rPr>
      </w:pPr>
    </w:p>
    <w:p>
      <w:pPr>
        <w:pStyle w:val="BodyText"/>
        <w:spacing w:line="29" w:lineRule="exact"/>
        <w:ind w:left="1972"/>
        <w:rPr>
          <w:sz w:val="2"/>
        </w:rPr>
      </w:pPr>
      <w:r>
        <w:rPr>
          <w:position w:val="0"/>
          <w:sz w:val="2"/>
        </w:rPr>
        <w:pict>
          <v:group style="width:368.3pt;height:1.45pt;mso-position-horizontal-relative:char;mso-position-vertical-relative:line" coordorigin="0,0" coordsize="7366,29">
            <v:line style="position:absolute" from="0,5" to="1980,5" stroked="true" strokeweight=".48pt" strokecolor="#000000">
              <v:stroke dashstyle="solid"/>
            </v:line>
            <v:line style="position:absolute" from="0,24" to="1980,24" stroked="true" strokeweight=".48pt" strokecolor="#000000">
              <v:stroke dashstyle="solid"/>
            </v:line>
            <v:rect style="position:absolute;left:1980;top:0;width:29;height:10" filled="true" fillcolor="#000000" stroked="false">
              <v:fill type="solid"/>
            </v:rect>
            <v:rect style="position:absolute;left:1980;top:19;width:29;height:10" filled="true" fillcolor="#000000" stroked="false">
              <v:fill type="solid"/>
            </v:rect>
            <v:line style="position:absolute" from="2009,5" to="4050,5" stroked="true" strokeweight=".48pt" strokecolor="#000000">
              <v:stroke dashstyle="solid"/>
            </v:line>
            <v:line style="position:absolute" from="2009,24" to="4050,24" stroked="true" strokeweight=".48pt" strokecolor="#000000">
              <v:stroke dashstyle="solid"/>
            </v:line>
            <v:rect style="position:absolute;left:4050;top:0;width:29;height:10" filled="true" fillcolor="#000000" stroked="false">
              <v:fill type="solid"/>
            </v:rect>
            <v:rect style="position:absolute;left:4050;top:19;width:29;height:10" filled="true" fillcolor="#000000" stroked="false">
              <v:fill type="solid"/>
            </v:rect>
            <v:line style="position:absolute" from="4079,5" to="5846,5" stroked="true" strokeweight=".48pt" strokecolor="#000000">
              <v:stroke dashstyle="solid"/>
            </v:line>
            <v:line style="position:absolute" from="4079,24" to="5846,24" stroked="true" strokeweight=".48pt" strokecolor="#000000">
              <v:stroke dashstyle="solid"/>
            </v:line>
            <v:rect style="position:absolute;left:5846;top:0;width:29;height:10" filled="true" fillcolor="#000000" stroked="false">
              <v:fill type="solid"/>
            </v:rect>
            <v:rect style="position:absolute;left:5846;top:19;width:29;height:10" filled="true" fillcolor="#000000" stroked="false">
              <v:fill type="solid"/>
            </v:rect>
            <v:line style="position:absolute" from="5875,5" to="7366,5" stroked="true" strokeweight=".48pt" strokecolor="#000000">
              <v:stroke dashstyle="solid"/>
            </v:line>
            <v:line style="position:absolute" from="5875,24" to="7366,24" stroked="true" strokeweight=".48pt" strokecolor="#000000">
              <v:stroke dashstyle="solid"/>
            </v:line>
          </v:group>
        </w:pict>
      </w:r>
      <w:r>
        <w:rPr>
          <w:position w:val="0"/>
          <w:sz w:val="2"/>
        </w:rPr>
      </w:r>
    </w:p>
    <w:p>
      <w:pPr>
        <w:spacing w:after="0" w:line="29" w:lineRule="exact"/>
        <w:rPr>
          <w:sz w:val="2"/>
        </w:rPr>
        <w:sectPr>
          <w:footerReference w:type="default" r:id="rId15"/>
          <w:pgSz w:w="12240" w:h="15840"/>
          <w:pgMar w:footer="1214" w:header="0" w:top="1460" w:bottom="1400" w:left="460" w:right="480"/>
          <w:pgNumType w:start="36"/>
        </w:sectPr>
      </w:pPr>
    </w:p>
    <w:p>
      <w:pPr>
        <w:pStyle w:val="BodyText"/>
        <w:spacing w:before="3"/>
        <w:rPr>
          <w:sz w:val="19"/>
        </w:rPr>
      </w:pPr>
    </w:p>
    <w:p>
      <w:pPr>
        <w:pStyle w:val="BodyText"/>
        <w:tabs>
          <w:tab w:pos="4068" w:val="left" w:leader="none"/>
          <w:tab w:pos="6142" w:val="left" w:leader="none"/>
        </w:tabs>
        <w:ind w:left="2501"/>
      </w:pPr>
      <w:r>
        <w:rPr/>
        <w:t>Chemical</w:t>
        <w:tab/>
        <w:t>Quantifier/Qualifier</w:t>
        <w:tab/>
        <w:t>MRM</w:t>
      </w:r>
      <w:r>
        <w:rPr>
          <w:spacing w:val="-15"/>
        </w:rPr>
        <w:t> </w:t>
      </w:r>
      <w:r>
        <w:rPr/>
        <w:t>Transition</w:t>
      </w:r>
    </w:p>
    <w:p>
      <w:pPr>
        <w:pStyle w:val="BodyText"/>
        <w:spacing w:before="1"/>
        <w:rPr>
          <w:sz w:val="27"/>
        </w:rPr>
      </w:pPr>
    </w:p>
    <w:p>
      <w:pPr>
        <w:pStyle w:val="BodyText"/>
        <w:tabs>
          <w:tab w:pos="6440" w:val="left" w:leader="none"/>
        </w:tabs>
        <w:spacing w:line="221" w:lineRule="exact"/>
        <w:ind w:left="4506"/>
      </w:pPr>
      <w:r>
        <w:rPr/>
        <w:t>Quantifier</w:t>
        <w:tab/>
        <w:t>713→669</w:t>
      </w:r>
    </w:p>
    <w:p>
      <w:pPr>
        <w:pStyle w:val="BodyText"/>
        <w:spacing w:line="190" w:lineRule="exact"/>
        <w:ind w:left="2518" w:right="4293"/>
        <w:jc w:val="center"/>
      </w:pPr>
      <w:r>
        <w:rPr/>
        <w:t>PFTeDA</w:t>
      </w:r>
    </w:p>
    <w:p>
      <w:pPr>
        <w:pStyle w:val="BodyText"/>
        <w:tabs>
          <w:tab w:pos="6439" w:val="left" w:leader="none"/>
        </w:tabs>
        <w:spacing w:line="222" w:lineRule="exact"/>
        <w:ind w:left="4574"/>
      </w:pPr>
      <w:r>
        <w:rPr/>
        <w:t>Qualifier</w:t>
        <w:tab/>
        <w:t>713→169</w:t>
      </w:r>
    </w:p>
    <w:p>
      <w:pPr>
        <w:pStyle w:val="BodyText"/>
        <w:tabs>
          <w:tab w:pos="6439" w:val="left" w:leader="none"/>
        </w:tabs>
        <w:spacing w:line="222" w:lineRule="exact" w:before="127"/>
        <w:ind w:left="4506"/>
      </w:pPr>
      <w:r>
        <w:rPr/>
        <w:t>Quantifier</w:t>
        <w:tab/>
        <w:t>663→619</w:t>
      </w:r>
    </w:p>
    <w:p>
      <w:pPr>
        <w:pStyle w:val="BodyText"/>
        <w:spacing w:line="191" w:lineRule="exact"/>
        <w:ind w:left="2517" w:right="4293"/>
        <w:jc w:val="center"/>
      </w:pPr>
      <w:r>
        <w:rPr/>
        <w:t>PFTrDA</w:t>
      </w:r>
    </w:p>
    <w:p>
      <w:pPr>
        <w:pStyle w:val="BodyText"/>
        <w:tabs>
          <w:tab w:pos="6439" w:val="left" w:leader="none"/>
        </w:tabs>
        <w:spacing w:line="222" w:lineRule="exact"/>
        <w:ind w:left="4574"/>
      </w:pPr>
      <w:r>
        <w:rPr/>
        <w:t>Qualifier</w:t>
        <w:tab/>
        <w:t>663→169</w:t>
      </w:r>
    </w:p>
    <w:p>
      <w:pPr>
        <w:pStyle w:val="BodyText"/>
        <w:tabs>
          <w:tab w:pos="6439" w:val="left" w:leader="none"/>
        </w:tabs>
        <w:spacing w:line="222" w:lineRule="exact" w:before="128"/>
        <w:ind w:left="4506"/>
      </w:pPr>
      <w:r>
        <w:rPr/>
        <w:t>Quantifier</w:t>
        <w:tab/>
        <w:t>613→569</w:t>
      </w:r>
    </w:p>
    <w:p>
      <w:pPr>
        <w:pStyle w:val="BodyText"/>
        <w:spacing w:line="191" w:lineRule="exact"/>
        <w:ind w:left="2518" w:right="4293"/>
        <w:jc w:val="center"/>
      </w:pPr>
      <w:r>
        <w:rPr/>
        <w:t>PFDoA</w:t>
      </w:r>
    </w:p>
    <w:p>
      <w:pPr>
        <w:pStyle w:val="BodyText"/>
        <w:tabs>
          <w:tab w:pos="6439" w:val="left" w:leader="none"/>
        </w:tabs>
        <w:spacing w:line="222" w:lineRule="exact"/>
        <w:ind w:left="4574"/>
      </w:pPr>
      <w:r>
        <w:rPr/>
        <w:t>Qualifier</w:t>
        <w:tab/>
        <w:t>613→169</w:t>
      </w:r>
    </w:p>
    <w:p>
      <w:pPr>
        <w:pStyle w:val="BodyText"/>
        <w:tabs>
          <w:tab w:pos="6439" w:val="left" w:leader="none"/>
        </w:tabs>
        <w:spacing w:line="222" w:lineRule="exact" w:before="127"/>
        <w:ind w:left="4506"/>
      </w:pPr>
      <w:r>
        <w:rPr/>
        <w:t>Quantifier</w:t>
        <w:tab/>
        <w:t>563→519</w:t>
      </w:r>
    </w:p>
    <w:p>
      <w:pPr>
        <w:pStyle w:val="BodyText"/>
        <w:spacing w:line="191" w:lineRule="exact"/>
        <w:ind w:left="2518" w:right="4293"/>
        <w:jc w:val="center"/>
      </w:pPr>
      <w:r>
        <w:rPr/>
        <w:t>PFUdA</w:t>
      </w:r>
    </w:p>
    <w:p>
      <w:pPr>
        <w:pStyle w:val="BodyText"/>
        <w:tabs>
          <w:tab w:pos="6439" w:val="left" w:leader="none"/>
        </w:tabs>
        <w:spacing w:line="222" w:lineRule="exact"/>
        <w:ind w:left="4574"/>
      </w:pPr>
      <w:r>
        <w:rPr/>
        <w:t>Qualifier</w:t>
        <w:tab/>
        <w:t>563→269</w:t>
      </w:r>
    </w:p>
    <w:p>
      <w:pPr>
        <w:pStyle w:val="BodyText"/>
        <w:tabs>
          <w:tab w:pos="6439" w:val="left" w:leader="none"/>
        </w:tabs>
        <w:spacing w:line="222" w:lineRule="exact" w:before="127"/>
        <w:ind w:left="4506"/>
      </w:pPr>
      <w:r>
        <w:rPr/>
        <w:t>Quantifier</w:t>
        <w:tab/>
        <w:t>513→469</w:t>
      </w:r>
    </w:p>
    <w:p>
      <w:pPr>
        <w:pStyle w:val="BodyText"/>
        <w:spacing w:line="191" w:lineRule="exact"/>
        <w:ind w:left="2518" w:right="4293"/>
        <w:jc w:val="center"/>
      </w:pPr>
      <w:r>
        <w:rPr/>
        <w:t>PFDA</w:t>
      </w:r>
    </w:p>
    <w:p>
      <w:pPr>
        <w:pStyle w:val="BodyText"/>
        <w:tabs>
          <w:tab w:pos="6439" w:val="left" w:leader="none"/>
        </w:tabs>
        <w:spacing w:line="222" w:lineRule="exact"/>
        <w:ind w:left="4574"/>
      </w:pPr>
      <w:r>
        <w:rPr/>
        <w:t>Qualifier</w:t>
        <w:tab/>
        <w:t>513→219</w:t>
      </w:r>
    </w:p>
    <w:p>
      <w:pPr>
        <w:pStyle w:val="BodyText"/>
        <w:tabs>
          <w:tab w:pos="6501" w:val="left" w:leader="none"/>
        </w:tabs>
        <w:spacing w:line="222" w:lineRule="exact" w:before="128"/>
        <w:ind w:left="4506"/>
      </w:pPr>
      <w:r>
        <w:rPr/>
        <w:t>Quantifier</w:t>
        <w:tab/>
        <w:t>599→80</w:t>
      </w:r>
    </w:p>
    <w:p>
      <w:pPr>
        <w:pStyle w:val="BodyText"/>
        <w:spacing w:line="190" w:lineRule="exact"/>
        <w:ind w:left="2518" w:right="4293"/>
        <w:jc w:val="center"/>
      </w:pPr>
      <w:r>
        <w:rPr/>
        <w:t>PFDS</w:t>
      </w:r>
    </w:p>
    <w:p>
      <w:pPr>
        <w:pStyle w:val="BodyText"/>
        <w:tabs>
          <w:tab w:pos="6501" w:val="left" w:leader="none"/>
        </w:tabs>
        <w:spacing w:line="221" w:lineRule="exact"/>
        <w:ind w:left="4574"/>
      </w:pPr>
      <w:r>
        <w:rPr/>
        <w:t>Qualifier</w:t>
        <w:tab/>
        <w:t>599→99</w:t>
      </w:r>
    </w:p>
    <w:p>
      <w:pPr>
        <w:pStyle w:val="BodyText"/>
        <w:tabs>
          <w:tab w:pos="6501" w:val="left" w:leader="none"/>
        </w:tabs>
        <w:spacing w:line="222" w:lineRule="exact" w:before="138"/>
        <w:ind w:left="4506"/>
      </w:pPr>
      <w:r>
        <w:rPr/>
        <w:t>Quantifier</w:t>
        <w:tab/>
        <w:t>499→80</w:t>
      </w:r>
    </w:p>
    <w:p>
      <w:pPr>
        <w:pStyle w:val="BodyText"/>
        <w:spacing w:line="196" w:lineRule="exact"/>
        <w:ind w:left="2518" w:right="4293"/>
        <w:jc w:val="center"/>
      </w:pPr>
      <w:r>
        <w:rPr/>
        <w:t>PFOS</w:t>
      </w:r>
    </w:p>
    <w:p>
      <w:pPr>
        <w:pStyle w:val="BodyText"/>
        <w:tabs>
          <w:tab w:pos="6501" w:val="left" w:leader="none"/>
        </w:tabs>
        <w:spacing w:line="227" w:lineRule="exact"/>
        <w:ind w:left="4574"/>
      </w:pPr>
      <w:r>
        <w:rPr/>
        <w:t>Qualifier</w:t>
        <w:tab/>
        <w:t>499→99</w:t>
      </w:r>
    </w:p>
    <w:p>
      <w:pPr>
        <w:pStyle w:val="BodyText"/>
        <w:tabs>
          <w:tab w:pos="6439" w:val="left" w:leader="none"/>
        </w:tabs>
        <w:spacing w:line="227" w:lineRule="exact" w:before="147"/>
        <w:ind w:left="4506"/>
      </w:pPr>
      <w:r>
        <w:rPr/>
        <w:t>Quantifier</w:t>
        <w:tab/>
        <w:t>463→419</w:t>
      </w:r>
    </w:p>
    <w:p>
      <w:pPr>
        <w:pStyle w:val="BodyText"/>
        <w:spacing w:line="204" w:lineRule="exact"/>
        <w:ind w:left="2518" w:right="4293"/>
        <w:jc w:val="center"/>
      </w:pPr>
      <w:r>
        <w:rPr/>
        <w:t>PFNA</w:t>
      </w:r>
    </w:p>
    <w:p>
      <w:pPr>
        <w:pStyle w:val="BodyText"/>
        <w:tabs>
          <w:tab w:pos="6439" w:val="left" w:leader="none"/>
        </w:tabs>
        <w:spacing w:line="230" w:lineRule="exact"/>
        <w:ind w:left="4574"/>
      </w:pPr>
      <w:r>
        <w:rPr/>
        <w:t>Qualifier</w:t>
        <w:tab/>
        <w:t>463→219</w:t>
      </w:r>
    </w:p>
    <w:p>
      <w:pPr>
        <w:pStyle w:val="BodyText"/>
        <w:tabs>
          <w:tab w:pos="6501" w:val="left" w:leader="none"/>
        </w:tabs>
        <w:spacing w:line="222" w:lineRule="exact" w:before="137"/>
        <w:ind w:left="4506"/>
      </w:pPr>
      <w:r>
        <w:rPr/>
        <w:t>Quantifier</w:t>
        <w:tab/>
        <w:t>549→80</w:t>
      </w:r>
    </w:p>
    <w:p>
      <w:pPr>
        <w:pStyle w:val="BodyText"/>
        <w:spacing w:line="191" w:lineRule="exact"/>
        <w:ind w:left="2518" w:right="4293"/>
        <w:jc w:val="center"/>
      </w:pPr>
      <w:r>
        <w:rPr/>
        <w:t>PFNS</w:t>
      </w:r>
    </w:p>
    <w:p>
      <w:pPr>
        <w:pStyle w:val="BodyText"/>
        <w:tabs>
          <w:tab w:pos="6501" w:val="left" w:leader="none"/>
        </w:tabs>
        <w:spacing w:line="222" w:lineRule="exact"/>
        <w:ind w:left="4574"/>
      </w:pPr>
      <w:r>
        <w:rPr/>
        <w:t>Qualifier</w:t>
        <w:tab/>
        <w:t>549→99</w:t>
      </w:r>
    </w:p>
    <w:p>
      <w:pPr>
        <w:pStyle w:val="BodyText"/>
        <w:tabs>
          <w:tab w:pos="6439" w:val="left" w:leader="none"/>
        </w:tabs>
        <w:spacing w:line="230" w:lineRule="exact" w:before="130"/>
        <w:ind w:left="4506"/>
      </w:pPr>
      <w:r>
        <w:rPr/>
        <w:t>Quantifier</w:t>
        <w:tab/>
        <w:t>413→369</w:t>
      </w:r>
    </w:p>
    <w:p>
      <w:pPr>
        <w:pStyle w:val="BodyText"/>
        <w:spacing w:line="200" w:lineRule="exact"/>
        <w:ind w:left="2518" w:right="4293"/>
        <w:jc w:val="center"/>
      </w:pPr>
      <w:r>
        <w:rPr/>
        <w:t>PFOA</w:t>
      </w:r>
    </w:p>
    <w:p>
      <w:pPr>
        <w:pStyle w:val="BodyText"/>
        <w:tabs>
          <w:tab w:pos="6439" w:val="left" w:leader="none"/>
        </w:tabs>
        <w:spacing w:line="222" w:lineRule="exact"/>
        <w:ind w:left="4574"/>
      </w:pPr>
      <w:r>
        <w:rPr/>
        <w:t>Qualifier</w:t>
        <w:tab/>
        <w:t>413→169</w:t>
      </w:r>
    </w:p>
    <w:p>
      <w:pPr>
        <w:pStyle w:val="BodyText"/>
        <w:tabs>
          <w:tab w:pos="6509" w:val="left" w:leader="none"/>
        </w:tabs>
        <w:spacing w:line="226" w:lineRule="exact" w:before="155"/>
        <w:ind w:left="4515"/>
      </w:pPr>
      <w:r>
        <w:rPr/>
        <w:t>Quantifier</w:t>
        <w:tab/>
        <w:t>449→80</w:t>
      </w:r>
    </w:p>
    <w:p>
      <w:pPr>
        <w:pStyle w:val="BodyText"/>
        <w:spacing w:line="200" w:lineRule="exact"/>
        <w:ind w:left="2518" w:right="4278"/>
        <w:jc w:val="center"/>
      </w:pPr>
      <w:r>
        <w:rPr/>
        <w:t>PFHpS</w:t>
      </w:r>
    </w:p>
    <w:p>
      <w:pPr>
        <w:pStyle w:val="BodyText"/>
        <w:tabs>
          <w:tab w:pos="6509" w:val="left" w:leader="none"/>
        </w:tabs>
        <w:spacing w:line="227" w:lineRule="exact"/>
        <w:ind w:left="4582"/>
      </w:pPr>
      <w:r>
        <w:rPr/>
        <w:t>Qualifier</w:t>
        <w:tab/>
        <w:t>449→99</w:t>
      </w:r>
    </w:p>
    <w:p>
      <w:pPr>
        <w:pStyle w:val="BodyText"/>
        <w:tabs>
          <w:tab w:pos="6509" w:val="left" w:leader="none"/>
        </w:tabs>
        <w:spacing w:line="230" w:lineRule="exact" w:before="155"/>
        <w:ind w:left="4515"/>
      </w:pPr>
      <w:r>
        <w:rPr/>
        <w:t>Quantifier</w:t>
        <w:tab/>
        <w:t>399→80</w:t>
      </w:r>
    </w:p>
    <w:p>
      <w:pPr>
        <w:pStyle w:val="BodyText"/>
        <w:spacing w:line="207" w:lineRule="exact"/>
        <w:ind w:left="2518" w:right="4279"/>
        <w:jc w:val="center"/>
      </w:pPr>
      <w:r>
        <w:rPr/>
        <w:t>PFHxS</w:t>
      </w:r>
    </w:p>
    <w:p>
      <w:pPr>
        <w:pStyle w:val="BodyText"/>
        <w:tabs>
          <w:tab w:pos="6509" w:val="left" w:leader="none"/>
        </w:tabs>
        <w:spacing w:line="230" w:lineRule="exact"/>
        <w:ind w:left="4582"/>
      </w:pPr>
      <w:r>
        <w:rPr/>
        <w:t>Qualifier</w:t>
        <w:tab/>
        <w:t>399→99</w:t>
      </w:r>
    </w:p>
    <w:p>
      <w:pPr>
        <w:pStyle w:val="BodyText"/>
        <w:tabs>
          <w:tab w:pos="6448" w:val="left" w:leader="none"/>
        </w:tabs>
        <w:spacing w:line="230" w:lineRule="exact" w:before="145"/>
        <w:ind w:left="4515"/>
      </w:pPr>
      <w:r>
        <w:rPr/>
        <w:t>Quantifier</w:t>
        <w:tab/>
        <w:t>363→319</w:t>
      </w:r>
    </w:p>
    <w:p>
      <w:pPr>
        <w:pStyle w:val="BodyText"/>
        <w:spacing w:line="199" w:lineRule="exact"/>
        <w:ind w:left="2518" w:right="4278"/>
        <w:jc w:val="center"/>
      </w:pPr>
      <w:r>
        <w:rPr/>
        <w:t>PFHpA</w:t>
      </w:r>
    </w:p>
    <w:p>
      <w:pPr>
        <w:pStyle w:val="BodyText"/>
        <w:tabs>
          <w:tab w:pos="6448" w:val="left" w:leader="none"/>
        </w:tabs>
        <w:spacing w:line="222" w:lineRule="exact"/>
        <w:ind w:left="4582"/>
      </w:pPr>
      <w:r>
        <w:rPr/>
        <w:t>Qualifier</w:t>
        <w:tab/>
        <w:t>363→169</w:t>
      </w:r>
    </w:p>
    <w:p>
      <w:pPr>
        <w:pStyle w:val="BodyText"/>
        <w:tabs>
          <w:tab w:pos="6448" w:val="left" w:leader="none"/>
        </w:tabs>
        <w:spacing w:line="227" w:lineRule="exact" w:before="147"/>
        <w:ind w:left="4515"/>
      </w:pPr>
      <w:r>
        <w:rPr/>
        <w:t>Quantifier</w:t>
        <w:tab/>
        <w:t>313→269</w:t>
      </w:r>
    </w:p>
    <w:p>
      <w:pPr>
        <w:pStyle w:val="BodyText"/>
        <w:spacing w:line="196" w:lineRule="exact"/>
        <w:ind w:left="2518" w:right="4279"/>
        <w:jc w:val="center"/>
      </w:pPr>
      <w:r>
        <w:rPr/>
        <w:t>PFHxA</w:t>
      </w:r>
    </w:p>
    <w:p>
      <w:pPr>
        <w:pStyle w:val="BodyText"/>
        <w:tabs>
          <w:tab w:pos="6448" w:val="left" w:leader="none"/>
        </w:tabs>
        <w:spacing w:line="222" w:lineRule="exact"/>
        <w:ind w:left="4582"/>
      </w:pPr>
      <w:r>
        <w:rPr/>
        <w:t>Qualifier</w:t>
        <w:tab/>
        <w:t>313→119</w:t>
      </w:r>
    </w:p>
    <w:p>
      <w:pPr>
        <w:spacing w:before="57"/>
        <w:ind w:left="385" w:right="2266" w:firstLine="0"/>
        <w:jc w:val="center"/>
        <w:rPr>
          <w:sz w:val="22"/>
        </w:rPr>
      </w:pPr>
      <w:r>
        <w:rPr/>
        <w:br w:type="column"/>
      </w:r>
      <w:r>
        <w:rPr>
          <w:sz w:val="22"/>
        </w:rPr>
        <w:t>RT</w:t>
      </w:r>
    </w:p>
    <w:p>
      <w:pPr>
        <w:pStyle w:val="BodyText"/>
        <w:spacing w:line="556" w:lineRule="auto" w:before="78"/>
        <w:ind w:left="385" w:right="2267"/>
        <w:jc w:val="center"/>
      </w:pPr>
      <w:r>
        <w:rPr/>
        <w:pict>
          <v:group style="position:absolute;margin-left:121.860001pt;margin-top:21.242546pt;width:368.3pt;height:.5pt;mso-position-horizontal-relative:page;mso-position-vertical-relative:paragraph;z-index:-260018176" coordorigin="2437,425" coordsize="7366,10">
            <v:line style="position:absolute" from="2437,430" to="4417,430" stroked="true" strokeweight=".48pt" strokecolor="#000000">
              <v:stroke dashstyle="solid"/>
            </v:line>
            <v:rect style="position:absolute;left:4417;top:424;width:10;height:10" filled="true" fillcolor="#000000" stroked="false">
              <v:fill type="solid"/>
            </v:rect>
            <v:line style="position:absolute" from="4427,430" to="6487,430" stroked="true" strokeweight=".48pt" strokecolor="#000000">
              <v:stroke dashstyle="solid"/>
            </v:line>
            <v:rect style="position:absolute;left:6487;top:424;width:10;height:10" filled="true" fillcolor="#000000" stroked="false">
              <v:fill type="solid"/>
            </v:rect>
            <v:line style="position:absolute" from="6497,430" to="8284,430" stroked="true" strokeweight=".48pt" strokecolor="#000000">
              <v:stroke dashstyle="solid"/>
            </v:line>
            <v:rect style="position:absolute;left:8283;top:424;width:10;height:10" filled="true" fillcolor="#000000" stroked="false">
              <v:fill type="solid"/>
            </v:rect>
            <v:line style="position:absolute" from="8293,430" to="9803,430" stroked="true" strokeweight=".48pt" strokecolor="#000000">
              <v:stroke dashstyle="solid"/>
            </v:line>
            <w10:wrap type="none"/>
          </v:group>
        </w:pict>
      </w:r>
      <w:r>
        <w:rPr/>
        <w:pict>
          <v:group style="position:absolute;margin-left:220.860001pt;margin-top:40.322548pt;width:193.35pt;height:.5pt;mso-position-horizontal-relative:page;mso-position-vertical-relative:paragraph;z-index:251673600" coordorigin="4417,806" coordsize="3867,10">
            <v:line style="position:absolute" from="4417,811" to="6487,811" stroked="true" strokeweight=".48pt" strokecolor="#000000">
              <v:stroke dashstyle="solid"/>
            </v:line>
            <v:rect style="position:absolute;left:6487;top:806;width:10;height:10" filled="true" fillcolor="#000000" stroked="false">
              <v:fill type="solid"/>
            </v:rect>
            <v:line style="position:absolute" from="6497,811" to="8284,811" stroked="true" strokeweight=".48pt" strokecolor="#000000">
              <v:stroke dashstyle="solid"/>
            </v:line>
            <w10:wrap type="none"/>
          </v:group>
        </w:pict>
      </w:r>
      <w:r>
        <w:rPr/>
        <w:pict>
          <v:group style="position:absolute;margin-left:121.860001pt;margin-top:59.342545pt;width:368.3pt;height:.5pt;mso-position-horizontal-relative:page;mso-position-vertical-relative:paragraph;z-index:-260016128" coordorigin="2437,1187" coordsize="7366,10">
            <v:line style="position:absolute" from="2437,1192" to="4417,1192" stroked="true" strokeweight=".48pt" strokecolor="#000000">
              <v:stroke dashstyle="solid"/>
            </v:line>
            <v:rect style="position:absolute;left:4417;top:1186;width:10;height:10" filled="true" fillcolor="#000000" stroked="false">
              <v:fill type="solid"/>
            </v:rect>
            <v:line style="position:absolute" from="4427,1192" to="6487,1192" stroked="true" strokeweight=".48pt" strokecolor="#000000">
              <v:stroke dashstyle="solid"/>
            </v:line>
            <v:rect style="position:absolute;left:6487;top:1186;width:10;height:10" filled="true" fillcolor="#000000" stroked="false">
              <v:fill type="solid"/>
            </v:rect>
            <v:line style="position:absolute" from="6497,1192" to="8284,1192" stroked="true" strokeweight=".48pt" strokecolor="#000000">
              <v:stroke dashstyle="solid"/>
            </v:line>
            <v:rect style="position:absolute;left:8283;top:1186;width:10;height:10" filled="true" fillcolor="#000000" stroked="false">
              <v:fill type="solid"/>
            </v:rect>
            <v:line style="position:absolute" from="8293,1192" to="9803,1192" stroked="true" strokeweight=".48pt" strokecolor="#000000">
              <v:stroke dashstyle="solid"/>
            </v:line>
            <w10:wrap type="none"/>
          </v:group>
        </w:pict>
      </w:r>
      <w:r>
        <w:rPr>
          <w:w w:val="95"/>
        </w:rPr>
        <w:t>(minutes) </w:t>
      </w:r>
      <w:r>
        <w:rPr/>
        <w:t>10.6</w:t>
      </w:r>
    </w:p>
    <w:p>
      <w:pPr>
        <w:pStyle w:val="BodyText"/>
        <w:spacing w:before="176"/>
        <w:ind w:left="624"/>
      </w:pPr>
      <w:r>
        <w:rPr/>
        <w:pict>
          <v:group style="position:absolute;margin-left:220.860001pt;margin-top:15.877844pt;width:193.35pt;height:.5pt;mso-position-horizontal-relative:page;mso-position-vertical-relative:paragraph;z-index:251675648" coordorigin="4417,318" coordsize="3867,10">
            <v:line style="position:absolute" from="4417,322" to="6487,322" stroked="true" strokeweight=".48pt" strokecolor="#000000">
              <v:stroke dashstyle="solid"/>
            </v:line>
            <v:rect style="position:absolute;left:6487;top:317;width:10;height:10" filled="true" fillcolor="#000000" stroked="false">
              <v:fill type="solid"/>
            </v:rect>
            <v:line style="position:absolute" from="6497,322" to="8284,322" stroked="true" strokeweight=".48pt" strokecolor="#000000">
              <v:stroke dashstyle="solid"/>
            </v:line>
            <w10:wrap type="none"/>
          </v:group>
        </w:pict>
      </w:r>
      <w:r>
        <w:rPr/>
        <w:t>10.2</w:t>
      </w:r>
    </w:p>
    <w:p>
      <w:pPr>
        <w:pStyle w:val="BodyText"/>
        <w:rPr>
          <w:sz w:val="24"/>
        </w:rPr>
      </w:pPr>
    </w:p>
    <w:p>
      <w:pPr>
        <w:pStyle w:val="BodyText"/>
        <w:spacing w:before="2"/>
        <w:rPr>
          <w:sz w:val="20"/>
        </w:rPr>
      </w:pPr>
    </w:p>
    <w:p>
      <w:pPr>
        <w:pStyle w:val="BodyText"/>
        <w:spacing w:before="1"/>
        <w:ind w:left="686"/>
      </w:pPr>
      <w:r>
        <w:rPr/>
        <w:pict>
          <v:group style="position:absolute;margin-left:121.860001pt;margin-top:-11.953132pt;width:368.3pt;height:.5pt;mso-position-horizontal-relative:page;mso-position-vertical-relative:paragraph;z-index:251676672" coordorigin="2437,-239" coordsize="7366,10">
            <v:line style="position:absolute" from="2437,-234" to="4417,-234" stroked="true" strokeweight=".481pt" strokecolor="#000000">
              <v:stroke dashstyle="solid"/>
            </v:line>
            <v:rect style="position:absolute;left:4417;top:-240;width:10;height:10" filled="true" fillcolor="#000000" stroked="false">
              <v:fill type="solid"/>
            </v:rect>
            <v:line style="position:absolute" from="4427,-234" to="6487,-234" stroked="true" strokeweight=".481pt" strokecolor="#000000">
              <v:stroke dashstyle="solid"/>
            </v:line>
            <v:rect style="position:absolute;left:6487;top:-240;width:10;height:10" filled="true" fillcolor="#000000" stroked="false">
              <v:fill type="solid"/>
            </v:rect>
            <v:line style="position:absolute" from="6497,-234" to="8284,-234" stroked="true" strokeweight=".481pt" strokecolor="#000000">
              <v:stroke dashstyle="solid"/>
            </v:line>
            <v:rect style="position:absolute;left:8283;top:-240;width:10;height:10" filled="true" fillcolor="#000000" stroked="false">
              <v:fill type="solid"/>
            </v:rect>
            <v:line style="position:absolute" from="8293,-234" to="9803,-234" stroked="true" strokeweight=".481pt" strokecolor="#000000">
              <v:stroke dashstyle="solid"/>
            </v:line>
            <w10:wrap type="none"/>
          </v:group>
        </w:pict>
      </w:r>
      <w:r>
        <w:rPr/>
        <w:pict>
          <v:group style="position:absolute;margin-left:220.860001pt;margin-top:7.067869pt;width:193.35pt;height:.5pt;mso-position-horizontal-relative:page;mso-position-vertical-relative:paragraph;z-index:251677696" coordorigin="4417,141" coordsize="3867,10">
            <v:line style="position:absolute" from="4417,146" to="6487,146" stroked="true" strokeweight=".48pt" strokecolor="#000000">
              <v:stroke dashstyle="solid"/>
            </v:line>
            <v:rect style="position:absolute;left:6487;top:141;width:10;height:10" filled="true" fillcolor="#000000" stroked="false">
              <v:fill type="solid"/>
            </v:rect>
            <v:line style="position:absolute" from="6497,146" to="8284,146" stroked="true" strokeweight=".48pt" strokecolor="#000000">
              <v:stroke dashstyle="solid"/>
            </v:line>
            <w10:wrap type="none"/>
          </v:group>
        </w:pict>
      </w:r>
      <w:r>
        <w:rPr/>
        <w:t>9.6</w:t>
      </w:r>
    </w:p>
    <w:p>
      <w:pPr>
        <w:pStyle w:val="BodyText"/>
        <w:rPr>
          <w:sz w:val="24"/>
        </w:rPr>
      </w:pPr>
    </w:p>
    <w:p>
      <w:pPr>
        <w:pStyle w:val="BodyText"/>
        <w:spacing w:before="2"/>
        <w:rPr>
          <w:sz w:val="20"/>
        </w:rPr>
      </w:pPr>
    </w:p>
    <w:p>
      <w:pPr>
        <w:pStyle w:val="BodyText"/>
        <w:spacing w:before="1"/>
        <w:ind w:left="686"/>
      </w:pPr>
      <w:r>
        <w:rPr/>
        <w:pict>
          <v:group style="position:absolute;margin-left:121.860001pt;margin-top:-11.952137pt;width:368.3pt;height:.5pt;mso-position-horizontal-relative:page;mso-position-vertical-relative:paragraph;z-index:251678720" coordorigin="2437,-239" coordsize="7366,10">
            <v:line style="position:absolute" from="2437,-234" to="4417,-234" stroked="true" strokeweight=".48pt" strokecolor="#000000">
              <v:stroke dashstyle="solid"/>
            </v:line>
            <v:rect style="position:absolute;left:4417;top:-240;width:10;height:10" filled="true" fillcolor="#000000" stroked="false">
              <v:fill type="solid"/>
            </v:rect>
            <v:line style="position:absolute" from="4427,-234" to="6487,-234" stroked="true" strokeweight=".48pt" strokecolor="#000000">
              <v:stroke dashstyle="solid"/>
            </v:line>
            <v:rect style="position:absolute;left:6487;top:-240;width:10;height:10" filled="true" fillcolor="#000000" stroked="false">
              <v:fill type="solid"/>
            </v:rect>
            <v:line style="position:absolute" from="6497,-234" to="8284,-234" stroked="true" strokeweight=".48pt" strokecolor="#000000">
              <v:stroke dashstyle="solid"/>
            </v:line>
            <v:rect style="position:absolute;left:8283;top:-240;width:10;height:10" filled="true" fillcolor="#000000" stroked="false">
              <v:fill type="solid"/>
            </v:rect>
            <v:line style="position:absolute" from="8293,-234" to="9803,-234" stroked="true" strokeweight=".48pt" strokecolor="#000000">
              <v:stroke dashstyle="solid"/>
            </v:line>
            <w10:wrap type="none"/>
          </v:group>
        </w:pict>
      </w:r>
      <w:r>
        <w:rPr/>
        <w:pict>
          <v:group style="position:absolute;margin-left:220.860001pt;margin-top:7.067863pt;width:193.35pt;height:.5pt;mso-position-horizontal-relative:page;mso-position-vertical-relative:paragraph;z-index:251679744" coordorigin="4417,141" coordsize="3867,10">
            <v:line style="position:absolute" from="4417,146" to="6487,146" stroked="true" strokeweight=".48pt" strokecolor="#000000">
              <v:stroke dashstyle="solid"/>
            </v:line>
            <v:rect style="position:absolute;left:6487;top:141;width:10;height:10" filled="true" fillcolor="#000000" stroked="false">
              <v:fill type="solid"/>
            </v:rect>
            <v:line style="position:absolute" from="6497,146" to="8284,146" stroked="true" strokeweight=".48pt" strokecolor="#000000">
              <v:stroke dashstyle="solid"/>
            </v:line>
            <w10:wrap type="none"/>
          </v:group>
        </w:pict>
      </w:r>
      <w:r>
        <w:rPr/>
        <w:t>9.0</w:t>
      </w:r>
    </w:p>
    <w:p>
      <w:pPr>
        <w:pStyle w:val="BodyText"/>
        <w:rPr>
          <w:sz w:val="24"/>
        </w:rPr>
      </w:pPr>
    </w:p>
    <w:p>
      <w:pPr>
        <w:pStyle w:val="BodyText"/>
        <w:spacing w:before="3"/>
        <w:rPr>
          <w:sz w:val="20"/>
        </w:rPr>
      </w:pPr>
    </w:p>
    <w:p>
      <w:pPr>
        <w:pStyle w:val="BodyText"/>
        <w:ind w:left="686"/>
      </w:pPr>
      <w:r>
        <w:rPr/>
        <w:pict>
          <v:group style="position:absolute;margin-left:121.860001pt;margin-top:-12.002144pt;width:368.3pt;height:.5pt;mso-position-horizontal-relative:page;mso-position-vertical-relative:paragraph;z-index:251680768" coordorigin="2437,-240" coordsize="7366,10">
            <v:line style="position:absolute" from="2437,-235" to="4417,-235" stroked="true" strokeweight=".48pt" strokecolor="#000000">
              <v:stroke dashstyle="solid"/>
            </v:line>
            <v:rect style="position:absolute;left:4417;top:-241;width:10;height:10" filled="true" fillcolor="#000000" stroked="false">
              <v:fill type="solid"/>
            </v:rect>
            <v:line style="position:absolute" from="4427,-235" to="6487,-235" stroked="true" strokeweight=".48pt" strokecolor="#000000">
              <v:stroke dashstyle="solid"/>
            </v:line>
            <v:rect style="position:absolute;left:6487;top:-241;width:10;height:10" filled="true" fillcolor="#000000" stroked="false">
              <v:fill type="solid"/>
            </v:rect>
            <v:line style="position:absolute" from="6497,-235" to="8284,-235" stroked="true" strokeweight=".48pt" strokecolor="#000000">
              <v:stroke dashstyle="solid"/>
            </v:line>
            <v:rect style="position:absolute;left:8283;top:-241;width:10;height:10" filled="true" fillcolor="#000000" stroked="false">
              <v:fill type="solid"/>
            </v:rect>
            <v:line style="position:absolute" from="8293,-235" to="9803,-235" stroked="true" strokeweight=".48pt" strokecolor="#000000">
              <v:stroke dashstyle="solid"/>
            </v:line>
            <w10:wrap type="none"/>
          </v:group>
        </w:pict>
      </w:r>
      <w:r>
        <w:rPr/>
        <w:pict>
          <v:group style="position:absolute;margin-left:220.860001pt;margin-top:7.016857pt;width:193.35pt;height:.5pt;mso-position-horizontal-relative:page;mso-position-vertical-relative:paragraph;z-index:251681792" coordorigin="4417,140" coordsize="3867,10">
            <v:line style="position:absolute" from="4417,145" to="6487,145" stroked="true" strokeweight=".481pt" strokecolor="#000000">
              <v:stroke dashstyle="solid"/>
            </v:line>
            <v:rect style="position:absolute;left:6487;top:140;width:10;height:10" filled="true" fillcolor="#000000" stroked="false">
              <v:fill type="solid"/>
            </v:rect>
            <v:line style="position:absolute" from="6497,145" to="8284,145" stroked="true" strokeweight=".481pt" strokecolor="#000000">
              <v:stroke dashstyle="solid"/>
            </v:line>
            <w10:wrap type="none"/>
          </v:group>
        </w:pict>
      </w:r>
      <w:r>
        <w:rPr/>
        <w:t>8.4</w:t>
      </w:r>
    </w:p>
    <w:p>
      <w:pPr>
        <w:pStyle w:val="BodyText"/>
        <w:rPr>
          <w:sz w:val="24"/>
        </w:rPr>
      </w:pPr>
    </w:p>
    <w:p>
      <w:pPr>
        <w:pStyle w:val="BodyText"/>
        <w:spacing w:before="3"/>
        <w:rPr>
          <w:sz w:val="20"/>
        </w:rPr>
      </w:pPr>
    </w:p>
    <w:p>
      <w:pPr>
        <w:pStyle w:val="BodyText"/>
        <w:ind w:left="686"/>
      </w:pPr>
      <w:r>
        <w:rPr/>
        <w:pict>
          <v:group style="position:absolute;margin-left:121.860001pt;margin-top:-12.003119pt;width:368.3pt;height:.5pt;mso-position-horizontal-relative:page;mso-position-vertical-relative:paragraph;z-index:251682816" coordorigin="2437,-240" coordsize="7366,10">
            <v:line style="position:absolute" from="2437,-235" to="4417,-235" stroked="true" strokeweight=".481pt" strokecolor="#000000">
              <v:stroke dashstyle="solid"/>
            </v:line>
            <v:rect style="position:absolute;left:4417;top:-241;width:10;height:10" filled="true" fillcolor="#000000" stroked="false">
              <v:fill type="solid"/>
            </v:rect>
            <v:line style="position:absolute" from="4427,-235" to="6487,-235" stroked="true" strokeweight=".481pt" strokecolor="#000000">
              <v:stroke dashstyle="solid"/>
            </v:line>
            <v:rect style="position:absolute;left:6487;top:-241;width:10;height:10" filled="true" fillcolor="#000000" stroked="false">
              <v:fill type="solid"/>
            </v:rect>
            <v:line style="position:absolute" from="6497,-235" to="8284,-235" stroked="true" strokeweight=".481pt" strokecolor="#000000">
              <v:stroke dashstyle="solid"/>
            </v:line>
            <v:rect style="position:absolute;left:8283;top:-241;width:10;height:10" filled="true" fillcolor="#000000" stroked="false">
              <v:fill type="solid"/>
            </v:rect>
            <v:line style="position:absolute" from="8293,-235" to="9803,-235" stroked="true" strokeweight=".481pt" strokecolor="#000000">
              <v:stroke dashstyle="solid"/>
            </v:line>
            <w10:wrap type="none"/>
          </v:group>
        </w:pict>
      </w:r>
      <w:r>
        <w:rPr/>
        <w:pict>
          <v:group style="position:absolute;margin-left:220.860001pt;margin-top:7.017881pt;width:193.35pt;height:.5pt;mso-position-horizontal-relative:page;mso-position-vertical-relative:paragraph;z-index:251683840" coordorigin="4417,140" coordsize="3867,10">
            <v:line style="position:absolute" from="4417,145" to="6487,145" stroked="true" strokeweight=".48pt" strokecolor="#000000">
              <v:stroke dashstyle="solid"/>
            </v:line>
            <v:rect style="position:absolute;left:6487;top:140;width:10;height:10" filled="true" fillcolor="#000000" stroked="false">
              <v:fill type="solid"/>
            </v:rect>
            <v:line style="position:absolute" from="6497,145" to="8284,145" stroked="true" strokeweight=".48pt" strokecolor="#000000">
              <v:stroke dashstyle="solid"/>
            </v:line>
            <w10:wrap type="none"/>
          </v:group>
        </w:pict>
      </w:r>
      <w:r>
        <w:rPr/>
        <w:t>9.8</w:t>
      </w:r>
    </w:p>
    <w:p>
      <w:pPr>
        <w:pStyle w:val="BodyText"/>
        <w:rPr>
          <w:sz w:val="24"/>
        </w:rPr>
      </w:pPr>
    </w:p>
    <w:p>
      <w:pPr>
        <w:pStyle w:val="BodyText"/>
        <w:spacing w:before="2"/>
        <w:rPr>
          <w:sz w:val="21"/>
        </w:rPr>
      </w:pPr>
    </w:p>
    <w:p>
      <w:pPr>
        <w:pStyle w:val="BodyText"/>
        <w:ind w:left="685"/>
      </w:pPr>
      <w:r>
        <w:rPr/>
        <w:pict>
          <v:group style="position:absolute;margin-left:121.860001pt;margin-top:-12.542133pt;width:368.3pt;height:.5pt;mso-position-horizontal-relative:page;mso-position-vertical-relative:paragraph;z-index:251684864" coordorigin="2437,-251" coordsize="7366,10">
            <v:line style="position:absolute" from="2437,-246" to="4417,-246" stroked="true" strokeweight=".48pt" strokecolor="#000000">
              <v:stroke dashstyle="solid"/>
            </v:line>
            <v:rect style="position:absolute;left:4417;top:-251;width:10;height:10" filled="true" fillcolor="#000000" stroked="false">
              <v:fill type="solid"/>
            </v:rect>
            <v:line style="position:absolute" from="4427,-246" to="6487,-246" stroked="true" strokeweight=".48pt" strokecolor="#000000">
              <v:stroke dashstyle="solid"/>
            </v:line>
            <v:rect style="position:absolute;left:6487;top:-251;width:10;height:10" filled="true" fillcolor="#000000" stroked="false">
              <v:fill type="solid"/>
            </v:rect>
            <v:line style="position:absolute" from="6497,-246" to="8284,-246" stroked="true" strokeweight=".48pt" strokecolor="#000000">
              <v:stroke dashstyle="solid"/>
            </v:line>
            <v:rect style="position:absolute;left:8283;top:-251;width:10;height:10" filled="true" fillcolor="#000000" stroked="false">
              <v:fill type="solid"/>
            </v:rect>
            <v:line style="position:absolute" from="8293,-246" to="9803,-246" stroked="true" strokeweight=".48pt" strokecolor="#000000">
              <v:stroke dashstyle="solid"/>
            </v:line>
            <w10:wrap type="none"/>
          </v:group>
        </w:pict>
      </w:r>
      <w:r>
        <w:rPr/>
        <w:pict>
          <v:group style="position:absolute;margin-left:220.860001pt;margin-top:7.437866pt;width:193.35pt;height:.5pt;mso-position-horizontal-relative:page;mso-position-vertical-relative:paragraph;z-index:251685888" coordorigin="4417,149" coordsize="3867,10">
            <v:line style="position:absolute" from="4417,154" to="6487,154" stroked="true" strokeweight=".48pt" strokecolor="#000000">
              <v:stroke dashstyle="solid"/>
            </v:line>
            <v:rect style="position:absolute;left:6487;top:148;width:10;height:10" filled="true" fillcolor="#000000" stroked="false">
              <v:fill type="solid"/>
            </v:rect>
            <v:line style="position:absolute" from="6497,154" to="8284,154" stroked="true" strokeweight=".48pt" strokecolor="#000000">
              <v:stroke dashstyle="solid"/>
            </v:line>
            <w10:wrap type="none"/>
          </v:group>
        </w:pict>
      </w:r>
      <w:r>
        <w:rPr/>
        <w:t>8.8</w:t>
      </w:r>
    </w:p>
    <w:p>
      <w:pPr>
        <w:pStyle w:val="BodyText"/>
        <w:rPr>
          <w:sz w:val="24"/>
        </w:rPr>
      </w:pPr>
    </w:p>
    <w:p>
      <w:pPr>
        <w:pStyle w:val="BodyText"/>
        <w:spacing w:before="7"/>
        <w:rPr>
          <w:sz w:val="23"/>
        </w:rPr>
      </w:pPr>
    </w:p>
    <w:p>
      <w:pPr>
        <w:pStyle w:val="BodyText"/>
        <w:ind w:left="685"/>
      </w:pPr>
      <w:r>
        <w:rPr/>
        <w:pict>
          <v:group style="position:absolute;margin-left:121.860001pt;margin-top:-13.322123pt;width:368.3pt;height:.5pt;mso-position-horizontal-relative:page;mso-position-vertical-relative:paragraph;z-index:251686912" coordorigin="2437,-266" coordsize="7366,10">
            <v:line style="position:absolute" from="2437,-262" to="4417,-262" stroked="true" strokeweight=".48pt" strokecolor="#000000">
              <v:stroke dashstyle="solid"/>
            </v:line>
            <v:rect style="position:absolute;left:4417;top:-267;width:10;height:10" filled="true" fillcolor="#000000" stroked="false">
              <v:fill type="solid"/>
            </v:rect>
            <v:line style="position:absolute" from="4427,-262" to="6487,-262" stroked="true" strokeweight=".48pt" strokecolor="#000000">
              <v:stroke dashstyle="solid"/>
            </v:line>
            <v:rect style="position:absolute;left:6487;top:-267;width:10;height:10" filled="true" fillcolor="#000000" stroked="false">
              <v:fill type="solid"/>
            </v:rect>
            <v:line style="position:absolute" from="6497,-262" to="8284,-262" stroked="true" strokeweight=".48pt" strokecolor="#000000">
              <v:stroke dashstyle="solid"/>
            </v:line>
            <v:rect style="position:absolute;left:8283;top:-267;width:10;height:10" filled="true" fillcolor="#000000" stroked="false">
              <v:fill type="solid"/>
            </v:rect>
            <v:line style="position:absolute" from="8293,-262" to="9803,-262" stroked="true" strokeweight=".48pt" strokecolor="#000000">
              <v:stroke dashstyle="solid"/>
            </v:line>
            <w10:wrap type="none"/>
          </v:group>
        </w:pict>
      </w:r>
      <w:r>
        <w:rPr/>
        <w:pict>
          <v:group style="position:absolute;margin-left:220.860001pt;margin-top:7.436877pt;width:193.35pt;height:.5pt;mso-position-horizontal-relative:page;mso-position-vertical-relative:paragraph;z-index:251687936" coordorigin="4417,149" coordsize="3867,10">
            <v:line style="position:absolute" from="4417,154" to="6487,154" stroked="true" strokeweight=".481pt" strokecolor="#000000">
              <v:stroke dashstyle="solid"/>
            </v:line>
            <v:rect style="position:absolute;left:6487;top:148;width:10;height:10" filled="true" fillcolor="#000000" stroked="false">
              <v:fill type="solid"/>
            </v:rect>
            <v:line style="position:absolute" from="6497,154" to="8284,154" stroked="true" strokeweight=".481pt" strokecolor="#000000">
              <v:stroke dashstyle="solid"/>
            </v:line>
            <w10:wrap type="none"/>
          </v:group>
        </w:pict>
      </w:r>
      <w:r>
        <w:rPr/>
        <w:t>7.8</w:t>
      </w:r>
    </w:p>
    <w:p>
      <w:pPr>
        <w:pStyle w:val="BodyText"/>
        <w:rPr>
          <w:sz w:val="24"/>
        </w:rPr>
      </w:pPr>
    </w:p>
    <w:p>
      <w:pPr>
        <w:pStyle w:val="BodyText"/>
        <w:spacing w:before="6"/>
      </w:pPr>
    </w:p>
    <w:p>
      <w:pPr>
        <w:pStyle w:val="BodyText"/>
        <w:spacing w:before="1"/>
        <w:ind w:left="686"/>
      </w:pPr>
      <w:r>
        <w:rPr/>
        <w:pict>
          <v:group style="position:absolute;margin-left:121.860001pt;margin-top:-11.953136pt;width:368.3pt;height:.5pt;mso-position-horizontal-relative:page;mso-position-vertical-relative:paragraph;z-index:251688960" coordorigin="2437,-239" coordsize="7366,10">
            <v:line style="position:absolute" from="2437,-234" to="4417,-234" stroked="true" strokeweight=".481pt" strokecolor="#000000">
              <v:stroke dashstyle="solid"/>
            </v:line>
            <v:rect style="position:absolute;left:4417;top:-240;width:10;height:10" filled="true" fillcolor="#000000" stroked="false">
              <v:fill type="solid"/>
            </v:rect>
            <v:line style="position:absolute" from="4427,-234" to="6487,-234" stroked="true" strokeweight=".481pt" strokecolor="#000000">
              <v:stroke dashstyle="solid"/>
            </v:line>
            <v:rect style="position:absolute;left:6487;top:-240;width:10;height:10" filled="true" fillcolor="#000000" stroked="false">
              <v:fill type="solid"/>
            </v:rect>
            <v:line style="position:absolute" from="6497,-234" to="8284,-234" stroked="true" strokeweight=".481pt" strokecolor="#000000">
              <v:stroke dashstyle="solid"/>
            </v:line>
            <v:rect style="position:absolute;left:8283;top:-240;width:10;height:10" filled="true" fillcolor="#000000" stroked="false">
              <v:fill type="solid"/>
            </v:rect>
            <v:line style="position:absolute" from="8293,-234" to="9803,-234" stroked="true" strokeweight=".481pt" strokecolor="#000000">
              <v:stroke dashstyle="solid"/>
            </v:line>
            <w10:wrap type="none"/>
          </v:group>
        </w:pict>
      </w:r>
      <w:r>
        <w:rPr/>
        <w:pict>
          <v:group style="position:absolute;margin-left:220.860001pt;margin-top:7.067864pt;width:193.35pt;height:.5pt;mso-position-horizontal-relative:page;mso-position-vertical-relative:paragraph;z-index:251689984" coordorigin="4417,141" coordsize="3867,10">
            <v:line style="position:absolute" from="4417,146" to="6487,146" stroked="true" strokeweight=".48pt" strokecolor="#000000">
              <v:stroke dashstyle="solid"/>
            </v:line>
            <v:rect style="position:absolute;left:6487;top:141;width:10;height:10" filled="true" fillcolor="#000000" stroked="false">
              <v:fill type="solid"/>
            </v:rect>
            <v:line style="position:absolute" from="6497,146" to="8284,146" stroked="true" strokeweight=".48pt" strokecolor="#000000">
              <v:stroke dashstyle="solid"/>
            </v:line>
            <w10:wrap type="none"/>
          </v:group>
        </w:pict>
      </w:r>
      <w:r>
        <w:rPr/>
        <w:t>9.2</w:t>
      </w:r>
    </w:p>
    <w:p>
      <w:pPr>
        <w:pStyle w:val="BodyText"/>
        <w:rPr>
          <w:sz w:val="24"/>
        </w:rPr>
      </w:pPr>
    </w:p>
    <w:p>
      <w:pPr>
        <w:pStyle w:val="BodyText"/>
        <w:spacing w:before="10"/>
        <w:rPr>
          <w:sz w:val="21"/>
        </w:rPr>
      </w:pPr>
    </w:p>
    <w:p>
      <w:pPr>
        <w:pStyle w:val="BodyText"/>
        <w:ind w:left="686"/>
      </w:pPr>
      <w:r>
        <w:rPr/>
        <w:pict>
          <v:group style="position:absolute;margin-left:121.860001pt;margin-top:-12.962133pt;width:368.3pt;height:.5pt;mso-position-horizontal-relative:page;mso-position-vertical-relative:paragraph;z-index:251691008" coordorigin="2437,-259" coordsize="7366,10">
            <v:line style="position:absolute" from="2437,-254" to="4417,-254" stroked="true" strokeweight=".48pt" strokecolor="#000000">
              <v:stroke dashstyle="solid"/>
            </v:line>
            <v:rect style="position:absolute;left:4417;top:-260;width:10;height:10" filled="true" fillcolor="#000000" stroked="false">
              <v:fill type="solid"/>
            </v:rect>
            <v:line style="position:absolute" from="4427,-254" to="6487,-254" stroked="true" strokeweight=".48pt" strokecolor="#000000">
              <v:stroke dashstyle="solid"/>
            </v:line>
            <v:rect style="position:absolute;left:6487;top:-260;width:10;height:10" filled="true" fillcolor="#000000" stroked="false">
              <v:fill type="solid"/>
            </v:rect>
            <v:line style="position:absolute" from="6497,-254" to="8284,-254" stroked="true" strokeweight=".48pt" strokecolor="#000000">
              <v:stroke dashstyle="solid"/>
            </v:line>
            <v:rect style="position:absolute;left:8283;top:-260;width:10;height:10" filled="true" fillcolor="#000000" stroked="false">
              <v:fill type="solid"/>
            </v:rect>
            <v:line style="position:absolute" from="8293,-254" to="9803,-254" stroked="true" strokeweight=".48pt" strokecolor="#000000">
              <v:stroke dashstyle="solid"/>
            </v:line>
            <w10:wrap type="none"/>
          </v:group>
        </w:pict>
      </w:r>
      <w:r>
        <w:rPr/>
        <w:pict>
          <v:group style="position:absolute;margin-left:220.860001pt;margin-top:6.297866pt;width:193.35pt;height:.5pt;mso-position-horizontal-relative:page;mso-position-vertical-relative:paragraph;z-index:251692032" coordorigin="4417,126" coordsize="3867,10">
            <v:line style="position:absolute" from="4417,131" to="6487,131" stroked="true" strokeweight=".48pt" strokecolor="#000000">
              <v:stroke dashstyle="solid"/>
            </v:line>
            <v:rect style="position:absolute;left:6487;top:125;width:10;height:10" filled="true" fillcolor="#000000" stroked="false">
              <v:fill type="solid"/>
            </v:rect>
            <v:line style="position:absolute" from="6497,131" to="8284,131" stroked="true" strokeweight=".48pt" strokecolor="#000000">
              <v:stroke dashstyle="solid"/>
            </v:line>
            <w10:wrap type="none"/>
          </v:group>
        </w:pict>
      </w:r>
      <w:r>
        <w:rPr/>
        <w:t>7.1</w:t>
      </w:r>
    </w:p>
    <w:p>
      <w:pPr>
        <w:pStyle w:val="BodyText"/>
        <w:rPr>
          <w:sz w:val="24"/>
        </w:rPr>
      </w:pPr>
    </w:p>
    <w:p>
      <w:pPr>
        <w:pStyle w:val="BodyText"/>
        <w:spacing w:before="6"/>
        <w:rPr>
          <w:sz w:val="23"/>
        </w:rPr>
      </w:pPr>
    </w:p>
    <w:p>
      <w:pPr>
        <w:pStyle w:val="BodyText"/>
        <w:ind w:left="694"/>
      </w:pPr>
      <w:r>
        <w:rPr/>
        <w:pict>
          <v:group style="position:absolute;margin-left:121.860001pt;margin-top:-12.962125pt;width:368.3pt;height:.5pt;mso-position-horizontal-relative:page;mso-position-vertical-relative:paragraph;z-index:251693056" coordorigin="2437,-259" coordsize="7366,10">
            <v:line style="position:absolute" from="2437,-254" to="4417,-254" stroked="true" strokeweight=".48pt" strokecolor="#000000">
              <v:stroke dashstyle="solid"/>
            </v:line>
            <v:rect style="position:absolute;left:4417;top:-260;width:10;height:10" filled="true" fillcolor="#000000" stroked="false">
              <v:fill type="solid"/>
            </v:rect>
            <v:line style="position:absolute" from="4427,-254" to="6487,-254" stroked="true" strokeweight=".48pt" strokecolor="#000000">
              <v:stroke dashstyle="solid"/>
            </v:line>
            <v:rect style="position:absolute;left:6487;top:-260;width:10;height:10" filled="true" fillcolor="#000000" stroked="false">
              <v:fill type="solid"/>
            </v:rect>
            <v:line style="position:absolute" from="6497,-254" to="8284,-254" stroked="true" strokeweight=".48pt" strokecolor="#000000">
              <v:stroke dashstyle="solid"/>
            </v:line>
            <v:rect style="position:absolute;left:8283;top:-260;width:10;height:10" filled="true" fillcolor="#000000" stroked="false">
              <v:fill type="solid"/>
            </v:rect>
            <v:line style="position:absolute" from="8293,-254" to="9803,-254" stroked="true" strokeweight=".48pt" strokecolor="#000000">
              <v:stroke dashstyle="solid"/>
            </v:line>
            <w10:wrap type="none"/>
          </v:group>
        </w:pict>
      </w:r>
      <w:r>
        <w:rPr/>
        <w:pict>
          <v:group style="position:absolute;margin-left:220.860001pt;margin-top:7.076875pt;width:193.35pt;height:.5pt;mso-position-horizontal-relative:page;mso-position-vertical-relative:paragraph;z-index:251694080" coordorigin="4417,142" coordsize="3867,10">
            <v:line style="position:absolute" from="4417,146" to="6487,146" stroked="true" strokeweight=".481pt" strokecolor="#000000">
              <v:stroke dashstyle="solid"/>
            </v:line>
            <v:rect style="position:absolute;left:6487;top:141;width:10;height:10" filled="true" fillcolor="#000000" stroked="false">
              <v:fill type="solid"/>
            </v:rect>
            <v:line style="position:absolute" from="6497,146" to="8284,146" stroked="true" strokeweight=".481pt" strokecolor="#000000">
              <v:stroke dashstyle="solid"/>
            </v:line>
            <w10:wrap type="none"/>
          </v:group>
        </w:pict>
      </w:r>
      <w:r>
        <w:rPr/>
        <w:t>7.9</w:t>
      </w:r>
    </w:p>
    <w:p>
      <w:pPr>
        <w:pStyle w:val="BodyText"/>
        <w:rPr>
          <w:sz w:val="24"/>
        </w:rPr>
      </w:pPr>
    </w:p>
    <w:p>
      <w:pPr>
        <w:pStyle w:val="BodyText"/>
        <w:rPr>
          <w:sz w:val="25"/>
        </w:rPr>
      </w:pPr>
    </w:p>
    <w:p>
      <w:pPr>
        <w:pStyle w:val="BodyText"/>
        <w:ind w:left="694"/>
      </w:pPr>
      <w:r>
        <w:rPr/>
        <w:pict>
          <v:group style="position:absolute;margin-left:121.860001pt;margin-top:-13.743128pt;width:368.3pt;height:.5pt;mso-position-horizontal-relative:page;mso-position-vertical-relative:paragraph;z-index:251695104" coordorigin="2437,-275" coordsize="7366,10">
            <v:line style="position:absolute" from="2437,-270" to="4417,-270" stroked="true" strokeweight=".481pt" strokecolor="#000000">
              <v:stroke dashstyle="solid"/>
            </v:line>
            <v:rect style="position:absolute;left:4417;top:-275;width:10;height:10" filled="true" fillcolor="#000000" stroked="false">
              <v:fill type="solid"/>
            </v:rect>
            <v:line style="position:absolute" from="4427,-270" to="6487,-270" stroked="true" strokeweight=".481pt" strokecolor="#000000">
              <v:stroke dashstyle="solid"/>
            </v:line>
            <v:rect style="position:absolute;left:6487;top:-275;width:10;height:10" filled="true" fillcolor="#000000" stroked="false">
              <v:fill type="solid"/>
            </v:rect>
            <v:line style="position:absolute" from="6497,-270" to="8284,-270" stroked="true" strokeweight=".481pt" strokecolor="#000000">
              <v:stroke dashstyle="solid"/>
            </v:line>
            <v:rect style="position:absolute;left:8283;top:-275;width:10;height:10" filled="true" fillcolor="#000000" stroked="false">
              <v:fill type="solid"/>
            </v:rect>
            <v:line style="position:absolute" from="8293,-270" to="9803,-270" stroked="true" strokeweight=".481pt" strokecolor="#000000">
              <v:stroke dashstyle="solid"/>
            </v:line>
            <w10:wrap type="none"/>
          </v:group>
        </w:pict>
      </w:r>
      <w:r>
        <w:rPr/>
        <w:pict>
          <v:group style="position:absolute;margin-left:220.860001pt;margin-top:7.017872pt;width:193.35pt;height:.5pt;mso-position-horizontal-relative:page;mso-position-vertical-relative:paragraph;z-index:251696128" coordorigin="4417,140" coordsize="3867,10">
            <v:line style="position:absolute" from="4417,145" to="6487,145" stroked="true" strokeweight=".48pt" strokecolor="#000000">
              <v:stroke dashstyle="solid"/>
            </v:line>
            <v:rect style="position:absolute;left:6487;top:140;width:10;height:10" filled="true" fillcolor="#000000" stroked="false">
              <v:fill type="solid"/>
            </v:rect>
            <v:line style="position:absolute" from="6497,145" to="8284,145" stroked="true" strokeweight=".48pt" strokecolor="#000000">
              <v:stroke dashstyle="solid"/>
            </v:line>
            <w10:wrap type="none"/>
          </v:group>
        </w:pict>
      </w:r>
      <w:r>
        <w:rPr/>
        <w:t>7.4</w:t>
      </w:r>
    </w:p>
    <w:p>
      <w:pPr>
        <w:pStyle w:val="BodyText"/>
        <w:rPr>
          <w:sz w:val="24"/>
        </w:rPr>
      </w:pPr>
    </w:p>
    <w:p>
      <w:pPr>
        <w:pStyle w:val="BodyText"/>
        <w:spacing w:before="7"/>
        <w:rPr>
          <w:sz w:val="24"/>
        </w:rPr>
      </w:pPr>
    </w:p>
    <w:p>
      <w:pPr>
        <w:pStyle w:val="BodyText"/>
        <w:ind w:left="694"/>
      </w:pPr>
      <w:r>
        <w:rPr/>
        <w:pict>
          <v:group style="position:absolute;margin-left:121.860001pt;margin-top:-12.842123pt;width:368.3pt;height:.5pt;mso-position-horizontal-relative:page;mso-position-vertical-relative:paragraph;z-index:251697152" coordorigin="2437,-257" coordsize="7366,10">
            <v:line style="position:absolute" from="2437,-252" to="4417,-252" stroked="true" strokeweight=".48pt" strokecolor="#000000">
              <v:stroke dashstyle="solid"/>
            </v:line>
            <v:rect style="position:absolute;left:4417;top:-257;width:10;height:10" filled="true" fillcolor="#000000" stroked="false">
              <v:fill type="solid"/>
            </v:rect>
            <v:line style="position:absolute" from="4427,-252" to="6487,-252" stroked="true" strokeweight=".48pt" strokecolor="#000000">
              <v:stroke dashstyle="solid"/>
            </v:line>
            <v:rect style="position:absolute;left:6487;top:-257;width:10;height:10" filled="true" fillcolor="#000000" stroked="false">
              <v:fill type="solid"/>
            </v:rect>
            <v:line style="position:absolute" from="6497,-252" to="8284,-252" stroked="true" strokeweight=".48pt" strokecolor="#000000">
              <v:stroke dashstyle="solid"/>
            </v:line>
            <v:rect style="position:absolute;left:8283;top:-257;width:10;height:10" filled="true" fillcolor="#000000" stroked="false">
              <v:fill type="solid"/>
            </v:rect>
            <v:line style="position:absolute" from="8293,-252" to="9803,-252" stroked="true" strokeweight=".48pt" strokecolor="#000000">
              <v:stroke dashstyle="solid"/>
            </v:line>
            <w10:wrap type="none"/>
          </v:group>
        </w:pict>
      </w:r>
      <w:r>
        <w:rPr/>
        <w:pict>
          <v:group style="position:absolute;margin-left:220.860001pt;margin-top:6.177876pt;width:193.35pt;height:.5pt;mso-position-horizontal-relative:page;mso-position-vertical-relative:paragraph;z-index:251698176" coordorigin="4417,124" coordsize="3867,10">
            <v:line style="position:absolute" from="4417,128" to="6487,128" stroked="true" strokeweight=".48pt" strokecolor="#000000">
              <v:stroke dashstyle="solid"/>
            </v:line>
            <v:rect style="position:absolute;left:6487;top:123;width:10;height:10" filled="true" fillcolor="#000000" stroked="false">
              <v:fill type="solid"/>
            </v:rect>
            <v:line style="position:absolute" from="6497,128" to="8284,128" stroked="true" strokeweight=".48pt" strokecolor="#000000">
              <v:stroke dashstyle="solid"/>
            </v:line>
            <w10:wrap type="none"/>
          </v:group>
        </w:pict>
      </w:r>
      <w:r>
        <w:rPr/>
        <w:t>6.3</w:t>
      </w:r>
    </w:p>
    <w:p>
      <w:pPr>
        <w:pStyle w:val="BodyText"/>
        <w:rPr>
          <w:sz w:val="24"/>
        </w:rPr>
      </w:pPr>
    </w:p>
    <w:p>
      <w:pPr>
        <w:pStyle w:val="BodyText"/>
        <w:spacing w:before="9"/>
      </w:pPr>
    </w:p>
    <w:p>
      <w:pPr>
        <w:pStyle w:val="BodyText"/>
        <w:ind w:left="694"/>
      </w:pPr>
      <w:r>
        <w:rPr/>
        <w:pict>
          <v:group style="position:absolute;margin-left:121.860001pt;margin-top:-12.602132pt;width:368.3pt;height:.5pt;mso-position-horizontal-relative:page;mso-position-vertical-relative:paragraph;z-index:251699200" coordorigin="2437,-252" coordsize="7366,10">
            <v:line style="position:absolute" from="2437,-247" to="4417,-247" stroked="true" strokeweight=".48pt" strokecolor="#000000">
              <v:stroke dashstyle="solid"/>
            </v:line>
            <v:rect style="position:absolute;left:4417;top:-253;width:10;height:10" filled="true" fillcolor="#000000" stroked="false">
              <v:fill type="solid"/>
            </v:rect>
            <v:line style="position:absolute" from="4427,-247" to="6487,-247" stroked="true" strokeweight=".48pt" strokecolor="#000000">
              <v:stroke dashstyle="solid"/>
            </v:line>
            <v:rect style="position:absolute;left:6487;top:-253;width:10;height:10" filled="true" fillcolor="#000000" stroked="false">
              <v:fill type="solid"/>
            </v:rect>
            <v:line style="position:absolute" from="6497,-247" to="8284,-247" stroked="true" strokeweight=".48pt" strokecolor="#000000">
              <v:stroke dashstyle="solid"/>
            </v:line>
            <v:rect style="position:absolute;left:8283;top:-253;width:10;height:10" filled="true" fillcolor="#000000" stroked="false">
              <v:fill type="solid"/>
            </v:rect>
            <v:line style="position:absolute" from="8293,-247" to="9803,-247" stroked="true" strokeweight=".48pt" strokecolor="#000000">
              <v:stroke dashstyle="solid"/>
            </v:line>
            <w10:wrap type="none"/>
          </v:group>
        </w:pict>
      </w:r>
      <w:r>
        <w:rPr/>
        <w:pict>
          <v:group style="position:absolute;margin-left:220.860001pt;margin-top:6.657868pt;width:193.35pt;height:.5pt;mso-position-horizontal-relative:page;mso-position-vertical-relative:paragraph;z-index:251700224" coordorigin="4417,133" coordsize="3867,10">
            <v:line style="position:absolute" from="4417,138" to="6487,138" stroked="true" strokeweight=".48pt" strokecolor="#000000">
              <v:stroke dashstyle="solid"/>
            </v:line>
            <v:rect style="position:absolute;left:6487;top:133;width:10;height:10" filled="true" fillcolor="#000000" stroked="false">
              <v:fill type="solid"/>
            </v:rect>
            <v:line style="position:absolute" from="6497,138" to="8284,138" stroked="true" strokeweight=".48pt" strokecolor="#000000">
              <v:stroke dashstyle="solid"/>
            </v:line>
            <w10:wrap type="none"/>
          </v:group>
        </w:pict>
      </w:r>
      <w:r>
        <w:rPr/>
        <w:t>5.5</w:t>
      </w:r>
    </w:p>
    <w:p>
      <w:pPr>
        <w:spacing w:after="0"/>
        <w:sectPr>
          <w:type w:val="continuous"/>
          <w:pgSz w:w="12240" w:h="15840"/>
          <w:pgMar w:top="1060" w:bottom="1320" w:left="460" w:right="480"/>
          <w:cols w:num="2" w:equalWidth="0">
            <w:col w:w="7696" w:space="40"/>
            <w:col w:w="3564"/>
          </w:cols>
        </w:sectPr>
      </w:pPr>
    </w:p>
    <w:p>
      <w:pPr>
        <w:pStyle w:val="BodyText"/>
        <w:spacing w:before="8"/>
        <w:rPr>
          <w:sz w:val="7"/>
        </w:rPr>
      </w:pPr>
    </w:p>
    <w:p>
      <w:pPr>
        <w:pStyle w:val="BodyText"/>
        <w:spacing w:line="29" w:lineRule="exact"/>
        <w:ind w:left="1972"/>
        <w:rPr>
          <w:sz w:val="2"/>
        </w:rPr>
      </w:pPr>
      <w:r>
        <w:rPr>
          <w:position w:val="0"/>
          <w:sz w:val="2"/>
        </w:rPr>
        <w:pict>
          <v:group style="width:368.3pt;height:1.45pt;mso-position-horizontal-relative:char;mso-position-vertical-relative:line" coordorigin="0,0" coordsize="7366,29">
            <v:line style="position:absolute" from="0,24" to="1980,24" stroked="true" strokeweight=".48pt" strokecolor="#000000">
              <v:stroke dashstyle="solid"/>
            </v:line>
            <v:line style="position:absolute" from="0,5" to="1980,5" stroked="true" strokeweight=".481pt" strokecolor="#000000">
              <v:stroke dashstyle="solid"/>
            </v:line>
            <v:rect style="position:absolute;left:1980;top:0;width:29;height:10" filled="true" fillcolor="#000000" stroked="false">
              <v:fill type="solid"/>
            </v:rect>
            <v:rect style="position:absolute;left:1980;top:19;width:29;height:10" filled="true" fillcolor="#000000" stroked="false">
              <v:fill type="solid"/>
            </v:rect>
            <v:line style="position:absolute" from="2009,24" to="4050,24" stroked="true" strokeweight=".48pt" strokecolor="#000000">
              <v:stroke dashstyle="solid"/>
            </v:line>
            <v:line style="position:absolute" from="2009,5" to="4050,5" stroked="true" strokeweight=".481pt" strokecolor="#000000">
              <v:stroke dashstyle="solid"/>
            </v:line>
            <v:rect style="position:absolute;left:4050;top:0;width:29;height:10" filled="true" fillcolor="#000000" stroked="false">
              <v:fill type="solid"/>
            </v:rect>
            <v:rect style="position:absolute;left:4050;top:19;width:29;height:10" filled="true" fillcolor="#000000" stroked="false">
              <v:fill type="solid"/>
            </v:rect>
            <v:line style="position:absolute" from="4079,24" to="5846,24" stroked="true" strokeweight=".48pt" strokecolor="#000000">
              <v:stroke dashstyle="solid"/>
            </v:line>
            <v:line style="position:absolute" from="4079,5" to="5846,5" stroked="true" strokeweight=".481pt" strokecolor="#000000">
              <v:stroke dashstyle="solid"/>
            </v:line>
            <v:rect style="position:absolute;left:5846;top:0;width:29;height:10" filled="true" fillcolor="#000000" stroked="false">
              <v:fill type="solid"/>
            </v:rect>
            <v:rect style="position:absolute;left:5846;top:19;width:29;height:10" filled="true" fillcolor="#000000" stroked="false">
              <v:fill type="solid"/>
            </v:rect>
            <v:line style="position:absolute" from="5875,24" to="7366,24" stroked="true" strokeweight=".48pt" strokecolor="#000000">
              <v:stroke dashstyle="solid"/>
            </v:line>
            <v:line style="position:absolute" from="5875,5" to="7366,5" stroked="true" strokeweight=".481pt" strokecolor="#000000">
              <v:stroke dashstyle="solid"/>
            </v:line>
          </v:group>
        </w:pict>
      </w:r>
      <w:r>
        <w:rPr>
          <w:position w:val="0"/>
          <w:sz w:val="2"/>
        </w:rPr>
      </w:r>
    </w:p>
    <w:p>
      <w:pPr>
        <w:spacing w:after="0" w:line="29" w:lineRule="exact"/>
        <w:rPr>
          <w:sz w:val="2"/>
        </w:rPr>
        <w:sectPr>
          <w:type w:val="continuous"/>
          <w:pgSz w:w="12240" w:h="15840"/>
          <w:pgMar w:top="1060" w:bottom="1320" w:left="460" w:right="480"/>
        </w:sectPr>
      </w:pPr>
    </w:p>
    <w:p>
      <w:pPr>
        <w:pStyle w:val="BodyText"/>
        <w:rPr>
          <w:sz w:val="21"/>
        </w:rPr>
      </w:pPr>
    </w:p>
    <w:p>
      <w:pPr>
        <w:pStyle w:val="BodyText"/>
        <w:tabs>
          <w:tab w:pos="4068" w:val="left" w:leader="none"/>
          <w:tab w:pos="6142" w:val="left" w:leader="none"/>
        </w:tabs>
        <w:spacing w:before="1"/>
        <w:ind w:left="2501"/>
      </w:pPr>
      <w:r>
        <w:rPr/>
        <w:t>Chemical</w:t>
        <w:tab/>
        <w:t>Quantifier/Qualifier</w:t>
        <w:tab/>
        <w:t>MRM</w:t>
      </w:r>
      <w:r>
        <w:rPr>
          <w:spacing w:val="-15"/>
        </w:rPr>
        <w:t> </w:t>
      </w:r>
      <w:r>
        <w:rPr/>
        <w:t>Transition</w:t>
      </w:r>
    </w:p>
    <w:p>
      <w:pPr>
        <w:pStyle w:val="BodyText"/>
        <w:spacing w:before="1"/>
        <w:rPr>
          <w:sz w:val="29"/>
        </w:rPr>
      </w:pPr>
    </w:p>
    <w:p>
      <w:pPr>
        <w:pStyle w:val="BodyText"/>
        <w:tabs>
          <w:tab w:pos="6509" w:val="left" w:leader="none"/>
        </w:tabs>
        <w:spacing w:line="226" w:lineRule="exact"/>
        <w:ind w:left="4515"/>
      </w:pPr>
      <w:r>
        <w:rPr/>
        <w:t>Quantifier</w:t>
        <w:tab/>
        <w:t>299→80</w:t>
      </w:r>
    </w:p>
    <w:p>
      <w:pPr>
        <w:pStyle w:val="BodyText"/>
        <w:spacing w:line="208" w:lineRule="exact"/>
        <w:ind w:left="2660" w:right="4420"/>
        <w:jc w:val="center"/>
      </w:pPr>
      <w:r>
        <w:rPr/>
        <w:t>PFBS</w:t>
      </w:r>
    </w:p>
    <w:p>
      <w:pPr>
        <w:pStyle w:val="BodyText"/>
        <w:tabs>
          <w:tab w:pos="6509" w:val="left" w:leader="none"/>
        </w:tabs>
        <w:spacing w:line="234" w:lineRule="exact"/>
        <w:ind w:left="4582"/>
      </w:pPr>
      <w:r>
        <w:rPr/>
        <w:pict>
          <v:group style="position:absolute;margin-left:121.860001pt;margin-top:16.113426pt;width:368.3pt;height:.5pt;mso-position-horizontal-relative:page;mso-position-vertical-relative:paragraph;z-index:-259986432" coordorigin="2437,322" coordsize="7366,10">
            <v:line style="position:absolute" from="2437,327" to="4417,327" stroked="true" strokeweight=".48pt" strokecolor="#000000">
              <v:stroke dashstyle="solid"/>
            </v:line>
            <v:rect style="position:absolute;left:4417;top:322;width:10;height:10" filled="true" fillcolor="#000000" stroked="false">
              <v:fill type="solid"/>
            </v:rect>
            <v:line style="position:absolute" from="4427,327" to="6487,327" stroked="true" strokeweight=".48pt" strokecolor="#000000">
              <v:stroke dashstyle="solid"/>
            </v:line>
            <v:rect style="position:absolute;left:6487;top:322;width:10;height:10" filled="true" fillcolor="#000000" stroked="false">
              <v:fill type="solid"/>
            </v:rect>
            <v:line style="position:absolute" from="6497,327" to="8284,327" stroked="true" strokeweight=".48pt" strokecolor="#000000">
              <v:stroke dashstyle="solid"/>
            </v:line>
            <v:rect style="position:absolute;left:8283;top:322;width:10;height:10" filled="true" fillcolor="#000000" stroked="false">
              <v:fill type="solid"/>
            </v:rect>
            <v:line style="position:absolute" from="8293,327" to="9803,327" stroked="true" strokeweight=".48pt" strokecolor="#000000">
              <v:stroke dashstyle="solid"/>
            </v:line>
            <w10:wrap type="none"/>
          </v:group>
        </w:pict>
      </w:r>
      <w:r>
        <w:rPr/>
        <w:t>Qualifier</w:t>
        <w:tab/>
        <w:t>299→99</w:t>
      </w:r>
    </w:p>
    <w:p>
      <w:pPr>
        <w:spacing w:before="76"/>
        <w:ind w:left="386" w:right="2268" w:firstLine="0"/>
        <w:jc w:val="center"/>
        <w:rPr>
          <w:sz w:val="22"/>
        </w:rPr>
      </w:pPr>
      <w:r>
        <w:rPr/>
        <w:br w:type="column"/>
      </w:r>
      <w:r>
        <w:rPr>
          <w:sz w:val="22"/>
        </w:rPr>
        <w:t>RT</w:t>
      </w:r>
    </w:p>
    <w:p>
      <w:pPr>
        <w:pStyle w:val="BodyText"/>
        <w:spacing w:line="590" w:lineRule="auto" w:before="79"/>
        <w:ind w:left="386" w:right="2268"/>
        <w:jc w:val="center"/>
      </w:pPr>
      <w:r>
        <w:rPr/>
        <w:pict>
          <v:group style="position:absolute;margin-left:121.860001pt;margin-top:-16.926729pt;width:368.3pt;height:1.45pt;mso-position-horizontal-relative:page;mso-position-vertical-relative:paragraph;z-index:251701248" coordorigin="2437,-339" coordsize="7366,29">
            <v:shape style="position:absolute;left:2437;top:-334;width:1980;height:20" coordorigin="2437,-334" coordsize="1980,20" path="m2437,-334l4417,-334m2437,-315l4417,-315e" filled="false" stroked="true" strokeweight=".48pt" strokecolor="#000000">
              <v:path arrowok="t"/>
              <v:stroke dashstyle="solid"/>
            </v:shape>
            <v:shape style="position:absolute;left:4417;top:-339;width:29;height:29" coordorigin="4417,-339" coordsize="29,29" path="m4446,-319l4417,-319,4417,-310,4446,-310,4446,-319m4446,-339l4417,-339,4417,-329,4446,-329,4446,-339e" filled="true" fillcolor="#000000" stroked="false">
              <v:path arrowok="t"/>
              <v:fill type="solid"/>
            </v:shape>
            <v:shape style="position:absolute;left:4446;top:-334;width:2042;height:20" coordorigin="4446,-334" coordsize="2042,20" path="m4446,-334l6487,-334m4446,-315l6487,-315e" filled="false" stroked="true" strokeweight=".48pt" strokecolor="#000000">
              <v:path arrowok="t"/>
              <v:stroke dashstyle="solid"/>
            </v:shape>
            <v:shape style="position:absolute;left:6487;top:-339;width:29;height:29" coordorigin="6487,-339" coordsize="29,29" path="m6516,-319l6487,-319,6487,-310,6516,-310,6516,-319m6516,-339l6487,-339,6487,-329,6516,-329,6516,-339e" filled="true" fillcolor="#000000" stroked="false">
              <v:path arrowok="t"/>
              <v:fill type="solid"/>
            </v:shape>
            <v:shape style="position:absolute;left:6516;top:-334;width:1768;height:20" coordorigin="6516,-334" coordsize="1768,20" path="m6516,-334l8284,-334m6516,-315l8284,-315e" filled="false" stroked="true" strokeweight=".48pt" strokecolor="#000000">
              <v:path arrowok="t"/>
              <v:stroke dashstyle="solid"/>
            </v:shape>
            <v:shape style="position:absolute;left:8283;top:-339;width:29;height:29" coordorigin="8284,-339" coordsize="29,29" path="m8312,-319l8284,-319,8284,-310,8312,-310,8312,-319m8312,-339l8284,-339,8284,-329,8312,-329,8312,-339e" filled="true" fillcolor="#000000" stroked="false">
              <v:path arrowok="t"/>
              <v:fill type="solid"/>
            </v:shape>
            <v:shape style="position:absolute;left:8312;top:-334;width:1491;height:20" coordorigin="8312,-334" coordsize="1491,20" path="m8312,-334l9803,-334m8312,-315l9803,-315e" filled="false" stroked="true" strokeweight=".48pt" strokecolor="#000000">
              <v:path arrowok="t"/>
              <v:stroke dashstyle="solid"/>
            </v:shape>
            <w10:wrap type="none"/>
          </v:group>
        </w:pict>
      </w:r>
      <w:r>
        <w:rPr/>
        <w:pict>
          <v:group style="position:absolute;margin-left:121.860001pt;margin-top:21.352272pt;width:368.3pt;height:.5pt;mso-position-horizontal-relative:page;mso-position-vertical-relative:paragraph;z-index:-259988480" coordorigin="2437,427" coordsize="7366,10">
            <v:line style="position:absolute" from="2437,432" to="4417,432" stroked="true" strokeweight=".481pt" strokecolor="#000000">
              <v:stroke dashstyle="solid"/>
            </v:line>
            <v:rect style="position:absolute;left:4417;top:427;width:10;height:10" filled="true" fillcolor="#000000" stroked="false">
              <v:fill type="solid"/>
            </v:rect>
            <v:line style="position:absolute" from="4427,432" to="6487,432" stroked="true" strokeweight=".481pt" strokecolor="#000000">
              <v:stroke dashstyle="solid"/>
            </v:line>
            <v:rect style="position:absolute;left:6487;top:427;width:10;height:10" filled="true" fillcolor="#000000" stroked="false">
              <v:fill type="solid"/>
            </v:rect>
            <v:line style="position:absolute" from="6497,432" to="8284,432" stroked="true" strokeweight=".481pt" strokecolor="#000000">
              <v:stroke dashstyle="solid"/>
            </v:line>
            <v:rect style="position:absolute;left:8283;top:427;width:10;height:10" filled="true" fillcolor="#000000" stroked="false">
              <v:fill type="solid"/>
            </v:rect>
            <v:line style="position:absolute" from="8293,432" to="9803,432" stroked="true" strokeweight=".481pt" strokecolor="#000000">
              <v:stroke dashstyle="solid"/>
            </v:line>
            <w10:wrap type="none"/>
          </v:group>
        </w:pict>
      </w:r>
      <w:r>
        <w:rPr/>
        <w:pict>
          <v:group style="position:absolute;margin-left:220.860001pt;margin-top:42.833271pt;width:193.35pt;height:.5pt;mso-position-horizontal-relative:page;mso-position-vertical-relative:paragraph;z-index:251703296" coordorigin="4417,857" coordsize="3867,10">
            <v:line style="position:absolute" from="4417,861" to="6487,861" stroked="true" strokeweight=".48pt" strokecolor="#000000">
              <v:stroke dashstyle="solid"/>
            </v:line>
            <v:rect style="position:absolute;left:6487;top:856;width:10;height:10" filled="true" fillcolor="#000000" stroked="false">
              <v:fill type="solid"/>
            </v:rect>
            <v:line style="position:absolute" from="6497,861" to="8284,861" stroked="true" strokeweight=".48pt" strokecolor="#000000">
              <v:stroke dashstyle="solid"/>
            </v:line>
            <w10:wrap type="none"/>
          </v:group>
        </w:pict>
      </w:r>
      <w:r>
        <w:rPr>
          <w:w w:val="95"/>
        </w:rPr>
        <w:t>(minutes) </w:t>
      </w:r>
      <w:r>
        <w:rPr/>
        <w:t>5.7</w:t>
      </w:r>
    </w:p>
    <w:p>
      <w:pPr>
        <w:spacing w:after="0" w:line="590" w:lineRule="auto"/>
        <w:jc w:val="center"/>
        <w:sectPr>
          <w:pgSz w:w="12240" w:h="15840"/>
          <w:pgMar w:header="0" w:footer="1214" w:top="1140" w:bottom="1400" w:left="460" w:right="480"/>
          <w:cols w:num="2" w:equalWidth="0">
            <w:col w:w="7695" w:space="40"/>
            <w:col w:w="3565"/>
          </w:cols>
        </w:sectPr>
      </w:pPr>
    </w:p>
    <w:p>
      <w:pPr>
        <w:pStyle w:val="BodyText"/>
        <w:tabs>
          <w:tab w:pos="4515" w:val="left" w:leader="none"/>
          <w:tab w:pos="6448" w:val="left" w:leader="none"/>
          <w:tab w:pos="8735" w:val="right" w:leader="none"/>
        </w:tabs>
        <w:spacing w:line="236" w:lineRule="exact"/>
        <w:ind w:left="2618"/>
      </w:pPr>
      <w:r>
        <w:rPr/>
        <w:t>PFPeA</w:t>
        <w:tab/>
        <w:t>Quantifier</w:t>
        <w:tab/>
        <w:t>263→219</w:t>
        <w:tab/>
        <w:t>4.7</w:t>
      </w:r>
    </w:p>
    <w:p>
      <w:pPr>
        <w:pStyle w:val="BodyText"/>
        <w:tabs>
          <w:tab w:pos="2550" w:val="left" w:leader="none"/>
        </w:tabs>
        <w:spacing w:line="230" w:lineRule="exact" w:before="152"/>
        <w:ind w:left="555"/>
        <w:jc w:val="center"/>
      </w:pPr>
      <w:r>
        <w:rPr/>
        <w:pict>
          <v:group style="position:absolute;margin-left:121.860001pt;margin-top:3.87866pt;width:368.3pt;height:.5pt;mso-position-horizontal-relative:page;mso-position-vertical-relative:paragraph;z-index:251705344" coordorigin="2437,78" coordsize="7366,10">
            <v:line style="position:absolute" from="2437,82" to="4417,82" stroked="true" strokeweight=".48pt" strokecolor="#000000">
              <v:stroke dashstyle="solid"/>
            </v:line>
            <v:rect style="position:absolute;left:4417;top:77;width:10;height:10" filled="true" fillcolor="#000000" stroked="false">
              <v:fill type="solid"/>
            </v:rect>
            <v:line style="position:absolute" from="4427,82" to="6487,82" stroked="true" strokeweight=".48pt" strokecolor="#000000">
              <v:stroke dashstyle="solid"/>
            </v:line>
            <v:rect style="position:absolute;left:6487;top:77;width:10;height:10" filled="true" fillcolor="#000000" stroked="false">
              <v:fill type="solid"/>
            </v:rect>
            <v:line style="position:absolute" from="6497,82" to="8284,82" stroked="true" strokeweight=".48pt" strokecolor="#000000">
              <v:stroke dashstyle="solid"/>
            </v:line>
            <v:rect style="position:absolute;left:8283;top:77;width:10;height:10" filled="true" fillcolor="#000000" stroked="false">
              <v:fill type="solid"/>
            </v:rect>
            <v:line style="position:absolute" from="8293,82" to="9803,82" stroked="true" strokeweight=".48pt" strokecolor="#000000">
              <v:stroke dashstyle="solid"/>
            </v:line>
            <w10:wrap type="none"/>
          </v:group>
        </w:pict>
      </w:r>
      <w:r>
        <w:rPr/>
        <w:t>Quantifier</w:t>
        <w:tab/>
        <w:t>349→80</w:t>
      </w:r>
    </w:p>
    <w:p>
      <w:pPr>
        <w:pStyle w:val="BodyText"/>
        <w:tabs>
          <w:tab w:pos="8735" w:val="right" w:leader="none"/>
        </w:tabs>
        <w:spacing w:line="246" w:lineRule="exact"/>
        <w:ind w:left="2618"/>
      </w:pPr>
      <w:r>
        <w:rPr/>
        <w:pict>
          <v:shape style="position:absolute;margin-left:121.5pt;margin-top:6.550212pt;width:368.65pt;height:539.2pt;mso-position-horizontal-relative:page;mso-position-vertical-relative:paragraph;z-index:25170636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87"/>
                    <w:gridCol w:w="1997"/>
                    <w:gridCol w:w="1869"/>
                    <w:gridCol w:w="1519"/>
                  </w:tblGrid>
                  <w:tr>
                    <w:trPr>
                      <w:trHeight w:val="435" w:hRule="atLeast"/>
                    </w:trPr>
                    <w:tc>
                      <w:tcPr>
                        <w:tcW w:w="1987" w:type="dxa"/>
                        <w:tcBorders>
                          <w:bottom w:val="single" w:sz="4" w:space="0" w:color="000000"/>
                        </w:tcBorders>
                      </w:tcPr>
                      <w:p>
                        <w:pPr>
                          <w:pStyle w:val="TableParagraph"/>
                          <w:spacing w:before="0"/>
                          <w:jc w:val="left"/>
                          <w:rPr>
                            <w:rFonts w:ascii="Times New Roman"/>
                            <w:sz w:val="20"/>
                          </w:rPr>
                        </w:pPr>
                      </w:p>
                    </w:tc>
                    <w:tc>
                      <w:tcPr>
                        <w:tcW w:w="1997" w:type="dxa"/>
                        <w:tcBorders>
                          <w:top w:val="single" w:sz="4" w:space="0" w:color="000000"/>
                          <w:bottom w:val="single" w:sz="4" w:space="0" w:color="000000"/>
                        </w:tcBorders>
                      </w:tcPr>
                      <w:p>
                        <w:pPr>
                          <w:pStyle w:val="TableParagraph"/>
                          <w:spacing w:before="72"/>
                          <w:ind w:left="529" w:right="456"/>
                          <w:rPr>
                            <w:sz w:val="22"/>
                          </w:rPr>
                        </w:pPr>
                        <w:r>
                          <w:rPr>
                            <w:sz w:val="22"/>
                          </w:rPr>
                          <w:t>Qualifier</w:t>
                        </w:r>
                      </w:p>
                    </w:tc>
                    <w:tc>
                      <w:tcPr>
                        <w:tcW w:w="1869" w:type="dxa"/>
                        <w:tcBorders>
                          <w:top w:val="single" w:sz="4" w:space="0" w:color="000000"/>
                          <w:bottom w:val="single" w:sz="4" w:space="0" w:color="000000"/>
                        </w:tcBorders>
                      </w:tcPr>
                      <w:p>
                        <w:pPr>
                          <w:pStyle w:val="TableParagraph"/>
                          <w:spacing w:before="72"/>
                          <w:ind w:left="465" w:right="392"/>
                          <w:rPr>
                            <w:sz w:val="22"/>
                          </w:rPr>
                        </w:pPr>
                        <w:r>
                          <w:rPr>
                            <w:sz w:val="22"/>
                          </w:rPr>
                          <w:t>349→99</w:t>
                        </w:r>
                      </w:p>
                    </w:tc>
                    <w:tc>
                      <w:tcPr>
                        <w:tcW w:w="1519" w:type="dxa"/>
                        <w:tcBorders>
                          <w:bottom w:val="single" w:sz="4" w:space="0" w:color="000000"/>
                        </w:tcBorders>
                      </w:tcPr>
                      <w:p>
                        <w:pPr>
                          <w:pStyle w:val="TableParagraph"/>
                          <w:spacing w:before="0"/>
                          <w:jc w:val="left"/>
                          <w:rPr>
                            <w:rFonts w:ascii="Times New Roman"/>
                            <w:sz w:val="20"/>
                          </w:rPr>
                        </w:pPr>
                      </w:p>
                    </w:tc>
                  </w:tr>
                  <w:tr>
                    <w:trPr>
                      <w:trHeight w:val="450" w:hRule="atLeast"/>
                    </w:trPr>
                    <w:tc>
                      <w:tcPr>
                        <w:tcW w:w="1987" w:type="dxa"/>
                        <w:tcBorders>
                          <w:top w:val="single" w:sz="4" w:space="0" w:color="000000"/>
                          <w:bottom w:val="single" w:sz="4" w:space="0" w:color="000000"/>
                        </w:tcBorders>
                      </w:tcPr>
                      <w:p>
                        <w:pPr>
                          <w:pStyle w:val="TableParagraph"/>
                          <w:spacing w:before="79"/>
                          <w:ind w:left="169" w:right="164"/>
                          <w:rPr>
                            <w:sz w:val="22"/>
                          </w:rPr>
                        </w:pPr>
                        <w:r>
                          <w:rPr>
                            <w:sz w:val="22"/>
                          </w:rPr>
                          <w:t>PFBA</w:t>
                        </w:r>
                      </w:p>
                    </w:tc>
                    <w:tc>
                      <w:tcPr>
                        <w:tcW w:w="1997" w:type="dxa"/>
                        <w:tcBorders>
                          <w:top w:val="single" w:sz="4" w:space="0" w:color="000000"/>
                          <w:bottom w:val="single" w:sz="4" w:space="0" w:color="000000"/>
                        </w:tcBorders>
                      </w:tcPr>
                      <w:p>
                        <w:pPr>
                          <w:pStyle w:val="TableParagraph"/>
                          <w:spacing w:before="79"/>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79"/>
                          <w:ind w:left="465" w:right="392"/>
                          <w:rPr>
                            <w:sz w:val="22"/>
                          </w:rPr>
                        </w:pPr>
                        <w:r>
                          <w:rPr>
                            <w:sz w:val="22"/>
                          </w:rPr>
                          <w:t>213→169</w:t>
                        </w:r>
                      </w:p>
                    </w:tc>
                    <w:tc>
                      <w:tcPr>
                        <w:tcW w:w="1519" w:type="dxa"/>
                        <w:tcBorders>
                          <w:top w:val="single" w:sz="4" w:space="0" w:color="000000"/>
                          <w:bottom w:val="single" w:sz="4" w:space="0" w:color="000000"/>
                        </w:tcBorders>
                      </w:tcPr>
                      <w:p>
                        <w:pPr>
                          <w:pStyle w:val="TableParagraph"/>
                          <w:spacing w:before="79"/>
                          <w:ind w:left="579" w:right="579"/>
                          <w:rPr>
                            <w:sz w:val="22"/>
                          </w:rPr>
                        </w:pPr>
                        <w:r>
                          <w:rPr>
                            <w:sz w:val="22"/>
                          </w:rPr>
                          <w:t>3.7</w:t>
                        </w:r>
                      </w:p>
                    </w:tc>
                  </w:tr>
                  <w:tr>
                    <w:trPr>
                      <w:trHeight w:val="373" w:hRule="atLeast"/>
                    </w:trPr>
                    <w:tc>
                      <w:tcPr>
                        <w:tcW w:w="1987" w:type="dxa"/>
                      </w:tcPr>
                      <w:p>
                        <w:pPr>
                          <w:pStyle w:val="TableParagraph"/>
                          <w:spacing w:before="10"/>
                          <w:jc w:val="left"/>
                          <w:rPr>
                            <w:sz w:val="19"/>
                          </w:rPr>
                        </w:pPr>
                      </w:p>
                      <w:p>
                        <w:pPr>
                          <w:pStyle w:val="TableParagraph"/>
                          <w:spacing w:line="120" w:lineRule="exact" w:before="0"/>
                          <w:ind w:left="169" w:right="162"/>
                          <w:rPr>
                            <w:sz w:val="22"/>
                          </w:rPr>
                        </w:pPr>
                        <w:r>
                          <w:rPr>
                            <w:sz w:val="22"/>
                          </w:rPr>
                          <w:t>4:2 FTS</w:t>
                        </w:r>
                      </w:p>
                    </w:tc>
                    <w:tc>
                      <w:tcPr>
                        <w:tcW w:w="1997" w:type="dxa"/>
                        <w:tcBorders>
                          <w:bottom w:val="single" w:sz="4" w:space="0" w:color="000000"/>
                        </w:tcBorders>
                      </w:tcPr>
                      <w:p>
                        <w:pPr>
                          <w:pStyle w:val="TableParagraph"/>
                          <w:spacing w:before="37"/>
                          <w:ind w:left="529" w:right="456"/>
                          <w:rPr>
                            <w:sz w:val="22"/>
                          </w:rPr>
                        </w:pPr>
                        <w:r>
                          <w:rPr>
                            <w:sz w:val="22"/>
                          </w:rPr>
                          <w:t>Quantifier</w:t>
                        </w:r>
                      </w:p>
                    </w:tc>
                    <w:tc>
                      <w:tcPr>
                        <w:tcW w:w="1869" w:type="dxa"/>
                        <w:tcBorders>
                          <w:bottom w:val="single" w:sz="4" w:space="0" w:color="000000"/>
                        </w:tcBorders>
                      </w:tcPr>
                      <w:p>
                        <w:pPr>
                          <w:pStyle w:val="TableParagraph"/>
                          <w:spacing w:before="37"/>
                          <w:ind w:left="465" w:right="392"/>
                          <w:rPr>
                            <w:sz w:val="22"/>
                          </w:rPr>
                        </w:pPr>
                        <w:r>
                          <w:rPr>
                            <w:sz w:val="22"/>
                          </w:rPr>
                          <w:t>327→307</w:t>
                        </w:r>
                      </w:p>
                    </w:tc>
                    <w:tc>
                      <w:tcPr>
                        <w:tcW w:w="1519" w:type="dxa"/>
                      </w:tcPr>
                      <w:p>
                        <w:pPr>
                          <w:pStyle w:val="TableParagraph"/>
                          <w:spacing w:before="10"/>
                          <w:jc w:val="left"/>
                          <w:rPr>
                            <w:sz w:val="19"/>
                          </w:rPr>
                        </w:pPr>
                      </w:p>
                      <w:p>
                        <w:pPr>
                          <w:pStyle w:val="TableParagraph"/>
                          <w:spacing w:line="120" w:lineRule="exact" w:before="0"/>
                          <w:ind w:left="579" w:right="579"/>
                          <w:rPr>
                            <w:sz w:val="22"/>
                          </w:rPr>
                        </w:pPr>
                        <w:r>
                          <w:rPr>
                            <w:sz w:val="22"/>
                          </w:rPr>
                          <w:t>5.2</w:t>
                        </w:r>
                      </w:p>
                    </w:tc>
                  </w:tr>
                  <w:tr>
                    <w:trPr>
                      <w:trHeight w:val="375" w:hRule="atLeast"/>
                    </w:trPr>
                    <w:tc>
                      <w:tcPr>
                        <w:tcW w:w="1987" w:type="dxa"/>
                        <w:tcBorders>
                          <w:bottom w:val="single" w:sz="4" w:space="0" w:color="000000"/>
                        </w:tcBorders>
                      </w:tcPr>
                      <w:p>
                        <w:pPr>
                          <w:pStyle w:val="TableParagraph"/>
                          <w:spacing w:before="0"/>
                          <w:jc w:val="left"/>
                          <w:rPr>
                            <w:rFonts w:ascii="Times New Roman"/>
                            <w:sz w:val="20"/>
                          </w:rPr>
                        </w:pPr>
                      </w:p>
                    </w:tc>
                    <w:tc>
                      <w:tcPr>
                        <w:tcW w:w="1997" w:type="dxa"/>
                        <w:tcBorders>
                          <w:top w:val="single" w:sz="4" w:space="0" w:color="000000"/>
                          <w:bottom w:val="single" w:sz="4" w:space="0" w:color="000000"/>
                        </w:tcBorders>
                      </w:tcPr>
                      <w:p>
                        <w:pPr>
                          <w:pStyle w:val="TableParagraph"/>
                          <w:spacing w:before="42"/>
                          <w:ind w:left="529" w:right="456"/>
                          <w:rPr>
                            <w:sz w:val="22"/>
                          </w:rPr>
                        </w:pPr>
                        <w:r>
                          <w:rPr>
                            <w:sz w:val="22"/>
                          </w:rPr>
                          <w:t>Qualifier</w:t>
                        </w:r>
                      </w:p>
                    </w:tc>
                    <w:tc>
                      <w:tcPr>
                        <w:tcW w:w="1869" w:type="dxa"/>
                        <w:tcBorders>
                          <w:top w:val="single" w:sz="4" w:space="0" w:color="000000"/>
                          <w:bottom w:val="single" w:sz="4" w:space="0" w:color="000000"/>
                        </w:tcBorders>
                      </w:tcPr>
                      <w:p>
                        <w:pPr>
                          <w:pStyle w:val="TableParagraph"/>
                          <w:spacing w:before="42"/>
                          <w:ind w:left="465" w:right="392"/>
                          <w:rPr>
                            <w:sz w:val="22"/>
                          </w:rPr>
                        </w:pPr>
                        <w:r>
                          <w:rPr>
                            <w:sz w:val="22"/>
                          </w:rPr>
                          <w:t>327→81</w:t>
                        </w:r>
                      </w:p>
                    </w:tc>
                    <w:tc>
                      <w:tcPr>
                        <w:tcW w:w="1519" w:type="dxa"/>
                        <w:tcBorders>
                          <w:bottom w:val="single" w:sz="4" w:space="0" w:color="000000"/>
                        </w:tcBorders>
                      </w:tcPr>
                      <w:p>
                        <w:pPr>
                          <w:pStyle w:val="TableParagraph"/>
                          <w:spacing w:before="0"/>
                          <w:jc w:val="left"/>
                          <w:rPr>
                            <w:rFonts w:ascii="Times New Roman"/>
                            <w:sz w:val="20"/>
                          </w:rPr>
                        </w:pPr>
                      </w:p>
                    </w:tc>
                  </w:tr>
                  <w:tr>
                    <w:trPr>
                      <w:trHeight w:val="420" w:hRule="atLeast"/>
                    </w:trPr>
                    <w:tc>
                      <w:tcPr>
                        <w:tcW w:w="1987" w:type="dxa"/>
                        <w:tcBorders>
                          <w:top w:val="single" w:sz="4" w:space="0" w:color="000000"/>
                        </w:tcBorders>
                      </w:tcPr>
                      <w:p>
                        <w:pPr>
                          <w:pStyle w:val="TableParagraph"/>
                          <w:spacing w:before="0"/>
                          <w:jc w:val="left"/>
                          <w:rPr>
                            <w:sz w:val="23"/>
                          </w:rPr>
                        </w:pPr>
                      </w:p>
                      <w:p>
                        <w:pPr>
                          <w:pStyle w:val="TableParagraph"/>
                          <w:spacing w:line="136" w:lineRule="exact" w:before="0"/>
                          <w:ind w:left="169" w:right="162"/>
                          <w:rPr>
                            <w:sz w:val="22"/>
                          </w:rPr>
                        </w:pPr>
                        <w:r>
                          <w:rPr>
                            <w:sz w:val="22"/>
                          </w:rPr>
                          <w:t>6:2 FTS</w:t>
                        </w:r>
                      </w:p>
                    </w:tc>
                    <w:tc>
                      <w:tcPr>
                        <w:tcW w:w="1997" w:type="dxa"/>
                        <w:tcBorders>
                          <w:top w:val="single" w:sz="4" w:space="0" w:color="000000"/>
                          <w:bottom w:val="single" w:sz="4" w:space="0" w:color="000000"/>
                        </w:tcBorders>
                      </w:tcPr>
                      <w:p>
                        <w:pPr>
                          <w:pStyle w:val="TableParagraph"/>
                          <w:spacing w:before="64"/>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64"/>
                          <w:ind w:left="465" w:right="392"/>
                          <w:rPr>
                            <w:sz w:val="22"/>
                          </w:rPr>
                        </w:pPr>
                        <w:r>
                          <w:rPr>
                            <w:sz w:val="22"/>
                          </w:rPr>
                          <w:t>427→407</w:t>
                        </w:r>
                      </w:p>
                    </w:tc>
                    <w:tc>
                      <w:tcPr>
                        <w:tcW w:w="1519" w:type="dxa"/>
                        <w:tcBorders>
                          <w:top w:val="single" w:sz="4" w:space="0" w:color="000000"/>
                        </w:tcBorders>
                      </w:tcPr>
                      <w:p>
                        <w:pPr>
                          <w:pStyle w:val="TableParagraph"/>
                          <w:spacing w:before="0"/>
                          <w:jc w:val="left"/>
                          <w:rPr>
                            <w:sz w:val="23"/>
                          </w:rPr>
                        </w:pPr>
                      </w:p>
                      <w:p>
                        <w:pPr>
                          <w:pStyle w:val="TableParagraph"/>
                          <w:spacing w:line="136" w:lineRule="exact" w:before="0"/>
                          <w:ind w:left="579" w:right="579"/>
                          <w:rPr>
                            <w:sz w:val="22"/>
                          </w:rPr>
                        </w:pPr>
                        <w:r>
                          <w:rPr>
                            <w:sz w:val="22"/>
                          </w:rPr>
                          <w:t>6.7</w:t>
                        </w:r>
                      </w:p>
                    </w:tc>
                  </w:tr>
                  <w:tr>
                    <w:trPr>
                      <w:trHeight w:val="389" w:hRule="atLeast"/>
                    </w:trPr>
                    <w:tc>
                      <w:tcPr>
                        <w:tcW w:w="1987" w:type="dxa"/>
                        <w:tcBorders>
                          <w:bottom w:val="single" w:sz="4" w:space="0" w:color="000000"/>
                        </w:tcBorders>
                      </w:tcPr>
                      <w:p>
                        <w:pPr>
                          <w:pStyle w:val="TableParagraph"/>
                          <w:spacing w:before="0"/>
                          <w:jc w:val="left"/>
                          <w:rPr>
                            <w:rFonts w:ascii="Times New Roman"/>
                            <w:sz w:val="20"/>
                          </w:rPr>
                        </w:pPr>
                      </w:p>
                    </w:tc>
                    <w:tc>
                      <w:tcPr>
                        <w:tcW w:w="1997" w:type="dxa"/>
                        <w:tcBorders>
                          <w:top w:val="single" w:sz="4" w:space="0" w:color="000000"/>
                          <w:bottom w:val="single" w:sz="4" w:space="0" w:color="000000"/>
                        </w:tcBorders>
                      </w:tcPr>
                      <w:p>
                        <w:pPr>
                          <w:pStyle w:val="TableParagraph"/>
                          <w:spacing w:before="49"/>
                          <w:ind w:left="529" w:right="456"/>
                          <w:rPr>
                            <w:sz w:val="22"/>
                          </w:rPr>
                        </w:pPr>
                        <w:r>
                          <w:rPr>
                            <w:sz w:val="22"/>
                          </w:rPr>
                          <w:t>Qualifier</w:t>
                        </w:r>
                      </w:p>
                    </w:tc>
                    <w:tc>
                      <w:tcPr>
                        <w:tcW w:w="1869" w:type="dxa"/>
                        <w:tcBorders>
                          <w:top w:val="single" w:sz="4" w:space="0" w:color="000000"/>
                          <w:bottom w:val="single" w:sz="4" w:space="0" w:color="000000"/>
                        </w:tcBorders>
                      </w:tcPr>
                      <w:p>
                        <w:pPr>
                          <w:pStyle w:val="TableParagraph"/>
                          <w:spacing w:before="49"/>
                          <w:ind w:left="465" w:right="392"/>
                          <w:rPr>
                            <w:sz w:val="22"/>
                          </w:rPr>
                        </w:pPr>
                        <w:r>
                          <w:rPr>
                            <w:sz w:val="22"/>
                          </w:rPr>
                          <w:t>427→81</w:t>
                        </w:r>
                      </w:p>
                    </w:tc>
                    <w:tc>
                      <w:tcPr>
                        <w:tcW w:w="1519" w:type="dxa"/>
                        <w:tcBorders>
                          <w:bottom w:val="single" w:sz="4" w:space="0" w:color="000000"/>
                        </w:tcBorders>
                      </w:tcPr>
                      <w:p>
                        <w:pPr>
                          <w:pStyle w:val="TableParagraph"/>
                          <w:spacing w:before="0"/>
                          <w:jc w:val="left"/>
                          <w:rPr>
                            <w:rFonts w:ascii="Times New Roman"/>
                            <w:sz w:val="20"/>
                          </w:rPr>
                        </w:pPr>
                      </w:p>
                    </w:tc>
                  </w:tr>
                  <w:tr>
                    <w:trPr>
                      <w:trHeight w:val="419" w:hRule="atLeast"/>
                    </w:trPr>
                    <w:tc>
                      <w:tcPr>
                        <w:tcW w:w="1987" w:type="dxa"/>
                        <w:tcBorders>
                          <w:top w:val="single" w:sz="4" w:space="0" w:color="000000"/>
                        </w:tcBorders>
                      </w:tcPr>
                      <w:p>
                        <w:pPr>
                          <w:pStyle w:val="TableParagraph"/>
                          <w:spacing w:before="3"/>
                          <w:jc w:val="left"/>
                          <w:rPr>
                            <w:sz w:val="22"/>
                          </w:rPr>
                        </w:pPr>
                      </w:p>
                      <w:p>
                        <w:pPr>
                          <w:pStyle w:val="TableParagraph"/>
                          <w:spacing w:line="143" w:lineRule="exact" w:before="0"/>
                          <w:ind w:left="169" w:right="162"/>
                          <w:rPr>
                            <w:sz w:val="22"/>
                          </w:rPr>
                        </w:pPr>
                        <w:r>
                          <w:rPr>
                            <w:sz w:val="22"/>
                          </w:rPr>
                          <w:t>8:2 FTS</w:t>
                        </w:r>
                      </w:p>
                    </w:tc>
                    <w:tc>
                      <w:tcPr>
                        <w:tcW w:w="1997" w:type="dxa"/>
                        <w:tcBorders>
                          <w:top w:val="single" w:sz="4" w:space="0" w:color="000000"/>
                          <w:bottom w:val="single" w:sz="4" w:space="0" w:color="000000"/>
                        </w:tcBorders>
                      </w:tcPr>
                      <w:p>
                        <w:pPr>
                          <w:pStyle w:val="TableParagraph"/>
                          <w:spacing w:before="64"/>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64"/>
                          <w:ind w:left="465" w:right="392"/>
                          <w:rPr>
                            <w:sz w:val="22"/>
                          </w:rPr>
                        </w:pPr>
                        <w:r>
                          <w:rPr>
                            <w:sz w:val="22"/>
                          </w:rPr>
                          <w:t>527→507</w:t>
                        </w:r>
                      </w:p>
                    </w:tc>
                    <w:tc>
                      <w:tcPr>
                        <w:tcW w:w="1519" w:type="dxa"/>
                        <w:tcBorders>
                          <w:top w:val="single" w:sz="4" w:space="0" w:color="000000"/>
                        </w:tcBorders>
                      </w:tcPr>
                      <w:p>
                        <w:pPr>
                          <w:pStyle w:val="TableParagraph"/>
                          <w:spacing w:before="3"/>
                          <w:jc w:val="left"/>
                          <w:rPr>
                            <w:sz w:val="22"/>
                          </w:rPr>
                        </w:pPr>
                      </w:p>
                      <w:p>
                        <w:pPr>
                          <w:pStyle w:val="TableParagraph"/>
                          <w:spacing w:line="143" w:lineRule="exact" w:before="0"/>
                          <w:ind w:right="1"/>
                          <w:rPr>
                            <w:sz w:val="22"/>
                          </w:rPr>
                        </w:pPr>
                        <w:r>
                          <w:rPr>
                            <w:w w:val="99"/>
                            <w:sz w:val="22"/>
                          </w:rPr>
                          <w:t>8</w:t>
                        </w:r>
                      </w:p>
                    </w:tc>
                  </w:tr>
                  <w:tr>
                    <w:trPr>
                      <w:trHeight w:val="375" w:hRule="atLeast"/>
                    </w:trPr>
                    <w:tc>
                      <w:tcPr>
                        <w:tcW w:w="1987" w:type="dxa"/>
                        <w:tcBorders>
                          <w:bottom w:val="single" w:sz="4" w:space="0" w:color="000000"/>
                        </w:tcBorders>
                      </w:tcPr>
                      <w:p>
                        <w:pPr>
                          <w:pStyle w:val="TableParagraph"/>
                          <w:spacing w:before="0"/>
                          <w:jc w:val="left"/>
                          <w:rPr>
                            <w:rFonts w:ascii="Times New Roman"/>
                            <w:sz w:val="20"/>
                          </w:rPr>
                        </w:pPr>
                      </w:p>
                    </w:tc>
                    <w:tc>
                      <w:tcPr>
                        <w:tcW w:w="1997" w:type="dxa"/>
                        <w:tcBorders>
                          <w:top w:val="single" w:sz="4" w:space="0" w:color="000000"/>
                          <w:bottom w:val="single" w:sz="4" w:space="0" w:color="000000"/>
                        </w:tcBorders>
                      </w:tcPr>
                      <w:p>
                        <w:pPr>
                          <w:pStyle w:val="TableParagraph"/>
                          <w:spacing w:before="42"/>
                          <w:ind w:left="529" w:right="456"/>
                          <w:rPr>
                            <w:sz w:val="22"/>
                          </w:rPr>
                        </w:pPr>
                        <w:r>
                          <w:rPr>
                            <w:sz w:val="22"/>
                          </w:rPr>
                          <w:t>Qualifier</w:t>
                        </w:r>
                      </w:p>
                    </w:tc>
                    <w:tc>
                      <w:tcPr>
                        <w:tcW w:w="1869" w:type="dxa"/>
                        <w:tcBorders>
                          <w:top w:val="single" w:sz="4" w:space="0" w:color="000000"/>
                          <w:bottom w:val="single" w:sz="4" w:space="0" w:color="000000"/>
                        </w:tcBorders>
                      </w:tcPr>
                      <w:p>
                        <w:pPr>
                          <w:pStyle w:val="TableParagraph"/>
                          <w:spacing w:before="42"/>
                          <w:ind w:left="465" w:right="392"/>
                          <w:rPr>
                            <w:sz w:val="22"/>
                          </w:rPr>
                        </w:pPr>
                        <w:r>
                          <w:rPr>
                            <w:sz w:val="22"/>
                          </w:rPr>
                          <w:t>527→81</w:t>
                        </w:r>
                      </w:p>
                    </w:tc>
                    <w:tc>
                      <w:tcPr>
                        <w:tcW w:w="1519" w:type="dxa"/>
                        <w:tcBorders>
                          <w:bottom w:val="single" w:sz="4" w:space="0" w:color="000000"/>
                        </w:tcBorders>
                      </w:tcPr>
                      <w:p>
                        <w:pPr>
                          <w:pStyle w:val="TableParagraph"/>
                          <w:spacing w:before="0"/>
                          <w:jc w:val="left"/>
                          <w:rPr>
                            <w:rFonts w:ascii="Times New Roman"/>
                            <w:sz w:val="20"/>
                          </w:rPr>
                        </w:pPr>
                      </w:p>
                    </w:tc>
                  </w:tr>
                  <w:tr>
                    <w:trPr>
                      <w:trHeight w:val="419" w:hRule="atLeast"/>
                    </w:trPr>
                    <w:tc>
                      <w:tcPr>
                        <w:tcW w:w="1987" w:type="dxa"/>
                        <w:tcBorders>
                          <w:top w:val="single" w:sz="4" w:space="0" w:color="000000"/>
                        </w:tcBorders>
                      </w:tcPr>
                      <w:p>
                        <w:pPr>
                          <w:pStyle w:val="TableParagraph"/>
                          <w:spacing w:before="10"/>
                          <w:jc w:val="left"/>
                          <w:rPr>
                            <w:sz w:val="22"/>
                          </w:rPr>
                        </w:pPr>
                      </w:p>
                      <w:p>
                        <w:pPr>
                          <w:pStyle w:val="TableParagraph"/>
                          <w:spacing w:line="136" w:lineRule="exact" w:before="1"/>
                          <w:ind w:left="169" w:right="163"/>
                          <w:rPr>
                            <w:sz w:val="22"/>
                          </w:rPr>
                        </w:pPr>
                        <w:r>
                          <w:rPr>
                            <w:sz w:val="22"/>
                          </w:rPr>
                          <w:t>N-MeFOSAA</w:t>
                        </w:r>
                      </w:p>
                    </w:tc>
                    <w:tc>
                      <w:tcPr>
                        <w:tcW w:w="1997" w:type="dxa"/>
                        <w:tcBorders>
                          <w:top w:val="single" w:sz="4" w:space="0" w:color="000000"/>
                          <w:bottom w:val="single" w:sz="4" w:space="0" w:color="000000"/>
                        </w:tcBorders>
                      </w:tcPr>
                      <w:p>
                        <w:pPr>
                          <w:pStyle w:val="TableParagraph"/>
                          <w:spacing w:before="64"/>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64"/>
                          <w:ind w:left="465" w:right="393"/>
                          <w:rPr>
                            <w:sz w:val="22"/>
                          </w:rPr>
                        </w:pPr>
                        <w:r>
                          <w:rPr>
                            <w:sz w:val="22"/>
                          </w:rPr>
                          <w:t>570→419</w:t>
                        </w:r>
                      </w:p>
                    </w:tc>
                    <w:tc>
                      <w:tcPr>
                        <w:tcW w:w="1519" w:type="dxa"/>
                        <w:tcBorders>
                          <w:top w:val="single" w:sz="4" w:space="0" w:color="000000"/>
                        </w:tcBorders>
                      </w:tcPr>
                      <w:p>
                        <w:pPr>
                          <w:pStyle w:val="TableParagraph"/>
                          <w:spacing w:before="10"/>
                          <w:jc w:val="left"/>
                          <w:rPr>
                            <w:sz w:val="22"/>
                          </w:rPr>
                        </w:pPr>
                      </w:p>
                      <w:p>
                        <w:pPr>
                          <w:pStyle w:val="TableParagraph"/>
                          <w:spacing w:line="136" w:lineRule="exact" w:before="1"/>
                          <w:ind w:left="579" w:right="579"/>
                          <w:rPr>
                            <w:sz w:val="22"/>
                          </w:rPr>
                        </w:pPr>
                        <w:r>
                          <w:rPr>
                            <w:sz w:val="22"/>
                          </w:rPr>
                          <w:t>8.4</w:t>
                        </w:r>
                      </w:p>
                    </w:tc>
                  </w:tr>
                  <w:tr>
                    <w:trPr>
                      <w:trHeight w:val="390" w:hRule="atLeast"/>
                    </w:trPr>
                    <w:tc>
                      <w:tcPr>
                        <w:tcW w:w="1987" w:type="dxa"/>
                        <w:tcBorders>
                          <w:bottom w:val="single" w:sz="4" w:space="0" w:color="000000"/>
                        </w:tcBorders>
                      </w:tcPr>
                      <w:p>
                        <w:pPr>
                          <w:pStyle w:val="TableParagraph"/>
                          <w:spacing w:before="0"/>
                          <w:jc w:val="left"/>
                          <w:rPr>
                            <w:rFonts w:ascii="Times New Roman"/>
                            <w:sz w:val="20"/>
                          </w:rPr>
                        </w:pPr>
                      </w:p>
                    </w:tc>
                    <w:tc>
                      <w:tcPr>
                        <w:tcW w:w="1997" w:type="dxa"/>
                        <w:tcBorders>
                          <w:top w:val="single" w:sz="4" w:space="0" w:color="000000"/>
                          <w:bottom w:val="single" w:sz="4" w:space="0" w:color="000000"/>
                        </w:tcBorders>
                      </w:tcPr>
                      <w:p>
                        <w:pPr>
                          <w:pStyle w:val="TableParagraph"/>
                          <w:spacing w:before="50"/>
                          <w:ind w:left="529" w:right="456"/>
                          <w:rPr>
                            <w:sz w:val="22"/>
                          </w:rPr>
                        </w:pPr>
                        <w:r>
                          <w:rPr>
                            <w:sz w:val="22"/>
                          </w:rPr>
                          <w:t>Qualifier</w:t>
                        </w:r>
                      </w:p>
                    </w:tc>
                    <w:tc>
                      <w:tcPr>
                        <w:tcW w:w="1869" w:type="dxa"/>
                        <w:tcBorders>
                          <w:top w:val="single" w:sz="4" w:space="0" w:color="000000"/>
                          <w:bottom w:val="single" w:sz="4" w:space="0" w:color="000000"/>
                        </w:tcBorders>
                      </w:tcPr>
                      <w:p>
                        <w:pPr>
                          <w:pStyle w:val="TableParagraph"/>
                          <w:spacing w:before="50"/>
                          <w:ind w:left="465" w:right="393"/>
                          <w:rPr>
                            <w:sz w:val="22"/>
                          </w:rPr>
                        </w:pPr>
                        <w:r>
                          <w:rPr>
                            <w:sz w:val="22"/>
                          </w:rPr>
                          <w:t>570→483</w:t>
                        </w:r>
                      </w:p>
                    </w:tc>
                    <w:tc>
                      <w:tcPr>
                        <w:tcW w:w="1519" w:type="dxa"/>
                        <w:tcBorders>
                          <w:bottom w:val="single" w:sz="4" w:space="0" w:color="000000"/>
                        </w:tcBorders>
                      </w:tcPr>
                      <w:p>
                        <w:pPr>
                          <w:pStyle w:val="TableParagraph"/>
                          <w:spacing w:before="0"/>
                          <w:jc w:val="left"/>
                          <w:rPr>
                            <w:rFonts w:ascii="Times New Roman"/>
                            <w:sz w:val="20"/>
                          </w:rPr>
                        </w:pPr>
                      </w:p>
                    </w:tc>
                  </w:tr>
                  <w:tr>
                    <w:trPr>
                      <w:trHeight w:val="435" w:hRule="atLeast"/>
                    </w:trPr>
                    <w:tc>
                      <w:tcPr>
                        <w:tcW w:w="1987" w:type="dxa"/>
                        <w:tcBorders>
                          <w:top w:val="single" w:sz="4" w:space="0" w:color="000000"/>
                        </w:tcBorders>
                      </w:tcPr>
                      <w:p>
                        <w:pPr>
                          <w:pStyle w:val="TableParagraph"/>
                          <w:spacing w:before="3"/>
                          <w:jc w:val="left"/>
                          <w:rPr>
                            <w:sz w:val="24"/>
                          </w:rPr>
                        </w:pPr>
                      </w:p>
                      <w:p>
                        <w:pPr>
                          <w:pStyle w:val="TableParagraph"/>
                          <w:spacing w:line="136" w:lineRule="exact" w:before="0"/>
                          <w:ind w:left="169" w:right="163"/>
                          <w:rPr>
                            <w:sz w:val="22"/>
                          </w:rPr>
                        </w:pPr>
                        <w:r>
                          <w:rPr>
                            <w:sz w:val="22"/>
                          </w:rPr>
                          <w:t>N-EtFOSAA</w:t>
                        </w:r>
                      </w:p>
                    </w:tc>
                    <w:tc>
                      <w:tcPr>
                        <w:tcW w:w="1997" w:type="dxa"/>
                        <w:tcBorders>
                          <w:top w:val="single" w:sz="4" w:space="0" w:color="000000"/>
                          <w:bottom w:val="single" w:sz="4" w:space="0" w:color="000000"/>
                        </w:tcBorders>
                      </w:tcPr>
                      <w:p>
                        <w:pPr>
                          <w:pStyle w:val="TableParagraph"/>
                          <w:spacing w:before="72"/>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72"/>
                          <w:ind w:left="465" w:right="392"/>
                          <w:rPr>
                            <w:sz w:val="22"/>
                          </w:rPr>
                        </w:pPr>
                        <w:r>
                          <w:rPr>
                            <w:sz w:val="22"/>
                          </w:rPr>
                          <w:t>584→419</w:t>
                        </w:r>
                      </w:p>
                    </w:tc>
                    <w:tc>
                      <w:tcPr>
                        <w:tcW w:w="1519" w:type="dxa"/>
                        <w:tcBorders>
                          <w:top w:val="single" w:sz="4" w:space="0" w:color="000000"/>
                        </w:tcBorders>
                      </w:tcPr>
                      <w:p>
                        <w:pPr>
                          <w:pStyle w:val="TableParagraph"/>
                          <w:spacing w:before="3"/>
                          <w:jc w:val="left"/>
                          <w:rPr>
                            <w:sz w:val="24"/>
                          </w:rPr>
                        </w:pPr>
                      </w:p>
                      <w:p>
                        <w:pPr>
                          <w:pStyle w:val="TableParagraph"/>
                          <w:spacing w:line="136" w:lineRule="exact" w:before="0"/>
                          <w:ind w:left="579" w:right="579"/>
                          <w:rPr>
                            <w:sz w:val="22"/>
                          </w:rPr>
                        </w:pPr>
                        <w:r>
                          <w:rPr>
                            <w:sz w:val="22"/>
                          </w:rPr>
                          <w:t>8.7</w:t>
                        </w:r>
                      </w:p>
                    </w:tc>
                  </w:tr>
                  <w:tr>
                    <w:trPr>
                      <w:trHeight w:val="10" w:hRule="atLeast"/>
                    </w:trPr>
                    <w:tc>
                      <w:tcPr>
                        <w:tcW w:w="1987" w:type="dxa"/>
                      </w:tcPr>
                      <w:p>
                        <w:pPr>
                          <w:pStyle w:val="TableParagraph"/>
                          <w:spacing w:before="0"/>
                          <w:jc w:val="left"/>
                          <w:rPr>
                            <w:rFonts w:ascii="Times New Roman"/>
                            <w:sz w:val="2"/>
                          </w:rPr>
                        </w:pPr>
                      </w:p>
                    </w:tc>
                    <w:tc>
                      <w:tcPr>
                        <w:tcW w:w="5385" w:type="dxa"/>
                        <w:gridSpan w:val="3"/>
                      </w:tcPr>
                      <w:p>
                        <w:pPr>
                          <w:pStyle w:val="TableParagraph"/>
                          <w:spacing w:before="0"/>
                          <w:jc w:val="left"/>
                          <w:rPr>
                            <w:rFonts w:ascii="Times New Roman"/>
                            <w:sz w:val="2"/>
                          </w:rPr>
                        </w:pPr>
                      </w:p>
                    </w:tc>
                  </w:tr>
                  <w:tr>
                    <w:trPr>
                      <w:trHeight w:val="381" w:hRule="atLeast"/>
                    </w:trPr>
                    <w:tc>
                      <w:tcPr>
                        <w:tcW w:w="1987" w:type="dxa"/>
                        <w:tcBorders>
                          <w:bottom w:val="single" w:sz="4" w:space="0" w:color="000000"/>
                        </w:tcBorders>
                      </w:tcPr>
                      <w:p>
                        <w:pPr>
                          <w:pStyle w:val="TableParagraph"/>
                          <w:spacing w:before="0"/>
                          <w:jc w:val="left"/>
                          <w:rPr>
                            <w:rFonts w:ascii="Times New Roman"/>
                            <w:sz w:val="20"/>
                          </w:rPr>
                        </w:pPr>
                      </w:p>
                    </w:tc>
                    <w:tc>
                      <w:tcPr>
                        <w:tcW w:w="1997" w:type="dxa"/>
                        <w:tcBorders>
                          <w:bottom w:val="single" w:sz="4" w:space="0" w:color="000000"/>
                        </w:tcBorders>
                      </w:tcPr>
                      <w:p>
                        <w:pPr>
                          <w:pStyle w:val="TableParagraph"/>
                          <w:spacing w:before="33"/>
                          <w:ind w:left="529" w:right="456"/>
                          <w:rPr>
                            <w:sz w:val="22"/>
                          </w:rPr>
                        </w:pPr>
                        <w:r>
                          <w:rPr>
                            <w:sz w:val="22"/>
                          </w:rPr>
                          <w:t>Qualifier</w:t>
                        </w:r>
                      </w:p>
                    </w:tc>
                    <w:tc>
                      <w:tcPr>
                        <w:tcW w:w="1869" w:type="dxa"/>
                        <w:tcBorders>
                          <w:bottom w:val="single" w:sz="4" w:space="0" w:color="000000"/>
                        </w:tcBorders>
                      </w:tcPr>
                      <w:p>
                        <w:pPr>
                          <w:pStyle w:val="TableParagraph"/>
                          <w:spacing w:before="33"/>
                          <w:ind w:left="465" w:right="392"/>
                          <w:rPr>
                            <w:sz w:val="22"/>
                          </w:rPr>
                        </w:pPr>
                        <w:r>
                          <w:rPr>
                            <w:sz w:val="22"/>
                          </w:rPr>
                          <w:t>584→483</w:t>
                        </w:r>
                      </w:p>
                    </w:tc>
                    <w:tc>
                      <w:tcPr>
                        <w:tcW w:w="1519" w:type="dxa"/>
                        <w:tcBorders>
                          <w:bottom w:val="single" w:sz="4" w:space="0" w:color="000000"/>
                        </w:tcBorders>
                      </w:tcPr>
                      <w:p>
                        <w:pPr>
                          <w:pStyle w:val="TableParagraph"/>
                          <w:spacing w:before="0"/>
                          <w:jc w:val="left"/>
                          <w:rPr>
                            <w:rFonts w:ascii="Times New Roman"/>
                            <w:sz w:val="20"/>
                          </w:rPr>
                        </w:pPr>
                      </w:p>
                    </w:tc>
                  </w:tr>
                  <w:tr>
                    <w:trPr>
                      <w:trHeight w:val="371" w:hRule="atLeast"/>
                    </w:trPr>
                    <w:tc>
                      <w:tcPr>
                        <w:tcW w:w="1987" w:type="dxa"/>
                        <w:tcBorders>
                          <w:top w:val="single" w:sz="4" w:space="0" w:color="000000"/>
                          <w:bottom w:val="single" w:sz="4" w:space="0" w:color="000000"/>
                        </w:tcBorders>
                      </w:tcPr>
                      <w:p>
                        <w:pPr>
                          <w:pStyle w:val="TableParagraph"/>
                          <w:spacing w:before="40"/>
                          <w:ind w:left="169" w:right="164"/>
                          <w:rPr>
                            <w:sz w:val="22"/>
                          </w:rPr>
                        </w:pPr>
                        <w:r>
                          <w:rPr>
                            <w:sz w:val="22"/>
                          </w:rPr>
                          <w:t>FOSA</w:t>
                        </w:r>
                      </w:p>
                    </w:tc>
                    <w:tc>
                      <w:tcPr>
                        <w:tcW w:w="1997" w:type="dxa"/>
                        <w:tcBorders>
                          <w:top w:val="single" w:sz="4" w:space="0" w:color="000000"/>
                          <w:bottom w:val="single" w:sz="4" w:space="0" w:color="000000"/>
                        </w:tcBorders>
                      </w:tcPr>
                      <w:p>
                        <w:pPr>
                          <w:pStyle w:val="TableParagraph"/>
                          <w:spacing w:before="40"/>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40"/>
                          <w:ind w:left="465" w:right="392"/>
                          <w:rPr>
                            <w:sz w:val="22"/>
                          </w:rPr>
                        </w:pPr>
                        <w:r>
                          <w:rPr>
                            <w:sz w:val="22"/>
                          </w:rPr>
                          <w:t>498→78</w:t>
                        </w:r>
                      </w:p>
                    </w:tc>
                    <w:tc>
                      <w:tcPr>
                        <w:tcW w:w="1519" w:type="dxa"/>
                        <w:tcBorders>
                          <w:top w:val="single" w:sz="4" w:space="0" w:color="000000"/>
                          <w:bottom w:val="single" w:sz="4" w:space="0" w:color="000000"/>
                        </w:tcBorders>
                      </w:tcPr>
                      <w:p>
                        <w:pPr>
                          <w:pStyle w:val="TableParagraph"/>
                          <w:spacing w:before="40"/>
                          <w:ind w:left="579" w:right="579"/>
                          <w:rPr>
                            <w:sz w:val="22"/>
                          </w:rPr>
                        </w:pPr>
                        <w:r>
                          <w:rPr>
                            <w:sz w:val="22"/>
                          </w:rPr>
                          <w:t>9.8</w:t>
                        </w:r>
                      </w:p>
                    </w:tc>
                  </w:tr>
                  <w:tr>
                    <w:trPr>
                      <w:trHeight w:val="370" w:hRule="atLeast"/>
                    </w:trPr>
                    <w:tc>
                      <w:tcPr>
                        <w:tcW w:w="1987" w:type="dxa"/>
                        <w:tcBorders>
                          <w:top w:val="single" w:sz="4" w:space="0" w:color="000000"/>
                          <w:bottom w:val="single" w:sz="4" w:space="0" w:color="000000"/>
                        </w:tcBorders>
                      </w:tcPr>
                      <w:p>
                        <w:pPr>
                          <w:pStyle w:val="TableParagraph"/>
                          <w:spacing w:before="39"/>
                          <w:ind w:left="169" w:right="164"/>
                          <w:rPr>
                            <w:sz w:val="22"/>
                          </w:rPr>
                        </w:pPr>
                        <w:r>
                          <w:rPr>
                            <w:sz w:val="22"/>
                          </w:rPr>
                          <w:t>M4PFBA</w:t>
                        </w:r>
                      </w:p>
                    </w:tc>
                    <w:tc>
                      <w:tcPr>
                        <w:tcW w:w="1997" w:type="dxa"/>
                        <w:tcBorders>
                          <w:top w:val="single" w:sz="4" w:space="0" w:color="000000"/>
                          <w:bottom w:val="single" w:sz="4" w:space="0" w:color="000000"/>
                        </w:tcBorders>
                      </w:tcPr>
                      <w:p>
                        <w:pPr>
                          <w:pStyle w:val="TableParagraph"/>
                          <w:spacing w:before="39"/>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39"/>
                          <w:ind w:left="465" w:right="393"/>
                          <w:rPr>
                            <w:sz w:val="22"/>
                          </w:rPr>
                        </w:pPr>
                        <w:r>
                          <w:rPr>
                            <w:sz w:val="22"/>
                          </w:rPr>
                          <w:t>217→172</w:t>
                        </w:r>
                      </w:p>
                    </w:tc>
                    <w:tc>
                      <w:tcPr>
                        <w:tcW w:w="1519" w:type="dxa"/>
                        <w:tcBorders>
                          <w:top w:val="single" w:sz="4" w:space="0" w:color="000000"/>
                          <w:bottom w:val="single" w:sz="4" w:space="0" w:color="000000"/>
                        </w:tcBorders>
                      </w:tcPr>
                      <w:p>
                        <w:pPr>
                          <w:pStyle w:val="TableParagraph"/>
                          <w:spacing w:before="39"/>
                          <w:ind w:left="579" w:right="579"/>
                          <w:rPr>
                            <w:sz w:val="22"/>
                          </w:rPr>
                        </w:pPr>
                        <w:r>
                          <w:rPr>
                            <w:sz w:val="22"/>
                          </w:rPr>
                          <w:t>3.7</w:t>
                        </w:r>
                      </w:p>
                    </w:tc>
                  </w:tr>
                  <w:tr>
                    <w:trPr>
                      <w:trHeight w:val="371" w:hRule="atLeast"/>
                    </w:trPr>
                    <w:tc>
                      <w:tcPr>
                        <w:tcW w:w="1987" w:type="dxa"/>
                        <w:tcBorders>
                          <w:top w:val="single" w:sz="4" w:space="0" w:color="000000"/>
                          <w:bottom w:val="single" w:sz="4" w:space="0" w:color="000000"/>
                        </w:tcBorders>
                      </w:tcPr>
                      <w:p>
                        <w:pPr>
                          <w:pStyle w:val="TableParagraph"/>
                          <w:spacing w:before="40"/>
                          <w:ind w:left="169" w:right="164"/>
                          <w:rPr>
                            <w:sz w:val="22"/>
                          </w:rPr>
                        </w:pPr>
                        <w:r>
                          <w:rPr>
                            <w:sz w:val="22"/>
                          </w:rPr>
                          <w:t>M5PFHxA</w:t>
                        </w:r>
                      </w:p>
                    </w:tc>
                    <w:tc>
                      <w:tcPr>
                        <w:tcW w:w="1997" w:type="dxa"/>
                        <w:tcBorders>
                          <w:top w:val="single" w:sz="4" w:space="0" w:color="000000"/>
                          <w:bottom w:val="single" w:sz="4" w:space="0" w:color="000000"/>
                        </w:tcBorders>
                      </w:tcPr>
                      <w:p>
                        <w:pPr>
                          <w:pStyle w:val="TableParagraph"/>
                          <w:spacing w:before="40"/>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40"/>
                          <w:ind w:left="465" w:right="392"/>
                          <w:rPr>
                            <w:sz w:val="22"/>
                          </w:rPr>
                        </w:pPr>
                        <w:r>
                          <w:rPr>
                            <w:sz w:val="22"/>
                          </w:rPr>
                          <w:t>318→273</w:t>
                        </w:r>
                      </w:p>
                    </w:tc>
                    <w:tc>
                      <w:tcPr>
                        <w:tcW w:w="1519" w:type="dxa"/>
                        <w:tcBorders>
                          <w:top w:val="single" w:sz="4" w:space="0" w:color="000000"/>
                          <w:bottom w:val="single" w:sz="4" w:space="0" w:color="000000"/>
                        </w:tcBorders>
                      </w:tcPr>
                      <w:p>
                        <w:pPr>
                          <w:pStyle w:val="TableParagraph"/>
                          <w:spacing w:before="40"/>
                          <w:ind w:left="579" w:right="579"/>
                          <w:rPr>
                            <w:sz w:val="22"/>
                          </w:rPr>
                        </w:pPr>
                        <w:r>
                          <w:rPr>
                            <w:sz w:val="22"/>
                          </w:rPr>
                          <w:t>5.5</w:t>
                        </w:r>
                      </w:p>
                    </w:tc>
                  </w:tr>
                  <w:tr>
                    <w:trPr>
                      <w:trHeight w:val="370" w:hRule="atLeast"/>
                    </w:trPr>
                    <w:tc>
                      <w:tcPr>
                        <w:tcW w:w="1987" w:type="dxa"/>
                        <w:tcBorders>
                          <w:top w:val="single" w:sz="4" w:space="0" w:color="000000"/>
                          <w:bottom w:val="single" w:sz="4" w:space="0" w:color="000000"/>
                        </w:tcBorders>
                      </w:tcPr>
                      <w:p>
                        <w:pPr>
                          <w:pStyle w:val="TableParagraph"/>
                          <w:spacing w:before="39"/>
                          <w:ind w:left="169" w:right="164"/>
                          <w:rPr>
                            <w:sz w:val="22"/>
                          </w:rPr>
                        </w:pPr>
                        <w:r>
                          <w:rPr>
                            <w:sz w:val="22"/>
                          </w:rPr>
                          <w:t>M3PFHxS</w:t>
                        </w:r>
                      </w:p>
                    </w:tc>
                    <w:tc>
                      <w:tcPr>
                        <w:tcW w:w="1997" w:type="dxa"/>
                        <w:tcBorders>
                          <w:top w:val="single" w:sz="4" w:space="0" w:color="000000"/>
                          <w:bottom w:val="single" w:sz="4" w:space="0" w:color="000000"/>
                        </w:tcBorders>
                      </w:tcPr>
                      <w:p>
                        <w:pPr>
                          <w:pStyle w:val="TableParagraph"/>
                          <w:spacing w:before="39"/>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39"/>
                          <w:ind w:left="465" w:right="392"/>
                          <w:rPr>
                            <w:sz w:val="22"/>
                          </w:rPr>
                        </w:pPr>
                        <w:r>
                          <w:rPr>
                            <w:sz w:val="22"/>
                          </w:rPr>
                          <w:t>402→80</w:t>
                        </w:r>
                      </w:p>
                    </w:tc>
                    <w:tc>
                      <w:tcPr>
                        <w:tcW w:w="1519" w:type="dxa"/>
                        <w:tcBorders>
                          <w:top w:val="single" w:sz="4" w:space="0" w:color="000000"/>
                          <w:bottom w:val="single" w:sz="4" w:space="0" w:color="000000"/>
                        </w:tcBorders>
                      </w:tcPr>
                      <w:p>
                        <w:pPr>
                          <w:pStyle w:val="TableParagraph"/>
                          <w:spacing w:before="39"/>
                          <w:ind w:left="579" w:right="579"/>
                          <w:rPr>
                            <w:sz w:val="22"/>
                          </w:rPr>
                        </w:pPr>
                        <w:r>
                          <w:rPr>
                            <w:sz w:val="22"/>
                          </w:rPr>
                          <w:t>7.4</w:t>
                        </w:r>
                      </w:p>
                    </w:tc>
                  </w:tr>
                  <w:tr>
                    <w:trPr>
                      <w:trHeight w:val="371" w:hRule="atLeast"/>
                    </w:trPr>
                    <w:tc>
                      <w:tcPr>
                        <w:tcW w:w="1987" w:type="dxa"/>
                        <w:tcBorders>
                          <w:top w:val="single" w:sz="4" w:space="0" w:color="000000"/>
                          <w:bottom w:val="single" w:sz="4" w:space="0" w:color="000000"/>
                        </w:tcBorders>
                      </w:tcPr>
                      <w:p>
                        <w:pPr>
                          <w:pStyle w:val="TableParagraph"/>
                          <w:spacing w:before="39"/>
                          <w:ind w:left="169" w:right="164"/>
                          <w:rPr>
                            <w:sz w:val="22"/>
                          </w:rPr>
                        </w:pPr>
                        <w:r>
                          <w:rPr>
                            <w:sz w:val="22"/>
                          </w:rPr>
                          <w:t>M8PFOA</w:t>
                        </w:r>
                      </w:p>
                    </w:tc>
                    <w:tc>
                      <w:tcPr>
                        <w:tcW w:w="1997" w:type="dxa"/>
                        <w:tcBorders>
                          <w:top w:val="single" w:sz="4" w:space="0" w:color="000000"/>
                          <w:bottom w:val="single" w:sz="4" w:space="0" w:color="000000"/>
                        </w:tcBorders>
                      </w:tcPr>
                      <w:p>
                        <w:pPr>
                          <w:pStyle w:val="TableParagraph"/>
                          <w:spacing w:before="39"/>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39"/>
                          <w:ind w:left="465" w:right="392"/>
                          <w:rPr>
                            <w:sz w:val="22"/>
                          </w:rPr>
                        </w:pPr>
                        <w:r>
                          <w:rPr>
                            <w:sz w:val="22"/>
                          </w:rPr>
                          <w:t>421→376</w:t>
                        </w:r>
                      </w:p>
                    </w:tc>
                    <w:tc>
                      <w:tcPr>
                        <w:tcW w:w="1519" w:type="dxa"/>
                        <w:tcBorders>
                          <w:top w:val="single" w:sz="4" w:space="0" w:color="000000"/>
                          <w:bottom w:val="single" w:sz="4" w:space="0" w:color="000000"/>
                        </w:tcBorders>
                      </w:tcPr>
                      <w:p>
                        <w:pPr>
                          <w:pStyle w:val="TableParagraph"/>
                          <w:spacing w:before="39"/>
                          <w:ind w:left="579" w:right="579"/>
                          <w:rPr>
                            <w:sz w:val="22"/>
                          </w:rPr>
                        </w:pPr>
                        <w:r>
                          <w:rPr>
                            <w:sz w:val="22"/>
                          </w:rPr>
                          <w:t>7.1</w:t>
                        </w:r>
                      </w:p>
                    </w:tc>
                  </w:tr>
                  <w:tr>
                    <w:trPr>
                      <w:trHeight w:val="370" w:hRule="atLeast"/>
                    </w:trPr>
                    <w:tc>
                      <w:tcPr>
                        <w:tcW w:w="1987" w:type="dxa"/>
                        <w:tcBorders>
                          <w:top w:val="single" w:sz="4" w:space="0" w:color="000000"/>
                          <w:bottom w:val="single" w:sz="4" w:space="0" w:color="000000"/>
                        </w:tcBorders>
                      </w:tcPr>
                      <w:p>
                        <w:pPr>
                          <w:pStyle w:val="TableParagraph"/>
                          <w:spacing w:before="39"/>
                          <w:ind w:left="169" w:right="163"/>
                          <w:rPr>
                            <w:sz w:val="22"/>
                          </w:rPr>
                        </w:pPr>
                        <w:r>
                          <w:rPr>
                            <w:sz w:val="22"/>
                          </w:rPr>
                          <w:t>M9PFNA</w:t>
                        </w:r>
                      </w:p>
                    </w:tc>
                    <w:tc>
                      <w:tcPr>
                        <w:tcW w:w="1997" w:type="dxa"/>
                        <w:tcBorders>
                          <w:top w:val="single" w:sz="4" w:space="0" w:color="000000"/>
                          <w:bottom w:val="single" w:sz="4" w:space="0" w:color="000000"/>
                        </w:tcBorders>
                      </w:tcPr>
                      <w:p>
                        <w:pPr>
                          <w:pStyle w:val="TableParagraph"/>
                          <w:spacing w:before="39"/>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39"/>
                          <w:ind w:left="465" w:right="392"/>
                          <w:rPr>
                            <w:sz w:val="22"/>
                          </w:rPr>
                        </w:pPr>
                        <w:r>
                          <w:rPr>
                            <w:sz w:val="22"/>
                          </w:rPr>
                          <w:t>472→427</w:t>
                        </w:r>
                      </w:p>
                    </w:tc>
                    <w:tc>
                      <w:tcPr>
                        <w:tcW w:w="1519" w:type="dxa"/>
                        <w:tcBorders>
                          <w:top w:val="single" w:sz="4" w:space="0" w:color="000000"/>
                          <w:bottom w:val="single" w:sz="4" w:space="0" w:color="000000"/>
                        </w:tcBorders>
                      </w:tcPr>
                      <w:p>
                        <w:pPr>
                          <w:pStyle w:val="TableParagraph"/>
                          <w:spacing w:before="39"/>
                          <w:ind w:left="579" w:right="579"/>
                          <w:rPr>
                            <w:sz w:val="22"/>
                          </w:rPr>
                        </w:pPr>
                        <w:r>
                          <w:rPr>
                            <w:sz w:val="22"/>
                          </w:rPr>
                          <w:t>7.8</w:t>
                        </w:r>
                      </w:p>
                    </w:tc>
                  </w:tr>
                  <w:tr>
                    <w:trPr>
                      <w:trHeight w:val="370" w:hRule="atLeast"/>
                    </w:trPr>
                    <w:tc>
                      <w:tcPr>
                        <w:tcW w:w="1987" w:type="dxa"/>
                        <w:tcBorders>
                          <w:top w:val="single" w:sz="4" w:space="0" w:color="000000"/>
                          <w:bottom w:val="single" w:sz="4" w:space="0" w:color="000000"/>
                        </w:tcBorders>
                      </w:tcPr>
                      <w:p>
                        <w:pPr>
                          <w:pStyle w:val="TableParagraph"/>
                          <w:spacing w:before="39"/>
                          <w:ind w:left="169" w:right="164"/>
                          <w:rPr>
                            <w:sz w:val="22"/>
                          </w:rPr>
                        </w:pPr>
                        <w:r>
                          <w:rPr>
                            <w:sz w:val="22"/>
                          </w:rPr>
                          <w:t>M8PFOS</w:t>
                        </w:r>
                      </w:p>
                    </w:tc>
                    <w:tc>
                      <w:tcPr>
                        <w:tcW w:w="1997" w:type="dxa"/>
                        <w:tcBorders>
                          <w:top w:val="single" w:sz="4" w:space="0" w:color="000000"/>
                          <w:bottom w:val="single" w:sz="4" w:space="0" w:color="000000"/>
                        </w:tcBorders>
                      </w:tcPr>
                      <w:p>
                        <w:pPr>
                          <w:pStyle w:val="TableParagraph"/>
                          <w:spacing w:before="39"/>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39"/>
                          <w:ind w:left="465" w:right="392"/>
                          <w:rPr>
                            <w:sz w:val="22"/>
                          </w:rPr>
                        </w:pPr>
                        <w:r>
                          <w:rPr>
                            <w:sz w:val="22"/>
                          </w:rPr>
                          <w:t>507→80</w:t>
                        </w:r>
                      </w:p>
                    </w:tc>
                    <w:tc>
                      <w:tcPr>
                        <w:tcW w:w="1519" w:type="dxa"/>
                        <w:tcBorders>
                          <w:top w:val="single" w:sz="4" w:space="0" w:color="000000"/>
                          <w:bottom w:val="single" w:sz="4" w:space="0" w:color="000000"/>
                        </w:tcBorders>
                      </w:tcPr>
                      <w:p>
                        <w:pPr>
                          <w:pStyle w:val="TableParagraph"/>
                          <w:spacing w:before="39"/>
                          <w:ind w:left="579" w:right="579"/>
                          <w:rPr>
                            <w:sz w:val="22"/>
                          </w:rPr>
                        </w:pPr>
                        <w:r>
                          <w:rPr>
                            <w:sz w:val="22"/>
                          </w:rPr>
                          <w:t>8.8</w:t>
                        </w:r>
                      </w:p>
                    </w:tc>
                  </w:tr>
                  <w:tr>
                    <w:trPr>
                      <w:trHeight w:val="371" w:hRule="atLeast"/>
                    </w:trPr>
                    <w:tc>
                      <w:tcPr>
                        <w:tcW w:w="1987" w:type="dxa"/>
                        <w:tcBorders>
                          <w:top w:val="single" w:sz="4" w:space="0" w:color="000000"/>
                          <w:bottom w:val="single" w:sz="4" w:space="0" w:color="000000"/>
                        </w:tcBorders>
                      </w:tcPr>
                      <w:p>
                        <w:pPr>
                          <w:pStyle w:val="TableParagraph"/>
                          <w:spacing w:before="40"/>
                          <w:ind w:left="169" w:right="163"/>
                          <w:rPr>
                            <w:sz w:val="22"/>
                          </w:rPr>
                        </w:pPr>
                        <w:r>
                          <w:rPr>
                            <w:sz w:val="22"/>
                          </w:rPr>
                          <w:t>M6PFDA</w:t>
                        </w:r>
                      </w:p>
                    </w:tc>
                    <w:tc>
                      <w:tcPr>
                        <w:tcW w:w="1997" w:type="dxa"/>
                        <w:tcBorders>
                          <w:top w:val="single" w:sz="4" w:space="0" w:color="000000"/>
                          <w:bottom w:val="single" w:sz="4" w:space="0" w:color="000000"/>
                        </w:tcBorders>
                      </w:tcPr>
                      <w:p>
                        <w:pPr>
                          <w:pStyle w:val="TableParagraph"/>
                          <w:spacing w:before="40"/>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40"/>
                          <w:ind w:left="465" w:right="392"/>
                          <w:rPr>
                            <w:sz w:val="22"/>
                          </w:rPr>
                        </w:pPr>
                        <w:r>
                          <w:rPr>
                            <w:sz w:val="22"/>
                          </w:rPr>
                          <w:t>519→474</w:t>
                        </w:r>
                      </w:p>
                    </w:tc>
                    <w:tc>
                      <w:tcPr>
                        <w:tcW w:w="1519" w:type="dxa"/>
                        <w:tcBorders>
                          <w:top w:val="single" w:sz="4" w:space="0" w:color="000000"/>
                          <w:bottom w:val="single" w:sz="4" w:space="0" w:color="000000"/>
                        </w:tcBorders>
                      </w:tcPr>
                      <w:p>
                        <w:pPr>
                          <w:pStyle w:val="TableParagraph"/>
                          <w:spacing w:before="40"/>
                          <w:ind w:left="579" w:right="579"/>
                          <w:rPr>
                            <w:sz w:val="22"/>
                          </w:rPr>
                        </w:pPr>
                        <w:r>
                          <w:rPr>
                            <w:sz w:val="22"/>
                          </w:rPr>
                          <w:t>8.4</w:t>
                        </w:r>
                      </w:p>
                    </w:tc>
                  </w:tr>
                  <w:tr>
                    <w:trPr>
                      <w:trHeight w:val="389" w:hRule="atLeast"/>
                    </w:trPr>
                    <w:tc>
                      <w:tcPr>
                        <w:tcW w:w="1987" w:type="dxa"/>
                        <w:tcBorders>
                          <w:top w:val="single" w:sz="4" w:space="0" w:color="000000"/>
                          <w:bottom w:val="single" w:sz="4" w:space="0" w:color="000000"/>
                        </w:tcBorders>
                      </w:tcPr>
                      <w:p>
                        <w:pPr>
                          <w:pStyle w:val="TableParagraph"/>
                          <w:spacing w:before="49"/>
                          <w:ind w:left="169" w:right="163"/>
                          <w:rPr>
                            <w:sz w:val="22"/>
                          </w:rPr>
                        </w:pPr>
                        <w:r>
                          <w:rPr>
                            <w:sz w:val="22"/>
                          </w:rPr>
                          <w:t>M7PFUdA</w:t>
                        </w:r>
                      </w:p>
                    </w:tc>
                    <w:tc>
                      <w:tcPr>
                        <w:tcW w:w="1997" w:type="dxa"/>
                        <w:tcBorders>
                          <w:top w:val="single" w:sz="4" w:space="0" w:color="000000"/>
                          <w:bottom w:val="single" w:sz="4" w:space="0" w:color="000000"/>
                        </w:tcBorders>
                      </w:tcPr>
                      <w:p>
                        <w:pPr>
                          <w:pStyle w:val="TableParagraph"/>
                          <w:spacing w:before="49"/>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49"/>
                          <w:ind w:left="465" w:right="392"/>
                          <w:rPr>
                            <w:sz w:val="22"/>
                          </w:rPr>
                        </w:pPr>
                        <w:r>
                          <w:rPr>
                            <w:sz w:val="22"/>
                          </w:rPr>
                          <w:t>570→525</w:t>
                        </w:r>
                      </w:p>
                    </w:tc>
                    <w:tc>
                      <w:tcPr>
                        <w:tcW w:w="1519" w:type="dxa"/>
                        <w:tcBorders>
                          <w:top w:val="single" w:sz="4" w:space="0" w:color="000000"/>
                          <w:bottom w:val="single" w:sz="4" w:space="0" w:color="000000"/>
                        </w:tcBorders>
                      </w:tcPr>
                      <w:p>
                        <w:pPr>
                          <w:pStyle w:val="TableParagraph"/>
                          <w:spacing w:before="49"/>
                          <w:ind w:left="579" w:right="579"/>
                          <w:rPr>
                            <w:sz w:val="22"/>
                          </w:rPr>
                        </w:pPr>
                        <w:r>
                          <w:rPr>
                            <w:sz w:val="22"/>
                          </w:rPr>
                          <w:t>9.0</w:t>
                        </w:r>
                      </w:p>
                    </w:tc>
                  </w:tr>
                  <w:tr>
                    <w:trPr>
                      <w:trHeight w:val="390" w:hRule="atLeast"/>
                    </w:trPr>
                    <w:tc>
                      <w:tcPr>
                        <w:tcW w:w="1987" w:type="dxa"/>
                        <w:tcBorders>
                          <w:top w:val="single" w:sz="4" w:space="0" w:color="000000"/>
                          <w:bottom w:val="single" w:sz="4" w:space="0" w:color="000000"/>
                        </w:tcBorders>
                      </w:tcPr>
                      <w:p>
                        <w:pPr>
                          <w:pStyle w:val="TableParagraph"/>
                          <w:spacing w:before="50"/>
                          <w:ind w:left="169" w:right="163"/>
                          <w:rPr>
                            <w:sz w:val="22"/>
                          </w:rPr>
                        </w:pPr>
                        <w:r>
                          <w:rPr>
                            <w:sz w:val="22"/>
                          </w:rPr>
                          <w:t>M2PFDoA</w:t>
                        </w:r>
                      </w:p>
                    </w:tc>
                    <w:tc>
                      <w:tcPr>
                        <w:tcW w:w="1997" w:type="dxa"/>
                        <w:tcBorders>
                          <w:top w:val="single" w:sz="4" w:space="0" w:color="000000"/>
                          <w:bottom w:val="single" w:sz="4" w:space="0" w:color="000000"/>
                        </w:tcBorders>
                      </w:tcPr>
                      <w:p>
                        <w:pPr>
                          <w:pStyle w:val="TableParagraph"/>
                          <w:spacing w:before="50"/>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50"/>
                          <w:ind w:left="465" w:right="392"/>
                          <w:rPr>
                            <w:sz w:val="22"/>
                          </w:rPr>
                        </w:pPr>
                        <w:r>
                          <w:rPr>
                            <w:sz w:val="22"/>
                          </w:rPr>
                          <w:t>615→570</w:t>
                        </w:r>
                      </w:p>
                    </w:tc>
                    <w:tc>
                      <w:tcPr>
                        <w:tcW w:w="1519" w:type="dxa"/>
                        <w:tcBorders>
                          <w:top w:val="single" w:sz="4" w:space="0" w:color="000000"/>
                          <w:bottom w:val="single" w:sz="4" w:space="0" w:color="000000"/>
                        </w:tcBorders>
                      </w:tcPr>
                      <w:p>
                        <w:pPr>
                          <w:pStyle w:val="TableParagraph"/>
                          <w:spacing w:before="50"/>
                          <w:ind w:left="579" w:right="579"/>
                          <w:rPr>
                            <w:sz w:val="22"/>
                          </w:rPr>
                        </w:pPr>
                        <w:r>
                          <w:rPr>
                            <w:sz w:val="22"/>
                          </w:rPr>
                          <w:t>9.6</w:t>
                        </w:r>
                      </w:p>
                    </w:tc>
                  </w:tr>
                  <w:tr>
                    <w:trPr>
                      <w:trHeight w:val="370" w:hRule="atLeast"/>
                    </w:trPr>
                    <w:tc>
                      <w:tcPr>
                        <w:tcW w:w="1987" w:type="dxa"/>
                        <w:tcBorders>
                          <w:top w:val="single" w:sz="4" w:space="0" w:color="000000"/>
                          <w:bottom w:val="single" w:sz="4" w:space="0" w:color="000000"/>
                        </w:tcBorders>
                      </w:tcPr>
                      <w:p>
                        <w:pPr>
                          <w:pStyle w:val="TableParagraph"/>
                          <w:spacing w:before="39"/>
                          <w:ind w:left="169" w:right="163"/>
                          <w:rPr>
                            <w:sz w:val="22"/>
                          </w:rPr>
                        </w:pPr>
                        <w:r>
                          <w:rPr>
                            <w:sz w:val="22"/>
                          </w:rPr>
                          <w:t>M2-4:2 FTS</w:t>
                        </w:r>
                      </w:p>
                    </w:tc>
                    <w:tc>
                      <w:tcPr>
                        <w:tcW w:w="1997" w:type="dxa"/>
                        <w:tcBorders>
                          <w:top w:val="single" w:sz="4" w:space="0" w:color="000000"/>
                          <w:bottom w:val="single" w:sz="4" w:space="0" w:color="000000"/>
                        </w:tcBorders>
                      </w:tcPr>
                      <w:p>
                        <w:pPr>
                          <w:pStyle w:val="TableParagraph"/>
                          <w:spacing w:before="39"/>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39"/>
                          <w:ind w:left="465" w:right="392"/>
                          <w:rPr>
                            <w:sz w:val="22"/>
                          </w:rPr>
                        </w:pPr>
                        <w:r>
                          <w:rPr>
                            <w:sz w:val="22"/>
                          </w:rPr>
                          <w:t>329→309</w:t>
                        </w:r>
                      </w:p>
                    </w:tc>
                    <w:tc>
                      <w:tcPr>
                        <w:tcW w:w="1519" w:type="dxa"/>
                        <w:tcBorders>
                          <w:top w:val="single" w:sz="4" w:space="0" w:color="000000"/>
                          <w:bottom w:val="single" w:sz="4" w:space="0" w:color="000000"/>
                        </w:tcBorders>
                      </w:tcPr>
                      <w:p>
                        <w:pPr>
                          <w:pStyle w:val="TableParagraph"/>
                          <w:spacing w:before="39"/>
                          <w:ind w:left="579" w:right="579"/>
                          <w:rPr>
                            <w:sz w:val="22"/>
                          </w:rPr>
                        </w:pPr>
                        <w:r>
                          <w:rPr>
                            <w:sz w:val="22"/>
                          </w:rPr>
                          <w:t>5.2</w:t>
                        </w:r>
                      </w:p>
                    </w:tc>
                  </w:tr>
                  <w:tr>
                    <w:trPr>
                      <w:trHeight w:val="370" w:hRule="atLeast"/>
                    </w:trPr>
                    <w:tc>
                      <w:tcPr>
                        <w:tcW w:w="1987" w:type="dxa"/>
                        <w:tcBorders>
                          <w:top w:val="single" w:sz="4" w:space="0" w:color="000000"/>
                          <w:bottom w:val="single" w:sz="4" w:space="0" w:color="000000"/>
                        </w:tcBorders>
                      </w:tcPr>
                      <w:p>
                        <w:pPr>
                          <w:pStyle w:val="TableParagraph"/>
                          <w:spacing w:before="39"/>
                          <w:ind w:left="169" w:right="163"/>
                          <w:rPr>
                            <w:sz w:val="22"/>
                          </w:rPr>
                        </w:pPr>
                        <w:r>
                          <w:rPr>
                            <w:sz w:val="22"/>
                          </w:rPr>
                          <w:t>M2-6:2 FTS</w:t>
                        </w:r>
                      </w:p>
                    </w:tc>
                    <w:tc>
                      <w:tcPr>
                        <w:tcW w:w="1997" w:type="dxa"/>
                        <w:tcBorders>
                          <w:top w:val="single" w:sz="4" w:space="0" w:color="000000"/>
                          <w:bottom w:val="single" w:sz="4" w:space="0" w:color="000000"/>
                        </w:tcBorders>
                      </w:tcPr>
                      <w:p>
                        <w:pPr>
                          <w:pStyle w:val="TableParagraph"/>
                          <w:spacing w:before="39"/>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39"/>
                          <w:ind w:left="465" w:right="393"/>
                          <w:rPr>
                            <w:sz w:val="22"/>
                          </w:rPr>
                        </w:pPr>
                        <w:r>
                          <w:rPr>
                            <w:sz w:val="22"/>
                          </w:rPr>
                          <w:t>429→409</w:t>
                        </w:r>
                      </w:p>
                    </w:tc>
                    <w:tc>
                      <w:tcPr>
                        <w:tcW w:w="1519" w:type="dxa"/>
                        <w:tcBorders>
                          <w:top w:val="single" w:sz="4" w:space="0" w:color="000000"/>
                          <w:bottom w:val="single" w:sz="4" w:space="0" w:color="000000"/>
                        </w:tcBorders>
                      </w:tcPr>
                      <w:p>
                        <w:pPr>
                          <w:pStyle w:val="TableParagraph"/>
                          <w:spacing w:before="39"/>
                          <w:ind w:left="579" w:right="579"/>
                          <w:rPr>
                            <w:sz w:val="22"/>
                          </w:rPr>
                        </w:pPr>
                        <w:r>
                          <w:rPr>
                            <w:sz w:val="22"/>
                          </w:rPr>
                          <w:t>6.7</w:t>
                        </w:r>
                      </w:p>
                    </w:tc>
                  </w:tr>
                  <w:tr>
                    <w:trPr>
                      <w:trHeight w:val="371" w:hRule="atLeast"/>
                    </w:trPr>
                    <w:tc>
                      <w:tcPr>
                        <w:tcW w:w="1987" w:type="dxa"/>
                        <w:tcBorders>
                          <w:top w:val="single" w:sz="4" w:space="0" w:color="000000"/>
                          <w:bottom w:val="single" w:sz="4" w:space="0" w:color="000000"/>
                        </w:tcBorders>
                      </w:tcPr>
                      <w:p>
                        <w:pPr>
                          <w:pStyle w:val="TableParagraph"/>
                          <w:spacing w:before="40"/>
                          <w:ind w:left="169" w:right="163"/>
                          <w:rPr>
                            <w:sz w:val="22"/>
                          </w:rPr>
                        </w:pPr>
                        <w:r>
                          <w:rPr>
                            <w:sz w:val="22"/>
                          </w:rPr>
                          <w:t>M2-8:2 FTS</w:t>
                        </w:r>
                      </w:p>
                    </w:tc>
                    <w:tc>
                      <w:tcPr>
                        <w:tcW w:w="1997" w:type="dxa"/>
                        <w:tcBorders>
                          <w:top w:val="single" w:sz="4" w:space="0" w:color="000000"/>
                          <w:bottom w:val="single" w:sz="4" w:space="0" w:color="000000"/>
                        </w:tcBorders>
                      </w:tcPr>
                      <w:p>
                        <w:pPr>
                          <w:pStyle w:val="TableParagraph"/>
                          <w:spacing w:before="40"/>
                          <w:ind w:left="529" w:right="456"/>
                          <w:rPr>
                            <w:sz w:val="22"/>
                          </w:rPr>
                        </w:pPr>
                        <w:r>
                          <w:rPr>
                            <w:sz w:val="22"/>
                          </w:rPr>
                          <w:t>Quantifier</w:t>
                        </w:r>
                      </w:p>
                    </w:tc>
                    <w:tc>
                      <w:tcPr>
                        <w:tcW w:w="1869" w:type="dxa"/>
                        <w:tcBorders>
                          <w:top w:val="single" w:sz="4" w:space="0" w:color="000000"/>
                          <w:bottom w:val="single" w:sz="4" w:space="0" w:color="000000"/>
                        </w:tcBorders>
                      </w:tcPr>
                      <w:p>
                        <w:pPr>
                          <w:pStyle w:val="TableParagraph"/>
                          <w:spacing w:before="40"/>
                          <w:ind w:left="465" w:right="392"/>
                          <w:rPr>
                            <w:sz w:val="22"/>
                          </w:rPr>
                        </w:pPr>
                        <w:r>
                          <w:rPr>
                            <w:sz w:val="22"/>
                          </w:rPr>
                          <w:t>529→509</w:t>
                        </w:r>
                      </w:p>
                    </w:tc>
                    <w:tc>
                      <w:tcPr>
                        <w:tcW w:w="1519" w:type="dxa"/>
                        <w:tcBorders>
                          <w:top w:val="single" w:sz="4" w:space="0" w:color="000000"/>
                          <w:bottom w:val="single" w:sz="4" w:space="0" w:color="000000"/>
                        </w:tcBorders>
                      </w:tcPr>
                      <w:p>
                        <w:pPr>
                          <w:pStyle w:val="TableParagraph"/>
                          <w:spacing w:before="40"/>
                          <w:ind w:left="579" w:right="579"/>
                          <w:rPr>
                            <w:sz w:val="22"/>
                          </w:rPr>
                        </w:pPr>
                        <w:r>
                          <w:rPr>
                            <w:sz w:val="22"/>
                          </w:rPr>
                          <w:t>8.0</w:t>
                        </w:r>
                      </w:p>
                    </w:tc>
                  </w:tr>
                  <w:tr>
                    <w:trPr>
                      <w:trHeight w:val="370" w:hRule="atLeast"/>
                    </w:trPr>
                    <w:tc>
                      <w:tcPr>
                        <w:tcW w:w="1987" w:type="dxa"/>
                        <w:tcBorders>
                          <w:top w:val="single" w:sz="4" w:space="0" w:color="000000"/>
                          <w:bottom w:val="single" w:sz="4" w:space="0" w:color="000000"/>
                        </w:tcBorders>
                      </w:tcPr>
                      <w:p>
                        <w:pPr>
                          <w:pStyle w:val="TableParagraph"/>
                          <w:spacing w:before="39"/>
                          <w:ind w:left="169" w:right="176"/>
                          <w:rPr>
                            <w:sz w:val="22"/>
                          </w:rPr>
                        </w:pPr>
                        <w:r>
                          <w:rPr>
                            <w:sz w:val="22"/>
                          </w:rPr>
                          <w:t>d3-N-MeFOSAA</w:t>
                        </w:r>
                      </w:p>
                    </w:tc>
                    <w:tc>
                      <w:tcPr>
                        <w:tcW w:w="1997" w:type="dxa"/>
                        <w:tcBorders>
                          <w:top w:val="single" w:sz="4" w:space="0" w:color="000000"/>
                          <w:bottom w:val="single" w:sz="4" w:space="0" w:color="000000"/>
                        </w:tcBorders>
                      </w:tcPr>
                      <w:p>
                        <w:pPr>
                          <w:pStyle w:val="TableParagraph"/>
                          <w:spacing w:before="39"/>
                          <w:ind w:left="521" w:right="465"/>
                          <w:rPr>
                            <w:sz w:val="22"/>
                          </w:rPr>
                        </w:pPr>
                        <w:r>
                          <w:rPr>
                            <w:sz w:val="22"/>
                          </w:rPr>
                          <w:t>Quantifier</w:t>
                        </w:r>
                      </w:p>
                    </w:tc>
                    <w:tc>
                      <w:tcPr>
                        <w:tcW w:w="1869" w:type="dxa"/>
                        <w:tcBorders>
                          <w:top w:val="single" w:sz="4" w:space="0" w:color="000000"/>
                          <w:bottom w:val="single" w:sz="4" w:space="0" w:color="000000"/>
                        </w:tcBorders>
                      </w:tcPr>
                      <w:p>
                        <w:pPr>
                          <w:pStyle w:val="TableParagraph"/>
                          <w:spacing w:before="39"/>
                          <w:ind w:left="456" w:right="400"/>
                          <w:rPr>
                            <w:sz w:val="22"/>
                          </w:rPr>
                        </w:pPr>
                        <w:r>
                          <w:rPr>
                            <w:sz w:val="22"/>
                          </w:rPr>
                          <w:t>573→419</w:t>
                        </w:r>
                      </w:p>
                    </w:tc>
                    <w:tc>
                      <w:tcPr>
                        <w:tcW w:w="1519" w:type="dxa"/>
                        <w:tcBorders>
                          <w:top w:val="single" w:sz="4" w:space="0" w:color="000000"/>
                          <w:bottom w:val="single" w:sz="4" w:space="0" w:color="000000"/>
                        </w:tcBorders>
                      </w:tcPr>
                      <w:p>
                        <w:pPr>
                          <w:pStyle w:val="TableParagraph"/>
                          <w:spacing w:before="39"/>
                          <w:ind w:left="572" w:right="586"/>
                          <w:rPr>
                            <w:sz w:val="22"/>
                          </w:rPr>
                        </w:pPr>
                        <w:r>
                          <w:rPr>
                            <w:sz w:val="22"/>
                          </w:rPr>
                          <w:t>8.4</w:t>
                        </w:r>
                      </w:p>
                    </w:tc>
                  </w:tr>
                  <w:tr>
                    <w:trPr>
                      <w:trHeight w:val="372" w:hRule="atLeast"/>
                    </w:trPr>
                    <w:tc>
                      <w:tcPr>
                        <w:tcW w:w="1987" w:type="dxa"/>
                        <w:tcBorders>
                          <w:top w:val="single" w:sz="4" w:space="0" w:color="000000"/>
                          <w:bottom w:val="double" w:sz="1" w:space="0" w:color="000000"/>
                        </w:tcBorders>
                      </w:tcPr>
                      <w:p>
                        <w:pPr>
                          <w:pStyle w:val="TableParagraph"/>
                          <w:spacing w:before="40"/>
                          <w:ind w:left="169" w:right="176"/>
                          <w:rPr>
                            <w:sz w:val="22"/>
                          </w:rPr>
                        </w:pPr>
                        <w:r>
                          <w:rPr>
                            <w:sz w:val="22"/>
                          </w:rPr>
                          <w:t>d5-N-EtFOSAA</w:t>
                        </w:r>
                      </w:p>
                    </w:tc>
                    <w:tc>
                      <w:tcPr>
                        <w:tcW w:w="1997" w:type="dxa"/>
                        <w:tcBorders>
                          <w:top w:val="single" w:sz="4" w:space="0" w:color="000000"/>
                          <w:bottom w:val="double" w:sz="1" w:space="0" w:color="000000"/>
                        </w:tcBorders>
                      </w:tcPr>
                      <w:p>
                        <w:pPr>
                          <w:pStyle w:val="TableParagraph"/>
                          <w:spacing w:before="40"/>
                          <w:ind w:left="521" w:right="465"/>
                          <w:rPr>
                            <w:sz w:val="22"/>
                          </w:rPr>
                        </w:pPr>
                        <w:r>
                          <w:rPr>
                            <w:sz w:val="22"/>
                          </w:rPr>
                          <w:t>Quantifier</w:t>
                        </w:r>
                      </w:p>
                    </w:tc>
                    <w:tc>
                      <w:tcPr>
                        <w:tcW w:w="1869" w:type="dxa"/>
                        <w:tcBorders>
                          <w:top w:val="single" w:sz="4" w:space="0" w:color="000000"/>
                          <w:bottom w:val="double" w:sz="1" w:space="0" w:color="000000"/>
                        </w:tcBorders>
                      </w:tcPr>
                      <w:p>
                        <w:pPr>
                          <w:pStyle w:val="TableParagraph"/>
                          <w:spacing w:before="40"/>
                          <w:ind w:left="456" w:right="400"/>
                          <w:rPr>
                            <w:sz w:val="22"/>
                          </w:rPr>
                        </w:pPr>
                        <w:r>
                          <w:rPr>
                            <w:sz w:val="22"/>
                          </w:rPr>
                          <w:t>589→419</w:t>
                        </w:r>
                      </w:p>
                    </w:tc>
                    <w:tc>
                      <w:tcPr>
                        <w:tcW w:w="1519" w:type="dxa"/>
                        <w:tcBorders>
                          <w:top w:val="single" w:sz="4" w:space="0" w:color="000000"/>
                          <w:bottom w:val="double" w:sz="1" w:space="0" w:color="000000"/>
                        </w:tcBorders>
                      </w:tcPr>
                      <w:p>
                        <w:pPr>
                          <w:pStyle w:val="TableParagraph"/>
                          <w:spacing w:before="40"/>
                          <w:ind w:left="572" w:right="586"/>
                          <w:rPr>
                            <w:sz w:val="22"/>
                          </w:rPr>
                        </w:pPr>
                        <w:r>
                          <w:rPr>
                            <w:sz w:val="22"/>
                          </w:rPr>
                          <w:t>8.7</w:t>
                        </w:r>
                      </w:p>
                    </w:tc>
                  </w:tr>
                </w:tbl>
                <w:p>
                  <w:pPr>
                    <w:pStyle w:val="BodyText"/>
                  </w:pPr>
                </w:p>
              </w:txbxContent>
            </v:textbox>
            <w10:wrap type="none"/>
          </v:shape>
        </w:pict>
      </w:r>
      <w:r>
        <w:rPr/>
        <w:t>PFPeS</w:t>
        <w:tab/>
        <w:t>6.4</w:t>
      </w:r>
    </w:p>
    <w:p>
      <w:pPr>
        <w:spacing w:after="0" w:line="246" w:lineRule="exact"/>
        <w:sectPr>
          <w:type w:val="continuous"/>
          <w:pgSz w:w="12240" w:h="15840"/>
          <w:pgMar w:top="1060" w:bottom="1320" w:left="460" w:right="480"/>
        </w:sectPr>
      </w:pPr>
    </w:p>
    <w:tbl>
      <w:tblPr>
        <w:tblW w:w="0" w:type="auto"/>
        <w:jc w:val="left"/>
        <w:tblInd w:w="1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30"/>
        <w:gridCol w:w="2222"/>
        <w:gridCol w:w="1883"/>
        <w:gridCol w:w="1436"/>
      </w:tblGrid>
      <w:tr>
        <w:trPr>
          <w:trHeight w:val="735" w:hRule="atLeast"/>
        </w:trPr>
        <w:tc>
          <w:tcPr>
            <w:tcW w:w="1830" w:type="dxa"/>
            <w:tcBorders>
              <w:top w:val="double" w:sz="1" w:space="0" w:color="000000"/>
              <w:bottom w:val="single" w:sz="4" w:space="0" w:color="000000"/>
            </w:tcBorders>
          </w:tcPr>
          <w:p>
            <w:pPr>
              <w:pStyle w:val="TableParagraph"/>
              <w:spacing w:before="4"/>
              <w:jc w:val="left"/>
              <w:rPr>
                <w:sz w:val="19"/>
              </w:rPr>
            </w:pPr>
          </w:p>
          <w:p>
            <w:pPr>
              <w:pStyle w:val="TableParagraph"/>
              <w:spacing w:before="0"/>
              <w:ind w:left="531"/>
              <w:jc w:val="left"/>
              <w:rPr>
                <w:sz w:val="22"/>
              </w:rPr>
            </w:pPr>
            <w:r>
              <w:rPr>
                <w:sz w:val="22"/>
              </w:rPr>
              <w:t>Chemical</w:t>
            </w:r>
          </w:p>
        </w:tc>
        <w:tc>
          <w:tcPr>
            <w:tcW w:w="2222" w:type="dxa"/>
            <w:tcBorders>
              <w:top w:val="double" w:sz="1" w:space="0" w:color="000000"/>
              <w:bottom w:val="single" w:sz="4" w:space="0" w:color="000000"/>
            </w:tcBorders>
          </w:tcPr>
          <w:p>
            <w:pPr>
              <w:pStyle w:val="TableParagraph"/>
              <w:spacing w:before="4"/>
              <w:jc w:val="left"/>
              <w:rPr>
                <w:sz w:val="19"/>
              </w:rPr>
            </w:pPr>
          </w:p>
          <w:p>
            <w:pPr>
              <w:pStyle w:val="TableParagraph"/>
              <w:spacing w:before="0"/>
              <w:ind w:left="248" w:right="99"/>
              <w:rPr>
                <w:sz w:val="22"/>
              </w:rPr>
            </w:pPr>
            <w:r>
              <w:rPr>
                <w:sz w:val="22"/>
              </w:rPr>
              <w:t>Quantifier/Qualifier</w:t>
            </w:r>
          </w:p>
        </w:tc>
        <w:tc>
          <w:tcPr>
            <w:tcW w:w="1883" w:type="dxa"/>
            <w:tcBorders>
              <w:top w:val="double" w:sz="1" w:space="0" w:color="000000"/>
              <w:bottom w:val="single" w:sz="4" w:space="0" w:color="000000"/>
            </w:tcBorders>
          </w:tcPr>
          <w:p>
            <w:pPr>
              <w:pStyle w:val="TableParagraph"/>
              <w:spacing w:before="4"/>
              <w:jc w:val="left"/>
              <w:rPr>
                <w:sz w:val="19"/>
              </w:rPr>
            </w:pPr>
          </w:p>
          <w:p>
            <w:pPr>
              <w:pStyle w:val="TableParagraph"/>
              <w:spacing w:before="0"/>
              <w:ind w:left="101" w:right="189"/>
              <w:rPr>
                <w:sz w:val="22"/>
              </w:rPr>
            </w:pPr>
            <w:r>
              <w:rPr>
                <w:sz w:val="22"/>
              </w:rPr>
              <w:t>MRM Transition</w:t>
            </w:r>
          </w:p>
        </w:tc>
        <w:tc>
          <w:tcPr>
            <w:tcW w:w="1436" w:type="dxa"/>
            <w:tcBorders>
              <w:top w:val="double" w:sz="1" w:space="0" w:color="000000"/>
              <w:bottom w:val="single" w:sz="4" w:space="0" w:color="000000"/>
            </w:tcBorders>
          </w:tcPr>
          <w:p>
            <w:pPr>
              <w:pStyle w:val="TableParagraph"/>
              <w:spacing w:before="57"/>
              <w:ind w:left="193" w:right="286"/>
              <w:rPr>
                <w:sz w:val="22"/>
              </w:rPr>
            </w:pPr>
            <w:r>
              <w:rPr>
                <w:sz w:val="22"/>
              </w:rPr>
              <w:t>RT</w:t>
            </w:r>
          </w:p>
          <w:p>
            <w:pPr>
              <w:pStyle w:val="TableParagraph"/>
              <w:spacing w:before="78"/>
              <w:ind w:left="193" w:right="286"/>
              <w:rPr>
                <w:sz w:val="22"/>
              </w:rPr>
            </w:pPr>
            <w:r>
              <w:rPr>
                <w:sz w:val="22"/>
              </w:rPr>
              <w:t>(minutes)</w:t>
            </w:r>
          </w:p>
        </w:tc>
      </w:tr>
      <w:tr>
        <w:trPr>
          <w:trHeight w:val="370" w:hRule="atLeast"/>
        </w:trPr>
        <w:tc>
          <w:tcPr>
            <w:tcW w:w="1830" w:type="dxa"/>
            <w:tcBorders>
              <w:top w:val="single" w:sz="4" w:space="0" w:color="000000"/>
              <w:bottom w:val="single" w:sz="4" w:space="0" w:color="000000"/>
            </w:tcBorders>
          </w:tcPr>
          <w:p>
            <w:pPr>
              <w:pStyle w:val="TableParagraph"/>
              <w:spacing w:before="39"/>
              <w:ind w:left="549"/>
              <w:jc w:val="left"/>
              <w:rPr>
                <w:sz w:val="22"/>
              </w:rPr>
            </w:pPr>
            <w:r>
              <w:rPr>
                <w:sz w:val="22"/>
              </w:rPr>
              <w:t>M3PFBS</w:t>
            </w:r>
          </w:p>
        </w:tc>
        <w:tc>
          <w:tcPr>
            <w:tcW w:w="2222" w:type="dxa"/>
            <w:tcBorders>
              <w:top w:val="single" w:sz="4" w:space="0" w:color="000000"/>
              <w:bottom w:val="single" w:sz="4" w:space="0" w:color="000000"/>
            </w:tcBorders>
          </w:tcPr>
          <w:p>
            <w:pPr>
              <w:pStyle w:val="TableParagraph"/>
              <w:spacing w:before="39"/>
              <w:ind w:left="244" w:right="99"/>
              <w:rPr>
                <w:sz w:val="22"/>
              </w:rPr>
            </w:pPr>
            <w:r>
              <w:rPr>
                <w:sz w:val="22"/>
              </w:rPr>
              <w:t>Quantifier</w:t>
            </w:r>
          </w:p>
        </w:tc>
        <w:tc>
          <w:tcPr>
            <w:tcW w:w="1883" w:type="dxa"/>
            <w:tcBorders>
              <w:top w:val="single" w:sz="4" w:space="0" w:color="000000"/>
              <w:bottom w:val="single" w:sz="4" w:space="0" w:color="000000"/>
            </w:tcBorders>
          </w:tcPr>
          <w:p>
            <w:pPr>
              <w:pStyle w:val="TableParagraph"/>
              <w:spacing w:before="39"/>
              <w:ind w:left="98" w:right="189"/>
              <w:rPr>
                <w:sz w:val="22"/>
              </w:rPr>
            </w:pPr>
            <w:r>
              <w:rPr>
                <w:sz w:val="22"/>
              </w:rPr>
              <w:t>302→80</w:t>
            </w:r>
          </w:p>
        </w:tc>
        <w:tc>
          <w:tcPr>
            <w:tcW w:w="1436" w:type="dxa"/>
            <w:tcBorders>
              <w:top w:val="single" w:sz="4" w:space="0" w:color="000000"/>
              <w:bottom w:val="single" w:sz="4" w:space="0" w:color="000000"/>
            </w:tcBorders>
          </w:tcPr>
          <w:p>
            <w:pPr>
              <w:pStyle w:val="TableParagraph"/>
              <w:spacing w:before="39"/>
              <w:ind w:left="191" w:right="286"/>
              <w:rPr>
                <w:sz w:val="22"/>
              </w:rPr>
            </w:pPr>
            <w:r>
              <w:rPr>
                <w:sz w:val="22"/>
              </w:rPr>
              <w:t>5.7</w:t>
            </w:r>
          </w:p>
        </w:tc>
      </w:tr>
      <w:tr>
        <w:trPr>
          <w:trHeight w:val="371" w:hRule="atLeast"/>
        </w:trPr>
        <w:tc>
          <w:tcPr>
            <w:tcW w:w="1830" w:type="dxa"/>
            <w:tcBorders>
              <w:top w:val="single" w:sz="4" w:space="0" w:color="000000"/>
              <w:bottom w:val="single" w:sz="4" w:space="0" w:color="000000"/>
            </w:tcBorders>
          </w:tcPr>
          <w:p>
            <w:pPr>
              <w:pStyle w:val="TableParagraph"/>
              <w:spacing w:before="40"/>
              <w:ind w:left="488"/>
              <w:jc w:val="left"/>
              <w:rPr>
                <w:sz w:val="22"/>
              </w:rPr>
            </w:pPr>
            <w:r>
              <w:rPr>
                <w:sz w:val="22"/>
              </w:rPr>
              <w:t>M5PFPeA</w:t>
            </w:r>
          </w:p>
        </w:tc>
        <w:tc>
          <w:tcPr>
            <w:tcW w:w="2222" w:type="dxa"/>
            <w:tcBorders>
              <w:top w:val="single" w:sz="4" w:space="0" w:color="000000"/>
              <w:bottom w:val="single" w:sz="4" w:space="0" w:color="000000"/>
            </w:tcBorders>
          </w:tcPr>
          <w:p>
            <w:pPr>
              <w:pStyle w:val="TableParagraph"/>
              <w:spacing w:before="40"/>
              <w:ind w:left="244" w:right="99"/>
              <w:rPr>
                <w:sz w:val="22"/>
              </w:rPr>
            </w:pPr>
            <w:r>
              <w:rPr>
                <w:sz w:val="22"/>
              </w:rPr>
              <w:t>Quantifier</w:t>
            </w:r>
          </w:p>
        </w:tc>
        <w:tc>
          <w:tcPr>
            <w:tcW w:w="1883" w:type="dxa"/>
            <w:tcBorders>
              <w:top w:val="single" w:sz="4" w:space="0" w:color="000000"/>
              <w:bottom w:val="single" w:sz="4" w:space="0" w:color="000000"/>
            </w:tcBorders>
          </w:tcPr>
          <w:p>
            <w:pPr>
              <w:pStyle w:val="TableParagraph"/>
              <w:spacing w:before="40"/>
              <w:ind w:left="98" w:right="189"/>
              <w:rPr>
                <w:sz w:val="22"/>
              </w:rPr>
            </w:pPr>
            <w:r>
              <w:rPr>
                <w:sz w:val="22"/>
              </w:rPr>
              <w:t>268→223</w:t>
            </w:r>
          </w:p>
        </w:tc>
        <w:tc>
          <w:tcPr>
            <w:tcW w:w="1436" w:type="dxa"/>
            <w:tcBorders>
              <w:top w:val="single" w:sz="4" w:space="0" w:color="000000"/>
              <w:bottom w:val="single" w:sz="4" w:space="0" w:color="000000"/>
            </w:tcBorders>
          </w:tcPr>
          <w:p>
            <w:pPr>
              <w:pStyle w:val="TableParagraph"/>
              <w:spacing w:before="40"/>
              <w:ind w:left="191" w:right="286"/>
              <w:rPr>
                <w:sz w:val="22"/>
              </w:rPr>
            </w:pPr>
            <w:r>
              <w:rPr>
                <w:sz w:val="22"/>
              </w:rPr>
              <w:t>4.7</w:t>
            </w:r>
          </w:p>
        </w:tc>
      </w:tr>
      <w:tr>
        <w:trPr>
          <w:trHeight w:val="370" w:hRule="atLeast"/>
        </w:trPr>
        <w:tc>
          <w:tcPr>
            <w:tcW w:w="1830" w:type="dxa"/>
            <w:tcBorders>
              <w:top w:val="single" w:sz="4" w:space="0" w:color="000000"/>
              <w:bottom w:val="single" w:sz="4" w:space="0" w:color="000000"/>
            </w:tcBorders>
          </w:tcPr>
          <w:p>
            <w:pPr>
              <w:pStyle w:val="TableParagraph"/>
              <w:spacing w:before="39"/>
              <w:ind w:left="481"/>
              <w:jc w:val="left"/>
              <w:rPr>
                <w:sz w:val="22"/>
              </w:rPr>
            </w:pPr>
            <w:r>
              <w:rPr>
                <w:sz w:val="22"/>
              </w:rPr>
              <w:t>M4PFHpA</w:t>
            </w:r>
          </w:p>
        </w:tc>
        <w:tc>
          <w:tcPr>
            <w:tcW w:w="2222" w:type="dxa"/>
            <w:tcBorders>
              <w:top w:val="single" w:sz="4" w:space="0" w:color="000000"/>
              <w:bottom w:val="single" w:sz="4" w:space="0" w:color="000000"/>
            </w:tcBorders>
          </w:tcPr>
          <w:p>
            <w:pPr>
              <w:pStyle w:val="TableParagraph"/>
              <w:spacing w:before="39"/>
              <w:ind w:left="244" w:right="99"/>
              <w:rPr>
                <w:sz w:val="22"/>
              </w:rPr>
            </w:pPr>
            <w:r>
              <w:rPr>
                <w:sz w:val="22"/>
              </w:rPr>
              <w:t>Quantifier</w:t>
            </w:r>
          </w:p>
        </w:tc>
        <w:tc>
          <w:tcPr>
            <w:tcW w:w="1883" w:type="dxa"/>
            <w:tcBorders>
              <w:top w:val="single" w:sz="4" w:space="0" w:color="000000"/>
              <w:bottom w:val="single" w:sz="4" w:space="0" w:color="000000"/>
            </w:tcBorders>
          </w:tcPr>
          <w:p>
            <w:pPr>
              <w:pStyle w:val="TableParagraph"/>
              <w:spacing w:before="39"/>
              <w:ind w:left="98" w:right="189"/>
              <w:rPr>
                <w:sz w:val="22"/>
              </w:rPr>
            </w:pPr>
            <w:r>
              <w:rPr>
                <w:sz w:val="22"/>
              </w:rPr>
              <w:t>367→322</w:t>
            </w:r>
          </w:p>
        </w:tc>
        <w:tc>
          <w:tcPr>
            <w:tcW w:w="1436" w:type="dxa"/>
            <w:tcBorders>
              <w:top w:val="single" w:sz="4" w:space="0" w:color="000000"/>
              <w:bottom w:val="single" w:sz="4" w:space="0" w:color="000000"/>
            </w:tcBorders>
          </w:tcPr>
          <w:p>
            <w:pPr>
              <w:pStyle w:val="TableParagraph"/>
              <w:spacing w:before="39"/>
              <w:ind w:left="191" w:right="286"/>
              <w:rPr>
                <w:sz w:val="22"/>
              </w:rPr>
            </w:pPr>
            <w:r>
              <w:rPr>
                <w:sz w:val="22"/>
              </w:rPr>
              <w:t>6.3</w:t>
            </w:r>
          </w:p>
        </w:tc>
      </w:tr>
      <w:tr>
        <w:trPr>
          <w:trHeight w:val="371" w:hRule="atLeast"/>
        </w:trPr>
        <w:tc>
          <w:tcPr>
            <w:tcW w:w="1830" w:type="dxa"/>
            <w:tcBorders>
              <w:top w:val="single" w:sz="4" w:space="0" w:color="000000"/>
              <w:bottom w:val="single" w:sz="4" w:space="0" w:color="000000"/>
            </w:tcBorders>
          </w:tcPr>
          <w:p>
            <w:pPr>
              <w:pStyle w:val="TableParagraph"/>
              <w:spacing w:before="40"/>
              <w:ind w:left="413"/>
              <w:jc w:val="left"/>
              <w:rPr>
                <w:sz w:val="22"/>
              </w:rPr>
            </w:pPr>
            <w:r>
              <w:rPr>
                <w:sz w:val="22"/>
              </w:rPr>
              <w:t>M2PFTeDA</w:t>
            </w:r>
          </w:p>
        </w:tc>
        <w:tc>
          <w:tcPr>
            <w:tcW w:w="2222" w:type="dxa"/>
            <w:tcBorders>
              <w:top w:val="single" w:sz="4" w:space="0" w:color="000000"/>
              <w:bottom w:val="single" w:sz="4" w:space="0" w:color="000000"/>
            </w:tcBorders>
          </w:tcPr>
          <w:p>
            <w:pPr>
              <w:pStyle w:val="TableParagraph"/>
              <w:spacing w:before="40"/>
              <w:ind w:left="244" w:right="99"/>
              <w:rPr>
                <w:sz w:val="22"/>
              </w:rPr>
            </w:pPr>
            <w:r>
              <w:rPr>
                <w:sz w:val="22"/>
              </w:rPr>
              <w:t>Quantifier</w:t>
            </w:r>
          </w:p>
        </w:tc>
        <w:tc>
          <w:tcPr>
            <w:tcW w:w="1883" w:type="dxa"/>
            <w:tcBorders>
              <w:top w:val="single" w:sz="4" w:space="0" w:color="000000"/>
              <w:bottom w:val="single" w:sz="4" w:space="0" w:color="000000"/>
            </w:tcBorders>
          </w:tcPr>
          <w:p>
            <w:pPr>
              <w:pStyle w:val="TableParagraph"/>
              <w:spacing w:before="40"/>
              <w:ind w:left="98" w:right="189"/>
              <w:rPr>
                <w:sz w:val="22"/>
              </w:rPr>
            </w:pPr>
            <w:r>
              <w:rPr>
                <w:sz w:val="22"/>
              </w:rPr>
              <w:t>715→670</w:t>
            </w:r>
          </w:p>
        </w:tc>
        <w:tc>
          <w:tcPr>
            <w:tcW w:w="1436" w:type="dxa"/>
            <w:tcBorders>
              <w:top w:val="single" w:sz="4" w:space="0" w:color="000000"/>
              <w:bottom w:val="single" w:sz="4" w:space="0" w:color="000000"/>
            </w:tcBorders>
          </w:tcPr>
          <w:p>
            <w:pPr>
              <w:pStyle w:val="TableParagraph"/>
              <w:spacing w:before="40"/>
              <w:ind w:left="191" w:right="286"/>
              <w:rPr>
                <w:sz w:val="22"/>
              </w:rPr>
            </w:pPr>
            <w:r>
              <w:rPr>
                <w:sz w:val="22"/>
              </w:rPr>
              <w:t>10.6</w:t>
            </w:r>
          </w:p>
        </w:tc>
      </w:tr>
      <w:tr>
        <w:trPr>
          <w:trHeight w:val="371" w:hRule="atLeast"/>
        </w:trPr>
        <w:tc>
          <w:tcPr>
            <w:tcW w:w="1830" w:type="dxa"/>
            <w:tcBorders>
              <w:top w:val="single" w:sz="4" w:space="0" w:color="000000"/>
              <w:bottom w:val="double" w:sz="1" w:space="0" w:color="000000"/>
            </w:tcBorders>
          </w:tcPr>
          <w:p>
            <w:pPr>
              <w:pStyle w:val="TableParagraph"/>
              <w:spacing w:before="39"/>
              <w:ind w:left="536"/>
              <w:jc w:val="left"/>
              <w:rPr>
                <w:sz w:val="22"/>
              </w:rPr>
            </w:pPr>
            <w:r>
              <w:rPr>
                <w:sz w:val="22"/>
              </w:rPr>
              <w:t>M8FOSA</w:t>
            </w:r>
          </w:p>
        </w:tc>
        <w:tc>
          <w:tcPr>
            <w:tcW w:w="2222" w:type="dxa"/>
            <w:tcBorders>
              <w:top w:val="single" w:sz="4" w:space="0" w:color="000000"/>
              <w:bottom w:val="double" w:sz="1" w:space="0" w:color="000000"/>
            </w:tcBorders>
          </w:tcPr>
          <w:p>
            <w:pPr>
              <w:pStyle w:val="TableParagraph"/>
              <w:spacing w:before="39"/>
              <w:ind w:left="244" w:right="99"/>
              <w:rPr>
                <w:sz w:val="22"/>
              </w:rPr>
            </w:pPr>
            <w:r>
              <w:rPr>
                <w:sz w:val="22"/>
              </w:rPr>
              <w:t>Quantifier</w:t>
            </w:r>
          </w:p>
        </w:tc>
        <w:tc>
          <w:tcPr>
            <w:tcW w:w="1883" w:type="dxa"/>
            <w:tcBorders>
              <w:top w:val="single" w:sz="4" w:space="0" w:color="000000"/>
              <w:bottom w:val="double" w:sz="1" w:space="0" w:color="000000"/>
            </w:tcBorders>
          </w:tcPr>
          <w:p>
            <w:pPr>
              <w:pStyle w:val="TableParagraph"/>
              <w:spacing w:before="39"/>
              <w:ind w:left="98" w:right="189"/>
              <w:rPr>
                <w:sz w:val="22"/>
              </w:rPr>
            </w:pPr>
            <w:r>
              <w:rPr>
                <w:sz w:val="22"/>
              </w:rPr>
              <w:t>506→78</w:t>
            </w:r>
          </w:p>
        </w:tc>
        <w:tc>
          <w:tcPr>
            <w:tcW w:w="1436" w:type="dxa"/>
            <w:tcBorders>
              <w:top w:val="single" w:sz="4" w:space="0" w:color="000000"/>
              <w:bottom w:val="double" w:sz="1" w:space="0" w:color="000000"/>
            </w:tcBorders>
          </w:tcPr>
          <w:p>
            <w:pPr>
              <w:pStyle w:val="TableParagraph"/>
              <w:spacing w:before="39"/>
              <w:ind w:left="191" w:right="286"/>
              <w:rPr>
                <w:sz w:val="22"/>
              </w:rPr>
            </w:pPr>
            <w:r>
              <w:rPr>
                <w:sz w:val="22"/>
              </w:rPr>
              <w:t>9.8</w:t>
            </w:r>
          </w:p>
        </w:tc>
      </w:tr>
    </w:tbl>
    <w:p>
      <w:pPr>
        <w:pStyle w:val="BodyText"/>
        <w:spacing w:line="276" w:lineRule="auto" w:before="9"/>
        <w:ind w:left="979" w:right="1155" w:firstLine="720"/>
      </w:pPr>
      <w:r>
        <w:rPr/>
        <w:t>Note: Acceptable qualifier ions were not identified for PFBA and PFPeA during method development; qualifier ions are not identified for the surrogates</w:t>
      </w:r>
    </w:p>
    <w:p>
      <w:pPr>
        <w:pStyle w:val="BodyText"/>
        <w:rPr>
          <w:sz w:val="24"/>
        </w:rPr>
      </w:pPr>
    </w:p>
    <w:p>
      <w:pPr>
        <w:pStyle w:val="BodyText"/>
        <w:rPr>
          <w:sz w:val="24"/>
        </w:rPr>
      </w:pPr>
    </w:p>
    <w:p>
      <w:pPr>
        <w:pStyle w:val="BodyText"/>
        <w:spacing w:before="5"/>
        <w:rPr>
          <w:sz w:val="29"/>
        </w:rPr>
      </w:pPr>
    </w:p>
    <w:p>
      <w:pPr>
        <w:pStyle w:val="BodyText"/>
        <w:ind w:left="738"/>
        <w:jc w:val="center"/>
      </w:pPr>
      <w:bookmarkStart w:name="TABLE 4" w:id="298"/>
      <w:bookmarkEnd w:id="298"/>
      <w:r>
        <w:rPr/>
      </w:r>
      <w:bookmarkStart w:name="_bookmark26" w:id="299"/>
      <w:bookmarkEnd w:id="299"/>
      <w:r>
        <w:rPr/>
      </w:r>
      <w:r>
        <w:rPr/>
        <w:t>TABLE 4</w:t>
      </w:r>
    </w:p>
    <w:p>
      <w:pPr>
        <w:pStyle w:val="BodyText"/>
        <w:spacing w:before="159"/>
        <w:ind w:left="739"/>
        <w:jc w:val="center"/>
      </w:pPr>
      <w:bookmarkStart w:name="PREPARATION OF CALIBRATION STANDARDS*" w:id="300"/>
      <w:bookmarkEnd w:id="300"/>
      <w:r>
        <w:rPr/>
      </w:r>
      <w:bookmarkStart w:name="_bookmark27" w:id="301"/>
      <w:bookmarkEnd w:id="301"/>
      <w:r>
        <w:rPr/>
      </w:r>
      <w:r>
        <w:rPr/>
        <w:t>PREPARATION OF CALIBRATION STANDARDS*</w:t>
      </w:r>
    </w:p>
    <w:p>
      <w:pPr>
        <w:pStyle w:val="BodyText"/>
        <w:spacing w:before="11"/>
        <w:rPr>
          <w:sz w:val="24"/>
        </w:rPr>
      </w:pP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40"/>
        <w:gridCol w:w="898"/>
        <w:gridCol w:w="970"/>
        <w:gridCol w:w="1018"/>
        <w:gridCol w:w="1053"/>
        <w:gridCol w:w="1018"/>
        <w:gridCol w:w="1004"/>
        <w:gridCol w:w="1135"/>
        <w:gridCol w:w="1109"/>
        <w:gridCol w:w="1132"/>
      </w:tblGrid>
      <w:tr>
        <w:trPr>
          <w:trHeight w:val="866" w:hRule="atLeast"/>
        </w:trPr>
        <w:tc>
          <w:tcPr>
            <w:tcW w:w="1740" w:type="dxa"/>
            <w:tcBorders>
              <w:top w:val="double" w:sz="1" w:space="0" w:color="000000"/>
              <w:bottom w:val="single" w:sz="4" w:space="0" w:color="000000"/>
            </w:tcBorders>
          </w:tcPr>
          <w:p>
            <w:pPr>
              <w:pStyle w:val="TableParagraph"/>
              <w:spacing w:before="120"/>
              <w:ind w:left="986"/>
              <w:jc w:val="left"/>
              <w:rPr>
                <w:sz w:val="22"/>
              </w:rPr>
            </w:pPr>
            <w:r>
              <w:rPr>
                <w:sz w:val="22"/>
              </w:rPr>
              <w:t>ICAL</w:t>
            </w:r>
          </w:p>
          <w:p>
            <w:pPr>
              <w:pStyle w:val="TableParagraph"/>
              <w:spacing w:before="120"/>
              <w:ind w:left="913"/>
              <w:jc w:val="left"/>
              <w:rPr>
                <w:sz w:val="22"/>
              </w:rPr>
            </w:pPr>
            <w:r>
              <w:rPr>
                <w:sz w:val="22"/>
              </w:rPr>
              <w:t>Levels</w:t>
            </w:r>
          </w:p>
        </w:tc>
        <w:tc>
          <w:tcPr>
            <w:tcW w:w="898" w:type="dxa"/>
            <w:tcBorders>
              <w:top w:val="double" w:sz="1" w:space="0" w:color="000000"/>
              <w:bottom w:val="single" w:sz="4" w:space="0" w:color="000000"/>
            </w:tcBorders>
          </w:tcPr>
          <w:p>
            <w:pPr>
              <w:pStyle w:val="TableParagraph"/>
              <w:spacing w:before="120"/>
              <w:ind w:right="158"/>
              <w:jc w:val="right"/>
              <w:rPr>
                <w:sz w:val="22"/>
              </w:rPr>
            </w:pPr>
            <w:r>
              <w:rPr>
                <w:sz w:val="22"/>
              </w:rPr>
              <w:t>5 ng/L</w:t>
            </w:r>
          </w:p>
        </w:tc>
        <w:tc>
          <w:tcPr>
            <w:tcW w:w="970" w:type="dxa"/>
            <w:tcBorders>
              <w:top w:val="double" w:sz="1" w:space="0" w:color="000000"/>
              <w:bottom w:val="single" w:sz="4" w:space="0" w:color="000000"/>
            </w:tcBorders>
          </w:tcPr>
          <w:p>
            <w:pPr>
              <w:pStyle w:val="TableParagraph"/>
              <w:spacing w:before="120"/>
              <w:ind w:left="110"/>
              <w:jc w:val="left"/>
              <w:rPr>
                <w:sz w:val="22"/>
              </w:rPr>
            </w:pPr>
            <w:r>
              <w:rPr>
                <w:sz w:val="22"/>
              </w:rPr>
              <w:t>10 ng/L</w:t>
            </w:r>
          </w:p>
        </w:tc>
        <w:tc>
          <w:tcPr>
            <w:tcW w:w="1018" w:type="dxa"/>
            <w:tcBorders>
              <w:top w:val="double" w:sz="1" w:space="0" w:color="000000"/>
              <w:bottom w:val="single" w:sz="4" w:space="0" w:color="000000"/>
            </w:tcBorders>
          </w:tcPr>
          <w:p>
            <w:pPr>
              <w:pStyle w:val="TableParagraph"/>
              <w:spacing w:before="120"/>
              <w:ind w:left="70" w:right="106"/>
              <w:rPr>
                <w:sz w:val="22"/>
              </w:rPr>
            </w:pPr>
            <w:r>
              <w:rPr>
                <w:sz w:val="22"/>
              </w:rPr>
              <w:t>20 ng/L</w:t>
            </w:r>
          </w:p>
        </w:tc>
        <w:tc>
          <w:tcPr>
            <w:tcW w:w="1053" w:type="dxa"/>
            <w:tcBorders>
              <w:top w:val="double" w:sz="1" w:space="0" w:color="000000"/>
              <w:bottom w:val="single" w:sz="4" w:space="0" w:color="000000"/>
            </w:tcBorders>
          </w:tcPr>
          <w:p>
            <w:pPr>
              <w:pStyle w:val="TableParagraph"/>
              <w:spacing w:before="120"/>
              <w:ind w:left="138" w:right="140"/>
              <w:rPr>
                <w:sz w:val="22"/>
              </w:rPr>
            </w:pPr>
            <w:r>
              <w:rPr>
                <w:sz w:val="22"/>
              </w:rPr>
              <w:t>40 ng/L</w:t>
            </w:r>
          </w:p>
        </w:tc>
        <w:tc>
          <w:tcPr>
            <w:tcW w:w="1018" w:type="dxa"/>
            <w:tcBorders>
              <w:top w:val="double" w:sz="1" w:space="0" w:color="000000"/>
              <w:bottom w:val="single" w:sz="4" w:space="0" w:color="000000"/>
            </w:tcBorders>
          </w:tcPr>
          <w:p>
            <w:pPr>
              <w:pStyle w:val="TableParagraph"/>
              <w:spacing w:before="120"/>
              <w:ind w:left="104" w:right="73"/>
              <w:rPr>
                <w:sz w:val="22"/>
              </w:rPr>
            </w:pPr>
            <w:r>
              <w:rPr>
                <w:sz w:val="22"/>
              </w:rPr>
              <w:t>60 ng/L</w:t>
            </w:r>
          </w:p>
        </w:tc>
        <w:tc>
          <w:tcPr>
            <w:tcW w:w="1004" w:type="dxa"/>
            <w:tcBorders>
              <w:top w:val="double" w:sz="1" w:space="0" w:color="000000"/>
              <w:bottom w:val="single" w:sz="4" w:space="0" w:color="000000"/>
            </w:tcBorders>
          </w:tcPr>
          <w:p>
            <w:pPr>
              <w:pStyle w:val="TableParagraph"/>
              <w:spacing w:before="120"/>
              <w:ind w:right="145"/>
              <w:jc w:val="right"/>
              <w:rPr>
                <w:sz w:val="22"/>
              </w:rPr>
            </w:pPr>
            <w:r>
              <w:rPr>
                <w:sz w:val="22"/>
              </w:rPr>
              <w:t>80 ng/L</w:t>
            </w:r>
          </w:p>
        </w:tc>
        <w:tc>
          <w:tcPr>
            <w:tcW w:w="1135" w:type="dxa"/>
            <w:tcBorders>
              <w:top w:val="double" w:sz="1" w:space="0" w:color="000000"/>
              <w:bottom w:val="single" w:sz="4" w:space="0" w:color="000000"/>
            </w:tcBorders>
          </w:tcPr>
          <w:p>
            <w:pPr>
              <w:pStyle w:val="TableParagraph"/>
              <w:spacing w:before="120"/>
              <w:ind w:left="124" w:right="114"/>
              <w:rPr>
                <w:sz w:val="22"/>
              </w:rPr>
            </w:pPr>
            <w:r>
              <w:rPr>
                <w:sz w:val="22"/>
              </w:rPr>
              <w:t>100 ng/L</w:t>
            </w:r>
          </w:p>
        </w:tc>
        <w:tc>
          <w:tcPr>
            <w:tcW w:w="1109" w:type="dxa"/>
            <w:tcBorders>
              <w:top w:val="double" w:sz="1" w:space="0" w:color="000000"/>
              <w:bottom w:val="single" w:sz="4" w:space="0" w:color="000000"/>
            </w:tcBorders>
          </w:tcPr>
          <w:p>
            <w:pPr>
              <w:pStyle w:val="TableParagraph"/>
              <w:spacing w:before="120"/>
              <w:ind w:left="112" w:right="100"/>
              <w:rPr>
                <w:sz w:val="22"/>
              </w:rPr>
            </w:pPr>
            <w:r>
              <w:rPr>
                <w:sz w:val="22"/>
              </w:rPr>
              <w:t>150 ng/L</w:t>
            </w:r>
          </w:p>
        </w:tc>
        <w:tc>
          <w:tcPr>
            <w:tcW w:w="1132" w:type="dxa"/>
            <w:tcBorders>
              <w:top w:val="double" w:sz="1" w:space="0" w:color="000000"/>
              <w:bottom w:val="single" w:sz="4" w:space="0" w:color="000000"/>
            </w:tcBorders>
          </w:tcPr>
          <w:p>
            <w:pPr>
              <w:pStyle w:val="TableParagraph"/>
              <w:spacing w:before="120"/>
              <w:ind w:left="100" w:right="135"/>
              <w:rPr>
                <w:sz w:val="22"/>
              </w:rPr>
            </w:pPr>
            <w:r>
              <w:rPr>
                <w:sz w:val="22"/>
              </w:rPr>
              <w:t>200 ng/L</w:t>
            </w:r>
          </w:p>
        </w:tc>
      </w:tr>
      <w:tr>
        <w:trPr>
          <w:trHeight w:val="496" w:hRule="atLeast"/>
        </w:trPr>
        <w:tc>
          <w:tcPr>
            <w:tcW w:w="1740" w:type="dxa"/>
            <w:tcBorders>
              <w:top w:val="single" w:sz="4" w:space="0" w:color="000000"/>
            </w:tcBorders>
          </w:tcPr>
          <w:p>
            <w:pPr>
              <w:pStyle w:val="TableParagraph"/>
              <w:spacing w:before="120"/>
              <w:ind w:left="1005"/>
              <w:jc w:val="left"/>
              <w:rPr>
                <w:sz w:val="22"/>
              </w:rPr>
            </w:pPr>
            <w:r>
              <w:rPr>
                <w:sz w:val="22"/>
              </w:rPr>
              <w:t>PDS</w:t>
            </w:r>
          </w:p>
        </w:tc>
        <w:tc>
          <w:tcPr>
            <w:tcW w:w="898" w:type="dxa"/>
            <w:tcBorders>
              <w:top w:val="single" w:sz="4" w:space="0" w:color="000000"/>
            </w:tcBorders>
          </w:tcPr>
          <w:p>
            <w:pPr>
              <w:pStyle w:val="TableParagraph"/>
              <w:spacing w:before="120"/>
              <w:ind w:right="170"/>
              <w:jc w:val="right"/>
              <w:rPr>
                <w:sz w:val="22"/>
              </w:rPr>
            </w:pPr>
            <w:r>
              <w:rPr>
                <w:sz w:val="22"/>
              </w:rPr>
              <w:t>25 µL</w:t>
            </w:r>
          </w:p>
        </w:tc>
        <w:tc>
          <w:tcPr>
            <w:tcW w:w="970" w:type="dxa"/>
            <w:tcBorders>
              <w:top w:val="single" w:sz="4" w:space="0" w:color="000000"/>
            </w:tcBorders>
          </w:tcPr>
          <w:p>
            <w:pPr>
              <w:pStyle w:val="TableParagraph"/>
              <w:spacing w:before="120"/>
              <w:ind w:left="214"/>
              <w:jc w:val="left"/>
              <w:rPr>
                <w:sz w:val="22"/>
              </w:rPr>
            </w:pPr>
            <w:r>
              <w:rPr>
                <w:sz w:val="22"/>
              </w:rPr>
              <w:t>50 µL</w:t>
            </w:r>
          </w:p>
        </w:tc>
        <w:tc>
          <w:tcPr>
            <w:tcW w:w="1018" w:type="dxa"/>
            <w:tcBorders>
              <w:top w:val="single" w:sz="4" w:space="0" w:color="000000"/>
            </w:tcBorders>
          </w:tcPr>
          <w:p>
            <w:pPr>
              <w:pStyle w:val="TableParagraph"/>
              <w:spacing w:before="120"/>
              <w:ind w:left="99" w:right="106"/>
              <w:rPr>
                <w:sz w:val="22"/>
              </w:rPr>
            </w:pPr>
            <w:r>
              <w:rPr>
                <w:sz w:val="22"/>
              </w:rPr>
              <w:t>100 µL</w:t>
            </w:r>
          </w:p>
        </w:tc>
        <w:tc>
          <w:tcPr>
            <w:tcW w:w="1053" w:type="dxa"/>
            <w:tcBorders>
              <w:top w:val="single" w:sz="4" w:space="0" w:color="000000"/>
            </w:tcBorders>
          </w:tcPr>
          <w:p>
            <w:pPr>
              <w:pStyle w:val="TableParagraph"/>
              <w:spacing w:before="120"/>
              <w:ind w:left="138" w:right="112"/>
              <w:rPr>
                <w:sz w:val="22"/>
              </w:rPr>
            </w:pPr>
            <w:r>
              <w:rPr>
                <w:sz w:val="22"/>
              </w:rPr>
              <w:t>200 µL</w:t>
            </w:r>
          </w:p>
        </w:tc>
        <w:tc>
          <w:tcPr>
            <w:tcW w:w="1018" w:type="dxa"/>
            <w:tcBorders>
              <w:top w:val="single" w:sz="4" w:space="0" w:color="000000"/>
            </w:tcBorders>
          </w:tcPr>
          <w:p>
            <w:pPr>
              <w:pStyle w:val="TableParagraph"/>
              <w:spacing w:before="120"/>
              <w:ind w:left="104" w:right="44"/>
              <w:rPr>
                <w:sz w:val="22"/>
              </w:rPr>
            </w:pPr>
            <w:r>
              <w:rPr>
                <w:sz w:val="22"/>
              </w:rPr>
              <w:t>300 µL</w:t>
            </w:r>
          </w:p>
        </w:tc>
        <w:tc>
          <w:tcPr>
            <w:tcW w:w="1004" w:type="dxa"/>
            <w:tcBorders>
              <w:top w:val="single" w:sz="4" w:space="0" w:color="000000"/>
            </w:tcBorders>
          </w:tcPr>
          <w:p>
            <w:pPr>
              <w:pStyle w:val="TableParagraph"/>
              <w:spacing w:before="120"/>
              <w:ind w:right="159"/>
              <w:jc w:val="right"/>
              <w:rPr>
                <w:sz w:val="22"/>
              </w:rPr>
            </w:pPr>
            <w:r>
              <w:rPr>
                <w:sz w:val="22"/>
              </w:rPr>
              <w:t>400 µL</w:t>
            </w:r>
          </w:p>
        </w:tc>
        <w:tc>
          <w:tcPr>
            <w:tcW w:w="1135" w:type="dxa"/>
            <w:tcBorders>
              <w:top w:val="single" w:sz="4" w:space="0" w:color="000000"/>
            </w:tcBorders>
          </w:tcPr>
          <w:p>
            <w:pPr>
              <w:pStyle w:val="TableParagraph"/>
              <w:spacing w:before="120"/>
              <w:ind w:left="124" w:right="83"/>
              <w:rPr>
                <w:sz w:val="22"/>
              </w:rPr>
            </w:pPr>
            <w:r>
              <w:rPr>
                <w:sz w:val="22"/>
              </w:rPr>
              <w:t>500 µL</w:t>
            </w:r>
          </w:p>
        </w:tc>
        <w:tc>
          <w:tcPr>
            <w:tcW w:w="1109" w:type="dxa"/>
            <w:tcBorders>
              <w:top w:val="single" w:sz="4" w:space="0" w:color="000000"/>
            </w:tcBorders>
          </w:tcPr>
          <w:p>
            <w:pPr>
              <w:pStyle w:val="TableParagraph"/>
              <w:spacing w:before="120"/>
              <w:ind w:left="112" w:right="69"/>
              <w:rPr>
                <w:sz w:val="22"/>
              </w:rPr>
            </w:pPr>
            <w:r>
              <w:rPr>
                <w:sz w:val="22"/>
              </w:rPr>
              <w:t>750 µL</w:t>
            </w:r>
          </w:p>
        </w:tc>
        <w:tc>
          <w:tcPr>
            <w:tcW w:w="1132" w:type="dxa"/>
            <w:tcBorders>
              <w:top w:val="single" w:sz="4" w:space="0" w:color="000000"/>
            </w:tcBorders>
          </w:tcPr>
          <w:p>
            <w:pPr>
              <w:pStyle w:val="TableParagraph"/>
              <w:spacing w:before="120"/>
              <w:ind w:left="100" w:right="104"/>
              <w:rPr>
                <w:sz w:val="22"/>
              </w:rPr>
            </w:pPr>
            <w:r>
              <w:rPr>
                <w:sz w:val="22"/>
              </w:rPr>
              <w:t>1000 µL</w:t>
            </w:r>
          </w:p>
        </w:tc>
      </w:tr>
      <w:tr>
        <w:trPr>
          <w:trHeight w:val="743" w:hRule="atLeast"/>
        </w:trPr>
        <w:tc>
          <w:tcPr>
            <w:tcW w:w="1740" w:type="dxa"/>
            <w:tcBorders>
              <w:bottom w:val="double" w:sz="1" w:space="0" w:color="000000"/>
            </w:tcBorders>
          </w:tcPr>
          <w:p>
            <w:pPr>
              <w:pStyle w:val="TableParagraph"/>
              <w:spacing w:before="116"/>
              <w:ind w:left="797" w:right="91" w:firstLine="36"/>
              <w:jc w:val="left"/>
              <w:rPr>
                <w:sz w:val="22"/>
              </w:rPr>
            </w:pPr>
            <w:r>
              <w:rPr>
                <w:sz w:val="22"/>
              </w:rPr>
              <w:t>Solution B</w:t>
            </w:r>
          </w:p>
        </w:tc>
        <w:tc>
          <w:tcPr>
            <w:tcW w:w="898" w:type="dxa"/>
            <w:tcBorders>
              <w:bottom w:val="double" w:sz="1" w:space="0" w:color="000000"/>
            </w:tcBorders>
          </w:tcPr>
          <w:p>
            <w:pPr>
              <w:pStyle w:val="TableParagraph"/>
              <w:spacing w:before="116"/>
              <w:ind w:right="109"/>
              <w:jc w:val="right"/>
              <w:rPr>
                <w:sz w:val="22"/>
              </w:rPr>
            </w:pPr>
            <w:r>
              <w:rPr>
                <w:sz w:val="22"/>
              </w:rPr>
              <w:t>975 µL</w:t>
            </w:r>
          </w:p>
        </w:tc>
        <w:tc>
          <w:tcPr>
            <w:tcW w:w="970" w:type="dxa"/>
            <w:tcBorders>
              <w:bottom w:val="double" w:sz="1" w:space="0" w:color="000000"/>
            </w:tcBorders>
          </w:tcPr>
          <w:p>
            <w:pPr>
              <w:pStyle w:val="TableParagraph"/>
              <w:spacing w:before="116"/>
              <w:ind w:left="153"/>
              <w:jc w:val="left"/>
              <w:rPr>
                <w:sz w:val="22"/>
              </w:rPr>
            </w:pPr>
            <w:r>
              <w:rPr>
                <w:sz w:val="22"/>
              </w:rPr>
              <w:t>950 µL</w:t>
            </w:r>
          </w:p>
        </w:tc>
        <w:tc>
          <w:tcPr>
            <w:tcW w:w="1018" w:type="dxa"/>
            <w:tcBorders>
              <w:bottom w:val="double" w:sz="1" w:space="0" w:color="000000"/>
            </w:tcBorders>
          </w:tcPr>
          <w:p>
            <w:pPr>
              <w:pStyle w:val="TableParagraph"/>
              <w:spacing w:before="116"/>
              <w:ind w:left="98" w:right="106"/>
              <w:rPr>
                <w:sz w:val="22"/>
              </w:rPr>
            </w:pPr>
            <w:r>
              <w:rPr>
                <w:sz w:val="22"/>
              </w:rPr>
              <w:t>900 µL</w:t>
            </w:r>
          </w:p>
        </w:tc>
        <w:tc>
          <w:tcPr>
            <w:tcW w:w="1053" w:type="dxa"/>
            <w:tcBorders>
              <w:bottom w:val="double" w:sz="1" w:space="0" w:color="000000"/>
            </w:tcBorders>
          </w:tcPr>
          <w:p>
            <w:pPr>
              <w:pStyle w:val="TableParagraph"/>
              <w:spacing w:before="116"/>
              <w:ind w:left="138" w:right="112"/>
              <w:rPr>
                <w:sz w:val="22"/>
              </w:rPr>
            </w:pPr>
            <w:r>
              <w:rPr>
                <w:sz w:val="22"/>
              </w:rPr>
              <w:t>800 µL</w:t>
            </w:r>
          </w:p>
        </w:tc>
        <w:tc>
          <w:tcPr>
            <w:tcW w:w="1018" w:type="dxa"/>
            <w:tcBorders>
              <w:bottom w:val="double" w:sz="1" w:space="0" w:color="000000"/>
            </w:tcBorders>
          </w:tcPr>
          <w:p>
            <w:pPr>
              <w:pStyle w:val="TableParagraph"/>
              <w:spacing w:before="116"/>
              <w:ind w:left="104" w:right="45"/>
              <w:rPr>
                <w:sz w:val="22"/>
              </w:rPr>
            </w:pPr>
            <w:r>
              <w:rPr>
                <w:sz w:val="22"/>
              </w:rPr>
              <w:t>700 µL</w:t>
            </w:r>
          </w:p>
        </w:tc>
        <w:tc>
          <w:tcPr>
            <w:tcW w:w="1004" w:type="dxa"/>
            <w:tcBorders>
              <w:bottom w:val="double" w:sz="1" w:space="0" w:color="000000"/>
            </w:tcBorders>
          </w:tcPr>
          <w:p>
            <w:pPr>
              <w:pStyle w:val="TableParagraph"/>
              <w:spacing w:before="116"/>
              <w:ind w:right="160"/>
              <w:jc w:val="right"/>
              <w:rPr>
                <w:sz w:val="22"/>
              </w:rPr>
            </w:pPr>
            <w:r>
              <w:rPr>
                <w:sz w:val="22"/>
              </w:rPr>
              <w:t>600 µL</w:t>
            </w:r>
          </w:p>
        </w:tc>
        <w:tc>
          <w:tcPr>
            <w:tcW w:w="1135" w:type="dxa"/>
            <w:tcBorders>
              <w:bottom w:val="double" w:sz="1" w:space="0" w:color="000000"/>
            </w:tcBorders>
          </w:tcPr>
          <w:p>
            <w:pPr>
              <w:pStyle w:val="TableParagraph"/>
              <w:spacing w:before="116"/>
              <w:ind w:left="124" w:right="84"/>
              <w:rPr>
                <w:sz w:val="22"/>
              </w:rPr>
            </w:pPr>
            <w:r>
              <w:rPr>
                <w:sz w:val="22"/>
              </w:rPr>
              <w:t>500 µL</w:t>
            </w:r>
          </w:p>
        </w:tc>
        <w:tc>
          <w:tcPr>
            <w:tcW w:w="1109" w:type="dxa"/>
            <w:tcBorders>
              <w:bottom w:val="double" w:sz="1" w:space="0" w:color="000000"/>
            </w:tcBorders>
          </w:tcPr>
          <w:p>
            <w:pPr>
              <w:pStyle w:val="TableParagraph"/>
              <w:spacing w:before="116"/>
              <w:ind w:left="112" w:right="69"/>
              <w:rPr>
                <w:sz w:val="22"/>
              </w:rPr>
            </w:pPr>
            <w:r>
              <w:rPr>
                <w:sz w:val="22"/>
              </w:rPr>
              <w:t>250 µL</w:t>
            </w:r>
          </w:p>
        </w:tc>
        <w:tc>
          <w:tcPr>
            <w:tcW w:w="1132" w:type="dxa"/>
            <w:tcBorders>
              <w:bottom w:val="double" w:sz="1" w:space="0" w:color="000000"/>
            </w:tcBorders>
          </w:tcPr>
          <w:p>
            <w:pPr>
              <w:pStyle w:val="TableParagraph"/>
              <w:spacing w:before="116"/>
              <w:ind w:left="100" w:right="104"/>
              <w:rPr>
                <w:sz w:val="22"/>
              </w:rPr>
            </w:pPr>
            <w:r>
              <w:rPr>
                <w:sz w:val="22"/>
              </w:rPr>
              <w:t>0 µL</w:t>
            </w:r>
          </w:p>
        </w:tc>
      </w:tr>
    </w:tbl>
    <w:p>
      <w:pPr>
        <w:pStyle w:val="BodyText"/>
        <w:spacing w:line="388" w:lineRule="auto" w:before="9"/>
        <w:ind w:left="1700" w:right="2454" w:hanging="1"/>
      </w:pPr>
      <w:r>
        <w:rPr/>
        <w:t>PDS: 200 ng/L stock solution prepared according to Section 7.4.4 Solvent: 50:50 methanol-water with 0.1% acetic acid.</w:t>
      </w:r>
    </w:p>
    <w:p>
      <w:pPr>
        <w:pStyle w:val="BodyText"/>
        <w:spacing w:line="276" w:lineRule="auto" w:before="3"/>
        <w:ind w:left="980" w:right="976" w:firstLine="720"/>
      </w:pPr>
      <w:r>
        <w:rPr/>
        <w:t>* These values are the nominal concentrations in the calibration standards. The concentration obtained from the instrument is then corrected for the 2-fold dilution made during the sample preparation process producing the reporting ranges in Table 1. Salt concentrations may also require conversion to the anion for reporting purposes. For example in the Wellington standard (PFAC-24PAR), PFBS salt has a concentration of 2 ug/mL and the anion is 1.77 ug/mL.</w:t>
      </w:r>
    </w:p>
    <w:p>
      <w:pPr>
        <w:spacing w:after="0" w:line="276" w:lineRule="auto"/>
        <w:sectPr>
          <w:pgSz w:w="12240" w:h="15840"/>
          <w:pgMar w:header="0" w:footer="1214" w:top="1140" w:bottom="1400" w:left="460" w:right="480"/>
        </w:sectPr>
      </w:pPr>
    </w:p>
    <w:p>
      <w:pPr>
        <w:pStyle w:val="BodyText"/>
        <w:spacing w:before="70"/>
        <w:ind w:left="740"/>
        <w:jc w:val="center"/>
      </w:pPr>
      <w:bookmarkStart w:name="TABLE 5A" w:id="302"/>
      <w:bookmarkEnd w:id="302"/>
      <w:r>
        <w:rPr/>
      </w:r>
      <w:bookmarkStart w:name="_bookmark28" w:id="303"/>
      <w:bookmarkEnd w:id="303"/>
      <w:r>
        <w:rPr/>
      </w:r>
      <w:r>
        <w:rPr/>
        <w:t>TABLE 5A</w:t>
      </w:r>
    </w:p>
    <w:p>
      <w:pPr>
        <w:pStyle w:val="BodyText"/>
        <w:spacing w:line="276" w:lineRule="auto" w:before="159"/>
        <w:ind w:left="4554" w:right="2020" w:hanging="1773"/>
      </w:pPr>
      <w:bookmarkStart w:name="EXAMPLE OF TERNARY GRADIENT CONDITIONS F" w:id="304"/>
      <w:bookmarkEnd w:id="304"/>
      <w:r>
        <w:rPr/>
      </w:r>
      <w:bookmarkStart w:name="_bookmark29" w:id="305"/>
      <w:bookmarkEnd w:id="305"/>
      <w:r>
        <w:rPr/>
      </w:r>
      <w:r>
        <w:rPr/>
        <w:t>EXAMPLE OF TERNARY GRADIENT CONDITIONS FOR LIQUID CHROMATOGRAPHY</w:t>
      </w:r>
    </w:p>
    <w:p>
      <w:pPr>
        <w:pStyle w:val="BodyText"/>
        <w:spacing w:before="10"/>
        <w:rPr>
          <w:sz w:val="20"/>
        </w:rPr>
      </w:pPr>
    </w:p>
    <w:p>
      <w:pPr>
        <w:pStyle w:val="BodyText"/>
        <w:spacing w:line="276" w:lineRule="auto"/>
        <w:ind w:left="981" w:right="1643" w:firstLine="719"/>
      </w:pPr>
      <w:r>
        <w:rPr/>
        <w:t>To prepare 1 liter of solvent C, dissolve 30.8 g of ammonium acetate in 950 mL of reagent water and add 50 mL of acetonitrile.</w:t>
      </w:r>
    </w:p>
    <w:p>
      <w:pPr>
        <w:pStyle w:val="BodyText"/>
        <w:spacing w:before="3"/>
        <w:rPr>
          <w:sz w:val="11"/>
        </w:rPr>
      </w:pPr>
    </w:p>
    <w:tbl>
      <w:tblPr>
        <w:tblW w:w="0" w:type="auto"/>
        <w:jc w:val="left"/>
        <w:tblInd w:w="99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top w:w="0" w:type="dxa"/>
          <w:left w:w="0" w:type="dxa"/>
          <w:bottom w:w="0" w:type="dxa"/>
          <w:right w:w="0" w:type="dxa"/>
        </w:tblCellMar>
        <w:tblLook w:val="01E0"/>
      </w:tblPr>
      <w:tblGrid>
        <w:gridCol w:w="1096"/>
        <w:gridCol w:w="1170"/>
        <w:gridCol w:w="2520"/>
        <w:gridCol w:w="1722"/>
        <w:gridCol w:w="2780"/>
      </w:tblGrid>
      <w:tr>
        <w:trPr>
          <w:trHeight w:val="355" w:hRule="atLeast"/>
        </w:trPr>
        <w:tc>
          <w:tcPr>
            <w:tcW w:w="1096" w:type="dxa"/>
            <w:vMerge w:val="restart"/>
            <w:tcBorders>
              <w:left w:val="single" w:sz="4" w:space="0" w:color="000000"/>
              <w:bottom w:val="single" w:sz="2" w:space="0" w:color="000000"/>
              <w:right w:val="single" w:sz="4" w:space="0" w:color="000000"/>
            </w:tcBorders>
          </w:tcPr>
          <w:p>
            <w:pPr>
              <w:pStyle w:val="TableParagraph"/>
              <w:spacing w:before="0"/>
              <w:jc w:val="left"/>
              <w:rPr>
                <w:sz w:val="24"/>
              </w:rPr>
            </w:pPr>
          </w:p>
          <w:p>
            <w:pPr>
              <w:pStyle w:val="TableParagraph"/>
              <w:spacing w:before="0"/>
              <w:jc w:val="left"/>
              <w:rPr>
                <w:sz w:val="24"/>
              </w:rPr>
            </w:pPr>
          </w:p>
          <w:p>
            <w:pPr>
              <w:pStyle w:val="TableParagraph"/>
              <w:spacing w:before="1"/>
              <w:jc w:val="left"/>
              <w:rPr>
                <w:sz w:val="26"/>
              </w:rPr>
            </w:pPr>
          </w:p>
          <w:p>
            <w:pPr>
              <w:pStyle w:val="TableParagraph"/>
              <w:spacing w:before="0"/>
              <w:ind w:left="22"/>
              <w:jc w:val="left"/>
              <w:rPr>
                <w:sz w:val="22"/>
              </w:rPr>
            </w:pPr>
            <w:r>
              <w:rPr>
                <w:sz w:val="22"/>
              </w:rPr>
              <w:t>Time (min)</w:t>
            </w:r>
          </w:p>
        </w:tc>
        <w:tc>
          <w:tcPr>
            <w:tcW w:w="1170" w:type="dxa"/>
            <w:vMerge w:val="restart"/>
            <w:tcBorders>
              <w:left w:val="single" w:sz="4" w:space="0" w:color="000000"/>
              <w:bottom w:val="single" w:sz="2" w:space="0" w:color="000000"/>
              <w:right w:val="single" w:sz="4" w:space="0" w:color="000000"/>
            </w:tcBorders>
          </w:tcPr>
          <w:p>
            <w:pPr>
              <w:pStyle w:val="TableParagraph"/>
              <w:spacing w:before="8"/>
              <w:jc w:val="left"/>
              <w:rPr>
                <w:sz w:val="24"/>
              </w:rPr>
            </w:pPr>
          </w:p>
          <w:p>
            <w:pPr>
              <w:pStyle w:val="TableParagraph"/>
              <w:spacing w:line="410" w:lineRule="atLeast" w:before="0"/>
              <w:ind w:left="149" w:firstLine="201"/>
              <w:jc w:val="left"/>
              <w:rPr>
                <w:sz w:val="22"/>
              </w:rPr>
            </w:pPr>
            <w:r>
              <w:rPr>
                <w:sz w:val="22"/>
              </w:rPr>
              <w:t>Flow </w:t>
            </w:r>
            <w:r>
              <w:rPr>
                <w:w w:val="95"/>
                <w:sz w:val="22"/>
              </w:rPr>
              <w:t>(mL/min)</w:t>
            </w:r>
          </w:p>
        </w:tc>
        <w:tc>
          <w:tcPr>
            <w:tcW w:w="2520" w:type="dxa"/>
            <w:tcBorders>
              <w:left w:val="single" w:sz="4" w:space="0" w:color="000000"/>
              <w:bottom w:val="nil"/>
              <w:right w:val="single" w:sz="4" w:space="0" w:color="000000"/>
            </w:tcBorders>
          </w:tcPr>
          <w:p>
            <w:pPr>
              <w:pStyle w:val="TableParagraph"/>
              <w:spacing w:before="15"/>
              <w:ind w:left="400" w:right="394"/>
              <w:rPr>
                <w:sz w:val="22"/>
              </w:rPr>
            </w:pPr>
            <w:r>
              <w:rPr>
                <w:sz w:val="22"/>
              </w:rPr>
              <w:t>% Solvent Line A</w:t>
            </w:r>
          </w:p>
        </w:tc>
        <w:tc>
          <w:tcPr>
            <w:tcW w:w="1722" w:type="dxa"/>
            <w:tcBorders>
              <w:left w:val="single" w:sz="4" w:space="0" w:color="000000"/>
              <w:bottom w:val="nil"/>
              <w:right w:val="single" w:sz="4" w:space="0" w:color="000000"/>
            </w:tcBorders>
          </w:tcPr>
          <w:p>
            <w:pPr>
              <w:pStyle w:val="TableParagraph"/>
              <w:spacing w:before="15"/>
              <w:ind w:right="2"/>
              <w:rPr>
                <w:sz w:val="22"/>
              </w:rPr>
            </w:pPr>
            <w:r>
              <w:rPr>
                <w:sz w:val="22"/>
              </w:rPr>
              <w:t>% Solvent Line B</w:t>
            </w:r>
          </w:p>
        </w:tc>
        <w:tc>
          <w:tcPr>
            <w:tcW w:w="2780" w:type="dxa"/>
            <w:tcBorders>
              <w:left w:val="single" w:sz="4" w:space="0" w:color="000000"/>
              <w:bottom w:val="nil"/>
              <w:right w:val="single" w:sz="4" w:space="0" w:color="000000"/>
            </w:tcBorders>
          </w:tcPr>
          <w:p>
            <w:pPr>
              <w:pStyle w:val="TableParagraph"/>
              <w:spacing w:before="15"/>
              <w:ind w:left="519" w:right="523"/>
              <w:rPr>
                <w:sz w:val="22"/>
              </w:rPr>
            </w:pPr>
            <w:r>
              <w:rPr>
                <w:sz w:val="22"/>
              </w:rPr>
              <w:t>% Solvent Line C</w:t>
            </w:r>
          </w:p>
        </w:tc>
      </w:tr>
      <w:tr>
        <w:trPr>
          <w:trHeight w:val="902" w:hRule="atLeast"/>
        </w:trPr>
        <w:tc>
          <w:tcPr>
            <w:tcW w:w="1096" w:type="dxa"/>
            <w:vMerge/>
            <w:tcBorders>
              <w:top w:val="nil"/>
              <w:left w:val="single" w:sz="4" w:space="0" w:color="000000"/>
              <w:bottom w:val="single" w:sz="2" w:space="0" w:color="000000"/>
              <w:right w:val="single" w:sz="4" w:space="0" w:color="000000"/>
            </w:tcBorders>
          </w:tcPr>
          <w:p>
            <w:pPr>
              <w:rPr>
                <w:sz w:val="2"/>
                <w:szCs w:val="2"/>
              </w:rPr>
            </w:pPr>
          </w:p>
        </w:tc>
        <w:tc>
          <w:tcPr>
            <w:tcW w:w="1170" w:type="dxa"/>
            <w:vMerge/>
            <w:tcBorders>
              <w:top w:val="nil"/>
              <w:left w:val="single" w:sz="4" w:space="0" w:color="000000"/>
              <w:bottom w:val="single" w:sz="2" w:space="0" w:color="000000"/>
              <w:right w:val="single" w:sz="4" w:space="0" w:color="000000"/>
            </w:tcBorders>
          </w:tcPr>
          <w:p>
            <w:pPr>
              <w:rPr>
                <w:sz w:val="2"/>
                <w:szCs w:val="2"/>
              </w:rPr>
            </w:pPr>
          </w:p>
        </w:tc>
        <w:tc>
          <w:tcPr>
            <w:tcW w:w="2520" w:type="dxa"/>
            <w:tcBorders>
              <w:top w:val="nil"/>
              <w:left w:val="single" w:sz="4" w:space="0" w:color="000000"/>
              <w:bottom w:val="single" w:sz="2" w:space="0" w:color="000000"/>
              <w:right w:val="single" w:sz="4" w:space="0" w:color="000000"/>
            </w:tcBorders>
          </w:tcPr>
          <w:p>
            <w:pPr>
              <w:pStyle w:val="TableParagraph"/>
              <w:ind w:left="400" w:right="393"/>
              <w:rPr>
                <w:sz w:val="22"/>
              </w:rPr>
            </w:pPr>
            <w:r>
              <w:rPr>
                <w:sz w:val="22"/>
              </w:rPr>
              <w:t>95% water:</w:t>
            </w:r>
          </w:p>
          <w:p>
            <w:pPr>
              <w:pStyle w:val="TableParagraph"/>
              <w:spacing w:before="159"/>
              <w:ind w:left="400" w:right="393"/>
              <w:rPr>
                <w:sz w:val="22"/>
              </w:rPr>
            </w:pPr>
            <w:r>
              <w:rPr>
                <w:sz w:val="22"/>
              </w:rPr>
              <w:t>5% acetonitrile</w:t>
            </w:r>
          </w:p>
        </w:tc>
        <w:tc>
          <w:tcPr>
            <w:tcW w:w="1722" w:type="dxa"/>
            <w:tcBorders>
              <w:top w:val="nil"/>
              <w:left w:val="single" w:sz="4" w:space="0" w:color="000000"/>
              <w:bottom w:val="single" w:sz="2" w:space="0" w:color="000000"/>
              <w:right w:val="single" w:sz="4" w:space="0" w:color="000000"/>
            </w:tcBorders>
          </w:tcPr>
          <w:p>
            <w:pPr>
              <w:pStyle w:val="TableParagraph"/>
              <w:spacing w:before="0"/>
              <w:jc w:val="left"/>
              <w:rPr>
                <w:sz w:val="24"/>
              </w:rPr>
            </w:pPr>
          </w:p>
          <w:p>
            <w:pPr>
              <w:pStyle w:val="TableParagraph"/>
              <w:spacing w:before="216"/>
              <w:ind w:right="2"/>
              <w:rPr>
                <w:sz w:val="22"/>
              </w:rPr>
            </w:pPr>
            <w:r>
              <w:rPr>
                <w:sz w:val="22"/>
              </w:rPr>
              <w:t>Acetonitrile</w:t>
            </w:r>
          </w:p>
        </w:tc>
        <w:tc>
          <w:tcPr>
            <w:tcW w:w="2780" w:type="dxa"/>
            <w:tcBorders>
              <w:top w:val="nil"/>
              <w:left w:val="single" w:sz="4" w:space="0" w:color="000000"/>
              <w:bottom w:val="single" w:sz="2" w:space="0" w:color="000000"/>
              <w:right w:val="single" w:sz="4" w:space="0" w:color="000000"/>
            </w:tcBorders>
          </w:tcPr>
          <w:p>
            <w:pPr>
              <w:pStyle w:val="TableParagraph"/>
              <w:spacing w:line="276" w:lineRule="auto" w:before="200"/>
              <w:ind w:left="5" w:right="-7" w:firstLine="43"/>
              <w:jc w:val="left"/>
              <w:rPr>
                <w:sz w:val="22"/>
              </w:rPr>
            </w:pPr>
            <w:r>
              <w:rPr>
                <w:sz w:val="22"/>
              </w:rPr>
              <w:t>400mM ammonium acetate (95% water: 5% acetonitrile)</w:t>
            </w:r>
          </w:p>
        </w:tc>
      </w:tr>
      <w:tr>
        <w:trPr>
          <w:trHeight w:val="538" w:hRule="atLeast"/>
        </w:trPr>
        <w:tc>
          <w:tcPr>
            <w:tcW w:w="1096" w:type="dxa"/>
            <w:tcBorders>
              <w:top w:val="single" w:sz="2" w:space="0" w:color="000000"/>
              <w:left w:val="single" w:sz="4" w:space="0" w:color="000000"/>
              <w:bottom w:val="nil"/>
              <w:right w:val="single" w:sz="4" w:space="0" w:color="000000"/>
            </w:tcBorders>
          </w:tcPr>
          <w:p>
            <w:pPr>
              <w:pStyle w:val="TableParagraph"/>
              <w:spacing w:before="135"/>
              <w:ind w:right="474"/>
              <w:jc w:val="right"/>
              <w:rPr>
                <w:sz w:val="22"/>
              </w:rPr>
            </w:pPr>
            <w:r>
              <w:rPr>
                <w:w w:val="99"/>
                <w:sz w:val="22"/>
              </w:rPr>
              <w:t>0</w:t>
            </w:r>
          </w:p>
        </w:tc>
        <w:tc>
          <w:tcPr>
            <w:tcW w:w="1170" w:type="dxa"/>
            <w:tcBorders>
              <w:top w:val="single" w:sz="2" w:space="0" w:color="000000"/>
              <w:left w:val="single" w:sz="4" w:space="0" w:color="000000"/>
              <w:bottom w:val="nil"/>
              <w:right w:val="single" w:sz="4" w:space="0" w:color="000000"/>
            </w:tcBorders>
          </w:tcPr>
          <w:p>
            <w:pPr>
              <w:pStyle w:val="TableParagraph"/>
              <w:spacing w:before="135"/>
              <w:ind w:left="410" w:right="404"/>
              <w:rPr>
                <w:sz w:val="22"/>
              </w:rPr>
            </w:pPr>
            <w:r>
              <w:rPr>
                <w:sz w:val="22"/>
              </w:rPr>
              <w:t>0.3</w:t>
            </w:r>
          </w:p>
        </w:tc>
        <w:tc>
          <w:tcPr>
            <w:tcW w:w="2520" w:type="dxa"/>
            <w:tcBorders>
              <w:top w:val="single" w:sz="2" w:space="0" w:color="000000"/>
              <w:left w:val="single" w:sz="4" w:space="0" w:color="000000"/>
              <w:bottom w:val="nil"/>
              <w:right w:val="single" w:sz="4" w:space="0" w:color="000000"/>
            </w:tcBorders>
          </w:tcPr>
          <w:p>
            <w:pPr>
              <w:pStyle w:val="TableParagraph"/>
              <w:spacing w:before="135"/>
              <w:ind w:left="400" w:right="394"/>
              <w:rPr>
                <w:sz w:val="22"/>
              </w:rPr>
            </w:pPr>
            <w:r>
              <w:rPr>
                <w:sz w:val="22"/>
              </w:rPr>
              <w:t>95</w:t>
            </w:r>
          </w:p>
        </w:tc>
        <w:tc>
          <w:tcPr>
            <w:tcW w:w="1722" w:type="dxa"/>
            <w:tcBorders>
              <w:top w:val="single" w:sz="2" w:space="0" w:color="000000"/>
              <w:left w:val="single" w:sz="4" w:space="0" w:color="000000"/>
              <w:bottom w:val="nil"/>
              <w:right w:val="single" w:sz="4" w:space="0" w:color="000000"/>
            </w:tcBorders>
          </w:tcPr>
          <w:p>
            <w:pPr>
              <w:pStyle w:val="TableParagraph"/>
              <w:spacing w:before="135"/>
              <w:ind w:right="2"/>
              <w:rPr>
                <w:sz w:val="22"/>
              </w:rPr>
            </w:pPr>
            <w:r>
              <w:rPr>
                <w:w w:val="99"/>
                <w:sz w:val="22"/>
              </w:rPr>
              <w:t>0</w:t>
            </w:r>
          </w:p>
        </w:tc>
        <w:tc>
          <w:tcPr>
            <w:tcW w:w="2780" w:type="dxa"/>
            <w:tcBorders>
              <w:top w:val="single" w:sz="2" w:space="0" w:color="000000"/>
              <w:left w:val="single" w:sz="4" w:space="0" w:color="000000"/>
              <w:bottom w:val="nil"/>
              <w:right w:val="single" w:sz="4" w:space="0" w:color="000000"/>
            </w:tcBorders>
          </w:tcPr>
          <w:p>
            <w:pPr>
              <w:pStyle w:val="TableParagraph"/>
              <w:spacing w:before="135"/>
              <w:ind w:right="4"/>
              <w:rPr>
                <w:sz w:val="22"/>
              </w:rPr>
            </w:pPr>
            <w:r>
              <w:rPr>
                <w:w w:val="99"/>
                <w:sz w:val="22"/>
              </w:rPr>
              <w:t>5</w:t>
            </w:r>
          </w:p>
        </w:tc>
      </w:tr>
      <w:tr>
        <w:trPr>
          <w:trHeight w:val="546" w:hRule="atLeast"/>
        </w:trPr>
        <w:tc>
          <w:tcPr>
            <w:tcW w:w="1096" w:type="dxa"/>
            <w:tcBorders>
              <w:top w:val="nil"/>
              <w:left w:val="single" w:sz="4" w:space="0" w:color="000000"/>
              <w:bottom w:val="nil"/>
              <w:right w:val="single" w:sz="4" w:space="0" w:color="000000"/>
            </w:tcBorders>
          </w:tcPr>
          <w:p>
            <w:pPr>
              <w:pStyle w:val="TableParagraph"/>
              <w:spacing w:before="142"/>
              <w:ind w:right="474"/>
              <w:jc w:val="right"/>
              <w:rPr>
                <w:sz w:val="22"/>
              </w:rPr>
            </w:pPr>
            <w:r>
              <w:rPr>
                <w:w w:val="99"/>
                <w:sz w:val="22"/>
              </w:rPr>
              <w:t>1</w:t>
            </w:r>
          </w:p>
        </w:tc>
        <w:tc>
          <w:tcPr>
            <w:tcW w:w="1170" w:type="dxa"/>
            <w:tcBorders>
              <w:top w:val="nil"/>
              <w:left w:val="single" w:sz="4" w:space="0" w:color="000000"/>
              <w:bottom w:val="nil"/>
              <w:right w:val="single" w:sz="4" w:space="0" w:color="000000"/>
            </w:tcBorders>
          </w:tcPr>
          <w:p>
            <w:pPr>
              <w:pStyle w:val="TableParagraph"/>
              <w:spacing w:before="142"/>
              <w:ind w:left="410" w:right="404"/>
              <w:rPr>
                <w:sz w:val="22"/>
              </w:rPr>
            </w:pPr>
            <w:r>
              <w:rPr>
                <w:sz w:val="22"/>
              </w:rPr>
              <w:t>0.3</w:t>
            </w:r>
          </w:p>
        </w:tc>
        <w:tc>
          <w:tcPr>
            <w:tcW w:w="2520" w:type="dxa"/>
            <w:tcBorders>
              <w:top w:val="nil"/>
              <w:left w:val="single" w:sz="4" w:space="0" w:color="000000"/>
              <w:bottom w:val="nil"/>
              <w:right w:val="single" w:sz="4" w:space="0" w:color="000000"/>
            </w:tcBorders>
          </w:tcPr>
          <w:p>
            <w:pPr>
              <w:pStyle w:val="TableParagraph"/>
              <w:spacing w:before="142"/>
              <w:ind w:left="400" w:right="394"/>
              <w:rPr>
                <w:sz w:val="22"/>
              </w:rPr>
            </w:pPr>
            <w:r>
              <w:rPr>
                <w:sz w:val="22"/>
              </w:rPr>
              <w:t>75</w:t>
            </w:r>
          </w:p>
        </w:tc>
        <w:tc>
          <w:tcPr>
            <w:tcW w:w="1722" w:type="dxa"/>
            <w:tcBorders>
              <w:top w:val="nil"/>
              <w:left w:val="single" w:sz="4" w:space="0" w:color="000000"/>
              <w:bottom w:val="nil"/>
              <w:right w:val="single" w:sz="4" w:space="0" w:color="000000"/>
            </w:tcBorders>
          </w:tcPr>
          <w:p>
            <w:pPr>
              <w:pStyle w:val="TableParagraph"/>
              <w:spacing w:before="142"/>
              <w:ind w:right="2"/>
              <w:rPr>
                <w:sz w:val="22"/>
              </w:rPr>
            </w:pPr>
            <w:r>
              <w:rPr>
                <w:sz w:val="22"/>
              </w:rPr>
              <w:t>20</w:t>
            </w:r>
          </w:p>
        </w:tc>
        <w:tc>
          <w:tcPr>
            <w:tcW w:w="2780" w:type="dxa"/>
            <w:tcBorders>
              <w:top w:val="nil"/>
              <w:left w:val="single" w:sz="4" w:space="0" w:color="000000"/>
              <w:bottom w:val="nil"/>
              <w:right w:val="single" w:sz="4" w:space="0" w:color="000000"/>
            </w:tcBorders>
          </w:tcPr>
          <w:p>
            <w:pPr>
              <w:pStyle w:val="TableParagraph"/>
              <w:spacing w:before="142"/>
              <w:ind w:right="4"/>
              <w:rPr>
                <w:sz w:val="22"/>
              </w:rPr>
            </w:pPr>
            <w:r>
              <w:rPr>
                <w:w w:val="99"/>
                <w:sz w:val="22"/>
              </w:rPr>
              <w:t>5</w:t>
            </w:r>
          </w:p>
        </w:tc>
      </w:tr>
      <w:tr>
        <w:trPr>
          <w:trHeight w:val="545" w:hRule="atLeast"/>
        </w:trPr>
        <w:tc>
          <w:tcPr>
            <w:tcW w:w="1096" w:type="dxa"/>
            <w:tcBorders>
              <w:top w:val="nil"/>
              <w:left w:val="single" w:sz="4" w:space="0" w:color="000000"/>
              <w:bottom w:val="nil"/>
              <w:right w:val="single" w:sz="4" w:space="0" w:color="000000"/>
            </w:tcBorders>
          </w:tcPr>
          <w:p>
            <w:pPr>
              <w:pStyle w:val="TableParagraph"/>
              <w:spacing w:before="142"/>
              <w:ind w:right="474"/>
              <w:jc w:val="right"/>
              <w:rPr>
                <w:sz w:val="22"/>
              </w:rPr>
            </w:pPr>
            <w:r>
              <w:rPr>
                <w:w w:val="99"/>
                <w:sz w:val="22"/>
              </w:rPr>
              <w:t>6</w:t>
            </w:r>
          </w:p>
        </w:tc>
        <w:tc>
          <w:tcPr>
            <w:tcW w:w="1170" w:type="dxa"/>
            <w:tcBorders>
              <w:top w:val="nil"/>
              <w:left w:val="single" w:sz="4" w:space="0" w:color="000000"/>
              <w:bottom w:val="nil"/>
              <w:right w:val="single" w:sz="4" w:space="0" w:color="000000"/>
            </w:tcBorders>
          </w:tcPr>
          <w:p>
            <w:pPr>
              <w:pStyle w:val="TableParagraph"/>
              <w:spacing w:before="142"/>
              <w:ind w:left="410" w:right="404"/>
              <w:rPr>
                <w:sz w:val="22"/>
              </w:rPr>
            </w:pPr>
            <w:r>
              <w:rPr>
                <w:sz w:val="22"/>
              </w:rPr>
              <w:t>0.3</w:t>
            </w:r>
          </w:p>
        </w:tc>
        <w:tc>
          <w:tcPr>
            <w:tcW w:w="2520" w:type="dxa"/>
            <w:tcBorders>
              <w:top w:val="nil"/>
              <w:left w:val="single" w:sz="4" w:space="0" w:color="000000"/>
              <w:bottom w:val="nil"/>
              <w:right w:val="single" w:sz="4" w:space="0" w:color="000000"/>
            </w:tcBorders>
          </w:tcPr>
          <w:p>
            <w:pPr>
              <w:pStyle w:val="TableParagraph"/>
              <w:spacing w:before="142"/>
              <w:ind w:left="400" w:right="394"/>
              <w:rPr>
                <w:sz w:val="22"/>
              </w:rPr>
            </w:pPr>
            <w:r>
              <w:rPr>
                <w:sz w:val="22"/>
              </w:rPr>
              <w:t>50</w:t>
            </w:r>
          </w:p>
        </w:tc>
        <w:tc>
          <w:tcPr>
            <w:tcW w:w="1722" w:type="dxa"/>
            <w:tcBorders>
              <w:top w:val="nil"/>
              <w:left w:val="single" w:sz="4" w:space="0" w:color="000000"/>
              <w:bottom w:val="nil"/>
              <w:right w:val="single" w:sz="4" w:space="0" w:color="000000"/>
            </w:tcBorders>
          </w:tcPr>
          <w:p>
            <w:pPr>
              <w:pStyle w:val="TableParagraph"/>
              <w:spacing w:before="142"/>
              <w:ind w:right="2"/>
              <w:rPr>
                <w:sz w:val="22"/>
              </w:rPr>
            </w:pPr>
            <w:r>
              <w:rPr>
                <w:sz w:val="22"/>
              </w:rPr>
              <w:t>45</w:t>
            </w:r>
          </w:p>
        </w:tc>
        <w:tc>
          <w:tcPr>
            <w:tcW w:w="2780" w:type="dxa"/>
            <w:tcBorders>
              <w:top w:val="nil"/>
              <w:left w:val="single" w:sz="4" w:space="0" w:color="000000"/>
              <w:bottom w:val="nil"/>
              <w:right w:val="single" w:sz="4" w:space="0" w:color="000000"/>
            </w:tcBorders>
          </w:tcPr>
          <w:p>
            <w:pPr>
              <w:pStyle w:val="TableParagraph"/>
              <w:spacing w:before="142"/>
              <w:ind w:right="4"/>
              <w:rPr>
                <w:sz w:val="22"/>
              </w:rPr>
            </w:pPr>
            <w:r>
              <w:rPr>
                <w:w w:val="99"/>
                <w:sz w:val="22"/>
              </w:rPr>
              <w:t>5</w:t>
            </w:r>
          </w:p>
        </w:tc>
      </w:tr>
      <w:tr>
        <w:trPr>
          <w:trHeight w:val="545" w:hRule="atLeast"/>
        </w:trPr>
        <w:tc>
          <w:tcPr>
            <w:tcW w:w="1096" w:type="dxa"/>
            <w:tcBorders>
              <w:top w:val="nil"/>
              <w:left w:val="single" w:sz="4" w:space="0" w:color="000000"/>
              <w:bottom w:val="nil"/>
              <w:right w:val="single" w:sz="4" w:space="0" w:color="000000"/>
            </w:tcBorders>
          </w:tcPr>
          <w:p>
            <w:pPr>
              <w:pStyle w:val="TableParagraph"/>
              <w:spacing w:before="142"/>
              <w:ind w:right="413"/>
              <w:jc w:val="right"/>
              <w:rPr>
                <w:sz w:val="22"/>
              </w:rPr>
            </w:pPr>
            <w:r>
              <w:rPr>
                <w:w w:val="95"/>
                <w:sz w:val="22"/>
              </w:rPr>
              <w:t>13</w:t>
            </w:r>
          </w:p>
        </w:tc>
        <w:tc>
          <w:tcPr>
            <w:tcW w:w="1170" w:type="dxa"/>
            <w:tcBorders>
              <w:top w:val="nil"/>
              <w:left w:val="single" w:sz="4" w:space="0" w:color="000000"/>
              <w:bottom w:val="nil"/>
              <w:right w:val="single" w:sz="4" w:space="0" w:color="000000"/>
            </w:tcBorders>
          </w:tcPr>
          <w:p>
            <w:pPr>
              <w:pStyle w:val="TableParagraph"/>
              <w:spacing w:before="142"/>
              <w:ind w:left="410" w:right="404"/>
              <w:rPr>
                <w:sz w:val="22"/>
              </w:rPr>
            </w:pPr>
            <w:r>
              <w:rPr>
                <w:sz w:val="22"/>
              </w:rPr>
              <w:t>0.3</w:t>
            </w:r>
          </w:p>
        </w:tc>
        <w:tc>
          <w:tcPr>
            <w:tcW w:w="2520" w:type="dxa"/>
            <w:tcBorders>
              <w:top w:val="nil"/>
              <w:left w:val="single" w:sz="4" w:space="0" w:color="000000"/>
              <w:bottom w:val="nil"/>
              <w:right w:val="single" w:sz="4" w:space="0" w:color="000000"/>
            </w:tcBorders>
          </w:tcPr>
          <w:p>
            <w:pPr>
              <w:pStyle w:val="TableParagraph"/>
              <w:spacing w:before="142"/>
              <w:ind w:left="400" w:right="394"/>
              <w:rPr>
                <w:sz w:val="22"/>
              </w:rPr>
            </w:pPr>
            <w:r>
              <w:rPr>
                <w:sz w:val="22"/>
              </w:rPr>
              <w:t>15</w:t>
            </w:r>
          </w:p>
        </w:tc>
        <w:tc>
          <w:tcPr>
            <w:tcW w:w="1722" w:type="dxa"/>
            <w:tcBorders>
              <w:top w:val="nil"/>
              <w:left w:val="single" w:sz="4" w:space="0" w:color="000000"/>
              <w:bottom w:val="nil"/>
              <w:right w:val="single" w:sz="4" w:space="0" w:color="000000"/>
            </w:tcBorders>
          </w:tcPr>
          <w:p>
            <w:pPr>
              <w:pStyle w:val="TableParagraph"/>
              <w:spacing w:before="142"/>
              <w:ind w:right="2"/>
              <w:rPr>
                <w:sz w:val="22"/>
              </w:rPr>
            </w:pPr>
            <w:r>
              <w:rPr>
                <w:sz w:val="22"/>
              </w:rPr>
              <w:t>80</w:t>
            </w:r>
          </w:p>
        </w:tc>
        <w:tc>
          <w:tcPr>
            <w:tcW w:w="2780" w:type="dxa"/>
            <w:tcBorders>
              <w:top w:val="nil"/>
              <w:left w:val="single" w:sz="4" w:space="0" w:color="000000"/>
              <w:bottom w:val="nil"/>
              <w:right w:val="single" w:sz="4" w:space="0" w:color="000000"/>
            </w:tcBorders>
          </w:tcPr>
          <w:p>
            <w:pPr>
              <w:pStyle w:val="TableParagraph"/>
              <w:spacing w:before="142"/>
              <w:ind w:right="4"/>
              <w:rPr>
                <w:sz w:val="22"/>
              </w:rPr>
            </w:pPr>
            <w:r>
              <w:rPr>
                <w:w w:val="99"/>
                <w:sz w:val="22"/>
              </w:rPr>
              <w:t>5</w:t>
            </w:r>
          </w:p>
        </w:tc>
      </w:tr>
      <w:tr>
        <w:trPr>
          <w:trHeight w:val="545" w:hRule="atLeast"/>
        </w:trPr>
        <w:tc>
          <w:tcPr>
            <w:tcW w:w="1096" w:type="dxa"/>
            <w:tcBorders>
              <w:top w:val="nil"/>
              <w:left w:val="single" w:sz="4" w:space="0" w:color="000000"/>
              <w:bottom w:val="nil"/>
              <w:right w:val="single" w:sz="4" w:space="0" w:color="000000"/>
            </w:tcBorders>
          </w:tcPr>
          <w:p>
            <w:pPr>
              <w:pStyle w:val="TableParagraph"/>
              <w:spacing w:before="142"/>
              <w:ind w:right="413"/>
              <w:jc w:val="right"/>
              <w:rPr>
                <w:sz w:val="22"/>
              </w:rPr>
            </w:pPr>
            <w:r>
              <w:rPr>
                <w:w w:val="95"/>
                <w:sz w:val="22"/>
              </w:rPr>
              <w:t>14</w:t>
            </w:r>
          </w:p>
        </w:tc>
        <w:tc>
          <w:tcPr>
            <w:tcW w:w="1170" w:type="dxa"/>
            <w:tcBorders>
              <w:top w:val="nil"/>
              <w:left w:val="single" w:sz="4" w:space="0" w:color="000000"/>
              <w:bottom w:val="nil"/>
              <w:right w:val="single" w:sz="4" w:space="0" w:color="000000"/>
            </w:tcBorders>
          </w:tcPr>
          <w:p>
            <w:pPr>
              <w:pStyle w:val="TableParagraph"/>
              <w:spacing w:before="142"/>
              <w:ind w:left="410" w:right="404"/>
              <w:rPr>
                <w:sz w:val="22"/>
              </w:rPr>
            </w:pPr>
            <w:r>
              <w:rPr>
                <w:sz w:val="22"/>
              </w:rPr>
              <w:t>0.4</w:t>
            </w:r>
          </w:p>
        </w:tc>
        <w:tc>
          <w:tcPr>
            <w:tcW w:w="2520" w:type="dxa"/>
            <w:tcBorders>
              <w:top w:val="nil"/>
              <w:left w:val="single" w:sz="4" w:space="0" w:color="000000"/>
              <w:bottom w:val="nil"/>
              <w:right w:val="single" w:sz="4" w:space="0" w:color="000000"/>
            </w:tcBorders>
          </w:tcPr>
          <w:p>
            <w:pPr>
              <w:pStyle w:val="TableParagraph"/>
              <w:spacing w:before="142"/>
              <w:ind w:left="6"/>
              <w:rPr>
                <w:sz w:val="22"/>
              </w:rPr>
            </w:pPr>
            <w:r>
              <w:rPr>
                <w:w w:val="99"/>
                <w:sz w:val="22"/>
              </w:rPr>
              <w:t>0</w:t>
            </w:r>
          </w:p>
        </w:tc>
        <w:tc>
          <w:tcPr>
            <w:tcW w:w="1722" w:type="dxa"/>
            <w:tcBorders>
              <w:top w:val="nil"/>
              <w:left w:val="single" w:sz="4" w:space="0" w:color="000000"/>
              <w:bottom w:val="nil"/>
              <w:right w:val="single" w:sz="4" w:space="0" w:color="000000"/>
            </w:tcBorders>
          </w:tcPr>
          <w:p>
            <w:pPr>
              <w:pStyle w:val="TableParagraph"/>
              <w:spacing w:before="142"/>
              <w:ind w:right="2"/>
              <w:rPr>
                <w:sz w:val="22"/>
              </w:rPr>
            </w:pPr>
            <w:r>
              <w:rPr>
                <w:sz w:val="22"/>
              </w:rPr>
              <w:t>95</w:t>
            </w:r>
          </w:p>
        </w:tc>
        <w:tc>
          <w:tcPr>
            <w:tcW w:w="2780" w:type="dxa"/>
            <w:tcBorders>
              <w:top w:val="nil"/>
              <w:left w:val="single" w:sz="4" w:space="0" w:color="000000"/>
              <w:bottom w:val="nil"/>
              <w:right w:val="single" w:sz="4" w:space="0" w:color="000000"/>
            </w:tcBorders>
          </w:tcPr>
          <w:p>
            <w:pPr>
              <w:pStyle w:val="TableParagraph"/>
              <w:spacing w:before="142"/>
              <w:ind w:right="4"/>
              <w:rPr>
                <w:sz w:val="22"/>
              </w:rPr>
            </w:pPr>
            <w:r>
              <w:rPr>
                <w:w w:val="99"/>
                <w:sz w:val="22"/>
              </w:rPr>
              <w:t>5</w:t>
            </w:r>
          </w:p>
        </w:tc>
      </w:tr>
      <w:tr>
        <w:trPr>
          <w:trHeight w:val="546" w:hRule="atLeast"/>
        </w:trPr>
        <w:tc>
          <w:tcPr>
            <w:tcW w:w="1096" w:type="dxa"/>
            <w:tcBorders>
              <w:top w:val="nil"/>
              <w:left w:val="single" w:sz="4" w:space="0" w:color="000000"/>
              <w:bottom w:val="nil"/>
              <w:right w:val="single" w:sz="4" w:space="0" w:color="000000"/>
            </w:tcBorders>
          </w:tcPr>
          <w:p>
            <w:pPr>
              <w:pStyle w:val="TableParagraph"/>
              <w:spacing w:before="142"/>
              <w:ind w:right="413"/>
              <w:jc w:val="right"/>
              <w:rPr>
                <w:sz w:val="22"/>
              </w:rPr>
            </w:pPr>
            <w:r>
              <w:rPr>
                <w:w w:val="95"/>
                <w:sz w:val="22"/>
              </w:rPr>
              <w:t>17</w:t>
            </w:r>
          </w:p>
        </w:tc>
        <w:tc>
          <w:tcPr>
            <w:tcW w:w="1170" w:type="dxa"/>
            <w:tcBorders>
              <w:top w:val="nil"/>
              <w:left w:val="single" w:sz="4" w:space="0" w:color="000000"/>
              <w:bottom w:val="nil"/>
              <w:right w:val="single" w:sz="4" w:space="0" w:color="000000"/>
            </w:tcBorders>
          </w:tcPr>
          <w:p>
            <w:pPr>
              <w:pStyle w:val="TableParagraph"/>
              <w:spacing w:before="142"/>
              <w:ind w:left="410" w:right="404"/>
              <w:rPr>
                <w:sz w:val="22"/>
              </w:rPr>
            </w:pPr>
            <w:r>
              <w:rPr>
                <w:sz w:val="22"/>
              </w:rPr>
              <w:t>0.4</w:t>
            </w:r>
          </w:p>
        </w:tc>
        <w:tc>
          <w:tcPr>
            <w:tcW w:w="2520" w:type="dxa"/>
            <w:tcBorders>
              <w:top w:val="nil"/>
              <w:left w:val="single" w:sz="4" w:space="0" w:color="000000"/>
              <w:bottom w:val="nil"/>
              <w:right w:val="single" w:sz="4" w:space="0" w:color="000000"/>
            </w:tcBorders>
          </w:tcPr>
          <w:p>
            <w:pPr>
              <w:pStyle w:val="TableParagraph"/>
              <w:spacing w:before="142"/>
              <w:ind w:left="6"/>
              <w:rPr>
                <w:sz w:val="22"/>
              </w:rPr>
            </w:pPr>
            <w:r>
              <w:rPr>
                <w:w w:val="99"/>
                <w:sz w:val="22"/>
              </w:rPr>
              <w:t>0</w:t>
            </w:r>
          </w:p>
        </w:tc>
        <w:tc>
          <w:tcPr>
            <w:tcW w:w="1722" w:type="dxa"/>
            <w:tcBorders>
              <w:top w:val="nil"/>
              <w:left w:val="single" w:sz="4" w:space="0" w:color="000000"/>
              <w:bottom w:val="nil"/>
              <w:right w:val="single" w:sz="4" w:space="0" w:color="000000"/>
            </w:tcBorders>
          </w:tcPr>
          <w:p>
            <w:pPr>
              <w:pStyle w:val="TableParagraph"/>
              <w:spacing w:before="142"/>
              <w:ind w:right="2"/>
              <w:rPr>
                <w:sz w:val="22"/>
              </w:rPr>
            </w:pPr>
            <w:r>
              <w:rPr>
                <w:sz w:val="22"/>
              </w:rPr>
              <w:t>95</w:t>
            </w:r>
          </w:p>
        </w:tc>
        <w:tc>
          <w:tcPr>
            <w:tcW w:w="2780" w:type="dxa"/>
            <w:tcBorders>
              <w:top w:val="nil"/>
              <w:left w:val="single" w:sz="4" w:space="0" w:color="000000"/>
              <w:bottom w:val="nil"/>
              <w:right w:val="single" w:sz="4" w:space="0" w:color="000000"/>
            </w:tcBorders>
          </w:tcPr>
          <w:p>
            <w:pPr>
              <w:pStyle w:val="TableParagraph"/>
              <w:spacing w:before="142"/>
              <w:ind w:right="4"/>
              <w:rPr>
                <w:sz w:val="22"/>
              </w:rPr>
            </w:pPr>
            <w:r>
              <w:rPr>
                <w:w w:val="99"/>
                <w:sz w:val="22"/>
              </w:rPr>
              <w:t>5</w:t>
            </w:r>
          </w:p>
        </w:tc>
      </w:tr>
      <w:tr>
        <w:trPr>
          <w:trHeight w:val="545" w:hRule="atLeast"/>
        </w:trPr>
        <w:tc>
          <w:tcPr>
            <w:tcW w:w="1096" w:type="dxa"/>
            <w:tcBorders>
              <w:top w:val="nil"/>
              <w:left w:val="single" w:sz="4" w:space="0" w:color="000000"/>
              <w:bottom w:val="nil"/>
              <w:right w:val="single" w:sz="4" w:space="0" w:color="000000"/>
            </w:tcBorders>
          </w:tcPr>
          <w:p>
            <w:pPr>
              <w:pStyle w:val="TableParagraph"/>
              <w:spacing w:before="142"/>
              <w:ind w:right="413"/>
              <w:jc w:val="right"/>
              <w:rPr>
                <w:sz w:val="22"/>
              </w:rPr>
            </w:pPr>
            <w:r>
              <w:rPr>
                <w:w w:val="95"/>
                <w:sz w:val="22"/>
              </w:rPr>
              <w:t>18</w:t>
            </w:r>
          </w:p>
        </w:tc>
        <w:tc>
          <w:tcPr>
            <w:tcW w:w="1170" w:type="dxa"/>
            <w:tcBorders>
              <w:top w:val="nil"/>
              <w:left w:val="single" w:sz="4" w:space="0" w:color="000000"/>
              <w:bottom w:val="nil"/>
              <w:right w:val="single" w:sz="4" w:space="0" w:color="000000"/>
            </w:tcBorders>
          </w:tcPr>
          <w:p>
            <w:pPr>
              <w:pStyle w:val="TableParagraph"/>
              <w:spacing w:before="142"/>
              <w:ind w:left="410" w:right="404"/>
              <w:rPr>
                <w:sz w:val="22"/>
              </w:rPr>
            </w:pPr>
            <w:r>
              <w:rPr>
                <w:sz w:val="22"/>
              </w:rPr>
              <w:t>0.4</w:t>
            </w:r>
          </w:p>
        </w:tc>
        <w:tc>
          <w:tcPr>
            <w:tcW w:w="2520" w:type="dxa"/>
            <w:tcBorders>
              <w:top w:val="nil"/>
              <w:left w:val="single" w:sz="4" w:space="0" w:color="000000"/>
              <w:bottom w:val="nil"/>
              <w:right w:val="single" w:sz="4" w:space="0" w:color="000000"/>
            </w:tcBorders>
          </w:tcPr>
          <w:p>
            <w:pPr>
              <w:pStyle w:val="TableParagraph"/>
              <w:spacing w:before="142"/>
              <w:ind w:left="400" w:right="394"/>
              <w:rPr>
                <w:sz w:val="22"/>
              </w:rPr>
            </w:pPr>
            <w:r>
              <w:rPr>
                <w:sz w:val="22"/>
              </w:rPr>
              <w:t>95</w:t>
            </w:r>
          </w:p>
        </w:tc>
        <w:tc>
          <w:tcPr>
            <w:tcW w:w="1722" w:type="dxa"/>
            <w:tcBorders>
              <w:top w:val="nil"/>
              <w:left w:val="single" w:sz="4" w:space="0" w:color="000000"/>
              <w:bottom w:val="nil"/>
              <w:right w:val="single" w:sz="4" w:space="0" w:color="000000"/>
            </w:tcBorders>
          </w:tcPr>
          <w:p>
            <w:pPr>
              <w:pStyle w:val="TableParagraph"/>
              <w:spacing w:before="142"/>
              <w:ind w:right="2"/>
              <w:rPr>
                <w:sz w:val="22"/>
              </w:rPr>
            </w:pPr>
            <w:r>
              <w:rPr>
                <w:w w:val="99"/>
                <w:sz w:val="22"/>
              </w:rPr>
              <w:t>0</w:t>
            </w:r>
          </w:p>
        </w:tc>
        <w:tc>
          <w:tcPr>
            <w:tcW w:w="2780" w:type="dxa"/>
            <w:tcBorders>
              <w:top w:val="nil"/>
              <w:left w:val="single" w:sz="4" w:space="0" w:color="000000"/>
              <w:bottom w:val="nil"/>
              <w:right w:val="single" w:sz="4" w:space="0" w:color="000000"/>
            </w:tcBorders>
          </w:tcPr>
          <w:p>
            <w:pPr>
              <w:pStyle w:val="TableParagraph"/>
              <w:spacing w:before="142"/>
              <w:ind w:right="4"/>
              <w:rPr>
                <w:sz w:val="22"/>
              </w:rPr>
            </w:pPr>
            <w:r>
              <w:rPr>
                <w:w w:val="99"/>
                <w:sz w:val="22"/>
              </w:rPr>
              <w:t>5</w:t>
            </w:r>
          </w:p>
        </w:tc>
      </w:tr>
      <w:tr>
        <w:trPr>
          <w:trHeight w:val="554" w:hRule="atLeast"/>
        </w:trPr>
        <w:tc>
          <w:tcPr>
            <w:tcW w:w="1096" w:type="dxa"/>
            <w:tcBorders>
              <w:top w:val="nil"/>
              <w:left w:val="single" w:sz="4" w:space="0" w:color="000000"/>
              <w:right w:val="single" w:sz="4" w:space="0" w:color="000000"/>
            </w:tcBorders>
          </w:tcPr>
          <w:p>
            <w:pPr>
              <w:pStyle w:val="TableParagraph"/>
              <w:spacing w:before="142"/>
              <w:ind w:right="413"/>
              <w:jc w:val="right"/>
              <w:rPr>
                <w:sz w:val="22"/>
              </w:rPr>
            </w:pPr>
            <w:r>
              <w:rPr>
                <w:w w:val="95"/>
                <w:sz w:val="22"/>
              </w:rPr>
              <w:t>21</w:t>
            </w:r>
          </w:p>
        </w:tc>
        <w:tc>
          <w:tcPr>
            <w:tcW w:w="1170" w:type="dxa"/>
            <w:tcBorders>
              <w:top w:val="nil"/>
              <w:left w:val="single" w:sz="4" w:space="0" w:color="000000"/>
              <w:right w:val="single" w:sz="4" w:space="0" w:color="000000"/>
            </w:tcBorders>
          </w:tcPr>
          <w:p>
            <w:pPr>
              <w:pStyle w:val="TableParagraph"/>
              <w:spacing w:before="142"/>
              <w:ind w:left="410" w:right="404"/>
              <w:rPr>
                <w:sz w:val="22"/>
              </w:rPr>
            </w:pPr>
            <w:r>
              <w:rPr>
                <w:sz w:val="22"/>
              </w:rPr>
              <w:t>0.4</w:t>
            </w:r>
          </w:p>
        </w:tc>
        <w:tc>
          <w:tcPr>
            <w:tcW w:w="2520" w:type="dxa"/>
            <w:tcBorders>
              <w:top w:val="nil"/>
              <w:left w:val="single" w:sz="4" w:space="0" w:color="000000"/>
              <w:right w:val="single" w:sz="4" w:space="0" w:color="000000"/>
            </w:tcBorders>
          </w:tcPr>
          <w:p>
            <w:pPr>
              <w:pStyle w:val="TableParagraph"/>
              <w:spacing w:before="142"/>
              <w:ind w:left="400" w:right="394"/>
              <w:rPr>
                <w:sz w:val="22"/>
              </w:rPr>
            </w:pPr>
            <w:r>
              <w:rPr>
                <w:sz w:val="22"/>
              </w:rPr>
              <w:t>95</w:t>
            </w:r>
          </w:p>
        </w:tc>
        <w:tc>
          <w:tcPr>
            <w:tcW w:w="1722" w:type="dxa"/>
            <w:tcBorders>
              <w:top w:val="nil"/>
              <w:left w:val="single" w:sz="4" w:space="0" w:color="000000"/>
              <w:right w:val="single" w:sz="4" w:space="0" w:color="000000"/>
            </w:tcBorders>
          </w:tcPr>
          <w:p>
            <w:pPr>
              <w:pStyle w:val="TableParagraph"/>
              <w:spacing w:before="142"/>
              <w:ind w:right="2"/>
              <w:rPr>
                <w:sz w:val="22"/>
              </w:rPr>
            </w:pPr>
            <w:r>
              <w:rPr>
                <w:w w:val="99"/>
                <w:sz w:val="22"/>
              </w:rPr>
              <w:t>0</w:t>
            </w:r>
          </w:p>
        </w:tc>
        <w:tc>
          <w:tcPr>
            <w:tcW w:w="2780" w:type="dxa"/>
            <w:tcBorders>
              <w:top w:val="nil"/>
              <w:left w:val="single" w:sz="4" w:space="0" w:color="000000"/>
              <w:bottom w:val="single" w:sz="4" w:space="0" w:color="000000"/>
              <w:right w:val="single" w:sz="4" w:space="0" w:color="000000"/>
            </w:tcBorders>
          </w:tcPr>
          <w:p>
            <w:pPr>
              <w:pStyle w:val="TableParagraph"/>
              <w:spacing w:before="142"/>
              <w:ind w:right="4"/>
              <w:rPr>
                <w:sz w:val="22"/>
              </w:rPr>
            </w:pPr>
            <w:r>
              <w:rPr>
                <w:w w:val="99"/>
                <w:sz w:val="22"/>
              </w:rPr>
              <w:t>5</w:t>
            </w:r>
          </w:p>
        </w:tc>
      </w:tr>
    </w:tbl>
    <w:p>
      <w:pPr>
        <w:spacing w:after="0"/>
        <w:rPr>
          <w:sz w:val="22"/>
        </w:rPr>
        <w:sectPr>
          <w:pgSz w:w="12240" w:h="15840"/>
          <w:pgMar w:header="0" w:footer="1214" w:top="1060" w:bottom="1400" w:left="460" w:right="480"/>
        </w:sectPr>
      </w:pPr>
    </w:p>
    <w:p>
      <w:pPr>
        <w:pStyle w:val="BodyText"/>
        <w:spacing w:before="70"/>
        <w:ind w:left="739"/>
        <w:jc w:val="center"/>
      </w:pPr>
      <w:bookmarkStart w:name="TABLE 5B" w:id="306"/>
      <w:bookmarkEnd w:id="306"/>
      <w:r>
        <w:rPr/>
      </w:r>
      <w:bookmarkStart w:name="_bookmark30" w:id="307"/>
      <w:bookmarkEnd w:id="307"/>
      <w:r>
        <w:rPr/>
      </w:r>
      <w:r>
        <w:rPr/>
        <w:t>TABLE 5B</w:t>
      </w:r>
    </w:p>
    <w:p>
      <w:pPr>
        <w:pStyle w:val="BodyText"/>
        <w:spacing w:before="159"/>
        <w:ind w:left="738"/>
        <w:jc w:val="center"/>
      </w:pPr>
      <w:bookmarkStart w:name="EXAMPLE OF BINARY GRADIENT CONDITIONS FO" w:id="308"/>
      <w:bookmarkEnd w:id="308"/>
      <w:r>
        <w:rPr/>
      </w:r>
      <w:bookmarkStart w:name="_bookmark31" w:id="309"/>
      <w:bookmarkEnd w:id="309"/>
      <w:r>
        <w:rPr/>
      </w:r>
      <w:r>
        <w:rPr/>
        <w:t>EXAMPLE OF BINARY GRADIENT CONDITIONS FOR LIQUID CHROMATOGRAPHY</w:t>
      </w:r>
    </w:p>
    <w:p>
      <w:pPr>
        <w:pStyle w:val="BodyText"/>
        <w:spacing w:before="1"/>
        <w:rPr>
          <w:sz w:val="24"/>
        </w:rPr>
      </w:pPr>
    </w:p>
    <w:p>
      <w:pPr>
        <w:pStyle w:val="BodyText"/>
        <w:spacing w:line="276" w:lineRule="auto"/>
        <w:ind w:left="980" w:right="1656" w:firstLine="719"/>
      </w:pPr>
      <w:r>
        <w:rPr/>
        <w:t>To prepare 1 liter of solvent A, dissolve 1.54 g of ammonium acetate in 950 mL of reagent water and add 50 mL of acetonitrile.</w:t>
      </w:r>
    </w:p>
    <w:p>
      <w:pPr>
        <w:pStyle w:val="BodyText"/>
        <w:spacing w:line="276" w:lineRule="auto" w:before="120"/>
        <w:ind w:left="980" w:right="1656" w:firstLine="719"/>
      </w:pPr>
      <w:r>
        <w:rPr/>
        <w:pict>
          <v:group style="position:absolute;margin-left:132pt;margin-top:41.099968pt;width:348pt;height:.75pt;mso-position-horizontal-relative:page;mso-position-vertical-relative:paragraph;z-index:-251609088;mso-wrap-distance-left:0;mso-wrap-distance-right:0" coordorigin="2640,822" coordsize="6960,15">
            <v:rect style="position:absolute;left:2640;top:822;width:20;height:15" filled="true" fillcolor="#000000" stroked="false">
              <v:fill type="solid"/>
            </v:rect>
            <v:line style="position:absolute" from="2659,829" to="3821,829" stroked="true" strokeweight=".72pt" strokecolor="#000000">
              <v:stroke dashstyle="solid"/>
            </v:line>
            <v:rect style="position:absolute;left:3820;top:822;width:44;height:15" filled="true" fillcolor="#000000" stroked="false">
              <v:fill type="solid"/>
            </v:rect>
            <v:line style="position:absolute" from="3864,829" to="4820,829" stroked="true" strokeweight=".72pt" strokecolor="#000000">
              <v:stroke dashstyle="solid"/>
            </v:line>
            <v:rect style="position:absolute;left:4820;top:822;width:44;height:15" filled="true" fillcolor="#000000" stroked="false">
              <v:fill type="solid"/>
            </v:rect>
            <v:line style="position:absolute" from="4864,829" to="7380,829" stroked="true" strokeweight=".72pt" strokecolor="#000000">
              <v:stroke dashstyle="solid"/>
            </v:line>
            <v:rect style="position:absolute;left:7380;top:822;width:44;height:15" filled="true" fillcolor="#000000" stroked="false">
              <v:fill type="solid"/>
            </v:rect>
            <v:line style="position:absolute" from="7423,829" to="9581,829" stroked="true" strokeweight=".72pt" strokecolor="#000000">
              <v:stroke dashstyle="solid"/>
            </v:line>
            <v:rect style="position:absolute;left:9580;top:822;width:20;height:15" filled="true" fillcolor="#000000" stroked="false">
              <v:fill type="solid"/>
            </v:rect>
            <w10:wrap type="topAndBottom"/>
          </v:group>
        </w:pict>
      </w:r>
      <w:r>
        <w:rPr/>
        <w:t>To prepare 1 liter of solvent B, dissolve 0.771 g of ammonium acetate in 50 mL of reagent water and add 950 mL of acetonitrile</w:t>
      </w:r>
    </w:p>
    <w:tbl>
      <w:tblPr>
        <w:tblW w:w="0" w:type="auto"/>
        <w:jc w:val="left"/>
        <w:tblInd w:w="21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81"/>
        <w:gridCol w:w="999"/>
        <w:gridCol w:w="2576"/>
        <w:gridCol w:w="2189"/>
      </w:tblGrid>
      <w:tr>
        <w:trPr>
          <w:trHeight w:val="457" w:hRule="atLeast"/>
        </w:trPr>
        <w:tc>
          <w:tcPr>
            <w:tcW w:w="1181" w:type="dxa"/>
            <w:vMerge w:val="restart"/>
            <w:tcBorders>
              <w:left w:val="single" w:sz="8" w:space="0" w:color="000000"/>
              <w:bottom w:val="single" w:sz="8" w:space="0" w:color="000000"/>
              <w:right w:val="single" w:sz="8" w:space="0" w:color="000000"/>
            </w:tcBorders>
          </w:tcPr>
          <w:p>
            <w:pPr>
              <w:pStyle w:val="TableParagraph"/>
              <w:spacing w:before="0"/>
              <w:jc w:val="left"/>
              <w:rPr>
                <w:sz w:val="24"/>
              </w:rPr>
            </w:pPr>
          </w:p>
          <w:p>
            <w:pPr>
              <w:pStyle w:val="TableParagraph"/>
              <w:spacing w:before="0"/>
              <w:jc w:val="left"/>
              <w:rPr>
                <w:sz w:val="24"/>
              </w:rPr>
            </w:pPr>
          </w:p>
          <w:p>
            <w:pPr>
              <w:pStyle w:val="TableParagraph"/>
              <w:spacing w:before="4"/>
              <w:jc w:val="left"/>
              <w:rPr>
                <w:sz w:val="28"/>
              </w:rPr>
            </w:pPr>
          </w:p>
          <w:p>
            <w:pPr>
              <w:pStyle w:val="TableParagraph"/>
              <w:spacing w:line="276" w:lineRule="auto" w:before="0"/>
              <w:ind w:left="339" w:right="300" w:firstLine="5"/>
              <w:jc w:val="left"/>
              <w:rPr>
                <w:sz w:val="22"/>
              </w:rPr>
            </w:pPr>
            <w:r>
              <w:rPr>
                <w:sz w:val="22"/>
              </w:rPr>
              <w:t>Time (min)</w:t>
            </w:r>
          </w:p>
        </w:tc>
        <w:tc>
          <w:tcPr>
            <w:tcW w:w="999" w:type="dxa"/>
            <w:vMerge w:val="restart"/>
            <w:tcBorders>
              <w:left w:val="single" w:sz="8" w:space="0" w:color="000000"/>
              <w:bottom w:val="single" w:sz="8" w:space="0" w:color="000000"/>
              <w:right w:val="single" w:sz="8" w:space="0" w:color="000000"/>
            </w:tcBorders>
          </w:tcPr>
          <w:p>
            <w:pPr>
              <w:pStyle w:val="TableParagraph"/>
              <w:spacing w:before="0"/>
              <w:jc w:val="left"/>
              <w:rPr>
                <w:sz w:val="24"/>
              </w:rPr>
            </w:pPr>
          </w:p>
          <w:p>
            <w:pPr>
              <w:pStyle w:val="TableParagraph"/>
              <w:spacing w:before="0"/>
              <w:jc w:val="left"/>
              <w:rPr>
                <w:sz w:val="24"/>
              </w:rPr>
            </w:pPr>
          </w:p>
          <w:p>
            <w:pPr>
              <w:pStyle w:val="TableParagraph"/>
              <w:spacing w:line="276" w:lineRule="auto" w:before="179"/>
              <w:ind w:left="249" w:right="227" w:firstLine="18"/>
              <w:jc w:val="both"/>
              <w:rPr>
                <w:sz w:val="22"/>
              </w:rPr>
            </w:pPr>
            <w:r>
              <w:rPr>
                <w:sz w:val="22"/>
              </w:rPr>
              <w:t>Flow (mL / min)</w:t>
            </w:r>
          </w:p>
        </w:tc>
        <w:tc>
          <w:tcPr>
            <w:tcW w:w="2576" w:type="dxa"/>
            <w:tcBorders>
              <w:left w:val="single" w:sz="8" w:space="0" w:color="000000"/>
              <w:bottom w:val="nil"/>
              <w:right w:val="single" w:sz="8" w:space="0" w:color="000000"/>
            </w:tcBorders>
          </w:tcPr>
          <w:p>
            <w:pPr>
              <w:pStyle w:val="TableParagraph"/>
              <w:spacing w:before="88"/>
              <w:ind w:left="422" w:right="417"/>
              <w:rPr>
                <w:sz w:val="22"/>
              </w:rPr>
            </w:pPr>
            <w:r>
              <w:rPr>
                <w:sz w:val="22"/>
              </w:rPr>
              <w:t>% Solvent Line A</w:t>
            </w:r>
          </w:p>
        </w:tc>
        <w:tc>
          <w:tcPr>
            <w:tcW w:w="2189" w:type="dxa"/>
            <w:tcBorders>
              <w:left w:val="single" w:sz="8" w:space="0" w:color="000000"/>
              <w:bottom w:val="nil"/>
              <w:right w:val="single" w:sz="8" w:space="0" w:color="000000"/>
            </w:tcBorders>
          </w:tcPr>
          <w:p>
            <w:pPr>
              <w:pStyle w:val="TableParagraph"/>
              <w:spacing w:before="88"/>
              <w:ind w:left="160" w:right="160"/>
              <w:rPr>
                <w:sz w:val="22"/>
              </w:rPr>
            </w:pPr>
            <w:r>
              <w:rPr>
                <w:sz w:val="22"/>
              </w:rPr>
              <w:t>% Solvent Line B</w:t>
            </w:r>
          </w:p>
        </w:tc>
      </w:tr>
      <w:tr>
        <w:trPr>
          <w:trHeight w:val="1392" w:hRule="atLeast"/>
        </w:trPr>
        <w:tc>
          <w:tcPr>
            <w:tcW w:w="1181" w:type="dxa"/>
            <w:vMerge/>
            <w:tcBorders>
              <w:top w:val="nil"/>
              <w:left w:val="single" w:sz="8" w:space="0" w:color="000000"/>
              <w:bottom w:val="single" w:sz="8" w:space="0" w:color="000000"/>
              <w:right w:val="single" w:sz="8" w:space="0" w:color="000000"/>
            </w:tcBorders>
          </w:tcPr>
          <w:p>
            <w:pPr>
              <w:rPr>
                <w:sz w:val="2"/>
                <w:szCs w:val="2"/>
              </w:rPr>
            </w:pPr>
          </w:p>
        </w:tc>
        <w:tc>
          <w:tcPr>
            <w:tcW w:w="999" w:type="dxa"/>
            <w:vMerge/>
            <w:tcBorders>
              <w:top w:val="nil"/>
              <w:left w:val="single" w:sz="8" w:space="0" w:color="000000"/>
              <w:bottom w:val="single" w:sz="8" w:space="0" w:color="000000"/>
              <w:right w:val="single" w:sz="8" w:space="0" w:color="000000"/>
            </w:tcBorders>
          </w:tcPr>
          <w:p>
            <w:pPr>
              <w:rPr>
                <w:sz w:val="2"/>
                <w:szCs w:val="2"/>
              </w:rPr>
            </w:pPr>
          </w:p>
        </w:tc>
        <w:tc>
          <w:tcPr>
            <w:tcW w:w="2576" w:type="dxa"/>
            <w:tcBorders>
              <w:top w:val="nil"/>
              <w:left w:val="single" w:sz="8" w:space="0" w:color="000000"/>
              <w:bottom w:val="single" w:sz="8" w:space="0" w:color="000000"/>
              <w:right w:val="single" w:sz="8" w:space="0" w:color="000000"/>
            </w:tcBorders>
          </w:tcPr>
          <w:p>
            <w:pPr>
              <w:pStyle w:val="TableParagraph"/>
              <w:spacing w:before="0"/>
              <w:jc w:val="left"/>
              <w:rPr>
                <w:sz w:val="22"/>
              </w:rPr>
            </w:pPr>
          </w:p>
          <w:p>
            <w:pPr>
              <w:pStyle w:val="TableParagraph"/>
              <w:spacing w:line="276" w:lineRule="auto" w:before="1"/>
              <w:ind w:left="222" w:right="216" w:firstLine="1"/>
              <w:rPr>
                <w:sz w:val="22"/>
              </w:rPr>
            </w:pPr>
            <w:r>
              <w:rPr>
                <w:sz w:val="22"/>
              </w:rPr>
              <w:t>20mM ammonium acetate in 95% water: 5% acetonitrile</w:t>
            </w:r>
          </w:p>
        </w:tc>
        <w:tc>
          <w:tcPr>
            <w:tcW w:w="2189" w:type="dxa"/>
            <w:tcBorders>
              <w:top w:val="nil"/>
              <w:left w:val="single" w:sz="8" w:space="0" w:color="000000"/>
              <w:bottom w:val="single" w:sz="8" w:space="0" w:color="000000"/>
              <w:right w:val="single" w:sz="8" w:space="0" w:color="000000"/>
            </w:tcBorders>
          </w:tcPr>
          <w:p>
            <w:pPr>
              <w:pStyle w:val="TableParagraph"/>
              <w:spacing w:line="276" w:lineRule="auto" w:before="108"/>
              <w:ind w:left="161" w:right="160"/>
              <w:rPr>
                <w:sz w:val="22"/>
              </w:rPr>
            </w:pPr>
            <w:r>
              <w:rPr>
                <w:sz w:val="22"/>
              </w:rPr>
              <w:t>10mM* ammonium acetate in 95%</w:t>
            </w:r>
          </w:p>
          <w:p>
            <w:pPr>
              <w:pStyle w:val="TableParagraph"/>
              <w:spacing w:line="276" w:lineRule="auto" w:before="1"/>
              <w:ind w:left="161" w:right="160"/>
              <w:rPr>
                <w:sz w:val="22"/>
              </w:rPr>
            </w:pPr>
            <w:r>
              <w:rPr>
                <w:sz w:val="22"/>
              </w:rPr>
              <w:t>acetonitrile: 5% water</w:t>
            </w:r>
          </w:p>
        </w:tc>
      </w:tr>
      <w:tr>
        <w:trPr>
          <w:trHeight w:val="336" w:hRule="atLeast"/>
        </w:trPr>
        <w:tc>
          <w:tcPr>
            <w:tcW w:w="1181" w:type="dxa"/>
            <w:tcBorders>
              <w:top w:val="single" w:sz="8" w:space="0" w:color="000000"/>
              <w:left w:val="single" w:sz="8" w:space="0" w:color="000000"/>
              <w:bottom w:val="nil"/>
              <w:right w:val="single" w:sz="8" w:space="0" w:color="000000"/>
            </w:tcBorders>
          </w:tcPr>
          <w:p>
            <w:pPr>
              <w:pStyle w:val="TableParagraph"/>
              <w:spacing w:before="1"/>
              <w:ind w:left="17"/>
              <w:rPr>
                <w:sz w:val="22"/>
              </w:rPr>
            </w:pPr>
            <w:r>
              <w:rPr>
                <w:w w:val="99"/>
                <w:sz w:val="22"/>
              </w:rPr>
              <w:t>0</w:t>
            </w:r>
          </w:p>
        </w:tc>
        <w:tc>
          <w:tcPr>
            <w:tcW w:w="999" w:type="dxa"/>
            <w:tcBorders>
              <w:top w:val="single" w:sz="8" w:space="0" w:color="000000"/>
              <w:left w:val="single" w:sz="8" w:space="0" w:color="000000"/>
              <w:bottom w:val="nil"/>
              <w:right w:val="single" w:sz="8" w:space="0" w:color="000000"/>
            </w:tcBorders>
          </w:tcPr>
          <w:p>
            <w:pPr>
              <w:pStyle w:val="TableParagraph"/>
              <w:spacing w:before="1"/>
              <w:ind w:left="326" w:right="306"/>
              <w:rPr>
                <w:sz w:val="22"/>
              </w:rPr>
            </w:pPr>
            <w:r>
              <w:rPr>
                <w:sz w:val="22"/>
              </w:rPr>
              <w:t>0.3</w:t>
            </w:r>
          </w:p>
        </w:tc>
        <w:tc>
          <w:tcPr>
            <w:tcW w:w="2576" w:type="dxa"/>
            <w:tcBorders>
              <w:top w:val="single" w:sz="8" w:space="0" w:color="000000"/>
              <w:left w:val="single" w:sz="8" w:space="0" w:color="000000"/>
              <w:bottom w:val="nil"/>
              <w:right w:val="single" w:sz="8" w:space="0" w:color="000000"/>
            </w:tcBorders>
          </w:tcPr>
          <w:p>
            <w:pPr>
              <w:pStyle w:val="TableParagraph"/>
              <w:spacing w:before="1"/>
              <w:ind w:left="420" w:right="417"/>
              <w:rPr>
                <w:sz w:val="22"/>
              </w:rPr>
            </w:pPr>
            <w:r>
              <w:rPr>
                <w:sz w:val="22"/>
              </w:rPr>
              <w:t>100</w:t>
            </w:r>
          </w:p>
        </w:tc>
        <w:tc>
          <w:tcPr>
            <w:tcW w:w="2189" w:type="dxa"/>
            <w:tcBorders>
              <w:top w:val="single" w:sz="8" w:space="0" w:color="000000"/>
              <w:left w:val="single" w:sz="8" w:space="0" w:color="000000"/>
              <w:bottom w:val="nil"/>
              <w:right w:val="single" w:sz="8" w:space="0" w:color="000000"/>
            </w:tcBorders>
          </w:tcPr>
          <w:p>
            <w:pPr>
              <w:pStyle w:val="TableParagraph"/>
              <w:spacing w:before="1"/>
              <w:rPr>
                <w:sz w:val="22"/>
              </w:rPr>
            </w:pPr>
            <w:r>
              <w:rPr>
                <w:w w:val="99"/>
                <w:sz w:val="22"/>
              </w:rPr>
              <w:t>0</w:t>
            </w:r>
          </w:p>
        </w:tc>
      </w:tr>
      <w:tr>
        <w:trPr>
          <w:trHeight w:val="410" w:hRule="atLeast"/>
        </w:trPr>
        <w:tc>
          <w:tcPr>
            <w:tcW w:w="1181" w:type="dxa"/>
            <w:tcBorders>
              <w:top w:val="nil"/>
              <w:left w:val="single" w:sz="8" w:space="0" w:color="000000"/>
              <w:bottom w:val="nil"/>
              <w:right w:val="single" w:sz="8" w:space="0" w:color="000000"/>
            </w:tcBorders>
          </w:tcPr>
          <w:p>
            <w:pPr>
              <w:pStyle w:val="TableParagraph"/>
              <w:spacing w:before="75"/>
              <w:ind w:left="17"/>
              <w:rPr>
                <w:sz w:val="22"/>
              </w:rPr>
            </w:pPr>
            <w:r>
              <w:rPr>
                <w:w w:val="99"/>
                <w:sz w:val="22"/>
              </w:rPr>
              <w:t>1</w:t>
            </w:r>
          </w:p>
        </w:tc>
        <w:tc>
          <w:tcPr>
            <w:tcW w:w="999" w:type="dxa"/>
            <w:tcBorders>
              <w:top w:val="nil"/>
              <w:left w:val="single" w:sz="8" w:space="0" w:color="000000"/>
              <w:bottom w:val="nil"/>
              <w:right w:val="single" w:sz="8" w:space="0" w:color="000000"/>
            </w:tcBorders>
          </w:tcPr>
          <w:p>
            <w:pPr>
              <w:pStyle w:val="TableParagraph"/>
              <w:spacing w:before="75"/>
              <w:ind w:left="326" w:right="306"/>
              <w:rPr>
                <w:sz w:val="22"/>
              </w:rPr>
            </w:pPr>
            <w:r>
              <w:rPr>
                <w:sz w:val="22"/>
              </w:rPr>
              <w:t>0.3</w:t>
            </w:r>
          </w:p>
        </w:tc>
        <w:tc>
          <w:tcPr>
            <w:tcW w:w="2576" w:type="dxa"/>
            <w:tcBorders>
              <w:top w:val="nil"/>
              <w:left w:val="single" w:sz="8" w:space="0" w:color="000000"/>
              <w:bottom w:val="nil"/>
              <w:right w:val="single" w:sz="8" w:space="0" w:color="000000"/>
            </w:tcBorders>
          </w:tcPr>
          <w:p>
            <w:pPr>
              <w:pStyle w:val="TableParagraph"/>
              <w:spacing w:before="75"/>
              <w:ind w:left="420" w:right="417"/>
              <w:rPr>
                <w:sz w:val="22"/>
              </w:rPr>
            </w:pPr>
            <w:r>
              <w:rPr>
                <w:sz w:val="22"/>
              </w:rPr>
              <w:t>80</w:t>
            </w:r>
          </w:p>
        </w:tc>
        <w:tc>
          <w:tcPr>
            <w:tcW w:w="2189" w:type="dxa"/>
            <w:tcBorders>
              <w:top w:val="nil"/>
              <w:left w:val="single" w:sz="8" w:space="0" w:color="000000"/>
              <w:bottom w:val="nil"/>
              <w:right w:val="single" w:sz="8" w:space="0" w:color="000000"/>
            </w:tcBorders>
          </w:tcPr>
          <w:p>
            <w:pPr>
              <w:pStyle w:val="TableParagraph"/>
              <w:spacing w:before="75"/>
              <w:ind w:left="160" w:right="160"/>
              <w:rPr>
                <w:sz w:val="22"/>
              </w:rPr>
            </w:pPr>
            <w:r>
              <w:rPr>
                <w:sz w:val="22"/>
              </w:rPr>
              <w:t>20</w:t>
            </w:r>
          </w:p>
        </w:tc>
      </w:tr>
      <w:tr>
        <w:trPr>
          <w:trHeight w:val="411" w:hRule="atLeast"/>
        </w:trPr>
        <w:tc>
          <w:tcPr>
            <w:tcW w:w="1181" w:type="dxa"/>
            <w:tcBorders>
              <w:top w:val="nil"/>
              <w:left w:val="single" w:sz="8" w:space="0" w:color="000000"/>
              <w:bottom w:val="nil"/>
              <w:right w:val="single" w:sz="8" w:space="0" w:color="000000"/>
            </w:tcBorders>
          </w:tcPr>
          <w:p>
            <w:pPr>
              <w:pStyle w:val="TableParagraph"/>
              <w:spacing w:before="75"/>
              <w:ind w:left="17"/>
              <w:rPr>
                <w:sz w:val="22"/>
              </w:rPr>
            </w:pPr>
            <w:r>
              <w:rPr>
                <w:w w:val="99"/>
                <w:sz w:val="22"/>
              </w:rPr>
              <w:t>6</w:t>
            </w:r>
          </w:p>
        </w:tc>
        <w:tc>
          <w:tcPr>
            <w:tcW w:w="999" w:type="dxa"/>
            <w:tcBorders>
              <w:top w:val="nil"/>
              <w:left w:val="single" w:sz="8" w:space="0" w:color="000000"/>
              <w:bottom w:val="nil"/>
              <w:right w:val="single" w:sz="8" w:space="0" w:color="000000"/>
            </w:tcBorders>
          </w:tcPr>
          <w:p>
            <w:pPr>
              <w:pStyle w:val="TableParagraph"/>
              <w:spacing w:before="75"/>
              <w:ind w:left="326" w:right="306"/>
              <w:rPr>
                <w:sz w:val="22"/>
              </w:rPr>
            </w:pPr>
            <w:r>
              <w:rPr>
                <w:sz w:val="22"/>
              </w:rPr>
              <w:t>0.3</w:t>
            </w:r>
          </w:p>
        </w:tc>
        <w:tc>
          <w:tcPr>
            <w:tcW w:w="2576" w:type="dxa"/>
            <w:tcBorders>
              <w:top w:val="nil"/>
              <w:left w:val="single" w:sz="8" w:space="0" w:color="000000"/>
              <w:bottom w:val="nil"/>
              <w:right w:val="single" w:sz="8" w:space="0" w:color="000000"/>
            </w:tcBorders>
          </w:tcPr>
          <w:p>
            <w:pPr>
              <w:pStyle w:val="TableParagraph"/>
              <w:spacing w:before="75"/>
              <w:ind w:left="420" w:right="417"/>
              <w:rPr>
                <w:sz w:val="22"/>
              </w:rPr>
            </w:pPr>
            <w:r>
              <w:rPr>
                <w:sz w:val="22"/>
              </w:rPr>
              <w:t>50</w:t>
            </w:r>
          </w:p>
        </w:tc>
        <w:tc>
          <w:tcPr>
            <w:tcW w:w="2189" w:type="dxa"/>
            <w:tcBorders>
              <w:top w:val="nil"/>
              <w:left w:val="single" w:sz="8" w:space="0" w:color="000000"/>
              <w:bottom w:val="nil"/>
              <w:right w:val="single" w:sz="8" w:space="0" w:color="000000"/>
            </w:tcBorders>
          </w:tcPr>
          <w:p>
            <w:pPr>
              <w:pStyle w:val="TableParagraph"/>
              <w:spacing w:before="75"/>
              <w:ind w:left="160" w:right="160"/>
              <w:rPr>
                <w:sz w:val="22"/>
              </w:rPr>
            </w:pPr>
            <w:r>
              <w:rPr>
                <w:sz w:val="22"/>
              </w:rPr>
              <w:t>50</w:t>
            </w:r>
          </w:p>
        </w:tc>
      </w:tr>
      <w:tr>
        <w:trPr>
          <w:trHeight w:val="411" w:hRule="atLeast"/>
        </w:trPr>
        <w:tc>
          <w:tcPr>
            <w:tcW w:w="1181" w:type="dxa"/>
            <w:tcBorders>
              <w:top w:val="nil"/>
              <w:left w:val="single" w:sz="8" w:space="0" w:color="000000"/>
              <w:bottom w:val="nil"/>
              <w:right w:val="single" w:sz="8" w:space="0" w:color="000000"/>
            </w:tcBorders>
          </w:tcPr>
          <w:p>
            <w:pPr>
              <w:pStyle w:val="TableParagraph"/>
              <w:spacing w:before="75"/>
              <w:ind w:left="446" w:right="429"/>
              <w:rPr>
                <w:sz w:val="22"/>
              </w:rPr>
            </w:pPr>
            <w:r>
              <w:rPr>
                <w:sz w:val="22"/>
              </w:rPr>
              <w:t>13</w:t>
            </w:r>
          </w:p>
        </w:tc>
        <w:tc>
          <w:tcPr>
            <w:tcW w:w="999" w:type="dxa"/>
            <w:tcBorders>
              <w:top w:val="nil"/>
              <w:left w:val="single" w:sz="8" w:space="0" w:color="000000"/>
              <w:bottom w:val="nil"/>
              <w:right w:val="single" w:sz="8" w:space="0" w:color="000000"/>
            </w:tcBorders>
          </w:tcPr>
          <w:p>
            <w:pPr>
              <w:pStyle w:val="TableParagraph"/>
              <w:spacing w:before="75"/>
              <w:ind w:left="326" w:right="306"/>
              <w:rPr>
                <w:sz w:val="22"/>
              </w:rPr>
            </w:pPr>
            <w:r>
              <w:rPr>
                <w:sz w:val="22"/>
              </w:rPr>
              <w:t>0.3</w:t>
            </w:r>
          </w:p>
        </w:tc>
        <w:tc>
          <w:tcPr>
            <w:tcW w:w="2576" w:type="dxa"/>
            <w:tcBorders>
              <w:top w:val="nil"/>
              <w:left w:val="single" w:sz="8" w:space="0" w:color="000000"/>
              <w:bottom w:val="nil"/>
              <w:right w:val="single" w:sz="8" w:space="0" w:color="000000"/>
            </w:tcBorders>
          </w:tcPr>
          <w:p>
            <w:pPr>
              <w:pStyle w:val="TableParagraph"/>
              <w:spacing w:before="75"/>
              <w:ind w:left="420" w:right="417"/>
              <w:rPr>
                <w:sz w:val="22"/>
              </w:rPr>
            </w:pPr>
            <w:r>
              <w:rPr>
                <w:sz w:val="22"/>
              </w:rPr>
              <w:t>15</w:t>
            </w:r>
          </w:p>
        </w:tc>
        <w:tc>
          <w:tcPr>
            <w:tcW w:w="2189" w:type="dxa"/>
            <w:tcBorders>
              <w:top w:val="nil"/>
              <w:left w:val="single" w:sz="8" w:space="0" w:color="000000"/>
              <w:bottom w:val="nil"/>
              <w:right w:val="single" w:sz="8" w:space="0" w:color="000000"/>
            </w:tcBorders>
          </w:tcPr>
          <w:p>
            <w:pPr>
              <w:pStyle w:val="TableParagraph"/>
              <w:spacing w:before="75"/>
              <w:ind w:left="160" w:right="160"/>
              <w:rPr>
                <w:sz w:val="22"/>
              </w:rPr>
            </w:pPr>
            <w:r>
              <w:rPr>
                <w:sz w:val="22"/>
              </w:rPr>
              <w:t>85</w:t>
            </w:r>
          </w:p>
        </w:tc>
      </w:tr>
      <w:tr>
        <w:trPr>
          <w:trHeight w:val="410" w:hRule="atLeast"/>
        </w:trPr>
        <w:tc>
          <w:tcPr>
            <w:tcW w:w="1181" w:type="dxa"/>
            <w:tcBorders>
              <w:top w:val="nil"/>
              <w:left w:val="single" w:sz="8" w:space="0" w:color="000000"/>
              <w:bottom w:val="nil"/>
              <w:right w:val="single" w:sz="8" w:space="0" w:color="000000"/>
            </w:tcBorders>
          </w:tcPr>
          <w:p>
            <w:pPr>
              <w:pStyle w:val="TableParagraph"/>
              <w:spacing w:before="75"/>
              <w:ind w:left="446" w:right="429"/>
              <w:rPr>
                <w:sz w:val="22"/>
              </w:rPr>
            </w:pPr>
            <w:r>
              <w:rPr>
                <w:sz w:val="22"/>
              </w:rPr>
              <w:t>14</w:t>
            </w:r>
          </w:p>
        </w:tc>
        <w:tc>
          <w:tcPr>
            <w:tcW w:w="999" w:type="dxa"/>
            <w:tcBorders>
              <w:top w:val="nil"/>
              <w:left w:val="single" w:sz="8" w:space="0" w:color="000000"/>
              <w:bottom w:val="nil"/>
              <w:right w:val="single" w:sz="8" w:space="0" w:color="000000"/>
            </w:tcBorders>
          </w:tcPr>
          <w:p>
            <w:pPr>
              <w:pStyle w:val="TableParagraph"/>
              <w:spacing w:before="75"/>
              <w:ind w:left="326" w:right="306"/>
              <w:rPr>
                <w:sz w:val="22"/>
              </w:rPr>
            </w:pPr>
            <w:r>
              <w:rPr>
                <w:sz w:val="22"/>
              </w:rPr>
              <w:t>0.4</w:t>
            </w:r>
          </w:p>
        </w:tc>
        <w:tc>
          <w:tcPr>
            <w:tcW w:w="2576" w:type="dxa"/>
            <w:tcBorders>
              <w:top w:val="nil"/>
              <w:left w:val="single" w:sz="8" w:space="0" w:color="000000"/>
              <w:bottom w:val="nil"/>
              <w:right w:val="single" w:sz="8" w:space="0" w:color="000000"/>
            </w:tcBorders>
          </w:tcPr>
          <w:p>
            <w:pPr>
              <w:pStyle w:val="TableParagraph"/>
              <w:spacing w:before="75"/>
              <w:ind w:left="3"/>
              <w:rPr>
                <w:sz w:val="22"/>
              </w:rPr>
            </w:pPr>
            <w:r>
              <w:rPr>
                <w:w w:val="99"/>
                <w:sz w:val="22"/>
              </w:rPr>
              <w:t>0</w:t>
            </w:r>
          </w:p>
        </w:tc>
        <w:tc>
          <w:tcPr>
            <w:tcW w:w="2189" w:type="dxa"/>
            <w:tcBorders>
              <w:top w:val="nil"/>
              <w:left w:val="single" w:sz="8" w:space="0" w:color="000000"/>
              <w:bottom w:val="nil"/>
              <w:right w:val="single" w:sz="8" w:space="0" w:color="000000"/>
            </w:tcBorders>
          </w:tcPr>
          <w:p>
            <w:pPr>
              <w:pStyle w:val="TableParagraph"/>
              <w:spacing w:before="75"/>
              <w:ind w:left="160" w:right="160"/>
              <w:rPr>
                <w:sz w:val="22"/>
              </w:rPr>
            </w:pPr>
            <w:r>
              <w:rPr>
                <w:sz w:val="22"/>
              </w:rPr>
              <w:t>100</w:t>
            </w:r>
          </w:p>
        </w:tc>
      </w:tr>
      <w:tr>
        <w:trPr>
          <w:trHeight w:val="411" w:hRule="atLeast"/>
        </w:trPr>
        <w:tc>
          <w:tcPr>
            <w:tcW w:w="1181" w:type="dxa"/>
            <w:tcBorders>
              <w:top w:val="nil"/>
              <w:left w:val="single" w:sz="8" w:space="0" w:color="000000"/>
              <w:bottom w:val="nil"/>
              <w:right w:val="single" w:sz="8" w:space="0" w:color="000000"/>
            </w:tcBorders>
          </w:tcPr>
          <w:p>
            <w:pPr>
              <w:pStyle w:val="TableParagraph"/>
              <w:spacing w:before="75"/>
              <w:ind w:left="446" w:right="429"/>
              <w:rPr>
                <w:sz w:val="22"/>
              </w:rPr>
            </w:pPr>
            <w:r>
              <w:rPr>
                <w:sz w:val="22"/>
              </w:rPr>
              <w:t>17</w:t>
            </w:r>
          </w:p>
        </w:tc>
        <w:tc>
          <w:tcPr>
            <w:tcW w:w="999" w:type="dxa"/>
            <w:tcBorders>
              <w:top w:val="nil"/>
              <w:left w:val="single" w:sz="8" w:space="0" w:color="000000"/>
              <w:bottom w:val="nil"/>
              <w:right w:val="single" w:sz="8" w:space="0" w:color="000000"/>
            </w:tcBorders>
          </w:tcPr>
          <w:p>
            <w:pPr>
              <w:pStyle w:val="TableParagraph"/>
              <w:spacing w:before="75"/>
              <w:ind w:left="326" w:right="306"/>
              <w:rPr>
                <w:sz w:val="22"/>
              </w:rPr>
            </w:pPr>
            <w:r>
              <w:rPr>
                <w:sz w:val="22"/>
              </w:rPr>
              <w:t>0.4</w:t>
            </w:r>
          </w:p>
        </w:tc>
        <w:tc>
          <w:tcPr>
            <w:tcW w:w="2576" w:type="dxa"/>
            <w:tcBorders>
              <w:top w:val="nil"/>
              <w:left w:val="single" w:sz="8" w:space="0" w:color="000000"/>
              <w:bottom w:val="nil"/>
              <w:right w:val="single" w:sz="8" w:space="0" w:color="000000"/>
            </w:tcBorders>
          </w:tcPr>
          <w:p>
            <w:pPr>
              <w:pStyle w:val="TableParagraph"/>
              <w:spacing w:before="75"/>
              <w:ind w:left="3"/>
              <w:rPr>
                <w:sz w:val="22"/>
              </w:rPr>
            </w:pPr>
            <w:r>
              <w:rPr>
                <w:w w:val="99"/>
                <w:sz w:val="22"/>
              </w:rPr>
              <w:t>0</w:t>
            </w:r>
          </w:p>
        </w:tc>
        <w:tc>
          <w:tcPr>
            <w:tcW w:w="2189" w:type="dxa"/>
            <w:tcBorders>
              <w:top w:val="nil"/>
              <w:left w:val="single" w:sz="8" w:space="0" w:color="000000"/>
              <w:bottom w:val="nil"/>
              <w:right w:val="single" w:sz="8" w:space="0" w:color="000000"/>
            </w:tcBorders>
          </w:tcPr>
          <w:p>
            <w:pPr>
              <w:pStyle w:val="TableParagraph"/>
              <w:spacing w:before="75"/>
              <w:ind w:left="160" w:right="160"/>
              <w:rPr>
                <w:sz w:val="22"/>
              </w:rPr>
            </w:pPr>
            <w:r>
              <w:rPr>
                <w:sz w:val="22"/>
              </w:rPr>
              <w:t>100</w:t>
            </w:r>
          </w:p>
        </w:tc>
      </w:tr>
      <w:tr>
        <w:trPr>
          <w:trHeight w:val="410" w:hRule="atLeast"/>
        </w:trPr>
        <w:tc>
          <w:tcPr>
            <w:tcW w:w="1181" w:type="dxa"/>
            <w:tcBorders>
              <w:top w:val="nil"/>
              <w:left w:val="single" w:sz="8" w:space="0" w:color="000000"/>
              <w:bottom w:val="nil"/>
              <w:right w:val="single" w:sz="8" w:space="0" w:color="000000"/>
            </w:tcBorders>
          </w:tcPr>
          <w:p>
            <w:pPr>
              <w:pStyle w:val="TableParagraph"/>
              <w:spacing w:before="75"/>
              <w:ind w:left="446" w:right="429"/>
              <w:rPr>
                <w:sz w:val="22"/>
              </w:rPr>
            </w:pPr>
            <w:r>
              <w:rPr>
                <w:sz w:val="22"/>
              </w:rPr>
              <w:t>18</w:t>
            </w:r>
          </w:p>
        </w:tc>
        <w:tc>
          <w:tcPr>
            <w:tcW w:w="999" w:type="dxa"/>
            <w:tcBorders>
              <w:top w:val="nil"/>
              <w:left w:val="single" w:sz="8" w:space="0" w:color="000000"/>
              <w:bottom w:val="nil"/>
              <w:right w:val="single" w:sz="8" w:space="0" w:color="000000"/>
            </w:tcBorders>
          </w:tcPr>
          <w:p>
            <w:pPr>
              <w:pStyle w:val="TableParagraph"/>
              <w:spacing w:before="75"/>
              <w:ind w:left="326" w:right="306"/>
              <w:rPr>
                <w:sz w:val="22"/>
              </w:rPr>
            </w:pPr>
            <w:r>
              <w:rPr>
                <w:sz w:val="22"/>
              </w:rPr>
              <w:t>0.4</w:t>
            </w:r>
          </w:p>
        </w:tc>
        <w:tc>
          <w:tcPr>
            <w:tcW w:w="2576" w:type="dxa"/>
            <w:tcBorders>
              <w:top w:val="nil"/>
              <w:left w:val="single" w:sz="8" w:space="0" w:color="000000"/>
              <w:bottom w:val="nil"/>
              <w:right w:val="single" w:sz="8" w:space="0" w:color="000000"/>
            </w:tcBorders>
          </w:tcPr>
          <w:p>
            <w:pPr>
              <w:pStyle w:val="TableParagraph"/>
              <w:spacing w:before="75"/>
              <w:ind w:left="420" w:right="417"/>
              <w:rPr>
                <w:sz w:val="22"/>
              </w:rPr>
            </w:pPr>
            <w:r>
              <w:rPr>
                <w:sz w:val="22"/>
              </w:rPr>
              <w:t>100</w:t>
            </w:r>
          </w:p>
        </w:tc>
        <w:tc>
          <w:tcPr>
            <w:tcW w:w="2189" w:type="dxa"/>
            <w:tcBorders>
              <w:top w:val="nil"/>
              <w:left w:val="single" w:sz="8" w:space="0" w:color="000000"/>
              <w:bottom w:val="nil"/>
              <w:right w:val="single" w:sz="8" w:space="0" w:color="000000"/>
            </w:tcBorders>
          </w:tcPr>
          <w:p>
            <w:pPr>
              <w:pStyle w:val="TableParagraph"/>
              <w:spacing w:before="75"/>
              <w:rPr>
                <w:sz w:val="22"/>
              </w:rPr>
            </w:pPr>
            <w:r>
              <w:rPr>
                <w:w w:val="99"/>
                <w:sz w:val="22"/>
              </w:rPr>
              <w:t>0</w:t>
            </w:r>
          </w:p>
        </w:tc>
      </w:tr>
      <w:tr>
        <w:trPr>
          <w:trHeight w:val="487" w:hRule="atLeast"/>
        </w:trPr>
        <w:tc>
          <w:tcPr>
            <w:tcW w:w="1181" w:type="dxa"/>
            <w:tcBorders>
              <w:top w:val="nil"/>
              <w:left w:val="single" w:sz="8" w:space="0" w:color="000000"/>
              <w:bottom w:val="double" w:sz="2" w:space="0" w:color="000000"/>
              <w:right w:val="single" w:sz="8" w:space="0" w:color="000000"/>
            </w:tcBorders>
          </w:tcPr>
          <w:p>
            <w:pPr>
              <w:pStyle w:val="TableParagraph"/>
              <w:spacing w:before="75"/>
              <w:ind w:left="446" w:right="429"/>
              <w:rPr>
                <w:sz w:val="22"/>
              </w:rPr>
            </w:pPr>
            <w:r>
              <w:rPr>
                <w:sz w:val="22"/>
              </w:rPr>
              <w:t>21</w:t>
            </w:r>
          </w:p>
        </w:tc>
        <w:tc>
          <w:tcPr>
            <w:tcW w:w="999" w:type="dxa"/>
            <w:tcBorders>
              <w:top w:val="nil"/>
              <w:left w:val="single" w:sz="8" w:space="0" w:color="000000"/>
              <w:bottom w:val="double" w:sz="2" w:space="0" w:color="000000"/>
              <w:right w:val="single" w:sz="8" w:space="0" w:color="000000"/>
            </w:tcBorders>
          </w:tcPr>
          <w:p>
            <w:pPr>
              <w:pStyle w:val="TableParagraph"/>
              <w:spacing w:before="75"/>
              <w:ind w:left="326" w:right="306"/>
              <w:rPr>
                <w:sz w:val="22"/>
              </w:rPr>
            </w:pPr>
            <w:r>
              <w:rPr>
                <w:sz w:val="22"/>
              </w:rPr>
              <w:t>0.4</w:t>
            </w:r>
          </w:p>
        </w:tc>
        <w:tc>
          <w:tcPr>
            <w:tcW w:w="2576" w:type="dxa"/>
            <w:tcBorders>
              <w:top w:val="nil"/>
              <w:left w:val="single" w:sz="8" w:space="0" w:color="000000"/>
              <w:bottom w:val="double" w:sz="2" w:space="0" w:color="000000"/>
              <w:right w:val="single" w:sz="8" w:space="0" w:color="000000"/>
            </w:tcBorders>
          </w:tcPr>
          <w:p>
            <w:pPr>
              <w:pStyle w:val="TableParagraph"/>
              <w:spacing w:before="75"/>
              <w:ind w:left="420" w:right="417"/>
              <w:rPr>
                <w:sz w:val="22"/>
              </w:rPr>
            </w:pPr>
            <w:r>
              <w:rPr>
                <w:sz w:val="22"/>
              </w:rPr>
              <w:t>100</w:t>
            </w:r>
          </w:p>
        </w:tc>
        <w:tc>
          <w:tcPr>
            <w:tcW w:w="2189" w:type="dxa"/>
            <w:tcBorders>
              <w:top w:val="nil"/>
              <w:left w:val="single" w:sz="8" w:space="0" w:color="000000"/>
              <w:right w:val="single" w:sz="8" w:space="0" w:color="000000"/>
            </w:tcBorders>
          </w:tcPr>
          <w:p>
            <w:pPr>
              <w:pStyle w:val="TableParagraph"/>
              <w:spacing w:before="75"/>
              <w:rPr>
                <w:sz w:val="22"/>
              </w:rPr>
            </w:pPr>
            <w:r>
              <w:rPr>
                <w:w w:val="99"/>
                <w:sz w:val="22"/>
              </w:rPr>
              <w:t>0</w:t>
            </w:r>
          </w:p>
        </w:tc>
      </w:tr>
    </w:tbl>
    <w:p>
      <w:pPr>
        <w:pStyle w:val="BodyText"/>
        <w:ind w:left="656"/>
        <w:jc w:val="center"/>
      </w:pPr>
      <w:r>
        <w:rPr/>
        <w:t>* 20 mM ammonium acetate may not be soluble in 95:5 acetonitrile-water</w:t>
      </w:r>
    </w:p>
    <w:p>
      <w:pPr>
        <w:spacing w:after="0"/>
        <w:jc w:val="center"/>
        <w:sectPr>
          <w:pgSz w:w="12240" w:h="15840"/>
          <w:pgMar w:header="0" w:footer="1214" w:top="1060" w:bottom="1400" w:left="460" w:right="480"/>
        </w:sectPr>
      </w:pPr>
    </w:p>
    <w:p>
      <w:pPr>
        <w:pStyle w:val="BodyText"/>
        <w:spacing w:before="70"/>
        <w:ind w:left="740"/>
        <w:jc w:val="center"/>
      </w:pPr>
      <w:bookmarkStart w:name="TABLE 5C" w:id="310"/>
      <w:bookmarkEnd w:id="310"/>
      <w:r>
        <w:rPr/>
      </w:r>
      <w:bookmarkStart w:name="_bookmark32" w:id="311"/>
      <w:bookmarkEnd w:id="311"/>
      <w:r>
        <w:rPr/>
      </w:r>
      <w:r>
        <w:rPr/>
        <w:t>TABLE 5C</w:t>
      </w:r>
    </w:p>
    <w:p>
      <w:pPr>
        <w:pStyle w:val="BodyText"/>
        <w:spacing w:before="159"/>
        <w:ind w:left="737"/>
        <w:jc w:val="center"/>
      </w:pPr>
      <w:bookmarkStart w:name="INSTRUMENT CONDITIONS USED IN METHOD DEV" w:id="312"/>
      <w:bookmarkEnd w:id="312"/>
      <w:r>
        <w:rPr/>
      </w:r>
      <w:bookmarkStart w:name="_bookmark33" w:id="313"/>
      <w:bookmarkEnd w:id="313"/>
      <w:r>
        <w:rPr/>
      </w:r>
      <w:r>
        <w:rPr/>
        <w:t>INSTRUMENT CONDITIONS USED IN METHOD DEVELOPMENT</w:t>
      </w:r>
    </w:p>
    <w:p>
      <w:pPr>
        <w:pStyle w:val="BodyText"/>
        <w:spacing w:before="1"/>
        <w:rPr>
          <w:sz w:val="24"/>
        </w:rPr>
      </w:pPr>
    </w:p>
    <w:p>
      <w:pPr>
        <w:pStyle w:val="BodyText"/>
        <w:spacing w:line="391" w:lineRule="auto"/>
        <w:ind w:left="1700" w:right="6589"/>
      </w:pPr>
      <w:r>
        <w:rPr/>
        <w:t>Analytical column: See 6.1.2 Isolator Column: See 6.1.3 Column temperature: 35-50ºC. Injection volume: 10-30µL</w:t>
      </w:r>
    </w:p>
    <w:p>
      <w:pPr>
        <w:pStyle w:val="BodyText"/>
        <w:spacing w:line="391" w:lineRule="auto"/>
        <w:ind w:left="1700" w:right="4883"/>
      </w:pPr>
      <w:r>
        <w:rPr/>
        <w:t>Needle wash: 60% acetonitrile / 40% 2-propanol Instrument: Waters Xevo TQ-S</w:t>
      </w:r>
    </w:p>
    <w:p>
      <w:pPr>
        <w:pStyle w:val="BodyText"/>
        <w:spacing w:line="388" w:lineRule="auto"/>
        <w:ind w:left="1700" w:right="6899"/>
      </w:pPr>
      <w:r>
        <w:rPr/>
        <w:t>Capillary voltage: 0.75 kV Source temperature: 150°C</w:t>
      </w:r>
    </w:p>
    <w:p>
      <w:pPr>
        <w:pStyle w:val="BodyText"/>
        <w:spacing w:line="388" w:lineRule="auto"/>
        <w:ind w:left="1700" w:right="6031"/>
      </w:pPr>
      <w:r>
        <w:rPr/>
        <w:t>Desolvation gas temperature: 450°C Desolvation gas flow: 800 L/hr</w:t>
      </w:r>
    </w:p>
    <w:p>
      <w:pPr>
        <w:pStyle w:val="BodyText"/>
        <w:spacing w:line="388" w:lineRule="auto"/>
        <w:ind w:left="1700" w:right="6547"/>
      </w:pPr>
      <w:r>
        <w:rPr/>
        <w:t>Cone gas flow: 200 L/hr Collision gas flow: 0.15 mL/min</w:t>
      </w:r>
    </w:p>
    <w:p>
      <w:pPr>
        <w:spacing w:after="0" w:line="388" w:lineRule="auto"/>
        <w:sectPr>
          <w:pgSz w:w="12240" w:h="15840"/>
          <w:pgMar w:header="0" w:footer="1214" w:top="1060" w:bottom="1400" w:left="460" w:right="480"/>
        </w:sectPr>
      </w:pPr>
    </w:p>
    <w:p>
      <w:pPr>
        <w:pStyle w:val="BodyText"/>
        <w:spacing w:before="70"/>
        <w:ind w:left="739"/>
        <w:jc w:val="center"/>
      </w:pPr>
      <w:bookmarkStart w:name="TABLE 6" w:id="314"/>
      <w:bookmarkEnd w:id="314"/>
      <w:r>
        <w:rPr/>
      </w:r>
      <w:bookmarkStart w:name="_bookmark34" w:id="315"/>
      <w:bookmarkEnd w:id="315"/>
      <w:r>
        <w:rPr/>
      </w:r>
      <w:r>
        <w:rPr/>
        <w:t>TABLE 6</w:t>
      </w:r>
    </w:p>
    <w:p>
      <w:pPr>
        <w:pStyle w:val="BodyText"/>
        <w:spacing w:before="159"/>
        <w:ind w:left="739"/>
        <w:jc w:val="center"/>
      </w:pPr>
      <w:bookmarkStart w:name="EXAMPLES OF SURROGATES AND RECOMMENDED T" w:id="316"/>
      <w:bookmarkEnd w:id="316"/>
      <w:r>
        <w:rPr/>
      </w:r>
      <w:bookmarkStart w:name="_bookmark35" w:id="317"/>
      <w:bookmarkEnd w:id="317"/>
      <w:r>
        <w:rPr/>
      </w:r>
      <w:r>
        <w:rPr/>
        <w:t>EXAMPLES OF SURROGATES AND RECOMMENDED TARGET ANALYTE</w:t>
      </w:r>
    </w:p>
    <w:p>
      <w:pPr>
        <w:pStyle w:val="BodyText"/>
        <w:spacing w:before="37"/>
        <w:ind w:left="18"/>
        <w:jc w:val="center"/>
      </w:pPr>
      <w:r>
        <w:rPr/>
        <w:pict>
          <v:line style="position:absolute;mso-position-horizontal-relative:page;mso-position-vertical-relative:paragraph;z-index:251708416" from="72pt,28.673655pt" to="332.76pt,28.673655pt" stroked="true" strokeweight=".481pt" strokecolor="#000000">
            <v:stroke dashstyle="solid"/>
            <w10:wrap type="none"/>
          </v:line>
        </w:pict>
      </w:r>
      <w:r>
        <w:rPr/>
        <w:t>ASSOCIATIONS</w:t>
      </w:r>
    </w:p>
    <w:p>
      <w:pPr>
        <w:pStyle w:val="BodyText"/>
        <w:spacing w:before="1"/>
        <w:rPr>
          <w:sz w:val="25"/>
        </w:rPr>
      </w:pPr>
    </w:p>
    <w:tbl>
      <w:tblPr>
        <w:tblW w:w="0" w:type="auto"/>
        <w:jc w:val="left"/>
        <w:tblInd w:w="9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31"/>
        <w:gridCol w:w="4142"/>
      </w:tblGrid>
      <w:tr>
        <w:trPr>
          <w:trHeight w:val="384" w:hRule="atLeast"/>
        </w:trPr>
        <w:tc>
          <w:tcPr>
            <w:tcW w:w="5231" w:type="dxa"/>
            <w:tcBorders>
              <w:top w:val="single" w:sz="4" w:space="0" w:color="000000"/>
              <w:bottom w:val="single" w:sz="4" w:space="0" w:color="000000"/>
              <w:right w:val="single" w:sz="4" w:space="0" w:color="000000"/>
            </w:tcBorders>
          </w:tcPr>
          <w:p>
            <w:pPr>
              <w:pStyle w:val="TableParagraph"/>
              <w:spacing w:before="60"/>
              <w:ind w:left="121"/>
              <w:jc w:val="left"/>
              <w:rPr>
                <w:sz w:val="20"/>
              </w:rPr>
            </w:pPr>
            <w:r>
              <w:rPr>
                <w:sz w:val="20"/>
                <w:u w:val="single"/>
              </w:rPr>
              <w:t>Examples of Isotopically Labeled PFAS Surrogates</w:t>
            </w:r>
          </w:p>
        </w:tc>
        <w:tc>
          <w:tcPr>
            <w:tcW w:w="4142" w:type="dxa"/>
            <w:tcBorders>
              <w:top w:val="double" w:sz="1" w:space="0" w:color="000000"/>
              <w:left w:val="single" w:sz="4" w:space="0" w:color="000000"/>
              <w:bottom w:val="single" w:sz="4" w:space="0" w:color="000000"/>
            </w:tcBorders>
          </w:tcPr>
          <w:p>
            <w:pPr>
              <w:pStyle w:val="TableParagraph"/>
              <w:spacing w:before="60"/>
              <w:ind w:left="105"/>
              <w:jc w:val="left"/>
              <w:rPr>
                <w:sz w:val="20"/>
              </w:rPr>
            </w:pPr>
            <w:r>
              <w:rPr>
                <w:sz w:val="20"/>
                <w:u w:val="single"/>
              </w:rPr>
              <w:t>Recommended target analyte association(s)</w:t>
            </w:r>
          </w:p>
        </w:tc>
      </w:tr>
      <w:tr>
        <w:trPr>
          <w:trHeight w:val="367" w:hRule="atLeast"/>
        </w:trPr>
        <w:tc>
          <w:tcPr>
            <w:tcW w:w="5231" w:type="dxa"/>
            <w:tcBorders>
              <w:top w:val="single" w:sz="4" w:space="0" w:color="000000"/>
              <w:right w:val="single" w:sz="4" w:space="0" w:color="000000"/>
            </w:tcBorders>
          </w:tcPr>
          <w:p>
            <w:pPr>
              <w:pStyle w:val="TableParagraph"/>
              <w:spacing w:before="59"/>
              <w:ind w:left="121"/>
              <w:jc w:val="left"/>
              <w:rPr>
                <w:sz w:val="20"/>
              </w:rPr>
            </w:pPr>
            <w:r>
              <w:rPr>
                <w:sz w:val="20"/>
                <w:u w:val="single"/>
              </w:rPr>
              <w:t>Sulfonic Acid Surrogates</w:t>
            </w:r>
          </w:p>
        </w:tc>
        <w:tc>
          <w:tcPr>
            <w:tcW w:w="4142" w:type="dxa"/>
            <w:tcBorders>
              <w:top w:val="single" w:sz="4" w:space="0" w:color="000000"/>
              <w:left w:val="single" w:sz="4" w:space="0" w:color="000000"/>
            </w:tcBorders>
          </w:tcPr>
          <w:p>
            <w:pPr>
              <w:pStyle w:val="TableParagraph"/>
              <w:spacing w:before="0"/>
              <w:jc w:val="left"/>
              <w:rPr>
                <w:rFonts w:ascii="Times New Roman"/>
                <w:sz w:val="18"/>
              </w:rPr>
            </w:pPr>
          </w:p>
        </w:tc>
      </w:tr>
      <w:tr>
        <w:trPr>
          <w:trHeight w:val="384" w:hRule="atLeast"/>
        </w:trPr>
        <w:tc>
          <w:tcPr>
            <w:tcW w:w="5231" w:type="dxa"/>
            <w:tcBorders>
              <w:right w:val="single" w:sz="4" w:space="0" w:color="000000"/>
            </w:tcBorders>
          </w:tcPr>
          <w:p>
            <w:pPr>
              <w:pStyle w:val="TableParagraph"/>
              <w:spacing w:before="77"/>
              <w:ind w:left="121"/>
              <w:jc w:val="left"/>
              <w:rPr>
                <w:sz w:val="20"/>
              </w:rPr>
            </w:pPr>
            <w:r>
              <w:rPr>
                <w:position w:val="1"/>
                <w:sz w:val="20"/>
              </w:rPr>
              <w:t>Perfluoro-1-[2,3,4-</w:t>
            </w:r>
            <w:r>
              <w:rPr>
                <w:position w:val="1"/>
                <w:sz w:val="20"/>
                <w:vertAlign w:val="superscript"/>
              </w:rPr>
              <w:t>13</w:t>
            </w:r>
            <w:r>
              <w:rPr>
                <w:position w:val="1"/>
                <w:sz w:val="20"/>
                <w:vertAlign w:val="baseline"/>
              </w:rPr>
              <w:t>C</w:t>
            </w:r>
            <w:r>
              <w:rPr>
                <w:sz w:val="13"/>
                <w:vertAlign w:val="baseline"/>
              </w:rPr>
              <w:t>3</w:t>
            </w:r>
            <w:r>
              <w:rPr>
                <w:position w:val="1"/>
                <w:sz w:val="20"/>
                <w:vertAlign w:val="baseline"/>
              </w:rPr>
              <w:t>]butanesulfonic acid (M3PFBS)</w:t>
            </w:r>
          </w:p>
        </w:tc>
        <w:tc>
          <w:tcPr>
            <w:tcW w:w="4142" w:type="dxa"/>
            <w:tcBorders>
              <w:left w:val="single" w:sz="4" w:space="0" w:color="000000"/>
            </w:tcBorders>
          </w:tcPr>
          <w:p>
            <w:pPr>
              <w:pStyle w:val="TableParagraph"/>
              <w:spacing w:before="77"/>
              <w:ind w:left="105"/>
              <w:jc w:val="left"/>
              <w:rPr>
                <w:sz w:val="20"/>
              </w:rPr>
            </w:pPr>
            <w:r>
              <w:rPr>
                <w:sz w:val="20"/>
              </w:rPr>
              <w:t>PFBS, PFPeS</w:t>
            </w:r>
          </w:p>
        </w:tc>
      </w:tr>
      <w:tr>
        <w:trPr>
          <w:trHeight w:val="384" w:hRule="atLeast"/>
        </w:trPr>
        <w:tc>
          <w:tcPr>
            <w:tcW w:w="5231" w:type="dxa"/>
            <w:tcBorders>
              <w:right w:val="single" w:sz="4" w:space="0" w:color="000000"/>
            </w:tcBorders>
          </w:tcPr>
          <w:p>
            <w:pPr>
              <w:pStyle w:val="TableParagraph"/>
              <w:spacing w:before="76"/>
              <w:ind w:left="121"/>
              <w:jc w:val="left"/>
              <w:rPr>
                <w:sz w:val="20"/>
              </w:rPr>
            </w:pPr>
            <w:r>
              <w:rPr>
                <w:position w:val="1"/>
                <w:sz w:val="20"/>
              </w:rPr>
              <w:t>Perfluoro-1-[1,2,3-</w:t>
            </w:r>
            <w:r>
              <w:rPr>
                <w:position w:val="1"/>
                <w:sz w:val="20"/>
                <w:vertAlign w:val="superscript"/>
              </w:rPr>
              <w:t>13</w:t>
            </w:r>
            <w:r>
              <w:rPr>
                <w:position w:val="1"/>
                <w:sz w:val="20"/>
                <w:vertAlign w:val="baseline"/>
              </w:rPr>
              <w:t>C</w:t>
            </w:r>
            <w:r>
              <w:rPr>
                <w:sz w:val="13"/>
                <w:vertAlign w:val="baseline"/>
              </w:rPr>
              <w:t>3</w:t>
            </w:r>
            <w:r>
              <w:rPr>
                <w:position w:val="1"/>
                <w:sz w:val="20"/>
                <w:vertAlign w:val="baseline"/>
              </w:rPr>
              <w:t>]hexanesulfonic acid (M3PFHxS)</w:t>
            </w:r>
          </w:p>
        </w:tc>
        <w:tc>
          <w:tcPr>
            <w:tcW w:w="4142" w:type="dxa"/>
            <w:tcBorders>
              <w:left w:val="single" w:sz="4" w:space="0" w:color="000000"/>
            </w:tcBorders>
          </w:tcPr>
          <w:p>
            <w:pPr>
              <w:pStyle w:val="TableParagraph"/>
              <w:spacing w:before="76"/>
              <w:ind w:left="105"/>
              <w:jc w:val="left"/>
              <w:rPr>
                <w:sz w:val="20"/>
              </w:rPr>
            </w:pPr>
            <w:r>
              <w:rPr>
                <w:sz w:val="20"/>
              </w:rPr>
              <w:t>PFHxS, PFHpS</w:t>
            </w:r>
          </w:p>
        </w:tc>
      </w:tr>
      <w:tr>
        <w:trPr>
          <w:trHeight w:val="384" w:hRule="atLeast"/>
        </w:trPr>
        <w:tc>
          <w:tcPr>
            <w:tcW w:w="5231" w:type="dxa"/>
            <w:tcBorders>
              <w:right w:val="single" w:sz="4" w:space="0" w:color="000000"/>
            </w:tcBorders>
          </w:tcPr>
          <w:p>
            <w:pPr>
              <w:pStyle w:val="TableParagraph"/>
              <w:spacing w:before="77"/>
              <w:ind w:left="121"/>
              <w:jc w:val="left"/>
              <w:rPr>
                <w:sz w:val="20"/>
              </w:rPr>
            </w:pPr>
            <w:r>
              <w:rPr>
                <w:position w:val="1"/>
                <w:sz w:val="20"/>
              </w:rPr>
              <w:t>Perfluoro-1-[</w:t>
            </w:r>
            <w:r>
              <w:rPr>
                <w:position w:val="1"/>
                <w:sz w:val="20"/>
                <w:vertAlign w:val="superscript"/>
              </w:rPr>
              <w:t>13</w:t>
            </w:r>
            <w:r>
              <w:rPr>
                <w:position w:val="1"/>
                <w:sz w:val="20"/>
                <w:vertAlign w:val="baseline"/>
              </w:rPr>
              <w:t>C</w:t>
            </w:r>
            <w:r>
              <w:rPr>
                <w:sz w:val="13"/>
                <w:vertAlign w:val="baseline"/>
              </w:rPr>
              <w:t>8</w:t>
            </w:r>
            <w:r>
              <w:rPr>
                <w:position w:val="1"/>
                <w:sz w:val="20"/>
                <w:vertAlign w:val="baseline"/>
              </w:rPr>
              <w:t>]octanesulfonic acid (M8PFOS)</w:t>
            </w:r>
          </w:p>
        </w:tc>
        <w:tc>
          <w:tcPr>
            <w:tcW w:w="4142" w:type="dxa"/>
            <w:tcBorders>
              <w:left w:val="single" w:sz="4" w:space="0" w:color="000000"/>
            </w:tcBorders>
          </w:tcPr>
          <w:p>
            <w:pPr>
              <w:pStyle w:val="TableParagraph"/>
              <w:spacing w:before="77"/>
              <w:ind w:left="105"/>
              <w:jc w:val="left"/>
              <w:rPr>
                <w:sz w:val="20"/>
              </w:rPr>
            </w:pPr>
            <w:r>
              <w:rPr>
                <w:sz w:val="20"/>
              </w:rPr>
              <w:t>PFOS, PFNS, PFDS</w:t>
            </w:r>
          </w:p>
        </w:tc>
      </w:tr>
      <w:tr>
        <w:trPr>
          <w:trHeight w:val="648" w:hRule="atLeast"/>
        </w:trPr>
        <w:tc>
          <w:tcPr>
            <w:tcW w:w="5231" w:type="dxa"/>
            <w:tcBorders>
              <w:right w:val="single" w:sz="4" w:space="0" w:color="000000"/>
            </w:tcBorders>
          </w:tcPr>
          <w:p>
            <w:pPr>
              <w:pStyle w:val="TableParagraph"/>
              <w:spacing w:line="266" w:lineRule="auto" w:before="76"/>
              <w:ind w:left="121" w:right="421"/>
              <w:jc w:val="left"/>
              <w:rPr>
                <w:sz w:val="20"/>
              </w:rPr>
            </w:pPr>
            <w:r>
              <w:rPr>
                <w:position w:val="1"/>
                <w:sz w:val="20"/>
              </w:rPr>
              <w:t>1H, 1H, 2H, 2H-perfluoro-1-[1,2-</w:t>
            </w:r>
            <w:r>
              <w:rPr>
                <w:position w:val="1"/>
                <w:sz w:val="20"/>
                <w:vertAlign w:val="superscript"/>
              </w:rPr>
              <w:t>13</w:t>
            </w:r>
            <w:r>
              <w:rPr>
                <w:position w:val="1"/>
                <w:sz w:val="20"/>
                <w:vertAlign w:val="baseline"/>
              </w:rPr>
              <w:t>C</w:t>
            </w:r>
            <w:r>
              <w:rPr>
                <w:sz w:val="13"/>
                <w:vertAlign w:val="baseline"/>
              </w:rPr>
              <w:t>2</w:t>
            </w:r>
            <w:r>
              <w:rPr>
                <w:position w:val="1"/>
                <w:sz w:val="20"/>
                <w:vertAlign w:val="baseline"/>
              </w:rPr>
              <w:t>] hexanesulfonic </w:t>
            </w:r>
            <w:r>
              <w:rPr>
                <w:sz w:val="20"/>
                <w:vertAlign w:val="baseline"/>
              </w:rPr>
              <w:t>acid (M2-4:2 FTS)</w:t>
            </w:r>
          </w:p>
        </w:tc>
        <w:tc>
          <w:tcPr>
            <w:tcW w:w="4142" w:type="dxa"/>
            <w:tcBorders>
              <w:left w:val="single" w:sz="4" w:space="0" w:color="000000"/>
            </w:tcBorders>
          </w:tcPr>
          <w:p>
            <w:pPr>
              <w:pStyle w:val="TableParagraph"/>
              <w:spacing w:before="76"/>
              <w:ind w:left="105"/>
              <w:jc w:val="left"/>
              <w:rPr>
                <w:sz w:val="20"/>
              </w:rPr>
            </w:pPr>
            <w:r>
              <w:rPr>
                <w:sz w:val="20"/>
              </w:rPr>
              <w:t>4:2FTS</w:t>
            </w:r>
          </w:p>
        </w:tc>
      </w:tr>
      <w:tr>
        <w:trPr>
          <w:trHeight w:val="649" w:hRule="atLeast"/>
        </w:trPr>
        <w:tc>
          <w:tcPr>
            <w:tcW w:w="5231" w:type="dxa"/>
            <w:tcBorders>
              <w:right w:val="single" w:sz="4" w:space="0" w:color="000000"/>
            </w:tcBorders>
          </w:tcPr>
          <w:p>
            <w:pPr>
              <w:pStyle w:val="TableParagraph"/>
              <w:spacing w:line="266" w:lineRule="auto" w:before="77"/>
              <w:ind w:left="121" w:right="477"/>
              <w:jc w:val="left"/>
              <w:rPr>
                <w:sz w:val="20"/>
              </w:rPr>
            </w:pPr>
            <w:r>
              <w:rPr>
                <w:position w:val="1"/>
                <w:sz w:val="20"/>
              </w:rPr>
              <w:t>1H, 1H, 2H, 2H-perfluoro-1-[1,2-</w:t>
            </w:r>
            <w:r>
              <w:rPr>
                <w:position w:val="1"/>
                <w:sz w:val="20"/>
                <w:vertAlign w:val="superscript"/>
              </w:rPr>
              <w:t>13</w:t>
            </w:r>
            <w:r>
              <w:rPr>
                <w:position w:val="1"/>
                <w:sz w:val="20"/>
                <w:vertAlign w:val="baseline"/>
              </w:rPr>
              <w:t>C</w:t>
            </w:r>
            <w:r>
              <w:rPr>
                <w:sz w:val="13"/>
                <w:vertAlign w:val="baseline"/>
              </w:rPr>
              <w:t>2</w:t>
            </w:r>
            <w:r>
              <w:rPr>
                <w:position w:val="1"/>
                <w:sz w:val="20"/>
                <w:vertAlign w:val="baseline"/>
              </w:rPr>
              <w:t>] octanesulfonic </w:t>
            </w:r>
            <w:r>
              <w:rPr>
                <w:sz w:val="20"/>
                <w:vertAlign w:val="baseline"/>
              </w:rPr>
              <w:t>acid (M2-6:2 FTS)</w:t>
            </w:r>
          </w:p>
        </w:tc>
        <w:tc>
          <w:tcPr>
            <w:tcW w:w="4142" w:type="dxa"/>
            <w:tcBorders>
              <w:left w:val="single" w:sz="4" w:space="0" w:color="000000"/>
            </w:tcBorders>
          </w:tcPr>
          <w:p>
            <w:pPr>
              <w:pStyle w:val="TableParagraph"/>
              <w:spacing w:before="77"/>
              <w:ind w:left="105"/>
              <w:jc w:val="left"/>
              <w:rPr>
                <w:sz w:val="20"/>
              </w:rPr>
            </w:pPr>
            <w:r>
              <w:rPr>
                <w:sz w:val="20"/>
              </w:rPr>
              <w:t>6:2FTS</w:t>
            </w:r>
          </w:p>
        </w:tc>
      </w:tr>
      <w:tr>
        <w:trPr>
          <w:trHeight w:val="651" w:hRule="atLeast"/>
        </w:trPr>
        <w:tc>
          <w:tcPr>
            <w:tcW w:w="5231" w:type="dxa"/>
            <w:tcBorders>
              <w:right w:val="single" w:sz="4" w:space="0" w:color="000000"/>
            </w:tcBorders>
          </w:tcPr>
          <w:p>
            <w:pPr>
              <w:pStyle w:val="TableParagraph"/>
              <w:spacing w:line="266" w:lineRule="auto" w:before="77"/>
              <w:ind w:left="121" w:right="421"/>
              <w:jc w:val="left"/>
              <w:rPr>
                <w:sz w:val="20"/>
              </w:rPr>
            </w:pPr>
            <w:r>
              <w:rPr>
                <w:position w:val="1"/>
                <w:sz w:val="20"/>
              </w:rPr>
              <w:t>1H, 1H, 2H, 2H-perfluoro-1-[1,2-</w:t>
            </w:r>
            <w:r>
              <w:rPr>
                <w:position w:val="1"/>
                <w:sz w:val="20"/>
                <w:vertAlign w:val="superscript"/>
              </w:rPr>
              <w:t>13</w:t>
            </w:r>
            <w:r>
              <w:rPr>
                <w:position w:val="1"/>
                <w:sz w:val="20"/>
                <w:vertAlign w:val="baseline"/>
              </w:rPr>
              <w:t>C</w:t>
            </w:r>
            <w:r>
              <w:rPr>
                <w:sz w:val="13"/>
                <w:vertAlign w:val="baseline"/>
              </w:rPr>
              <w:t>2</w:t>
            </w:r>
            <w:r>
              <w:rPr>
                <w:position w:val="1"/>
                <w:sz w:val="20"/>
                <w:vertAlign w:val="baseline"/>
              </w:rPr>
              <w:t>] decanesulfonic </w:t>
            </w:r>
            <w:r>
              <w:rPr>
                <w:sz w:val="20"/>
                <w:vertAlign w:val="baseline"/>
              </w:rPr>
              <w:t>acid (M2-8:2 FTS)</w:t>
            </w:r>
          </w:p>
        </w:tc>
        <w:tc>
          <w:tcPr>
            <w:tcW w:w="4142" w:type="dxa"/>
            <w:tcBorders>
              <w:left w:val="single" w:sz="4" w:space="0" w:color="000000"/>
            </w:tcBorders>
          </w:tcPr>
          <w:p>
            <w:pPr>
              <w:pStyle w:val="TableParagraph"/>
              <w:spacing w:before="77"/>
              <w:ind w:left="105"/>
              <w:jc w:val="left"/>
              <w:rPr>
                <w:sz w:val="20"/>
              </w:rPr>
            </w:pPr>
            <w:r>
              <w:rPr>
                <w:sz w:val="20"/>
              </w:rPr>
              <w:t>8:2FTS</w:t>
            </w:r>
          </w:p>
        </w:tc>
      </w:tr>
      <w:tr>
        <w:trPr>
          <w:trHeight w:val="381" w:hRule="atLeast"/>
        </w:trPr>
        <w:tc>
          <w:tcPr>
            <w:tcW w:w="5231" w:type="dxa"/>
            <w:tcBorders>
              <w:right w:val="single" w:sz="4" w:space="0" w:color="000000"/>
            </w:tcBorders>
          </w:tcPr>
          <w:p>
            <w:pPr>
              <w:pStyle w:val="TableParagraph"/>
              <w:spacing w:before="74"/>
              <w:ind w:left="121"/>
              <w:jc w:val="left"/>
              <w:rPr>
                <w:sz w:val="20"/>
              </w:rPr>
            </w:pPr>
            <w:r>
              <w:rPr>
                <w:sz w:val="20"/>
                <w:u w:val="single"/>
              </w:rPr>
              <w:t>Carboxylic Acid Surrogates</w:t>
            </w:r>
          </w:p>
        </w:tc>
        <w:tc>
          <w:tcPr>
            <w:tcW w:w="4142" w:type="dxa"/>
            <w:tcBorders>
              <w:left w:val="single" w:sz="4" w:space="0" w:color="000000"/>
            </w:tcBorders>
          </w:tcPr>
          <w:p>
            <w:pPr>
              <w:pStyle w:val="TableParagraph"/>
              <w:spacing w:before="0"/>
              <w:jc w:val="left"/>
              <w:rPr>
                <w:rFonts w:ascii="Times New Roman"/>
                <w:sz w:val="18"/>
              </w:rPr>
            </w:pPr>
          </w:p>
        </w:tc>
      </w:tr>
      <w:tr>
        <w:trPr>
          <w:trHeight w:val="384" w:hRule="atLeast"/>
        </w:trPr>
        <w:tc>
          <w:tcPr>
            <w:tcW w:w="5231" w:type="dxa"/>
            <w:tcBorders>
              <w:right w:val="single" w:sz="4" w:space="0" w:color="000000"/>
            </w:tcBorders>
          </w:tcPr>
          <w:p>
            <w:pPr>
              <w:pStyle w:val="TableParagraph"/>
              <w:spacing w:before="77"/>
              <w:ind w:left="121"/>
              <w:jc w:val="left"/>
              <w:rPr>
                <w:sz w:val="20"/>
              </w:rPr>
            </w:pPr>
            <w:r>
              <w:rPr>
                <w:position w:val="1"/>
                <w:sz w:val="20"/>
              </w:rPr>
              <w:t>Perfluoro-n-[</w:t>
            </w:r>
            <w:r>
              <w:rPr>
                <w:position w:val="1"/>
                <w:sz w:val="20"/>
                <w:vertAlign w:val="superscript"/>
              </w:rPr>
              <w:t>13</w:t>
            </w:r>
            <w:r>
              <w:rPr>
                <w:position w:val="1"/>
                <w:sz w:val="20"/>
                <w:vertAlign w:val="baseline"/>
              </w:rPr>
              <w:t>C</w:t>
            </w:r>
            <w:r>
              <w:rPr>
                <w:sz w:val="13"/>
                <w:vertAlign w:val="baseline"/>
              </w:rPr>
              <w:t>4</w:t>
            </w:r>
            <w:r>
              <w:rPr>
                <w:position w:val="1"/>
                <w:sz w:val="20"/>
                <w:vertAlign w:val="baseline"/>
              </w:rPr>
              <w:t>]butanoic acid (M4PFBA)</w:t>
            </w:r>
          </w:p>
        </w:tc>
        <w:tc>
          <w:tcPr>
            <w:tcW w:w="4142" w:type="dxa"/>
            <w:tcBorders>
              <w:left w:val="single" w:sz="4" w:space="0" w:color="000000"/>
            </w:tcBorders>
          </w:tcPr>
          <w:p>
            <w:pPr>
              <w:pStyle w:val="TableParagraph"/>
              <w:spacing w:before="77"/>
              <w:ind w:left="105"/>
              <w:jc w:val="left"/>
              <w:rPr>
                <w:sz w:val="20"/>
              </w:rPr>
            </w:pPr>
            <w:r>
              <w:rPr>
                <w:sz w:val="20"/>
              </w:rPr>
              <w:t>PFBA</w:t>
            </w:r>
          </w:p>
        </w:tc>
      </w:tr>
      <w:tr>
        <w:trPr>
          <w:trHeight w:val="384" w:hRule="atLeast"/>
        </w:trPr>
        <w:tc>
          <w:tcPr>
            <w:tcW w:w="5231" w:type="dxa"/>
            <w:tcBorders>
              <w:right w:val="single" w:sz="4" w:space="0" w:color="000000"/>
            </w:tcBorders>
          </w:tcPr>
          <w:p>
            <w:pPr>
              <w:pStyle w:val="TableParagraph"/>
              <w:spacing w:before="76"/>
              <w:ind w:left="121"/>
              <w:jc w:val="left"/>
              <w:rPr>
                <w:sz w:val="20"/>
              </w:rPr>
            </w:pPr>
            <w:r>
              <w:rPr>
                <w:position w:val="1"/>
                <w:sz w:val="20"/>
              </w:rPr>
              <w:t>Perfluoro-n-[</w:t>
            </w:r>
            <w:r>
              <w:rPr>
                <w:position w:val="1"/>
                <w:sz w:val="20"/>
                <w:vertAlign w:val="superscript"/>
              </w:rPr>
              <w:t>13</w:t>
            </w:r>
            <w:r>
              <w:rPr>
                <w:position w:val="1"/>
                <w:sz w:val="20"/>
                <w:vertAlign w:val="baseline"/>
              </w:rPr>
              <w:t>C</w:t>
            </w:r>
            <w:r>
              <w:rPr>
                <w:sz w:val="13"/>
                <w:vertAlign w:val="baseline"/>
              </w:rPr>
              <w:t>5</w:t>
            </w:r>
            <w:r>
              <w:rPr>
                <w:position w:val="1"/>
                <w:sz w:val="20"/>
                <w:vertAlign w:val="baseline"/>
              </w:rPr>
              <w:t>]pentanoic acid (M5PFPeA)</w:t>
            </w:r>
          </w:p>
        </w:tc>
        <w:tc>
          <w:tcPr>
            <w:tcW w:w="4142" w:type="dxa"/>
            <w:tcBorders>
              <w:left w:val="single" w:sz="4" w:space="0" w:color="000000"/>
            </w:tcBorders>
          </w:tcPr>
          <w:p>
            <w:pPr>
              <w:pStyle w:val="TableParagraph"/>
              <w:spacing w:before="76"/>
              <w:ind w:left="105"/>
              <w:jc w:val="left"/>
              <w:rPr>
                <w:sz w:val="20"/>
              </w:rPr>
            </w:pPr>
            <w:r>
              <w:rPr>
                <w:sz w:val="20"/>
              </w:rPr>
              <w:t>PFPeA</w:t>
            </w:r>
          </w:p>
        </w:tc>
      </w:tr>
      <w:tr>
        <w:trPr>
          <w:trHeight w:val="384" w:hRule="atLeast"/>
        </w:trPr>
        <w:tc>
          <w:tcPr>
            <w:tcW w:w="5231" w:type="dxa"/>
            <w:tcBorders>
              <w:right w:val="single" w:sz="4" w:space="0" w:color="000000"/>
            </w:tcBorders>
          </w:tcPr>
          <w:p>
            <w:pPr>
              <w:pStyle w:val="TableParagraph"/>
              <w:spacing w:before="77"/>
              <w:ind w:left="121"/>
              <w:jc w:val="left"/>
              <w:rPr>
                <w:sz w:val="20"/>
              </w:rPr>
            </w:pPr>
            <w:r>
              <w:rPr>
                <w:position w:val="1"/>
                <w:sz w:val="20"/>
              </w:rPr>
              <w:t>Perfluoro-n-[1,2,3,4,6-</w:t>
            </w:r>
            <w:r>
              <w:rPr>
                <w:position w:val="1"/>
                <w:sz w:val="20"/>
                <w:vertAlign w:val="superscript"/>
              </w:rPr>
              <w:t>13</w:t>
            </w:r>
            <w:r>
              <w:rPr>
                <w:position w:val="1"/>
                <w:sz w:val="20"/>
                <w:vertAlign w:val="baseline"/>
              </w:rPr>
              <w:t>C</w:t>
            </w:r>
            <w:r>
              <w:rPr>
                <w:sz w:val="13"/>
                <w:vertAlign w:val="baseline"/>
              </w:rPr>
              <w:t>5</w:t>
            </w:r>
            <w:r>
              <w:rPr>
                <w:position w:val="1"/>
                <w:sz w:val="20"/>
                <w:vertAlign w:val="baseline"/>
              </w:rPr>
              <w:t>]hexanoic acid (M5PFHxA)</w:t>
            </w:r>
          </w:p>
        </w:tc>
        <w:tc>
          <w:tcPr>
            <w:tcW w:w="4142" w:type="dxa"/>
            <w:tcBorders>
              <w:left w:val="single" w:sz="4" w:space="0" w:color="000000"/>
            </w:tcBorders>
          </w:tcPr>
          <w:p>
            <w:pPr>
              <w:pStyle w:val="TableParagraph"/>
              <w:spacing w:before="77"/>
              <w:ind w:left="105"/>
              <w:jc w:val="left"/>
              <w:rPr>
                <w:sz w:val="20"/>
              </w:rPr>
            </w:pPr>
            <w:r>
              <w:rPr>
                <w:sz w:val="20"/>
              </w:rPr>
              <w:t>PFHxA</w:t>
            </w:r>
          </w:p>
        </w:tc>
      </w:tr>
      <w:tr>
        <w:trPr>
          <w:trHeight w:val="383" w:hRule="atLeast"/>
        </w:trPr>
        <w:tc>
          <w:tcPr>
            <w:tcW w:w="5231" w:type="dxa"/>
            <w:tcBorders>
              <w:right w:val="single" w:sz="4" w:space="0" w:color="000000"/>
            </w:tcBorders>
          </w:tcPr>
          <w:p>
            <w:pPr>
              <w:pStyle w:val="TableParagraph"/>
              <w:spacing w:before="76"/>
              <w:ind w:left="121"/>
              <w:jc w:val="left"/>
              <w:rPr>
                <w:sz w:val="20"/>
              </w:rPr>
            </w:pPr>
            <w:r>
              <w:rPr>
                <w:position w:val="1"/>
                <w:sz w:val="20"/>
              </w:rPr>
              <w:t>Perfluoro-n-[1,2,3,4-</w:t>
            </w:r>
            <w:r>
              <w:rPr>
                <w:position w:val="1"/>
                <w:sz w:val="20"/>
                <w:vertAlign w:val="superscript"/>
              </w:rPr>
              <w:t>13</w:t>
            </w:r>
            <w:r>
              <w:rPr>
                <w:position w:val="1"/>
                <w:sz w:val="20"/>
                <w:vertAlign w:val="baseline"/>
              </w:rPr>
              <w:t>C</w:t>
            </w:r>
            <w:r>
              <w:rPr>
                <w:sz w:val="13"/>
                <w:vertAlign w:val="baseline"/>
              </w:rPr>
              <w:t>4</w:t>
            </w:r>
            <w:r>
              <w:rPr>
                <w:position w:val="1"/>
                <w:sz w:val="20"/>
                <w:vertAlign w:val="baseline"/>
              </w:rPr>
              <w:t>]heptanoic acid (M4PFHpA)</w:t>
            </w:r>
          </w:p>
        </w:tc>
        <w:tc>
          <w:tcPr>
            <w:tcW w:w="4142" w:type="dxa"/>
            <w:tcBorders>
              <w:left w:val="single" w:sz="4" w:space="0" w:color="000000"/>
            </w:tcBorders>
          </w:tcPr>
          <w:p>
            <w:pPr>
              <w:pStyle w:val="TableParagraph"/>
              <w:spacing w:before="76"/>
              <w:ind w:left="105"/>
              <w:jc w:val="left"/>
              <w:rPr>
                <w:sz w:val="20"/>
              </w:rPr>
            </w:pPr>
            <w:r>
              <w:rPr>
                <w:sz w:val="20"/>
              </w:rPr>
              <w:t>PFHpA</w:t>
            </w:r>
          </w:p>
        </w:tc>
      </w:tr>
      <w:tr>
        <w:trPr>
          <w:trHeight w:val="384" w:hRule="atLeast"/>
        </w:trPr>
        <w:tc>
          <w:tcPr>
            <w:tcW w:w="5231" w:type="dxa"/>
            <w:tcBorders>
              <w:right w:val="single" w:sz="4" w:space="0" w:color="000000"/>
            </w:tcBorders>
          </w:tcPr>
          <w:p>
            <w:pPr>
              <w:pStyle w:val="TableParagraph"/>
              <w:spacing w:before="76"/>
              <w:ind w:left="121"/>
              <w:jc w:val="left"/>
              <w:rPr>
                <w:sz w:val="20"/>
              </w:rPr>
            </w:pPr>
            <w:r>
              <w:rPr>
                <w:position w:val="1"/>
                <w:sz w:val="20"/>
              </w:rPr>
              <w:t>Perfluoro-n-[</w:t>
            </w:r>
            <w:r>
              <w:rPr>
                <w:position w:val="1"/>
                <w:sz w:val="20"/>
                <w:vertAlign w:val="superscript"/>
              </w:rPr>
              <w:t>13</w:t>
            </w:r>
            <w:r>
              <w:rPr>
                <w:position w:val="1"/>
                <w:sz w:val="20"/>
                <w:vertAlign w:val="baseline"/>
              </w:rPr>
              <w:t>C</w:t>
            </w:r>
            <w:r>
              <w:rPr>
                <w:sz w:val="13"/>
                <w:vertAlign w:val="baseline"/>
              </w:rPr>
              <w:t>8</w:t>
            </w:r>
            <w:r>
              <w:rPr>
                <w:position w:val="1"/>
                <w:sz w:val="20"/>
                <w:vertAlign w:val="baseline"/>
              </w:rPr>
              <w:t>]octanoic acid (M8PFOA)</w:t>
            </w:r>
          </w:p>
        </w:tc>
        <w:tc>
          <w:tcPr>
            <w:tcW w:w="4142" w:type="dxa"/>
            <w:tcBorders>
              <w:left w:val="single" w:sz="4" w:space="0" w:color="000000"/>
            </w:tcBorders>
          </w:tcPr>
          <w:p>
            <w:pPr>
              <w:pStyle w:val="TableParagraph"/>
              <w:spacing w:before="76"/>
              <w:ind w:left="105"/>
              <w:jc w:val="left"/>
              <w:rPr>
                <w:sz w:val="20"/>
              </w:rPr>
            </w:pPr>
            <w:r>
              <w:rPr>
                <w:sz w:val="20"/>
              </w:rPr>
              <w:t>PFOA</w:t>
            </w:r>
          </w:p>
        </w:tc>
      </w:tr>
      <w:tr>
        <w:trPr>
          <w:trHeight w:val="384" w:hRule="atLeast"/>
        </w:trPr>
        <w:tc>
          <w:tcPr>
            <w:tcW w:w="5231" w:type="dxa"/>
            <w:tcBorders>
              <w:right w:val="single" w:sz="4" w:space="0" w:color="000000"/>
            </w:tcBorders>
          </w:tcPr>
          <w:p>
            <w:pPr>
              <w:pStyle w:val="TableParagraph"/>
              <w:spacing w:before="77"/>
              <w:ind w:left="121"/>
              <w:jc w:val="left"/>
              <w:rPr>
                <w:sz w:val="20"/>
              </w:rPr>
            </w:pPr>
            <w:r>
              <w:rPr>
                <w:position w:val="1"/>
                <w:sz w:val="20"/>
              </w:rPr>
              <w:t>Perfluoro-n-[</w:t>
            </w:r>
            <w:r>
              <w:rPr>
                <w:position w:val="1"/>
                <w:sz w:val="20"/>
                <w:vertAlign w:val="superscript"/>
              </w:rPr>
              <w:t>13</w:t>
            </w:r>
            <w:r>
              <w:rPr>
                <w:position w:val="1"/>
                <w:sz w:val="20"/>
                <w:vertAlign w:val="baseline"/>
              </w:rPr>
              <w:t>C</w:t>
            </w:r>
            <w:r>
              <w:rPr>
                <w:sz w:val="13"/>
                <w:vertAlign w:val="baseline"/>
              </w:rPr>
              <w:t>9</w:t>
            </w:r>
            <w:r>
              <w:rPr>
                <w:position w:val="1"/>
                <w:sz w:val="20"/>
                <w:vertAlign w:val="baseline"/>
              </w:rPr>
              <w:t>]nonanoic acid (M9PFNA)</w:t>
            </w:r>
          </w:p>
        </w:tc>
        <w:tc>
          <w:tcPr>
            <w:tcW w:w="4142" w:type="dxa"/>
            <w:tcBorders>
              <w:left w:val="single" w:sz="4" w:space="0" w:color="000000"/>
            </w:tcBorders>
          </w:tcPr>
          <w:p>
            <w:pPr>
              <w:pStyle w:val="TableParagraph"/>
              <w:spacing w:before="77"/>
              <w:ind w:left="105"/>
              <w:jc w:val="left"/>
              <w:rPr>
                <w:sz w:val="20"/>
              </w:rPr>
            </w:pPr>
            <w:r>
              <w:rPr>
                <w:sz w:val="20"/>
              </w:rPr>
              <w:t>PFNA</w:t>
            </w:r>
          </w:p>
        </w:tc>
      </w:tr>
      <w:tr>
        <w:trPr>
          <w:trHeight w:val="384" w:hRule="atLeast"/>
        </w:trPr>
        <w:tc>
          <w:tcPr>
            <w:tcW w:w="5231" w:type="dxa"/>
            <w:tcBorders>
              <w:right w:val="single" w:sz="4" w:space="0" w:color="000000"/>
            </w:tcBorders>
          </w:tcPr>
          <w:p>
            <w:pPr>
              <w:pStyle w:val="TableParagraph"/>
              <w:spacing w:before="76"/>
              <w:ind w:left="121"/>
              <w:jc w:val="left"/>
              <w:rPr>
                <w:sz w:val="20"/>
              </w:rPr>
            </w:pPr>
            <w:r>
              <w:rPr>
                <w:position w:val="1"/>
                <w:sz w:val="20"/>
              </w:rPr>
              <w:t>Perfluoro-n-[1,2,3,4,5,6-</w:t>
            </w:r>
            <w:r>
              <w:rPr>
                <w:position w:val="1"/>
                <w:sz w:val="20"/>
                <w:vertAlign w:val="superscript"/>
              </w:rPr>
              <w:t>13</w:t>
            </w:r>
            <w:r>
              <w:rPr>
                <w:position w:val="1"/>
                <w:sz w:val="20"/>
                <w:vertAlign w:val="baseline"/>
              </w:rPr>
              <w:t>C</w:t>
            </w:r>
            <w:r>
              <w:rPr>
                <w:sz w:val="13"/>
                <w:vertAlign w:val="baseline"/>
              </w:rPr>
              <w:t>6</w:t>
            </w:r>
            <w:r>
              <w:rPr>
                <w:position w:val="1"/>
                <w:sz w:val="20"/>
                <w:vertAlign w:val="baseline"/>
              </w:rPr>
              <w:t>]decanoic acid (M6PFDA)</w:t>
            </w:r>
          </w:p>
        </w:tc>
        <w:tc>
          <w:tcPr>
            <w:tcW w:w="4142" w:type="dxa"/>
            <w:tcBorders>
              <w:left w:val="single" w:sz="4" w:space="0" w:color="000000"/>
            </w:tcBorders>
          </w:tcPr>
          <w:p>
            <w:pPr>
              <w:pStyle w:val="TableParagraph"/>
              <w:spacing w:before="76"/>
              <w:ind w:left="105"/>
              <w:jc w:val="left"/>
              <w:rPr>
                <w:sz w:val="20"/>
              </w:rPr>
            </w:pPr>
            <w:r>
              <w:rPr>
                <w:sz w:val="20"/>
              </w:rPr>
              <w:t>PFDA</w:t>
            </w:r>
          </w:p>
        </w:tc>
      </w:tr>
      <w:tr>
        <w:trPr>
          <w:trHeight w:val="648" w:hRule="atLeast"/>
        </w:trPr>
        <w:tc>
          <w:tcPr>
            <w:tcW w:w="5231" w:type="dxa"/>
            <w:tcBorders>
              <w:right w:val="single" w:sz="4" w:space="0" w:color="000000"/>
            </w:tcBorders>
          </w:tcPr>
          <w:p>
            <w:pPr>
              <w:pStyle w:val="TableParagraph"/>
              <w:spacing w:line="266" w:lineRule="auto" w:before="77"/>
              <w:ind w:left="121" w:right="932"/>
              <w:jc w:val="left"/>
              <w:rPr>
                <w:sz w:val="20"/>
              </w:rPr>
            </w:pPr>
            <w:r>
              <w:rPr>
                <w:position w:val="1"/>
                <w:sz w:val="20"/>
              </w:rPr>
              <w:t>Perfluoro-n-[1,2,3,4,5,6,7-</w:t>
            </w:r>
            <w:r>
              <w:rPr>
                <w:position w:val="1"/>
                <w:sz w:val="20"/>
                <w:vertAlign w:val="superscript"/>
              </w:rPr>
              <w:t>13</w:t>
            </w:r>
            <w:r>
              <w:rPr>
                <w:position w:val="1"/>
                <w:sz w:val="20"/>
                <w:vertAlign w:val="baseline"/>
              </w:rPr>
              <w:t>C</w:t>
            </w:r>
            <w:r>
              <w:rPr>
                <w:sz w:val="13"/>
                <w:vertAlign w:val="baseline"/>
              </w:rPr>
              <w:t>7</w:t>
            </w:r>
            <w:r>
              <w:rPr>
                <w:position w:val="1"/>
                <w:sz w:val="20"/>
                <w:vertAlign w:val="baseline"/>
              </w:rPr>
              <w:t>]undecanoic acid </w:t>
            </w:r>
            <w:r>
              <w:rPr>
                <w:sz w:val="20"/>
                <w:vertAlign w:val="baseline"/>
              </w:rPr>
              <w:t>(M7PFUdA)</w:t>
            </w:r>
          </w:p>
        </w:tc>
        <w:tc>
          <w:tcPr>
            <w:tcW w:w="4142" w:type="dxa"/>
            <w:tcBorders>
              <w:left w:val="single" w:sz="4" w:space="0" w:color="000000"/>
            </w:tcBorders>
          </w:tcPr>
          <w:p>
            <w:pPr>
              <w:pStyle w:val="TableParagraph"/>
              <w:spacing w:before="77"/>
              <w:ind w:left="105"/>
              <w:jc w:val="left"/>
              <w:rPr>
                <w:sz w:val="20"/>
              </w:rPr>
            </w:pPr>
            <w:r>
              <w:rPr>
                <w:sz w:val="20"/>
              </w:rPr>
              <w:t>PFUdA</w:t>
            </w:r>
          </w:p>
        </w:tc>
      </w:tr>
      <w:tr>
        <w:trPr>
          <w:trHeight w:val="384" w:hRule="atLeast"/>
        </w:trPr>
        <w:tc>
          <w:tcPr>
            <w:tcW w:w="5231" w:type="dxa"/>
            <w:tcBorders>
              <w:right w:val="single" w:sz="4" w:space="0" w:color="000000"/>
            </w:tcBorders>
          </w:tcPr>
          <w:p>
            <w:pPr>
              <w:pStyle w:val="TableParagraph"/>
              <w:spacing w:before="76"/>
              <w:ind w:left="121"/>
              <w:jc w:val="left"/>
              <w:rPr>
                <w:sz w:val="20"/>
              </w:rPr>
            </w:pPr>
            <w:r>
              <w:rPr>
                <w:position w:val="1"/>
                <w:sz w:val="20"/>
              </w:rPr>
              <w:t>Perfluoro-n-[1,2-</w:t>
            </w:r>
            <w:r>
              <w:rPr>
                <w:position w:val="1"/>
                <w:sz w:val="20"/>
                <w:vertAlign w:val="superscript"/>
              </w:rPr>
              <w:t>13</w:t>
            </w:r>
            <w:r>
              <w:rPr>
                <w:position w:val="1"/>
                <w:sz w:val="20"/>
                <w:vertAlign w:val="baseline"/>
              </w:rPr>
              <w:t>C</w:t>
            </w:r>
            <w:r>
              <w:rPr>
                <w:sz w:val="13"/>
                <w:vertAlign w:val="baseline"/>
              </w:rPr>
              <w:t>2</w:t>
            </w:r>
            <w:r>
              <w:rPr>
                <w:position w:val="1"/>
                <w:sz w:val="20"/>
                <w:vertAlign w:val="baseline"/>
              </w:rPr>
              <w:t>]dodecanoic acid (M2PFDoA)</w:t>
            </w:r>
          </w:p>
        </w:tc>
        <w:tc>
          <w:tcPr>
            <w:tcW w:w="4142" w:type="dxa"/>
            <w:tcBorders>
              <w:left w:val="single" w:sz="4" w:space="0" w:color="000000"/>
            </w:tcBorders>
          </w:tcPr>
          <w:p>
            <w:pPr>
              <w:pStyle w:val="TableParagraph"/>
              <w:spacing w:before="76"/>
              <w:ind w:left="105"/>
              <w:jc w:val="left"/>
              <w:rPr>
                <w:sz w:val="20"/>
              </w:rPr>
            </w:pPr>
            <w:r>
              <w:rPr>
                <w:sz w:val="20"/>
              </w:rPr>
              <w:t>PFDoA, PFTrDA</w:t>
            </w:r>
          </w:p>
        </w:tc>
      </w:tr>
      <w:tr>
        <w:trPr>
          <w:trHeight w:val="387" w:hRule="atLeast"/>
        </w:trPr>
        <w:tc>
          <w:tcPr>
            <w:tcW w:w="5231" w:type="dxa"/>
            <w:tcBorders>
              <w:right w:val="single" w:sz="4" w:space="0" w:color="000000"/>
            </w:tcBorders>
          </w:tcPr>
          <w:p>
            <w:pPr>
              <w:pStyle w:val="TableParagraph"/>
              <w:spacing w:before="77"/>
              <w:ind w:left="121"/>
              <w:jc w:val="left"/>
              <w:rPr>
                <w:sz w:val="20"/>
              </w:rPr>
            </w:pPr>
            <w:r>
              <w:rPr>
                <w:position w:val="1"/>
                <w:sz w:val="20"/>
              </w:rPr>
              <w:t>Perfluoro-n-[1,2-</w:t>
            </w:r>
            <w:r>
              <w:rPr>
                <w:position w:val="1"/>
                <w:sz w:val="20"/>
                <w:vertAlign w:val="superscript"/>
              </w:rPr>
              <w:t>13</w:t>
            </w:r>
            <w:r>
              <w:rPr>
                <w:position w:val="1"/>
                <w:sz w:val="20"/>
                <w:vertAlign w:val="baseline"/>
              </w:rPr>
              <w:t>C</w:t>
            </w:r>
            <w:r>
              <w:rPr>
                <w:sz w:val="13"/>
                <w:vertAlign w:val="baseline"/>
              </w:rPr>
              <w:t>2</w:t>
            </w:r>
            <w:r>
              <w:rPr>
                <w:position w:val="1"/>
                <w:sz w:val="20"/>
                <w:vertAlign w:val="baseline"/>
              </w:rPr>
              <w:t>]tetradecanoic acid (M2PFTeDA)</w:t>
            </w:r>
          </w:p>
        </w:tc>
        <w:tc>
          <w:tcPr>
            <w:tcW w:w="4142" w:type="dxa"/>
            <w:tcBorders>
              <w:left w:val="single" w:sz="4" w:space="0" w:color="000000"/>
            </w:tcBorders>
          </w:tcPr>
          <w:p>
            <w:pPr>
              <w:pStyle w:val="TableParagraph"/>
              <w:spacing w:before="77"/>
              <w:ind w:left="105"/>
              <w:jc w:val="left"/>
              <w:rPr>
                <w:sz w:val="20"/>
              </w:rPr>
            </w:pPr>
            <w:r>
              <w:rPr>
                <w:sz w:val="20"/>
              </w:rPr>
              <w:t>PFTeDA</w:t>
            </w:r>
          </w:p>
        </w:tc>
      </w:tr>
      <w:tr>
        <w:trPr>
          <w:trHeight w:val="381" w:hRule="atLeast"/>
        </w:trPr>
        <w:tc>
          <w:tcPr>
            <w:tcW w:w="5231" w:type="dxa"/>
            <w:tcBorders>
              <w:right w:val="single" w:sz="4" w:space="0" w:color="000000"/>
            </w:tcBorders>
          </w:tcPr>
          <w:p>
            <w:pPr>
              <w:pStyle w:val="TableParagraph"/>
              <w:spacing w:before="74"/>
              <w:ind w:left="121"/>
              <w:jc w:val="left"/>
              <w:rPr>
                <w:sz w:val="20"/>
              </w:rPr>
            </w:pPr>
            <w:r>
              <w:rPr>
                <w:sz w:val="20"/>
                <w:u w:val="single"/>
              </w:rPr>
              <w:t>Sulfonamide and Sulfonamidoacetic acid Surrogates:</w:t>
            </w:r>
          </w:p>
        </w:tc>
        <w:tc>
          <w:tcPr>
            <w:tcW w:w="4142" w:type="dxa"/>
            <w:tcBorders>
              <w:left w:val="single" w:sz="4" w:space="0" w:color="000000"/>
            </w:tcBorders>
          </w:tcPr>
          <w:p>
            <w:pPr>
              <w:pStyle w:val="TableParagraph"/>
              <w:spacing w:before="0"/>
              <w:jc w:val="left"/>
              <w:rPr>
                <w:rFonts w:ascii="Times New Roman"/>
                <w:sz w:val="18"/>
              </w:rPr>
            </w:pPr>
          </w:p>
        </w:tc>
      </w:tr>
      <w:tr>
        <w:trPr>
          <w:trHeight w:val="387" w:hRule="atLeast"/>
        </w:trPr>
        <w:tc>
          <w:tcPr>
            <w:tcW w:w="5231" w:type="dxa"/>
            <w:tcBorders>
              <w:right w:val="single" w:sz="4" w:space="0" w:color="000000"/>
            </w:tcBorders>
          </w:tcPr>
          <w:p>
            <w:pPr>
              <w:pStyle w:val="TableParagraph"/>
              <w:spacing w:before="77"/>
              <w:ind w:left="121"/>
              <w:jc w:val="left"/>
              <w:rPr>
                <w:sz w:val="20"/>
              </w:rPr>
            </w:pPr>
            <w:r>
              <w:rPr>
                <w:position w:val="1"/>
                <w:sz w:val="20"/>
              </w:rPr>
              <w:t>Perfluoro-1-[</w:t>
            </w:r>
            <w:r>
              <w:rPr>
                <w:position w:val="1"/>
                <w:sz w:val="20"/>
                <w:vertAlign w:val="superscript"/>
              </w:rPr>
              <w:t>13</w:t>
            </w:r>
            <w:r>
              <w:rPr>
                <w:position w:val="1"/>
                <w:sz w:val="20"/>
                <w:vertAlign w:val="baseline"/>
              </w:rPr>
              <w:t>C</w:t>
            </w:r>
            <w:r>
              <w:rPr>
                <w:sz w:val="13"/>
                <w:vertAlign w:val="baseline"/>
              </w:rPr>
              <w:t>8</w:t>
            </w:r>
            <w:r>
              <w:rPr>
                <w:position w:val="1"/>
                <w:sz w:val="20"/>
                <w:vertAlign w:val="baseline"/>
              </w:rPr>
              <w:t>]octanesulfonamide (M8FOSA)</w:t>
            </w:r>
          </w:p>
        </w:tc>
        <w:tc>
          <w:tcPr>
            <w:tcW w:w="4142" w:type="dxa"/>
            <w:tcBorders>
              <w:left w:val="single" w:sz="4" w:space="0" w:color="000000"/>
            </w:tcBorders>
          </w:tcPr>
          <w:p>
            <w:pPr>
              <w:pStyle w:val="TableParagraph"/>
              <w:spacing w:before="77"/>
              <w:ind w:left="105"/>
              <w:jc w:val="left"/>
              <w:rPr>
                <w:sz w:val="20"/>
              </w:rPr>
            </w:pPr>
            <w:r>
              <w:rPr>
                <w:sz w:val="20"/>
              </w:rPr>
              <w:t>PFOSA</w:t>
            </w:r>
          </w:p>
        </w:tc>
      </w:tr>
      <w:tr>
        <w:trPr>
          <w:trHeight w:val="648" w:hRule="atLeast"/>
        </w:trPr>
        <w:tc>
          <w:tcPr>
            <w:tcW w:w="5231" w:type="dxa"/>
            <w:tcBorders>
              <w:right w:val="single" w:sz="4" w:space="0" w:color="000000"/>
            </w:tcBorders>
          </w:tcPr>
          <w:p>
            <w:pPr>
              <w:pStyle w:val="TableParagraph"/>
              <w:spacing w:line="276" w:lineRule="auto" w:before="74"/>
              <w:ind w:left="121" w:right="289"/>
              <w:jc w:val="left"/>
              <w:rPr>
                <w:sz w:val="20"/>
              </w:rPr>
            </w:pPr>
            <w:r>
              <w:rPr>
                <w:sz w:val="20"/>
              </w:rPr>
              <w:t>N-methyl-d3-perfluoro-1-octanesulfonamidoacetic acid (d3-N-MeFOSAA)</w:t>
            </w:r>
          </w:p>
        </w:tc>
        <w:tc>
          <w:tcPr>
            <w:tcW w:w="4142" w:type="dxa"/>
            <w:tcBorders>
              <w:left w:val="single" w:sz="4" w:space="0" w:color="000000"/>
            </w:tcBorders>
          </w:tcPr>
          <w:p>
            <w:pPr>
              <w:pStyle w:val="TableParagraph"/>
              <w:spacing w:before="74"/>
              <w:ind w:left="105"/>
              <w:jc w:val="left"/>
              <w:rPr>
                <w:sz w:val="20"/>
              </w:rPr>
            </w:pPr>
            <w:r>
              <w:rPr>
                <w:sz w:val="20"/>
              </w:rPr>
              <w:t>N-MeFOSAA</w:t>
            </w:r>
          </w:p>
        </w:tc>
      </w:tr>
      <w:tr>
        <w:trPr>
          <w:trHeight w:val="664" w:hRule="atLeast"/>
        </w:trPr>
        <w:tc>
          <w:tcPr>
            <w:tcW w:w="5231" w:type="dxa"/>
            <w:tcBorders>
              <w:bottom w:val="double" w:sz="1" w:space="0" w:color="000000"/>
              <w:right w:val="single" w:sz="4" w:space="0" w:color="000000"/>
            </w:tcBorders>
          </w:tcPr>
          <w:p>
            <w:pPr>
              <w:pStyle w:val="TableParagraph"/>
              <w:spacing w:line="276" w:lineRule="auto" w:before="74"/>
              <w:ind w:left="121" w:right="455"/>
              <w:jc w:val="left"/>
              <w:rPr>
                <w:sz w:val="20"/>
              </w:rPr>
            </w:pPr>
            <w:r>
              <w:rPr>
                <w:sz w:val="20"/>
              </w:rPr>
              <w:t>N-ethyl-d5-perfluoro-1-octanesulfonamidoacetic acid (d5-N-EtFOSAA)</w:t>
            </w:r>
          </w:p>
        </w:tc>
        <w:tc>
          <w:tcPr>
            <w:tcW w:w="4142" w:type="dxa"/>
            <w:tcBorders>
              <w:left w:val="single" w:sz="4" w:space="0" w:color="000000"/>
              <w:bottom w:val="double" w:sz="1" w:space="0" w:color="000000"/>
            </w:tcBorders>
          </w:tcPr>
          <w:p>
            <w:pPr>
              <w:pStyle w:val="TableParagraph"/>
              <w:spacing w:before="74"/>
              <w:ind w:left="105"/>
              <w:jc w:val="left"/>
              <w:rPr>
                <w:sz w:val="20"/>
              </w:rPr>
            </w:pPr>
            <w:r>
              <w:rPr>
                <w:sz w:val="20"/>
              </w:rPr>
              <w:t>N-EtFOSAA</w:t>
            </w:r>
          </w:p>
        </w:tc>
      </w:tr>
    </w:tbl>
    <w:p>
      <w:pPr>
        <w:spacing w:after="0"/>
        <w:jc w:val="left"/>
        <w:rPr>
          <w:sz w:val="20"/>
        </w:rPr>
        <w:sectPr>
          <w:pgSz w:w="12240" w:h="15840"/>
          <w:pgMar w:header="0" w:footer="1214" w:top="1060" w:bottom="1400" w:left="460" w:right="480"/>
        </w:sectPr>
      </w:pPr>
    </w:p>
    <w:p>
      <w:pPr>
        <w:pStyle w:val="BodyText"/>
        <w:spacing w:line="391" w:lineRule="auto" w:before="70"/>
        <w:ind w:left="5262" w:right="4510" w:firstLine="317"/>
      </w:pPr>
      <w:bookmarkStart w:name="TABLE 7" w:id="318"/>
      <w:bookmarkEnd w:id="318"/>
      <w:r>
        <w:rPr/>
      </w:r>
      <w:bookmarkStart w:name="_bookmark36" w:id="319"/>
      <w:bookmarkEnd w:id="319"/>
      <w:r>
        <w:rPr/>
      </w:r>
      <w:r>
        <w:rPr/>
        <w:t>TABLE 7</w:t>
      </w:r>
      <w:bookmarkStart w:name="QC SUMMARY" w:id="320"/>
      <w:bookmarkEnd w:id="320"/>
      <w:r>
        <w:rPr/>
      </w:r>
      <w:bookmarkStart w:name="_bookmark37" w:id="321"/>
      <w:bookmarkEnd w:id="321"/>
      <w:r>
        <w:rPr/>
      </w:r>
      <w:r>
        <w:rPr/>
        <w:t> QC SUMMARY</w:t>
      </w:r>
    </w:p>
    <w:p>
      <w:pPr>
        <w:pStyle w:val="BodyText"/>
        <w:spacing w:before="2"/>
        <w:rPr>
          <w:sz w:val="10"/>
        </w:rPr>
      </w:pPr>
    </w:p>
    <w:tbl>
      <w:tblPr>
        <w:tblW w:w="0" w:type="auto"/>
        <w:jc w:val="left"/>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17"/>
        <w:gridCol w:w="2773"/>
        <w:gridCol w:w="3674"/>
      </w:tblGrid>
      <w:tr>
        <w:trPr>
          <w:trHeight w:val="460" w:hRule="atLeast"/>
        </w:trPr>
        <w:tc>
          <w:tcPr>
            <w:tcW w:w="3617" w:type="dxa"/>
            <w:tcBorders>
              <w:left w:val="single" w:sz="12" w:space="0" w:color="000000"/>
            </w:tcBorders>
          </w:tcPr>
          <w:p>
            <w:pPr>
              <w:pStyle w:val="TableParagraph"/>
              <w:spacing w:before="0"/>
              <w:ind w:left="107"/>
              <w:jc w:val="left"/>
              <w:rPr>
                <w:b/>
                <w:sz w:val="20"/>
              </w:rPr>
            </w:pPr>
            <w:r>
              <w:rPr>
                <w:b/>
                <w:sz w:val="20"/>
              </w:rPr>
              <w:t>Quality control type</w:t>
            </w:r>
          </w:p>
        </w:tc>
        <w:tc>
          <w:tcPr>
            <w:tcW w:w="2773" w:type="dxa"/>
          </w:tcPr>
          <w:p>
            <w:pPr>
              <w:pStyle w:val="TableParagraph"/>
              <w:spacing w:line="230" w:lineRule="atLeast" w:before="0"/>
              <w:ind w:left="118" w:right="724"/>
              <w:jc w:val="left"/>
              <w:rPr>
                <w:b/>
                <w:sz w:val="20"/>
              </w:rPr>
            </w:pPr>
            <w:r>
              <w:rPr>
                <w:b/>
                <w:sz w:val="20"/>
              </w:rPr>
              <w:t>Specification and minimum frequency</w:t>
            </w:r>
          </w:p>
        </w:tc>
        <w:tc>
          <w:tcPr>
            <w:tcW w:w="3674" w:type="dxa"/>
          </w:tcPr>
          <w:p>
            <w:pPr>
              <w:pStyle w:val="TableParagraph"/>
              <w:spacing w:before="0"/>
              <w:ind w:left="117"/>
              <w:jc w:val="left"/>
              <w:rPr>
                <w:b/>
                <w:sz w:val="20"/>
              </w:rPr>
            </w:pPr>
            <w:r>
              <w:rPr>
                <w:b/>
                <w:sz w:val="20"/>
              </w:rPr>
              <w:t>Acceptance criteria</w:t>
            </w:r>
          </w:p>
        </w:tc>
      </w:tr>
      <w:tr>
        <w:trPr>
          <w:trHeight w:val="689" w:hRule="atLeast"/>
        </w:trPr>
        <w:tc>
          <w:tcPr>
            <w:tcW w:w="3617" w:type="dxa"/>
            <w:tcBorders>
              <w:left w:val="single" w:sz="12" w:space="0" w:color="000000"/>
            </w:tcBorders>
          </w:tcPr>
          <w:p>
            <w:pPr>
              <w:pStyle w:val="TableParagraph"/>
              <w:spacing w:before="0"/>
              <w:ind w:left="107" w:right="446"/>
              <w:jc w:val="left"/>
              <w:rPr>
                <w:sz w:val="20"/>
              </w:rPr>
            </w:pPr>
            <w:r>
              <w:rPr>
                <w:sz w:val="20"/>
              </w:rPr>
              <w:t>Initial demonstration of proficiency (IDP) (Sec. 9.4)</w:t>
            </w:r>
          </w:p>
        </w:tc>
        <w:tc>
          <w:tcPr>
            <w:tcW w:w="2773" w:type="dxa"/>
          </w:tcPr>
          <w:p>
            <w:pPr>
              <w:pStyle w:val="TableParagraph"/>
              <w:spacing w:before="0"/>
              <w:ind w:left="118"/>
              <w:jc w:val="left"/>
              <w:rPr>
                <w:sz w:val="20"/>
              </w:rPr>
            </w:pPr>
            <w:r>
              <w:rPr>
                <w:sz w:val="20"/>
              </w:rPr>
              <w:t>4 replicates at mid</w:t>
            </w:r>
          </w:p>
          <w:p>
            <w:pPr>
              <w:pStyle w:val="TableParagraph"/>
              <w:spacing w:line="230" w:lineRule="exact" w:before="4"/>
              <w:ind w:left="118" w:right="201"/>
              <w:jc w:val="left"/>
              <w:rPr>
                <w:sz w:val="20"/>
              </w:rPr>
            </w:pPr>
            <w:r>
              <w:rPr>
                <w:sz w:val="20"/>
              </w:rPr>
              <w:t>calibration level initially and after major changes</w:t>
            </w:r>
          </w:p>
        </w:tc>
        <w:tc>
          <w:tcPr>
            <w:tcW w:w="3674" w:type="dxa"/>
          </w:tcPr>
          <w:p>
            <w:pPr>
              <w:pStyle w:val="TableParagraph"/>
              <w:spacing w:before="0"/>
              <w:ind w:left="117" w:right="1315"/>
              <w:jc w:val="left"/>
              <w:rPr>
                <w:sz w:val="20"/>
              </w:rPr>
            </w:pPr>
            <w:r>
              <w:rPr>
                <w:sz w:val="20"/>
              </w:rPr>
              <w:t>Meet %recovery / %RSD requirements</w:t>
            </w:r>
          </w:p>
        </w:tc>
      </w:tr>
      <w:tr>
        <w:trPr>
          <w:trHeight w:val="456" w:hRule="atLeast"/>
        </w:trPr>
        <w:tc>
          <w:tcPr>
            <w:tcW w:w="3617" w:type="dxa"/>
            <w:tcBorders>
              <w:left w:val="single" w:sz="12" w:space="0" w:color="000000"/>
            </w:tcBorders>
          </w:tcPr>
          <w:p>
            <w:pPr>
              <w:pStyle w:val="TableParagraph"/>
              <w:spacing w:line="226" w:lineRule="exact" w:before="0"/>
              <w:ind w:left="107"/>
              <w:jc w:val="left"/>
              <w:rPr>
                <w:sz w:val="20"/>
              </w:rPr>
            </w:pPr>
            <w:r>
              <w:rPr>
                <w:sz w:val="20"/>
              </w:rPr>
              <w:t>Sample holding time</w:t>
            </w:r>
          </w:p>
          <w:p>
            <w:pPr>
              <w:pStyle w:val="TableParagraph"/>
              <w:spacing w:line="209" w:lineRule="exact" w:before="0"/>
              <w:ind w:left="107"/>
              <w:jc w:val="left"/>
              <w:rPr>
                <w:sz w:val="20"/>
              </w:rPr>
            </w:pPr>
            <w:r>
              <w:rPr>
                <w:sz w:val="20"/>
              </w:rPr>
              <w:t>(Sec. 8.2)</w:t>
            </w:r>
          </w:p>
        </w:tc>
        <w:tc>
          <w:tcPr>
            <w:tcW w:w="2773" w:type="dxa"/>
          </w:tcPr>
          <w:p>
            <w:pPr>
              <w:pStyle w:val="TableParagraph"/>
              <w:spacing w:line="226" w:lineRule="exact" w:before="0"/>
              <w:ind w:left="118"/>
              <w:jc w:val="left"/>
              <w:rPr>
                <w:sz w:val="20"/>
              </w:rPr>
            </w:pPr>
            <w:r>
              <w:rPr>
                <w:sz w:val="20"/>
              </w:rPr>
              <w:t>Samples: 28 days</w:t>
            </w:r>
          </w:p>
          <w:p>
            <w:pPr>
              <w:pStyle w:val="TableParagraph"/>
              <w:spacing w:line="209" w:lineRule="exact" w:before="0"/>
              <w:ind w:left="118"/>
              <w:jc w:val="left"/>
              <w:rPr>
                <w:sz w:val="20"/>
              </w:rPr>
            </w:pPr>
            <w:r>
              <w:rPr>
                <w:sz w:val="20"/>
              </w:rPr>
              <w:t>Extracts: 30 days</w:t>
            </w:r>
          </w:p>
        </w:tc>
        <w:tc>
          <w:tcPr>
            <w:tcW w:w="3674" w:type="dxa"/>
          </w:tcPr>
          <w:p>
            <w:pPr>
              <w:pStyle w:val="TableParagraph"/>
              <w:spacing w:line="226" w:lineRule="exact" w:before="0"/>
              <w:ind w:left="117"/>
              <w:jc w:val="left"/>
              <w:rPr>
                <w:sz w:val="20"/>
              </w:rPr>
            </w:pPr>
            <w:r>
              <w:rPr>
                <w:sz w:val="20"/>
              </w:rPr>
              <w:t>TBD (pending holding time study)</w:t>
            </w:r>
          </w:p>
        </w:tc>
      </w:tr>
      <w:tr>
        <w:trPr>
          <w:trHeight w:val="1379" w:hRule="atLeast"/>
        </w:trPr>
        <w:tc>
          <w:tcPr>
            <w:tcW w:w="3617" w:type="dxa"/>
            <w:tcBorders>
              <w:left w:val="single" w:sz="12" w:space="0" w:color="000000"/>
            </w:tcBorders>
          </w:tcPr>
          <w:p>
            <w:pPr>
              <w:pStyle w:val="TableParagraph"/>
              <w:spacing w:before="0"/>
              <w:ind w:left="107" w:right="1358"/>
              <w:jc w:val="left"/>
              <w:rPr>
                <w:sz w:val="20"/>
              </w:rPr>
            </w:pPr>
            <w:r>
              <w:rPr>
                <w:sz w:val="20"/>
              </w:rPr>
              <w:t>Initial Calibration (ICAL) (Sec. 9.7, 11.3)</w:t>
            </w:r>
          </w:p>
        </w:tc>
        <w:tc>
          <w:tcPr>
            <w:tcW w:w="2773" w:type="dxa"/>
          </w:tcPr>
          <w:p>
            <w:pPr>
              <w:pStyle w:val="TableParagraph"/>
              <w:spacing w:before="0"/>
              <w:ind w:left="118"/>
              <w:jc w:val="left"/>
              <w:rPr>
                <w:sz w:val="20"/>
              </w:rPr>
            </w:pPr>
            <w:r>
              <w:rPr>
                <w:sz w:val="20"/>
              </w:rPr>
              <w:t>Prior to analysis of samples</w:t>
            </w:r>
          </w:p>
        </w:tc>
        <w:tc>
          <w:tcPr>
            <w:tcW w:w="3674" w:type="dxa"/>
          </w:tcPr>
          <w:p>
            <w:pPr>
              <w:pStyle w:val="TableParagraph"/>
              <w:spacing w:line="228" w:lineRule="exact" w:before="0"/>
              <w:ind w:left="117"/>
              <w:jc w:val="left"/>
              <w:rPr>
                <w:sz w:val="20"/>
              </w:rPr>
            </w:pPr>
            <w:r>
              <w:rPr>
                <w:sz w:val="20"/>
              </w:rPr>
              <w:t>Mean CF: (%RSD≤20)</w:t>
            </w:r>
          </w:p>
          <w:p>
            <w:pPr>
              <w:pStyle w:val="TableParagraph"/>
              <w:spacing w:line="232" w:lineRule="exact" w:before="0"/>
              <w:ind w:left="117"/>
              <w:jc w:val="left"/>
              <w:rPr>
                <w:sz w:val="20"/>
              </w:rPr>
            </w:pPr>
            <w:r>
              <w:rPr>
                <w:sz w:val="20"/>
              </w:rPr>
              <w:t>linear or quadratic regression: r</w:t>
            </w:r>
            <w:r>
              <w:rPr>
                <w:position w:val="7"/>
                <w:sz w:val="13"/>
              </w:rPr>
              <w:t>2 </w:t>
            </w:r>
            <w:r>
              <w:rPr>
                <w:sz w:val="20"/>
              </w:rPr>
              <w:t>&gt;0.99</w:t>
            </w:r>
          </w:p>
          <w:p>
            <w:pPr>
              <w:pStyle w:val="TableParagraph"/>
              <w:spacing w:line="230" w:lineRule="exact" w:before="0"/>
              <w:ind w:left="117"/>
              <w:jc w:val="left"/>
              <w:rPr>
                <w:sz w:val="20"/>
              </w:rPr>
            </w:pPr>
            <w:r>
              <w:rPr>
                <w:sz w:val="20"/>
              </w:rPr>
              <w:t>%Error: ≤±50% at LLOQ and ≤±30%</w:t>
            </w:r>
          </w:p>
          <w:p>
            <w:pPr>
              <w:pStyle w:val="TableParagraph"/>
              <w:spacing w:line="230" w:lineRule="exact" w:before="1"/>
              <w:ind w:left="117"/>
              <w:jc w:val="left"/>
              <w:rPr>
                <w:sz w:val="20"/>
              </w:rPr>
            </w:pPr>
            <w:r>
              <w:rPr>
                <w:sz w:val="20"/>
              </w:rPr>
              <w:t>for all others</w:t>
            </w:r>
          </w:p>
          <w:p>
            <w:pPr>
              <w:pStyle w:val="TableParagraph"/>
              <w:spacing w:line="230" w:lineRule="exact" w:before="0"/>
              <w:ind w:left="117"/>
              <w:jc w:val="left"/>
              <w:rPr>
                <w:sz w:val="20"/>
              </w:rPr>
            </w:pPr>
            <w:r>
              <w:rPr>
                <w:sz w:val="20"/>
              </w:rPr>
              <w:t>≥90% of targets and surrogates meet</w:t>
            </w:r>
          </w:p>
          <w:p>
            <w:pPr>
              <w:pStyle w:val="TableParagraph"/>
              <w:spacing w:line="209" w:lineRule="exact" w:before="0"/>
              <w:ind w:left="117"/>
              <w:jc w:val="left"/>
              <w:rPr>
                <w:sz w:val="20"/>
              </w:rPr>
            </w:pPr>
            <w:r>
              <w:rPr>
                <w:sz w:val="20"/>
              </w:rPr>
              <w:t>ICAL criteria</w:t>
            </w:r>
          </w:p>
        </w:tc>
      </w:tr>
      <w:tr>
        <w:trPr>
          <w:trHeight w:val="689" w:hRule="atLeast"/>
        </w:trPr>
        <w:tc>
          <w:tcPr>
            <w:tcW w:w="3617" w:type="dxa"/>
            <w:tcBorders>
              <w:left w:val="single" w:sz="12" w:space="0" w:color="000000"/>
            </w:tcBorders>
          </w:tcPr>
          <w:p>
            <w:pPr>
              <w:pStyle w:val="TableParagraph"/>
              <w:spacing w:before="0"/>
              <w:ind w:left="107" w:right="1024"/>
              <w:jc w:val="left"/>
              <w:rPr>
                <w:sz w:val="20"/>
              </w:rPr>
            </w:pPr>
            <w:r>
              <w:rPr>
                <w:sz w:val="20"/>
              </w:rPr>
              <w:t>Initial calibration verification (ICV)(Sec. 9.7, 11.3.10)</w:t>
            </w:r>
          </w:p>
        </w:tc>
        <w:tc>
          <w:tcPr>
            <w:tcW w:w="2773" w:type="dxa"/>
          </w:tcPr>
          <w:p>
            <w:pPr>
              <w:pStyle w:val="TableParagraph"/>
              <w:spacing w:before="0"/>
              <w:ind w:left="118" w:right="201"/>
              <w:jc w:val="left"/>
              <w:rPr>
                <w:sz w:val="20"/>
              </w:rPr>
            </w:pPr>
            <w:r>
              <w:rPr>
                <w:sz w:val="20"/>
              </w:rPr>
              <w:t>After initial calibration and prior to analysis of samples</w:t>
            </w:r>
          </w:p>
        </w:tc>
        <w:tc>
          <w:tcPr>
            <w:tcW w:w="3674" w:type="dxa"/>
          </w:tcPr>
          <w:p>
            <w:pPr>
              <w:pStyle w:val="TableParagraph"/>
              <w:spacing w:before="0"/>
              <w:ind w:left="117" w:right="448"/>
              <w:jc w:val="left"/>
              <w:rPr>
                <w:sz w:val="20"/>
              </w:rPr>
            </w:pPr>
            <w:r>
              <w:rPr>
                <w:sz w:val="20"/>
              </w:rPr>
              <w:t>Target analytes are within ±30% of expected concentrations</w:t>
            </w:r>
          </w:p>
        </w:tc>
      </w:tr>
      <w:tr>
        <w:trPr>
          <w:trHeight w:val="920" w:hRule="atLeast"/>
        </w:trPr>
        <w:tc>
          <w:tcPr>
            <w:tcW w:w="3617" w:type="dxa"/>
            <w:tcBorders>
              <w:left w:val="single" w:sz="12" w:space="0" w:color="000000"/>
            </w:tcBorders>
          </w:tcPr>
          <w:p>
            <w:pPr>
              <w:pStyle w:val="TableParagraph"/>
              <w:spacing w:before="0"/>
              <w:ind w:left="107" w:right="535"/>
              <w:jc w:val="left"/>
              <w:rPr>
                <w:sz w:val="20"/>
              </w:rPr>
            </w:pPr>
            <w:r>
              <w:rPr>
                <w:sz w:val="20"/>
              </w:rPr>
              <w:t>Continuing calibration verification (CCV)</w:t>
            </w:r>
          </w:p>
          <w:p>
            <w:pPr>
              <w:pStyle w:val="TableParagraph"/>
              <w:spacing w:before="1"/>
              <w:ind w:left="107"/>
              <w:jc w:val="left"/>
              <w:rPr>
                <w:sz w:val="20"/>
              </w:rPr>
            </w:pPr>
            <w:r>
              <w:rPr>
                <w:sz w:val="20"/>
              </w:rPr>
              <w:t>(Sec. 9.8, 11.4)</w:t>
            </w:r>
          </w:p>
        </w:tc>
        <w:tc>
          <w:tcPr>
            <w:tcW w:w="2773" w:type="dxa"/>
          </w:tcPr>
          <w:p>
            <w:pPr>
              <w:pStyle w:val="TableParagraph"/>
              <w:spacing w:before="0"/>
              <w:ind w:left="118" w:right="634"/>
              <w:jc w:val="left"/>
              <w:rPr>
                <w:sz w:val="20"/>
              </w:rPr>
            </w:pPr>
            <w:r>
              <w:rPr>
                <w:sz w:val="20"/>
              </w:rPr>
              <w:t>At beginning, every 10 samples and at end</w:t>
            </w:r>
          </w:p>
        </w:tc>
        <w:tc>
          <w:tcPr>
            <w:tcW w:w="3674" w:type="dxa"/>
          </w:tcPr>
          <w:p>
            <w:pPr>
              <w:pStyle w:val="TableParagraph"/>
              <w:spacing w:before="0"/>
              <w:ind w:left="117" w:right="359"/>
              <w:jc w:val="left"/>
              <w:rPr>
                <w:sz w:val="20"/>
              </w:rPr>
            </w:pPr>
            <w:r>
              <w:rPr>
                <w:sz w:val="20"/>
              </w:rPr>
              <w:t>≥90% of target analytes and surrogates within ±30% of expected concentrations</w:t>
            </w:r>
          </w:p>
        </w:tc>
      </w:tr>
      <w:tr>
        <w:trPr>
          <w:trHeight w:val="690" w:hRule="atLeast"/>
        </w:trPr>
        <w:tc>
          <w:tcPr>
            <w:tcW w:w="3617" w:type="dxa"/>
            <w:tcBorders>
              <w:left w:val="single" w:sz="12" w:space="0" w:color="000000"/>
            </w:tcBorders>
          </w:tcPr>
          <w:p>
            <w:pPr>
              <w:pStyle w:val="TableParagraph"/>
              <w:spacing w:before="0"/>
              <w:ind w:left="107" w:right="1691"/>
              <w:jc w:val="left"/>
              <w:rPr>
                <w:sz w:val="20"/>
              </w:rPr>
            </w:pPr>
            <w:r>
              <w:rPr>
                <w:sz w:val="20"/>
              </w:rPr>
              <w:t>Reagent Blank (RB) (Sec. 9.5.7)</w:t>
            </w:r>
          </w:p>
        </w:tc>
        <w:tc>
          <w:tcPr>
            <w:tcW w:w="2773" w:type="dxa"/>
          </w:tcPr>
          <w:p>
            <w:pPr>
              <w:pStyle w:val="TableParagraph"/>
              <w:spacing w:before="0"/>
              <w:ind w:left="118"/>
              <w:jc w:val="left"/>
              <w:rPr>
                <w:sz w:val="20"/>
              </w:rPr>
            </w:pPr>
            <w:r>
              <w:rPr>
                <w:sz w:val="20"/>
              </w:rPr>
              <w:t>One per day of analysis</w:t>
            </w:r>
          </w:p>
        </w:tc>
        <w:tc>
          <w:tcPr>
            <w:tcW w:w="3674" w:type="dxa"/>
          </w:tcPr>
          <w:p>
            <w:pPr>
              <w:pStyle w:val="TableParagraph"/>
              <w:spacing w:line="230" w:lineRule="atLeast" w:before="0"/>
              <w:ind w:left="117" w:right="441"/>
              <w:jc w:val="left"/>
              <w:rPr>
                <w:sz w:val="20"/>
              </w:rPr>
            </w:pPr>
            <w:r>
              <w:rPr>
                <w:sz w:val="20"/>
              </w:rPr>
              <w:t>Target analyte concentrations &lt;1/2 LLOQ or &lt;10% of sample concentrations</w:t>
            </w:r>
          </w:p>
        </w:tc>
      </w:tr>
      <w:tr>
        <w:trPr>
          <w:trHeight w:val="920" w:hRule="atLeast"/>
        </w:trPr>
        <w:tc>
          <w:tcPr>
            <w:tcW w:w="3617" w:type="dxa"/>
            <w:tcBorders>
              <w:left w:val="single" w:sz="12" w:space="0" w:color="000000"/>
            </w:tcBorders>
          </w:tcPr>
          <w:p>
            <w:pPr>
              <w:pStyle w:val="TableParagraph"/>
              <w:spacing w:before="0"/>
              <w:ind w:left="107"/>
              <w:jc w:val="left"/>
              <w:rPr>
                <w:sz w:val="20"/>
              </w:rPr>
            </w:pPr>
            <w:r>
              <w:rPr>
                <w:sz w:val="20"/>
              </w:rPr>
              <w:t>Method Blank (MB)</w:t>
            </w:r>
          </w:p>
          <w:p>
            <w:pPr>
              <w:pStyle w:val="TableParagraph"/>
              <w:spacing w:before="0"/>
              <w:jc w:val="left"/>
              <w:rPr>
                <w:sz w:val="20"/>
              </w:rPr>
            </w:pPr>
          </w:p>
          <w:p>
            <w:pPr>
              <w:pStyle w:val="TableParagraph"/>
              <w:spacing w:before="0"/>
              <w:ind w:left="107"/>
              <w:jc w:val="left"/>
              <w:rPr>
                <w:sz w:val="20"/>
              </w:rPr>
            </w:pPr>
            <w:r>
              <w:rPr>
                <w:sz w:val="20"/>
              </w:rPr>
              <w:t>(Sec. 9.5, 11.4.4)</w:t>
            </w:r>
          </w:p>
        </w:tc>
        <w:tc>
          <w:tcPr>
            <w:tcW w:w="2773" w:type="dxa"/>
          </w:tcPr>
          <w:p>
            <w:pPr>
              <w:pStyle w:val="TableParagraph"/>
              <w:spacing w:before="0"/>
              <w:ind w:left="118" w:right="101"/>
              <w:jc w:val="left"/>
              <w:rPr>
                <w:sz w:val="20"/>
              </w:rPr>
            </w:pPr>
            <w:r>
              <w:rPr>
                <w:sz w:val="20"/>
              </w:rPr>
              <w:t>One per preparation of 20 or fewer samples</w:t>
            </w:r>
          </w:p>
        </w:tc>
        <w:tc>
          <w:tcPr>
            <w:tcW w:w="3674" w:type="dxa"/>
          </w:tcPr>
          <w:p>
            <w:pPr>
              <w:pStyle w:val="TableParagraph"/>
              <w:spacing w:before="0"/>
              <w:ind w:left="117" w:right="80"/>
              <w:jc w:val="left"/>
              <w:rPr>
                <w:sz w:val="20"/>
              </w:rPr>
            </w:pPr>
            <w:r>
              <w:rPr>
                <w:sz w:val="20"/>
              </w:rPr>
              <w:t>Target analytes &lt;1/2 LLOQ or &lt;10% of sample concentration</w:t>
            </w:r>
          </w:p>
        </w:tc>
      </w:tr>
      <w:tr>
        <w:trPr>
          <w:trHeight w:val="689" w:hRule="atLeast"/>
        </w:trPr>
        <w:tc>
          <w:tcPr>
            <w:tcW w:w="3617" w:type="dxa"/>
            <w:tcBorders>
              <w:left w:val="single" w:sz="12" w:space="0" w:color="000000"/>
            </w:tcBorders>
          </w:tcPr>
          <w:p>
            <w:pPr>
              <w:pStyle w:val="TableParagraph"/>
              <w:spacing w:before="0"/>
              <w:ind w:left="107"/>
              <w:jc w:val="left"/>
              <w:rPr>
                <w:sz w:val="20"/>
              </w:rPr>
            </w:pPr>
            <w:r>
              <w:rPr>
                <w:sz w:val="20"/>
              </w:rPr>
              <w:t>LLOQ verification</w:t>
            </w:r>
          </w:p>
          <w:p>
            <w:pPr>
              <w:pStyle w:val="TableParagraph"/>
              <w:spacing w:before="0"/>
              <w:jc w:val="left"/>
              <w:rPr>
                <w:sz w:val="20"/>
              </w:rPr>
            </w:pPr>
          </w:p>
          <w:p>
            <w:pPr>
              <w:pStyle w:val="TableParagraph"/>
              <w:spacing w:line="209" w:lineRule="exact" w:before="0"/>
              <w:ind w:left="107"/>
              <w:jc w:val="left"/>
              <w:rPr>
                <w:sz w:val="20"/>
              </w:rPr>
            </w:pPr>
            <w:r>
              <w:rPr>
                <w:sz w:val="20"/>
              </w:rPr>
              <w:t>Sec. 9.9.1</w:t>
            </w:r>
          </w:p>
        </w:tc>
        <w:tc>
          <w:tcPr>
            <w:tcW w:w="2773" w:type="dxa"/>
          </w:tcPr>
          <w:p>
            <w:pPr>
              <w:pStyle w:val="TableParagraph"/>
              <w:spacing w:before="0"/>
              <w:ind w:left="118" w:right="290"/>
              <w:jc w:val="left"/>
              <w:rPr>
                <w:sz w:val="20"/>
              </w:rPr>
            </w:pPr>
            <w:r>
              <w:rPr>
                <w:sz w:val="20"/>
              </w:rPr>
              <w:t>One per preparation batch of 20 or fewer samples</w:t>
            </w:r>
          </w:p>
        </w:tc>
        <w:tc>
          <w:tcPr>
            <w:tcW w:w="3674" w:type="dxa"/>
          </w:tcPr>
          <w:p>
            <w:pPr>
              <w:pStyle w:val="TableParagraph"/>
              <w:spacing w:before="0"/>
              <w:ind w:left="117"/>
              <w:jc w:val="left"/>
              <w:rPr>
                <w:sz w:val="20"/>
              </w:rPr>
            </w:pPr>
            <w:r>
              <w:rPr>
                <w:sz w:val="20"/>
              </w:rPr>
              <w:t>Target analytes 50-150% recovery</w:t>
            </w:r>
          </w:p>
        </w:tc>
      </w:tr>
      <w:tr>
        <w:trPr>
          <w:trHeight w:val="689" w:hRule="atLeast"/>
        </w:trPr>
        <w:tc>
          <w:tcPr>
            <w:tcW w:w="3617" w:type="dxa"/>
            <w:tcBorders>
              <w:left w:val="single" w:sz="12" w:space="0" w:color="000000"/>
            </w:tcBorders>
          </w:tcPr>
          <w:p>
            <w:pPr>
              <w:pStyle w:val="TableParagraph"/>
              <w:spacing w:before="0"/>
              <w:ind w:left="107"/>
              <w:jc w:val="left"/>
              <w:rPr>
                <w:sz w:val="20"/>
              </w:rPr>
            </w:pPr>
            <w:r>
              <w:rPr>
                <w:sz w:val="20"/>
              </w:rPr>
              <w:t>Laboratory Control Sample (LCS)</w:t>
            </w:r>
          </w:p>
          <w:p>
            <w:pPr>
              <w:pStyle w:val="TableParagraph"/>
              <w:spacing w:before="0"/>
              <w:jc w:val="left"/>
              <w:rPr>
                <w:sz w:val="20"/>
              </w:rPr>
            </w:pPr>
          </w:p>
          <w:p>
            <w:pPr>
              <w:pStyle w:val="TableParagraph"/>
              <w:spacing w:line="209" w:lineRule="exact" w:before="0"/>
              <w:ind w:left="107"/>
              <w:jc w:val="left"/>
              <w:rPr>
                <w:sz w:val="20"/>
              </w:rPr>
            </w:pPr>
            <w:r>
              <w:rPr>
                <w:sz w:val="20"/>
              </w:rPr>
              <w:t>Sec. 9.6.2</w:t>
            </w:r>
          </w:p>
        </w:tc>
        <w:tc>
          <w:tcPr>
            <w:tcW w:w="2773" w:type="dxa"/>
          </w:tcPr>
          <w:p>
            <w:pPr>
              <w:pStyle w:val="TableParagraph"/>
              <w:spacing w:before="0"/>
              <w:ind w:left="118" w:right="290"/>
              <w:jc w:val="left"/>
              <w:rPr>
                <w:sz w:val="20"/>
              </w:rPr>
            </w:pPr>
            <w:r>
              <w:rPr>
                <w:sz w:val="20"/>
              </w:rPr>
              <w:t>One per preparation batch of 20 or fewer samples</w:t>
            </w:r>
          </w:p>
        </w:tc>
        <w:tc>
          <w:tcPr>
            <w:tcW w:w="3674" w:type="dxa"/>
          </w:tcPr>
          <w:p>
            <w:pPr>
              <w:pStyle w:val="TableParagraph"/>
              <w:spacing w:before="0"/>
              <w:ind w:left="117"/>
              <w:jc w:val="left"/>
              <w:rPr>
                <w:sz w:val="20"/>
              </w:rPr>
            </w:pPr>
            <w:r>
              <w:rPr>
                <w:sz w:val="20"/>
              </w:rPr>
              <w:t>Target analytes 70-130% recovery</w:t>
            </w:r>
          </w:p>
        </w:tc>
      </w:tr>
      <w:tr>
        <w:trPr>
          <w:trHeight w:val="863" w:hRule="atLeast"/>
        </w:trPr>
        <w:tc>
          <w:tcPr>
            <w:tcW w:w="3617" w:type="dxa"/>
            <w:tcBorders>
              <w:left w:val="single" w:sz="12" w:space="0" w:color="000000"/>
            </w:tcBorders>
          </w:tcPr>
          <w:p>
            <w:pPr>
              <w:pStyle w:val="TableParagraph"/>
              <w:spacing w:before="0"/>
              <w:ind w:left="107"/>
              <w:jc w:val="left"/>
              <w:rPr>
                <w:sz w:val="20"/>
              </w:rPr>
            </w:pPr>
            <w:r>
              <w:rPr>
                <w:sz w:val="20"/>
              </w:rPr>
              <w:t>Surrogates</w:t>
            </w:r>
          </w:p>
          <w:p>
            <w:pPr>
              <w:pStyle w:val="TableParagraph"/>
              <w:spacing w:before="0"/>
              <w:jc w:val="left"/>
              <w:rPr>
                <w:sz w:val="20"/>
              </w:rPr>
            </w:pPr>
          </w:p>
          <w:p>
            <w:pPr>
              <w:pStyle w:val="TableParagraph"/>
              <w:spacing w:before="0"/>
              <w:ind w:left="107"/>
              <w:jc w:val="left"/>
              <w:rPr>
                <w:sz w:val="20"/>
              </w:rPr>
            </w:pPr>
            <w:r>
              <w:rPr>
                <w:sz w:val="20"/>
              </w:rPr>
              <w:t>Sec. 9.10</w:t>
            </w:r>
          </w:p>
        </w:tc>
        <w:tc>
          <w:tcPr>
            <w:tcW w:w="2773" w:type="dxa"/>
          </w:tcPr>
          <w:p>
            <w:pPr>
              <w:pStyle w:val="TableParagraph"/>
              <w:spacing w:before="0"/>
              <w:ind w:left="118"/>
              <w:jc w:val="left"/>
              <w:rPr>
                <w:sz w:val="20"/>
              </w:rPr>
            </w:pPr>
            <w:r>
              <w:rPr>
                <w:sz w:val="20"/>
              </w:rPr>
              <w:t>Each sample</w:t>
            </w:r>
          </w:p>
        </w:tc>
        <w:tc>
          <w:tcPr>
            <w:tcW w:w="3674" w:type="dxa"/>
          </w:tcPr>
          <w:p>
            <w:pPr>
              <w:pStyle w:val="TableParagraph"/>
              <w:spacing w:before="0"/>
              <w:ind w:left="117"/>
              <w:jc w:val="left"/>
              <w:rPr>
                <w:sz w:val="20"/>
              </w:rPr>
            </w:pPr>
            <w:r>
              <w:rPr>
                <w:sz w:val="20"/>
              </w:rPr>
              <w:t>Surrogates 70-130% recovery;</w:t>
            </w:r>
          </w:p>
        </w:tc>
      </w:tr>
      <w:tr>
        <w:trPr>
          <w:trHeight w:val="1379" w:hRule="atLeast"/>
        </w:trPr>
        <w:tc>
          <w:tcPr>
            <w:tcW w:w="3617" w:type="dxa"/>
            <w:tcBorders>
              <w:left w:val="single" w:sz="12" w:space="0" w:color="000000"/>
            </w:tcBorders>
          </w:tcPr>
          <w:p>
            <w:pPr>
              <w:pStyle w:val="TableParagraph"/>
              <w:spacing w:line="480" w:lineRule="auto" w:before="0"/>
              <w:ind w:left="107" w:right="2091"/>
              <w:jc w:val="left"/>
              <w:rPr>
                <w:sz w:val="20"/>
              </w:rPr>
            </w:pPr>
            <w:r>
              <w:rPr>
                <w:sz w:val="20"/>
              </w:rPr>
              <w:t>Target analytes Section 11.6</w:t>
            </w:r>
          </w:p>
        </w:tc>
        <w:tc>
          <w:tcPr>
            <w:tcW w:w="2773" w:type="dxa"/>
          </w:tcPr>
          <w:p>
            <w:pPr>
              <w:pStyle w:val="TableParagraph"/>
              <w:spacing w:before="0"/>
              <w:jc w:val="left"/>
              <w:rPr>
                <w:rFonts w:ascii="Times New Roman"/>
                <w:sz w:val="20"/>
              </w:rPr>
            </w:pPr>
          </w:p>
        </w:tc>
        <w:tc>
          <w:tcPr>
            <w:tcW w:w="3674" w:type="dxa"/>
          </w:tcPr>
          <w:p>
            <w:pPr>
              <w:pStyle w:val="TableParagraph"/>
              <w:spacing w:before="0"/>
              <w:ind w:left="117" w:right="316"/>
              <w:jc w:val="left"/>
              <w:rPr>
                <w:sz w:val="20"/>
              </w:rPr>
            </w:pPr>
            <w:r>
              <w:rPr>
                <w:sz w:val="20"/>
              </w:rPr>
              <w:t>Meets qualitative ID criteria (RT in sample is within ±10 sec. of CCV, or RT shift is similar to associated surrogate; qualifier ion ratio within</w:t>
            </w:r>
          </w:p>
          <w:p>
            <w:pPr>
              <w:pStyle w:val="TableParagraph"/>
              <w:spacing w:line="230" w:lineRule="exact" w:before="3"/>
              <w:ind w:left="117" w:right="104"/>
              <w:jc w:val="left"/>
              <w:rPr>
                <w:sz w:val="20"/>
              </w:rPr>
            </w:pPr>
            <w:r>
              <w:rPr>
                <w:sz w:val="20"/>
              </w:rPr>
              <w:t>±30% of expected ratio (midpoint ICAL or CCV), as applicable</w:t>
            </w:r>
          </w:p>
        </w:tc>
      </w:tr>
      <w:tr>
        <w:trPr>
          <w:trHeight w:val="917" w:hRule="atLeast"/>
        </w:trPr>
        <w:tc>
          <w:tcPr>
            <w:tcW w:w="3617" w:type="dxa"/>
            <w:tcBorders>
              <w:left w:val="single" w:sz="12" w:space="0" w:color="000000"/>
              <w:bottom w:val="single" w:sz="12" w:space="0" w:color="000000"/>
            </w:tcBorders>
          </w:tcPr>
          <w:p>
            <w:pPr>
              <w:pStyle w:val="TableParagraph"/>
              <w:spacing w:before="0"/>
              <w:ind w:left="107" w:right="713"/>
              <w:jc w:val="left"/>
              <w:rPr>
                <w:sz w:val="20"/>
              </w:rPr>
            </w:pPr>
            <w:r>
              <w:rPr>
                <w:sz w:val="20"/>
              </w:rPr>
              <w:t>Matrix spike/duplicate or matrix spike/matrix spike duplicate (MS/MSD)</w:t>
            </w:r>
          </w:p>
          <w:p>
            <w:pPr>
              <w:pStyle w:val="TableParagraph"/>
              <w:spacing w:line="210" w:lineRule="exact" w:before="0"/>
              <w:ind w:left="107"/>
              <w:jc w:val="left"/>
              <w:rPr>
                <w:sz w:val="20"/>
              </w:rPr>
            </w:pPr>
            <w:r>
              <w:rPr>
                <w:sz w:val="20"/>
              </w:rPr>
              <w:t>(Sec. 9.6.1)</w:t>
            </w:r>
          </w:p>
        </w:tc>
        <w:tc>
          <w:tcPr>
            <w:tcW w:w="2773" w:type="dxa"/>
            <w:tcBorders>
              <w:bottom w:val="single" w:sz="12" w:space="0" w:color="000000"/>
            </w:tcBorders>
          </w:tcPr>
          <w:p>
            <w:pPr>
              <w:pStyle w:val="TableParagraph"/>
              <w:spacing w:before="0"/>
              <w:ind w:left="118" w:right="179"/>
              <w:jc w:val="left"/>
              <w:rPr>
                <w:sz w:val="20"/>
              </w:rPr>
            </w:pPr>
            <w:r>
              <w:rPr>
                <w:sz w:val="20"/>
              </w:rPr>
              <w:t>One set per preparation of 20 or fewer field samples (if sufficient replicate samples</w:t>
            </w:r>
          </w:p>
          <w:p>
            <w:pPr>
              <w:pStyle w:val="TableParagraph"/>
              <w:spacing w:line="210" w:lineRule="exact" w:before="0"/>
              <w:ind w:left="118"/>
              <w:jc w:val="left"/>
              <w:rPr>
                <w:sz w:val="20"/>
              </w:rPr>
            </w:pPr>
            <w:r>
              <w:rPr>
                <w:sz w:val="20"/>
              </w:rPr>
              <w:t>are provided)</w:t>
            </w:r>
          </w:p>
        </w:tc>
        <w:tc>
          <w:tcPr>
            <w:tcW w:w="3674" w:type="dxa"/>
            <w:tcBorders>
              <w:bottom w:val="single" w:sz="12" w:space="0" w:color="000000"/>
            </w:tcBorders>
          </w:tcPr>
          <w:p>
            <w:pPr>
              <w:pStyle w:val="TableParagraph"/>
              <w:spacing w:before="0"/>
              <w:ind w:left="117" w:right="325"/>
              <w:jc w:val="left"/>
              <w:rPr>
                <w:sz w:val="20"/>
              </w:rPr>
            </w:pPr>
            <w:r>
              <w:rPr>
                <w:sz w:val="20"/>
              </w:rPr>
              <w:t>MS/MSD targets: 70-130% recovery MSD or duplicate: ≤30% RPD</w:t>
            </w:r>
          </w:p>
        </w:tc>
      </w:tr>
    </w:tbl>
    <w:p>
      <w:pPr>
        <w:spacing w:after="0"/>
        <w:jc w:val="left"/>
        <w:rPr>
          <w:sz w:val="20"/>
        </w:rPr>
        <w:sectPr>
          <w:pgSz w:w="12240" w:h="15840"/>
          <w:pgMar w:header="0" w:footer="1214" w:top="1060" w:bottom="1400" w:left="460" w:right="480"/>
        </w:sectPr>
      </w:pPr>
    </w:p>
    <w:p>
      <w:pPr>
        <w:pStyle w:val="BodyText"/>
        <w:spacing w:before="70"/>
        <w:ind w:left="739"/>
        <w:jc w:val="center"/>
      </w:pPr>
      <w:bookmarkStart w:name="FIGURE 1" w:id="322"/>
      <w:bookmarkEnd w:id="322"/>
      <w:r>
        <w:rPr/>
      </w:r>
      <w:bookmarkStart w:name="_bookmark38" w:id="323"/>
      <w:bookmarkEnd w:id="323"/>
      <w:r>
        <w:rPr/>
      </w:r>
      <w:r>
        <w:rPr/>
        <w:t>FIGURE 1</w:t>
      </w:r>
    </w:p>
    <w:p>
      <w:pPr>
        <w:pStyle w:val="BodyText"/>
        <w:spacing w:before="159"/>
        <w:ind w:left="739"/>
        <w:jc w:val="center"/>
      </w:pPr>
      <w:bookmarkStart w:name="PFOS IN CALIBRATION STANDARD" w:id="324"/>
      <w:bookmarkEnd w:id="324"/>
      <w:r>
        <w:rPr/>
      </w:r>
      <w:bookmarkStart w:name="_bookmark39" w:id="325"/>
      <w:bookmarkEnd w:id="325"/>
      <w:r>
        <w:rPr/>
      </w:r>
      <w:r>
        <w:rPr/>
        <w:t>PFOS IN CALIBRATION STANDARD</w:t>
      </w:r>
    </w:p>
    <w:p>
      <w:pPr>
        <w:pStyle w:val="BodyText"/>
        <w:spacing w:before="5"/>
        <w:rPr>
          <w:sz w:val="19"/>
        </w:rPr>
      </w:pPr>
    </w:p>
    <w:p>
      <w:pPr>
        <w:spacing w:after="0"/>
        <w:rPr>
          <w:sz w:val="19"/>
        </w:rPr>
        <w:sectPr>
          <w:pgSz w:w="12240" w:h="15840"/>
          <w:pgMar w:header="0" w:footer="1214" w:top="1060" w:bottom="1400" w:left="460" w:right="480"/>
        </w:sectPr>
      </w:pPr>
    </w:p>
    <w:p>
      <w:pPr>
        <w:spacing w:before="100"/>
        <w:ind w:left="1013" w:right="0" w:firstLine="0"/>
        <w:jc w:val="left"/>
        <w:rPr>
          <w:sz w:val="13"/>
        </w:rPr>
      </w:pPr>
      <w:r>
        <w:rPr>
          <w:color w:val="FF0000"/>
          <w:w w:val="105"/>
          <w:sz w:val="13"/>
        </w:rPr>
        <w:t>82316lev4 Smooth(Mn,1x2)</w:t>
      </w:r>
    </w:p>
    <w:p>
      <w:pPr>
        <w:pStyle w:val="BodyText"/>
        <w:rPr>
          <w:sz w:val="14"/>
        </w:rPr>
      </w:pPr>
    </w:p>
    <w:p>
      <w:pPr>
        <w:pStyle w:val="BodyText"/>
        <w:spacing w:before="10"/>
        <w:rPr>
          <w:sz w:val="12"/>
        </w:rPr>
      </w:pPr>
    </w:p>
    <w:p>
      <w:pPr>
        <w:spacing w:before="0"/>
        <w:ind w:left="1024" w:right="0" w:firstLine="0"/>
        <w:jc w:val="left"/>
        <w:rPr>
          <w:sz w:val="13"/>
        </w:rPr>
      </w:pPr>
      <w:r>
        <w:rPr/>
        <w:pict>
          <v:group style="position:absolute;margin-left:86.572426pt;margin-top:3.021376pt;width:436.1pt;height:86.4pt;mso-position-horizontal-relative:page;mso-position-vertical-relative:paragraph;z-index:-259978240" coordorigin="1731,60" coordsize="8722,1728">
            <v:shape style="position:absolute;left:1731;top:60;width:8722;height:1728" type="#_x0000_t75" stroked="false">
              <v:imagedata r:id="rId16" o:title=""/>
            </v:shape>
            <v:shape style="position:absolute;left:5845;top:839;width:641;height:654" type="#_x0000_t202" filled="false" stroked="false">
              <v:textbox inset="0,0,0,0">
                <w:txbxContent>
                  <w:p>
                    <w:pPr>
                      <w:spacing w:line="268" w:lineRule="auto" w:before="0"/>
                      <w:ind w:left="179" w:right="15" w:hanging="180"/>
                      <w:jc w:val="left"/>
                      <w:rPr>
                        <w:sz w:val="13"/>
                      </w:rPr>
                    </w:pPr>
                    <w:r>
                      <w:rPr>
                        <w:color w:val="000080"/>
                        <w:sz w:val="13"/>
                      </w:rPr>
                      <w:t>PFOS79.7 </w:t>
                    </w:r>
                    <w:r>
                      <w:rPr>
                        <w:color w:val="000080"/>
                        <w:w w:val="105"/>
                        <w:sz w:val="13"/>
                      </w:rPr>
                      <w:t>8.59</w:t>
                    </w:r>
                  </w:p>
                  <w:p>
                    <w:pPr>
                      <w:spacing w:before="0"/>
                      <w:ind w:left="22" w:right="0" w:firstLine="0"/>
                      <w:jc w:val="left"/>
                      <w:rPr>
                        <w:sz w:val="13"/>
                      </w:rPr>
                    </w:pPr>
                    <w:r>
                      <w:rPr>
                        <w:color w:val="000080"/>
                        <w:w w:val="105"/>
                        <w:sz w:val="13"/>
                      </w:rPr>
                      <w:t>8331.389</w:t>
                    </w:r>
                  </w:p>
                  <w:p>
                    <w:pPr>
                      <w:spacing w:before="18"/>
                      <w:ind w:left="78" w:right="0" w:firstLine="0"/>
                      <w:jc w:val="left"/>
                      <w:rPr>
                        <w:sz w:val="13"/>
                      </w:rPr>
                    </w:pPr>
                    <w:r>
                      <w:rPr>
                        <w:color w:val="000080"/>
                        <w:w w:val="105"/>
                        <w:sz w:val="13"/>
                      </w:rPr>
                      <w:t>133723</w:t>
                    </w:r>
                  </w:p>
                </w:txbxContent>
              </v:textbox>
              <w10:wrap type="none"/>
            </v:shape>
            <w10:wrap type="none"/>
          </v:group>
        </w:pict>
      </w:r>
      <w:r>
        <w:rPr>
          <w:color w:val="0000FF"/>
          <w:w w:val="105"/>
          <w:sz w:val="13"/>
        </w:rPr>
        <w:t>100</w:t>
      </w:r>
    </w:p>
    <w:p>
      <w:pPr>
        <w:pStyle w:val="BodyText"/>
        <w:rPr>
          <w:sz w:val="14"/>
        </w:rPr>
      </w:pPr>
      <w:r>
        <w:rPr/>
        <w:br w:type="column"/>
      </w:r>
      <w:r>
        <w:rPr>
          <w:sz w:val="14"/>
        </w:rPr>
      </w:r>
    </w:p>
    <w:p>
      <w:pPr>
        <w:pStyle w:val="BodyText"/>
        <w:rPr>
          <w:sz w:val="14"/>
        </w:rPr>
      </w:pPr>
    </w:p>
    <w:p>
      <w:pPr>
        <w:pStyle w:val="BodyText"/>
        <w:spacing w:before="9"/>
        <w:rPr>
          <w:sz w:val="12"/>
        </w:rPr>
      </w:pPr>
    </w:p>
    <w:p>
      <w:pPr>
        <w:spacing w:before="0"/>
        <w:ind w:left="1013" w:right="0" w:firstLine="0"/>
        <w:jc w:val="left"/>
        <w:rPr>
          <w:sz w:val="13"/>
        </w:rPr>
      </w:pPr>
      <w:r>
        <w:rPr>
          <w:color w:val="000080"/>
          <w:w w:val="105"/>
          <w:sz w:val="13"/>
        </w:rPr>
        <w:t>PFOS79.7;8.59;8331.389;133723</w:t>
      </w:r>
    </w:p>
    <w:p>
      <w:pPr>
        <w:spacing w:before="100"/>
        <w:ind w:left="0" w:right="1014" w:firstLine="0"/>
        <w:jc w:val="right"/>
        <w:rPr>
          <w:sz w:val="13"/>
        </w:rPr>
      </w:pPr>
      <w:r>
        <w:rPr/>
        <w:br w:type="column"/>
      </w:r>
      <w:r>
        <w:rPr>
          <w:color w:val="FF0000"/>
          <w:w w:val="105"/>
          <w:sz w:val="13"/>
        </w:rPr>
        <w:t>F14:MRM</w:t>
      </w:r>
      <w:r>
        <w:rPr>
          <w:color w:val="FF0000"/>
          <w:spacing w:val="-18"/>
          <w:w w:val="105"/>
          <w:sz w:val="13"/>
        </w:rPr>
        <w:t> </w:t>
      </w:r>
      <w:r>
        <w:rPr>
          <w:color w:val="FF0000"/>
          <w:w w:val="105"/>
          <w:sz w:val="13"/>
        </w:rPr>
        <w:t>of</w:t>
      </w:r>
      <w:r>
        <w:rPr>
          <w:color w:val="FF0000"/>
          <w:spacing w:val="-12"/>
          <w:w w:val="105"/>
          <w:sz w:val="13"/>
        </w:rPr>
        <w:t> </w:t>
      </w:r>
      <w:r>
        <w:rPr>
          <w:color w:val="FF0000"/>
          <w:w w:val="105"/>
          <w:sz w:val="13"/>
        </w:rPr>
        <w:t>3</w:t>
      </w:r>
      <w:r>
        <w:rPr>
          <w:color w:val="FF0000"/>
          <w:spacing w:val="-4"/>
          <w:w w:val="105"/>
          <w:sz w:val="13"/>
        </w:rPr>
        <w:t> </w:t>
      </w:r>
      <w:r>
        <w:rPr>
          <w:color w:val="FF0000"/>
          <w:w w:val="105"/>
          <w:sz w:val="13"/>
        </w:rPr>
        <w:t>channels,ES-</w:t>
      </w:r>
    </w:p>
    <w:p>
      <w:pPr>
        <w:spacing w:before="18"/>
        <w:ind w:left="0" w:right="1018" w:firstLine="0"/>
        <w:jc w:val="right"/>
        <w:rPr>
          <w:sz w:val="13"/>
        </w:rPr>
      </w:pPr>
      <w:r>
        <w:rPr>
          <w:color w:val="FF0000"/>
          <w:w w:val="105"/>
          <w:sz w:val="13"/>
        </w:rPr>
        <w:t>498.9 &gt;</w:t>
      </w:r>
      <w:r>
        <w:rPr>
          <w:color w:val="FF0000"/>
          <w:spacing w:val="-9"/>
          <w:w w:val="105"/>
          <w:sz w:val="13"/>
        </w:rPr>
        <w:t> </w:t>
      </w:r>
      <w:r>
        <w:rPr>
          <w:color w:val="FF0000"/>
          <w:w w:val="105"/>
          <w:sz w:val="13"/>
        </w:rPr>
        <w:t>79.9</w:t>
      </w:r>
    </w:p>
    <w:p>
      <w:pPr>
        <w:spacing w:before="18"/>
        <w:ind w:left="0" w:right="1014" w:firstLine="0"/>
        <w:jc w:val="right"/>
        <w:rPr>
          <w:sz w:val="13"/>
        </w:rPr>
      </w:pPr>
      <w:r>
        <w:rPr>
          <w:color w:val="FF0000"/>
          <w:w w:val="105"/>
          <w:sz w:val="13"/>
        </w:rPr>
        <w:t>1.344e+005</w:t>
      </w:r>
    </w:p>
    <w:p>
      <w:pPr>
        <w:spacing w:after="0"/>
        <w:jc w:val="right"/>
        <w:rPr>
          <w:sz w:val="13"/>
        </w:rPr>
        <w:sectPr>
          <w:type w:val="continuous"/>
          <w:pgSz w:w="12240" w:h="15840"/>
          <w:pgMar w:top="1060" w:bottom="1320" w:left="460" w:right="480"/>
          <w:cols w:num="3" w:equalWidth="0">
            <w:col w:w="2727" w:space="2261"/>
            <w:col w:w="3064" w:space="40"/>
            <w:col w:w="3208"/>
          </w:cols>
        </w:sectPr>
      </w:pPr>
    </w:p>
    <w:p>
      <w:pPr>
        <w:pStyle w:val="BodyText"/>
        <w:rPr>
          <w:sz w:val="20"/>
        </w:rPr>
      </w:pPr>
    </w:p>
    <w:p>
      <w:pPr>
        <w:pStyle w:val="BodyText"/>
        <w:spacing w:before="3"/>
        <w:rPr>
          <w:sz w:val="29"/>
        </w:rPr>
      </w:pPr>
    </w:p>
    <w:p>
      <w:pPr>
        <w:spacing w:before="100"/>
        <w:ind w:left="1136" w:right="0" w:firstLine="0"/>
        <w:jc w:val="left"/>
        <w:rPr>
          <w:sz w:val="13"/>
        </w:rPr>
      </w:pPr>
      <w:r>
        <w:rPr>
          <w:color w:val="0000FF"/>
          <w:w w:val="103"/>
          <w:sz w:val="13"/>
        </w:rPr>
        <w:t>%</w:t>
      </w:r>
    </w:p>
    <w:p>
      <w:pPr>
        <w:pStyle w:val="BodyText"/>
        <w:rPr>
          <w:sz w:val="20"/>
        </w:rPr>
      </w:pPr>
    </w:p>
    <w:p>
      <w:pPr>
        <w:pStyle w:val="BodyText"/>
        <w:spacing w:before="4"/>
        <w:rPr>
          <w:sz w:val="29"/>
        </w:rPr>
      </w:pPr>
    </w:p>
    <w:p>
      <w:pPr>
        <w:tabs>
          <w:tab w:pos="10059" w:val="left" w:leader="none"/>
        </w:tabs>
        <w:spacing w:before="102"/>
        <w:ind w:left="1181" w:right="0" w:firstLine="0"/>
        <w:jc w:val="left"/>
        <w:rPr>
          <w:sz w:val="13"/>
        </w:rPr>
      </w:pPr>
      <w:r>
        <w:rPr>
          <w:color w:val="0000FF"/>
          <w:w w:val="105"/>
          <w:position w:val="2"/>
          <w:sz w:val="13"/>
        </w:rPr>
        <w:t>0</w:t>
        <w:tab/>
      </w:r>
      <w:r>
        <w:rPr>
          <w:color w:val="0000FF"/>
          <w:spacing w:val="5"/>
          <w:w w:val="105"/>
          <w:sz w:val="13"/>
        </w:rPr>
        <w:t>min</w:t>
      </w:r>
    </w:p>
    <w:p>
      <w:pPr>
        <w:spacing w:after="0"/>
        <w:jc w:val="left"/>
        <w:rPr>
          <w:sz w:val="13"/>
        </w:rPr>
        <w:sectPr>
          <w:type w:val="continuous"/>
          <w:pgSz w:w="12240" w:h="15840"/>
          <w:pgMar w:top="1060" w:bottom="1320" w:left="460" w:right="480"/>
        </w:sectPr>
      </w:pPr>
    </w:p>
    <w:p>
      <w:pPr>
        <w:pStyle w:val="BodyText"/>
        <w:spacing w:before="1"/>
        <w:rPr>
          <w:sz w:val="17"/>
        </w:rPr>
      </w:pPr>
    </w:p>
    <w:p>
      <w:pPr>
        <w:spacing w:before="1"/>
        <w:ind w:left="1013" w:right="0" w:firstLine="0"/>
        <w:jc w:val="left"/>
        <w:rPr>
          <w:sz w:val="13"/>
        </w:rPr>
      </w:pPr>
      <w:r>
        <w:rPr>
          <w:color w:val="FF0000"/>
          <w:w w:val="105"/>
          <w:sz w:val="13"/>
        </w:rPr>
        <w:t>82316lev4 Smooth(Mn,1x2)</w:t>
      </w:r>
    </w:p>
    <w:p>
      <w:pPr>
        <w:pStyle w:val="BodyText"/>
        <w:rPr>
          <w:sz w:val="14"/>
        </w:rPr>
      </w:pPr>
    </w:p>
    <w:p>
      <w:pPr>
        <w:pStyle w:val="BodyText"/>
        <w:spacing w:before="9"/>
        <w:rPr>
          <w:sz w:val="12"/>
        </w:rPr>
      </w:pPr>
    </w:p>
    <w:p>
      <w:pPr>
        <w:spacing w:before="1"/>
        <w:ind w:left="1024" w:right="0" w:firstLine="0"/>
        <w:jc w:val="left"/>
        <w:rPr>
          <w:sz w:val="13"/>
        </w:rPr>
      </w:pPr>
      <w:r>
        <w:rPr/>
        <w:pict>
          <v:group style="position:absolute;margin-left:86.572426pt;margin-top:3.071453pt;width:436.1pt;height:86.4pt;mso-position-horizontal-relative:page;mso-position-vertical-relative:paragraph;z-index:251710464" coordorigin="1731,61" coordsize="8722,1728">
            <v:shape style="position:absolute;left:1731;top:61;width:8722;height:1728" type="#_x0000_t75" stroked="false">
              <v:imagedata r:id="rId17" o:title=""/>
            </v:shape>
            <v:shape style="position:absolute;left:5845;top:896;width:641;height:654" type="#_x0000_t202" filled="false" stroked="false">
              <v:textbox inset="0,0,0,0">
                <w:txbxContent>
                  <w:p>
                    <w:pPr>
                      <w:spacing w:line="268" w:lineRule="auto" w:before="0"/>
                      <w:ind w:left="179" w:right="15" w:hanging="180"/>
                      <w:jc w:val="left"/>
                      <w:rPr>
                        <w:sz w:val="13"/>
                      </w:rPr>
                    </w:pPr>
                    <w:r>
                      <w:rPr>
                        <w:color w:val="000080"/>
                        <w:sz w:val="13"/>
                      </w:rPr>
                      <w:t>PFOS79.7 </w:t>
                    </w:r>
                    <w:r>
                      <w:rPr>
                        <w:color w:val="000080"/>
                        <w:w w:val="105"/>
                        <w:sz w:val="13"/>
                      </w:rPr>
                      <w:t>8.59</w:t>
                    </w:r>
                  </w:p>
                  <w:p>
                    <w:pPr>
                      <w:spacing w:before="0"/>
                      <w:ind w:left="22" w:right="0" w:firstLine="0"/>
                      <w:jc w:val="left"/>
                      <w:rPr>
                        <w:sz w:val="13"/>
                      </w:rPr>
                    </w:pPr>
                    <w:r>
                      <w:rPr>
                        <w:color w:val="000080"/>
                        <w:w w:val="105"/>
                        <w:sz w:val="13"/>
                      </w:rPr>
                      <w:t>5853.411</w:t>
                    </w:r>
                  </w:p>
                  <w:p>
                    <w:pPr>
                      <w:spacing w:before="18"/>
                      <w:ind w:left="78" w:right="0" w:firstLine="0"/>
                      <w:jc w:val="left"/>
                      <w:rPr>
                        <w:sz w:val="13"/>
                      </w:rPr>
                    </w:pPr>
                    <w:r>
                      <w:rPr>
                        <w:color w:val="000080"/>
                        <w:w w:val="105"/>
                        <w:sz w:val="13"/>
                      </w:rPr>
                      <w:t>101547</w:t>
                    </w:r>
                  </w:p>
                </w:txbxContent>
              </v:textbox>
              <w10:wrap type="none"/>
            </v:shape>
            <w10:wrap type="none"/>
          </v:group>
        </w:pict>
      </w:r>
      <w:r>
        <w:rPr>
          <w:color w:val="0000FF"/>
          <w:w w:val="105"/>
          <w:sz w:val="13"/>
        </w:rPr>
        <w:t>100</w:t>
      </w:r>
    </w:p>
    <w:p>
      <w:pPr>
        <w:pStyle w:val="BodyText"/>
        <w:rPr>
          <w:sz w:val="14"/>
        </w:rPr>
      </w:pPr>
      <w:r>
        <w:rPr/>
        <w:br w:type="column"/>
      </w:r>
      <w:r>
        <w:rPr>
          <w:sz w:val="14"/>
        </w:rPr>
      </w:r>
    </w:p>
    <w:p>
      <w:pPr>
        <w:pStyle w:val="BodyText"/>
        <w:rPr>
          <w:sz w:val="14"/>
        </w:rPr>
      </w:pPr>
    </w:p>
    <w:p>
      <w:pPr>
        <w:pStyle w:val="BodyText"/>
        <w:rPr>
          <w:sz w:val="14"/>
        </w:rPr>
      </w:pPr>
    </w:p>
    <w:p>
      <w:pPr>
        <w:spacing w:before="83"/>
        <w:ind w:left="1013" w:right="0" w:firstLine="0"/>
        <w:jc w:val="left"/>
        <w:rPr>
          <w:sz w:val="13"/>
        </w:rPr>
      </w:pPr>
      <w:r>
        <w:rPr>
          <w:color w:val="000080"/>
          <w:w w:val="105"/>
          <w:sz w:val="13"/>
        </w:rPr>
        <w:t>PFOS79.7;8.59;5853.411;101547</w:t>
      </w:r>
    </w:p>
    <w:p>
      <w:pPr>
        <w:pStyle w:val="BodyText"/>
        <w:spacing w:before="1"/>
        <w:rPr>
          <w:sz w:val="17"/>
        </w:rPr>
      </w:pPr>
      <w:r>
        <w:rPr/>
        <w:br w:type="column"/>
      </w:r>
      <w:r>
        <w:rPr>
          <w:sz w:val="17"/>
        </w:rPr>
      </w:r>
    </w:p>
    <w:p>
      <w:pPr>
        <w:spacing w:before="1"/>
        <w:ind w:left="0" w:right="1014" w:firstLine="0"/>
        <w:jc w:val="right"/>
        <w:rPr>
          <w:sz w:val="13"/>
        </w:rPr>
      </w:pPr>
      <w:r>
        <w:rPr>
          <w:color w:val="FF0000"/>
          <w:w w:val="105"/>
          <w:sz w:val="13"/>
        </w:rPr>
        <w:t>F14:MRM</w:t>
      </w:r>
      <w:r>
        <w:rPr>
          <w:color w:val="FF0000"/>
          <w:spacing w:val="-18"/>
          <w:w w:val="105"/>
          <w:sz w:val="13"/>
        </w:rPr>
        <w:t> </w:t>
      </w:r>
      <w:r>
        <w:rPr>
          <w:color w:val="FF0000"/>
          <w:w w:val="105"/>
          <w:sz w:val="13"/>
        </w:rPr>
        <w:t>of</w:t>
      </w:r>
      <w:r>
        <w:rPr>
          <w:color w:val="FF0000"/>
          <w:spacing w:val="-12"/>
          <w:w w:val="105"/>
          <w:sz w:val="13"/>
        </w:rPr>
        <w:t> </w:t>
      </w:r>
      <w:r>
        <w:rPr>
          <w:color w:val="FF0000"/>
          <w:w w:val="105"/>
          <w:sz w:val="13"/>
        </w:rPr>
        <w:t>3</w:t>
      </w:r>
      <w:r>
        <w:rPr>
          <w:color w:val="FF0000"/>
          <w:spacing w:val="-4"/>
          <w:w w:val="105"/>
          <w:sz w:val="13"/>
        </w:rPr>
        <w:t> </w:t>
      </w:r>
      <w:r>
        <w:rPr>
          <w:color w:val="FF0000"/>
          <w:w w:val="105"/>
          <w:sz w:val="13"/>
        </w:rPr>
        <w:t>channels,ES-</w:t>
      </w:r>
    </w:p>
    <w:p>
      <w:pPr>
        <w:spacing w:before="18"/>
        <w:ind w:left="0" w:right="1018" w:firstLine="0"/>
        <w:jc w:val="right"/>
        <w:rPr>
          <w:sz w:val="13"/>
        </w:rPr>
      </w:pPr>
      <w:r>
        <w:rPr>
          <w:color w:val="FF0000"/>
          <w:w w:val="105"/>
          <w:sz w:val="13"/>
        </w:rPr>
        <w:t>498.9 &gt;</w:t>
      </w:r>
      <w:r>
        <w:rPr>
          <w:color w:val="FF0000"/>
          <w:spacing w:val="-9"/>
          <w:w w:val="105"/>
          <w:sz w:val="13"/>
        </w:rPr>
        <w:t> </w:t>
      </w:r>
      <w:r>
        <w:rPr>
          <w:color w:val="FF0000"/>
          <w:w w:val="105"/>
          <w:sz w:val="13"/>
        </w:rPr>
        <w:t>98.9</w:t>
      </w:r>
    </w:p>
    <w:p>
      <w:pPr>
        <w:spacing w:before="18"/>
        <w:ind w:left="0" w:right="1014" w:firstLine="0"/>
        <w:jc w:val="right"/>
        <w:rPr>
          <w:sz w:val="13"/>
        </w:rPr>
      </w:pPr>
      <w:r>
        <w:rPr>
          <w:color w:val="FF0000"/>
          <w:w w:val="105"/>
          <w:sz w:val="13"/>
        </w:rPr>
        <w:t>1.020e+005</w:t>
      </w:r>
    </w:p>
    <w:p>
      <w:pPr>
        <w:spacing w:after="0"/>
        <w:jc w:val="right"/>
        <w:rPr>
          <w:sz w:val="13"/>
        </w:rPr>
        <w:sectPr>
          <w:type w:val="continuous"/>
          <w:pgSz w:w="12240" w:h="15840"/>
          <w:pgMar w:top="1060" w:bottom="1320" w:left="460" w:right="480"/>
          <w:cols w:num="3" w:equalWidth="0">
            <w:col w:w="2727" w:space="2261"/>
            <w:col w:w="3064" w:space="40"/>
            <w:col w:w="3208"/>
          </w:cols>
        </w:sectPr>
      </w:pPr>
    </w:p>
    <w:p>
      <w:pPr>
        <w:pStyle w:val="BodyText"/>
        <w:rPr>
          <w:sz w:val="20"/>
        </w:rPr>
      </w:pPr>
    </w:p>
    <w:p>
      <w:pPr>
        <w:pStyle w:val="BodyText"/>
        <w:spacing w:before="3"/>
        <w:rPr>
          <w:sz w:val="29"/>
        </w:rPr>
      </w:pPr>
    </w:p>
    <w:p>
      <w:pPr>
        <w:spacing w:before="100"/>
        <w:ind w:left="1136" w:right="0" w:firstLine="0"/>
        <w:jc w:val="left"/>
        <w:rPr>
          <w:sz w:val="13"/>
        </w:rPr>
      </w:pPr>
      <w:r>
        <w:rPr>
          <w:color w:val="0000FF"/>
          <w:w w:val="103"/>
          <w:sz w:val="13"/>
        </w:rPr>
        <w:t>%</w:t>
      </w:r>
    </w:p>
    <w:p>
      <w:pPr>
        <w:pStyle w:val="BodyText"/>
        <w:rPr>
          <w:sz w:val="20"/>
        </w:rPr>
      </w:pPr>
    </w:p>
    <w:p>
      <w:pPr>
        <w:pStyle w:val="BodyText"/>
        <w:spacing w:before="3"/>
        <w:rPr>
          <w:sz w:val="29"/>
        </w:rPr>
      </w:pPr>
    </w:p>
    <w:p>
      <w:pPr>
        <w:spacing w:after="0"/>
        <w:rPr>
          <w:sz w:val="29"/>
        </w:rPr>
        <w:sectPr>
          <w:type w:val="continuous"/>
          <w:pgSz w:w="12240" w:h="15840"/>
          <w:pgMar w:top="1060" w:bottom="1320" w:left="460" w:right="480"/>
        </w:sectPr>
      </w:pPr>
    </w:p>
    <w:p>
      <w:pPr>
        <w:spacing w:before="100"/>
        <w:ind w:left="1181" w:right="0" w:firstLine="0"/>
        <w:jc w:val="left"/>
        <w:rPr>
          <w:sz w:val="13"/>
        </w:rPr>
      </w:pPr>
      <w:r>
        <w:rPr>
          <w:color w:val="0000FF"/>
          <w:w w:val="103"/>
          <w:sz w:val="13"/>
        </w:rPr>
        <w:t>0</w:t>
      </w:r>
    </w:p>
    <w:p>
      <w:pPr>
        <w:tabs>
          <w:tab w:pos="3076" w:val="left" w:leader="none"/>
          <w:tab w:pos="4051" w:val="left" w:leader="none"/>
          <w:tab w:pos="5026" w:val="left" w:leader="none"/>
          <w:tab w:pos="5990" w:val="left" w:leader="none"/>
          <w:tab w:pos="6965" w:val="left" w:leader="none"/>
          <w:tab w:pos="7941" w:val="left" w:leader="none"/>
          <w:tab w:pos="8916" w:val="left" w:leader="none"/>
        </w:tabs>
        <w:spacing w:before="18"/>
        <w:ind w:left="2100" w:right="0" w:firstLine="0"/>
        <w:jc w:val="left"/>
        <w:rPr>
          <w:sz w:val="13"/>
        </w:rPr>
      </w:pPr>
      <w:r>
        <w:rPr>
          <w:color w:val="0000FF"/>
          <w:w w:val="105"/>
          <w:sz w:val="13"/>
        </w:rPr>
        <w:t>8.100</w:t>
        <w:tab/>
        <w:t>8.200</w:t>
        <w:tab/>
        <w:t>8.300</w:t>
        <w:tab/>
        <w:t>8.400</w:t>
        <w:tab/>
        <w:t>8.500</w:t>
        <w:tab/>
        <w:t>8.600</w:t>
        <w:tab/>
        <w:t>8.700</w:t>
        <w:tab/>
      </w:r>
      <w:r>
        <w:rPr>
          <w:color w:val="0000FF"/>
          <w:spacing w:val="-3"/>
          <w:w w:val="105"/>
          <w:sz w:val="13"/>
        </w:rPr>
        <w:t>8.800</w:t>
      </w:r>
    </w:p>
    <w:p>
      <w:pPr>
        <w:spacing w:before="123"/>
        <w:ind w:left="745" w:right="991" w:firstLine="0"/>
        <w:jc w:val="center"/>
        <w:rPr>
          <w:sz w:val="13"/>
        </w:rPr>
      </w:pPr>
      <w:r>
        <w:rPr/>
        <w:br w:type="column"/>
      </w:r>
      <w:r>
        <w:rPr>
          <w:color w:val="0000FF"/>
          <w:w w:val="105"/>
          <w:sz w:val="13"/>
        </w:rPr>
        <w:t>min</w:t>
      </w:r>
    </w:p>
    <w:p>
      <w:pPr>
        <w:spacing w:after="0"/>
        <w:jc w:val="center"/>
        <w:rPr>
          <w:sz w:val="13"/>
        </w:rPr>
        <w:sectPr>
          <w:type w:val="continuous"/>
          <w:pgSz w:w="12240" w:h="15840"/>
          <w:pgMar w:top="1060" w:bottom="1320" w:left="460" w:right="480"/>
          <w:cols w:num="2" w:equalWidth="0">
            <w:col w:w="9264" w:space="40"/>
            <w:col w:w="1996"/>
          </w:cols>
        </w:sectPr>
      </w:pPr>
    </w:p>
    <w:p>
      <w:pPr>
        <w:pStyle w:val="BodyText"/>
        <w:rPr>
          <w:sz w:val="20"/>
        </w:rPr>
      </w:pPr>
    </w:p>
    <w:p>
      <w:pPr>
        <w:pStyle w:val="BodyText"/>
        <w:spacing w:before="11"/>
        <w:rPr>
          <w:sz w:val="21"/>
        </w:rPr>
      </w:pPr>
    </w:p>
    <w:p>
      <w:pPr>
        <w:pStyle w:val="BodyText"/>
        <w:spacing w:before="92"/>
        <w:ind w:left="740"/>
        <w:jc w:val="center"/>
      </w:pPr>
      <w:bookmarkStart w:name="FIGURE 2" w:id="326"/>
      <w:bookmarkEnd w:id="326"/>
      <w:r>
        <w:rPr/>
      </w:r>
      <w:bookmarkStart w:name="_bookmark40" w:id="327"/>
      <w:bookmarkEnd w:id="327"/>
      <w:r>
        <w:rPr/>
      </w:r>
      <w:r>
        <w:rPr/>
        <w:t>FIGURE 2</w:t>
      </w:r>
    </w:p>
    <w:p>
      <w:pPr>
        <w:pStyle w:val="BodyText"/>
        <w:spacing w:before="159"/>
        <w:ind w:left="740"/>
        <w:jc w:val="center"/>
      </w:pPr>
      <w:bookmarkStart w:name="PFOS IN GROUNDWATER SAMPLE" w:id="328"/>
      <w:bookmarkEnd w:id="328"/>
      <w:r>
        <w:rPr/>
      </w:r>
      <w:bookmarkStart w:name="_bookmark41" w:id="329"/>
      <w:bookmarkEnd w:id="329"/>
      <w:r>
        <w:rPr/>
      </w:r>
      <w:r>
        <w:rPr/>
        <w:t>PFOS IN GROUNDWATER SAMPLE</w:t>
      </w:r>
    </w:p>
    <w:p>
      <w:pPr>
        <w:pStyle w:val="BodyText"/>
        <w:spacing w:before="1"/>
        <w:rPr>
          <w:sz w:val="24"/>
        </w:rPr>
      </w:pPr>
    </w:p>
    <w:p>
      <w:pPr>
        <w:pStyle w:val="BodyText"/>
        <w:spacing w:line="276" w:lineRule="auto"/>
        <w:ind w:left="981" w:right="1155" w:firstLine="719"/>
      </w:pPr>
      <w:r>
        <w:rPr/>
        <w:t>Note: The peak at 8.22 min is an example of a structural isomer of PFOS evident in a sample that was not observed in the calibration standard for used for quantitation.</w:t>
      </w:r>
    </w:p>
    <w:p>
      <w:pPr>
        <w:spacing w:after="0" w:line="276" w:lineRule="auto"/>
        <w:sectPr>
          <w:type w:val="continuous"/>
          <w:pgSz w:w="12240" w:h="15840"/>
          <w:pgMar w:top="1060" w:bottom="1320" w:left="460" w:right="480"/>
        </w:sectPr>
      </w:pPr>
    </w:p>
    <w:p>
      <w:pPr>
        <w:pStyle w:val="BodyText"/>
        <w:spacing w:before="5"/>
        <w:rPr>
          <w:sz w:val="14"/>
        </w:rPr>
      </w:pPr>
    </w:p>
    <w:p>
      <w:pPr>
        <w:spacing w:before="1"/>
        <w:ind w:left="1013" w:right="0" w:firstLine="0"/>
        <w:jc w:val="left"/>
        <w:rPr>
          <w:sz w:val="13"/>
        </w:rPr>
      </w:pPr>
      <w:r>
        <w:rPr>
          <w:color w:val="FF0000"/>
          <w:w w:val="105"/>
          <w:sz w:val="13"/>
        </w:rPr>
        <w:t>8231608004_16 Smooth(Mn,1x2)</w:t>
      </w:r>
    </w:p>
    <w:p>
      <w:pPr>
        <w:spacing w:before="18"/>
        <w:ind w:left="1047" w:right="0" w:firstLine="0"/>
        <w:jc w:val="left"/>
        <w:rPr>
          <w:sz w:val="13"/>
        </w:rPr>
      </w:pPr>
      <w:r>
        <w:rPr>
          <w:color w:val="FF0000"/>
          <w:w w:val="105"/>
          <w:sz w:val="13"/>
        </w:rPr>
        <w:t>1608004_16RE1</w:t>
      </w:r>
    </w:p>
    <w:p>
      <w:pPr>
        <w:pStyle w:val="BodyText"/>
        <w:spacing w:before="3"/>
        <w:rPr>
          <w:sz w:val="12"/>
        </w:rPr>
      </w:pPr>
    </w:p>
    <w:p>
      <w:pPr>
        <w:spacing w:before="0"/>
        <w:ind w:left="1024" w:right="0" w:firstLine="0"/>
        <w:jc w:val="left"/>
        <w:rPr>
          <w:sz w:val="13"/>
        </w:rPr>
      </w:pPr>
      <w:r>
        <w:rPr/>
        <w:drawing>
          <wp:anchor distT="0" distB="0" distL="0" distR="0" allowOverlap="1" layoutInCell="1" locked="0" behindDoc="1" simplePos="0" relativeHeight="243343360">
            <wp:simplePos x="0" y="0"/>
            <wp:positionH relativeFrom="page">
              <wp:posOffset>1099469</wp:posOffset>
            </wp:positionH>
            <wp:positionV relativeFrom="paragraph">
              <wp:posOffset>38376</wp:posOffset>
            </wp:positionV>
            <wp:extent cx="5537868" cy="1097021"/>
            <wp:effectExtent l="0" t="0" r="0" b="0"/>
            <wp:wrapNone/>
            <wp:docPr id="5" name="image5.png"/>
            <wp:cNvGraphicFramePr>
              <a:graphicFrameLocks noChangeAspect="1"/>
            </wp:cNvGraphicFramePr>
            <a:graphic>
              <a:graphicData uri="http://schemas.openxmlformats.org/drawingml/2006/picture">
                <pic:pic>
                  <pic:nvPicPr>
                    <pic:cNvPr id="6" name="image5.png"/>
                    <pic:cNvPicPr/>
                  </pic:nvPicPr>
                  <pic:blipFill>
                    <a:blip r:embed="rId18" cstate="print"/>
                    <a:stretch>
                      <a:fillRect/>
                    </a:stretch>
                  </pic:blipFill>
                  <pic:spPr>
                    <a:xfrm>
                      <a:off x="0" y="0"/>
                      <a:ext cx="5537868" cy="1097021"/>
                    </a:xfrm>
                    <a:prstGeom prst="rect">
                      <a:avLst/>
                    </a:prstGeom>
                  </pic:spPr>
                </pic:pic>
              </a:graphicData>
            </a:graphic>
          </wp:anchor>
        </w:drawing>
      </w:r>
      <w:r>
        <w:rPr>
          <w:color w:val="0000FF"/>
          <w:w w:val="105"/>
          <w:sz w:val="13"/>
        </w:rPr>
        <w:t>100</w:t>
      </w:r>
    </w:p>
    <w:p>
      <w:pPr>
        <w:pStyle w:val="BodyText"/>
        <w:rPr>
          <w:sz w:val="14"/>
        </w:rPr>
      </w:pPr>
      <w:r>
        <w:rPr/>
        <w:br w:type="column"/>
      </w:r>
      <w:r>
        <w:rPr>
          <w:sz w:val="14"/>
        </w:rPr>
      </w:r>
    </w:p>
    <w:p>
      <w:pPr>
        <w:pStyle w:val="BodyText"/>
        <w:rPr>
          <w:sz w:val="14"/>
        </w:rPr>
      </w:pPr>
    </w:p>
    <w:p>
      <w:pPr>
        <w:pStyle w:val="BodyText"/>
        <w:spacing w:before="6"/>
        <w:rPr>
          <w:sz w:val="18"/>
        </w:rPr>
      </w:pPr>
    </w:p>
    <w:p>
      <w:pPr>
        <w:spacing w:before="1"/>
        <w:ind w:left="932" w:right="0" w:firstLine="0"/>
        <w:jc w:val="left"/>
        <w:rPr>
          <w:sz w:val="13"/>
        </w:rPr>
      </w:pPr>
      <w:r>
        <w:rPr>
          <w:color w:val="000080"/>
          <w:w w:val="105"/>
          <w:sz w:val="13"/>
        </w:rPr>
        <w:t>PFOS79.7;8.39;19437.021;155029</w:t>
      </w:r>
    </w:p>
    <w:p>
      <w:pPr>
        <w:pStyle w:val="BodyText"/>
        <w:rPr>
          <w:sz w:val="14"/>
        </w:rPr>
      </w:pPr>
      <w:r>
        <w:rPr/>
        <w:br w:type="column"/>
      </w:r>
      <w:r>
        <w:rPr>
          <w:sz w:val="14"/>
        </w:rPr>
      </w:r>
    </w:p>
    <w:p>
      <w:pPr>
        <w:spacing w:line="268" w:lineRule="auto" w:before="95"/>
        <w:ind w:left="678" w:right="64" w:hanging="180"/>
        <w:jc w:val="left"/>
        <w:rPr>
          <w:sz w:val="13"/>
        </w:rPr>
      </w:pPr>
      <w:r>
        <w:rPr>
          <w:color w:val="000080"/>
          <w:sz w:val="13"/>
        </w:rPr>
        <w:t>PFOS79.7 </w:t>
      </w:r>
      <w:r>
        <w:rPr>
          <w:color w:val="000080"/>
          <w:w w:val="105"/>
          <w:sz w:val="13"/>
        </w:rPr>
        <w:t>8.39</w:t>
      </w:r>
    </w:p>
    <w:p>
      <w:pPr>
        <w:spacing w:before="1"/>
        <w:ind w:left="487" w:right="0" w:firstLine="0"/>
        <w:jc w:val="left"/>
        <w:rPr>
          <w:sz w:val="13"/>
        </w:rPr>
      </w:pPr>
      <w:r>
        <w:rPr>
          <w:color w:val="000080"/>
          <w:w w:val="105"/>
          <w:sz w:val="13"/>
        </w:rPr>
        <w:t>19437.021</w:t>
      </w:r>
    </w:p>
    <w:p>
      <w:pPr>
        <w:spacing w:before="18"/>
        <w:ind w:left="577" w:right="0" w:firstLine="0"/>
        <w:jc w:val="left"/>
        <w:rPr>
          <w:sz w:val="13"/>
        </w:rPr>
      </w:pPr>
      <w:r>
        <w:rPr>
          <w:color w:val="000080"/>
          <w:w w:val="105"/>
          <w:sz w:val="13"/>
        </w:rPr>
        <w:t>155029</w:t>
      </w:r>
    </w:p>
    <w:p>
      <w:pPr>
        <w:pStyle w:val="BodyText"/>
        <w:spacing w:before="5"/>
        <w:rPr>
          <w:sz w:val="14"/>
        </w:rPr>
      </w:pPr>
      <w:r>
        <w:rPr/>
        <w:br w:type="column"/>
      </w:r>
      <w:r>
        <w:rPr>
          <w:sz w:val="14"/>
        </w:rPr>
      </w:r>
    </w:p>
    <w:p>
      <w:pPr>
        <w:spacing w:before="1"/>
        <w:ind w:left="0" w:right="1014" w:firstLine="0"/>
        <w:jc w:val="right"/>
        <w:rPr>
          <w:sz w:val="13"/>
        </w:rPr>
      </w:pPr>
      <w:r>
        <w:rPr>
          <w:color w:val="FF0000"/>
          <w:w w:val="105"/>
          <w:sz w:val="13"/>
        </w:rPr>
        <w:t>F14:MRM</w:t>
      </w:r>
      <w:r>
        <w:rPr>
          <w:color w:val="FF0000"/>
          <w:spacing w:val="-18"/>
          <w:w w:val="105"/>
          <w:sz w:val="13"/>
        </w:rPr>
        <w:t> </w:t>
      </w:r>
      <w:r>
        <w:rPr>
          <w:color w:val="FF0000"/>
          <w:w w:val="105"/>
          <w:sz w:val="13"/>
        </w:rPr>
        <w:t>of</w:t>
      </w:r>
      <w:r>
        <w:rPr>
          <w:color w:val="FF0000"/>
          <w:spacing w:val="-12"/>
          <w:w w:val="105"/>
          <w:sz w:val="13"/>
        </w:rPr>
        <w:t> </w:t>
      </w:r>
      <w:r>
        <w:rPr>
          <w:color w:val="FF0000"/>
          <w:w w:val="105"/>
          <w:sz w:val="13"/>
        </w:rPr>
        <w:t>3</w:t>
      </w:r>
      <w:r>
        <w:rPr>
          <w:color w:val="FF0000"/>
          <w:spacing w:val="-4"/>
          <w:w w:val="105"/>
          <w:sz w:val="13"/>
        </w:rPr>
        <w:t> </w:t>
      </w:r>
      <w:r>
        <w:rPr>
          <w:color w:val="FF0000"/>
          <w:w w:val="105"/>
          <w:sz w:val="13"/>
        </w:rPr>
        <w:t>channels,ES-</w:t>
      </w:r>
    </w:p>
    <w:p>
      <w:pPr>
        <w:spacing w:before="18"/>
        <w:ind w:left="0" w:right="1018" w:firstLine="0"/>
        <w:jc w:val="right"/>
        <w:rPr>
          <w:sz w:val="13"/>
        </w:rPr>
      </w:pPr>
      <w:r>
        <w:rPr>
          <w:color w:val="FF0000"/>
          <w:w w:val="105"/>
          <w:sz w:val="13"/>
        </w:rPr>
        <w:t>498.9 &gt;</w:t>
      </w:r>
      <w:r>
        <w:rPr>
          <w:color w:val="FF0000"/>
          <w:spacing w:val="-9"/>
          <w:w w:val="105"/>
          <w:sz w:val="13"/>
        </w:rPr>
        <w:t> </w:t>
      </w:r>
      <w:r>
        <w:rPr>
          <w:color w:val="FF0000"/>
          <w:w w:val="105"/>
          <w:sz w:val="13"/>
        </w:rPr>
        <w:t>79.9</w:t>
      </w:r>
    </w:p>
    <w:p>
      <w:pPr>
        <w:spacing w:before="18"/>
        <w:ind w:left="0" w:right="1014" w:firstLine="0"/>
        <w:jc w:val="right"/>
        <w:rPr>
          <w:sz w:val="13"/>
        </w:rPr>
      </w:pPr>
      <w:r>
        <w:rPr>
          <w:color w:val="FF0000"/>
          <w:w w:val="105"/>
          <w:sz w:val="13"/>
        </w:rPr>
        <w:t>1.559e+005</w:t>
      </w:r>
    </w:p>
    <w:p>
      <w:pPr>
        <w:spacing w:after="0"/>
        <w:jc w:val="right"/>
        <w:rPr>
          <w:sz w:val="13"/>
        </w:rPr>
        <w:sectPr>
          <w:type w:val="continuous"/>
          <w:pgSz w:w="12240" w:h="15840"/>
          <w:pgMar w:top="1060" w:bottom="1320" w:left="460" w:right="480"/>
          <w:cols w:num="4" w:equalWidth="0">
            <w:col w:w="3068" w:space="40"/>
            <w:col w:w="3062" w:space="39"/>
            <w:col w:w="1189" w:space="179"/>
            <w:col w:w="3723"/>
          </w:cols>
        </w:sectPr>
      </w:pPr>
    </w:p>
    <w:p>
      <w:pPr>
        <w:pStyle w:val="BodyText"/>
        <w:rPr>
          <w:sz w:val="20"/>
        </w:rPr>
      </w:pPr>
    </w:p>
    <w:p>
      <w:pPr>
        <w:pStyle w:val="BodyText"/>
        <w:spacing w:before="7"/>
        <w:rPr>
          <w:sz w:val="17"/>
        </w:rPr>
      </w:pPr>
    </w:p>
    <w:p>
      <w:pPr>
        <w:spacing w:before="100"/>
        <w:ind w:left="1136" w:right="0" w:firstLine="0"/>
        <w:jc w:val="left"/>
        <w:rPr>
          <w:sz w:val="13"/>
        </w:rPr>
      </w:pPr>
      <w:r>
        <w:rPr>
          <w:color w:val="0000FF"/>
          <w:w w:val="103"/>
          <w:sz w:val="13"/>
        </w:rPr>
        <w:t>%</w:t>
      </w:r>
    </w:p>
    <w:p>
      <w:pPr>
        <w:pStyle w:val="BodyText"/>
        <w:spacing w:before="4"/>
        <w:rPr>
          <w:sz w:val="13"/>
        </w:rPr>
      </w:pPr>
    </w:p>
    <w:p>
      <w:pPr>
        <w:spacing w:before="100"/>
        <w:ind w:left="3277" w:right="0" w:firstLine="0"/>
        <w:jc w:val="left"/>
        <w:rPr>
          <w:sz w:val="13"/>
        </w:rPr>
      </w:pPr>
      <w:r>
        <w:rPr>
          <w:color w:val="000080"/>
          <w:w w:val="105"/>
          <w:sz w:val="13"/>
        </w:rPr>
        <w:t>8.22</w:t>
      </w:r>
    </w:p>
    <w:p>
      <w:pPr>
        <w:pStyle w:val="BodyText"/>
        <w:spacing w:before="3"/>
        <w:rPr>
          <w:sz w:val="14"/>
        </w:rPr>
      </w:pPr>
    </w:p>
    <w:p>
      <w:pPr>
        <w:tabs>
          <w:tab w:pos="10059" w:val="left" w:leader="none"/>
        </w:tabs>
        <w:spacing w:before="102"/>
        <w:ind w:left="1181" w:right="0" w:firstLine="0"/>
        <w:jc w:val="left"/>
        <w:rPr>
          <w:sz w:val="13"/>
        </w:rPr>
      </w:pPr>
      <w:r>
        <w:rPr>
          <w:color w:val="0000FF"/>
          <w:w w:val="105"/>
          <w:position w:val="2"/>
          <w:sz w:val="13"/>
        </w:rPr>
        <w:t>0</w:t>
        <w:tab/>
      </w:r>
      <w:r>
        <w:rPr>
          <w:color w:val="0000FF"/>
          <w:spacing w:val="5"/>
          <w:w w:val="105"/>
          <w:sz w:val="13"/>
        </w:rPr>
        <w:t>min</w:t>
      </w:r>
    </w:p>
    <w:p>
      <w:pPr>
        <w:spacing w:after="0"/>
        <w:jc w:val="left"/>
        <w:rPr>
          <w:sz w:val="13"/>
        </w:rPr>
        <w:sectPr>
          <w:type w:val="continuous"/>
          <w:pgSz w:w="12240" w:h="15840"/>
          <w:pgMar w:top="1060" w:bottom="1320" w:left="460" w:right="480"/>
        </w:sectPr>
      </w:pPr>
    </w:p>
    <w:p>
      <w:pPr>
        <w:pStyle w:val="BodyText"/>
        <w:spacing w:before="2"/>
        <w:rPr>
          <w:sz w:val="17"/>
        </w:rPr>
      </w:pPr>
    </w:p>
    <w:p>
      <w:pPr>
        <w:spacing w:before="0"/>
        <w:ind w:left="1013" w:right="0" w:firstLine="0"/>
        <w:jc w:val="left"/>
        <w:rPr>
          <w:sz w:val="13"/>
        </w:rPr>
      </w:pPr>
      <w:r>
        <w:rPr>
          <w:color w:val="FF0000"/>
          <w:w w:val="105"/>
          <w:sz w:val="13"/>
        </w:rPr>
        <w:t>8231608004_16 Smooth(Mn,1x2)</w:t>
      </w:r>
    </w:p>
    <w:p>
      <w:pPr>
        <w:spacing w:before="18"/>
        <w:ind w:left="1047" w:right="0" w:firstLine="0"/>
        <w:jc w:val="left"/>
        <w:rPr>
          <w:sz w:val="13"/>
        </w:rPr>
      </w:pPr>
      <w:r>
        <w:rPr>
          <w:color w:val="FF0000"/>
          <w:w w:val="105"/>
          <w:sz w:val="13"/>
        </w:rPr>
        <w:t>1608004_16RE1</w:t>
      </w:r>
    </w:p>
    <w:p>
      <w:pPr>
        <w:pStyle w:val="BodyText"/>
        <w:spacing w:before="3"/>
        <w:rPr>
          <w:sz w:val="12"/>
        </w:rPr>
      </w:pPr>
    </w:p>
    <w:p>
      <w:pPr>
        <w:spacing w:before="0"/>
        <w:ind w:left="1024" w:right="0" w:firstLine="0"/>
        <w:jc w:val="left"/>
        <w:rPr>
          <w:sz w:val="13"/>
        </w:rPr>
      </w:pPr>
      <w:r>
        <w:rPr/>
        <w:pict>
          <v:group style="position:absolute;margin-left:86.572426pt;margin-top:3.021463pt;width:436.1pt;height:86.4pt;mso-position-horizontal-relative:page;mso-position-vertical-relative:paragraph;z-index:251716608" coordorigin="1731,60" coordsize="8722,1728">
            <v:shape style="position:absolute;left:1731;top:60;width:8722;height:1728" type="#_x0000_t75" stroked="false">
              <v:imagedata r:id="rId19" o:title=""/>
            </v:shape>
            <v:shape style="position:absolute;left:4825;top:391;width:681;height:654" type="#_x0000_t202" filled="false" stroked="false">
              <v:textbox inset="0,0,0,0">
                <w:txbxContent>
                  <w:p>
                    <w:pPr>
                      <w:spacing w:line="268" w:lineRule="auto" w:before="0"/>
                      <w:ind w:left="4" w:right="40" w:firstLine="0"/>
                      <w:jc w:val="center"/>
                      <w:rPr>
                        <w:sz w:val="13"/>
                      </w:rPr>
                    </w:pPr>
                    <w:r>
                      <w:rPr>
                        <w:color w:val="000080"/>
                        <w:sz w:val="13"/>
                      </w:rPr>
                      <w:t>PFOS79.7 </w:t>
                    </w:r>
                    <w:r>
                      <w:rPr>
                        <w:color w:val="000080"/>
                        <w:w w:val="105"/>
                        <w:sz w:val="13"/>
                      </w:rPr>
                      <w:t>8.59</w:t>
                    </w:r>
                  </w:p>
                  <w:p>
                    <w:pPr>
                      <w:spacing w:before="0"/>
                      <w:ind w:left="-1" w:right="18" w:firstLine="0"/>
                      <w:jc w:val="center"/>
                      <w:rPr>
                        <w:sz w:val="13"/>
                      </w:rPr>
                    </w:pPr>
                    <w:r>
                      <w:rPr>
                        <w:color w:val="000080"/>
                        <w:spacing w:val="2"/>
                        <w:sz w:val="13"/>
                      </w:rPr>
                      <w:t>10192.644</w:t>
                    </w:r>
                  </w:p>
                  <w:p>
                    <w:pPr>
                      <w:spacing w:before="18"/>
                      <w:ind w:left="4" w:right="21" w:firstLine="0"/>
                      <w:jc w:val="center"/>
                      <w:rPr>
                        <w:sz w:val="13"/>
                      </w:rPr>
                    </w:pPr>
                    <w:r>
                      <w:rPr>
                        <w:color w:val="000080"/>
                        <w:w w:val="105"/>
                        <w:sz w:val="13"/>
                      </w:rPr>
                      <w:t>97328</w:t>
                    </w:r>
                  </w:p>
                </w:txbxContent>
              </v:textbox>
              <w10:wrap type="none"/>
            </v:shape>
            <v:shape style="position:absolute;left:5744;top:347;width:681;height:654" type="#_x0000_t202" filled="false" stroked="false">
              <v:textbox inset="0,0,0,0">
                <w:txbxContent>
                  <w:p>
                    <w:pPr>
                      <w:spacing w:line="268" w:lineRule="auto" w:before="0"/>
                      <w:ind w:left="4" w:right="40" w:firstLine="0"/>
                      <w:jc w:val="center"/>
                      <w:rPr>
                        <w:sz w:val="13"/>
                      </w:rPr>
                    </w:pPr>
                    <w:r>
                      <w:rPr>
                        <w:color w:val="000080"/>
                        <w:sz w:val="13"/>
                      </w:rPr>
                      <w:t>PFOS79.7 </w:t>
                    </w:r>
                    <w:r>
                      <w:rPr>
                        <w:color w:val="000080"/>
                        <w:w w:val="105"/>
                        <w:sz w:val="13"/>
                      </w:rPr>
                      <w:t>8.59</w:t>
                    </w:r>
                  </w:p>
                  <w:p>
                    <w:pPr>
                      <w:spacing w:before="0"/>
                      <w:ind w:left="0" w:right="18" w:firstLine="0"/>
                      <w:jc w:val="center"/>
                      <w:rPr>
                        <w:sz w:val="13"/>
                      </w:rPr>
                    </w:pPr>
                    <w:r>
                      <w:rPr>
                        <w:color w:val="000080"/>
                        <w:sz w:val="13"/>
                      </w:rPr>
                      <w:t>10192.644</w:t>
                    </w:r>
                  </w:p>
                  <w:p>
                    <w:pPr>
                      <w:spacing w:before="18"/>
                      <w:ind w:left="4" w:right="21" w:firstLine="0"/>
                      <w:jc w:val="center"/>
                      <w:rPr>
                        <w:sz w:val="13"/>
                      </w:rPr>
                    </w:pPr>
                    <w:r>
                      <w:rPr>
                        <w:color w:val="000080"/>
                        <w:w w:val="105"/>
                        <w:sz w:val="13"/>
                      </w:rPr>
                      <w:t>97328</w:t>
                    </w:r>
                  </w:p>
                </w:txbxContent>
              </v:textbox>
              <w10:wrap type="none"/>
            </v:shape>
            <v:shape style="position:absolute;left:3737;top:1431;width:289;height:150" type="#_x0000_t202" filled="false" stroked="false">
              <v:textbox inset="0,0,0,0">
                <w:txbxContent>
                  <w:p>
                    <w:pPr>
                      <w:spacing w:line="149" w:lineRule="exact" w:before="0"/>
                      <w:ind w:left="0" w:right="0" w:firstLine="0"/>
                      <w:jc w:val="left"/>
                      <w:rPr>
                        <w:sz w:val="13"/>
                      </w:rPr>
                    </w:pPr>
                    <w:r>
                      <w:rPr>
                        <w:color w:val="000080"/>
                        <w:w w:val="105"/>
                        <w:sz w:val="13"/>
                      </w:rPr>
                      <w:t>8.22</w:t>
                    </w:r>
                  </w:p>
                </w:txbxContent>
              </v:textbox>
              <w10:wrap type="none"/>
            </v:shape>
            <w10:wrap type="none"/>
          </v:group>
        </w:pict>
      </w:r>
      <w:r>
        <w:rPr>
          <w:color w:val="0000FF"/>
          <w:w w:val="105"/>
          <w:sz w:val="13"/>
        </w:rPr>
        <w:t>100</w:t>
      </w:r>
    </w:p>
    <w:p>
      <w:pPr>
        <w:pStyle w:val="BodyText"/>
        <w:rPr>
          <w:sz w:val="14"/>
        </w:rPr>
      </w:pPr>
      <w:r>
        <w:rPr/>
        <w:br w:type="column"/>
      </w:r>
      <w:r>
        <w:rPr>
          <w:sz w:val="14"/>
        </w:rPr>
      </w:r>
    </w:p>
    <w:p>
      <w:pPr>
        <w:pStyle w:val="BodyText"/>
        <w:rPr>
          <w:sz w:val="14"/>
        </w:rPr>
      </w:pPr>
    </w:p>
    <w:p>
      <w:pPr>
        <w:pStyle w:val="BodyText"/>
        <w:rPr>
          <w:sz w:val="14"/>
        </w:rPr>
      </w:pPr>
    </w:p>
    <w:p>
      <w:pPr>
        <w:spacing w:before="83"/>
        <w:ind w:left="1013" w:right="0" w:firstLine="0"/>
        <w:jc w:val="left"/>
        <w:rPr>
          <w:sz w:val="13"/>
        </w:rPr>
      </w:pPr>
      <w:r>
        <w:rPr>
          <w:color w:val="000080"/>
          <w:w w:val="105"/>
          <w:sz w:val="13"/>
        </w:rPr>
        <w:t>PFOS79.7;8.59;10192.644;97328</w:t>
      </w:r>
    </w:p>
    <w:p>
      <w:pPr>
        <w:pStyle w:val="BodyText"/>
        <w:spacing w:before="2"/>
        <w:rPr>
          <w:sz w:val="17"/>
        </w:rPr>
      </w:pPr>
      <w:r>
        <w:rPr/>
        <w:br w:type="column"/>
      </w:r>
      <w:r>
        <w:rPr>
          <w:sz w:val="17"/>
        </w:rPr>
      </w:r>
    </w:p>
    <w:p>
      <w:pPr>
        <w:spacing w:before="0"/>
        <w:ind w:left="0" w:right="1014" w:firstLine="0"/>
        <w:jc w:val="right"/>
        <w:rPr>
          <w:sz w:val="13"/>
        </w:rPr>
      </w:pPr>
      <w:r>
        <w:rPr>
          <w:color w:val="FF0000"/>
          <w:w w:val="105"/>
          <w:sz w:val="13"/>
        </w:rPr>
        <w:t>F14:MRM</w:t>
      </w:r>
      <w:r>
        <w:rPr>
          <w:color w:val="FF0000"/>
          <w:spacing w:val="-18"/>
          <w:w w:val="105"/>
          <w:sz w:val="13"/>
        </w:rPr>
        <w:t> </w:t>
      </w:r>
      <w:r>
        <w:rPr>
          <w:color w:val="FF0000"/>
          <w:w w:val="105"/>
          <w:sz w:val="13"/>
        </w:rPr>
        <w:t>of</w:t>
      </w:r>
      <w:r>
        <w:rPr>
          <w:color w:val="FF0000"/>
          <w:spacing w:val="-12"/>
          <w:w w:val="105"/>
          <w:sz w:val="13"/>
        </w:rPr>
        <w:t> </w:t>
      </w:r>
      <w:r>
        <w:rPr>
          <w:color w:val="FF0000"/>
          <w:w w:val="105"/>
          <w:sz w:val="13"/>
        </w:rPr>
        <w:t>3</w:t>
      </w:r>
      <w:r>
        <w:rPr>
          <w:color w:val="FF0000"/>
          <w:spacing w:val="-4"/>
          <w:w w:val="105"/>
          <w:sz w:val="13"/>
        </w:rPr>
        <w:t> </w:t>
      </w:r>
      <w:r>
        <w:rPr>
          <w:color w:val="FF0000"/>
          <w:w w:val="105"/>
          <w:sz w:val="13"/>
        </w:rPr>
        <w:t>channels,ES-</w:t>
      </w:r>
    </w:p>
    <w:p>
      <w:pPr>
        <w:spacing w:before="18"/>
        <w:ind w:left="0" w:right="1018" w:firstLine="0"/>
        <w:jc w:val="right"/>
        <w:rPr>
          <w:sz w:val="13"/>
        </w:rPr>
      </w:pPr>
      <w:r>
        <w:rPr>
          <w:color w:val="FF0000"/>
          <w:w w:val="105"/>
          <w:sz w:val="13"/>
        </w:rPr>
        <w:t>498.9 &gt;</w:t>
      </w:r>
      <w:r>
        <w:rPr>
          <w:color w:val="FF0000"/>
          <w:spacing w:val="-9"/>
          <w:w w:val="105"/>
          <w:sz w:val="13"/>
        </w:rPr>
        <w:t> </w:t>
      </w:r>
      <w:r>
        <w:rPr>
          <w:color w:val="FF0000"/>
          <w:w w:val="105"/>
          <w:sz w:val="13"/>
        </w:rPr>
        <w:t>98.9</w:t>
      </w:r>
    </w:p>
    <w:p>
      <w:pPr>
        <w:spacing w:before="18"/>
        <w:ind w:left="0" w:right="1014" w:firstLine="0"/>
        <w:jc w:val="right"/>
        <w:rPr>
          <w:sz w:val="13"/>
        </w:rPr>
      </w:pPr>
      <w:r>
        <w:rPr>
          <w:color w:val="FF0000"/>
          <w:w w:val="105"/>
          <w:sz w:val="13"/>
        </w:rPr>
        <w:t>9.733e+004</w:t>
      </w:r>
    </w:p>
    <w:p>
      <w:pPr>
        <w:spacing w:after="0"/>
        <w:jc w:val="right"/>
        <w:rPr>
          <w:sz w:val="13"/>
        </w:rPr>
        <w:sectPr>
          <w:type w:val="continuous"/>
          <w:pgSz w:w="12240" w:h="15840"/>
          <w:pgMar w:top="1060" w:bottom="1320" w:left="460" w:right="480"/>
          <w:cols w:num="3" w:equalWidth="0">
            <w:col w:w="3108" w:space="1936"/>
            <w:col w:w="3064" w:space="40"/>
            <w:col w:w="3152"/>
          </w:cols>
        </w:sectPr>
      </w:pPr>
    </w:p>
    <w:p>
      <w:pPr>
        <w:pStyle w:val="BodyText"/>
        <w:rPr>
          <w:sz w:val="20"/>
        </w:rPr>
      </w:pPr>
    </w:p>
    <w:p>
      <w:pPr>
        <w:pStyle w:val="BodyText"/>
        <w:spacing w:before="4"/>
        <w:rPr>
          <w:sz w:val="29"/>
        </w:rPr>
      </w:pPr>
    </w:p>
    <w:p>
      <w:pPr>
        <w:spacing w:before="100"/>
        <w:ind w:left="1136" w:right="0" w:firstLine="0"/>
        <w:jc w:val="left"/>
        <w:rPr>
          <w:sz w:val="13"/>
        </w:rPr>
      </w:pPr>
      <w:r>
        <w:rPr>
          <w:color w:val="0000FF"/>
          <w:w w:val="103"/>
          <w:sz w:val="13"/>
        </w:rPr>
        <w:t>%</w:t>
      </w:r>
    </w:p>
    <w:p>
      <w:pPr>
        <w:pStyle w:val="BodyText"/>
        <w:rPr>
          <w:sz w:val="20"/>
        </w:rPr>
      </w:pPr>
    </w:p>
    <w:p>
      <w:pPr>
        <w:pStyle w:val="BodyText"/>
        <w:spacing w:before="3"/>
        <w:rPr>
          <w:sz w:val="29"/>
        </w:rPr>
      </w:pPr>
    </w:p>
    <w:p>
      <w:pPr>
        <w:spacing w:after="0"/>
        <w:rPr>
          <w:sz w:val="29"/>
        </w:rPr>
        <w:sectPr>
          <w:type w:val="continuous"/>
          <w:pgSz w:w="12240" w:h="15840"/>
          <w:pgMar w:top="1060" w:bottom="1320" w:left="460" w:right="480"/>
        </w:sectPr>
      </w:pPr>
    </w:p>
    <w:p>
      <w:pPr>
        <w:spacing w:before="100"/>
        <w:ind w:left="1181" w:right="0" w:firstLine="0"/>
        <w:jc w:val="left"/>
        <w:rPr>
          <w:sz w:val="13"/>
        </w:rPr>
      </w:pPr>
      <w:r>
        <w:rPr>
          <w:color w:val="0000FF"/>
          <w:w w:val="103"/>
          <w:sz w:val="13"/>
        </w:rPr>
        <w:t>0</w:t>
      </w:r>
    </w:p>
    <w:p>
      <w:pPr>
        <w:tabs>
          <w:tab w:pos="3076" w:val="left" w:leader="none"/>
          <w:tab w:pos="4051" w:val="left" w:leader="none"/>
          <w:tab w:pos="5026" w:val="left" w:leader="none"/>
          <w:tab w:pos="6001" w:val="left" w:leader="none"/>
          <w:tab w:pos="6965" w:val="left" w:leader="none"/>
          <w:tab w:pos="7941" w:val="left" w:leader="none"/>
          <w:tab w:pos="8916" w:val="left" w:leader="none"/>
        </w:tabs>
        <w:spacing w:before="18"/>
        <w:ind w:left="2112" w:right="0" w:firstLine="0"/>
        <w:jc w:val="left"/>
        <w:rPr>
          <w:sz w:val="13"/>
        </w:rPr>
      </w:pPr>
      <w:r>
        <w:rPr>
          <w:color w:val="0000FF"/>
          <w:w w:val="105"/>
          <w:sz w:val="13"/>
        </w:rPr>
        <w:t>8.100</w:t>
        <w:tab/>
        <w:t>8.200</w:t>
        <w:tab/>
        <w:t>8.300</w:t>
        <w:tab/>
        <w:t>8.400</w:t>
        <w:tab/>
        <w:t>8.500</w:t>
        <w:tab/>
        <w:t>8.600</w:t>
        <w:tab/>
        <w:t>8.700</w:t>
        <w:tab/>
      </w:r>
      <w:r>
        <w:rPr>
          <w:color w:val="0000FF"/>
          <w:spacing w:val="-3"/>
          <w:w w:val="105"/>
          <w:sz w:val="13"/>
        </w:rPr>
        <w:t>8.800</w:t>
      </w:r>
    </w:p>
    <w:p>
      <w:pPr>
        <w:spacing w:before="122"/>
        <w:ind w:left="745" w:right="991" w:firstLine="0"/>
        <w:jc w:val="center"/>
        <w:rPr>
          <w:sz w:val="13"/>
        </w:rPr>
      </w:pPr>
      <w:r>
        <w:rPr/>
        <w:br w:type="column"/>
      </w:r>
      <w:r>
        <w:rPr>
          <w:color w:val="0000FF"/>
          <w:w w:val="105"/>
          <w:sz w:val="13"/>
        </w:rPr>
        <w:t>min</w:t>
      </w:r>
    </w:p>
    <w:p>
      <w:pPr>
        <w:spacing w:after="0"/>
        <w:jc w:val="center"/>
        <w:rPr>
          <w:sz w:val="13"/>
        </w:rPr>
        <w:sectPr>
          <w:type w:val="continuous"/>
          <w:pgSz w:w="12240" w:h="15840"/>
          <w:pgMar w:top="1060" w:bottom="1320" w:left="460" w:right="480"/>
          <w:cols w:num="2" w:equalWidth="0">
            <w:col w:w="9264" w:space="40"/>
            <w:col w:w="1996"/>
          </w:cols>
        </w:sectPr>
      </w:pPr>
    </w:p>
    <w:p>
      <w:pPr>
        <w:pStyle w:val="BodyText"/>
        <w:spacing w:before="82"/>
        <w:ind w:left="740"/>
        <w:jc w:val="center"/>
      </w:pPr>
      <w:bookmarkStart w:name="FIGURE 3" w:id="330"/>
      <w:bookmarkEnd w:id="330"/>
      <w:r>
        <w:rPr/>
      </w:r>
      <w:bookmarkStart w:name="_bookmark42" w:id="331"/>
      <w:bookmarkEnd w:id="331"/>
      <w:r>
        <w:rPr/>
      </w:r>
      <w:r>
        <w:rPr/>
        <w:t>FIGURE 3</w:t>
      </w:r>
    </w:p>
    <w:p>
      <w:pPr>
        <w:pStyle w:val="BodyText"/>
        <w:spacing w:before="157"/>
        <w:ind w:left="741"/>
        <w:jc w:val="center"/>
      </w:pPr>
      <w:bookmarkStart w:name="PFHxS IN CALIBRATION STANDARD" w:id="332"/>
      <w:bookmarkEnd w:id="332"/>
      <w:r>
        <w:rPr/>
      </w:r>
      <w:bookmarkStart w:name="_bookmark43" w:id="333"/>
      <w:bookmarkEnd w:id="333"/>
      <w:r>
        <w:rPr/>
      </w:r>
      <w:r>
        <w:rPr/>
        <w:t>PFHxS IN CALIBRATION STANDARD</w:t>
      </w:r>
    </w:p>
    <w:p>
      <w:pPr>
        <w:pStyle w:val="BodyText"/>
        <w:spacing w:before="10"/>
        <w:rPr>
          <w:sz w:val="20"/>
        </w:rPr>
      </w:pPr>
      <w:r>
        <w:rPr/>
        <w:drawing>
          <wp:anchor distT="0" distB="0" distL="0" distR="0" allowOverlap="1" layoutInCell="1" locked="0" behindDoc="0" simplePos="0" relativeHeight="59">
            <wp:simplePos x="0" y="0"/>
            <wp:positionH relativeFrom="page">
              <wp:posOffset>914400</wp:posOffset>
            </wp:positionH>
            <wp:positionV relativeFrom="paragraph">
              <wp:posOffset>177192</wp:posOffset>
            </wp:positionV>
            <wp:extent cx="5943629" cy="3121152"/>
            <wp:effectExtent l="0" t="0" r="0" b="0"/>
            <wp:wrapTopAndBottom/>
            <wp:docPr id="7" name="image7.png" descr="This picture is an example chromatogram of PFHxS in a calibration standard."/>
            <wp:cNvGraphicFramePr>
              <a:graphicFrameLocks noChangeAspect="1"/>
            </wp:cNvGraphicFramePr>
            <a:graphic>
              <a:graphicData uri="http://schemas.openxmlformats.org/drawingml/2006/picture">
                <pic:pic>
                  <pic:nvPicPr>
                    <pic:cNvPr id="8" name="image7.png"/>
                    <pic:cNvPicPr/>
                  </pic:nvPicPr>
                  <pic:blipFill>
                    <a:blip r:embed="rId20" cstate="print"/>
                    <a:stretch>
                      <a:fillRect/>
                    </a:stretch>
                  </pic:blipFill>
                  <pic:spPr>
                    <a:xfrm>
                      <a:off x="0" y="0"/>
                      <a:ext cx="5943629" cy="3121152"/>
                    </a:xfrm>
                    <a:prstGeom prst="rect">
                      <a:avLst/>
                    </a:prstGeom>
                  </pic:spPr>
                </pic:pic>
              </a:graphicData>
            </a:graphic>
          </wp:anchor>
        </w:drawing>
      </w:r>
    </w:p>
    <w:p>
      <w:pPr>
        <w:pStyle w:val="BodyText"/>
        <w:rPr>
          <w:sz w:val="24"/>
        </w:rPr>
      </w:pPr>
    </w:p>
    <w:p>
      <w:pPr>
        <w:pStyle w:val="BodyText"/>
        <w:spacing w:before="4"/>
        <w:rPr>
          <w:sz w:val="23"/>
        </w:rPr>
      </w:pPr>
    </w:p>
    <w:p>
      <w:pPr>
        <w:pStyle w:val="BodyText"/>
        <w:ind w:left="740"/>
        <w:jc w:val="center"/>
      </w:pPr>
      <w:bookmarkStart w:name="FIGURE 4" w:id="334"/>
      <w:bookmarkEnd w:id="334"/>
      <w:r>
        <w:rPr/>
      </w:r>
      <w:bookmarkStart w:name="_bookmark44" w:id="335"/>
      <w:bookmarkEnd w:id="335"/>
      <w:r>
        <w:rPr/>
      </w:r>
      <w:r>
        <w:rPr/>
        <w:t>FIGURE 4</w:t>
      </w:r>
    </w:p>
    <w:p>
      <w:pPr>
        <w:pStyle w:val="BodyText"/>
        <w:spacing w:before="157"/>
        <w:ind w:left="741"/>
        <w:jc w:val="center"/>
      </w:pPr>
      <w:bookmarkStart w:name="PFHxS IN GROUNDWATER SAMPLE" w:id="336"/>
      <w:bookmarkEnd w:id="336"/>
      <w:r>
        <w:rPr/>
      </w:r>
      <w:bookmarkStart w:name="_bookmark45" w:id="337"/>
      <w:bookmarkEnd w:id="337"/>
      <w:r>
        <w:rPr/>
      </w:r>
      <w:r>
        <w:rPr/>
        <w:t>PFHxS IN GROUNDWATER SAMPLE</w:t>
      </w:r>
    </w:p>
    <w:p>
      <w:pPr>
        <w:pStyle w:val="BodyText"/>
        <w:spacing w:before="10"/>
        <w:rPr>
          <w:sz w:val="20"/>
        </w:rPr>
      </w:pPr>
      <w:r>
        <w:rPr/>
        <w:drawing>
          <wp:anchor distT="0" distB="0" distL="0" distR="0" allowOverlap="1" layoutInCell="1" locked="0" behindDoc="0" simplePos="0" relativeHeight="60">
            <wp:simplePos x="0" y="0"/>
            <wp:positionH relativeFrom="page">
              <wp:posOffset>914400</wp:posOffset>
            </wp:positionH>
            <wp:positionV relativeFrom="paragraph">
              <wp:posOffset>177284</wp:posOffset>
            </wp:positionV>
            <wp:extent cx="5943702" cy="3121152"/>
            <wp:effectExtent l="0" t="0" r="0" b="0"/>
            <wp:wrapTopAndBottom/>
            <wp:docPr id="9" name="image8.png" descr="This picture is an example chromatogram of PFHxS in a groundwater sample."/>
            <wp:cNvGraphicFramePr>
              <a:graphicFrameLocks noChangeAspect="1"/>
            </wp:cNvGraphicFramePr>
            <a:graphic>
              <a:graphicData uri="http://schemas.openxmlformats.org/drawingml/2006/picture">
                <pic:pic>
                  <pic:nvPicPr>
                    <pic:cNvPr id="10" name="image8.png"/>
                    <pic:cNvPicPr/>
                  </pic:nvPicPr>
                  <pic:blipFill>
                    <a:blip r:embed="rId21" cstate="print"/>
                    <a:stretch>
                      <a:fillRect/>
                    </a:stretch>
                  </pic:blipFill>
                  <pic:spPr>
                    <a:xfrm>
                      <a:off x="0" y="0"/>
                      <a:ext cx="5943702" cy="3121152"/>
                    </a:xfrm>
                    <a:prstGeom prst="rect">
                      <a:avLst/>
                    </a:prstGeom>
                  </pic:spPr>
                </pic:pic>
              </a:graphicData>
            </a:graphic>
          </wp:anchor>
        </w:drawing>
      </w:r>
    </w:p>
    <w:p>
      <w:pPr>
        <w:spacing w:after="0"/>
        <w:rPr>
          <w:sz w:val="20"/>
        </w:rPr>
        <w:sectPr>
          <w:pgSz w:w="12240" w:h="15840"/>
          <w:pgMar w:header="0" w:footer="1214" w:top="1460" w:bottom="1400" w:left="460" w:right="480"/>
        </w:sectPr>
      </w:pPr>
    </w:p>
    <w:p>
      <w:pPr>
        <w:pStyle w:val="BodyText"/>
        <w:spacing w:before="70"/>
        <w:ind w:left="20"/>
        <w:jc w:val="center"/>
      </w:pPr>
      <w:bookmarkStart w:name="APPENDIX A - GLOSSARY" w:id="338"/>
      <w:bookmarkEnd w:id="338"/>
      <w:r>
        <w:rPr/>
      </w:r>
      <w:bookmarkStart w:name="_bookmark46" w:id="339"/>
      <w:bookmarkEnd w:id="339"/>
      <w:r>
        <w:rPr/>
      </w:r>
      <w:r>
        <w:rPr/>
        <w:t>APPENDIX A - GLOSSARY</w:t>
      </w:r>
    </w:p>
    <w:p>
      <w:pPr>
        <w:pStyle w:val="BodyText"/>
        <w:rPr>
          <w:sz w:val="24"/>
        </w:rPr>
      </w:pPr>
    </w:p>
    <w:p>
      <w:pPr>
        <w:pStyle w:val="BodyText"/>
        <w:spacing w:before="11"/>
        <w:rPr>
          <w:sz w:val="35"/>
        </w:rPr>
      </w:pPr>
    </w:p>
    <w:p>
      <w:pPr>
        <w:pStyle w:val="BodyText"/>
        <w:tabs>
          <w:tab w:pos="2967" w:val="left" w:leader="none"/>
        </w:tabs>
        <w:spacing w:line="391" w:lineRule="auto"/>
        <w:ind w:left="1700" w:right="1275"/>
        <w:rPr>
          <w:sz w:val="14"/>
        </w:rPr>
      </w:pPr>
      <w:r>
        <w:rPr/>
        <w:t>ASTM</w:t>
        <w:tab/>
        <w:t>ASTM International, formerly American Society for Testing and Materials CAS</w:t>
      </w:r>
      <w:r>
        <w:rPr>
          <w:spacing w:val="-1"/>
        </w:rPr>
        <w:t> </w:t>
      </w:r>
      <w:r>
        <w:rPr/>
        <w:t>RN</w:t>
        <w:tab/>
        <w:t>Chemical Abstract Service Registry</w:t>
      </w:r>
      <w:r>
        <w:rPr>
          <w:spacing w:val="-3"/>
        </w:rPr>
        <w:t> </w:t>
      </w:r>
      <w:r>
        <w:rPr/>
        <w:t>Number</w:t>
      </w:r>
      <w:r>
        <w:rPr>
          <w:position w:val="7"/>
          <w:sz w:val="14"/>
        </w:rPr>
        <w:t>®</w:t>
      </w:r>
    </w:p>
    <w:p>
      <w:pPr>
        <w:pStyle w:val="BodyText"/>
        <w:tabs>
          <w:tab w:pos="2967" w:val="left" w:leader="none"/>
        </w:tabs>
        <w:spacing w:line="391" w:lineRule="auto"/>
        <w:ind w:left="1700" w:right="5150" w:hanging="1"/>
      </w:pPr>
      <w:r>
        <w:rPr/>
        <w:t>CCV</w:t>
        <w:tab/>
        <w:t>continuing calibration verification DQOs</w:t>
        <w:tab/>
        <w:t>Data Quality</w:t>
      </w:r>
      <w:r>
        <w:rPr>
          <w:spacing w:val="-1"/>
        </w:rPr>
        <w:t> </w:t>
      </w:r>
      <w:r>
        <w:rPr/>
        <w:t>Objectives</w:t>
      </w:r>
    </w:p>
    <w:p>
      <w:pPr>
        <w:pStyle w:val="BodyText"/>
        <w:tabs>
          <w:tab w:pos="2967" w:val="left" w:leader="none"/>
        </w:tabs>
        <w:spacing w:line="391" w:lineRule="auto"/>
        <w:ind w:left="1700" w:right="4590"/>
      </w:pPr>
      <w:r>
        <w:rPr/>
        <w:t>EPA</w:t>
        <w:tab/>
        <w:t>U.S. Environmental Protection</w:t>
      </w:r>
      <w:r>
        <w:rPr>
          <w:spacing w:val="-13"/>
        </w:rPr>
        <w:t> </w:t>
      </w:r>
      <w:r>
        <w:rPr/>
        <w:t>Agency HDPE</w:t>
        <w:tab/>
        <w:t>high density</w:t>
      </w:r>
      <w:r>
        <w:rPr>
          <w:spacing w:val="-3"/>
        </w:rPr>
        <w:t> </w:t>
      </w:r>
      <w:r>
        <w:rPr/>
        <w:t>polyethylene</w:t>
      </w:r>
    </w:p>
    <w:p>
      <w:pPr>
        <w:pStyle w:val="BodyText"/>
        <w:tabs>
          <w:tab w:pos="2967" w:val="left" w:leader="none"/>
        </w:tabs>
        <w:spacing w:line="250" w:lineRule="exact"/>
        <w:ind w:left="1700"/>
      </w:pPr>
      <w:r>
        <w:rPr/>
        <w:t>ICAL</w:t>
        <w:tab/>
        <w:t>initial</w:t>
      </w:r>
      <w:r>
        <w:rPr>
          <w:spacing w:val="-2"/>
        </w:rPr>
        <w:t> </w:t>
      </w:r>
      <w:r>
        <w:rPr/>
        <w:t>calibration</w:t>
      </w:r>
    </w:p>
    <w:p>
      <w:pPr>
        <w:pStyle w:val="BodyText"/>
        <w:tabs>
          <w:tab w:pos="2967" w:val="left" w:leader="none"/>
        </w:tabs>
        <w:spacing w:before="152"/>
        <w:ind w:left="1700"/>
      </w:pPr>
      <w:r>
        <w:rPr/>
        <w:t>ICV</w:t>
        <w:tab/>
        <w:t>initial calibration</w:t>
      </w:r>
      <w:r>
        <w:rPr>
          <w:spacing w:val="-2"/>
        </w:rPr>
        <w:t> </w:t>
      </w:r>
      <w:r>
        <w:rPr/>
        <w:t>verification</w:t>
      </w:r>
    </w:p>
    <w:p>
      <w:pPr>
        <w:pStyle w:val="BodyText"/>
        <w:tabs>
          <w:tab w:pos="2967" w:val="left" w:leader="none"/>
        </w:tabs>
        <w:spacing w:line="388" w:lineRule="auto" w:before="158"/>
        <w:ind w:left="1700" w:right="5015" w:hanging="1"/>
      </w:pPr>
      <w:r>
        <w:rPr/>
        <w:t>IDP</w:t>
        <w:tab/>
        <w:t>initial demonstration of proficiency LC</w:t>
        <w:tab/>
        <w:t>liquid</w:t>
      </w:r>
      <w:r>
        <w:rPr>
          <w:spacing w:val="-1"/>
        </w:rPr>
        <w:t> </w:t>
      </w:r>
      <w:r>
        <w:rPr/>
        <w:t>chromatography</w:t>
      </w:r>
    </w:p>
    <w:p>
      <w:pPr>
        <w:pStyle w:val="BodyText"/>
        <w:tabs>
          <w:tab w:pos="2967" w:val="left" w:leader="none"/>
        </w:tabs>
        <w:spacing w:line="388" w:lineRule="auto" w:before="3"/>
        <w:ind w:left="1700" w:right="3453"/>
      </w:pPr>
      <w:r>
        <w:rPr/>
        <w:t>LC/MS/MS</w:t>
        <w:tab/>
        <w:t>liquid chromatography/tandem mass</w:t>
      </w:r>
      <w:r>
        <w:rPr>
          <w:spacing w:val="-14"/>
        </w:rPr>
        <w:t> </w:t>
      </w:r>
      <w:r>
        <w:rPr/>
        <w:t>spectrometry LCS</w:t>
        <w:tab/>
        <w:t>laboratory control</w:t>
      </w:r>
      <w:r>
        <w:rPr>
          <w:spacing w:val="-2"/>
        </w:rPr>
        <w:t> </w:t>
      </w:r>
      <w:r>
        <w:rPr/>
        <w:t>sample</w:t>
      </w:r>
    </w:p>
    <w:p>
      <w:pPr>
        <w:pStyle w:val="BodyText"/>
        <w:tabs>
          <w:tab w:pos="2968" w:val="left" w:leader="none"/>
        </w:tabs>
        <w:spacing w:line="388" w:lineRule="auto" w:before="2"/>
        <w:ind w:left="1701" w:right="4917" w:hanging="1"/>
      </w:pPr>
      <w:r>
        <w:rPr/>
        <w:t>LCSD</w:t>
        <w:tab/>
        <w:t>laboratory control sample duplicate LLOQ</w:t>
        <w:tab/>
        <w:t>lower limit of</w:t>
      </w:r>
      <w:r>
        <w:rPr>
          <w:spacing w:val="-1"/>
        </w:rPr>
        <w:t> </w:t>
      </w:r>
      <w:r>
        <w:rPr/>
        <w:t>quantitation</w:t>
      </w:r>
    </w:p>
    <w:p>
      <w:pPr>
        <w:pStyle w:val="BodyText"/>
        <w:tabs>
          <w:tab w:pos="2968" w:val="left" w:leader="none"/>
        </w:tabs>
        <w:spacing w:before="1"/>
        <w:ind w:left="1701"/>
      </w:pPr>
      <w:r>
        <w:rPr/>
        <w:t>MB</w:t>
        <w:tab/>
        <w:t>method</w:t>
      </w:r>
      <w:r>
        <w:rPr>
          <w:spacing w:val="-1"/>
        </w:rPr>
        <w:t> </w:t>
      </w:r>
      <w:r>
        <w:rPr/>
        <w:t>blank</w:t>
      </w:r>
    </w:p>
    <w:p>
      <w:pPr>
        <w:pStyle w:val="BodyText"/>
        <w:tabs>
          <w:tab w:pos="2968" w:val="left" w:leader="none"/>
        </w:tabs>
        <w:spacing w:before="159"/>
        <w:ind w:left="1701"/>
      </w:pPr>
      <w:r>
        <w:rPr/>
        <w:t>MeOH</w:t>
        <w:tab/>
        <w:t>methanol</w:t>
      </w:r>
    </w:p>
    <w:p>
      <w:pPr>
        <w:pStyle w:val="BodyText"/>
        <w:tabs>
          <w:tab w:pos="2968" w:val="left" w:leader="none"/>
        </w:tabs>
        <w:spacing w:line="391" w:lineRule="auto" w:before="157"/>
        <w:ind w:left="1700" w:right="5639"/>
      </w:pPr>
      <w:r>
        <w:rPr/>
        <w:t>MRM</w:t>
        <w:tab/>
        <w:t>multiple reaction monitoring MS</w:t>
        <w:tab/>
        <w:t>mass</w:t>
      </w:r>
      <w:r>
        <w:rPr>
          <w:spacing w:val="-1"/>
        </w:rPr>
        <w:t> </w:t>
      </w:r>
      <w:r>
        <w:rPr/>
        <w:t>spectrometer</w:t>
      </w:r>
    </w:p>
    <w:p>
      <w:pPr>
        <w:pStyle w:val="BodyText"/>
        <w:tabs>
          <w:tab w:pos="2967" w:val="left" w:leader="none"/>
        </w:tabs>
        <w:spacing w:line="250" w:lineRule="exact"/>
        <w:ind w:left="1700"/>
      </w:pPr>
      <w:r>
        <w:rPr/>
        <w:t>MS/MSD</w:t>
        <w:tab/>
        <w:t>matrix spike / matrix spike</w:t>
      </w:r>
      <w:r>
        <w:rPr>
          <w:spacing w:val="-3"/>
        </w:rPr>
        <w:t> </w:t>
      </w:r>
      <w:r>
        <w:rPr/>
        <w:t>duplicate</w:t>
      </w:r>
    </w:p>
    <w:p>
      <w:pPr>
        <w:pStyle w:val="BodyText"/>
        <w:tabs>
          <w:tab w:pos="2968" w:val="left" w:leader="none"/>
        </w:tabs>
        <w:spacing w:line="388" w:lineRule="auto" w:before="159"/>
        <w:ind w:left="1701" w:right="3293" w:hanging="1"/>
      </w:pPr>
      <w:r>
        <w:rPr/>
        <w:t>OSHA</w:t>
        <w:tab/>
        <w:t>U.S. Occupational Safety and Health</w:t>
      </w:r>
      <w:r>
        <w:rPr>
          <w:spacing w:val="-18"/>
        </w:rPr>
        <w:t> </w:t>
      </w:r>
      <w:r>
        <w:rPr/>
        <w:t>Administration PEEK</w:t>
        <w:tab/>
        <w:t>Polyetheretherketone</w:t>
      </w:r>
    </w:p>
    <w:p>
      <w:pPr>
        <w:pStyle w:val="BodyText"/>
        <w:tabs>
          <w:tab w:pos="2967" w:val="left" w:leader="none"/>
        </w:tabs>
        <w:spacing w:line="388" w:lineRule="auto" w:before="2"/>
        <w:ind w:left="1700" w:right="4881"/>
      </w:pPr>
      <w:r>
        <w:rPr/>
        <w:t>PFAS</w:t>
        <w:tab/>
        <w:t>per- and polyfluoroalkyl substances PPE</w:t>
        <w:tab/>
        <w:t>personal protective</w:t>
      </w:r>
      <w:r>
        <w:rPr>
          <w:spacing w:val="-2"/>
        </w:rPr>
        <w:t> </w:t>
      </w:r>
      <w:r>
        <w:rPr/>
        <w:t>equipment</w:t>
      </w:r>
    </w:p>
    <w:p>
      <w:pPr>
        <w:pStyle w:val="BodyText"/>
        <w:tabs>
          <w:tab w:pos="2967" w:val="left" w:leader="none"/>
        </w:tabs>
        <w:spacing w:before="1"/>
        <w:ind w:left="1700"/>
      </w:pPr>
      <w:r>
        <w:rPr/>
        <w:t>P&amp;B</w:t>
        <w:tab/>
        <w:t>precision and</w:t>
      </w:r>
      <w:r>
        <w:rPr>
          <w:spacing w:val="-1"/>
        </w:rPr>
        <w:t> </w:t>
      </w:r>
      <w:r>
        <w:rPr/>
        <w:t>bias</w:t>
      </w:r>
    </w:p>
    <w:p>
      <w:pPr>
        <w:pStyle w:val="BodyText"/>
        <w:tabs>
          <w:tab w:pos="2967" w:val="left" w:leader="none"/>
        </w:tabs>
        <w:spacing w:before="159"/>
        <w:ind w:left="1700"/>
      </w:pPr>
      <w:r>
        <w:rPr/>
        <w:t>PTFE</w:t>
        <w:tab/>
        <w:t>polytetrafluoroethylene</w:t>
      </w:r>
    </w:p>
    <w:p>
      <w:pPr>
        <w:pStyle w:val="BodyText"/>
        <w:tabs>
          <w:tab w:pos="2967" w:val="left" w:leader="none"/>
        </w:tabs>
        <w:spacing w:before="157"/>
        <w:ind w:left="1700"/>
      </w:pPr>
      <w:r>
        <w:rPr/>
        <w:t>QA</w:t>
        <w:tab/>
        <w:t>quality</w:t>
      </w:r>
      <w:r>
        <w:rPr>
          <w:spacing w:val="-2"/>
        </w:rPr>
        <w:t> </w:t>
      </w:r>
      <w:r>
        <w:rPr/>
        <w:t>assurance</w:t>
      </w:r>
    </w:p>
    <w:p>
      <w:pPr>
        <w:pStyle w:val="BodyText"/>
        <w:tabs>
          <w:tab w:pos="2967" w:val="left" w:leader="none"/>
        </w:tabs>
        <w:spacing w:line="388" w:lineRule="auto" w:before="159"/>
        <w:ind w:left="1700" w:right="5419"/>
      </w:pPr>
      <w:r>
        <w:rPr/>
        <w:t>QAPP</w:t>
        <w:tab/>
        <w:t>quality assurance project plan QC</w:t>
        <w:tab/>
        <w:t>quality</w:t>
      </w:r>
      <w:r>
        <w:rPr>
          <w:spacing w:val="-2"/>
        </w:rPr>
        <w:t> </w:t>
      </w:r>
      <w:r>
        <w:rPr/>
        <w:t>control</w:t>
      </w:r>
    </w:p>
    <w:p>
      <w:pPr>
        <w:pStyle w:val="BodyText"/>
        <w:tabs>
          <w:tab w:pos="2967" w:val="left" w:leader="none"/>
        </w:tabs>
        <w:spacing w:before="2"/>
        <w:ind w:left="1700"/>
      </w:pPr>
      <w:r>
        <w:rPr/>
        <w:t>RB</w:t>
        <w:tab/>
        <w:t>reagent</w:t>
      </w:r>
      <w:r>
        <w:rPr>
          <w:spacing w:val="-4"/>
        </w:rPr>
        <w:t> </w:t>
      </w:r>
      <w:r>
        <w:rPr/>
        <w:t>blank</w:t>
      </w:r>
    </w:p>
    <w:p>
      <w:pPr>
        <w:pStyle w:val="BodyText"/>
        <w:tabs>
          <w:tab w:pos="2967" w:val="left" w:leader="none"/>
        </w:tabs>
        <w:spacing w:before="158"/>
        <w:ind w:left="1700"/>
      </w:pPr>
      <w:r>
        <w:rPr/>
        <w:t>RSD</w:t>
        <w:tab/>
        <w:t>relative standard</w:t>
      </w:r>
      <w:r>
        <w:rPr>
          <w:spacing w:val="-1"/>
        </w:rPr>
        <w:t> </w:t>
      </w:r>
      <w:r>
        <w:rPr/>
        <w:t>deviation</w:t>
      </w:r>
    </w:p>
    <w:p>
      <w:pPr>
        <w:spacing w:after="0"/>
        <w:sectPr>
          <w:pgSz w:w="12240" w:h="15840"/>
          <w:pgMar w:header="0" w:footer="1214" w:top="1060" w:bottom="1400" w:left="460" w:right="480"/>
        </w:sectPr>
      </w:pPr>
    </w:p>
    <w:tbl>
      <w:tblPr>
        <w:tblW w:w="0" w:type="auto"/>
        <w:jc w:val="left"/>
        <w:tblInd w:w="16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17"/>
        <w:gridCol w:w="4468"/>
      </w:tblGrid>
      <w:tr>
        <w:trPr>
          <w:trHeight w:val="328" w:hRule="atLeast"/>
        </w:trPr>
        <w:tc>
          <w:tcPr>
            <w:tcW w:w="1117" w:type="dxa"/>
          </w:tcPr>
          <w:p>
            <w:pPr>
              <w:pStyle w:val="TableParagraph"/>
              <w:spacing w:line="245" w:lineRule="exact" w:before="0"/>
              <w:ind w:left="50"/>
              <w:jc w:val="left"/>
              <w:rPr>
                <w:sz w:val="22"/>
              </w:rPr>
            </w:pPr>
            <w:r>
              <w:rPr>
                <w:sz w:val="22"/>
              </w:rPr>
              <w:t>RT</w:t>
            </w:r>
          </w:p>
        </w:tc>
        <w:tc>
          <w:tcPr>
            <w:tcW w:w="4468" w:type="dxa"/>
          </w:tcPr>
          <w:p>
            <w:pPr>
              <w:pStyle w:val="TableParagraph"/>
              <w:spacing w:line="245" w:lineRule="exact" w:before="0"/>
              <w:ind w:left="200"/>
              <w:jc w:val="left"/>
              <w:rPr>
                <w:sz w:val="22"/>
              </w:rPr>
            </w:pPr>
            <w:r>
              <w:rPr>
                <w:sz w:val="22"/>
              </w:rPr>
              <w:t>retention time</w:t>
            </w:r>
          </w:p>
        </w:tc>
      </w:tr>
      <w:tr>
        <w:trPr>
          <w:trHeight w:val="410" w:hRule="atLeast"/>
        </w:trPr>
        <w:tc>
          <w:tcPr>
            <w:tcW w:w="1117" w:type="dxa"/>
          </w:tcPr>
          <w:p>
            <w:pPr>
              <w:pStyle w:val="TableParagraph"/>
              <w:spacing w:before="75"/>
              <w:ind w:left="50"/>
              <w:jc w:val="left"/>
              <w:rPr>
                <w:sz w:val="22"/>
              </w:rPr>
            </w:pPr>
            <w:r>
              <w:rPr>
                <w:sz w:val="22"/>
              </w:rPr>
              <w:t>Delta RT</w:t>
            </w:r>
          </w:p>
        </w:tc>
        <w:tc>
          <w:tcPr>
            <w:tcW w:w="4468" w:type="dxa"/>
          </w:tcPr>
          <w:p>
            <w:pPr>
              <w:pStyle w:val="TableParagraph"/>
              <w:spacing w:before="75"/>
              <w:ind w:left="200"/>
              <w:jc w:val="left"/>
              <w:rPr>
                <w:sz w:val="22"/>
              </w:rPr>
            </w:pPr>
            <w:r>
              <w:rPr>
                <w:sz w:val="22"/>
              </w:rPr>
              <w:t>delta retention time (in minutes or seconds)</w:t>
            </w:r>
          </w:p>
        </w:tc>
      </w:tr>
      <w:tr>
        <w:trPr>
          <w:trHeight w:val="410" w:hRule="atLeast"/>
        </w:trPr>
        <w:tc>
          <w:tcPr>
            <w:tcW w:w="1117" w:type="dxa"/>
          </w:tcPr>
          <w:p>
            <w:pPr>
              <w:pStyle w:val="TableParagraph"/>
              <w:spacing w:before="75"/>
              <w:ind w:left="50"/>
              <w:jc w:val="left"/>
              <w:rPr>
                <w:sz w:val="22"/>
              </w:rPr>
            </w:pPr>
            <w:r>
              <w:rPr>
                <w:sz w:val="22"/>
              </w:rPr>
              <w:t>SAP</w:t>
            </w:r>
          </w:p>
        </w:tc>
        <w:tc>
          <w:tcPr>
            <w:tcW w:w="4468" w:type="dxa"/>
          </w:tcPr>
          <w:p>
            <w:pPr>
              <w:pStyle w:val="TableParagraph"/>
              <w:spacing w:before="75"/>
              <w:ind w:left="200"/>
              <w:jc w:val="left"/>
              <w:rPr>
                <w:sz w:val="22"/>
              </w:rPr>
            </w:pPr>
            <w:r>
              <w:rPr>
                <w:sz w:val="22"/>
              </w:rPr>
              <w:t>sampling and analysis plan</w:t>
            </w:r>
          </w:p>
        </w:tc>
      </w:tr>
      <w:tr>
        <w:trPr>
          <w:trHeight w:val="410" w:hRule="atLeast"/>
        </w:trPr>
        <w:tc>
          <w:tcPr>
            <w:tcW w:w="1117" w:type="dxa"/>
          </w:tcPr>
          <w:p>
            <w:pPr>
              <w:pStyle w:val="TableParagraph"/>
              <w:spacing w:before="75"/>
              <w:ind w:left="50"/>
              <w:jc w:val="left"/>
              <w:rPr>
                <w:sz w:val="22"/>
              </w:rPr>
            </w:pPr>
            <w:r>
              <w:rPr>
                <w:sz w:val="22"/>
              </w:rPr>
              <w:t>SDS</w:t>
            </w:r>
          </w:p>
        </w:tc>
        <w:tc>
          <w:tcPr>
            <w:tcW w:w="4468" w:type="dxa"/>
          </w:tcPr>
          <w:p>
            <w:pPr>
              <w:pStyle w:val="TableParagraph"/>
              <w:spacing w:before="75"/>
              <w:ind w:left="200"/>
              <w:jc w:val="left"/>
              <w:rPr>
                <w:sz w:val="22"/>
              </w:rPr>
            </w:pPr>
            <w:r>
              <w:rPr>
                <w:sz w:val="22"/>
              </w:rPr>
              <w:t>safety data sheet</w:t>
            </w:r>
          </w:p>
        </w:tc>
      </w:tr>
      <w:tr>
        <w:trPr>
          <w:trHeight w:val="410" w:hRule="atLeast"/>
        </w:trPr>
        <w:tc>
          <w:tcPr>
            <w:tcW w:w="1117" w:type="dxa"/>
          </w:tcPr>
          <w:p>
            <w:pPr>
              <w:pStyle w:val="TableParagraph"/>
              <w:spacing w:before="75"/>
              <w:ind w:left="50"/>
              <w:jc w:val="left"/>
              <w:rPr>
                <w:sz w:val="22"/>
              </w:rPr>
            </w:pPr>
            <w:r>
              <w:rPr>
                <w:sz w:val="22"/>
              </w:rPr>
              <w:t>SOP</w:t>
            </w:r>
          </w:p>
        </w:tc>
        <w:tc>
          <w:tcPr>
            <w:tcW w:w="4468" w:type="dxa"/>
          </w:tcPr>
          <w:p>
            <w:pPr>
              <w:pStyle w:val="TableParagraph"/>
              <w:spacing w:before="75"/>
              <w:ind w:left="200"/>
              <w:jc w:val="left"/>
              <w:rPr>
                <w:sz w:val="22"/>
              </w:rPr>
            </w:pPr>
            <w:r>
              <w:rPr>
                <w:sz w:val="22"/>
              </w:rPr>
              <w:t>standard operating procedure</w:t>
            </w:r>
          </w:p>
        </w:tc>
      </w:tr>
      <w:tr>
        <w:trPr>
          <w:trHeight w:val="410" w:hRule="atLeast"/>
        </w:trPr>
        <w:tc>
          <w:tcPr>
            <w:tcW w:w="1117" w:type="dxa"/>
          </w:tcPr>
          <w:p>
            <w:pPr>
              <w:pStyle w:val="TableParagraph"/>
              <w:spacing w:before="75"/>
              <w:ind w:left="50"/>
              <w:jc w:val="left"/>
              <w:rPr>
                <w:sz w:val="22"/>
              </w:rPr>
            </w:pPr>
            <w:r>
              <w:rPr>
                <w:sz w:val="22"/>
              </w:rPr>
              <w:t>SRM</w:t>
            </w:r>
          </w:p>
        </w:tc>
        <w:tc>
          <w:tcPr>
            <w:tcW w:w="4468" w:type="dxa"/>
          </w:tcPr>
          <w:p>
            <w:pPr>
              <w:pStyle w:val="TableParagraph"/>
              <w:spacing w:before="75"/>
              <w:ind w:left="200"/>
              <w:jc w:val="left"/>
              <w:rPr>
                <w:sz w:val="22"/>
              </w:rPr>
            </w:pPr>
            <w:r>
              <w:rPr>
                <w:sz w:val="22"/>
              </w:rPr>
              <w:t>single reaction monitoring</w:t>
            </w:r>
          </w:p>
        </w:tc>
      </w:tr>
      <w:tr>
        <w:trPr>
          <w:trHeight w:val="410" w:hRule="atLeast"/>
        </w:trPr>
        <w:tc>
          <w:tcPr>
            <w:tcW w:w="1117" w:type="dxa"/>
          </w:tcPr>
          <w:p>
            <w:pPr>
              <w:pStyle w:val="TableParagraph"/>
              <w:spacing w:before="75"/>
              <w:ind w:left="50"/>
              <w:jc w:val="left"/>
              <w:rPr>
                <w:sz w:val="22"/>
              </w:rPr>
            </w:pPr>
            <w:r>
              <w:rPr>
                <w:sz w:val="22"/>
              </w:rPr>
              <w:t>TBD</w:t>
            </w:r>
          </w:p>
        </w:tc>
        <w:tc>
          <w:tcPr>
            <w:tcW w:w="4468" w:type="dxa"/>
          </w:tcPr>
          <w:p>
            <w:pPr>
              <w:pStyle w:val="TableParagraph"/>
              <w:spacing w:before="75"/>
              <w:ind w:left="200"/>
              <w:jc w:val="left"/>
              <w:rPr>
                <w:sz w:val="22"/>
              </w:rPr>
            </w:pPr>
            <w:r>
              <w:rPr>
                <w:sz w:val="22"/>
              </w:rPr>
              <w:t>to be determined</w:t>
            </w:r>
          </w:p>
        </w:tc>
      </w:tr>
      <w:tr>
        <w:trPr>
          <w:trHeight w:val="328" w:hRule="atLeast"/>
        </w:trPr>
        <w:tc>
          <w:tcPr>
            <w:tcW w:w="1117" w:type="dxa"/>
          </w:tcPr>
          <w:p>
            <w:pPr>
              <w:pStyle w:val="TableParagraph"/>
              <w:spacing w:line="233" w:lineRule="exact" w:before="75"/>
              <w:ind w:left="50"/>
              <w:jc w:val="left"/>
              <w:rPr>
                <w:sz w:val="22"/>
              </w:rPr>
            </w:pPr>
            <w:r>
              <w:rPr>
                <w:sz w:val="22"/>
              </w:rPr>
              <w:t>UPLC</w:t>
            </w:r>
          </w:p>
        </w:tc>
        <w:tc>
          <w:tcPr>
            <w:tcW w:w="4468" w:type="dxa"/>
          </w:tcPr>
          <w:p>
            <w:pPr>
              <w:pStyle w:val="TableParagraph"/>
              <w:spacing w:line="233" w:lineRule="exact" w:before="75"/>
              <w:ind w:left="200"/>
              <w:jc w:val="left"/>
              <w:rPr>
                <w:sz w:val="22"/>
              </w:rPr>
            </w:pPr>
            <w:r>
              <w:rPr>
                <w:sz w:val="22"/>
              </w:rPr>
              <w:t>ultraperformance liquid chromatograph</w:t>
            </w:r>
          </w:p>
        </w:tc>
      </w:tr>
    </w:tbl>
    <w:p>
      <w:pPr>
        <w:spacing w:after="0" w:line="233" w:lineRule="exact"/>
        <w:jc w:val="left"/>
        <w:rPr>
          <w:sz w:val="22"/>
        </w:rPr>
        <w:sectPr>
          <w:pgSz w:w="12240" w:h="15840"/>
          <w:pgMar w:header="0" w:footer="1214" w:top="1140" w:bottom="1400" w:left="460" w:right="480"/>
        </w:sectPr>
      </w:pPr>
    </w:p>
    <w:p>
      <w:pPr>
        <w:pStyle w:val="BodyText"/>
        <w:spacing w:before="70"/>
        <w:ind w:left="21"/>
        <w:jc w:val="center"/>
      </w:pPr>
      <w:bookmarkStart w:name="APPENDIX B (future Method 3512) – AQUEOU" w:id="340"/>
      <w:bookmarkEnd w:id="340"/>
      <w:r>
        <w:rPr/>
      </w:r>
      <w:bookmarkStart w:name="_bookmark47" w:id="341"/>
      <w:bookmarkEnd w:id="341"/>
      <w:r>
        <w:rPr/>
      </w:r>
      <w:r>
        <w:rPr/>
        <w:t>APPENDIX B (future Method 3512) – AQUEOUS SAMPLE PREPARATION</w:t>
      </w:r>
    </w:p>
    <w:p>
      <w:pPr>
        <w:pStyle w:val="BodyText"/>
        <w:spacing w:before="3"/>
        <w:rPr>
          <w:sz w:val="24"/>
        </w:rPr>
      </w:pPr>
    </w:p>
    <w:p>
      <w:pPr>
        <w:pStyle w:val="BodyText"/>
        <w:spacing w:line="276" w:lineRule="auto"/>
        <w:ind w:left="980" w:right="944" w:firstLine="720"/>
      </w:pPr>
      <w:r>
        <w:rPr/>
        <w:t>Note: The aqueous sample preparation procedure in this appendix will become a new standalone preparation method (Method 3512) after the validation study is complete and the public comments for the analytical method have been addressed. This follows the typical modular approach for SW-846 methods allowing this preparation procedure to be combined with other analytical methods, once available.</w:t>
      </w:r>
    </w:p>
    <w:p>
      <w:pPr>
        <w:pStyle w:val="BodyText"/>
        <w:spacing w:before="3"/>
        <w:rPr>
          <w:sz w:val="31"/>
        </w:rPr>
      </w:pPr>
    </w:p>
    <w:p>
      <w:pPr>
        <w:pStyle w:val="BodyText"/>
        <w:ind w:left="19"/>
        <w:jc w:val="center"/>
      </w:pPr>
      <w:r>
        <w:rPr/>
        <w:t>METHOD 3512</w:t>
      </w:r>
    </w:p>
    <w:p>
      <w:pPr>
        <w:pStyle w:val="BodyText"/>
        <w:spacing w:before="8"/>
        <w:rPr>
          <w:sz w:val="34"/>
        </w:rPr>
      </w:pPr>
    </w:p>
    <w:p>
      <w:pPr>
        <w:pStyle w:val="BodyText"/>
        <w:ind w:left="19"/>
        <w:jc w:val="center"/>
      </w:pPr>
      <w:r>
        <w:rPr>
          <w:u w:val="single"/>
        </w:rPr>
        <w:t>PER AND POLYFLUORINATED ALKYL SUBSTANCES (PFAS) IN NON-POTABLE WATER</w:t>
      </w:r>
    </w:p>
    <w:p>
      <w:pPr>
        <w:pStyle w:val="BodyText"/>
        <w:spacing w:before="37"/>
        <w:ind w:left="595"/>
        <w:jc w:val="center"/>
      </w:pPr>
      <w:r>
        <w:rPr>
          <w:u w:val="single"/>
        </w:rPr>
        <w:t>BY SOLVENT DILUTION</w:t>
      </w:r>
    </w:p>
    <w:p>
      <w:pPr>
        <w:pStyle w:val="BodyText"/>
        <w:spacing w:before="1"/>
        <w:rPr>
          <w:sz w:val="16"/>
        </w:rPr>
      </w:pPr>
    </w:p>
    <w:p>
      <w:pPr>
        <w:pStyle w:val="BodyText"/>
        <w:spacing w:line="276" w:lineRule="auto" w:before="93"/>
        <w:ind w:left="980" w:right="944" w:firstLine="719"/>
      </w:pPr>
      <w:r>
        <w:rPr/>
        <w:t>SW-846 is not intended to be an analytical training manual. Therefore, method procedures are written based on the assumption that they will be performed by analysts who are formally trained in at least the basic principles of chemical analysis and in the use of the subject technology.</w:t>
      </w:r>
    </w:p>
    <w:p>
      <w:pPr>
        <w:pStyle w:val="BodyText"/>
        <w:spacing w:line="276" w:lineRule="auto" w:before="120"/>
        <w:ind w:left="979" w:right="976" w:firstLine="720"/>
      </w:pPr>
      <w:r>
        <w:rPr/>
        <w:t>In addition, SW-846 methods, with the exception of required method use for the analysis of method-defined parameters, are intended to be guidance methods which contain general information</w:t>
      </w:r>
      <w:r>
        <w:rPr>
          <w:spacing w:val="-13"/>
        </w:rPr>
        <w:t> </w:t>
      </w:r>
      <w:r>
        <w:rPr/>
        <w:t>on</w:t>
      </w:r>
      <w:r>
        <w:rPr>
          <w:spacing w:val="-14"/>
        </w:rPr>
        <w:t> </w:t>
      </w:r>
      <w:r>
        <w:rPr/>
        <w:t>how</w:t>
      </w:r>
      <w:r>
        <w:rPr>
          <w:spacing w:val="-17"/>
        </w:rPr>
        <w:t> </w:t>
      </w:r>
      <w:r>
        <w:rPr/>
        <w:t>to</w:t>
      </w:r>
      <w:r>
        <w:rPr>
          <w:spacing w:val="-12"/>
        </w:rPr>
        <w:t> </w:t>
      </w:r>
      <w:r>
        <w:rPr/>
        <w:t>perform</w:t>
      </w:r>
      <w:r>
        <w:rPr>
          <w:spacing w:val="-12"/>
        </w:rPr>
        <w:t> </w:t>
      </w:r>
      <w:r>
        <w:rPr/>
        <w:t>an</w:t>
      </w:r>
      <w:r>
        <w:rPr>
          <w:spacing w:val="-14"/>
        </w:rPr>
        <w:t> </w:t>
      </w:r>
      <w:r>
        <w:rPr/>
        <w:t>analytical</w:t>
      </w:r>
      <w:r>
        <w:rPr>
          <w:spacing w:val="-13"/>
        </w:rPr>
        <w:t> </w:t>
      </w:r>
      <w:r>
        <w:rPr/>
        <w:t>procedure</w:t>
      </w:r>
      <w:r>
        <w:rPr>
          <w:spacing w:val="-11"/>
        </w:rPr>
        <w:t> </w:t>
      </w:r>
      <w:r>
        <w:rPr/>
        <w:t>or</w:t>
      </w:r>
      <w:r>
        <w:rPr>
          <w:spacing w:val="-14"/>
        </w:rPr>
        <w:t> </w:t>
      </w:r>
      <w:r>
        <w:rPr/>
        <w:t>technique</w:t>
      </w:r>
      <w:r>
        <w:rPr>
          <w:spacing w:val="-14"/>
        </w:rPr>
        <w:t> </w:t>
      </w:r>
      <w:r>
        <w:rPr/>
        <w:t>which</w:t>
      </w:r>
      <w:r>
        <w:rPr>
          <w:spacing w:val="-13"/>
        </w:rPr>
        <w:t> </w:t>
      </w:r>
      <w:r>
        <w:rPr/>
        <w:t>a</w:t>
      </w:r>
      <w:r>
        <w:rPr>
          <w:spacing w:val="-13"/>
        </w:rPr>
        <w:t> </w:t>
      </w:r>
      <w:r>
        <w:rPr/>
        <w:t>laboratory</w:t>
      </w:r>
      <w:r>
        <w:rPr>
          <w:spacing w:val="-15"/>
        </w:rPr>
        <w:t> </w:t>
      </w:r>
      <w:r>
        <w:rPr/>
        <w:t>can</w:t>
      </w:r>
      <w:r>
        <w:rPr>
          <w:spacing w:val="-14"/>
        </w:rPr>
        <w:t> </w:t>
      </w:r>
      <w:r>
        <w:rPr/>
        <w:t>use</w:t>
      </w:r>
      <w:r>
        <w:rPr>
          <w:spacing w:val="-12"/>
        </w:rPr>
        <w:t> </w:t>
      </w:r>
      <w:r>
        <w:rPr/>
        <w:t>as a basic starting point for generating its own detailed standard operating procedure (SOP), either for</w:t>
      </w:r>
      <w:r>
        <w:rPr>
          <w:spacing w:val="-14"/>
        </w:rPr>
        <w:t> </w:t>
      </w:r>
      <w:r>
        <w:rPr/>
        <w:t>its</w:t>
      </w:r>
      <w:r>
        <w:rPr>
          <w:spacing w:val="-14"/>
        </w:rPr>
        <w:t> </w:t>
      </w:r>
      <w:r>
        <w:rPr/>
        <w:t>own</w:t>
      </w:r>
      <w:r>
        <w:rPr>
          <w:spacing w:val="-17"/>
        </w:rPr>
        <w:t> </w:t>
      </w:r>
      <w:r>
        <w:rPr/>
        <w:t>general</w:t>
      </w:r>
      <w:r>
        <w:rPr>
          <w:spacing w:val="-14"/>
        </w:rPr>
        <w:t> </w:t>
      </w:r>
      <w:r>
        <w:rPr/>
        <w:t>use</w:t>
      </w:r>
      <w:r>
        <w:rPr>
          <w:spacing w:val="-17"/>
        </w:rPr>
        <w:t> </w:t>
      </w:r>
      <w:r>
        <w:rPr/>
        <w:t>or</w:t>
      </w:r>
      <w:r>
        <w:rPr>
          <w:spacing w:val="-19"/>
        </w:rPr>
        <w:t> </w:t>
      </w:r>
      <w:r>
        <w:rPr/>
        <w:t>for</w:t>
      </w:r>
      <w:r>
        <w:rPr>
          <w:spacing w:val="-17"/>
        </w:rPr>
        <w:t> </w:t>
      </w:r>
      <w:r>
        <w:rPr/>
        <w:t>a</w:t>
      </w:r>
      <w:r>
        <w:rPr>
          <w:spacing w:val="-17"/>
        </w:rPr>
        <w:t> </w:t>
      </w:r>
      <w:r>
        <w:rPr/>
        <w:t>specific</w:t>
      </w:r>
      <w:r>
        <w:rPr>
          <w:spacing w:val="-14"/>
        </w:rPr>
        <w:t> </w:t>
      </w:r>
      <w:r>
        <w:rPr/>
        <w:t>project</w:t>
      </w:r>
      <w:r>
        <w:rPr>
          <w:spacing w:val="-13"/>
        </w:rPr>
        <w:t> </w:t>
      </w:r>
      <w:r>
        <w:rPr/>
        <w:t>application. The</w:t>
      </w:r>
      <w:r>
        <w:rPr>
          <w:spacing w:val="-13"/>
        </w:rPr>
        <w:t> </w:t>
      </w:r>
      <w:r>
        <w:rPr/>
        <w:t>performance</w:t>
      </w:r>
      <w:r>
        <w:rPr>
          <w:spacing w:val="-14"/>
        </w:rPr>
        <w:t> </w:t>
      </w:r>
      <w:r>
        <w:rPr/>
        <w:t>data</w:t>
      </w:r>
      <w:r>
        <w:rPr>
          <w:spacing w:val="-15"/>
        </w:rPr>
        <w:t> </w:t>
      </w:r>
      <w:r>
        <w:rPr/>
        <w:t>included</w:t>
      </w:r>
      <w:r>
        <w:rPr>
          <w:spacing w:val="-14"/>
        </w:rPr>
        <w:t> </w:t>
      </w:r>
      <w:r>
        <w:rPr/>
        <w:t>in</w:t>
      </w:r>
      <w:r>
        <w:rPr>
          <w:spacing w:val="-17"/>
        </w:rPr>
        <w:t> </w:t>
      </w:r>
      <w:r>
        <w:rPr/>
        <w:t>this method are for guidance purposes only and are not intended to be and must not be used as absolute QC acceptance criteria or for the purpose of laboratory</w:t>
      </w:r>
      <w:r>
        <w:rPr>
          <w:spacing w:val="-21"/>
        </w:rPr>
        <w:t> </w:t>
      </w:r>
      <w:r>
        <w:rPr/>
        <w:t>accreditation.</w:t>
      </w:r>
    </w:p>
    <w:p>
      <w:pPr>
        <w:pStyle w:val="BodyText"/>
        <w:spacing w:before="3"/>
        <w:rPr>
          <w:sz w:val="31"/>
        </w:rPr>
      </w:pPr>
    </w:p>
    <w:p>
      <w:pPr>
        <w:pStyle w:val="BodyText"/>
        <w:tabs>
          <w:tab w:pos="1700" w:val="left" w:leader="none"/>
        </w:tabs>
        <w:ind w:left="980"/>
      </w:pPr>
      <w:bookmarkStart w:name="B1.0 SCOPE AND APPLICATION" w:id="342"/>
      <w:bookmarkEnd w:id="342"/>
      <w:r>
        <w:rPr/>
      </w:r>
      <w:r>
        <w:rPr/>
        <w:t>B1.0</w:t>
        <w:tab/>
        <w:t>SCOPE AND</w:t>
      </w:r>
      <w:r>
        <w:rPr>
          <w:spacing w:val="-3"/>
        </w:rPr>
        <w:t> </w:t>
      </w:r>
      <w:r>
        <w:rPr/>
        <w:t>APPLICATION</w:t>
      </w:r>
    </w:p>
    <w:p>
      <w:pPr>
        <w:pStyle w:val="BodyText"/>
        <w:spacing w:before="3"/>
        <w:rPr>
          <w:sz w:val="24"/>
        </w:rPr>
      </w:pPr>
    </w:p>
    <w:p>
      <w:pPr>
        <w:pStyle w:val="BodyText"/>
        <w:tabs>
          <w:tab w:pos="2420" w:val="left" w:leader="none"/>
        </w:tabs>
        <w:spacing w:line="276" w:lineRule="auto"/>
        <w:ind w:left="980" w:right="976" w:firstLine="719"/>
      </w:pPr>
      <w:bookmarkStart w:name="B1.1 Method 3512 is a preparation proced" w:id="343"/>
      <w:bookmarkEnd w:id="343"/>
      <w:r>
        <w:rPr/>
      </w:r>
      <w:r>
        <w:rPr/>
        <w:t>B1.1</w:t>
        <w:tab/>
        <w:t>Method 3512 is a preparation procedure for diluting non-potable water samples with an organic solvent prior to analysis by the appropriate determinative method for PFAS.</w:t>
      </w:r>
      <w:r>
        <w:rPr>
          <w:spacing w:val="-26"/>
        </w:rPr>
        <w:t> </w:t>
      </w:r>
      <w:r>
        <w:rPr/>
        <w:t>This microscale approach minimizes sample size and solvent usage, thereby reducing the supply costs, health and safety risks, and waste</w:t>
      </w:r>
      <w:r>
        <w:rPr>
          <w:spacing w:val="-3"/>
        </w:rPr>
        <w:t> </w:t>
      </w:r>
      <w:r>
        <w:rPr/>
        <w:t>generated.</w:t>
      </w:r>
    </w:p>
    <w:p>
      <w:pPr>
        <w:pStyle w:val="BodyText"/>
        <w:tabs>
          <w:tab w:pos="2420" w:val="left" w:leader="none"/>
        </w:tabs>
        <w:spacing w:line="276" w:lineRule="auto" w:before="119"/>
        <w:ind w:left="980" w:right="1314" w:firstLine="719"/>
      </w:pPr>
      <w:bookmarkStart w:name="B1.2 The 24 PFAS that have been evaluate" w:id="344"/>
      <w:bookmarkEnd w:id="344"/>
      <w:r>
        <w:rPr/>
      </w:r>
      <w:r>
        <w:rPr/>
        <w:t>B1.2</w:t>
        <w:tab/>
        <w:t>The 24 PFAS that have been evaluated with this preparation method are provided below. This preparation method was validated in conjunction with determinative Method 8327 and included mass-labelled analogs as surrogates. See Method 8327 for performance data. These surrogates may also be used as isotope dilution internal</w:t>
      </w:r>
      <w:r>
        <w:rPr>
          <w:spacing w:val="-25"/>
        </w:rPr>
        <w:t> </w:t>
      </w:r>
      <w:r>
        <w:rPr/>
        <w:t>standards using Method 8328. This method has been tested in reagent water, surface water, groundwater, and wastewater</w:t>
      </w:r>
      <w:r>
        <w:rPr>
          <w:spacing w:val="-1"/>
        </w:rPr>
        <w:t> </w:t>
      </w:r>
      <w:r>
        <w:rPr/>
        <w:t>matrices.</w:t>
      </w:r>
    </w:p>
    <w:p>
      <w:pPr>
        <w:pStyle w:val="BodyText"/>
        <w:spacing w:before="3" w:after="1"/>
        <w:rPr>
          <w:sz w:val="11"/>
        </w:rPr>
      </w:pPr>
    </w:p>
    <w:tbl>
      <w:tblPr>
        <w:tblW w:w="0" w:type="auto"/>
        <w:jc w:val="left"/>
        <w:tblInd w:w="1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93"/>
        <w:gridCol w:w="2535"/>
      </w:tblGrid>
      <w:tr>
        <w:trPr>
          <w:trHeight w:val="412" w:hRule="atLeast"/>
        </w:trPr>
        <w:tc>
          <w:tcPr>
            <w:tcW w:w="5593" w:type="dxa"/>
            <w:tcBorders>
              <w:top w:val="double" w:sz="1" w:space="0" w:color="000000"/>
              <w:bottom w:val="single" w:sz="4" w:space="0" w:color="000000"/>
            </w:tcBorders>
          </w:tcPr>
          <w:p>
            <w:pPr>
              <w:pStyle w:val="TableParagraph"/>
              <w:spacing w:before="60"/>
              <w:ind w:left="100"/>
              <w:jc w:val="left"/>
              <w:rPr>
                <w:sz w:val="22"/>
              </w:rPr>
            </w:pPr>
            <w:r>
              <w:rPr>
                <w:sz w:val="22"/>
                <w:u w:val="single"/>
              </w:rPr>
              <w:t>Analyte</w:t>
            </w:r>
          </w:p>
        </w:tc>
        <w:tc>
          <w:tcPr>
            <w:tcW w:w="2535" w:type="dxa"/>
            <w:tcBorders>
              <w:top w:val="double" w:sz="1" w:space="0" w:color="000000"/>
              <w:bottom w:val="single" w:sz="4" w:space="0" w:color="000000"/>
            </w:tcBorders>
          </w:tcPr>
          <w:p>
            <w:pPr>
              <w:pStyle w:val="TableParagraph"/>
              <w:spacing w:before="60"/>
              <w:ind w:right="109"/>
              <w:jc w:val="right"/>
              <w:rPr>
                <w:sz w:val="22"/>
              </w:rPr>
            </w:pPr>
            <w:r>
              <w:rPr>
                <w:sz w:val="22"/>
              </w:rPr>
              <w:t>CAS RN*</w:t>
            </w:r>
          </w:p>
        </w:tc>
      </w:tr>
      <w:tr>
        <w:trPr>
          <w:trHeight w:val="395" w:hRule="atLeast"/>
        </w:trPr>
        <w:tc>
          <w:tcPr>
            <w:tcW w:w="5593" w:type="dxa"/>
            <w:tcBorders>
              <w:top w:val="single" w:sz="4" w:space="0" w:color="000000"/>
            </w:tcBorders>
          </w:tcPr>
          <w:p>
            <w:pPr>
              <w:pStyle w:val="TableParagraph"/>
              <w:spacing w:before="60"/>
              <w:ind w:left="100"/>
              <w:jc w:val="left"/>
              <w:rPr>
                <w:sz w:val="22"/>
              </w:rPr>
            </w:pPr>
            <w:r>
              <w:rPr>
                <w:sz w:val="22"/>
                <w:u w:val="single"/>
              </w:rPr>
              <w:t>PFAS sulfonic acids</w:t>
            </w:r>
          </w:p>
        </w:tc>
        <w:tc>
          <w:tcPr>
            <w:tcW w:w="2535" w:type="dxa"/>
            <w:tcBorders>
              <w:top w:val="single" w:sz="4" w:space="0" w:color="000000"/>
            </w:tcBorders>
          </w:tcPr>
          <w:p>
            <w:pPr>
              <w:pStyle w:val="TableParagraph"/>
              <w:spacing w:before="0"/>
              <w:jc w:val="left"/>
              <w:rPr>
                <w:rFonts w:ascii="Times New Roman"/>
                <w:sz w:val="20"/>
              </w:rPr>
            </w:pPr>
          </w:p>
        </w:tc>
      </w:tr>
      <w:tr>
        <w:trPr>
          <w:trHeight w:val="410" w:hRule="atLeast"/>
        </w:trPr>
        <w:tc>
          <w:tcPr>
            <w:tcW w:w="5593" w:type="dxa"/>
          </w:tcPr>
          <w:p>
            <w:pPr>
              <w:pStyle w:val="TableParagraph"/>
              <w:spacing w:before="75"/>
              <w:ind w:left="100"/>
              <w:jc w:val="left"/>
              <w:rPr>
                <w:sz w:val="22"/>
              </w:rPr>
            </w:pPr>
            <w:r>
              <w:rPr>
                <w:sz w:val="22"/>
              </w:rPr>
              <w:t>Perfluoro-1-butanesulfonic acid (PFBS)</w:t>
            </w:r>
          </w:p>
        </w:tc>
        <w:tc>
          <w:tcPr>
            <w:tcW w:w="2535" w:type="dxa"/>
          </w:tcPr>
          <w:p>
            <w:pPr>
              <w:pStyle w:val="TableParagraph"/>
              <w:spacing w:before="75"/>
              <w:ind w:right="109"/>
              <w:jc w:val="right"/>
              <w:rPr>
                <w:sz w:val="22"/>
              </w:rPr>
            </w:pPr>
            <w:r>
              <w:rPr>
                <w:w w:val="95"/>
                <w:sz w:val="22"/>
              </w:rPr>
              <w:t>375-73-5</w:t>
            </w:r>
          </w:p>
        </w:tc>
      </w:tr>
      <w:tr>
        <w:trPr>
          <w:trHeight w:val="426" w:hRule="atLeast"/>
        </w:trPr>
        <w:tc>
          <w:tcPr>
            <w:tcW w:w="5593" w:type="dxa"/>
            <w:tcBorders>
              <w:bottom w:val="double" w:sz="1" w:space="0" w:color="000000"/>
            </w:tcBorders>
          </w:tcPr>
          <w:p>
            <w:pPr>
              <w:pStyle w:val="TableParagraph"/>
              <w:spacing w:before="75"/>
              <w:ind w:left="99"/>
              <w:jc w:val="left"/>
              <w:rPr>
                <w:sz w:val="22"/>
              </w:rPr>
            </w:pPr>
            <w:r>
              <w:rPr>
                <w:sz w:val="22"/>
              </w:rPr>
              <w:t>Perfluoro-1-pentanesulfonic acid (PFPeS)</w:t>
            </w:r>
          </w:p>
        </w:tc>
        <w:tc>
          <w:tcPr>
            <w:tcW w:w="2535" w:type="dxa"/>
            <w:tcBorders>
              <w:bottom w:val="double" w:sz="1" w:space="0" w:color="000000"/>
            </w:tcBorders>
          </w:tcPr>
          <w:p>
            <w:pPr>
              <w:pStyle w:val="TableParagraph"/>
              <w:spacing w:before="75"/>
              <w:ind w:right="109"/>
              <w:jc w:val="right"/>
              <w:rPr>
                <w:sz w:val="22"/>
              </w:rPr>
            </w:pPr>
            <w:r>
              <w:rPr>
                <w:w w:val="95"/>
                <w:sz w:val="22"/>
              </w:rPr>
              <w:t>2706-91-4</w:t>
            </w:r>
          </w:p>
        </w:tc>
      </w:tr>
    </w:tbl>
    <w:p>
      <w:pPr>
        <w:spacing w:after="0"/>
        <w:jc w:val="right"/>
        <w:rPr>
          <w:sz w:val="22"/>
        </w:rPr>
        <w:sectPr>
          <w:pgSz w:w="12240" w:h="15840"/>
          <w:pgMar w:header="0" w:footer="1214" w:top="1060" w:bottom="1400" w:left="460" w:right="480"/>
        </w:sectPr>
      </w:pPr>
    </w:p>
    <w:tbl>
      <w:tblPr>
        <w:tblW w:w="0" w:type="auto"/>
        <w:jc w:val="left"/>
        <w:tblInd w:w="1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51"/>
        <w:gridCol w:w="1977"/>
      </w:tblGrid>
      <w:tr>
        <w:trPr>
          <w:trHeight w:val="411" w:hRule="atLeast"/>
        </w:trPr>
        <w:tc>
          <w:tcPr>
            <w:tcW w:w="6151" w:type="dxa"/>
            <w:tcBorders>
              <w:top w:val="double" w:sz="1" w:space="0" w:color="000000"/>
              <w:bottom w:val="single" w:sz="4" w:space="0" w:color="000000"/>
            </w:tcBorders>
          </w:tcPr>
          <w:p>
            <w:pPr>
              <w:pStyle w:val="TableParagraph"/>
              <w:spacing w:before="60"/>
              <w:ind w:left="100"/>
              <w:jc w:val="left"/>
              <w:rPr>
                <w:sz w:val="22"/>
              </w:rPr>
            </w:pPr>
            <w:r>
              <w:rPr>
                <w:sz w:val="22"/>
                <w:u w:val="single"/>
              </w:rPr>
              <w:t>Analyte</w:t>
            </w:r>
          </w:p>
        </w:tc>
        <w:tc>
          <w:tcPr>
            <w:tcW w:w="1977" w:type="dxa"/>
            <w:tcBorders>
              <w:top w:val="double" w:sz="1" w:space="0" w:color="000000"/>
              <w:bottom w:val="single" w:sz="4" w:space="0" w:color="000000"/>
            </w:tcBorders>
          </w:tcPr>
          <w:p>
            <w:pPr>
              <w:pStyle w:val="TableParagraph"/>
              <w:spacing w:before="60"/>
              <w:ind w:right="109"/>
              <w:jc w:val="right"/>
              <w:rPr>
                <w:sz w:val="22"/>
              </w:rPr>
            </w:pPr>
            <w:r>
              <w:rPr>
                <w:sz w:val="22"/>
              </w:rPr>
              <w:t>CAS RN*</w:t>
            </w:r>
          </w:p>
        </w:tc>
      </w:tr>
      <w:tr>
        <w:trPr>
          <w:trHeight w:val="385" w:hRule="atLeast"/>
        </w:trPr>
        <w:tc>
          <w:tcPr>
            <w:tcW w:w="6151" w:type="dxa"/>
            <w:tcBorders>
              <w:top w:val="single" w:sz="4" w:space="0" w:color="000000"/>
            </w:tcBorders>
          </w:tcPr>
          <w:p>
            <w:pPr>
              <w:pStyle w:val="TableParagraph"/>
              <w:spacing w:before="50"/>
              <w:ind w:left="100"/>
              <w:jc w:val="left"/>
              <w:rPr>
                <w:sz w:val="22"/>
              </w:rPr>
            </w:pPr>
            <w:r>
              <w:rPr>
                <w:sz w:val="22"/>
              </w:rPr>
              <w:t>Perfluoro-1-hexanesulfonic acid (PFHxS)</w:t>
            </w:r>
          </w:p>
        </w:tc>
        <w:tc>
          <w:tcPr>
            <w:tcW w:w="1977" w:type="dxa"/>
            <w:tcBorders>
              <w:top w:val="single" w:sz="4" w:space="0" w:color="000000"/>
            </w:tcBorders>
          </w:tcPr>
          <w:p>
            <w:pPr>
              <w:pStyle w:val="TableParagraph"/>
              <w:spacing w:before="50"/>
              <w:ind w:right="108"/>
              <w:jc w:val="right"/>
              <w:rPr>
                <w:sz w:val="22"/>
              </w:rPr>
            </w:pPr>
            <w:r>
              <w:rPr>
                <w:w w:val="95"/>
                <w:sz w:val="22"/>
              </w:rPr>
              <w:t>355-46-4</w:t>
            </w:r>
          </w:p>
        </w:tc>
      </w:tr>
      <w:tr>
        <w:trPr>
          <w:trHeight w:val="410" w:hRule="atLeast"/>
        </w:trPr>
        <w:tc>
          <w:tcPr>
            <w:tcW w:w="6151" w:type="dxa"/>
          </w:tcPr>
          <w:p>
            <w:pPr>
              <w:pStyle w:val="TableParagraph"/>
              <w:spacing w:before="75"/>
              <w:ind w:left="100"/>
              <w:jc w:val="left"/>
              <w:rPr>
                <w:sz w:val="22"/>
              </w:rPr>
            </w:pPr>
            <w:r>
              <w:rPr>
                <w:sz w:val="22"/>
              </w:rPr>
              <w:t>Perfluoro-1-heptanesulfonic acid (PFHpS)</w:t>
            </w:r>
          </w:p>
        </w:tc>
        <w:tc>
          <w:tcPr>
            <w:tcW w:w="1977" w:type="dxa"/>
          </w:tcPr>
          <w:p>
            <w:pPr>
              <w:pStyle w:val="TableParagraph"/>
              <w:spacing w:before="75"/>
              <w:ind w:right="109"/>
              <w:jc w:val="right"/>
              <w:rPr>
                <w:sz w:val="22"/>
              </w:rPr>
            </w:pPr>
            <w:r>
              <w:rPr>
                <w:w w:val="95"/>
                <w:sz w:val="22"/>
              </w:rPr>
              <w:t>375-92-8</w:t>
            </w:r>
          </w:p>
        </w:tc>
      </w:tr>
      <w:tr>
        <w:trPr>
          <w:trHeight w:val="410" w:hRule="atLeast"/>
        </w:trPr>
        <w:tc>
          <w:tcPr>
            <w:tcW w:w="6151" w:type="dxa"/>
          </w:tcPr>
          <w:p>
            <w:pPr>
              <w:pStyle w:val="TableParagraph"/>
              <w:spacing w:before="75"/>
              <w:ind w:left="115"/>
              <w:jc w:val="left"/>
              <w:rPr>
                <w:sz w:val="22"/>
              </w:rPr>
            </w:pPr>
            <w:r>
              <w:rPr>
                <w:sz w:val="22"/>
              </w:rPr>
              <w:t>Perfluoro-1-octanesulfonic acid (PFOS)</w:t>
            </w:r>
          </w:p>
        </w:tc>
        <w:tc>
          <w:tcPr>
            <w:tcW w:w="1977" w:type="dxa"/>
          </w:tcPr>
          <w:p>
            <w:pPr>
              <w:pStyle w:val="TableParagraph"/>
              <w:spacing w:before="75"/>
              <w:ind w:right="109"/>
              <w:jc w:val="right"/>
              <w:rPr>
                <w:sz w:val="22"/>
              </w:rPr>
            </w:pPr>
            <w:r>
              <w:rPr>
                <w:w w:val="95"/>
                <w:sz w:val="22"/>
              </w:rPr>
              <w:t>1763-23-1</w:t>
            </w:r>
          </w:p>
        </w:tc>
      </w:tr>
      <w:tr>
        <w:trPr>
          <w:trHeight w:val="411" w:hRule="atLeast"/>
        </w:trPr>
        <w:tc>
          <w:tcPr>
            <w:tcW w:w="6151" w:type="dxa"/>
          </w:tcPr>
          <w:p>
            <w:pPr>
              <w:pStyle w:val="TableParagraph"/>
              <w:spacing w:before="75"/>
              <w:ind w:left="115"/>
              <w:jc w:val="left"/>
              <w:rPr>
                <w:sz w:val="22"/>
              </w:rPr>
            </w:pPr>
            <w:r>
              <w:rPr>
                <w:sz w:val="22"/>
              </w:rPr>
              <w:t>Perfluoro-1-nonanesulfonic acid (PFNS)</w:t>
            </w:r>
          </w:p>
        </w:tc>
        <w:tc>
          <w:tcPr>
            <w:tcW w:w="1977" w:type="dxa"/>
          </w:tcPr>
          <w:p>
            <w:pPr>
              <w:pStyle w:val="TableParagraph"/>
              <w:spacing w:before="75"/>
              <w:ind w:right="109"/>
              <w:jc w:val="right"/>
              <w:rPr>
                <w:sz w:val="22"/>
              </w:rPr>
            </w:pPr>
            <w:r>
              <w:rPr>
                <w:w w:val="95"/>
                <w:sz w:val="22"/>
              </w:rPr>
              <w:t>68259-12-1</w:t>
            </w:r>
          </w:p>
        </w:tc>
      </w:tr>
      <w:tr>
        <w:trPr>
          <w:trHeight w:val="410" w:hRule="atLeast"/>
        </w:trPr>
        <w:tc>
          <w:tcPr>
            <w:tcW w:w="6151" w:type="dxa"/>
          </w:tcPr>
          <w:p>
            <w:pPr>
              <w:pStyle w:val="TableParagraph"/>
              <w:spacing w:before="75"/>
              <w:ind w:left="115"/>
              <w:jc w:val="left"/>
              <w:rPr>
                <w:sz w:val="22"/>
              </w:rPr>
            </w:pPr>
            <w:r>
              <w:rPr>
                <w:sz w:val="22"/>
              </w:rPr>
              <w:t>Perfluoro-1-decanesulfonic acid (PFDS)</w:t>
            </w:r>
          </w:p>
        </w:tc>
        <w:tc>
          <w:tcPr>
            <w:tcW w:w="1977" w:type="dxa"/>
          </w:tcPr>
          <w:p>
            <w:pPr>
              <w:pStyle w:val="TableParagraph"/>
              <w:spacing w:before="75"/>
              <w:ind w:right="109"/>
              <w:jc w:val="right"/>
              <w:rPr>
                <w:sz w:val="22"/>
              </w:rPr>
            </w:pPr>
            <w:r>
              <w:rPr>
                <w:w w:val="95"/>
                <w:sz w:val="22"/>
              </w:rPr>
              <w:t>335-77-3</w:t>
            </w:r>
          </w:p>
        </w:tc>
      </w:tr>
      <w:tr>
        <w:trPr>
          <w:trHeight w:val="410" w:hRule="atLeast"/>
        </w:trPr>
        <w:tc>
          <w:tcPr>
            <w:tcW w:w="6151" w:type="dxa"/>
          </w:tcPr>
          <w:p>
            <w:pPr>
              <w:pStyle w:val="TableParagraph"/>
              <w:spacing w:before="75"/>
              <w:ind w:left="115"/>
              <w:jc w:val="left"/>
              <w:rPr>
                <w:sz w:val="22"/>
              </w:rPr>
            </w:pPr>
            <w:r>
              <w:rPr>
                <w:sz w:val="22"/>
              </w:rPr>
              <w:t>1H, 1H, 2H, 2H-perfluorohexane sulfonic acid (4:2 FTS)</w:t>
            </w:r>
          </w:p>
        </w:tc>
        <w:tc>
          <w:tcPr>
            <w:tcW w:w="1977" w:type="dxa"/>
          </w:tcPr>
          <w:p>
            <w:pPr>
              <w:pStyle w:val="TableParagraph"/>
              <w:spacing w:before="75"/>
              <w:ind w:right="109"/>
              <w:jc w:val="right"/>
              <w:rPr>
                <w:sz w:val="22"/>
              </w:rPr>
            </w:pPr>
            <w:r>
              <w:rPr>
                <w:w w:val="95"/>
                <w:sz w:val="22"/>
              </w:rPr>
              <w:t>757124-72-4</w:t>
            </w:r>
          </w:p>
        </w:tc>
      </w:tr>
      <w:tr>
        <w:trPr>
          <w:trHeight w:val="411" w:hRule="atLeast"/>
        </w:trPr>
        <w:tc>
          <w:tcPr>
            <w:tcW w:w="6151" w:type="dxa"/>
          </w:tcPr>
          <w:p>
            <w:pPr>
              <w:pStyle w:val="TableParagraph"/>
              <w:spacing w:before="75"/>
              <w:ind w:left="115"/>
              <w:jc w:val="left"/>
              <w:rPr>
                <w:sz w:val="22"/>
              </w:rPr>
            </w:pPr>
            <w:r>
              <w:rPr>
                <w:sz w:val="22"/>
              </w:rPr>
              <w:t>1H, 1H, 2H, 2H-perfluorooctane sulfonic acid (6:2 FTS)</w:t>
            </w:r>
          </w:p>
        </w:tc>
        <w:tc>
          <w:tcPr>
            <w:tcW w:w="1977" w:type="dxa"/>
          </w:tcPr>
          <w:p>
            <w:pPr>
              <w:pStyle w:val="TableParagraph"/>
              <w:spacing w:before="75"/>
              <w:ind w:right="109"/>
              <w:jc w:val="right"/>
              <w:rPr>
                <w:sz w:val="22"/>
              </w:rPr>
            </w:pPr>
            <w:r>
              <w:rPr>
                <w:w w:val="95"/>
                <w:sz w:val="22"/>
              </w:rPr>
              <w:t>27619-97-2</w:t>
            </w:r>
          </w:p>
        </w:tc>
      </w:tr>
      <w:tr>
        <w:trPr>
          <w:trHeight w:val="410" w:hRule="atLeast"/>
        </w:trPr>
        <w:tc>
          <w:tcPr>
            <w:tcW w:w="6151" w:type="dxa"/>
          </w:tcPr>
          <w:p>
            <w:pPr>
              <w:pStyle w:val="TableParagraph"/>
              <w:spacing w:before="75"/>
              <w:ind w:left="115"/>
              <w:jc w:val="left"/>
              <w:rPr>
                <w:sz w:val="22"/>
              </w:rPr>
            </w:pPr>
            <w:r>
              <w:rPr>
                <w:sz w:val="22"/>
              </w:rPr>
              <w:t>1H, 1H, 2H, 2H-perfluorodecane sulfonic acid (8:2 FTS)</w:t>
            </w:r>
          </w:p>
        </w:tc>
        <w:tc>
          <w:tcPr>
            <w:tcW w:w="1977" w:type="dxa"/>
          </w:tcPr>
          <w:p>
            <w:pPr>
              <w:pStyle w:val="TableParagraph"/>
              <w:spacing w:before="75"/>
              <w:ind w:right="109"/>
              <w:jc w:val="right"/>
              <w:rPr>
                <w:sz w:val="22"/>
              </w:rPr>
            </w:pPr>
            <w:r>
              <w:rPr>
                <w:w w:val="95"/>
                <w:sz w:val="22"/>
              </w:rPr>
              <w:t>39108-34-4</w:t>
            </w:r>
          </w:p>
        </w:tc>
      </w:tr>
      <w:tr>
        <w:trPr>
          <w:trHeight w:val="410" w:hRule="atLeast"/>
        </w:trPr>
        <w:tc>
          <w:tcPr>
            <w:tcW w:w="6151" w:type="dxa"/>
          </w:tcPr>
          <w:p>
            <w:pPr>
              <w:pStyle w:val="TableParagraph"/>
              <w:spacing w:before="75"/>
              <w:ind w:left="115"/>
              <w:jc w:val="left"/>
              <w:rPr>
                <w:sz w:val="22"/>
              </w:rPr>
            </w:pPr>
            <w:r>
              <w:rPr>
                <w:sz w:val="22"/>
                <w:u w:val="single"/>
              </w:rPr>
              <w:t>PFAS carboxylic acids</w:t>
            </w:r>
          </w:p>
        </w:tc>
        <w:tc>
          <w:tcPr>
            <w:tcW w:w="1977" w:type="dxa"/>
          </w:tcPr>
          <w:p>
            <w:pPr>
              <w:pStyle w:val="TableParagraph"/>
              <w:spacing w:before="0"/>
              <w:jc w:val="left"/>
              <w:rPr>
                <w:rFonts w:ascii="Times New Roman"/>
                <w:sz w:val="20"/>
              </w:rPr>
            </w:pPr>
          </w:p>
        </w:tc>
      </w:tr>
      <w:tr>
        <w:trPr>
          <w:trHeight w:val="410" w:hRule="atLeast"/>
        </w:trPr>
        <w:tc>
          <w:tcPr>
            <w:tcW w:w="6151" w:type="dxa"/>
          </w:tcPr>
          <w:p>
            <w:pPr>
              <w:pStyle w:val="TableParagraph"/>
              <w:spacing w:before="75"/>
              <w:ind w:left="115"/>
              <w:jc w:val="left"/>
              <w:rPr>
                <w:sz w:val="22"/>
              </w:rPr>
            </w:pPr>
            <w:r>
              <w:rPr>
                <w:sz w:val="22"/>
              </w:rPr>
              <w:t>Perfluorobutanoic acid (PFBA)</w:t>
            </w:r>
          </w:p>
        </w:tc>
        <w:tc>
          <w:tcPr>
            <w:tcW w:w="1977" w:type="dxa"/>
          </w:tcPr>
          <w:p>
            <w:pPr>
              <w:pStyle w:val="TableParagraph"/>
              <w:spacing w:before="75"/>
              <w:ind w:right="109"/>
              <w:jc w:val="right"/>
              <w:rPr>
                <w:sz w:val="22"/>
              </w:rPr>
            </w:pPr>
            <w:r>
              <w:rPr>
                <w:w w:val="95"/>
                <w:sz w:val="22"/>
              </w:rPr>
              <w:t>375-22-4</w:t>
            </w:r>
          </w:p>
        </w:tc>
      </w:tr>
      <w:tr>
        <w:trPr>
          <w:trHeight w:val="410" w:hRule="atLeast"/>
        </w:trPr>
        <w:tc>
          <w:tcPr>
            <w:tcW w:w="6151" w:type="dxa"/>
          </w:tcPr>
          <w:p>
            <w:pPr>
              <w:pStyle w:val="TableParagraph"/>
              <w:spacing w:before="75"/>
              <w:ind w:left="115"/>
              <w:jc w:val="left"/>
              <w:rPr>
                <w:sz w:val="22"/>
              </w:rPr>
            </w:pPr>
            <w:r>
              <w:rPr>
                <w:sz w:val="22"/>
              </w:rPr>
              <w:t>Perfluoropentanoic acid (PFPeA)</w:t>
            </w:r>
          </w:p>
        </w:tc>
        <w:tc>
          <w:tcPr>
            <w:tcW w:w="1977" w:type="dxa"/>
          </w:tcPr>
          <w:p>
            <w:pPr>
              <w:pStyle w:val="TableParagraph"/>
              <w:spacing w:before="75"/>
              <w:ind w:right="109"/>
              <w:jc w:val="right"/>
              <w:rPr>
                <w:sz w:val="22"/>
              </w:rPr>
            </w:pPr>
            <w:r>
              <w:rPr>
                <w:w w:val="95"/>
                <w:sz w:val="22"/>
              </w:rPr>
              <w:t>2706-90-3</w:t>
            </w:r>
          </w:p>
        </w:tc>
      </w:tr>
      <w:tr>
        <w:trPr>
          <w:trHeight w:val="410" w:hRule="atLeast"/>
        </w:trPr>
        <w:tc>
          <w:tcPr>
            <w:tcW w:w="6151" w:type="dxa"/>
          </w:tcPr>
          <w:p>
            <w:pPr>
              <w:pStyle w:val="TableParagraph"/>
              <w:spacing w:before="75"/>
              <w:ind w:left="115"/>
              <w:jc w:val="left"/>
              <w:rPr>
                <w:sz w:val="22"/>
              </w:rPr>
            </w:pPr>
            <w:r>
              <w:rPr>
                <w:sz w:val="22"/>
              </w:rPr>
              <w:t>Perfluorohexanoic acid (PFHxA)</w:t>
            </w:r>
          </w:p>
        </w:tc>
        <w:tc>
          <w:tcPr>
            <w:tcW w:w="1977" w:type="dxa"/>
          </w:tcPr>
          <w:p>
            <w:pPr>
              <w:pStyle w:val="TableParagraph"/>
              <w:spacing w:before="75"/>
              <w:ind w:right="109"/>
              <w:jc w:val="right"/>
              <w:rPr>
                <w:sz w:val="22"/>
              </w:rPr>
            </w:pPr>
            <w:r>
              <w:rPr>
                <w:w w:val="95"/>
                <w:sz w:val="22"/>
              </w:rPr>
              <w:t>307-24-4</w:t>
            </w:r>
          </w:p>
        </w:tc>
      </w:tr>
      <w:tr>
        <w:trPr>
          <w:trHeight w:val="410" w:hRule="atLeast"/>
        </w:trPr>
        <w:tc>
          <w:tcPr>
            <w:tcW w:w="6151" w:type="dxa"/>
          </w:tcPr>
          <w:p>
            <w:pPr>
              <w:pStyle w:val="TableParagraph"/>
              <w:spacing w:before="75"/>
              <w:ind w:left="115"/>
              <w:jc w:val="left"/>
              <w:rPr>
                <w:sz w:val="22"/>
              </w:rPr>
            </w:pPr>
            <w:r>
              <w:rPr>
                <w:sz w:val="22"/>
              </w:rPr>
              <w:t>Perfluoroheptanoic acid (PFHpA)</w:t>
            </w:r>
          </w:p>
        </w:tc>
        <w:tc>
          <w:tcPr>
            <w:tcW w:w="1977" w:type="dxa"/>
          </w:tcPr>
          <w:p>
            <w:pPr>
              <w:pStyle w:val="TableParagraph"/>
              <w:spacing w:before="75"/>
              <w:ind w:right="109"/>
              <w:jc w:val="right"/>
              <w:rPr>
                <w:sz w:val="22"/>
              </w:rPr>
            </w:pPr>
            <w:r>
              <w:rPr>
                <w:w w:val="95"/>
                <w:sz w:val="22"/>
              </w:rPr>
              <w:t>375-85-9</w:t>
            </w:r>
          </w:p>
        </w:tc>
      </w:tr>
      <w:tr>
        <w:trPr>
          <w:trHeight w:val="410" w:hRule="atLeast"/>
        </w:trPr>
        <w:tc>
          <w:tcPr>
            <w:tcW w:w="6151" w:type="dxa"/>
          </w:tcPr>
          <w:p>
            <w:pPr>
              <w:pStyle w:val="TableParagraph"/>
              <w:spacing w:before="75"/>
              <w:ind w:left="115"/>
              <w:jc w:val="left"/>
              <w:rPr>
                <w:sz w:val="22"/>
              </w:rPr>
            </w:pPr>
            <w:r>
              <w:rPr>
                <w:sz w:val="22"/>
              </w:rPr>
              <w:t>Perfluorooctanoic acid (PFOA)</w:t>
            </w:r>
          </w:p>
        </w:tc>
        <w:tc>
          <w:tcPr>
            <w:tcW w:w="1977" w:type="dxa"/>
          </w:tcPr>
          <w:p>
            <w:pPr>
              <w:pStyle w:val="TableParagraph"/>
              <w:spacing w:before="75"/>
              <w:ind w:right="109"/>
              <w:jc w:val="right"/>
              <w:rPr>
                <w:sz w:val="22"/>
              </w:rPr>
            </w:pPr>
            <w:r>
              <w:rPr>
                <w:w w:val="95"/>
                <w:sz w:val="22"/>
              </w:rPr>
              <w:t>335-67-1</w:t>
            </w:r>
          </w:p>
        </w:tc>
      </w:tr>
      <w:tr>
        <w:trPr>
          <w:trHeight w:val="410" w:hRule="atLeast"/>
        </w:trPr>
        <w:tc>
          <w:tcPr>
            <w:tcW w:w="6151" w:type="dxa"/>
          </w:tcPr>
          <w:p>
            <w:pPr>
              <w:pStyle w:val="TableParagraph"/>
              <w:spacing w:before="75"/>
              <w:ind w:left="114"/>
              <w:jc w:val="left"/>
              <w:rPr>
                <w:sz w:val="22"/>
              </w:rPr>
            </w:pPr>
            <w:r>
              <w:rPr>
                <w:sz w:val="22"/>
              </w:rPr>
              <w:t>Perfluorononanoic acid (PFNA)</w:t>
            </w:r>
          </w:p>
        </w:tc>
        <w:tc>
          <w:tcPr>
            <w:tcW w:w="1977" w:type="dxa"/>
          </w:tcPr>
          <w:p>
            <w:pPr>
              <w:pStyle w:val="TableParagraph"/>
              <w:spacing w:before="75"/>
              <w:ind w:right="110"/>
              <w:jc w:val="right"/>
              <w:rPr>
                <w:sz w:val="22"/>
              </w:rPr>
            </w:pPr>
            <w:r>
              <w:rPr>
                <w:w w:val="95"/>
                <w:sz w:val="22"/>
              </w:rPr>
              <w:t>375-95-1</w:t>
            </w:r>
          </w:p>
        </w:tc>
      </w:tr>
      <w:tr>
        <w:trPr>
          <w:trHeight w:val="410" w:hRule="atLeast"/>
        </w:trPr>
        <w:tc>
          <w:tcPr>
            <w:tcW w:w="6151" w:type="dxa"/>
          </w:tcPr>
          <w:p>
            <w:pPr>
              <w:pStyle w:val="TableParagraph"/>
              <w:spacing w:before="75"/>
              <w:ind w:left="114"/>
              <w:jc w:val="left"/>
              <w:rPr>
                <w:sz w:val="22"/>
              </w:rPr>
            </w:pPr>
            <w:r>
              <w:rPr>
                <w:sz w:val="22"/>
              </w:rPr>
              <w:t>Perfluorodecanoic acid (PFDA)</w:t>
            </w:r>
          </w:p>
        </w:tc>
        <w:tc>
          <w:tcPr>
            <w:tcW w:w="1977" w:type="dxa"/>
          </w:tcPr>
          <w:p>
            <w:pPr>
              <w:pStyle w:val="TableParagraph"/>
              <w:spacing w:before="75"/>
              <w:ind w:right="110"/>
              <w:jc w:val="right"/>
              <w:rPr>
                <w:sz w:val="22"/>
              </w:rPr>
            </w:pPr>
            <w:r>
              <w:rPr>
                <w:w w:val="95"/>
                <w:sz w:val="22"/>
              </w:rPr>
              <w:t>335-76-2</w:t>
            </w:r>
          </w:p>
        </w:tc>
      </w:tr>
      <w:tr>
        <w:trPr>
          <w:trHeight w:val="410" w:hRule="atLeast"/>
        </w:trPr>
        <w:tc>
          <w:tcPr>
            <w:tcW w:w="6151" w:type="dxa"/>
          </w:tcPr>
          <w:p>
            <w:pPr>
              <w:pStyle w:val="TableParagraph"/>
              <w:spacing w:before="75"/>
              <w:ind w:left="114"/>
              <w:jc w:val="left"/>
              <w:rPr>
                <w:sz w:val="22"/>
              </w:rPr>
            </w:pPr>
            <w:r>
              <w:rPr>
                <w:sz w:val="22"/>
              </w:rPr>
              <w:t>Perfluoroundecanoic acid (PFUdA)</w:t>
            </w:r>
          </w:p>
        </w:tc>
        <w:tc>
          <w:tcPr>
            <w:tcW w:w="1977" w:type="dxa"/>
          </w:tcPr>
          <w:p>
            <w:pPr>
              <w:pStyle w:val="TableParagraph"/>
              <w:spacing w:before="75"/>
              <w:ind w:right="110"/>
              <w:jc w:val="right"/>
              <w:rPr>
                <w:sz w:val="22"/>
              </w:rPr>
            </w:pPr>
            <w:r>
              <w:rPr>
                <w:w w:val="95"/>
                <w:sz w:val="22"/>
              </w:rPr>
              <w:t>2058-94-8</w:t>
            </w:r>
          </w:p>
        </w:tc>
      </w:tr>
      <w:tr>
        <w:trPr>
          <w:trHeight w:val="410" w:hRule="atLeast"/>
        </w:trPr>
        <w:tc>
          <w:tcPr>
            <w:tcW w:w="6151" w:type="dxa"/>
          </w:tcPr>
          <w:p>
            <w:pPr>
              <w:pStyle w:val="TableParagraph"/>
              <w:spacing w:before="75"/>
              <w:ind w:left="114"/>
              <w:jc w:val="left"/>
              <w:rPr>
                <w:sz w:val="22"/>
              </w:rPr>
            </w:pPr>
            <w:r>
              <w:rPr>
                <w:sz w:val="22"/>
              </w:rPr>
              <w:t>Perfluorododecanoic acid (PFDoA)</w:t>
            </w:r>
          </w:p>
        </w:tc>
        <w:tc>
          <w:tcPr>
            <w:tcW w:w="1977" w:type="dxa"/>
          </w:tcPr>
          <w:p>
            <w:pPr>
              <w:pStyle w:val="TableParagraph"/>
              <w:spacing w:before="75"/>
              <w:ind w:right="110"/>
              <w:jc w:val="right"/>
              <w:rPr>
                <w:sz w:val="22"/>
              </w:rPr>
            </w:pPr>
            <w:r>
              <w:rPr>
                <w:w w:val="95"/>
                <w:sz w:val="22"/>
              </w:rPr>
              <w:t>307-55-1</w:t>
            </w:r>
          </w:p>
        </w:tc>
      </w:tr>
      <w:tr>
        <w:trPr>
          <w:trHeight w:val="410" w:hRule="atLeast"/>
        </w:trPr>
        <w:tc>
          <w:tcPr>
            <w:tcW w:w="6151" w:type="dxa"/>
          </w:tcPr>
          <w:p>
            <w:pPr>
              <w:pStyle w:val="TableParagraph"/>
              <w:spacing w:before="75"/>
              <w:ind w:left="114"/>
              <w:jc w:val="left"/>
              <w:rPr>
                <w:sz w:val="22"/>
              </w:rPr>
            </w:pPr>
            <w:r>
              <w:rPr>
                <w:sz w:val="22"/>
              </w:rPr>
              <w:t>Perfluorotridecanoic acid (PFTrDA)</w:t>
            </w:r>
          </w:p>
        </w:tc>
        <w:tc>
          <w:tcPr>
            <w:tcW w:w="1977" w:type="dxa"/>
          </w:tcPr>
          <w:p>
            <w:pPr>
              <w:pStyle w:val="TableParagraph"/>
              <w:spacing w:before="75"/>
              <w:ind w:right="111"/>
              <w:jc w:val="right"/>
              <w:rPr>
                <w:sz w:val="22"/>
              </w:rPr>
            </w:pPr>
            <w:r>
              <w:rPr>
                <w:w w:val="95"/>
                <w:sz w:val="22"/>
              </w:rPr>
              <w:t>72629-94-8</w:t>
            </w:r>
          </w:p>
        </w:tc>
      </w:tr>
      <w:tr>
        <w:trPr>
          <w:trHeight w:val="411" w:hRule="atLeast"/>
        </w:trPr>
        <w:tc>
          <w:tcPr>
            <w:tcW w:w="6151" w:type="dxa"/>
          </w:tcPr>
          <w:p>
            <w:pPr>
              <w:pStyle w:val="TableParagraph"/>
              <w:spacing w:before="75"/>
              <w:ind w:left="113"/>
              <w:jc w:val="left"/>
              <w:rPr>
                <w:sz w:val="22"/>
              </w:rPr>
            </w:pPr>
            <w:r>
              <w:rPr>
                <w:sz w:val="22"/>
              </w:rPr>
              <w:t>Perfluorotetradecanoic acid (PFTeDA)</w:t>
            </w:r>
          </w:p>
        </w:tc>
        <w:tc>
          <w:tcPr>
            <w:tcW w:w="1977" w:type="dxa"/>
          </w:tcPr>
          <w:p>
            <w:pPr>
              <w:pStyle w:val="TableParagraph"/>
              <w:spacing w:before="75"/>
              <w:ind w:right="110"/>
              <w:jc w:val="right"/>
              <w:rPr>
                <w:sz w:val="22"/>
              </w:rPr>
            </w:pPr>
            <w:r>
              <w:rPr>
                <w:w w:val="95"/>
                <w:sz w:val="22"/>
              </w:rPr>
              <w:t>376-06-7</w:t>
            </w:r>
          </w:p>
        </w:tc>
      </w:tr>
      <w:tr>
        <w:trPr>
          <w:trHeight w:val="411" w:hRule="atLeast"/>
        </w:trPr>
        <w:tc>
          <w:tcPr>
            <w:tcW w:w="6151" w:type="dxa"/>
          </w:tcPr>
          <w:p>
            <w:pPr>
              <w:pStyle w:val="TableParagraph"/>
              <w:spacing w:before="75"/>
              <w:ind w:left="115"/>
              <w:jc w:val="left"/>
              <w:rPr>
                <w:sz w:val="22"/>
              </w:rPr>
            </w:pPr>
            <w:r>
              <w:rPr>
                <w:sz w:val="22"/>
                <w:u w:val="single"/>
              </w:rPr>
              <w:t>PFAS sulfonamides and sulfonamidoacetic acids</w:t>
            </w:r>
          </w:p>
        </w:tc>
        <w:tc>
          <w:tcPr>
            <w:tcW w:w="1977" w:type="dxa"/>
          </w:tcPr>
          <w:p>
            <w:pPr>
              <w:pStyle w:val="TableParagraph"/>
              <w:spacing w:before="0"/>
              <w:jc w:val="left"/>
              <w:rPr>
                <w:rFonts w:ascii="Times New Roman"/>
                <w:sz w:val="20"/>
              </w:rPr>
            </w:pPr>
          </w:p>
        </w:tc>
      </w:tr>
      <w:tr>
        <w:trPr>
          <w:trHeight w:val="702" w:hRule="atLeast"/>
        </w:trPr>
        <w:tc>
          <w:tcPr>
            <w:tcW w:w="6151" w:type="dxa"/>
          </w:tcPr>
          <w:p>
            <w:pPr>
              <w:pStyle w:val="TableParagraph"/>
              <w:spacing w:line="276" w:lineRule="auto" w:before="75"/>
              <w:ind w:left="115" w:right="929"/>
              <w:jc w:val="left"/>
              <w:rPr>
                <w:sz w:val="22"/>
              </w:rPr>
            </w:pPr>
            <w:r>
              <w:rPr>
                <w:sz w:val="22"/>
              </w:rPr>
              <w:t>N-ethylperfluoro-1-octanesulfonamidoacetic acid (N- EtFOSAA)</w:t>
            </w:r>
          </w:p>
        </w:tc>
        <w:tc>
          <w:tcPr>
            <w:tcW w:w="1977" w:type="dxa"/>
          </w:tcPr>
          <w:p>
            <w:pPr>
              <w:pStyle w:val="TableParagraph"/>
              <w:spacing w:before="75"/>
              <w:ind w:right="109"/>
              <w:jc w:val="right"/>
              <w:rPr>
                <w:sz w:val="22"/>
              </w:rPr>
            </w:pPr>
            <w:r>
              <w:rPr>
                <w:w w:val="95"/>
                <w:sz w:val="22"/>
              </w:rPr>
              <w:t>2991-50-6</w:t>
            </w:r>
          </w:p>
        </w:tc>
      </w:tr>
      <w:tr>
        <w:trPr>
          <w:trHeight w:val="701" w:hRule="atLeast"/>
        </w:trPr>
        <w:tc>
          <w:tcPr>
            <w:tcW w:w="6151" w:type="dxa"/>
          </w:tcPr>
          <w:p>
            <w:pPr>
              <w:pStyle w:val="TableParagraph"/>
              <w:spacing w:line="276" w:lineRule="auto" w:before="75"/>
              <w:ind w:left="115" w:right="746"/>
              <w:jc w:val="left"/>
              <w:rPr>
                <w:sz w:val="22"/>
              </w:rPr>
            </w:pPr>
            <w:r>
              <w:rPr>
                <w:sz w:val="22"/>
              </w:rPr>
              <w:t>N-methylperfluoro-1-octanesulfonamidoacetic acid (N- MeFOSAA)</w:t>
            </w:r>
          </w:p>
        </w:tc>
        <w:tc>
          <w:tcPr>
            <w:tcW w:w="1977" w:type="dxa"/>
          </w:tcPr>
          <w:p>
            <w:pPr>
              <w:pStyle w:val="TableParagraph"/>
              <w:spacing w:before="75"/>
              <w:ind w:right="109"/>
              <w:jc w:val="right"/>
              <w:rPr>
                <w:sz w:val="22"/>
              </w:rPr>
            </w:pPr>
            <w:r>
              <w:rPr>
                <w:w w:val="95"/>
                <w:sz w:val="22"/>
              </w:rPr>
              <w:t>2355-31-9</w:t>
            </w:r>
          </w:p>
        </w:tc>
      </w:tr>
      <w:tr>
        <w:trPr>
          <w:trHeight w:val="426" w:hRule="atLeast"/>
        </w:trPr>
        <w:tc>
          <w:tcPr>
            <w:tcW w:w="6151" w:type="dxa"/>
            <w:tcBorders>
              <w:bottom w:val="double" w:sz="1" w:space="0" w:color="000000"/>
            </w:tcBorders>
          </w:tcPr>
          <w:p>
            <w:pPr>
              <w:pStyle w:val="TableParagraph"/>
              <w:spacing w:before="75"/>
              <w:ind w:left="115"/>
              <w:jc w:val="left"/>
              <w:rPr>
                <w:sz w:val="22"/>
              </w:rPr>
            </w:pPr>
            <w:r>
              <w:rPr>
                <w:sz w:val="22"/>
              </w:rPr>
              <w:t>Perfluoro-1-octanesulfonamide (FOSA)</w:t>
            </w:r>
          </w:p>
        </w:tc>
        <w:tc>
          <w:tcPr>
            <w:tcW w:w="1977" w:type="dxa"/>
            <w:tcBorders>
              <w:bottom w:val="double" w:sz="1" w:space="0" w:color="000000"/>
            </w:tcBorders>
          </w:tcPr>
          <w:p>
            <w:pPr>
              <w:pStyle w:val="TableParagraph"/>
              <w:spacing w:before="75"/>
              <w:ind w:right="109"/>
              <w:jc w:val="right"/>
              <w:rPr>
                <w:sz w:val="22"/>
              </w:rPr>
            </w:pPr>
            <w:r>
              <w:rPr>
                <w:w w:val="95"/>
                <w:sz w:val="22"/>
              </w:rPr>
              <w:t>754-91-6</w:t>
            </w:r>
          </w:p>
        </w:tc>
      </w:tr>
    </w:tbl>
    <w:p>
      <w:pPr>
        <w:pStyle w:val="BodyText"/>
        <w:spacing w:line="276" w:lineRule="auto" w:before="9"/>
        <w:ind w:left="1699" w:right="974" w:firstLine="720"/>
      </w:pPr>
      <w:r>
        <w:rPr/>
        <w:t>*Standards for some target analytes may consist of mixtures of structural isomers; however, the Chemical Abstracts Service (CAS) Registry Number (RN) listed in the table is for the normal-chain isomer. All CAS RNs in the above table are for the acid form. Sulfonic acids in stock standard mixes are typically received as the sodium or potassium salt form. CAS RNs for the salt form are not included.</w:t>
      </w:r>
    </w:p>
    <w:p>
      <w:pPr>
        <w:spacing w:after="0" w:line="276" w:lineRule="auto"/>
        <w:sectPr>
          <w:pgSz w:w="12240" w:h="15840"/>
          <w:pgMar w:header="0" w:footer="1214" w:top="1140" w:bottom="1400" w:left="460" w:right="480"/>
        </w:sectPr>
      </w:pPr>
    </w:p>
    <w:p>
      <w:pPr>
        <w:pStyle w:val="BodyText"/>
        <w:tabs>
          <w:tab w:pos="2420" w:val="left" w:leader="none"/>
        </w:tabs>
        <w:spacing w:line="276" w:lineRule="auto" w:before="70"/>
        <w:ind w:left="980" w:right="1111" w:firstLine="719"/>
      </w:pPr>
      <w:bookmarkStart w:name="B1.3 This technique may also be applicab" w:id="345"/>
      <w:bookmarkEnd w:id="345"/>
      <w:r>
        <w:rPr/>
      </w:r>
      <w:r>
        <w:rPr/>
        <w:t>B1.3</w:t>
        <w:tab/>
        <w:t>This technique may also be applicable to other PFAS compounds, provided that the analyst demonstrates adequate performance (e.g., recovery of 70 - 130%, or at levels that meet project-specific recovery criteria) using spiked sample matrices and an appropriate determinative method of the type included as an 8000 series method in SW-846. The use of organic-free reagent water alone is not considered sufficient for conducting such performance studies; performance must be supported by data from actual sample</w:t>
      </w:r>
      <w:r>
        <w:rPr>
          <w:spacing w:val="-8"/>
        </w:rPr>
        <w:t> </w:t>
      </w:r>
      <w:r>
        <w:rPr/>
        <w:t>matrices.</w:t>
      </w:r>
    </w:p>
    <w:p>
      <w:pPr>
        <w:pStyle w:val="BodyText"/>
        <w:tabs>
          <w:tab w:pos="2420" w:val="left" w:leader="none"/>
        </w:tabs>
        <w:spacing w:line="276" w:lineRule="auto" w:before="121"/>
        <w:ind w:left="980" w:right="1068" w:firstLine="719"/>
      </w:pPr>
      <w:bookmarkStart w:name="B1.4 This method may not be appropriate " w:id="346"/>
      <w:bookmarkEnd w:id="346"/>
      <w:r>
        <w:rPr/>
      </w:r>
      <w:r>
        <w:rPr/>
        <w:t>B1.4</w:t>
        <w:tab/>
        <w:t>This method may not be appropriate for aqueous samples with high levels of suspended solids. If significant particulate matter is present and the total sample is of concern, then the sample should be treated as a multi-phase sample per SW-846 Chapter</w:t>
      </w:r>
      <w:r>
        <w:rPr>
          <w:spacing w:val="-10"/>
        </w:rPr>
        <w:t> </w:t>
      </w:r>
      <w:r>
        <w:rPr/>
        <w:t>Two.</w:t>
      </w:r>
    </w:p>
    <w:p>
      <w:pPr>
        <w:pStyle w:val="BodyText"/>
        <w:tabs>
          <w:tab w:pos="2420" w:val="left" w:leader="none"/>
        </w:tabs>
        <w:spacing w:line="276" w:lineRule="auto" w:before="119"/>
        <w:ind w:left="980" w:right="1124" w:firstLine="720"/>
      </w:pPr>
      <w:bookmarkStart w:name="B1.5 Prior to employing this method, ana" w:id="347"/>
      <w:bookmarkEnd w:id="347"/>
      <w:r>
        <w:rPr/>
      </w:r>
      <w:r>
        <w:rPr/>
        <w:t>B1.5</w:t>
        <w:tab/>
        <w:t>Prior</w:t>
      </w:r>
      <w:r>
        <w:rPr>
          <w:spacing w:val="-6"/>
        </w:rPr>
        <w:t> </w:t>
      </w:r>
      <w:r>
        <w:rPr/>
        <w:t>to</w:t>
      </w:r>
      <w:r>
        <w:rPr>
          <w:spacing w:val="-8"/>
        </w:rPr>
        <w:t> </w:t>
      </w:r>
      <w:r>
        <w:rPr/>
        <w:t>employing</w:t>
      </w:r>
      <w:r>
        <w:rPr>
          <w:spacing w:val="-3"/>
        </w:rPr>
        <w:t> </w:t>
      </w:r>
      <w:r>
        <w:rPr/>
        <w:t>this</w:t>
      </w:r>
      <w:r>
        <w:rPr>
          <w:spacing w:val="-8"/>
        </w:rPr>
        <w:t> </w:t>
      </w:r>
      <w:r>
        <w:rPr/>
        <w:t>method,</w:t>
      </w:r>
      <w:r>
        <w:rPr>
          <w:spacing w:val="-7"/>
        </w:rPr>
        <w:t> </w:t>
      </w:r>
      <w:r>
        <w:rPr/>
        <w:t>analysts</w:t>
      </w:r>
      <w:r>
        <w:rPr>
          <w:spacing w:val="-5"/>
        </w:rPr>
        <w:t> </w:t>
      </w:r>
      <w:r>
        <w:rPr/>
        <w:t>are</w:t>
      </w:r>
      <w:r>
        <w:rPr>
          <w:spacing w:val="-8"/>
        </w:rPr>
        <w:t> </w:t>
      </w:r>
      <w:r>
        <w:rPr/>
        <w:t>advised</w:t>
      </w:r>
      <w:r>
        <w:rPr>
          <w:spacing w:val="-4"/>
        </w:rPr>
        <w:t> </w:t>
      </w:r>
      <w:r>
        <w:rPr/>
        <w:t>to</w:t>
      </w:r>
      <w:r>
        <w:rPr>
          <w:spacing w:val="-8"/>
        </w:rPr>
        <w:t> </w:t>
      </w:r>
      <w:r>
        <w:rPr/>
        <w:t>consult</w:t>
      </w:r>
      <w:r>
        <w:rPr>
          <w:spacing w:val="-8"/>
        </w:rPr>
        <w:t> </w:t>
      </w:r>
      <w:r>
        <w:rPr/>
        <w:t>the</w:t>
      </w:r>
      <w:r>
        <w:rPr>
          <w:spacing w:val="-6"/>
        </w:rPr>
        <w:t> </w:t>
      </w:r>
      <w:r>
        <w:rPr/>
        <w:t>base</w:t>
      </w:r>
      <w:r>
        <w:rPr>
          <w:spacing w:val="-7"/>
        </w:rPr>
        <w:t> </w:t>
      </w:r>
      <w:r>
        <w:rPr/>
        <w:t>method for each type of procedure that may be employed in the overall analysis (e.g., Methods 3500, 3600, and 8000) for additional information on quality control procedures, development of QC acceptance criteria, calculations, and general guidance. Analysts also should consult the disclaimer statement at the front of the manual and the information in SW-846 Chapter Two</w:t>
      </w:r>
      <w:r>
        <w:rPr>
          <w:spacing w:val="-27"/>
        </w:rPr>
        <w:t> </w:t>
      </w:r>
      <w:r>
        <w:rPr/>
        <w:t>for guidance on the intended flexibility in the choice of methods, apparatus, materials, reagents, andsupplies, and on the responsibilities of the analyst for demonstrating that the techniques employed are appropriate for the analytes of interest, in the matrix of interest, and at the levels of</w:t>
      </w:r>
      <w:r>
        <w:rPr>
          <w:spacing w:val="-25"/>
        </w:rPr>
        <w:t> </w:t>
      </w:r>
      <w:r>
        <w:rPr/>
        <w:t>concern.</w:t>
      </w:r>
    </w:p>
    <w:p>
      <w:pPr>
        <w:pStyle w:val="BodyText"/>
        <w:spacing w:line="276" w:lineRule="auto" w:before="120"/>
        <w:ind w:left="980" w:right="1068" w:firstLine="720"/>
      </w:pPr>
      <w:bookmarkStart w:name="In addition, analysts and data users are" w:id="348"/>
      <w:bookmarkEnd w:id="348"/>
      <w:r>
        <w:rPr/>
      </w:r>
      <w:r>
        <w:rPr/>
        <w:t>In addition, analysts and data users are advised that, except where explicitly required in a regulation, the use of SW-846 methods is </w:t>
      </w:r>
      <w:r>
        <w:rPr>
          <w:i/>
        </w:rPr>
        <w:t>not </w:t>
      </w:r>
      <w:r>
        <w:rPr/>
        <w:t>mandatory in response to Federal testing requirements. The information contained in this method is provided by EPA as guidance to be used by the analyst and the regulated community in making judgments necessary to generate results that meet the data quality objectives for the intended application.</w:t>
      </w:r>
    </w:p>
    <w:p>
      <w:pPr>
        <w:pStyle w:val="BodyText"/>
        <w:tabs>
          <w:tab w:pos="2420" w:val="left" w:leader="none"/>
        </w:tabs>
        <w:spacing w:line="276" w:lineRule="auto" w:before="121"/>
        <w:ind w:left="980" w:right="1149" w:firstLine="719"/>
      </w:pPr>
      <w:bookmarkStart w:name="B1.6 Use of this method is restricted to" w:id="349"/>
      <w:bookmarkEnd w:id="349"/>
      <w:r>
        <w:rPr/>
      </w:r>
      <w:r>
        <w:rPr/>
        <w:t>B1.6</w:t>
        <w:tab/>
        <w:t>Use of this method is restricted to use by, or under supervision of, appropriately experienced and trained personnel. Each analyst must demonstrate the ability to generate acceptable results with this</w:t>
      </w:r>
      <w:r>
        <w:rPr>
          <w:spacing w:val="-3"/>
        </w:rPr>
        <w:t> </w:t>
      </w:r>
      <w:r>
        <w:rPr/>
        <w:t>method.</w:t>
      </w:r>
    </w:p>
    <w:p>
      <w:pPr>
        <w:pStyle w:val="BodyText"/>
        <w:spacing w:before="3"/>
        <w:rPr>
          <w:sz w:val="31"/>
        </w:rPr>
      </w:pPr>
    </w:p>
    <w:p>
      <w:pPr>
        <w:pStyle w:val="BodyText"/>
        <w:tabs>
          <w:tab w:pos="1700" w:val="left" w:leader="none"/>
        </w:tabs>
        <w:ind w:left="980"/>
      </w:pPr>
      <w:r>
        <w:rPr/>
        <w:t>B2.0</w:t>
        <w:tab/>
        <w:t>SUMMARY OF METHOD</w:t>
      </w:r>
    </w:p>
    <w:p>
      <w:pPr>
        <w:pStyle w:val="BodyText"/>
        <w:spacing w:before="1"/>
        <w:rPr>
          <w:sz w:val="24"/>
        </w:rPr>
      </w:pPr>
    </w:p>
    <w:p>
      <w:pPr>
        <w:pStyle w:val="BodyText"/>
        <w:spacing w:line="276" w:lineRule="auto"/>
        <w:ind w:left="980" w:right="974" w:firstLine="719"/>
        <w:jc w:val="both"/>
      </w:pPr>
      <w:bookmarkStart w:name="B2.1 Samples are prepared by adding mass" w:id="350"/>
      <w:bookmarkEnd w:id="350"/>
      <w:r>
        <w:rPr/>
      </w:r>
      <w:r>
        <w:rPr/>
        <w:t>B2.1 Samples are prepared by adding mass-labelled PFAS isotopes (as surrogates or as isotope dilution internal standards, depending on determinative method), diluting samples 1:1 with the appropriate organic solvent, filtering and pH adjustment, if</w:t>
      </w:r>
      <w:r>
        <w:rPr>
          <w:spacing w:val="-7"/>
        </w:rPr>
        <w:t> </w:t>
      </w:r>
      <w:r>
        <w:rPr/>
        <w:t>necessary.</w:t>
      </w:r>
    </w:p>
    <w:p>
      <w:pPr>
        <w:pStyle w:val="BodyText"/>
        <w:spacing w:line="276" w:lineRule="auto" w:before="121"/>
        <w:ind w:left="981" w:right="1334" w:firstLine="719"/>
        <w:jc w:val="both"/>
      </w:pPr>
      <w:bookmarkStart w:name="B2.2 Determinative analysis is performed" w:id="351"/>
      <w:bookmarkEnd w:id="351"/>
      <w:r>
        <w:rPr/>
      </w:r>
      <w:r>
        <w:rPr/>
        <w:t>B2.2 Determinative analysis is performed using the appropriate LC/MS/MS method (e.g., 8327, 8328).</w:t>
      </w:r>
    </w:p>
    <w:p>
      <w:pPr>
        <w:pStyle w:val="BodyText"/>
        <w:spacing w:before="3"/>
        <w:rPr>
          <w:sz w:val="31"/>
        </w:rPr>
      </w:pPr>
    </w:p>
    <w:p>
      <w:pPr>
        <w:pStyle w:val="BodyText"/>
        <w:tabs>
          <w:tab w:pos="1701" w:val="left" w:leader="none"/>
        </w:tabs>
        <w:ind w:left="981"/>
      </w:pPr>
      <w:r>
        <w:rPr/>
        <w:t>B3.0</w:t>
        <w:tab/>
        <w:t>DEFINITIONS</w:t>
      </w:r>
    </w:p>
    <w:p>
      <w:pPr>
        <w:pStyle w:val="BodyText"/>
        <w:spacing w:before="2"/>
        <w:rPr>
          <w:sz w:val="24"/>
        </w:rPr>
      </w:pPr>
    </w:p>
    <w:p>
      <w:pPr>
        <w:pStyle w:val="BodyText"/>
        <w:spacing w:line="276" w:lineRule="auto"/>
        <w:ind w:left="981" w:right="1087" w:firstLine="720"/>
      </w:pPr>
      <w:r>
        <w:rPr/>
        <w:t>Refer to the SW-846 Chapter One for and the manufacturer's instructions for definitions that may be relevant to this procedure.</w:t>
      </w:r>
    </w:p>
    <w:p>
      <w:pPr>
        <w:pStyle w:val="BodyText"/>
        <w:spacing w:before="120"/>
        <w:ind w:left="2420"/>
      </w:pPr>
      <w:r>
        <w:rPr>
          <w:w w:val="99"/>
        </w:rPr>
        <w:t>.</w:t>
      </w:r>
    </w:p>
    <w:p>
      <w:pPr>
        <w:spacing w:after="0"/>
        <w:sectPr>
          <w:pgSz w:w="12240" w:h="15840"/>
          <w:pgMar w:header="0" w:footer="1214" w:top="1060" w:bottom="1400" w:left="460" w:right="480"/>
        </w:sectPr>
      </w:pPr>
    </w:p>
    <w:p>
      <w:pPr>
        <w:pStyle w:val="BodyText"/>
        <w:tabs>
          <w:tab w:pos="1700" w:val="left" w:leader="none"/>
        </w:tabs>
        <w:spacing w:before="70"/>
        <w:ind w:left="980"/>
      </w:pPr>
      <w:r>
        <w:rPr/>
        <w:t>B4.0</w:t>
        <w:tab/>
        <w:t>INTERFERENCES</w:t>
      </w:r>
    </w:p>
    <w:p>
      <w:pPr>
        <w:pStyle w:val="BodyText"/>
        <w:spacing w:before="3"/>
        <w:rPr>
          <w:sz w:val="24"/>
        </w:rPr>
      </w:pPr>
    </w:p>
    <w:p>
      <w:pPr>
        <w:pStyle w:val="BodyText"/>
        <w:tabs>
          <w:tab w:pos="2420" w:val="left" w:leader="none"/>
        </w:tabs>
        <w:spacing w:line="276" w:lineRule="auto"/>
        <w:ind w:left="980" w:right="976" w:firstLine="719"/>
      </w:pPr>
      <w:bookmarkStart w:name="B4.1 In order to avoid compromising data" w:id="352"/>
      <w:bookmarkEnd w:id="352"/>
      <w:r>
        <w:rPr/>
      </w:r>
      <w:r>
        <w:rPr/>
        <w:t>B4.1</w:t>
        <w:tab/>
        <w:t>In order to avoid compromising data quality, contamination from preparation procedure must be reduced to the lowest practical level. Method blanks (MBs) and reagent blanks (RBs) are prepared and analyzed with all samples and are used to demonstrate that laboratory supplies and preparation and analysis steps do not introduce interferences or PFAS artifacts at levels that would bias quantitation. Careful selection of reagents and consumables is necessary because even low levels of PFAS contamination may alter the precision and bias of the method, and background introduced by these materials (and variability thereof) is cumulative. Refer to each determinative method to be used for specific guidance on QC procedures and to SW-846 Chapter Four for general guidance on glassware</w:t>
      </w:r>
      <w:r>
        <w:rPr>
          <w:spacing w:val="-9"/>
        </w:rPr>
        <w:t> </w:t>
      </w:r>
      <w:r>
        <w:rPr/>
        <w:t>cleaning.</w:t>
      </w:r>
    </w:p>
    <w:p>
      <w:pPr>
        <w:pStyle w:val="BodyText"/>
        <w:tabs>
          <w:tab w:pos="2420" w:val="left" w:leader="none"/>
        </w:tabs>
        <w:spacing w:line="388" w:lineRule="auto" w:before="120"/>
        <w:ind w:left="1701" w:right="1780" w:hanging="1"/>
      </w:pPr>
      <w:bookmarkStart w:name="B4.2 Refer to Method 8327 or 8328 for ad" w:id="353"/>
      <w:bookmarkEnd w:id="353"/>
      <w:r>
        <w:rPr/>
      </w:r>
      <w:r>
        <w:rPr/>
        <w:t>B4.2</w:t>
        <w:tab/>
        <w:t>Refer to Method 8327 or 8328 for additional information on</w:t>
      </w:r>
      <w:r>
        <w:rPr>
          <w:spacing w:val="-26"/>
        </w:rPr>
        <w:t> </w:t>
      </w:r>
      <w:r>
        <w:rPr/>
        <w:t>interferences.</w:t>
      </w:r>
      <w:bookmarkStart w:name="B4.3 Procedures employed to prevent or m" w:id="354"/>
      <w:bookmarkEnd w:id="354"/>
      <w:r>
        <w:rPr/>
      </w:r>
      <w:r>
        <w:rPr/>
        <w:t> B4.3</w:t>
        <w:tab/>
        <w:t>Procedures employed to prevent or minimize</w:t>
      </w:r>
      <w:r>
        <w:rPr>
          <w:spacing w:val="-3"/>
        </w:rPr>
        <w:t> </w:t>
      </w:r>
      <w:r>
        <w:rPr/>
        <w:t>problems.</w:t>
      </w:r>
    </w:p>
    <w:p>
      <w:pPr>
        <w:pStyle w:val="BodyText"/>
        <w:tabs>
          <w:tab w:pos="3688" w:val="left" w:leader="none"/>
        </w:tabs>
        <w:spacing w:line="276" w:lineRule="auto" w:before="2"/>
        <w:ind w:left="1701" w:right="1667" w:firstLine="720"/>
      </w:pPr>
      <w:bookmarkStart w:name="B4.3.1 All solvents should be of pestici" w:id="355"/>
      <w:bookmarkEnd w:id="355"/>
      <w:r>
        <w:rPr/>
      </w:r>
      <w:r>
        <w:rPr/>
        <w:t>B4.3.1</w:t>
        <w:tab/>
        <w:t>All solvents should be of pesticide residue purity or higher</w:t>
      </w:r>
      <w:r>
        <w:rPr>
          <w:spacing w:val="-17"/>
        </w:rPr>
        <w:t> </w:t>
      </w:r>
      <w:r>
        <w:rPr/>
        <w:t>(or preferably LC/MS grade) to minimize interference</w:t>
      </w:r>
      <w:r>
        <w:rPr>
          <w:spacing w:val="-4"/>
        </w:rPr>
        <w:t> </w:t>
      </w:r>
      <w:r>
        <w:rPr/>
        <w:t>problems.</w:t>
      </w:r>
    </w:p>
    <w:p>
      <w:pPr>
        <w:pStyle w:val="BodyText"/>
        <w:tabs>
          <w:tab w:pos="3688" w:val="left" w:leader="none"/>
          <w:tab w:pos="7472" w:val="left" w:leader="none"/>
        </w:tabs>
        <w:spacing w:line="276" w:lineRule="auto" w:before="120"/>
        <w:ind w:left="1701" w:right="978" w:firstLine="720"/>
      </w:pPr>
      <w:bookmarkStart w:name="B4.3.2 PFAS contamination has been found" w:id="356"/>
      <w:bookmarkEnd w:id="356"/>
      <w:r>
        <w:rPr/>
      </w:r>
      <w:r>
        <w:rPr/>
        <w:t>B4.3.2</w:t>
        <w:tab/>
        <w:t>PFAS contamination has been found in reagents, glassware, tubing, polytetrafluoroethylene (PTFE) vial caps, aluminum foil, glass disposable pipettes,</w:t>
      </w:r>
      <w:r>
        <w:rPr>
          <w:spacing w:val="-28"/>
        </w:rPr>
        <w:t> </w:t>
      </w:r>
      <w:r>
        <w:rPr/>
        <w:t>filters, and other apparatus that release</w:t>
      </w:r>
      <w:r>
        <w:rPr>
          <w:spacing w:val="-9"/>
        </w:rPr>
        <w:t> </w:t>
      </w:r>
      <w:r>
        <w:rPr/>
        <w:t>fluorinated</w:t>
      </w:r>
      <w:r>
        <w:rPr>
          <w:spacing w:val="-1"/>
        </w:rPr>
        <w:t> </w:t>
      </w:r>
      <w:r>
        <w:rPr/>
        <w:t>compounds.</w:t>
        <w:tab/>
        <w:t>All supplies and reagents should be verified prior to use. If found, measures should be taken to remove the contamination, if possible, or find other suppliers or materials to use that meet method or project</w:t>
      </w:r>
      <w:r>
        <w:rPr>
          <w:spacing w:val="-1"/>
        </w:rPr>
        <w:t> </w:t>
      </w:r>
      <w:r>
        <w:rPr/>
        <w:t>criteria.</w:t>
      </w:r>
    </w:p>
    <w:p>
      <w:pPr>
        <w:pStyle w:val="BodyText"/>
        <w:tabs>
          <w:tab w:pos="3687" w:val="left" w:leader="none"/>
        </w:tabs>
        <w:spacing w:line="276" w:lineRule="auto" w:before="119"/>
        <w:ind w:left="1700" w:right="1014" w:firstLine="720"/>
      </w:pPr>
      <w:bookmarkStart w:name="B4.3.3 Polyethylene disposable pipettes " w:id="357"/>
      <w:bookmarkEnd w:id="357"/>
      <w:r>
        <w:rPr/>
      </w:r>
      <w:r>
        <w:rPr/>
        <w:t>B4.3.3</w:t>
        <w:tab/>
        <w:t>Polyethylene disposable pipettes are recommended. Alternate materials may be used if the blank criteria in the determinative method are met. When</w:t>
      </w:r>
      <w:r>
        <w:rPr>
          <w:spacing w:val="-22"/>
        </w:rPr>
        <w:t> </w:t>
      </w:r>
      <w:r>
        <w:rPr/>
        <w:t>a new batch of disposable pipettes is received, at least one should be checked for release of target analytes or</w:t>
      </w:r>
      <w:r>
        <w:rPr>
          <w:spacing w:val="-1"/>
        </w:rPr>
        <w:t> </w:t>
      </w:r>
      <w:r>
        <w:rPr/>
        <w:t>interferences.</w:t>
      </w:r>
    </w:p>
    <w:p>
      <w:pPr>
        <w:pStyle w:val="BodyText"/>
        <w:tabs>
          <w:tab w:pos="3687" w:val="left" w:leader="none"/>
        </w:tabs>
        <w:spacing w:line="276" w:lineRule="auto" w:before="120"/>
        <w:ind w:left="1700" w:right="1105" w:firstLine="720"/>
      </w:pPr>
      <w:bookmarkStart w:name="B4.3.4 If labware is re-used, the proced" w:id="358"/>
      <w:bookmarkEnd w:id="358"/>
      <w:r>
        <w:rPr/>
      </w:r>
      <w:r>
        <w:rPr/>
        <w:t>B4.3.4</w:t>
        <w:tab/>
        <w:t>If labware is re-used, the procedure described for labware cleaning (Sec. A6.4) should be followed to minimize risk of contamination. The blank criteria in Sec. 9.5 of Method 8327 can be used as a guideline for evaluating</w:t>
      </w:r>
      <w:r>
        <w:rPr>
          <w:spacing w:val="-11"/>
        </w:rPr>
        <w:t> </w:t>
      </w:r>
      <w:r>
        <w:rPr/>
        <w:t>cleanliness.</w:t>
      </w:r>
    </w:p>
    <w:p>
      <w:pPr>
        <w:pStyle w:val="BodyText"/>
        <w:spacing w:before="3"/>
        <w:rPr>
          <w:sz w:val="31"/>
        </w:rPr>
      </w:pPr>
    </w:p>
    <w:p>
      <w:pPr>
        <w:pStyle w:val="BodyText"/>
        <w:ind w:left="1124"/>
      </w:pPr>
      <w:r>
        <w:rPr/>
        <w:t>B5.0 SAFETY</w:t>
      </w:r>
    </w:p>
    <w:p>
      <w:pPr>
        <w:pStyle w:val="BodyText"/>
        <w:spacing w:before="3"/>
        <w:rPr>
          <w:sz w:val="24"/>
        </w:rPr>
      </w:pPr>
    </w:p>
    <w:p>
      <w:pPr>
        <w:pStyle w:val="BodyText"/>
        <w:tabs>
          <w:tab w:pos="2420" w:val="left" w:leader="none"/>
        </w:tabs>
        <w:spacing w:line="276" w:lineRule="auto"/>
        <w:ind w:left="981" w:right="1147" w:firstLine="719"/>
      </w:pPr>
      <w:bookmarkStart w:name="B5.1 This method does not address all sa" w:id="359"/>
      <w:bookmarkEnd w:id="359"/>
      <w:r>
        <w:rPr/>
      </w:r>
      <w:r>
        <w:rPr/>
        <w:t>B5.1</w:t>
        <w:tab/>
        <w:t>This method does not address all safety issues associated with its use. The laboratory is responsible for maintaining a safe work environment and a current awareness</w:t>
      </w:r>
      <w:r>
        <w:rPr>
          <w:spacing w:val="-24"/>
        </w:rPr>
        <w:t> </w:t>
      </w:r>
      <w:r>
        <w:rPr/>
        <w:t>file of U.S. Occupational Safety and Health Administration (OSHA) regulations regarding the safe handling of the chemicals specified in this method. A reference file of safety data sheets (SDSs) must be available to all personnel involved in these</w:t>
      </w:r>
      <w:r>
        <w:rPr>
          <w:spacing w:val="-5"/>
        </w:rPr>
        <w:t> </w:t>
      </w:r>
      <w:r>
        <w:rPr/>
        <w:t>analyses.</w:t>
      </w:r>
    </w:p>
    <w:p>
      <w:pPr>
        <w:pStyle w:val="BodyText"/>
        <w:tabs>
          <w:tab w:pos="2421" w:val="left" w:leader="none"/>
        </w:tabs>
        <w:spacing w:before="120"/>
        <w:ind w:left="1701"/>
      </w:pPr>
      <w:bookmarkStart w:name="B5.2 Users of this method should operate" w:id="360"/>
      <w:bookmarkEnd w:id="360"/>
      <w:r>
        <w:rPr/>
      </w:r>
      <w:r>
        <w:rPr/>
        <w:t>B5.2</w:t>
        <w:tab/>
        <w:t>Users of this method should operate a formal safety</w:t>
      </w:r>
      <w:r>
        <w:rPr>
          <w:spacing w:val="-6"/>
        </w:rPr>
        <w:t> </w:t>
      </w:r>
      <w:r>
        <w:rPr/>
        <w:t>program.</w:t>
      </w:r>
    </w:p>
    <w:p>
      <w:pPr>
        <w:spacing w:after="0"/>
        <w:sectPr>
          <w:pgSz w:w="12240" w:h="15840"/>
          <w:pgMar w:header="0" w:footer="1214" w:top="1060" w:bottom="1400" w:left="460" w:right="480"/>
        </w:sectPr>
      </w:pPr>
    </w:p>
    <w:p>
      <w:pPr>
        <w:pStyle w:val="BodyText"/>
        <w:tabs>
          <w:tab w:pos="2420" w:val="left" w:leader="none"/>
        </w:tabs>
        <w:spacing w:line="276" w:lineRule="auto" w:before="70"/>
        <w:ind w:left="980" w:right="988" w:firstLine="719"/>
      </w:pPr>
      <w:bookmarkStart w:name="B5.3 The toxicity and carcinogenicity of" w:id="361"/>
      <w:bookmarkEnd w:id="361"/>
      <w:r>
        <w:rPr/>
      </w:r>
      <w:r>
        <w:rPr/>
        <w:t>B5.3</w:t>
        <w:tab/>
        <w:t>The toxicity and carcinogenicity of each reagent used in this method has not been precisely defined; however, each chemical compound is treated as a health hazard. Exposure to these chemicals should be reduced to the lowest possible level and the</w:t>
      </w:r>
      <w:r>
        <w:rPr>
          <w:spacing w:val="-27"/>
        </w:rPr>
        <w:t> </w:t>
      </w:r>
      <w:r>
        <w:rPr/>
        <w:t>appropriate personal protective equipment (PPE) should be utilized. Review SDSs for specific physical and health hazards including appropriate PPE to be used. SDSs may be accessed at multiple locations (e.g., </w:t>
      </w:r>
      <w:hyperlink r:id="rId6">
        <w:r>
          <w:rPr>
            <w:color w:val="0000FF"/>
            <w:u w:val="single" w:color="0000FF"/>
          </w:rPr>
          <w:t>www.sigmaaldrich.com</w:t>
        </w:r>
        <w:r>
          <w:rPr/>
          <w:t>, </w:t>
        </w:r>
      </w:hyperlink>
      <w:hyperlink r:id="rId7">
        <w:r>
          <w:rPr>
            <w:color w:val="0000FF"/>
            <w:u w:val="single" w:color="0000FF"/>
          </w:rPr>
          <w:t>www.well-labs.com</w:t>
        </w:r>
        <w:r>
          <w:rPr/>
          <w:t>, </w:t>
        </w:r>
      </w:hyperlink>
      <w:r>
        <w:rPr/>
        <w:t>and</w:t>
      </w:r>
      <w:r>
        <w:rPr>
          <w:spacing w:val="-7"/>
        </w:rPr>
        <w:t> </w:t>
      </w:r>
      <w:hyperlink r:id="rId8">
        <w:r>
          <w:rPr>
            <w:color w:val="0000FF"/>
            <w:u w:val="single" w:color="0000FF"/>
          </w:rPr>
          <w:t>www.isotope.com</w:t>
        </w:r>
      </w:hyperlink>
      <w:r>
        <w:rPr/>
        <w:t>).</w:t>
      </w:r>
    </w:p>
    <w:p>
      <w:pPr>
        <w:pStyle w:val="BodyText"/>
        <w:spacing w:before="3"/>
        <w:rPr>
          <w:sz w:val="23"/>
        </w:rPr>
      </w:pPr>
    </w:p>
    <w:p>
      <w:pPr>
        <w:pStyle w:val="BodyText"/>
        <w:tabs>
          <w:tab w:pos="1699" w:val="left" w:leader="none"/>
        </w:tabs>
        <w:spacing w:before="93"/>
        <w:ind w:left="980"/>
      </w:pPr>
      <w:r>
        <w:rPr/>
        <w:t>B6.0</w:t>
        <w:tab/>
        <w:t>EQUIPMENT AND</w:t>
      </w:r>
      <w:r>
        <w:rPr>
          <w:spacing w:val="-2"/>
        </w:rPr>
        <w:t> </w:t>
      </w:r>
      <w:r>
        <w:rPr/>
        <w:t>SUPPLIES</w:t>
      </w:r>
    </w:p>
    <w:p>
      <w:pPr>
        <w:pStyle w:val="BodyText"/>
        <w:spacing w:before="3"/>
        <w:rPr>
          <w:sz w:val="24"/>
        </w:rPr>
      </w:pPr>
    </w:p>
    <w:p>
      <w:pPr>
        <w:pStyle w:val="BodyText"/>
        <w:spacing w:line="276" w:lineRule="auto"/>
        <w:ind w:left="980" w:right="1189" w:firstLine="720"/>
      </w:pPr>
      <w:r>
        <w:rPr/>
        <w:t>The mention of trade names or commercial products in this method is for illustrative purposes only and does not constitute an EPA endorsement or exclusive recommendation for use. The products and instrument settings cited in SW-846 methods represent those products and settings used during method development or subsequently evaluated by the Agency.</w:t>
      </w:r>
    </w:p>
    <w:p>
      <w:pPr>
        <w:pStyle w:val="BodyText"/>
        <w:spacing w:line="276" w:lineRule="auto" w:before="119"/>
        <w:ind w:left="979" w:right="1314" w:firstLine="720"/>
      </w:pPr>
      <w:r>
        <w:rPr/>
        <w:t>Glassware, reagents, supplies, equipment, and settings other than those listed in this manual may be employed provided that method performance appropriate for the intended application has been demonstrated and documented. This section does not list all common laboratory containers (e.g., beakers and flasks) that might be used.</w:t>
      </w:r>
    </w:p>
    <w:p>
      <w:pPr>
        <w:pStyle w:val="BodyText"/>
        <w:tabs>
          <w:tab w:pos="2419" w:val="left" w:leader="none"/>
        </w:tabs>
        <w:spacing w:line="276" w:lineRule="auto" w:before="120"/>
        <w:ind w:left="979" w:right="1212" w:firstLine="720"/>
      </w:pPr>
      <w:bookmarkStart w:name="B6.1 Adjustable volume pipettes, 10-µL, " w:id="362"/>
      <w:bookmarkEnd w:id="362"/>
      <w:r>
        <w:rPr/>
      </w:r>
      <w:r>
        <w:rPr/>
        <w:t>B6.1</w:t>
        <w:tab/>
        <w:t>Adjustable volume pipettes, 10-µL, 20-µL, 100-µL, 200-µL, and 1000-µL, 5 mL, and 10</w:t>
      </w:r>
      <w:r>
        <w:rPr>
          <w:spacing w:val="-1"/>
        </w:rPr>
        <w:t> </w:t>
      </w:r>
      <w:r>
        <w:rPr/>
        <w:t>mL.</w:t>
      </w:r>
    </w:p>
    <w:p>
      <w:pPr>
        <w:pStyle w:val="BodyText"/>
        <w:tabs>
          <w:tab w:pos="2419" w:val="left" w:leader="none"/>
        </w:tabs>
        <w:spacing w:line="388" w:lineRule="auto" w:before="120"/>
        <w:ind w:left="1699" w:right="4183"/>
      </w:pPr>
      <w:bookmarkStart w:name="B6.2 Analytical balance, capable of weig" w:id="363"/>
      <w:bookmarkEnd w:id="363"/>
      <w:r>
        <w:rPr/>
      </w:r>
      <w:r>
        <w:rPr/>
        <w:t>B6.2</w:t>
        <w:tab/>
        <w:t>Analytical balance, capable of weighing to</w:t>
      </w:r>
      <w:r>
        <w:rPr>
          <w:spacing w:val="-15"/>
        </w:rPr>
        <w:t> </w:t>
      </w:r>
      <w:r>
        <w:rPr/>
        <w:t>0.01g</w:t>
      </w:r>
      <w:bookmarkStart w:name="B6.3 Miscellaneous Supplies" w:id="364"/>
      <w:bookmarkEnd w:id="364"/>
      <w:r>
        <w:rPr/>
      </w:r>
      <w:r>
        <w:rPr/>
        <w:t> B6.3</w:t>
        <w:tab/>
        <w:t>Miscellaneous</w:t>
      </w:r>
      <w:r>
        <w:rPr>
          <w:spacing w:val="-1"/>
        </w:rPr>
        <w:t> </w:t>
      </w:r>
      <w:r>
        <w:rPr/>
        <w:t>Supplies</w:t>
      </w:r>
    </w:p>
    <w:p>
      <w:pPr>
        <w:pStyle w:val="BodyText"/>
        <w:tabs>
          <w:tab w:pos="3686" w:val="left" w:leader="none"/>
        </w:tabs>
        <w:spacing w:line="276" w:lineRule="auto" w:before="2"/>
        <w:ind w:left="1699" w:right="1032" w:firstLine="720"/>
      </w:pPr>
      <w:bookmarkStart w:name="B6.3.1 10- to 25 mL filter-adaptable HDP" w:id="365"/>
      <w:bookmarkEnd w:id="365"/>
      <w:r>
        <w:rPr/>
      </w:r>
      <w:r>
        <w:rPr/>
        <w:t>B6.3.1</w:t>
        <w:tab/>
        <w:t>10- to 25 mL filter-adaptable HDPE, polypropylene, or glass syringe with luer lock (rubber tipped plungers are not to be</w:t>
      </w:r>
      <w:r>
        <w:rPr>
          <w:spacing w:val="-4"/>
        </w:rPr>
        <w:t> </w:t>
      </w:r>
      <w:r>
        <w:rPr/>
        <w:t>used).</w:t>
      </w:r>
    </w:p>
    <w:p>
      <w:pPr>
        <w:pStyle w:val="BodyText"/>
        <w:tabs>
          <w:tab w:pos="3686" w:val="left" w:leader="none"/>
        </w:tabs>
        <w:spacing w:before="120"/>
        <w:ind w:left="2419"/>
      </w:pPr>
      <w:bookmarkStart w:name="B6.3.2 50 mL polypropylene tubes (BD Fal" w:id="366"/>
      <w:bookmarkEnd w:id="366"/>
      <w:r>
        <w:rPr/>
      </w:r>
      <w:r>
        <w:rPr/>
        <w:t>B6.3.2</w:t>
        <w:tab/>
        <w:t>50 mL polypropylene tubes (BD Falcon, Catalog #</w:t>
      </w:r>
      <w:r>
        <w:rPr>
          <w:spacing w:val="-4"/>
        </w:rPr>
        <w:t> </w:t>
      </w:r>
      <w:r>
        <w:rPr/>
        <w:t>352098)</w:t>
      </w:r>
    </w:p>
    <w:p>
      <w:pPr>
        <w:pStyle w:val="BodyText"/>
        <w:tabs>
          <w:tab w:pos="3686" w:val="left" w:leader="none"/>
        </w:tabs>
        <w:spacing w:line="276" w:lineRule="auto" w:before="158"/>
        <w:ind w:left="1700" w:right="1396" w:firstLine="719"/>
      </w:pPr>
      <w:bookmarkStart w:name="B6.3.3 15 mL polypropylene tubes (BD Fal" w:id="367"/>
      <w:bookmarkEnd w:id="367"/>
      <w:r>
        <w:rPr/>
      </w:r>
      <w:r>
        <w:rPr/>
        <w:t>B6.3.3</w:t>
        <w:tab/>
        <w:t>15 mL polypropylene tubes (BD Falcon, Catalog # 352097); use pre-weighed tubes for collection of field samples and field</w:t>
      </w:r>
      <w:r>
        <w:rPr>
          <w:spacing w:val="-5"/>
        </w:rPr>
        <w:t> </w:t>
      </w:r>
      <w:r>
        <w:rPr/>
        <w:t>QC</w:t>
      </w:r>
    </w:p>
    <w:p>
      <w:pPr>
        <w:pStyle w:val="BodyText"/>
        <w:tabs>
          <w:tab w:pos="3686" w:val="left" w:leader="none"/>
        </w:tabs>
        <w:spacing w:line="276" w:lineRule="auto" w:before="120"/>
        <w:ind w:left="1699" w:right="1290" w:firstLine="720"/>
      </w:pPr>
      <w:bookmarkStart w:name="B6.3.4 Polyethylene disposable pipettes " w:id="368"/>
      <w:bookmarkEnd w:id="368"/>
      <w:r>
        <w:rPr/>
      </w:r>
      <w:r>
        <w:rPr/>
        <w:t>B6.3.4</w:t>
        <w:tab/>
        <w:t>Polyethylene disposable pipettes (SEDI-PETTM PIPET, Source - Samco Scientific, part no.</w:t>
      </w:r>
      <w:r>
        <w:rPr>
          <w:spacing w:val="-1"/>
        </w:rPr>
        <w:t> </w:t>
      </w:r>
      <w:r>
        <w:rPr/>
        <w:t>252)</w:t>
      </w:r>
    </w:p>
    <w:p>
      <w:pPr>
        <w:pStyle w:val="BodyText"/>
        <w:tabs>
          <w:tab w:pos="3686" w:val="left" w:leader="none"/>
        </w:tabs>
        <w:spacing w:line="276" w:lineRule="auto" w:before="120"/>
        <w:ind w:left="1699" w:right="1118" w:firstLine="720"/>
      </w:pPr>
      <w:bookmarkStart w:name="B6.3.5 Pipette tips: polypropylene pipet" w:id="369"/>
      <w:bookmarkEnd w:id="369"/>
      <w:r>
        <w:rPr/>
      </w:r>
      <w:r>
        <w:rPr/>
        <w:t>B6.3.5</w:t>
        <w:tab/>
        <w:t>Pipette tips: polypropylene pipette tips of various sizes (Eppendorf, catalogue #s 022491997, 022492080, 022491954, 022491946, and</w:t>
      </w:r>
      <w:r>
        <w:rPr>
          <w:spacing w:val="-8"/>
        </w:rPr>
        <w:t> </w:t>
      </w:r>
      <w:r>
        <w:rPr/>
        <w:t>022491512)</w:t>
      </w:r>
    </w:p>
    <w:p>
      <w:pPr>
        <w:pStyle w:val="BodyText"/>
        <w:tabs>
          <w:tab w:pos="3686" w:val="left" w:leader="none"/>
        </w:tabs>
        <w:spacing w:line="276" w:lineRule="auto" w:before="120"/>
        <w:ind w:left="1699" w:right="1002" w:firstLine="720"/>
      </w:pPr>
      <w:bookmarkStart w:name="B6.3.6 Acrodisc GxF/0.2µm GHP or equival" w:id="370"/>
      <w:bookmarkEnd w:id="370"/>
      <w:r>
        <w:rPr/>
      </w:r>
      <w:r>
        <w:rPr/>
        <w:t>B6.3.6</w:t>
        <w:tab/>
        <w:t>Acrodisc GxF/0.2µm GHP or equivalent membrane syringe driven filter unit. Filters must be cleaned prior to use.  A suggested protocol is to rinse each filter with 2 x10 mL acetonitrile and then 2 x10 mL methanol prior to use. Other protocols may be appropriate if PFAS contamination is removed or reduced to levels appropriate for the</w:t>
      </w:r>
      <w:r>
        <w:rPr>
          <w:spacing w:val="-1"/>
        </w:rPr>
        <w:t> </w:t>
      </w:r>
      <w:r>
        <w:rPr/>
        <w:t>project.</w:t>
      </w:r>
    </w:p>
    <w:p>
      <w:pPr>
        <w:pStyle w:val="BodyText"/>
        <w:tabs>
          <w:tab w:pos="2420" w:val="left" w:leader="none"/>
        </w:tabs>
        <w:spacing w:line="276" w:lineRule="auto" w:before="120"/>
        <w:ind w:left="980" w:right="1221" w:firstLine="719"/>
      </w:pPr>
      <w:bookmarkStart w:name="B6.4 Labware cleaning instructions – If " w:id="371"/>
      <w:bookmarkEnd w:id="371"/>
      <w:r>
        <w:rPr/>
      </w:r>
      <w:r>
        <w:rPr/>
        <w:t>B6.4</w:t>
        <w:tab/>
        <w:t>Labware cleaning instructions – If labware is reused it should be washed in hot water with detergent such as powdered Alconox, Deto-Jet, Luminox, or Citrojet, rinsed in hot water and rinsed with distilled water. Rinse with organic solvents such as acetone, methanol, and/or</w:t>
      </w:r>
      <w:r>
        <w:rPr>
          <w:spacing w:val="-1"/>
        </w:rPr>
        <w:t> </w:t>
      </w:r>
      <w:r>
        <w:rPr/>
        <w:t>acetonitrile.</w:t>
      </w:r>
    </w:p>
    <w:p>
      <w:pPr>
        <w:spacing w:after="0" w:line="276" w:lineRule="auto"/>
        <w:sectPr>
          <w:pgSz w:w="12240" w:h="15840"/>
          <w:pgMar w:header="0" w:footer="1214" w:top="1060" w:bottom="1400" w:left="460" w:right="480"/>
        </w:sectPr>
      </w:pPr>
    </w:p>
    <w:p>
      <w:pPr>
        <w:pStyle w:val="BodyText"/>
        <w:tabs>
          <w:tab w:pos="1700" w:val="left" w:leader="none"/>
        </w:tabs>
        <w:spacing w:before="70"/>
        <w:ind w:left="980"/>
      </w:pPr>
      <w:r>
        <w:rPr/>
        <w:t>B7.0</w:t>
        <w:tab/>
        <w:t>REAGENTS AND</w:t>
      </w:r>
      <w:r>
        <w:rPr>
          <w:spacing w:val="-2"/>
        </w:rPr>
        <w:t> </w:t>
      </w:r>
      <w:r>
        <w:rPr/>
        <w:t>STANDARDS</w:t>
      </w:r>
    </w:p>
    <w:p>
      <w:pPr>
        <w:pStyle w:val="BodyText"/>
        <w:spacing w:before="3"/>
        <w:rPr>
          <w:sz w:val="24"/>
        </w:rPr>
      </w:pPr>
    </w:p>
    <w:p>
      <w:pPr>
        <w:pStyle w:val="BodyText"/>
        <w:tabs>
          <w:tab w:pos="2420" w:val="left" w:leader="none"/>
        </w:tabs>
        <w:spacing w:line="276" w:lineRule="auto"/>
        <w:ind w:left="980" w:right="978" w:firstLine="719"/>
      </w:pPr>
      <w:bookmarkStart w:name="B7.1 Reagent-grade or pesticide grade ch" w:id="372"/>
      <w:bookmarkEnd w:id="372"/>
      <w:r>
        <w:rPr/>
      </w:r>
      <w:r>
        <w:rPr/>
        <w:t>B7.1</w:t>
        <w:tab/>
        <w:t>Reagent-grade or pesticide grade chemicals, at a minimum, should be used in all tests. Unless otherwise indicated, all reagents should conform to the specifications of the Committee on Analytical Reagents of the American Chemical Society, where specifications are available. Other grades may be used, provided the reagent is of sufficiently high purity to</w:t>
      </w:r>
      <w:r>
        <w:rPr>
          <w:spacing w:val="-27"/>
        </w:rPr>
        <w:t> </w:t>
      </w:r>
      <w:r>
        <w:rPr/>
        <w:t>permit its use without lessening the accuracy of the</w:t>
      </w:r>
      <w:r>
        <w:rPr>
          <w:spacing w:val="-4"/>
        </w:rPr>
        <w:t> </w:t>
      </w:r>
      <w:r>
        <w:rPr/>
        <w:t>determination.</w:t>
      </w:r>
    </w:p>
    <w:p>
      <w:pPr>
        <w:pStyle w:val="BodyText"/>
        <w:tabs>
          <w:tab w:pos="2420" w:val="left" w:leader="none"/>
        </w:tabs>
        <w:spacing w:line="276" w:lineRule="auto" w:before="120"/>
        <w:ind w:left="980" w:right="1021" w:firstLine="720"/>
      </w:pPr>
      <w:bookmarkStart w:name="B7.2 Reagent water. All references to wa" w:id="373"/>
      <w:bookmarkEnd w:id="373"/>
      <w:r>
        <w:rPr/>
      </w:r>
      <w:r>
        <w:rPr/>
        <w:t>B7.2</w:t>
        <w:tab/>
        <w:t>Reagent water. All references to water in this method refer to organic-free reagent water as defined in SW-846 Chapter One. Reagent water from in-house DI systems</w:t>
      </w:r>
      <w:r>
        <w:rPr>
          <w:spacing w:val="-35"/>
        </w:rPr>
        <w:t> </w:t>
      </w:r>
      <w:r>
        <w:rPr/>
        <w:t>will likely require additional polishing with a point-of-use water purification system to meet method requirements. The laboratory should check for PFAS contamination coming from the point-of- use system (it should not contain fluoropolymers, where practical). Some bottled HPLC water has been shown to contain</w:t>
      </w:r>
      <w:r>
        <w:rPr>
          <w:spacing w:val="-1"/>
        </w:rPr>
        <w:t> </w:t>
      </w:r>
      <w:r>
        <w:rPr/>
        <w:t>PFAS.</w:t>
      </w:r>
    </w:p>
    <w:p>
      <w:pPr>
        <w:pStyle w:val="BodyText"/>
        <w:tabs>
          <w:tab w:pos="2421" w:val="left" w:leader="none"/>
        </w:tabs>
        <w:spacing w:line="276" w:lineRule="auto" w:before="120"/>
        <w:ind w:left="981" w:right="1155" w:firstLine="719"/>
      </w:pPr>
      <w:bookmarkStart w:name="B7.3 Reagents: Items shown are for infor" w:id="374"/>
      <w:bookmarkEnd w:id="374"/>
      <w:r>
        <w:rPr/>
      </w:r>
      <w:r>
        <w:rPr/>
        <w:t>B7.3</w:t>
        <w:tab/>
        <w:t>Reagents: Items shown are for informational purpose only; equivalent reagents and standards may be used. All reagents and solvents should be of pesticide residue purity</w:t>
      </w:r>
      <w:r>
        <w:rPr>
          <w:spacing w:val="-27"/>
        </w:rPr>
        <w:t> </w:t>
      </w:r>
      <w:r>
        <w:rPr/>
        <w:t>or higher to minimize interference problems, preferably LC/MS grade or</w:t>
      </w:r>
      <w:r>
        <w:rPr>
          <w:spacing w:val="-7"/>
        </w:rPr>
        <w:t> </w:t>
      </w:r>
      <w:r>
        <w:rPr/>
        <w:t>equivalent.</w:t>
      </w:r>
    </w:p>
    <w:p>
      <w:pPr>
        <w:pStyle w:val="BodyText"/>
        <w:tabs>
          <w:tab w:pos="3687" w:val="left" w:leader="none"/>
        </w:tabs>
        <w:spacing w:line="388" w:lineRule="auto" w:before="119"/>
        <w:ind w:left="2420" w:right="3465"/>
      </w:pPr>
      <w:bookmarkStart w:name="B7.3.1 Methanol, CH3OH (CAS RN 67-56-1)" w:id="375"/>
      <w:bookmarkEnd w:id="375"/>
      <w:r>
        <w:rPr/>
      </w:r>
      <w:r>
        <w:rPr/>
        <w:t>B7.3.1</w:t>
        <w:tab/>
        <w:t>Methanol, CH3OH (CAS RN 67-56-1)</w:t>
      </w:r>
      <w:bookmarkStart w:name="B7.3.2 Acetic acid, CH3COOH (CAS RN 64-1" w:id="376"/>
      <w:bookmarkEnd w:id="376"/>
      <w:r>
        <w:rPr/>
      </w:r>
      <w:r>
        <w:rPr/>
        <w:t> B7.3.2</w:t>
        <w:tab/>
        <w:t>Acetic acid, CH3COOH (CAS RN</w:t>
      </w:r>
      <w:r>
        <w:rPr>
          <w:spacing w:val="-12"/>
        </w:rPr>
        <w:t> </w:t>
      </w:r>
      <w:r>
        <w:rPr/>
        <w:t>64-19-7)</w:t>
      </w:r>
    </w:p>
    <w:p>
      <w:pPr>
        <w:pStyle w:val="BodyText"/>
        <w:tabs>
          <w:tab w:pos="3687" w:val="left" w:leader="none"/>
        </w:tabs>
        <w:spacing w:before="3"/>
        <w:ind w:left="2420"/>
      </w:pPr>
      <w:bookmarkStart w:name="B7.3.3 50:50 Methanol-reagent water cont" w:id="377"/>
      <w:bookmarkEnd w:id="377"/>
      <w:r>
        <w:rPr/>
      </w:r>
      <w:r>
        <w:rPr/>
        <w:t>B7.3.3</w:t>
        <w:tab/>
        <w:t>50:50 Methanol-reagent water containing 0.1% acetic</w:t>
      </w:r>
      <w:r>
        <w:rPr>
          <w:spacing w:val="-4"/>
        </w:rPr>
        <w:t> </w:t>
      </w:r>
      <w:r>
        <w:rPr/>
        <w:t>acid</w:t>
      </w:r>
    </w:p>
    <w:p>
      <w:pPr>
        <w:pStyle w:val="BodyText"/>
        <w:tabs>
          <w:tab w:pos="3687" w:val="left" w:leader="none"/>
        </w:tabs>
        <w:spacing w:line="276" w:lineRule="auto" w:before="157"/>
        <w:ind w:left="1700" w:right="1485" w:firstLine="720"/>
      </w:pPr>
      <w:bookmarkStart w:name="B7.3.4 See determinative method for surr" w:id="378"/>
      <w:bookmarkEnd w:id="378"/>
      <w:r>
        <w:rPr/>
      </w:r>
      <w:r>
        <w:rPr/>
        <w:t>B7.3.4</w:t>
        <w:tab/>
        <w:t>See determinative method for surrogate, internal standard,</w:t>
      </w:r>
      <w:r>
        <w:rPr>
          <w:spacing w:val="-16"/>
        </w:rPr>
        <w:t> </w:t>
      </w:r>
      <w:r>
        <w:rPr/>
        <w:t>and target spiking</w:t>
      </w:r>
      <w:r>
        <w:rPr>
          <w:spacing w:val="-1"/>
        </w:rPr>
        <w:t> </w:t>
      </w:r>
      <w:r>
        <w:rPr/>
        <w:t>solutions.</w:t>
      </w:r>
    </w:p>
    <w:p>
      <w:pPr>
        <w:pStyle w:val="BodyText"/>
        <w:spacing w:before="4"/>
        <w:rPr>
          <w:sz w:val="31"/>
        </w:rPr>
      </w:pPr>
    </w:p>
    <w:p>
      <w:pPr>
        <w:pStyle w:val="BodyText"/>
        <w:ind w:left="1070"/>
      </w:pPr>
      <w:r>
        <w:rPr/>
        <w:t>B8.0 SAMPLE COLLECTION, PRESERVATION, AND STORAGE</w:t>
      </w:r>
    </w:p>
    <w:p>
      <w:pPr>
        <w:pStyle w:val="BodyText"/>
        <w:spacing w:before="2"/>
        <w:rPr>
          <w:sz w:val="24"/>
        </w:rPr>
      </w:pPr>
    </w:p>
    <w:p>
      <w:pPr>
        <w:pStyle w:val="BodyText"/>
        <w:spacing w:line="276" w:lineRule="auto" w:before="1"/>
        <w:ind w:left="980" w:right="1265" w:firstLine="720"/>
      </w:pPr>
      <w:r>
        <w:rPr/>
        <w:t>See introductory material to SW-846 Chapter Four, “Organic Analytes”, Method 3500, and the specific determinative method to be used.</w:t>
      </w:r>
    </w:p>
    <w:p>
      <w:pPr>
        <w:pStyle w:val="BodyText"/>
        <w:spacing w:before="3"/>
        <w:rPr>
          <w:sz w:val="31"/>
        </w:rPr>
      </w:pPr>
    </w:p>
    <w:p>
      <w:pPr>
        <w:pStyle w:val="BodyText"/>
        <w:tabs>
          <w:tab w:pos="1700" w:val="left" w:leader="none"/>
        </w:tabs>
        <w:ind w:left="980"/>
      </w:pPr>
      <w:r>
        <w:rPr/>
        <w:t>B9.0</w:t>
        <w:tab/>
        <w:t>QUALITY</w:t>
      </w:r>
      <w:r>
        <w:rPr>
          <w:spacing w:val="-1"/>
        </w:rPr>
        <w:t> </w:t>
      </w:r>
      <w:r>
        <w:rPr/>
        <w:t>CONTROL</w:t>
      </w:r>
    </w:p>
    <w:p>
      <w:pPr>
        <w:pStyle w:val="BodyText"/>
        <w:spacing w:before="1"/>
        <w:rPr>
          <w:sz w:val="24"/>
        </w:rPr>
      </w:pPr>
    </w:p>
    <w:p>
      <w:pPr>
        <w:pStyle w:val="BodyText"/>
        <w:tabs>
          <w:tab w:pos="2420" w:val="left" w:leader="none"/>
        </w:tabs>
        <w:spacing w:line="276" w:lineRule="auto"/>
        <w:ind w:left="979" w:right="966" w:firstLine="721"/>
      </w:pPr>
      <w:bookmarkStart w:name="B9.1 Refer to SW-846 Chapter One for gui" w:id="379"/>
      <w:bookmarkEnd w:id="379"/>
      <w:r>
        <w:rPr/>
      </w:r>
      <w:r>
        <w:rPr/>
        <w:t>B9.1</w:t>
        <w:tab/>
        <w:t>Refer</w:t>
      </w:r>
      <w:r>
        <w:rPr>
          <w:spacing w:val="-8"/>
        </w:rPr>
        <w:t> </w:t>
      </w:r>
      <w:r>
        <w:rPr/>
        <w:t>to</w:t>
      </w:r>
      <w:r>
        <w:rPr>
          <w:spacing w:val="-6"/>
        </w:rPr>
        <w:t> </w:t>
      </w:r>
      <w:r>
        <w:rPr>
          <w:spacing w:val="-5"/>
        </w:rPr>
        <w:t>SW-846</w:t>
      </w:r>
      <w:r>
        <w:rPr>
          <w:spacing w:val="-11"/>
        </w:rPr>
        <w:t> </w:t>
      </w:r>
      <w:r>
        <w:rPr/>
        <w:t>Chapter</w:t>
      </w:r>
      <w:r>
        <w:rPr>
          <w:spacing w:val="-7"/>
        </w:rPr>
        <w:t> </w:t>
      </w:r>
      <w:r>
        <w:rPr/>
        <w:t>One</w:t>
      </w:r>
      <w:r>
        <w:rPr>
          <w:spacing w:val="-10"/>
        </w:rPr>
        <w:t> </w:t>
      </w:r>
      <w:r>
        <w:rPr/>
        <w:t>for</w:t>
      </w:r>
      <w:r>
        <w:rPr>
          <w:spacing w:val="-8"/>
        </w:rPr>
        <w:t> </w:t>
      </w:r>
      <w:r>
        <w:rPr/>
        <w:t>guidance</w:t>
      </w:r>
      <w:r>
        <w:rPr>
          <w:spacing w:val="-5"/>
        </w:rPr>
        <w:t> </w:t>
      </w:r>
      <w:r>
        <w:rPr/>
        <w:t>on</w:t>
      </w:r>
      <w:r>
        <w:rPr>
          <w:spacing w:val="-11"/>
        </w:rPr>
        <w:t> </w:t>
      </w:r>
      <w:r>
        <w:rPr/>
        <w:t>quality</w:t>
      </w:r>
      <w:r>
        <w:rPr>
          <w:spacing w:val="-9"/>
        </w:rPr>
        <w:t> </w:t>
      </w:r>
      <w:r>
        <w:rPr/>
        <w:t>assurance</w:t>
      </w:r>
      <w:r>
        <w:rPr>
          <w:spacing w:val="-6"/>
        </w:rPr>
        <w:t> </w:t>
      </w:r>
      <w:r>
        <w:rPr/>
        <w:t>(QA)</w:t>
      </w:r>
      <w:r>
        <w:rPr>
          <w:spacing w:val="-7"/>
        </w:rPr>
        <w:t> </w:t>
      </w:r>
      <w:r>
        <w:rPr/>
        <w:t>and</w:t>
      </w:r>
      <w:r>
        <w:rPr>
          <w:spacing w:val="-9"/>
        </w:rPr>
        <w:t> </w:t>
      </w:r>
      <w:r>
        <w:rPr/>
        <w:t>quality control (QC) protocols. When inconsistencies exist between QC guidelines, method-specific QC criteria take precedence over both technique-specific criteria and the criteria given in Chapter One, and technique-specific QC criteria take precedence over the criteria in Chapter One. Any effort involving the collection of analytical data should include development of a structured and systematic planning document, such as a Quality Assurance Project Plan (QAPP) or a</w:t>
      </w:r>
      <w:r>
        <w:rPr>
          <w:spacing w:val="-31"/>
        </w:rPr>
        <w:t> </w:t>
      </w:r>
      <w:r>
        <w:rPr/>
        <w:t>Sampling and</w:t>
      </w:r>
      <w:r>
        <w:rPr>
          <w:spacing w:val="-10"/>
        </w:rPr>
        <w:t> </w:t>
      </w:r>
      <w:r>
        <w:rPr/>
        <w:t>Analysis</w:t>
      </w:r>
      <w:r>
        <w:rPr>
          <w:spacing w:val="-8"/>
        </w:rPr>
        <w:t> </w:t>
      </w:r>
      <w:r>
        <w:rPr/>
        <w:t>Plan</w:t>
      </w:r>
      <w:r>
        <w:rPr>
          <w:spacing w:val="-10"/>
        </w:rPr>
        <w:t> </w:t>
      </w:r>
      <w:r>
        <w:rPr/>
        <w:t>(SAP),</w:t>
      </w:r>
      <w:r>
        <w:rPr>
          <w:spacing w:val="-7"/>
        </w:rPr>
        <w:t> </w:t>
      </w:r>
      <w:r>
        <w:rPr/>
        <w:t>which</w:t>
      </w:r>
      <w:r>
        <w:rPr>
          <w:spacing w:val="-9"/>
        </w:rPr>
        <w:t> </w:t>
      </w:r>
      <w:r>
        <w:rPr/>
        <w:t>translates</w:t>
      </w:r>
      <w:r>
        <w:rPr>
          <w:spacing w:val="-8"/>
        </w:rPr>
        <w:t> </w:t>
      </w:r>
      <w:r>
        <w:rPr/>
        <w:t>project</w:t>
      </w:r>
      <w:r>
        <w:rPr>
          <w:spacing w:val="-11"/>
        </w:rPr>
        <w:t> </w:t>
      </w:r>
      <w:r>
        <w:rPr/>
        <w:t>objectives</w:t>
      </w:r>
      <w:r>
        <w:rPr>
          <w:spacing w:val="-9"/>
        </w:rPr>
        <w:t> </w:t>
      </w:r>
      <w:r>
        <w:rPr/>
        <w:t>and</w:t>
      </w:r>
      <w:r>
        <w:rPr>
          <w:spacing w:val="-8"/>
        </w:rPr>
        <w:t> </w:t>
      </w:r>
      <w:r>
        <w:rPr/>
        <w:t>specifications</w:t>
      </w:r>
      <w:r>
        <w:rPr>
          <w:spacing w:val="-9"/>
        </w:rPr>
        <w:t> </w:t>
      </w:r>
      <w:r>
        <w:rPr/>
        <w:t>into</w:t>
      </w:r>
      <w:r>
        <w:rPr>
          <w:spacing w:val="-8"/>
        </w:rPr>
        <w:t> </w:t>
      </w:r>
      <w:r>
        <w:rPr/>
        <w:t>directions</w:t>
      </w:r>
      <w:r>
        <w:rPr>
          <w:spacing w:val="-11"/>
        </w:rPr>
        <w:t> </w:t>
      </w:r>
      <w:r>
        <w:rPr/>
        <w:t>for those that will implement the project and assess the results. Each laboratory should maintain a formal quality assurance program. The laboratory should also maintain records to document the quality of the data generated. All data sheets and quality control data should be maintained for reference or</w:t>
      </w:r>
      <w:r>
        <w:rPr>
          <w:spacing w:val="1"/>
        </w:rPr>
        <w:t> </w:t>
      </w:r>
      <w:r>
        <w:rPr/>
        <w:t>inspection.</w:t>
      </w:r>
    </w:p>
    <w:p>
      <w:pPr>
        <w:pStyle w:val="BodyText"/>
        <w:tabs>
          <w:tab w:pos="2419" w:val="left" w:leader="none"/>
        </w:tabs>
        <w:spacing w:line="276" w:lineRule="auto" w:before="120"/>
        <w:ind w:left="979" w:right="1223" w:firstLine="719"/>
      </w:pPr>
      <w:bookmarkStart w:name="B9.2 See Sec. 9 of Methods 8327 and 8328" w:id="380"/>
      <w:bookmarkEnd w:id="380"/>
      <w:r>
        <w:rPr/>
      </w:r>
      <w:r>
        <w:rPr/>
        <w:t>B9.2</w:t>
        <w:tab/>
        <w:t>See Sec. 9 of Methods 8327 and 8328 for QA/QC requirements specific to that analysis.</w:t>
      </w:r>
    </w:p>
    <w:p>
      <w:pPr>
        <w:spacing w:after="0" w:line="276" w:lineRule="auto"/>
        <w:sectPr>
          <w:pgSz w:w="12240" w:h="15840"/>
          <w:pgMar w:header="0" w:footer="1214" w:top="1060" w:bottom="1400" w:left="460" w:right="480"/>
        </w:sectPr>
      </w:pPr>
    </w:p>
    <w:p>
      <w:pPr>
        <w:pStyle w:val="BodyText"/>
        <w:tabs>
          <w:tab w:pos="719" w:val="left" w:leader="none"/>
        </w:tabs>
        <w:spacing w:before="70"/>
        <w:ind w:right="148"/>
        <w:jc w:val="center"/>
      </w:pPr>
      <w:bookmarkStart w:name="B9.3 Initial demonstration of proficienc" w:id="381"/>
      <w:bookmarkEnd w:id="381"/>
      <w:r>
        <w:rPr/>
      </w:r>
      <w:r>
        <w:rPr/>
        <w:t>B9.3</w:t>
        <w:tab/>
        <w:t>Initial demonstration of proficiency and lower limit of quantitation</w:t>
      </w:r>
      <w:r>
        <w:rPr>
          <w:spacing w:val="-8"/>
        </w:rPr>
        <w:t> </w:t>
      </w:r>
      <w:r>
        <w:rPr/>
        <w:t>(LLOQ)</w:t>
      </w:r>
    </w:p>
    <w:p>
      <w:pPr>
        <w:pStyle w:val="BodyText"/>
        <w:tabs>
          <w:tab w:pos="3687" w:val="left" w:leader="none"/>
        </w:tabs>
        <w:spacing w:line="276" w:lineRule="auto" w:before="159"/>
        <w:ind w:left="1700" w:right="1076" w:firstLine="720"/>
      </w:pPr>
      <w:bookmarkStart w:name="B9.3.1 Each laboratory must demonstrate " w:id="382"/>
      <w:bookmarkEnd w:id="382"/>
      <w:r>
        <w:rPr/>
      </w:r>
      <w:r>
        <w:rPr/>
        <w:t>B9.3.1</w:t>
        <w:tab/>
        <w:t>Each laboratory must demonstrate initial proficiency with each sample preparation and determinative method combination it utilizes by generating</w:t>
      </w:r>
      <w:r>
        <w:rPr>
          <w:spacing w:val="-23"/>
        </w:rPr>
        <w:t> </w:t>
      </w:r>
      <w:r>
        <w:rPr/>
        <w:t>data of acceptable accuracy and precision for target analytes in a clean matrix. The laboratory must also repeat the demonstration of proficiency whenever new staff members are trained or significant changes in instrumentation are made. See Method 8000D, Sec. 9.3 for information on how to accomplish a demonstration of</w:t>
      </w:r>
      <w:r>
        <w:rPr>
          <w:spacing w:val="-20"/>
        </w:rPr>
        <w:t> </w:t>
      </w:r>
      <w:r>
        <w:rPr/>
        <w:t>proficiency.</w:t>
      </w:r>
    </w:p>
    <w:p>
      <w:pPr>
        <w:pStyle w:val="BodyText"/>
        <w:tabs>
          <w:tab w:pos="3687" w:val="left" w:leader="none"/>
        </w:tabs>
        <w:spacing w:line="276" w:lineRule="auto" w:before="120"/>
        <w:ind w:left="1700" w:right="1087" w:firstLine="720"/>
      </w:pPr>
      <w:bookmarkStart w:name="B9.3.2 The laboratory should verify the " w:id="383"/>
      <w:bookmarkEnd w:id="383"/>
      <w:r>
        <w:rPr/>
      </w:r>
      <w:r>
        <w:rPr/>
        <w:t>B9.3.2</w:t>
        <w:tab/>
        <w:t>The laboratory should verify the LLOQ initially and in each preparation batch using clean control material (e.g., reagent water) or a representative sample matrix, free of target compounds. See Sec. 9.9 of Method 8327 or Method</w:t>
      </w:r>
      <w:r>
        <w:rPr>
          <w:spacing w:val="-21"/>
        </w:rPr>
        <w:t> </w:t>
      </w:r>
      <w:r>
        <w:rPr/>
        <w:t>8328 for establishing the LLOQ level and for the acceptance criteria to</w:t>
      </w:r>
      <w:r>
        <w:rPr>
          <w:spacing w:val="-6"/>
        </w:rPr>
        <w:t> </w:t>
      </w:r>
      <w:r>
        <w:rPr/>
        <w:t>use.</w:t>
      </w:r>
    </w:p>
    <w:p>
      <w:pPr>
        <w:pStyle w:val="BodyText"/>
        <w:tabs>
          <w:tab w:pos="2420" w:val="left" w:leader="none"/>
        </w:tabs>
        <w:spacing w:line="276" w:lineRule="auto" w:before="119"/>
        <w:ind w:left="980" w:right="977" w:firstLine="719"/>
      </w:pPr>
      <w:bookmarkStart w:name="B9.4 Blanks - Before processing any samp" w:id="384"/>
      <w:bookmarkEnd w:id="384"/>
      <w:r>
        <w:rPr/>
      </w:r>
      <w:r>
        <w:rPr/>
        <w:t>B9.4</w:t>
        <w:tab/>
        <w:t>Blanks - Before processing any samples, the analyst should demonstrate that all parts of the equipment in contact with the sample and reagents are interference-free. This is accomplished through the preparation and analysis of method blanks (MBs). Each time</w:t>
      </w:r>
      <w:r>
        <w:rPr>
          <w:spacing w:val="-25"/>
        </w:rPr>
        <w:t> </w:t>
      </w:r>
      <w:r>
        <w:rPr/>
        <w:t>samples are prepared, and when there is a change in reagents, an MB should be prepared and analyzed for the compounds of interest as a safeguard against chronic laboratory</w:t>
      </w:r>
      <w:r>
        <w:rPr>
          <w:spacing w:val="-11"/>
        </w:rPr>
        <w:t> </w:t>
      </w:r>
      <w:r>
        <w:rPr/>
        <w:t>contamination.</w:t>
      </w:r>
    </w:p>
    <w:p>
      <w:pPr>
        <w:pStyle w:val="BodyText"/>
        <w:tabs>
          <w:tab w:pos="3687" w:val="left" w:leader="none"/>
        </w:tabs>
        <w:spacing w:line="276" w:lineRule="auto" w:before="120"/>
        <w:ind w:left="1700" w:right="1028" w:firstLine="720"/>
      </w:pPr>
      <w:bookmarkStart w:name="B9.4.1 At least one MB for every 20 fiel" w:id="385"/>
      <w:bookmarkEnd w:id="385"/>
      <w:r>
        <w:rPr/>
      </w:r>
      <w:r>
        <w:rPr/>
        <w:t>B9.4.1</w:t>
        <w:tab/>
        <w:t>At least one MB for every 20 field samples must be prepared in reagent water to investigate for PFAS contamination throughout sample preparation</w:t>
      </w:r>
      <w:r>
        <w:rPr>
          <w:spacing w:val="-23"/>
        </w:rPr>
        <w:t> </w:t>
      </w:r>
      <w:r>
        <w:rPr/>
        <w:t>and analysis. Method blanks are subjected to all steps in Sec.</w:t>
      </w:r>
      <w:r>
        <w:rPr>
          <w:spacing w:val="-5"/>
        </w:rPr>
        <w:t> </w:t>
      </w:r>
      <w:r>
        <w:rPr/>
        <w:t>B11.0.</w:t>
      </w:r>
    </w:p>
    <w:p>
      <w:pPr>
        <w:pStyle w:val="BodyText"/>
        <w:spacing w:line="276" w:lineRule="auto" w:before="120"/>
        <w:ind w:left="1700" w:right="1037" w:firstLine="720"/>
        <w:jc w:val="both"/>
      </w:pPr>
      <w:bookmarkStart w:name="B9.4.2 Because PFAS contamination is com" w:id="386"/>
      <w:bookmarkEnd w:id="386"/>
      <w:r>
        <w:rPr/>
      </w:r>
      <w:r>
        <w:rPr/>
        <w:t>B9.4.2       Because PFAS contamination is common in reagents, a RB should be prepared with each batch of samples using 50:50 methanol-water solution containing 0.1% acetic acid to investigate for system/laboratory</w:t>
      </w:r>
      <w:r>
        <w:rPr>
          <w:spacing w:val="-5"/>
        </w:rPr>
        <w:t> </w:t>
      </w:r>
      <w:r>
        <w:rPr/>
        <w:t>contamination</w:t>
      </w:r>
    </w:p>
    <w:p>
      <w:pPr>
        <w:pStyle w:val="BodyText"/>
        <w:tabs>
          <w:tab w:pos="2420" w:val="left" w:leader="none"/>
        </w:tabs>
        <w:spacing w:line="276" w:lineRule="auto" w:before="120"/>
        <w:ind w:left="980" w:right="1088" w:firstLine="719"/>
      </w:pPr>
      <w:bookmarkStart w:name="B9.5 Laboratory Controls - Each preparat" w:id="387"/>
      <w:bookmarkEnd w:id="387"/>
      <w:r>
        <w:rPr/>
      </w:r>
      <w:r>
        <w:rPr/>
        <w:t>B9.5</w:t>
        <w:tab/>
        <w:t>Laboratory Controls - Each preparation batch of twenty or fewer samples should also include a laboratory control sample (LCS), a matrix spike sample (MS), a matrix spike duplicate (MSD) or laboratory duplicate sample (if sufficient volume is available), and an LLOQ verification.</w:t>
      </w:r>
    </w:p>
    <w:p>
      <w:pPr>
        <w:pStyle w:val="BodyText"/>
        <w:tabs>
          <w:tab w:pos="2420" w:val="left" w:leader="none"/>
        </w:tabs>
        <w:spacing w:line="276" w:lineRule="auto" w:before="120"/>
        <w:ind w:left="980" w:right="1051" w:firstLine="719"/>
      </w:pPr>
      <w:bookmarkStart w:name="B9.6 Any method blanks, LCSs, MS/MSDs, d" w:id="388"/>
      <w:bookmarkEnd w:id="388"/>
      <w:r>
        <w:rPr/>
      </w:r>
      <w:r>
        <w:rPr/>
        <w:t>B9.6</w:t>
        <w:tab/>
        <w:t>Any method blanks, LCSs, MS/MSDs, duplicate samples and LLOQ verifications should be subjected to the same preparation procedures (Sec. B11.0) as those used on actual samples.</w:t>
      </w:r>
    </w:p>
    <w:p>
      <w:pPr>
        <w:pStyle w:val="BodyText"/>
        <w:tabs>
          <w:tab w:pos="2420" w:val="left" w:leader="none"/>
        </w:tabs>
        <w:spacing w:line="276" w:lineRule="auto" w:before="120"/>
        <w:ind w:left="981" w:right="1071" w:firstLine="719"/>
      </w:pPr>
      <w:bookmarkStart w:name="B9.7 All field and QC samples should be " w:id="389"/>
      <w:bookmarkEnd w:id="389"/>
      <w:r>
        <w:rPr/>
      </w:r>
      <w:r>
        <w:rPr/>
        <w:t>B9.7</w:t>
        <w:tab/>
        <w:t>All field and QC samples should be spiked with an appropriate concentration of mass labelled PFAS isotopes, whether used as surrogates or internal standards, as a check on the preparation procedure or to report recovery-corrected concentrations of target</w:t>
      </w:r>
      <w:r>
        <w:rPr>
          <w:spacing w:val="-13"/>
        </w:rPr>
        <w:t> </w:t>
      </w:r>
      <w:r>
        <w:rPr/>
        <w:t>analytes.</w:t>
      </w:r>
    </w:p>
    <w:p>
      <w:pPr>
        <w:pStyle w:val="BodyText"/>
        <w:spacing w:before="4"/>
        <w:rPr>
          <w:sz w:val="31"/>
        </w:rPr>
      </w:pPr>
    </w:p>
    <w:p>
      <w:pPr>
        <w:pStyle w:val="BodyText"/>
        <w:ind w:left="981"/>
      </w:pPr>
      <w:r>
        <w:rPr/>
        <w:t>B10.0 CALIBRATION AND STANDARDIZATION</w:t>
      </w:r>
    </w:p>
    <w:p>
      <w:pPr>
        <w:pStyle w:val="BodyText"/>
        <w:spacing w:before="1"/>
        <w:rPr>
          <w:sz w:val="24"/>
        </w:rPr>
      </w:pPr>
    </w:p>
    <w:p>
      <w:pPr>
        <w:pStyle w:val="BodyText"/>
        <w:spacing w:line="276" w:lineRule="auto"/>
        <w:ind w:left="980" w:right="958" w:firstLine="720"/>
      </w:pPr>
      <w:r>
        <w:rPr/>
        <w:t>There are no calibration or standardization steps directly associated with this preparation procedure.</w:t>
      </w:r>
    </w:p>
    <w:p>
      <w:pPr>
        <w:pStyle w:val="BodyText"/>
        <w:spacing w:before="4"/>
        <w:rPr>
          <w:sz w:val="31"/>
        </w:rPr>
      </w:pPr>
    </w:p>
    <w:p>
      <w:pPr>
        <w:pStyle w:val="BodyText"/>
        <w:ind w:left="980"/>
      </w:pPr>
      <w:r>
        <w:rPr/>
        <w:t>B11.0 PROCEDURE</w:t>
      </w:r>
    </w:p>
    <w:p>
      <w:pPr>
        <w:spacing w:after="0"/>
        <w:sectPr>
          <w:pgSz w:w="12240" w:h="15840"/>
          <w:pgMar w:header="0" w:footer="1214" w:top="1060" w:bottom="1400" w:left="460" w:right="480"/>
        </w:sectPr>
      </w:pPr>
    </w:p>
    <w:p>
      <w:pPr>
        <w:pStyle w:val="BodyText"/>
        <w:spacing w:line="276" w:lineRule="auto" w:before="70"/>
        <w:ind w:left="980" w:right="1068" w:firstLine="719"/>
      </w:pPr>
      <w:bookmarkStart w:name="B11.1 Sample preparation – Each batch of" w:id="390"/>
      <w:bookmarkEnd w:id="390"/>
      <w:r>
        <w:rPr/>
      </w:r>
      <w:r>
        <w:rPr/>
        <w:t>B11.1 Sample preparation – Each batch of samples (20 or fewer) should contain a MB, LCS, MS, sample duplicate or MSD (if available), and an LLOQ verification sample. The following sections refer to Method 8327 for suggested standard addition concentrations for PFAS target analytes and associated surrogates by QC sample type. Different concentrations may be spiked depending on the needs of the project, the sensitivity of the instrument, or the determinative method used. The analyst should strive to keep the total spike additions to ≤1% of the final volume (≤100 uL in 10 mL) to minimize errors in the dilution.</w:t>
      </w:r>
    </w:p>
    <w:p>
      <w:pPr>
        <w:pStyle w:val="BodyText"/>
        <w:tabs>
          <w:tab w:pos="3687" w:val="left" w:leader="none"/>
        </w:tabs>
        <w:spacing w:line="276" w:lineRule="auto" w:before="121"/>
        <w:ind w:left="1700" w:right="1074" w:firstLine="720"/>
      </w:pPr>
      <w:bookmarkStart w:name="B11.1.1 Weigh all field collected sample" w:id="391"/>
      <w:bookmarkEnd w:id="391"/>
      <w:r>
        <w:rPr/>
      </w:r>
      <w:r>
        <w:rPr/>
        <w:t>B11.1.1</w:t>
        <w:tab/>
        <w:t>Weigh all field collected samples in the 15 mL polypropylene centrifuge tubes prior to any preparation steps and calculate the difference weight</w:t>
      </w:r>
      <w:r>
        <w:rPr>
          <w:spacing w:val="-23"/>
        </w:rPr>
        <w:t> </w:t>
      </w:r>
      <w:r>
        <w:rPr/>
        <w:t>using the value of the pre-weighed container. Use a difference weight, assuming a density</w:t>
      </w:r>
      <w:r>
        <w:rPr>
          <w:spacing w:val="-23"/>
        </w:rPr>
        <w:t> </w:t>
      </w:r>
      <w:r>
        <w:rPr/>
        <w:t>of</w:t>
      </w:r>
    </w:p>
    <w:p>
      <w:pPr>
        <w:pStyle w:val="BodyText"/>
        <w:spacing w:line="276" w:lineRule="auto"/>
        <w:ind w:left="1700" w:right="976"/>
      </w:pPr>
      <w:r>
        <w:rPr/>
        <w:t>1.0 g/mL, to determine volume. This volume will be used to determine amount of solvent to add if significantly different than 5 mL.</w:t>
      </w:r>
    </w:p>
    <w:p>
      <w:pPr>
        <w:pStyle w:val="BodyText"/>
        <w:spacing w:line="276" w:lineRule="auto" w:before="120"/>
        <w:ind w:left="2420" w:right="1020" w:hanging="720"/>
      </w:pPr>
      <w:bookmarkStart w:name="NOTE: If pre-weighed containers were not" w:id="392"/>
      <w:bookmarkEnd w:id="392"/>
      <w:r>
        <w:rPr/>
      </w:r>
      <w:r>
        <w:rPr>
          <w:u w:val="single"/>
        </w:rPr>
        <w:t>NOTE</w:t>
      </w:r>
      <w:r>
        <w:rPr/>
        <w:t>: If pre-weighed containers were not used to collect samples, mark the level of the sample on the outside of the container for determination of the volume. Certified graduation marks on sample containers may also be used to estimate sample volume.</w:t>
      </w:r>
    </w:p>
    <w:p>
      <w:pPr>
        <w:pStyle w:val="BodyText"/>
        <w:tabs>
          <w:tab w:pos="3687" w:val="left" w:leader="none"/>
        </w:tabs>
        <w:spacing w:line="276" w:lineRule="auto" w:before="119"/>
        <w:ind w:left="1699" w:right="1040" w:firstLine="720"/>
      </w:pPr>
      <w:bookmarkStart w:name="B11.1.2 MB – Prepare by adding 5.0 mL of" w:id="393"/>
      <w:bookmarkEnd w:id="393"/>
      <w:r>
        <w:rPr/>
      </w:r>
      <w:r>
        <w:rPr/>
        <w:t>B11.1.2</w:t>
        <w:tab/>
        <w:t>MB – Prepare by adding 5.0 mL of reagent water to a 15 mL polypropylene tube and adding an appropriate volume of the surrogate/internal</w:t>
      </w:r>
      <w:r>
        <w:rPr>
          <w:spacing w:val="-21"/>
        </w:rPr>
        <w:t> </w:t>
      </w:r>
      <w:r>
        <w:rPr/>
        <w:t>standard spiking solution (Sec. 7.4.1 of Method</w:t>
      </w:r>
      <w:r>
        <w:rPr>
          <w:spacing w:val="-3"/>
        </w:rPr>
        <w:t> </w:t>
      </w:r>
      <w:r>
        <w:rPr/>
        <w:t>8327).</w:t>
      </w:r>
    </w:p>
    <w:p>
      <w:pPr>
        <w:pStyle w:val="BodyText"/>
        <w:tabs>
          <w:tab w:pos="3687" w:val="left" w:leader="none"/>
        </w:tabs>
        <w:spacing w:line="276" w:lineRule="auto" w:before="121"/>
        <w:ind w:left="1699" w:right="1200" w:firstLine="720"/>
      </w:pPr>
      <w:bookmarkStart w:name="B11.1.3 LCS - Prepare by adding 5.0 mL o" w:id="394"/>
      <w:bookmarkEnd w:id="394"/>
      <w:r>
        <w:rPr/>
      </w:r>
      <w:r>
        <w:rPr/>
        <w:t>B11.1.3</w:t>
        <w:tab/>
        <w:t>LCS - Prepare by adding 5.0 mL of reagent water to a 15 mL polypropylene tube and adding appropriate volumes of the surrogate/internal standard spiking solution (Sec. 7.4.1 of Method 8327) and MS/MSD and LCS target</w:t>
      </w:r>
      <w:r>
        <w:rPr>
          <w:spacing w:val="-26"/>
        </w:rPr>
        <w:t> </w:t>
      </w:r>
      <w:r>
        <w:rPr/>
        <w:t>compounds spiking solution (Sec. 7.4.2 of Method</w:t>
      </w:r>
      <w:r>
        <w:rPr>
          <w:spacing w:val="-3"/>
        </w:rPr>
        <w:t> </w:t>
      </w:r>
      <w:r>
        <w:rPr/>
        <w:t>8327).</w:t>
      </w:r>
    </w:p>
    <w:p>
      <w:pPr>
        <w:pStyle w:val="BodyText"/>
        <w:spacing w:line="276" w:lineRule="auto" w:before="120"/>
        <w:ind w:left="1699" w:right="1280" w:firstLine="720"/>
      </w:pPr>
      <w:bookmarkStart w:name="NOTE: If field samples were collected at" w:id="395"/>
      <w:bookmarkEnd w:id="395"/>
      <w:r>
        <w:rPr/>
      </w:r>
      <w:r>
        <w:rPr/>
        <w:t>NOTE: If field samples were collected at a different volume, measure a similar volume for MB and LCS into a similarly sized container.</w:t>
      </w:r>
    </w:p>
    <w:p>
      <w:pPr>
        <w:pStyle w:val="BodyText"/>
        <w:tabs>
          <w:tab w:pos="3687" w:val="left" w:leader="none"/>
        </w:tabs>
        <w:spacing w:line="276" w:lineRule="auto" w:before="119"/>
        <w:ind w:left="1700" w:right="1431" w:firstLine="781"/>
      </w:pPr>
      <w:bookmarkStart w:name="B11.1.4 LLOQ Verification Sample - Prepa" w:id="396"/>
      <w:bookmarkEnd w:id="396"/>
      <w:r>
        <w:rPr/>
      </w:r>
      <w:r>
        <w:rPr/>
        <w:t>B11.1.4</w:t>
        <w:tab/>
        <w:t>LLOQ Verification Sample - Prepare by adding 5 mL of reagent water to a 15 mL polypropylene tube and adding appropriate volumes of the surrogate/internal standard spiking solution (Sec. 7.4.1 of Method 8327) and LLOQ verification spiking solution (Sec. 7.4.3 of Method 8327). Prepare additional LLOQ verification samples at higher concentration as needed (Sec. 7.4.3 of Method</w:t>
      </w:r>
      <w:r>
        <w:rPr>
          <w:spacing w:val="-21"/>
        </w:rPr>
        <w:t> </w:t>
      </w:r>
      <w:r>
        <w:rPr/>
        <w:t>8327).</w:t>
      </w:r>
    </w:p>
    <w:p>
      <w:pPr>
        <w:pStyle w:val="BodyText"/>
        <w:tabs>
          <w:tab w:pos="3687" w:val="left" w:leader="none"/>
        </w:tabs>
        <w:spacing w:line="276" w:lineRule="auto" w:before="121"/>
        <w:ind w:left="1700" w:right="1007" w:firstLine="720"/>
      </w:pPr>
      <w:bookmarkStart w:name="B11.1.5 Sample - Allow the 5 mL sample c" w:id="397"/>
      <w:bookmarkEnd w:id="397"/>
      <w:r>
        <w:rPr/>
      </w:r>
      <w:r>
        <w:rPr/>
        <w:t>B11.1.5</w:t>
        <w:tab/>
        <w:t>Sample - Allow the 5 mL sample collected in a 15 mL polypropylene tube to warm to room and weigh. Spike with an appropriate volume of the</w:t>
      </w:r>
      <w:r>
        <w:rPr>
          <w:spacing w:val="-15"/>
        </w:rPr>
        <w:t> </w:t>
      </w:r>
      <w:r>
        <w:rPr/>
        <w:t>surrogate</w:t>
      </w:r>
    </w:p>
    <w:p>
      <w:pPr>
        <w:pStyle w:val="BodyText"/>
        <w:ind w:left="1700"/>
      </w:pPr>
      <w:r>
        <w:rPr/>
        <w:t>/internal standard spiking solution (Sec. 7.4.1 of Method 8327).</w:t>
      </w:r>
    </w:p>
    <w:p>
      <w:pPr>
        <w:pStyle w:val="BodyText"/>
        <w:spacing w:line="276" w:lineRule="auto" w:before="158"/>
        <w:ind w:left="2420" w:right="1228" w:hanging="720"/>
      </w:pPr>
      <w:bookmarkStart w:name="NOTE: Different volumes may be received " w:id="398"/>
      <w:bookmarkEnd w:id="398"/>
      <w:r>
        <w:rPr/>
      </w:r>
      <w:r>
        <w:rPr>
          <w:u w:val="single"/>
        </w:rPr>
        <w:t>NOTE</w:t>
      </w:r>
      <w:r>
        <w:rPr/>
        <w:t>: Different volumes may be received by the laboratory and the entire volume, as received, must be prepared. Removing aliquots from a sample (volumes less than entire container) prior to solvent addition is not recommended prior to addition of MeOH, because longer chain PFAS are known to sorb to container walls in water samples unless ≥50% organic cosolvent is present.</w:t>
      </w:r>
    </w:p>
    <w:p>
      <w:pPr>
        <w:spacing w:after="0" w:line="276" w:lineRule="auto"/>
        <w:sectPr>
          <w:pgSz w:w="12240" w:h="15840"/>
          <w:pgMar w:header="0" w:footer="1214" w:top="1060" w:bottom="1400" w:left="460" w:right="480"/>
        </w:sectPr>
      </w:pPr>
    </w:p>
    <w:p>
      <w:pPr>
        <w:pStyle w:val="BodyText"/>
        <w:spacing w:line="276" w:lineRule="auto" w:before="70"/>
        <w:ind w:left="2420" w:right="1021" w:hanging="720"/>
      </w:pPr>
      <w:bookmarkStart w:name="NOTE: If the original container has inad" w:id="399"/>
      <w:bookmarkEnd w:id="399"/>
      <w:r>
        <w:rPr/>
      </w:r>
      <w:r>
        <w:rPr>
          <w:u w:val="single"/>
        </w:rPr>
        <w:t>NOTE</w:t>
      </w:r>
      <w:r>
        <w:rPr/>
        <w:t>: If the original container has inadequate volume to hold a 1:1 dilution (i.e. lacking sufficient volume to add the same volume of methanol), the sample may be transferred to a larger container, but the interior of the original sample container must be solvent rinsed, and this rinse must be incorporated into the solvent dilution of the sample (Sec. B11.2). Hand shake or vortex the rinse solvent in the original sample container for ~2 min to ensure quantitative transfer.</w:t>
      </w:r>
    </w:p>
    <w:p>
      <w:pPr>
        <w:pStyle w:val="BodyText"/>
        <w:tabs>
          <w:tab w:pos="3687" w:val="left" w:leader="none"/>
        </w:tabs>
        <w:spacing w:line="276" w:lineRule="auto" w:before="121"/>
        <w:ind w:left="1699" w:right="1100" w:firstLine="720"/>
      </w:pPr>
      <w:bookmarkStart w:name="B11.1.6 MS/MSD or MS/sample duplicate - " w:id="400"/>
      <w:bookmarkEnd w:id="400"/>
      <w:r>
        <w:rPr/>
      </w:r>
      <w:r>
        <w:rPr/>
        <w:t>B11.1.6</w:t>
        <w:tab/>
        <w:t>MS/MSD or MS/sample duplicate - Use separately collected containers for the MS, MSD and/or duplicate QC samples, provided sufficient sample is available. Add an appropriate volume of the surrogate/internal standard spiking</w:t>
      </w:r>
      <w:r>
        <w:rPr>
          <w:spacing w:val="-24"/>
        </w:rPr>
        <w:t> </w:t>
      </w:r>
      <w:r>
        <w:rPr/>
        <w:t>solution (Sec. 7.4.1 of Method 8327) to each of these QC samples, and add an appropriate volume of the MS/MSD and LCS target compounds spiking solution (Sec. 7.4.2 of Method 8327) to MS/MSD</w:t>
      </w:r>
      <w:r>
        <w:rPr>
          <w:spacing w:val="-2"/>
        </w:rPr>
        <w:t> </w:t>
      </w:r>
      <w:r>
        <w:rPr/>
        <w:t>samples.</w:t>
      </w:r>
    </w:p>
    <w:p>
      <w:pPr>
        <w:pStyle w:val="BodyText"/>
        <w:spacing w:before="120"/>
        <w:ind w:left="1699"/>
      </w:pPr>
      <w:bookmarkStart w:name="B11.2 Sample Dilution" w:id="401"/>
      <w:bookmarkEnd w:id="401"/>
      <w:r>
        <w:rPr/>
      </w:r>
      <w:r>
        <w:rPr/>
        <w:t>B11.2 Sample Dilution</w:t>
      </w:r>
    </w:p>
    <w:p>
      <w:pPr>
        <w:pStyle w:val="BodyText"/>
        <w:tabs>
          <w:tab w:pos="3687" w:val="left" w:leader="none"/>
        </w:tabs>
        <w:spacing w:line="276" w:lineRule="auto" w:before="157"/>
        <w:ind w:left="1699" w:right="958" w:firstLine="720"/>
      </w:pPr>
      <w:bookmarkStart w:name="B11.2.1 For field collected samples, mat" w:id="402"/>
      <w:bookmarkEnd w:id="402"/>
      <w:r>
        <w:rPr/>
      </w:r>
      <w:r>
        <w:rPr/>
        <w:t>B11.2.1</w:t>
        <w:tab/>
        <w:t>For field collected samples, matrix spikes, matrix spike duplicates and sample duplicates, add 5 mL methanol to each tube. If sample volumes differ from 5 mL by &gt;5%, (i.e. &lt;4.75 mL or &gt;5.25mL), adjust the methanol volume added according to the volume determined in B11.1.1. This may also require the adjustment of the amount of surrogates/internal standard and the amount of target compounds spikes added, if applicable.</w:t>
      </w:r>
    </w:p>
    <w:p>
      <w:pPr>
        <w:pStyle w:val="BodyText"/>
        <w:spacing w:line="276" w:lineRule="auto" w:before="121"/>
        <w:ind w:left="2420" w:right="1008" w:hanging="720"/>
      </w:pPr>
      <w:bookmarkStart w:name="NOTE: Adjusting the surrogates and targe" w:id="403"/>
      <w:bookmarkEnd w:id="403"/>
      <w:r>
        <w:rPr/>
      </w:r>
      <w:r>
        <w:rPr>
          <w:u w:val="single"/>
        </w:rPr>
        <w:t>NOTE</w:t>
      </w:r>
      <w:r>
        <w:rPr/>
        <w:t>: Adjusting the surrogates and target compounds standard additions for alternate sample volumes can be accomplished by adding surrogates (and target compounds, as applicable) to the methanol used for dilution. For example, field samples, duplicates, and method blanks can be prepared with methanol spiked with surrogates/internal standards at concentrations of 160 ng/L, which would result in surrogate concentrations of 80 ng/L in the samples after 1:1 dilution with methanol. Similarly, LCS and MS/MSD samples can be prepared with methanol that has been spiked with surrogates/internal standards and targets compounds both at concentrations of 160 ng/L (nom.), which would result in surrogate and target analyte concentrations of 80 ng/L in the samples after 1:1 dilution with methanol. For sample volumes &lt;4.75 mL or &gt;5.25 mL, add the same volume of methanol solution as was calculated for the sample in Sec. B11.1.1.</w:t>
      </w:r>
    </w:p>
    <w:p>
      <w:pPr>
        <w:pStyle w:val="BodyText"/>
        <w:tabs>
          <w:tab w:pos="3687" w:val="left" w:leader="none"/>
        </w:tabs>
        <w:spacing w:line="276" w:lineRule="auto" w:before="120"/>
        <w:ind w:left="1699" w:right="1062" w:firstLine="720"/>
      </w:pPr>
      <w:bookmarkStart w:name="B11.2.2 For blanks, LCS, and LLOQ verifi" w:id="404"/>
      <w:bookmarkEnd w:id="404"/>
      <w:r>
        <w:rPr/>
      </w:r>
      <w:r>
        <w:rPr/>
        <w:t>B11.2.2</w:t>
        <w:tab/>
        <w:t>For blanks, LCS, and LLOQ verification QC samples prepared in 5 mL reagent water, add 5 mL of methanol. If alternate sample volumes are prepared as described in B11.2.1, add surrogates and target compounds (as applicable) in the same manner as was done for field samples and MS/MSD (as spiking solutions or added to the methanol used as a dilution solvent, as</w:t>
      </w:r>
      <w:r>
        <w:rPr>
          <w:spacing w:val="-3"/>
        </w:rPr>
        <w:t> </w:t>
      </w:r>
      <w:r>
        <w:rPr/>
        <w:t>appropriate).</w:t>
      </w:r>
    </w:p>
    <w:p>
      <w:pPr>
        <w:pStyle w:val="BodyText"/>
        <w:tabs>
          <w:tab w:pos="3687" w:val="left" w:leader="none"/>
        </w:tabs>
        <w:spacing w:before="119"/>
        <w:ind w:left="2420"/>
      </w:pPr>
      <w:bookmarkStart w:name="B11.2.3 Hand shake or vortex for ~2 min." w:id="405"/>
      <w:bookmarkEnd w:id="405"/>
      <w:r>
        <w:rPr/>
      </w:r>
      <w:r>
        <w:rPr/>
        <w:t>B11.2.3</w:t>
        <w:tab/>
        <w:t>Hand shake or vortex for ~2</w:t>
      </w:r>
      <w:r>
        <w:rPr>
          <w:spacing w:val="-3"/>
        </w:rPr>
        <w:t> </w:t>
      </w:r>
      <w:r>
        <w:rPr/>
        <w:t>min.</w:t>
      </w:r>
    </w:p>
    <w:p>
      <w:pPr>
        <w:pStyle w:val="BodyText"/>
        <w:tabs>
          <w:tab w:pos="3687" w:val="left" w:leader="none"/>
        </w:tabs>
        <w:spacing w:line="276" w:lineRule="auto" w:before="159"/>
        <w:ind w:left="1699" w:right="1130" w:firstLine="720"/>
      </w:pPr>
      <w:bookmarkStart w:name="B11.2.4 Filter each diluted field sample" w:id="406"/>
      <w:bookmarkEnd w:id="406"/>
      <w:r>
        <w:rPr/>
      </w:r>
      <w:r>
        <w:rPr/>
        <w:t>B11.2.4</w:t>
        <w:tab/>
        <w:t>Filter each diluted field sample and associated QC sample</w:t>
      </w:r>
      <w:r>
        <w:rPr>
          <w:spacing w:val="-18"/>
        </w:rPr>
        <w:t> </w:t>
      </w:r>
      <w:r>
        <w:rPr/>
        <w:t>through separate rinsed Acrodisc GxF/0.2µm GHP membrane syringe-driven filters (See</w:t>
      </w:r>
      <w:r>
        <w:rPr>
          <w:spacing w:val="-18"/>
        </w:rPr>
        <w:t> </w:t>
      </w:r>
      <w:r>
        <w:rPr/>
        <w:t>Sec.</w:t>
      </w:r>
    </w:p>
    <w:p>
      <w:pPr>
        <w:pStyle w:val="BodyText"/>
        <w:ind w:left="1699"/>
      </w:pPr>
      <w:r>
        <w:rPr/>
        <w:t>6.3.8 of Method 8327) to remove particulates in the samples.</w:t>
      </w:r>
    </w:p>
    <w:p>
      <w:pPr>
        <w:spacing w:after="0"/>
        <w:sectPr>
          <w:pgSz w:w="12240" w:h="15840"/>
          <w:pgMar w:header="0" w:footer="1214" w:top="1060" w:bottom="1400" w:left="460" w:right="480"/>
        </w:sectPr>
      </w:pPr>
    </w:p>
    <w:p>
      <w:pPr>
        <w:pStyle w:val="BodyText"/>
        <w:tabs>
          <w:tab w:pos="3687" w:val="left" w:leader="none"/>
        </w:tabs>
        <w:spacing w:line="276" w:lineRule="auto" w:before="70"/>
        <w:ind w:left="1700" w:right="1269" w:firstLine="720"/>
      </w:pPr>
      <w:bookmarkStart w:name="B11.2.5 Add acetic acid to all samples t" w:id="407"/>
      <w:bookmarkEnd w:id="407"/>
      <w:r>
        <w:rPr/>
      </w:r>
      <w:r>
        <w:rPr/>
        <w:t>B11.2.5</w:t>
        <w:tab/>
        <w:t>Add acetic acid to all samples to adjust to pH ~3 - 4 after filtration (e.g., add 10µL of glacial acetic acid to 10mL). Transfer approximately 1 mL of that solution to an LC vial and apply a polyethylene cap. The sample is now ready for analysis.</w:t>
      </w:r>
    </w:p>
    <w:p>
      <w:pPr>
        <w:pStyle w:val="BodyText"/>
        <w:tabs>
          <w:tab w:pos="3687" w:val="left" w:leader="none"/>
        </w:tabs>
        <w:spacing w:line="276" w:lineRule="auto" w:before="120"/>
        <w:ind w:left="1700" w:right="972" w:firstLine="720"/>
      </w:pPr>
      <w:bookmarkStart w:name="B11.2.6 The final volume of the solution" w:id="408"/>
      <w:bookmarkEnd w:id="408"/>
      <w:r>
        <w:rPr/>
      </w:r>
      <w:r>
        <w:rPr/>
        <w:t>B11.2.6</w:t>
        <w:tab/>
        <w:t>The final volume of the solution is 10 mL for laboratory-prepared</w:t>
      </w:r>
      <w:r>
        <w:rPr>
          <w:spacing w:val="-17"/>
        </w:rPr>
        <w:t> </w:t>
      </w:r>
      <w:r>
        <w:rPr/>
        <w:t>QC samples. The final volume for field samples and QC is calculated summing the sample and added methanol</w:t>
      </w:r>
      <w:r>
        <w:rPr>
          <w:spacing w:val="-1"/>
        </w:rPr>
        <w:t> </w:t>
      </w:r>
      <w:r>
        <w:rPr/>
        <w:t>volumes.</w:t>
      </w:r>
    </w:p>
    <w:p>
      <w:pPr>
        <w:pStyle w:val="BodyText"/>
        <w:spacing w:line="276" w:lineRule="auto" w:before="121"/>
        <w:ind w:left="2420" w:right="1118" w:hanging="720"/>
      </w:pPr>
      <w:bookmarkStart w:name="NOTE: To minimize PFAS contamination in " w:id="409"/>
      <w:bookmarkEnd w:id="409"/>
      <w:r>
        <w:rPr/>
      </w:r>
      <w:r>
        <w:rPr>
          <w:u w:val="single"/>
        </w:rPr>
        <w:t>NOTE</w:t>
      </w:r>
      <w:r>
        <w:rPr/>
        <w:t>: To minimize PFAS contamination in subsequent samples, it is recommended to soak reusable syringes in hot tap water and then rinse with 5 X 10 mL reagent water, 3 X 10 mL acetonitrile and 3 x 10 mL methanol.</w:t>
      </w:r>
    </w:p>
    <w:p>
      <w:pPr>
        <w:pStyle w:val="BodyText"/>
        <w:spacing w:before="3"/>
        <w:rPr>
          <w:sz w:val="31"/>
        </w:rPr>
      </w:pPr>
    </w:p>
    <w:p>
      <w:pPr>
        <w:pStyle w:val="BodyText"/>
        <w:ind w:left="980"/>
      </w:pPr>
      <w:r>
        <w:rPr/>
        <w:t>B12.0 DATA ANALYSIS AND CALCULATIONS</w:t>
      </w:r>
    </w:p>
    <w:p>
      <w:pPr>
        <w:pStyle w:val="BodyText"/>
        <w:spacing w:before="2"/>
        <w:rPr>
          <w:sz w:val="24"/>
        </w:rPr>
      </w:pPr>
    </w:p>
    <w:p>
      <w:pPr>
        <w:pStyle w:val="BodyText"/>
        <w:ind w:left="1700"/>
      </w:pPr>
      <w:r>
        <w:rPr/>
        <w:t>There are no data analysis and calculation steps directly associated with this procedure.</w:t>
      </w:r>
    </w:p>
    <w:p>
      <w:pPr>
        <w:pStyle w:val="BodyText"/>
        <w:spacing w:before="38"/>
        <w:ind w:left="980"/>
      </w:pPr>
      <w:r>
        <w:rPr/>
        <w:t>Follow the directions given in the determinative method.</w:t>
      </w:r>
    </w:p>
    <w:p>
      <w:pPr>
        <w:pStyle w:val="BodyText"/>
        <w:spacing w:before="7"/>
        <w:rPr>
          <w:sz w:val="34"/>
        </w:rPr>
      </w:pPr>
    </w:p>
    <w:p>
      <w:pPr>
        <w:pStyle w:val="BodyText"/>
        <w:ind w:left="980"/>
      </w:pPr>
      <w:r>
        <w:rPr/>
        <w:t>B13.0 METHOD PERFORMANCE</w:t>
      </w:r>
    </w:p>
    <w:p>
      <w:pPr>
        <w:pStyle w:val="BodyText"/>
        <w:spacing w:before="2"/>
        <w:rPr>
          <w:sz w:val="24"/>
        </w:rPr>
      </w:pPr>
    </w:p>
    <w:p>
      <w:pPr>
        <w:pStyle w:val="BodyText"/>
        <w:spacing w:line="276" w:lineRule="auto" w:before="1"/>
        <w:ind w:left="979" w:right="976" w:firstLine="720"/>
      </w:pPr>
      <w:bookmarkStart w:name="B13.1 Performance data and related infor" w:id="410"/>
      <w:bookmarkEnd w:id="410"/>
      <w:r>
        <w:rPr/>
      </w:r>
      <w:r>
        <w:rPr/>
        <w:t>B13.1 Performance data and related information are provided in SW-846 methods only as examples and guidance. The data do not represent required performance goals for users of the methods. Instead, performance criteria should be developed on a project-specific basis, and the laboratory should establish in-house QC performance criteria for the application of this method.</w:t>
      </w:r>
    </w:p>
    <w:p>
      <w:pPr>
        <w:pStyle w:val="BodyText"/>
        <w:spacing w:before="119"/>
        <w:ind w:left="1699"/>
      </w:pPr>
      <w:bookmarkStart w:name="B13.2 TBD" w:id="411"/>
      <w:bookmarkEnd w:id="411"/>
      <w:r>
        <w:rPr/>
      </w:r>
      <w:r>
        <w:rPr/>
        <w:t>B13.2 TBD</w:t>
      </w:r>
    </w:p>
    <w:p>
      <w:pPr>
        <w:pStyle w:val="BodyText"/>
        <w:spacing w:before="6"/>
        <w:rPr>
          <w:sz w:val="34"/>
        </w:rPr>
      </w:pPr>
    </w:p>
    <w:p>
      <w:pPr>
        <w:pStyle w:val="BodyText"/>
        <w:spacing w:before="1"/>
        <w:ind w:left="979"/>
      </w:pPr>
      <w:r>
        <w:rPr/>
        <w:t>B14.0 POLLUTION PREVENTION</w:t>
      </w:r>
    </w:p>
    <w:p>
      <w:pPr>
        <w:pStyle w:val="BodyText"/>
        <w:spacing w:before="2"/>
        <w:rPr>
          <w:sz w:val="24"/>
        </w:rPr>
      </w:pPr>
    </w:p>
    <w:p>
      <w:pPr>
        <w:pStyle w:val="BodyText"/>
        <w:spacing w:line="276" w:lineRule="auto"/>
        <w:ind w:left="980" w:right="1079" w:firstLine="719"/>
      </w:pPr>
      <w:bookmarkStart w:name="B14.1 Pollution prevention encompasses a" w:id="412"/>
      <w:bookmarkEnd w:id="412"/>
      <w:r>
        <w:rPr/>
      </w:r>
      <w:r>
        <w:rPr/>
        <w:t>B14.1 Pollution prevention encompasses any technique that reduces or eliminates the quantity and/or toxicity of waste at the point of generation. Numerous opportunities for pollution prevention exist in laboratory operations. The EPA has established a preferred hierarchy of environmental management techniques that places pollution prevention as the management option of first choice. Whenever feasible, laboratory personnel should use pollution prevention techniques to address their waste generation. When wastes cannot be feasibly reduced at the source, the Agency recommends recycling as the next best option.</w:t>
      </w:r>
    </w:p>
    <w:p>
      <w:pPr>
        <w:pStyle w:val="BodyText"/>
        <w:spacing w:line="276" w:lineRule="auto" w:before="120"/>
        <w:ind w:left="980" w:right="976" w:firstLine="719"/>
      </w:pPr>
      <w:bookmarkStart w:name="B14.2 For information about pollution pr" w:id="413"/>
      <w:bookmarkEnd w:id="413"/>
      <w:r>
        <w:rPr/>
      </w:r>
      <w:r>
        <w:rPr/>
        <w:t>B14.2 For information about pollution prevention that may be applicable to laboratories and research institutions consult </w:t>
      </w:r>
      <w:r>
        <w:rPr>
          <w:i/>
        </w:rPr>
        <w:t>Less is Better: Laboratory Chemical Management for Waste </w:t>
      </w:r>
      <w:r>
        <w:rPr>
          <w:i/>
        </w:rPr>
        <w:t>Reduction</w:t>
      </w:r>
      <w:r>
        <w:rPr/>
        <w:t>,</w:t>
      </w:r>
      <w:r>
        <w:rPr>
          <w:spacing w:val="-15"/>
        </w:rPr>
        <w:t> </w:t>
      </w:r>
      <w:r>
        <w:rPr/>
        <w:t>a</w:t>
      </w:r>
      <w:r>
        <w:rPr>
          <w:spacing w:val="-19"/>
        </w:rPr>
        <w:t> </w:t>
      </w:r>
      <w:r>
        <w:rPr/>
        <w:t>free</w:t>
      </w:r>
      <w:r>
        <w:rPr>
          <w:spacing w:val="-16"/>
        </w:rPr>
        <w:t> </w:t>
      </w:r>
      <w:r>
        <w:rPr/>
        <w:t>publication</w:t>
      </w:r>
      <w:r>
        <w:rPr>
          <w:spacing w:val="-13"/>
        </w:rPr>
        <w:t> </w:t>
      </w:r>
      <w:r>
        <w:rPr/>
        <w:t>available</w:t>
      </w:r>
      <w:r>
        <w:rPr>
          <w:spacing w:val="-15"/>
        </w:rPr>
        <w:t> </w:t>
      </w:r>
      <w:r>
        <w:rPr/>
        <w:t>from</w:t>
      </w:r>
      <w:r>
        <w:rPr>
          <w:spacing w:val="-16"/>
        </w:rPr>
        <w:t> </w:t>
      </w:r>
      <w:r>
        <w:rPr/>
        <w:t>the</w:t>
      </w:r>
      <w:r>
        <w:rPr>
          <w:spacing w:val="-15"/>
        </w:rPr>
        <w:t> </w:t>
      </w:r>
      <w:r>
        <w:rPr/>
        <w:t>American</w:t>
      </w:r>
      <w:r>
        <w:rPr>
          <w:spacing w:val="-15"/>
        </w:rPr>
        <w:t> </w:t>
      </w:r>
      <w:r>
        <w:rPr/>
        <w:t>Chemical</w:t>
      </w:r>
      <w:r>
        <w:rPr>
          <w:spacing w:val="-15"/>
        </w:rPr>
        <w:t> </w:t>
      </w:r>
      <w:r>
        <w:rPr/>
        <w:t>Society</w:t>
      </w:r>
      <w:r>
        <w:rPr>
          <w:spacing w:val="-16"/>
        </w:rPr>
        <w:t> </w:t>
      </w:r>
      <w:r>
        <w:rPr/>
        <w:t>(ACS),</w:t>
      </w:r>
      <w:r>
        <w:rPr>
          <w:spacing w:val="-14"/>
        </w:rPr>
        <w:t> </w:t>
      </w:r>
      <w:r>
        <w:rPr/>
        <w:t>Committee</w:t>
      </w:r>
      <w:r>
        <w:rPr>
          <w:spacing w:val="-14"/>
        </w:rPr>
        <w:t> </w:t>
      </w:r>
      <w:r>
        <w:rPr/>
        <w:t>on Chemical Safety,</w:t>
      </w:r>
      <w:r>
        <w:rPr>
          <w:spacing w:val="-35"/>
        </w:rPr>
        <w:t> </w:t>
      </w:r>
      <w:hyperlink r:id="rId22">
        <w:r>
          <w:rPr/>
          <w:t>http://portal.acs.org/portal/fileFetch/C/WPCP_012290/pdf/WPCP_012290.pdf.</w:t>
        </w:r>
      </w:hyperlink>
    </w:p>
    <w:p>
      <w:pPr>
        <w:spacing w:after="0" w:line="276" w:lineRule="auto"/>
        <w:sectPr>
          <w:pgSz w:w="12240" w:h="15840"/>
          <w:pgMar w:header="0" w:footer="1214" w:top="1060" w:bottom="1400" w:left="460" w:right="480"/>
        </w:sectPr>
      </w:pPr>
    </w:p>
    <w:p>
      <w:pPr>
        <w:pStyle w:val="BodyText"/>
        <w:spacing w:before="70"/>
        <w:ind w:left="980"/>
      </w:pPr>
      <w:r>
        <w:rPr/>
        <w:t>B15.0 WASTE MANAGEMENT</w:t>
      </w:r>
    </w:p>
    <w:p>
      <w:pPr>
        <w:pStyle w:val="BodyText"/>
        <w:spacing w:before="3"/>
        <w:rPr>
          <w:sz w:val="24"/>
        </w:rPr>
      </w:pPr>
    </w:p>
    <w:p>
      <w:pPr>
        <w:pStyle w:val="BodyText"/>
        <w:spacing w:line="276" w:lineRule="auto"/>
        <w:ind w:left="980" w:right="965" w:firstLine="720"/>
      </w:pPr>
      <w:r>
        <w:rPr/>
        <w:t>The Environmental Protection Agency requires that laboratory waste management practices be conducted consistent with all applicable rules and regulations. The Agency urges laboratories to protect the air, water, and land by minimizing and controlling all releases from hoods and bench operations, complying with the letter and spirit of any sewer discharge permits and regulations, and by complying with all solid and hazardous waste regulations, particularly the hazardous waste identification rules and land disposal restrictions. For further information</w:t>
      </w:r>
      <w:r>
        <w:rPr>
          <w:spacing w:val="-28"/>
        </w:rPr>
        <w:t> </w:t>
      </w:r>
      <w:r>
        <w:rPr/>
        <w:t>on waste management, consult </w:t>
      </w:r>
      <w:r>
        <w:rPr>
          <w:i/>
        </w:rPr>
        <w:t>The Waste Management Manual for Laboratory Personnel </w:t>
      </w:r>
      <w:r>
        <w:rPr/>
        <w:t>available from the American Chemical Society at the address listed in Sec.</w:t>
      </w:r>
      <w:r>
        <w:rPr>
          <w:spacing w:val="-11"/>
        </w:rPr>
        <w:t> </w:t>
      </w:r>
      <w:r>
        <w:rPr/>
        <w:t>B14.2.</w:t>
      </w:r>
    </w:p>
    <w:p>
      <w:pPr>
        <w:pStyle w:val="BodyText"/>
        <w:spacing w:before="2"/>
        <w:rPr>
          <w:sz w:val="31"/>
        </w:rPr>
      </w:pPr>
    </w:p>
    <w:p>
      <w:pPr>
        <w:pStyle w:val="BodyText"/>
        <w:spacing w:before="1"/>
        <w:ind w:left="980"/>
      </w:pPr>
      <w:r>
        <w:rPr/>
        <w:t>B16.0 REFERENCES</w:t>
      </w:r>
    </w:p>
    <w:p>
      <w:pPr>
        <w:pStyle w:val="BodyText"/>
        <w:spacing w:before="2"/>
        <w:rPr>
          <w:sz w:val="24"/>
        </w:rPr>
      </w:pPr>
    </w:p>
    <w:p>
      <w:pPr>
        <w:pStyle w:val="ListParagraph"/>
        <w:numPr>
          <w:ilvl w:val="0"/>
          <w:numId w:val="13"/>
        </w:numPr>
        <w:tabs>
          <w:tab w:pos="2420" w:val="left" w:leader="none"/>
          <w:tab w:pos="2421" w:val="left" w:leader="none"/>
        </w:tabs>
        <w:spacing w:line="276" w:lineRule="auto" w:before="0" w:after="0"/>
        <w:ind w:left="980" w:right="1453" w:firstLine="719"/>
        <w:jc w:val="left"/>
        <w:rPr>
          <w:sz w:val="22"/>
        </w:rPr>
      </w:pPr>
      <w:r>
        <w:rPr>
          <w:sz w:val="22"/>
        </w:rPr>
        <w:t>U.S. Environmental Protection Agency, Region 5 Laboratory, “Standard Operating Procedure for the Analysis of Polyfluorinated Compounds of Interest to OSRTI</w:t>
      </w:r>
      <w:r>
        <w:rPr>
          <w:spacing w:val="-26"/>
          <w:sz w:val="22"/>
        </w:rPr>
        <w:t> </w:t>
      </w:r>
      <w:r>
        <w:rPr>
          <w:sz w:val="22"/>
        </w:rPr>
        <w:t>in Water, Sludge, Influent, Effluent, and Wastewater by Multiple Reaction Monitoring Liquid Chromatography/Mass Spectrometry (LC/MS/MS),” 75 pp.,</w:t>
      </w:r>
      <w:r>
        <w:rPr>
          <w:spacing w:val="-3"/>
          <w:sz w:val="22"/>
        </w:rPr>
        <w:t> </w:t>
      </w:r>
      <w:r>
        <w:rPr>
          <w:sz w:val="22"/>
        </w:rPr>
        <w:t>2016.</w:t>
      </w:r>
    </w:p>
    <w:p>
      <w:pPr>
        <w:pStyle w:val="ListParagraph"/>
        <w:numPr>
          <w:ilvl w:val="0"/>
          <w:numId w:val="13"/>
        </w:numPr>
        <w:tabs>
          <w:tab w:pos="2420" w:val="left" w:leader="none"/>
          <w:tab w:pos="2421" w:val="left" w:leader="none"/>
        </w:tabs>
        <w:spacing w:line="276" w:lineRule="auto" w:before="120" w:after="0"/>
        <w:ind w:left="981" w:right="1711" w:firstLine="719"/>
        <w:jc w:val="left"/>
        <w:rPr>
          <w:sz w:val="22"/>
        </w:rPr>
      </w:pPr>
      <w:r>
        <w:rPr>
          <w:sz w:val="22"/>
        </w:rPr>
        <w:t>Standard Practices for Sampling Water, American Society for Testing and Materials, Philadelphia. ASTM Annual Book Standards, Part 31,</w:t>
      </w:r>
      <w:r>
        <w:rPr>
          <w:spacing w:val="-11"/>
          <w:sz w:val="22"/>
        </w:rPr>
        <w:t> </w:t>
      </w:r>
      <w:r>
        <w:rPr>
          <w:sz w:val="22"/>
        </w:rPr>
        <w:t>D3370-76.</w:t>
      </w:r>
    </w:p>
    <w:p>
      <w:pPr>
        <w:pStyle w:val="BodyText"/>
        <w:spacing w:before="3"/>
        <w:rPr>
          <w:sz w:val="31"/>
        </w:rPr>
      </w:pPr>
    </w:p>
    <w:p>
      <w:pPr>
        <w:pStyle w:val="BodyText"/>
        <w:ind w:left="981"/>
      </w:pPr>
      <w:r>
        <w:rPr/>
        <w:t>B17.0 TABLES, DIAGRAMS, FLOWCHARTS, AND VALIDATION</w:t>
      </w:r>
    </w:p>
    <w:p>
      <w:pPr>
        <w:pStyle w:val="BodyText"/>
        <w:rPr>
          <w:sz w:val="24"/>
        </w:rPr>
      </w:pPr>
    </w:p>
    <w:p>
      <w:pPr>
        <w:pStyle w:val="BodyText"/>
        <w:spacing w:before="1"/>
        <w:rPr>
          <w:sz w:val="29"/>
        </w:rPr>
      </w:pPr>
    </w:p>
    <w:p>
      <w:pPr>
        <w:pStyle w:val="BodyText"/>
        <w:ind w:left="981"/>
      </w:pPr>
      <w:r>
        <w:rPr/>
        <w:t>DATA TBD</w:t>
      </w:r>
    </w:p>
    <w:sectPr>
      <w:pgSz w:w="12240" w:h="15840"/>
      <w:pgMar w:header="0" w:footer="1214" w:top="1060" w:bottom="1400" w:left="460" w:right="4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mbria Math">
    <w:altName w:val="Cambria Math"/>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83.285339pt;margin-top:720.279541pt;width:47.45pt;height:14.3pt;mso-position-horizontal-relative:page;mso-position-vertical-relative:page;z-index:-260032512" type="#_x0000_t202" filled="false" stroked="false">
          <v:textbox inset="0,0,0,0">
            <w:txbxContent>
              <w:p>
                <w:pPr>
                  <w:pStyle w:val="BodyText"/>
                  <w:spacing w:before="12"/>
                  <w:ind w:left="20"/>
                </w:pPr>
                <w:r>
                  <w:rPr/>
                  <w:t>8327- </w:t>
                </w:r>
                <w:r>
                  <w:rPr/>
                  <w:fldChar w:fldCharType="begin"/>
                </w:r>
                <w:r>
                  <w:rPr/>
                  <w:instrText> PAGE </w:instrText>
                </w:r>
                <w:r>
                  <w:rPr/>
                  <w:fldChar w:fldCharType="separate"/>
                </w:r>
                <w:r>
                  <w:rPr/>
                  <w:t>32</w:t>
                </w:r>
                <w:r>
                  <w:rPr/>
                  <w:fldChar w:fldCharType="end"/>
                </w:r>
              </w:p>
            </w:txbxContent>
          </v:textbox>
          <w10:wrap type="none"/>
        </v:shape>
      </w:pict>
    </w:r>
    <w:r>
      <w:rPr/>
      <w:pict>
        <v:shape style="position:absolute;margin-left:487.656067pt;margin-top:720.279541pt;width:53.4pt;height:28.85pt;mso-position-horizontal-relative:page;mso-position-vertical-relative:page;z-index:-260031488" type="#_x0000_t202" filled="false" stroked="false">
          <v:textbox inset="0,0,0,0">
            <w:txbxContent>
              <w:p>
                <w:pPr>
                  <w:pStyle w:val="BodyText"/>
                  <w:spacing w:before="12"/>
                  <w:ind w:left="20"/>
                </w:pPr>
                <w:r>
                  <w:rPr/>
                  <w:t>Revision</w:t>
                </w:r>
                <w:r>
                  <w:rPr>
                    <w:spacing w:val="-4"/>
                  </w:rPr>
                  <w:t> </w:t>
                </w:r>
                <w:r>
                  <w:rPr/>
                  <w:t>0</w:t>
                </w:r>
              </w:p>
              <w:p>
                <w:pPr>
                  <w:pStyle w:val="BodyText"/>
                  <w:spacing w:before="39"/>
                  <w:ind w:left="20"/>
                </w:pPr>
                <w:r>
                  <w:rPr/>
                  <w:t>June</w:t>
                </w:r>
                <w:r>
                  <w:rPr>
                    <w:spacing w:val="-2"/>
                  </w:rPr>
                  <w:t> </w:t>
                </w:r>
                <w:r>
                  <w:rPr/>
                  <w:t>2019</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47.289841pt;margin-top:554.854858pt;width:47.45pt;height:14.3pt;mso-position-horizontal-relative:page;mso-position-vertical-relative:page;z-index:-260030464" type="#_x0000_t202" filled="false" stroked="false">
          <v:textbox inset="0,0,0,0">
            <w:txbxContent>
              <w:p>
                <w:pPr>
                  <w:pStyle w:val="BodyText"/>
                  <w:spacing w:before="12"/>
                  <w:ind w:left="20"/>
                </w:pPr>
                <w:r>
                  <w:rPr/>
                  <w:t>8327- </w:t>
                </w:r>
                <w:r>
                  <w:rPr/>
                  <w:fldChar w:fldCharType="begin"/>
                </w:r>
                <w:r>
                  <w:rPr/>
                  <w:instrText> PAGE </w:instrText>
                </w:r>
                <w:r>
                  <w:rPr/>
                  <w:fldChar w:fldCharType="separate"/>
                </w:r>
                <w:r>
                  <w:rPr/>
                  <w:t>34</w:t>
                </w:r>
                <w:r>
                  <w:rPr/>
                  <w:fldChar w:fldCharType="end"/>
                </w:r>
              </w:p>
            </w:txbxContent>
          </v:textbox>
          <w10:wrap type="none"/>
        </v:shape>
      </w:pict>
    </w:r>
    <w:r>
      <w:rPr/>
      <w:pict>
        <v:shape style="position:absolute;margin-left:451.649597pt;margin-top:554.854858pt;width:53.35pt;height:14.3pt;mso-position-horizontal-relative:page;mso-position-vertical-relative:page;z-index:-260029440" type="#_x0000_t202" filled="false" stroked="false">
          <v:textbox inset="0,0,0,0">
            <w:txbxContent>
              <w:p>
                <w:pPr>
                  <w:pStyle w:val="BodyText"/>
                  <w:spacing w:before="12"/>
                  <w:ind w:left="20"/>
                </w:pPr>
                <w:r>
                  <w:rPr/>
                  <w:t>Revision 0</w:t>
                </w:r>
              </w:p>
            </w:txbxContent>
          </v:textbox>
          <w10:wrap type="none"/>
        </v:shape>
      </w:pict>
    </w:r>
    <w:r>
      <w:rPr/>
      <w:pict>
        <v:shape style="position:absolute;margin-left:611.013306pt;margin-top:554.854858pt;width:53.4pt;height:14.3pt;mso-position-horizontal-relative:page;mso-position-vertical-relative:page;z-index:-260028416" type="#_x0000_t202" filled="false" stroked="false">
          <v:textbox inset="0,0,0,0">
            <w:txbxContent>
              <w:p>
                <w:pPr>
                  <w:pStyle w:val="BodyText"/>
                  <w:spacing w:before="12"/>
                  <w:ind w:left="20"/>
                </w:pPr>
                <w:r>
                  <w:rPr/>
                  <w:t>June 2019</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83.285339pt;margin-top:720.279541pt;width:47.45pt;height:14.3pt;mso-position-horizontal-relative:page;mso-position-vertical-relative:page;z-index:-260027392" type="#_x0000_t202" filled="false" stroked="false">
          <v:textbox inset="0,0,0,0">
            <w:txbxContent>
              <w:p>
                <w:pPr>
                  <w:pStyle w:val="BodyText"/>
                  <w:spacing w:before="12"/>
                  <w:ind w:left="20"/>
                </w:pPr>
                <w:r>
                  <w:rPr/>
                  <w:t>8327- </w:t>
                </w:r>
                <w:r>
                  <w:rPr/>
                  <w:fldChar w:fldCharType="begin"/>
                </w:r>
                <w:r>
                  <w:rPr/>
                  <w:instrText> PAGE </w:instrText>
                </w:r>
                <w:r>
                  <w:rPr/>
                  <w:fldChar w:fldCharType="separate"/>
                </w:r>
                <w:r>
                  <w:rPr/>
                  <w:t>36</w:t>
                </w:r>
                <w:r>
                  <w:rPr/>
                  <w:fldChar w:fldCharType="end"/>
                </w:r>
              </w:p>
            </w:txbxContent>
          </v:textbox>
          <w10:wrap type="none"/>
        </v:shape>
      </w:pict>
    </w:r>
    <w:r>
      <w:rPr/>
      <w:pict>
        <v:shape style="position:absolute;margin-left:487.656067pt;margin-top:720.279541pt;width:53.4pt;height:28.85pt;mso-position-horizontal-relative:page;mso-position-vertical-relative:page;z-index:-260026368" type="#_x0000_t202" filled="false" stroked="false">
          <v:textbox inset="0,0,0,0">
            <w:txbxContent>
              <w:p>
                <w:pPr>
                  <w:pStyle w:val="BodyText"/>
                  <w:spacing w:before="12"/>
                  <w:ind w:left="20"/>
                </w:pPr>
                <w:r>
                  <w:rPr/>
                  <w:t>Revision</w:t>
                </w:r>
                <w:r>
                  <w:rPr>
                    <w:spacing w:val="-4"/>
                  </w:rPr>
                  <w:t> </w:t>
                </w:r>
                <w:r>
                  <w:rPr/>
                  <w:t>0</w:t>
                </w:r>
              </w:p>
              <w:p>
                <w:pPr>
                  <w:pStyle w:val="BodyText"/>
                  <w:spacing w:before="39"/>
                  <w:ind w:left="20"/>
                </w:pPr>
                <w:r>
                  <w:rPr/>
                  <w:t>June</w:t>
                </w:r>
                <w:r>
                  <w:rPr>
                    <w:spacing w:val="-2"/>
                  </w:rPr>
                  <w:t> </w:t>
                </w:r>
                <w:r>
                  <w:rPr/>
                  <w:t>2019</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multiLevelType w:val="hybridMultilevel"/>
    <w:lvl w:ilvl="0">
      <w:start w:val="1"/>
      <w:numFmt w:val="decimal"/>
      <w:lvlText w:val="%1."/>
      <w:lvlJc w:val="left"/>
      <w:pPr>
        <w:ind w:left="980" w:hanging="721"/>
        <w:jc w:val="left"/>
      </w:pPr>
      <w:rPr>
        <w:rFonts w:hint="default" w:ascii="Arial" w:hAnsi="Arial" w:eastAsia="Arial" w:cs="Arial"/>
        <w:w w:val="99"/>
        <w:sz w:val="22"/>
        <w:szCs w:val="22"/>
        <w:lang w:val="en-us" w:eastAsia="en-us" w:bidi="en-us"/>
      </w:rPr>
    </w:lvl>
    <w:lvl w:ilvl="1">
      <w:start w:val="0"/>
      <w:numFmt w:val="bullet"/>
      <w:lvlText w:val="•"/>
      <w:lvlJc w:val="left"/>
      <w:pPr>
        <w:ind w:left="2012" w:hanging="721"/>
      </w:pPr>
      <w:rPr>
        <w:rFonts w:hint="default"/>
        <w:lang w:val="en-us" w:eastAsia="en-us" w:bidi="en-us"/>
      </w:rPr>
    </w:lvl>
    <w:lvl w:ilvl="2">
      <w:start w:val="0"/>
      <w:numFmt w:val="bullet"/>
      <w:lvlText w:val="•"/>
      <w:lvlJc w:val="left"/>
      <w:pPr>
        <w:ind w:left="3044" w:hanging="721"/>
      </w:pPr>
      <w:rPr>
        <w:rFonts w:hint="default"/>
        <w:lang w:val="en-us" w:eastAsia="en-us" w:bidi="en-us"/>
      </w:rPr>
    </w:lvl>
    <w:lvl w:ilvl="3">
      <w:start w:val="0"/>
      <w:numFmt w:val="bullet"/>
      <w:lvlText w:val="•"/>
      <w:lvlJc w:val="left"/>
      <w:pPr>
        <w:ind w:left="4076" w:hanging="721"/>
      </w:pPr>
      <w:rPr>
        <w:rFonts w:hint="default"/>
        <w:lang w:val="en-us" w:eastAsia="en-us" w:bidi="en-us"/>
      </w:rPr>
    </w:lvl>
    <w:lvl w:ilvl="4">
      <w:start w:val="0"/>
      <w:numFmt w:val="bullet"/>
      <w:lvlText w:val="•"/>
      <w:lvlJc w:val="left"/>
      <w:pPr>
        <w:ind w:left="5108" w:hanging="721"/>
      </w:pPr>
      <w:rPr>
        <w:rFonts w:hint="default"/>
        <w:lang w:val="en-us" w:eastAsia="en-us" w:bidi="en-us"/>
      </w:rPr>
    </w:lvl>
    <w:lvl w:ilvl="5">
      <w:start w:val="0"/>
      <w:numFmt w:val="bullet"/>
      <w:lvlText w:val="•"/>
      <w:lvlJc w:val="left"/>
      <w:pPr>
        <w:ind w:left="6140" w:hanging="721"/>
      </w:pPr>
      <w:rPr>
        <w:rFonts w:hint="default"/>
        <w:lang w:val="en-us" w:eastAsia="en-us" w:bidi="en-us"/>
      </w:rPr>
    </w:lvl>
    <w:lvl w:ilvl="6">
      <w:start w:val="0"/>
      <w:numFmt w:val="bullet"/>
      <w:lvlText w:val="•"/>
      <w:lvlJc w:val="left"/>
      <w:pPr>
        <w:ind w:left="7172" w:hanging="721"/>
      </w:pPr>
      <w:rPr>
        <w:rFonts w:hint="default"/>
        <w:lang w:val="en-us" w:eastAsia="en-us" w:bidi="en-us"/>
      </w:rPr>
    </w:lvl>
    <w:lvl w:ilvl="7">
      <w:start w:val="0"/>
      <w:numFmt w:val="bullet"/>
      <w:lvlText w:val="•"/>
      <w:lvlJc w:val="left"/>
      <w:pPr>
        <w:ind w:left="8204" w:hanging="721"/>
      </w:pPr>
      <w:rPr>
        <w:rFonts w:hint="default"/>
        <w:lang w:val="en-us" w:eastAsia="en-us" w:bidi="en-us"/>
      </w:rPr>
    </w:lvl>
    <w:lvl w:ilvl="8">
      <w:start w:val="0"/>
      <w:numFmt w:val="bullet"/>
      <w:lvlText w:val="•"/>
      <w:lvlJc w:val="left"/>
      <w:pPr>
        <w:ind w:left="9236" w:hanging="721"/>
      </w:pPr>
      <w:rPr>
        <w:rFonts w:hint="default"/>
        <w:lang w:val="en-us" w:eastAsia="en-us" w:bidi="en-us"/>
      </w:rPr>
    </w:lvl>
  </w:abstractNum>
  <w:abstractNum w:abstractNumId="11">
    <w:multiLevelType w:val="hybridMultilevel"/>
    <w:lvl w:ilvl="0">
      <w:start w:val="16"/>
      <w:numFmt w:val="decimal"/>
      <w:lvlText w:val="%1"/>
      <w:lvlJc w:val="left"/>
      <w:pPr>
        <w:ind w:left="1756" w:hanging="577"/>
        <w:jc w:val="left"/>
      </w:pPr>
      <w:rPr>
        <w:rFonts w:hint="default"/>
        <w:lang w:val="en-us" w:eastAsia="en-us" w:bidi="en-us"/>
      </w:rPr>
    </w:lvl>
    <w:lvl w:ilvl="1">
      <w:start w:val="0"/>
      <w:numFmt w:val="decimal"/>
      <w:lvlText w:val="%1.%2"/>
      <w:lvlJc w:val="left"/>
      <w:pPr>
        <w:ind w:left="1756" w:hanging="577"/>
        <w:jc w:val="left"/>
      </w:pPr>
      <w:rPr>
        <w:rFonts w:hint="default" w:ascii="Arial" w:hAnsi="Arial" w:eastAsia="Arial" w:cs="Arial"/>
        <w:w w:val="99"/>
        <w:sz w:val="22"/>
        <w:szCs w:val="22"/>
        <w:lang w:val="en-us" w:eastAsia="en-us" w:bidi="en-us"/>
      </w:rPr>
    </w:lvl>
    <w:lvl w:ilvl="2">
      <w:start w:val="1"/>
      <w:numFmt w:val="decimal"/>
      <w:lvlText w:val="%3."/>
      <w:lvlJc w:val="left"/>
      <w:pPr>
        <w:ind w:left="2350" w:hanging="450"/>
        <w:jc w:val="left"/>
      </w:pPr>
      <w:rPr>
        <w:rFonts w:hint="default" w:ascii="Arial" w:hAnsi="Arial" w:eastAsia="Arial" w:cs="Arial"/>
        <w:w w:val="99"/>
        <w:sz w:val="22"/>
        <w:szCs w:val="22"/>
        <w:lang w:val="en-us" w:eastAsia="en-us" w:bidi="en-us"/>
      </w:rPr>
    </w:lvl>
    <w:lvl w:ilvl="3">
      <w:start w:val="0"/>
      <w:numFmt w:val="bullet"/>
      <w:lvlText w:val="•"/>
      <w:lvlJc w:val="left"/>
      <w:pPr>
        <w:ind w:left="4440" w:hanging="450"/>
      </w:pPr>
      <w:rPr>
        <w:rFonts w:hint="default"/>
        <w:lang w:val="en-us" w:eastAsia="en-us" w:bidi="en-us"/>
      </w:rPr>
    </w:lvl>
    <w:lvl w:ilvl="4">
      <w:start w:val="0"/>
      <w:numFmt w:val="bullet"/>
      <w:lvlText w:val="•"/>
      <w:lvlJc w:val="left"/>
      <w:pPr>
        <w:ind w:left="5480" w:hanging="450"/>
      </w:pPr>
      <w:rPr>
        <w:rFonts w:hint="default"/>
        <w:lang w:val="en-us" w:eastAsia="en-us" w:bidi="en-us"/>
      </w:rPr>
    </w:lvl>
    <w:lvl w:ilvl="5">
      <w:start w:val="0"/>
      <w:numFmt w:val="bullet"/>
      <w:lvlText w:val="•"/>
      <w:lvlJc w:val="left"/>
      <w:pPr>
        <w:ind w:left="6520" w:hanging="450"/>
      </w:pPr>
      <w:rPr>
        <w:rFonts w:hint="default"/>
        <w:lang w:val="en-us" w:eastAsia="en-us" w:bidi="en-us"/>
      </w:rPr>
    </w:lvl>
    <w:lvl w:ilvl="6">
      <w:start w:val="0"/>
      <w:numFmt w:val="bullet"/>
      <w:lvlText w:val="•"/>
      <w:lvlJc w:val="left"/>
      <w:pPr>
        <w:ind w:left="7560" w:hanging="450"/>
      </w:pPr>
      <w:rPr>
        <w:rFonts w:hint="default"/>
        <w:lang w:val="en-us" w:eastAsia="en-us" w:bidi="en-us"/>
      </w:rPr>
    </w:lvl>
    <w:lvl w:ilvl="7">
      <w:start w:val="0"/>
      <w:numFmt w:val="bullet"/>
      <w:lvlText w:val="•"/>
      <w:lvlJc w:val="left"/>
      <w:pPr>
        <w:ind w:left="8600" w:hanging="450"/>
      </w:pPr>
      <w:rPr>
        <w:rFonts w:hint="default"/>
        <w:lang w:val="en-us" w:eastAsia="en-us" w:bidi="en-us"/>
      </w:rPr>
    </w:lvl>
    <w:lvl w:ilvl="8">
      <w:start w:val="0"/>
      <w:numFmt w:val="bullet"/>
      <w:lvlText w:val="•"/>
      <w:lvlJc w:val="left"/>
      <w:pPr>
        <w:ind w:left="9640" w:hanging="450"/>
      </w:pPr>
      <w:rPr>
        <w:rFonts w:hint="default"/>
        <w:lang w:val="en-us" w:eastAsia="en-us" w:bidi="en-us"/>
      </w:rPr>
    </w:lvl>
  </w:abstractNum>
  <w:abstractNum w:abstractNumId="10">
    <w:multiLevelType w:val="hybridMultilevel"/>
    <w:lvl w:ilvl="0">
      <w:start w:val="14"/>
      <w:numFmt w:val="decimal"/>
      <w:lvlText w:val="%1"/>
      <w:lvlJc w:val="left"/>
      <w:pPr>
        <w:ind w:left="1756" w:hanging="577"/>
        <w:jc w:val="left"/>
      </w:pPr>
      <w:rPr>
        <w:rFonts w:hint="default"/>
        <w:lang w:val="en-us" w:eastAsia="en-us" w:bidi="en-us"/>
      </w:rPr>
    </w:lvl>
    <w:lvl w:ilvl="1">
      <w:start w:val="0"/>
      <w:numFmt w:val="decimal"/>
      <w:lvlText w:val="%1.%2"/>
      <w:lvlJc w:val="left"/>
      <w:pPr>
        <w:ind w:left="1756" w:hanging="577"/>
        <w:jc w:val="right"/>
      </w:pPr>
      <w:rPr>
        <w:rFonts w:hint="default" w:ascii="Arial" w:hAnsi="Arial" w:eastAsia="Arial" w:cs="Arial"/>
        <w:w w:val="99"/>
        <w:sz w:val="22"/>
        <w:szCs w:val="22"/>
        <w:lang w:val="en-us" w:eastAsia="en-us" w:bidi="en-us"/>
      </w:rPr>
    </w:lvl>
    <w:lvl w:ilvl="2">
      <w:start w:val="0"/>
      <w:numFmt w:val="bullet"/>
      <w:lvlText w:val="•"/>
      <w:lvlJc w:val="left"/>
      <w:pPr>
        <w:ind w:left="3752" w:hanging="577"/>
      </w:pPr>
      <w:rPr>
        <w:rFonts w:hint="default"/>
        <w:lang w:val="en-us" w:eastAsia="en-us" w:bidi="en-us"/>
      </w:rPr>
    </w:lvl>
    <w:lvl w:ilvl="3">
      <w:start w:val="0"/>
      <w:numFmt w:val="bullet"/>
      <w:lvlText w:val="•"/>
      <w:lvlJc w:val="left"/>
      <w:pPr>
        <w:ind w:left="4748" w:hanging="577"/>
      </w:pPr>
      <w:rPr>
        <w:rFonts w:hint="default"/>
        <w:lang w:val="en-us" w:eastAsia="en-us" w:bidi="en-us"/>
      </w:rPr>
    </w:lvl>
    <w:lvl w:ilvl="4">
      <w:start w:val="0"/>
      <w:numFmt w:val="bullet"/>
      <w:lvlText w:val="•"/>
      <w:lvlJc w:val="left"/>
      <w:pPr>
        <w:ind w:left="5744" w:hanging="577"/>
      </w:pPr>
      <w:rPr>
        <w:rFonts w:hint="default"/>
        <w:lang w:val="en-us" w:eastAsia="en-us" w:bidi="en-us"/>
      </w:rPr>
    </w:lvl>
    <w:lvl w:ilvl="5">
      <w:start w:val="0"/>
      <w:numFmt w:val="bullet"/>
      <w:lvlText w:val="•"/>
      <w:lvlJc w:val="left"/>
      <w:pPr>
        <w:ind w:left="6740" w:hanging="577"/>
      </w:pPr>
      <w:rPr>
        <w:rFonts w:hint="default"/>
        <w:lang w:val="en-us" w:eastAsia="en-us" w:bidi="en-us"/>
      </w:rPr>
    </w:lvl>
    <w:lvl w:ilvl="6">
      <w:start w:val="0"/>
      <w:numFmt w:val="bullet"/>
      <w:lvlText w:val="•"/>
      <w:lvlJc w:val="left"/>
      <w:pPr>
        <w:ind w:left="7736" w:hanging="577"/>
      </w:pPr>
      <w:rPr>
        <w:rFonts w:hint="default"/>
        <w:lang w:val="en-us" w:eastAsia="en-us" w:bidi="en-us"/>
      </w:rPr>
    </w:lvl>
    <w:lvl w:ilvl="7">
      <w:start w:val="0"/>
      <w:numFmt w:val="bullet"/>
      <w:lvlText w:val="•"/>
      <w:lvlJc w:val="left"/>
      <w:pPr>
        <w:ind w:left="8732" w:hanging="577"/>
      </w:pPr>
      <w:rPr>
        <w:rFonts w:hint="default"/>
        <w:lang w:val="en-us" w:eastAsia="en-us" w:bidi="en-us"/>
      </w:rPr>
    </w:lvl>
    <w:lvl w:ilvl="8">
      <w:start w:val="0"/>
      <w:numFmt w:val="bullet"/>
      <w:lvlText w:val="•"/>
      <w:lvlJc w:val="left"/>
      <w:pPr>
        <w:ind w:left="9728" w:hanging="577"/>
      </w:pPr>
      <w:rPr>
        <w:rFonts w:hint="default"/>
        <w:lang w:val="en-us" w:eastAsia="en-us" w:bidi="en-us"/>
      </w:rPr>
    </w:lvl>
  </w:abstractNum>
  <w:abstractNum w:abstractNumId="9">
    <w:multiLevelType w:val="hybridMultilevel"/>
    <w:lvl w:ilvl="0">
      <w:start w:val="12"/>
      <w:numFmt w:val="decimal"/>
      <w:lvlText w:val="%1"/>
      <w:lvlJc w:val="left"/>
      <w:pPr>
        <w:ind w:left="1900" w:hanging="721"/>
        <w:jc w:val="left"/>
      </w:pPr>
      <w:rPr>
        <w:rFonts w:hint="default"/>
        <w:lang w:val="en-us" w:eastAsia="en-us" w:bidi="en-us"/>
      </w:rPr>
    </w:lvl>
    <w:lvl w:ilvl="1">
      <w:start w:val="0"/>
      <w:numFmt w:val="decimal"/>
      <w:lvlText w:val="%1.%2"/>
      <w:lvlJc w:val="left"/>
      <w:pPr>
        <w:ind w:left="1900" w:hanging="721"/>
        <w:jc w:val="right"/>
      </w:pPr>
      <w:rPr>
        <w:rFonts w:hint="default" w:ascii="Arial" w:hAnsi="Arial" w:eastAsia="Arial" w:cs="Arial"/>
        <w:w w:val="99"/>
        <w:sz w:val="22"/>
        <w:szCs w:val="22"/>
        <w:lang w:val="en-us" w:eastAsia="en-us" w:bidi="en-us"/>
      </w:rPr>
    </w:lvl>
    <w:lvl w:ilvl="2">
      <w:start w:val="0"/>
      <w:numFmt w:val="bullet"/>
      <w:lvlText w:val="•"/>
      <w:lvlJc w:val="left"/>
      <w:pPr>
        <w:ind w:left="3864" w:hanging="721"/>
      </w:pPr>
      <w:rPr>
        <w:rFonts w:hint="default"/>
        <w:lang w:val="en-us" w:eastAsia="en-us" w:bidi="en-us"/>
      </w:rPr>
    </w:lvl>
    <w:lvl w:ilvl="3">
      <w:start w:val="0"/>
      <w:numFmt w:val="bullet"/>
      <w:lvlText w:val="•"/>
      <w:lvlJc w:val="left"/>
      <w:pPr>
        <w:ind w:left="4846" w:hanging="721"/>
      </w:pPr>
      <w:rPr>
        <w:rFonts w:hint="default"/>
        <w:lang w:val="en-us" w:eastAsia="en-us" w:bidi="en-us"/>
      </w:rPr>
    </w:lvl>
    <w:lvl w:ilvl="4">
      <w:start w:val="0"/>
      <w:numFmt w:val="bullet"/>
      <w:lvlText w:val="•"/>
      <w:lvlJc w:val="left"/>
      <w:pPr>
        <w:ind w:left="5828" w:hanging="721"/>
      </w:pPr>
      <w:rPr>
        <w:rFonts w:hint="default"/>
        <w:lang w:val="en-us" w:eastAsia="en-us" w:bidi="en-us"/>
      </w:rPr>
    </w:lvl>
    <w:lvl w:ilvl="5">
      <w:start w:val="0"/>
      <w:numFmt w:val="bullet"/>
      <w:lvlText w:val="•"/>
      <w:lvlJc w:val="left"/>
      <w:pPr>
        <w:ind w:left="6810" w:hanging="721"/>
      </w:pPr>
      <w:rPr>
        <w:rFonts w:hint="default"/>
        <w:lang w:val="en-us" w:eastAsia="en-us" w:bidi="en-us"/>
      </w:rPr>
    </w:lvl>
    <w:lvl w:ilvl="6">
      <w:start w:val="0"/>
      <w:numFmt w:val="bullet"/>
      <w:lvlText w:val="•"/>
      <w:lvlJc w:val="left"/>
      <w:pPr>
        <w:ind w:left="7792" w:hanging="721"/>
      </w:pPr>
      <w:rPr>
        <w:rFonts w:hint="default"/>
        <w:lang w:val="en-us" w:eastAsia="en-us" w:bidi="en-us"/>
      </w:rPr>
    </w:lvl>
    <w:lvl w:ilvl="7">
      <w:start w:val="0"/>
      <w:numFmt w:val="bullet"/>
      <w:lvlText w:val="•"/>
      <w:lvlJc w:val="left"/>
      <w:pPr>
        <w:ind w:left="8774" w:hanging="721"/>
      </w:pPr>
      <w:rPr>
        <w:rFonts w:hint="default"/>
        <w:lang w:val="en-us" w:eastAsia="en-us" w:bidi="en-us"/>
      </w:rPr>
    </w:lvl>
    <w:lvl w:ilvl="8">
      <w:start w:val="0"/>
      <w:numFmt w:val="bullet"/>
      <w:lvlText w:val="•"/>
      <w:lvlJc w:val="left"/>
      <w:pPr>
        <w:ind w:left="9756" w:hanging="721"/>
      </w:pPr>
      <w:rPr>
        <w:rFonts w:hint="default"/>
        <w:lang w:val="en-us" w:eastAsia="en-us" w:bidi="en-us"/>
      </w:rPr>
    </w:lvl>
  </w:abstractNum>
  <w:abstractNum w:abstractNumId="8">
    <w:multiLevelType w:val="hybridMultilevel"/>
    <w:lvl w:ilvl="0">
      <w:start w:val="11"/>
      <w:numFmt w:val="decimal"/>
      <w:lvlText w:val="%1"/>
      <w:lvlJc w:val="left"/>
      <w:pPr>
        <w:ind w:left="1900" w:hanging="721"/>
        <w:jc w:val="left"/>
      </w:pPr>
      <w:rPr>
        <w:rFonts w:hint="default"/>
        <w:lang w:val="en-us" w:eastAsia="en-us" w:bidi="en-us"/>
      </w:rPr>
    </w:lvl>
    <w:lvl w:ilvl="1">
      <w:start w:val="0"/>
      <w:numFmt w:val="decimal"/>
      <w:lvlText w:val="%1.%2"/>
      <w:lvlJc w:val="left"/>
      <w:pPr>
        <w:ind w:left="1900" w:hanging="721"/>
        <w:jc w:val="right"/>
      </w:pPr>
      <w:rPr>
        <w:rFonts w:hint="default" w:ascii="Arial" w:hAnsi="Arial" w:eastAsia="Arial" w:cs="Arial"/>
        <w:w w:val="99"/>
        <w:sz w:val="22"/>
        <w:szCs w:val="22"/>
        <w:lang w:val="en-us" w:eastAsia="en-us" w:bidi="en-us"/>
      </w:rPr>
    </w:lvl>
    <w:lvl w:ilvl="2">
      <w:start w:val="1"/>
      <w:numFmt w:val="decimal"/>
      <w:lvlText w:val="%1.%2.%3"/>
      <w:lvlJc w:val="left"/>
      <w:pPr>
        <w:ind w:left="1900" w:hanging="900"/>
        <w:jc w:val="left"/>
      </w:pPr>
      <w:rPr>
        <w:rFonts w:hint="default" w:ascii="Arial" w:hAnsi="Arial" w:eastAsia="Arial" w:cs="Arial"/>
        <w:w w:val="99"/>
        <w:sz w:val="22"/>
        <w:szCs w:val="22"/>
        <w:lang w:val="en-us" w:eastAsia="en-us" w:bidi="en-us"/>
      </w:rPr>
    </w:lvl>
    <w:lvl w:ilvl="3">
      <w:start w:val="1"/>
      <w:numFmt w:val="decimal"/>
      <w:lvlText w:val="%1.%2.%3.%4"/>
      <w:lvlJc w:val="left"/>
      <w:pPr>
        <w:ind w:left="2620" w:hanging="900"/>
        <w:jc w:val="left"/>
      </w:pPr>
      <w:rPr>
        <w:rFonts w:hint="default" w:ascii="Arial" w:hAnsi="Arial" w:eastAsia="Arial" w:cs="Arial"/>
        <w:w w:val="99"/>
        <w:sz w:val="22"/>
        <w:szCs w:val="22"/>
        <w:lang w:val="en-us" w:eastAsia="en-us" w:bidi="en-us"/>
      </w:rPr>
    </w:lvl>
    <w:lvl w:ilvl="4">
      <w:start w:val="0"/>
      <w:numFmt w:val="bullet"/>
      <w:lvlText w:val="•"/>
      <w:lvlJc w:val="left"/>
      <w:pPr>
        <w:ind w:left="5653" w:hanging="900"/>
      </w:pPr>
      <w:rPr>
        <w:rFonts w:hint="default"/>
        <w:lang w:val="en-us" w:eastAsia="en-us" w:bidi="en-us"/>
      </w:rPr>
    </w:lvl>
    <w:lvl w:ilvl="5">
      <w:start w:val="0"/>
      <w:numFmt w:val="bullet"/>
      <w:lvlText w:val="•"/>
      <w:lvlJc w:val="left"/>
      <w:pPr>
        <w:ind w:left="6664" w:hanging="900"/>
      </w:pPr>
      <w:rPr>
        <w:rFonts w:hint="default"/>
        <w:lang w:val="en-us" w:eastAsia="en-us" w:bidi="en-us"/>
      </w:rPr>
    </w:lvl>
    <w:lvl w:ilvl="6">
      <w:start w:val="0"/>
      <w:numFmt w:val="bullet"/>
      <w:lvlText w:val="•"/>
      <w:lvlJc w:val="left"/>
      <w:pPr>
        <w:ind w:left="7675" w:hanging="900"/>
      </w:pPr>
      <w:rPr>
        <w:rFonts w:hint="default"/>
        <w:lang w:val="en-us" w:eastAsia="en-us" w:bidi="en-us"/>
      </w:rPr>
    </w:lvl>
    <w:lvl w:ilvl="7">
      <w:start w:val="0"/>
      <w:numFmt w:val="bullet"/>
      <w:lvlText w:val="•"/>
      <w:lvlJc w:val="left"/>
      <w:pPr>
        <w:ind w:left="8686" w:hanging="900"/>
      </w:pPr>
      <w:rPr>
        <w:rFonts w:hint="default"/>
        <w:lang w:val="en-us" w:eastAsia="en-us" w:bidi="en-us"/>
      </w:rPr>
    </w:lvl>
    <w:lvl w:ilvl="8">
      <w:start w:val="0"/>
      <w:numFmt w:val="bullet"/>
      <w:lvlText w:val="•"/>
      <w:lvlJc w:val="left"/>
      <w:pPr>
        <w:ind w:left="9697" w:hanging="900"/>
      </w:pPr>
      <w:rPr>
        <w:rFonts w:hint="default"/>
        <w:lang w:val="en-us" w:eastAsia="en-us" w:bidi="en-us"/>
      </w:rPr>
    </w:lvl>
  </w:abstractNum>
  <w:abstractNum w:abstractNumId="7">
    <w:multiLevelType w:val="hybridMultilevel"/>
    <w:lvl w:ilvl="0">
      <w:start w:val="9"/>
      <w:numFmt w:val="decimal"/>
      <w:lvlText w:val="%1"/>
      <w:lvlJc w:val="left"/>
      <w:pPr>
        <w:ind w:left="1901" w:hanging="721"/>
        <w:jc w:val="left"/>
      </w:pPr>
      <w:rPr>
        <w:rFonts w:hint="default"/>
        <w:lang w:val="en-us" w:eastAsia="en-us" w:bidi="en-us"/>
      </w:rPr>
    </w:lvl>
    <w:lvl w:ilvl="1">
      <w:start w:val="0"/>
      <w:numFmt w:val="decimal"/>
      <w:lvlText w:val="%1.%2"/>
      <w:lvlJc w:val="left"/>
      <w:pPr>
        <w:ind w:left="1901" w:hanging="721"/>
        <w:jc w:val="right"/>
      </w:pPr>
      <w:rPr>
        <w:rFonts w:hint="default" w:ascii="Arial" w:hAnsi="Arial" w:eastAsia="Arial" w:cs="Arial"/>
        <w:w w:val="99"/>
        <w:sz w:val="22"/>
        <w:szCs w:val="22"/>
        <w:lang w:val="en-us" w:eastAsia="en-us" w:bidi="en-us"/>
      </w:rPr>
    </w:lvl>
    <w:lvl w:ilvl="2">
      <w:start w:val="1"/>
      <w:numFmt w:val="decimal"/>
      <w:lvlText w:val="%1.%2.%3"/>
      <w:lvlJc w:val="left"/>
      <w:pPr>
        <w:ind w:left="1901" w:hanging="548"/>
        <w:jc w:val="left"/>
      </w:pPr>
      <w:rPr>
        <w:rFonts w:hint="default" w:ascii="Arial" w:hAnsi="Arial" w:eastAsia="Arial" w:cs="Arial"/>
        <w:w w:val="99"/>
        <w:sz w:val="22"/>
        <w:szCs w:val="22"/>
        <w:lang w:val="en-us" w:eastAsia="en-us" w:bidi="en-us"/>
      </w:rPr>
    </w:lvl>
    <w:lvl w:ilvl="3">
      <w:start w:val="1"/>
      <w:numFmt w:val="decimal"/>
      <w:lvlText w:val="%1.%2.%3.%4"/>
      <w:lvlJc w:val="left"/>
      <w:pPr>
        <w:ind w:left="2621" w:hanging="900"/>
        <w:jc w:val="left"/>
      </w:pPr>
      <w:rPr>
        <w:rFonts w:hint="default" w:ascii="Arial" w:hAnsi="Arial" w:eastAsia="Arial" w:cs="Arial"/>
        <w:w w:val="99"/>
        <w:sz w:val="22"/>
        <w:szCs w:val="22"/>
        <w:lang w:val="en-us" w:eastAsia="en-us" w:bidi="en-us"/>
      </w:rPr>
    </w:lvl>
    <w:lvl w:ilvl="4">
      <w:start w:val="0"/>
      <w:numFmt w:val="bullet"/>
      <w:lvlText w:val="•"/>
      <w:lvlJc w:val="left"/>
      <w:pPr>
        <w:ind w:left="5435" w:hanging="900"/>
      </w:pPr>
      <w:rPr>
        <w:rFonts w:hint="default"/>
        <w:lang w:val="en-us" w:eastAsia="en-us" w:bidi="en-us"/>
      </w:rPr>
    </w:lvl>
    <w:lvl w:ilvl="5">
      <w:start w:val="0"/>
      <w:numFmt w:val="bullet"/>
      <w:lvlText w:val="•"/>
      <w:lvlJc w:val="left"/>
      <w:pPr>
        <w:ind w:left="6482" w:hanging="900"/>
      </w:pPr>
      <w:rPr>
        <w:rFonts w:hint="default"/>
        <w:lang w:val="en-us" w:eastAsia="en-us" w:bidi="en-us"/>
      </w:rPr>
    </w:lvl>
    <w:lvl w:ilvl="6">
      <w:start w:val="0"/>
      <w:numFmt w:val="bullet"/>
      <w:lvlText w:val="•"/>
      <w:lvlJc w:val="left"/>
      <w:pPr>
        <w:ind w:left="7530" w:hanging="900"/>
      </w:pPr>
      <w:rPr>
        <w:rFonts w:hint="default"/>
        <w:lang w:val="en-us" w:eastAsia="en-us" w:bidi="en-us"/>
      </w:rPr>
    </w:lvl>
    <w:lvl w:ilvl="7">
      <w:start w:val="0"/>
      <w:numFmt w:val="bullet"/>
      <w:lvlText w:val="•"/>
      <w:lvlJc w:val="left"/>
      <w:pPr>
        <w:ind w:left="8577" w:hanging="900"/>
      </w:pPr>
      <w:rPr>
        <w:rFonts w:hint="default"/>
        <w:lang w:val="en-us" w:eastAsia="en-us" w:bidi="en-us"/>
      </w:rPr>
    </w:lvl>
    <w:lvl w:ilvl="8">
      <w:start w:val="0"/>
      <w:numFmt w:val="bullet"/>
      <w:lvlText w:val="•"/>
      <w:lvlJc w:val="left"/>
      <w:pPr>
        <w:ind w:left="9625" w:hanging="900"/>
      </w:pPr>
      <w:rPr>
        <w:rFonts w:hint="default"/>
        <w:lang w:val="en-us" w:eastAsia="en-us" w:bidi="en-us"/>
      </w:rPr>
    </w:lvl>
  </w:abstractNum>
  <w:abstractNum w:abstractNumId="6">
    <w:multiLevelType w:val="hybridMultilevel"/>
    <w:lvl w:ilvl="0">
      <w:start w:val="8"/>
      <w:numFmt w:val="decimal"/>
      <w:lvlText w:val="%1"/>
      <w:lvlJc w:val="left"/>
      <w:pPr>
        <w:ind w:left="1900" w:hanging="721"/>
        <w:jc w:val="left"/>
      </w:pPr>
      <w:rPr>
        <w:rFonts w:hint="default"/>
        <w:lang w:val="en-us" w:eastAsia="en-us" w:bidi="en-us"/>
      </w:rPr>
    </w:lvl>
    <w:lvl w:ilvl="1">
      <w:start w:val="0"/>
      <w:numFmt w:val="decimal"/>
      <w:lvlText w:val="%1.%2"/>
      <w:lvlJc w:val="left"/>
      <w:pPr>
        <w:ind w:left="1900" w:hanging="721"/>
        <w:jc w:val="right"/>
      </w:pPr>
      <w:rPr>
        <w:rFonts w:hint="default" w:ascii="Arial" w:hAnsi="Arial" w:eastAsia="Arial" w:cs="Arial"/>
        <w:w w:val="99"/>
        <w:sz w:val="22"/>
        <w:szCs w:val="22"/>
        <w:lang w:val="en-us" w:eastAsia="en-us" w:bidi="en-us"/>
      </w:rPr>
    </w:lvl>
    <w:lvl w:ilvl="2">
      <w:start w:val="0"/>
      <w:numFmt w:val="bullet"/>
      <w:lvlText w:val="•"/>
      <w:lvlJc w:val="left"/>
      <w:pPr>
        <w:ind w:left="3864" w:hanging="721"/>
      </w:pPr>
      <w:rPr>
        <w:rFonts w:hint="default"/>
        <w:lang w:val="en-us" w:eastAsia="en-us" w:bidi="en-us"/>
      </w:rPr>
    </w:lvl>
    <w:lvl w:ilvl="3">
      <w:start w:val="0"/>
      <w:numFmt w:val="bullet"/>
      <w:lvlText w:val="•"/>
      <w:lvlJc w:val="left"/>
      <w:pPr>
        <w:ind w:left="4846" w:hanging="721"/>
      </w:pPr>
      <w:rPr>
        <w:rFonts w:hint="default"/>
        <w:lang w:val="en-us" w:eastAsia="en-us" w:bidi="en-us"/>
      </w:rPr>
    </w:lvl>
    <w:lvl w:ilvl="4">
      <w:start w:val="0"/>
      <w:numFmt w:val="bullet"/>
      <w:lvlText w:val="•"/>
      <w:lvlJc w:val="left"/>
      <w:pPr>
        <w:ind w:left="5828" w:hanging="721"/>
      </w:pPr>
      <w:rPr>
        <w:rFonts w:hint="default"/>
        <w:lang w:val="en-us" w:eastAsia="en-us" w:bidi="en-us"/>
      </w:rPr>
    </w:lvl>
    <w:lvl w:ilvl="5">
      <w:start w:val="0"/>
      <w:numFmt w:val="bullet"/>
      <w:lvlText w:val="•"/>
      <w:lvlJc w:val="left"/>
      <w:pPr>
        <w:ind w:left="6810" w:hanging="721"/>
      </w:pPr>
      <w:rPr>
        <w:rFonts w:hint="default"/>
        <w:lang w:val="en-us" w:eastAsia="en-us" w:bidi="en-us"/>
      </w:rPr>
    </w:lvl>
    <w:lvl w:ilvl="6">
      <w:start w:val="0"/>
      <w:numFmt w:val="bullet"/>
      <w:lvlText w:val="•"/>
      <w:lvlJc w:val="left"/>
      <w:pPr>
        <w:ind w:left="7792" w:hanging="721"/>
      </w:pPr>
      <w:rPr>
        <w:rFonts w:hint="default"/>
        <w:lang w:val="en-us" w:eastAsia="en-us" w:bidi="en-us"/>
      </w:rPr>
    </w:lvl>
    <w:lvl w:ilvl="7">
      <w:start w:val="0"/>
      <w:numFmt w:val="bullet"/>
      <w:lvlText w:val="•"/>
      <w:lvlJc w:val="left"/>
      <w:pPr>
        <w:ind w:left="8774" w:hanging="721"/>
      </w:pPr>
      <w:rPr>
        <w:rFonts w:hint="default"/>
        <w:lang w:val="en-us" w:eastAsia="en-us" w:bidi="en-us"/>
      </w:rPr>
    </w:lvl>
    <w:lvl w:ilvl="8">
      <w:start w:val="0"/>
      <w:numFmt w:val="bullet"/>
      <w:lvlText w:val="•"/>
      <w:lvlJc w:val="left"/>
      <w:pPr>
        <w:ind w:left="9756" w:hanging="721"/>
      </w:pPr>
      <w:rPr>
        <w:rFonts w:hint="default"/>
        <w:lang w:val="en-us" w:eastAsia="en-us" w:bidi="en-us"/>
      </w:rPr>
    </w:lvl>
  </w:abstractNum>
  <w:abstractNum w:abstractNumId="5">
    <w:multiLevelType w:val="hybridMultilevel"/>
    <w:lvl w:ilvl="0">
      <w:start w:val="7"/>
      <w:numFmt w:val="decimal"/>
      <w:lvlText w:val="%1"/>
      <w:lvlJc w:val="left"/>
      <w:pPr>
        <w:ind w:left="1900" w:hanging="721"/>
        <w:jc w:val="left"/>
      </w:pPr>
      <w:rPr>
        <w:rFonts w:hint="default"/>
        <w:lang w:val="en-us" w:eastAsia="en-us" w:bidi="en-us"/>
      </w:rPr>
    </w:lvl>
    <w:lvl w:ilvl="1">
      <w:start w:val="0"/>
      <w:numFmt w:val="decimal"/>
      <w:lvlText w:val="%1.%2"/>
      <w:lvlJc w:val="left"/>
      <w:pPr>
        <w:ind w:left="1900" w:hanging="721"/>
        <w:jc w:val="right"/>
      </w:pPr>
      <w:rPr>
        <w:rFonts w:hint="default" w:ascii="Arial" w:hAnsi="Arial" w:eastAsia="Arial" w:cs="Arial"/>
        <w:w w:val="99"/>
        <w:sz w:val="22"/>
        <w:szCs w:val="22"/>
        <w:lang w:val="en-us" w:eastAsia="en-us" w:bidi="en-us"/>
      </w:rPr>
    </w:lvl>
    <w:lvl w:ilvl="2">
      <w:start w:val="1"/>
      <w:numFmt w:val="decimal"/>
      <w:lvlText w:val="%1.%2.%3"/>
      <w:lvlJc w:val="left"/>
      <w:pPr>
        <w:ind w:left="3341" w:hanging="721"/>
        <w:jc w:val="left"/>
      </w:pPr>
      <w:rPr>
        <w:rFonts w:hint="default" w:ascii="Arial" w:hAnsi="Arial" w:eastAsia="Arial" w:cs="Arial"/>
        <w:w w:val="99"/>
        <w:sz w:val="22"/>
        <w:szCs w:val="22"/>
        <w:lang w:val="en-us" w:eastAsia="en-us" w:bidi="en-us"/>
      </w:rPr>
    </w:lvl>
    <w:lvl w:ilvl="3">
      <w:start w:val="1"/>
      <w:numFmt w:val="decimal"/>
      <w:lvlText w:val="%1.%2.%3.%4"/>
      <w:lvlJc w:val="left"/>
      <w:pPr>
        <w:ind w:left="2619" w:hanging="900"/>
        <w:jc w:val="left"/>
      </w:pPr>
      <w:rPr>
        <w:rFonts w:hint="default" w:ascii="Arial" w:hAnsi="Arial" w:eastAsia="Arial" w:cs="Arial"/>
        <w:w w:val="99"/>
        <w:sz w:val="22"/>
        <w:szCs w:val="22"/>
        <w:lang w:val="en-us" w:eastAsia="en-us" w:bidi="en-us"/>
      </w:rPr>
    </w:lvl>
    <w:lvl w:ilvl="4">
      <w:start w:val="0"/>
      <w:numFmt w:val="bullet"/>
      <w:lvlText w:val="•"/>
      <w:lvlJc w:val="left"/>
      <w:pPr>
        <w:ind w:left="5435" w:hanging="900"/>
      </w:pPr>
      <w:rPr>
        <w:rFonts w:hint="default"/>
        <w:lang w:val="en-us" w:eastAsia="en-us" w:bidi="en-us"/>
      </w:rPr>
    </w:lvl>
    <w:lvl w:ilvl="5">
      <w:start w:val="0"/>
      <w:numFmt w:val="bullet"/>
      <w:lvlText w:val="•"/>
      <w:lvlJc w:val="left"/>
      <w:pPr>
        <w:ind w:left="6482" w:hanging="900"/>
      </w:pPr>
      <w:rPr>
        <w:rFonts w:hint="default"/>
        <w:lang w:val="en-us" w:eastAsia="en-us" w:bidi="en-us"/>
      </w:rPr>
    </w:lvl>
    <w:lvl w:ilvl="6">
      <w:start w:val="0"/>
      <w:numFmt w:val="bullet"/>
      <w:lvlText w:val="•"/>
      <w:lvlJc w:val="left"/>
      <w:pPr>
        <w:ind w:left="7530" w:hanging="900"/>
      </w:pPr>
      <w:rPr>
        <w:rFonts w:hint="default"/>
        <w:lang w:val="en-us" w:eastAsia="en-us" w:bidi="en-us"/>
      </w:rPr>
    </w:lvl>
    <w:lvl w:ilvl="7">
      <w:start w:val="0"/>
      <w:numFmt w:val="bullet"/>
      <w:lvlText w:val="•"/>
      <w:lvlJc w:val="left"/>
      <w:pPr>
        <w:ind w:left="8577" w:hanging="900"/>
      </w:pPr>
      <w:rPr>
        <w:rFonts w:hint="default"/>
        <w:lang w:val="en-us" w:eastAsia="en-us" w:bidi="en-us"/>
      </w:rPr>
    </w:lvl>
    <w:lvl w:ilvl="8">
      <w:start w:val="0"/>
      <w:numFmt w:val="bullet"/>
      <w:lvlText w:val="•"/>
      <w:lvlJc w:val="left"/>
      <w:pPr>
        <w:ind w:left="9625" w:hanging="900"/>
      </w:pPr>
      <w:rPr>
        <w:rFonts w:hint="default"/>
        <w:lang w:val="en-us" w:eastAsia="en-us" w:bidi="en-us"/>
      </w:rPr>
    </w:lvl>
  </w:abstractNum>
  <w:abstractNum w:abstractNumId="4">
    <w:multiLevelType w:val="hybridMultilevel"/>
    <w:lvl w:ilvl="0">
      <w:start w:val="6"/>
      <w:numFmt w:val="decimal"/>
      <w:lvlText w:val="%1"/>
      <w:lvlJc w:val="left"/>
      <w:pPr>
        <w:ind w:left="1900" w:hanging="721"/>
        <w:jc w:val="left"/>
      </w:pPr>
      <w:rPr>
        <w:rFonts w:hint="default"/>
        <w:lang w:val="en-us" w:eastAsia="en-us" w:bidi="en-us"/>
      </w:rPr>
    </w:lvl>
    <w:lvl w:ilvl="1">
      <w:start w:val="0"/>
      <w:numFmt w:val="decimal"/>
      <w:lvlText w:val="%1.%2"/>
      <w:lvlJc w:val="left"/>
      <w:pPr>
        <w:ind w:left="1900" w:hanging="721"/>
        <w:jc w:val="right"/>
      </w:pPr>
      <w:rPr>
        <w:rFonts w:hint="default" w:ascii="Arial" w:hAnsi="Arial" w:eastAsia="Arial" w:cs="Arial"/>
        <w:w w:val="99"/>
        <w:sz w:val="22"/>
        <w:szCs w:val="22"/>
        <w:lang w:val="en-us" w:eastAsia="en-us" w:bidi="en-us"/>
      </w:rPr>
    </w:lvl>
    <w:lvl w:ilvl="2">
      <w:start w:val="1"/>
      <w:numFmt w:val="decimal"/>
      <w:lvlText w:val="%1.%2.%3"/>
      <w:lvlJc w:val="left"/>
      <w:pPr>
        <w:ind w:left="1900" w:hanging="721"/>
        <w:jc w:val="left"/>
      </w:pPr>
      <w:rPr>
        <w:rFonts w:hint="default" w:ascii="Arial" w:hAnsi="Arial" w:eastAsia="Arial" w:cs="Arial"/>
        <w:w w:val="99"/>
        <w:sz w:val="22"/>
        <w:szCs w:val="22"/>
        <w:lang w:val="en-us" w:eastAsia="en-us" w:bidi="en-us"/>
      </w:rPr>
    </w:lvl>
    <w:lvl w:ilvl="3">
      <w:start w:val="1"/>
      <w:numFmt w:val="decimal"/>
      <w:lvlText w:val="%1.%2.%3.%4"/>
      <w:lvlJc w:val="left"/>
      <w:pPr>
        <w:ind w:left="4239" w:hanging="900"/>
        <w:jc w:val="left"/>
      </w:pPr>
      <w:rPr>
        <w:rFonts w:hint="default" w:ascii="Arial" w:hAnsi="Arial" w:eastAsia="Arial" w:cs="Arial"/>
        <w:w w:val="99"/>
        <w:sz w:val="22"/>
        <w:szCs w:val="22"/>
        <w:lang w:val="en-us" w:eastAsia="en-us" w:bidi="en-us"/>
      </w:rPr>
    </w:lvl>
    <w:lvl w:ilvl="4">
      <w:start w:val="0"/>
      <w:numFmt w:val="bullet"/>
      <w:lvlText w:val="•"/>
      <w:lvlJc w:val="left"/>
      <w:pPr>
        <w:ind w:left="6110" w:hanging="900"/>
      </w:pPr>
      <w:rPr>
        <w:rFonts w:hint="default"/>
        <w:lang w:val="en-us" w:eastAsia="en-us" w:bidi="en-us"/>
      </w:rPr>
    </w:lvl>
    <w:lvl w:ilvl="5">
      <w:start w:val="0"/>
      <w:numFmt w:val="bullet"/>
      <w:lvlText w:val="•"/>
      <w:lvlJc w:val="left"/>
      <w:pPr>
        <w:ind w:left="7045" w:hanging="900"/>
      </w:pPr>
      <w:rPr>
        <w:rFonts w:hint="default"/>
        <w:lang w:val="en-us" w:eastAsia="en-us" w:bidi="en-us"/>
      </w:rPr>
    </w:lvl>
    <w:lvl w:ilvl="6">
      <w:start w:val="0"/>
      <w:numFmt w:val="bullet"/>
      <w:lvlText w:val="•"/>
      <w:lvlJc w:val="left"/>
      <w:pPr>
        <w:ind w:left="7980" w:hanging="900"/>
      </w:pPr>
      <w:rPr>
        <w:rFonts w:hint="default"/>
        <w:lang w:val="en-us" w:eastAsia="en-us" w:bidi="en-us"/>
      </w:rPr>
    </w:lvl>
    <w:lvl w:ilvl="7">
      <w:start w:val="0"/>
      <w:numFmt w:val="bullet"/>
      <w:lvlText w:val="•"/>
      <w:lvlJc w:val="left"/>
      <w:pPr>
        <w:ind w:left="8915" w:hanging="900"/>
      </w:pPr>
      <w:rPr>
        <w:rFonts w:hint="default"/>
        <w:lang w:val="en-us" w:eastAsia="en-us" w:bidi="en-us"/>
      </w:rPr>
    </w:lvl>
    <w:lvl w:ilvl="8">
      <w:start w:val="0"/>
      <w:numFmt w:val="bullet"/>
      <w:lvlText w:val="•"/>
      <w:lvlJc w:val="left"/>
      <w:pPr>
        <w:ind w:left="9850" w:hanging="900"/>
      </w:pPr>
      <w:rPr>
        <w:rFonts w:hint="default"/>
        <w:lang w:val="en-us" w:eastAsia="en-us" w:bidi="en-us"/>
      </w:rPr>
    </w:lvl>
  </w:abstractNum>
  <w:abstractNum w:abstractNumId="3">
    <w:multiLevelType w:val="hybridMultilevel"/>
    <w:lvl w:ilvl="0">
      <w:start w:val="5"/>
      <w:numFmt w:val="decimal"/>
      <w:lvlText w:val="%1"/>
      <w:lvlJc w:val="left"/>
      <w:pPr>
        <w:ind w:left="1902" w:hanging="721"/>
        <w:jc w:val="left"/>
      </w:pPr>
      <w:rPr>
        <w:rFonts w:hint="default"/>
        <w:lang w:val="en-us" w:eastAsia="en-us" w:bidi="en-us"/>
      </w:rPr>
    </w:lvl>
    <w:lvl w:ilvl="1">
      <w:start w:val="0"/>
      <w:numFmt w:val="decimal"/>
      <w:lvlText w:val="%1.%2"/>
      <w:lvlJc w:val="left"/>
      <w:pPr>
        <w:ind w:left="1902" w:hanging="721"/>
        <w:jc w:val="right"/>
      </w:pPr>
      <w:rPr>
        <w:rFonts w:hint="default" w:ascii="Arial" w:hAnsi="Arial" w:eastAsia="Arial" w:cs="Arial"/>
        <w:w w:val="99"/>
        <w:sz w:val="22"/>
        <w:szCs w:val="22"/>
        <w:lang w:val="en-us" w:eastAsia="en-us" w:bidi="en-us"/>
      </w:rPr>
    </w:lvl>
    <w:lvl w:ilvl="2">
      <w:start w:val="0"/>
      <w:numFmt w:val="bullet"/>
      <w:lvlText w:val="•"/>
      <w:lvlJc w:val="left"/>
      <w:pPr>
        <w:ind w:left="3864" w:hanging="721"/>
      </w:pPr>
      <w:rPr>
        <w:rFonts w:hint="default"/>
        <w:lang w:val="en-us" w:eastAsia="en-us" w:bidi="en-us"/>
      </w:rPr>
    </w:lvl>
    <w:lvl w:ilvl="3">
      <w:start w:val="0"/>
      <w:numFmt w:val="bullet"/>
      <w:lvlText w:val="•"/>
      <w:lvlJc w:val="left"/>
      <w:pPr>
        <w:ind w:left="4846" w:hanging="721"/>
      </w:pPr>
      <w:rPr>
        <w:rFonts w:hint="default"/>
        <w:lang w:val="en-us" w:eastAsia="en-us" w:bidi="en-us"/>
      </w:rPr>
    </w:lvl>
    <w:lvl w:ilvl="4">
      <w:start w:val="0"/>
      <w:numFmt w:val="bullet"/>
      <w:lvlText w:val="•"/>
      <w:lvlJc w:val="left"/>
      <w:pPr>
        <w:ind w:left="5828" w:hanging="721"/>
      </w:pPr>
      <w:rPr>
        <w:rFonts w:hint="default"/>
        <w:lang w:val="en-us" w:eastAsia="en-us" w:bidi="en-us"/>
      </w:rPr>
    </w:lvl>
    <w:lvl w:ilvl="5">
      <w:start w:val="0"/>
      <w:numFmt w:val="bullet"/>
      <w:lvlText w:val="•"/>
      <w:lvlJc w:val="left"/>
      <w:pPr>
        <w:ind w:left="6810" w:hanging="721"/>
      </w:pPr>
      <w:rPr>
        <w:rFonts w:hint="default"/>
        <w:lang w:val="en-us" w:eastAsia="en-us" w:bidi="en-us"/>
      </w:rPr>
    </w:lvl>
    <w:lvl w:ilvl="6">
      <w:start w:val="0"/>
      <w:numFmt w:val="bullet"/>
      <w:lvlText w:val="•"/>
      <w:lvlJc w:val="left"/>
      <w:pPr>
        <w:ind w:left="7792" w:hanging="721"/>
      </w:pPr>
      <w:rPr>
        <w:rFonts w:hint="default"/>
        <w:lang w:val="en-us" w:eastAsia="en-us" w:bidi="en-us"/>
      </w:rPr>
    </w:lvl>
    <w:lvl w:ilvl="7">
      <w:start w:val="0"/>
      <w:numFmt w:val="bullet"/>
      <w:lvlText w:val="•"/>
      <w:lvlJc w:val="left"/>
      <w:pPr>
        <w:ind w:left="8774" w:hanging="721"/>
      </w:pPr>
      <w:rPr>
        <w:rFonts w:hint="default"/>
        <w:lang w:val="en-us" w:eastAsia="en-us" w:bidi="en-us"/>
      </w:rPr>
    </w:lvl>
    <w:lvl w:ilvl="8">
      <w:start w:val="0"/>
      <w:numFmt w:val="bullet"/>
      <w:lvlText w:val="•"/>
      <w:lvlJc w:val="left"/>
      <w:pPr>
        <w:ind w:left="9756" w:hanging="721"/>
      </w:pPr>
      <w:rPr>
        <w:rFonts w:hint="default"/>
        <w:lang w:val="en-us" w:eastAsia="en-us" w:bidi="en-us"/>
      </w:rPr>
    </w:lvl>
  </w:abstractNum>
  <w:abstractNum w:abstractNumId="2">
    <w:multiLevelType w:val="hybridMultilevel"/>
    <w:lvl w:ilvl="0">
      <w:start w:val="4"/>
      <w:numFmt w:val="decimal"/>
      <w:lvlText w:val="%1"/>
      <w:lvlJc w:val="left"/>
      <w:pPr>
        <w:ind w:left="1900" w:hanging="721"/>
        <w:jc w:val="left"/>
      </w:pPr>
      <w:rPr>
        <w:rFonts w:hint="default"/>
        <w:lang w:val="en-us" w:eastAsia="en-us" w:bidi="en-us"/>
      </w:rPr>
    </w:lvl>
    <w:lvl w:ilvl="1">
      <w:start w:val="0"/>
      <w:numFmt w:val="decimal"/>
      <w:lvlText w:val="%1.%2"/>
      <w:lvlJc w:val="left"/>
      <w:pPr>
        <w:ind w:left="1900" w:hanging="721"/>
        <w:jc w:val="right"/>
      </w:pPr>
      <w:rPr>
        <w:rFonts w:hint="default" w:ascii="Arial" w:hAnsi="Arial" w:eastAsia="Arial" w:cs="Arial"/>
        <w:w w:val="99"/>
        <w:sz w:val="22"/>
        <w:szCs w:val="22"/>
        <w:lang w:val="en-us" w:eastAsia="en-us" w:bidi="en-us"/>
      </w:rPr>
    </w:lvl>
    <w:lvl w:ilvl="2">
      <w:start w:val="1"/>
      <w:numFmt w:val="decimal"/>
      <w:lvlText w:val="%1.%2.%3"/>
      <w:lvlJc w:val="left"/>
      <w:pPr>
        <w:ind w:left="1900" w:hanging="721"/>
        <w:jc w:val="left"/>
      </w:pPr>
      <w:rPr>
        <w:rFonts w:hint="default" w:ascii="Arial" w:hAnsi="Arial" w:eastAsia="Arial" w:cs="Arial"/>
        <w:w w:val="99"/>
        <w:sz w:val="22"/>
        <w:szCs w:val="22"/>
        <w:lang w:val="en-us" w:eastAsia="en-us" w:bidi="en-us"/>
      </w:rPr>
    </w:lvl>
    <w:lvl w:ilvl="3">
      <w:start w:val="0"/>
      <w:numFmt w:val="bullet"/>
      <w:lvlText w:val="•"/>
      <w:lvlJc w:val="left"/>
      <w:pPr>
        <w:ind w:left="4846" w:hanging="721"/>
      </w:pPr>
      <w:rPr>
        <w:rFonts w:hint="default"/>
        <w:lang w:val="en-us" w:eastAsia="en-us" w:bidi="en-us"/>
      </w:rPr>
    </w:lvl>
    <w:lvl w:ilvl="4">
      <w:start w:val="0"/>
      <w:numFmt w:val="bullet"/>
      <w:lvlText w:val="•"/>
      <w:lvlJc w:val="left"/>
      <w:pPr>
        <w:ind w:left="5828" w:hanging="721"/>
      </w:pPr>
      <w:rPr>
        <w:rFonts w:hint="default"/>
        <w:lang w:val="en-us" w:eastAsia="en-us" w:bidi="en-us"/>
      </w:rPr>
    </w:lvl>
    <w:lvl w:ilvl="5">
      <w:start w:val="0"/>
      <w:numFmt w:val="bullet"/>
      <w:lvlText w:val="•"/>
      <w:lvlJc w:val="left"/>
      <w:pPr>
        <w:ind w:left="6810" w:hanging="721"/>
      </w:pPr>
      <w:rPr>
        <w:rFonts w:hint="default"/>
        <w:lang w:val="en-us" w:eastAsia="en-us" w:bidi="en-us"/>
      </w:rPr>
    </w:lvl>
    <w:lvl w:ilvl="6">
      <w:start w:val="0"/>
      <w:numFmt w:val="bullet"/>
      <w:lvlText w:val="•"/>
      <w:lvlJc w:val="left"/>
      <w:pPr>
        <w:ind w:left="7792" w:hanging="721"/>
      </w:pPr>
      <w:rPr>
        <w:rFonts w:hint="default"/>
        <w:lang w:val="en-us" w:eastAsia="en-us" w:bidi="en-us"/>
      </w:rPr>
    </w:lvl>
    <w:lvl w:ilvl="7">
      <w:start w:val="0"/>
      <w:numFmt w:val="bullet"/>
      <w:lvlText w:val="•"/>
      <w:lvlJc w:val="left"/>
      <w:pPr>
        <w:ind w:left="8774" w:hanging="721"/>
      </w:pPr>
      <w:rPr>
        <w:rFonts w:hint="default"/>
        <w:lang w:val="en-us" w:eastAsia="en-us" w:bidi="en-us"/>
      </w:rPr>
    </w:lvl>
    <w:lvl w:ilvl="8">
      <w:start w:val="0"/>
      <w:numFmt w:val="bullet"/>
      <w:lvlText w:val="•"/>
      <w:lvlJc w:val="left"/>
      <w:pPr>
        <w:ind w:left="9756" w:hanging="721"/>
      </w:pPr>
      <w:rPr>
        <w:rFonts w:hint="default"/>
        <w:lang w:val="en-us" w:eastAsia="en-us" w:bidi="en-us"/>
      </w:rPr>
    </w:lvl>
  </w:abstractNum>
  <w:abstractNum w:abstractNumId="1">
    <w:multiLevelType w:val="hybridMultilevel"/>
    <w:lvl w:ilvl="0">
      <w:start w:val="2"/>
      <w:numFmt w:val="decimal"/>
      <w:lvlText w:val="%1"/>
      <w:lvlJc w:val="left"/>
      <w:pPr>
        <w:ind w:left="1900" w:hanging="721"/>
        <w:jc w:val="left"/>
      </w:pPr>
      <w:rPr>
        <w:rFonts w:hint="default"/>
        <w:lang w:val="en-us" w:eastAsia="en-us" w:bidi="en-us"/>
      </w:rPr>
    </w:lvl>
    <w:lvl w:ilvl="1">
      <w:start w:val="0"/>
      <w:numFmt w:val="decimal"/>
      <w:lvlText w:val="%1.%2"/>
      <w:lvlJc w:val="left"/>
      <w:pPr>
        <w:ind w:left="1900" w:hanging="721"/>
        <w:jc w:val="right"/>
      </w:pPr>
      <w:rPr>
        <w:rFonts w:hint="default" w:ascii="Arial" w:hAnsi="Arial" w:eastAsia="Arial" w:cs="Arial"/>
        <w:w w:val="99"/>
        <w:sz w:val="22"/>
        <w:szCs w:val="22"/>
        <w:lang w:val="en-us" w:eastAsia="en-us" w:bidi="en-us"/>
      </w:rPr>
    </w:lvl>
    <w:lvl w:ilvl="2">
      <w:start w:val="0"/>
      <w:numFmt w:val="bullet"/>
      <w:lvlText w:val="•"/>
      <w:lvlJc w:val="left"/>
      <w:pPr>
        <w:ind w:left="3864" w:hanging="721"/>
      </w:pPr>
      <w:rPr>
        <w:rFonts w:hint="default"/>
        <w:lang w:val="en-us" w:eastAsia="en-us" w:bidi="en-us"/>
      </w:rPr>
    </w:lvl>
    <w:lvl w:ilvl="3">
      <w:start w:val="0"/>
      <w:numFmt w:val="bullet"/>
      <w:lvlText w:val="•"/>
      <w:lvlJc w:val="left"/>
      <w:pPr>
        <w:ind w:left="4846" w:hanging="721"/>
      </w:pPr>
      <w:rPr>
        <w:rFonts w:hint="default"/>
        <w:lang w:val="en-us" w:eastAsia="en-us" w:bidi="en-us"/>
      </w:rPr>
    </w:lvl>
    <w:lvl w:ilvl="4">
      <w:start w:val="0"/>
      <w:numFmt w:val="bullet"/>
      <w:lvlText w:val="•"/>
      <w:lvlJc w:val="left"/>
      <w:pPr>
        <w:ind w:left="5828" w:hanging="721"/>
      </w:pPr>
      <w:rPr>
        <w:rFonts w:hint="default"/>
        <w:lang w:val="en-us" w:eastAsia="en-us" w:bidi="en-us"/>
      </w:rPr>
    </w:lvl>
    <w:lvl w:ilvl="5">
      <w:start w:val="0"/>
      <w:numFmt w:val="bullet"/>
      <w:lvlText w:val="•"/>
      <w:lvlJc w:val="left"/>
      <w:pPr>
        <w:ind w:left="6810" w:hanging="721"/>
      </w:pPr>
      <w:rPr>
        <w:rFonts w:hint="default"/>
        <w:lang w:val="en-us" w:eastAsia="en-us" w:bidi="en-us"/>
      </w:rPr>
    </w:lvl>
    <w:lvl w:ilvl="6">
      <w:start w:val="0"/>
      <w:numFmt w:val="bullet"/>
      <w:lvlText w:val="•"/>
      <w:lvlJc w:val="left"/>
      <w:pPr>
        <w:ind w:left="7792" w:hanging="721"/>
      </w:pPr>
      <w:rPr>
        <w:rFonts w:hint="default"/>
        <w:lang w:val="en-us" w:eastAsia="en-us" w:bidi="en-us"/>
      </w:rPr>
    </w:lvl>
    <w:lvl w:ilvl="7">
      <w:start w:val="0"/>
      <w:numFmt w:val="bullet"/>
      <w:lvlText w:val="•"/>
      <w:lvlJc w:val="left"/>
      <w:pPr>
        <w:ind w:left="8774" w:hanging="721"/>
      </w:pPr>
      <w:rPr>
        <w:rFonts w:hint="default"/>
        <w:lang w:val="en-us" w:eastAsia="en-us" w:bidi="en-us"/>
      </w:rPr>
    </w:lvl>
    <w:lvl w:ilvl="8">
      <w:start w:val="0"/>
      <w:numFmt w:val="bullet"/>
      <w:lvlText w:val="•"/>
      <w:lvlJc w:val="left"/>
      <w:pPr>
        <w:ind w:left="9756" w:hanging="721"/>
      </w:pPr>
      <w:rPr>
        <w:rFonts w:hint="default"/>
        <w:lang w:val="en-us" w:eastAsia="en-us" w:bidi="en-us"/>
      </w:rPr>
    </w:lvl>
  </w:abstractNum>
  <w:abstractNum w:abstractNumId="0">
    <w:multiLevelType w:val="hybridMultilevel"/>
    <w:lvl w:ilvl="0">
      <w:start w:val="1"/>
      <w:numFmt w:val="decimal"/>
      <w:lvlText w:val="%1"/>
      <w:lvlJc w:val="left"/>
      <w:pPr>
        <w:ind w:left="1900" w:hanging="721"/>
        <w:jc w:val="left"/>
      </w:pPr>
      <w:rPr>
        <w:rFonts w:hint="default"/>
        <w:lang w:val="en-us" w:eastAsia="en-us" w:bidi="en-us"/>
      </w:rPr>
    </w:lvl>
    <w:lvl w:ilvl="1">
      <w:start w:val="0"/>
      <w:numFmt w:val="decimal"/>
      <w:lvlText w:val="%1.%2"/>
      <w:lvlJc w:val="left"/>
      <w:pPr>
        <w:ind w:left="1900" w:hanging="721"/>
        <w:jc w:val="right"/>
      </w:pPr>
      <w:rPr>
        <w:rFonts w:hint="default" w:ascii="Arial" w:hAnsi="Arial" w:eastAsia="Arial" w:cs="Arial"/>
        <w:w w:val="99"/>
        <w:sz w:val="22"/>
        <w:szCs w:val="22"/>
        <w:lang w:val="en-us" w:eastAsia="en-us" w:bidi="en-us"/>
      </w:rPr>
    </w:lvl>
    <w:lvl w:ilvl="2">
      <w:start w:val="0"/>
      <w:numFmt w:val="bullet"/>
      <w:lvlText w:val="•"/>
      <w:lvlJc w:val="left"/>
      <w:pPr>
        <w:ind w:left="3864" w:hanging="721"/>
      </w:pPr>
      <w:rPr>
        <w:rFonts w:hint="default"/>
        <w:lang w:val="en-us" w:eastAsia="en-us" w:bidi="en-us"/>
      </w:rPr>
    </w:lvl>
    <w:lvl w:ilvl="3">
      <w:start w:val="0"/>
      <w:numFmt w:val="bullet"/>
      <w:lvlText w:val="•"/>
      <w:lvlJc w:val="left"/>
      <w:pPr>
        <w:ind w:left="4846" w:hanging="721"/>
      </w:pPr>
      <w:rPr>
        <w:rFonts w:hint="default"/>
        <w:lang w:val="en-us" w:eastAsia="en-us" w:bidi="en-us"/>
      </w:rPr>
    </w:lvl>
    <w:lvl w:ilvl="4">
      <w:start w:val="0"/>
      <w:numFmt w:val="bullet"/>
      <w:lvlText w:val="•"/>
      <w:lvlJc w:val="left"/>
      <w:pPr>
        <w:ind w:left="5828" w:hanging="721"/>
      </w:pPr>
      <w:rPr>
        <w:rFonts w:hint="default"/>
        <w:lang w:val="en-us" w:eastAsia="en-us" w:bidi="en-us"/>
      </w:rPr>
    </w:lvl>
    <w:lvl w:ilvl="5">
      <w:start w:val="0"/>
      <w:numFmt w:val="bullet"/>
      <w:lvlText w:val="•"/>
      <w:lvlJc w:val="left"/>
      <w:pPr>
        <w:ind w:left="6810" w:hanging="721"/>
      </w:pPr>
      <w:rPr>
        <w:rFonts w:hint="default"/>
        <w:lang w:val="en-us" w:eastAsia="en-us" w:bidi="en-us"/>
      </w:rPr>
    </w:lvl>
    <w:lvl w:ilvl="6">
      <w:start w:val="0"/>
      <w:numFmt w:val="bullet"/>
      <w:lvlText w:val="•"/>
      <w:lvlJc w:val="left"/>
      <w:pPr>
        <w:ind w:left="7792" w:hanging="721"/>
      </w:pPr>
      <w:rPr>
        <w:rFonts w:hint="default"/>
        <w:lang w:val="en-us" w:eastAsia="en-us" w:bidi="en-us"/>
      </w:rPr>
    </w:lvl>
    <w:lvl w:ilvl="7">
      <w:start w:val="0"/>
      <w:numFmt w:val="bullet"/>
      <w:lvlText w:val="•"/>
      <w:lvlJc w:val="left"/>
      <w:pPr>
        <w:ind w:left="8774" w:hanging="721"/>
      </w:pPr>
      <w:rPr>
        <w:rFonts w:hint="default"/>
        <w:lang w:val="en-us" w:eastAsia="en-us" w:bidi="en-us"/>
      </w:rPr>
    </w:lvl>
    <w:lvl w:ilvl="8">
      <w:start w:val="0"/>
      <w:numFmt w:val="bullet"/>
      <w:lvlText w:val="•"/>
      <w:lvlJc w:val="left"/>
      <w:pPr>
        <w:ind w:left="9756" w:hanging="721"/>
      </w:pPr>
      <w:rPr>
        <w:rFonts w:hint="default"/>
        <w:lang w:val="en-us" w:eastAsia="en-us" w:bidi="en-us"/>
      </w:rPr>
    </w:lvl>
  </w:abstract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2"/>
      <w:szCs w:val="22"/>
      <w:lang w:val="en-us" w:eastAsia="en-us" w:bidi="en-us"/>
    </w:rPr>
  </w:style>
  <w:style w:styleId="Heading1" w:type="paragraph">
    <w:name w:val="Heading 1"/>
    <w:basedOn w:val="Normal"/>
    <w:uiPriority w:val="1"/>
    <w:qFormat/>
    <w:pPr>
      <w:outlineLvl w:val="1"/>
    </w:pPr>
    <w:rPr>
      <w:rFonts w:ascii="Cambria Math" w:hAnsi="Cambria Math" w:eastAsia="Cambria Math" w:cs="Cambria Math"/>
      <w:sz w:val="29"/>
      <w:szCs w:val="29"/>
      <w:lang w:val="en-us" w:eastAsia="en-us" w:bidi="en-us"/>
    </w:rPr>
  </w:style>
  <w:style w:styleId="Heading2" w:type="paragraph">
    <w:name w:val="Heading 2"/>
    <w:basedOn w:val="Normal"/>
    <w:uiPriority w:val="1"/>
    <w:qFormat/>
    <w:pPr>
      <w:outlineLvl w:val="2"/>
    </w:pPr>
    <w:rPr>
      <w:rFonts w:ascii="Cambria Math" w:hAnsi="Cambria Math" w:eastAsia="Cambria Math" w:cs="Cambria Math"/>
      <w:sz w:val="28"/>
      <w:szCs w:val="28"/>
      <w:lang w:val="en-us" w:eastAsia="en-us" w:bidi="en-us"/>
    </w:rPr>
  </w:style>
  <w:style w:styleId="Heading3" w:type="paragraph">
    <w:name w:val="Heading 3"/>
    <w:basedOn w:val="Normal"/>
    <w:uiPriority w:val="1"/>
    <w:qFormat/>
    <w:pPr>
      <w:outlineLvl w:val="3"/>
    </w:pPr>
    <w:rPr>
      <w:rFonts w:ascii="Cambria Math" w:hAnsi="Cambria Math" w:eastAsia="Cambria Math" w:cs="Cambria Math"/>
      <w:sz w:val="27"/>
      <w:szCs w:val="27"/>
      <w:lang w:val="en-us" w:eastAsia="en-us" w:bidi="en-us"/>
    </w:rPr>
  </w:style>
  <w:style w:styleId="ListParagraph" w:type="paragraph">
    <w:name w:val="List Paragraph"/>
    <w:basedOn w:val="Normal"/>
    <w:uiPriority w:val="1"/>
    <w:qFormat/>
    <w:pPr>
      <w:spacing w:before="120"/>
      <w:ind w:left="1900" w:firstLine="720"/>
    </w:pPr>
    <w:rPr>
      <w:rFonts w:ascii="Arial" w:hAnsi="Arial" w:eastAsia="Arial" w:cs="Arial"/>
      <w:lang w:val="en-us" w:eastAsia="en-us" w:bidi="en-us"/>
    </w:rPr>
  </w:style>
  <w:style w:styleId="TableParagraph" w:type="paragraph">
    <w:name w:val="Table Paragraph"/>
    <w:basedOn w:val="Normal"/>
    <w:uiPriority w:val="1"/>
    <w:qFormat/>
    <w:pPr>
      <w:spacing w:before="80"/>
      <w:jc w:val="center"/>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www.sigmaaldrich.com/" TargetMode="External"/><Relationship Id="rId7" Type="http://schemas.openxmlformats.org/officeDocument/2006/relationships/hyperlink" Target="http://www.well-labs.com/" TargetMode="External"/><Relationship Id="rId8" Type="http://schemas.openxmlformats.org/officeDocument/2006/relationships/hyperlink" Target="http://www.isotope.com/" TargetMode="External"/><Relationship Id="rId9" Type="http://schemas.openxmlformats.org/officeDocument/2006/relationships/image" Target="media/image1.jpeg"/><Relationship Id="rId10" Type="http://schemas.openxmlformats.org/officeDocument/2006/relationships/image" Target="media/image2.png"/><Relationship Id="rId11" Type="http://schemas.openxmlformats.org/officeDocument/2006/relationships/hyperlink" Target="https://www.acs.org/content/dam/acsorg/about/governance/committees/chemicalsafety/publications/less-is-better.pdf" TargetMode="External"/><Relationship Id="rId12" Type="http://schemas.openxmlformats.org/officeDocument/2006/relationships/hyperlink" Target="http://www.labsafetyinstitute.org/FreeDocs/WasteMgmt.pdf" TargetMode="External"/><Relationship Id="rId13" Type="http://schemas.openxmlformats.org/officeDocument/2006/relationships/hyperlink" Target="http://nelac-institute.org/docs/comm/emmec/Calculating%20RSE.pdf" TargetMode="Externa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hyperlink" Target="http://portal.acs.org/portal/fileFetch/C/WPCP_012290/pdf/WPCP_012290.pdf" TargetMode="External"/><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Koska</dc:creator>
  <dcterms:created xsi:type="dcterms:W3CDTF">2020-04-06T19:05:01Z</dcterms:created>
  <dcterms:modified xsi:type="dcterms:W3CDTF">2020-04-06T19:05:01Z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2019-06-11T00:00:00Z</vt:filetime>
  </property>
  <property fmtid="{D5CDD505-2E9C-101B-9397-08002B2CF9AE}" pid="3" name="Creator">
    <vt:lpwstr>Acrobat PDFMaker 19 for Word</vt:lpwstr>
  </property>
  <property fmtid="{D5CDD505-2E9C-101B-9397-08002B2CF9AE}" pid="4" name="LastSaved">
    <vt:filetime>2020-04-06T00:00:00Z</vt:filetime>
  </property>
</Properties>
</file>