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308" w:rsidRDefault="00E26308" w:rsidP="00E26308">
      <w:pPr>
        <w:pStyle w:val="NoSpacing"/>
      </w:pPr>
    </w:p>
    <w:p w:rsidR="00E26308" w:rsidRDefault="00E26308" w:rsidP="00E26308">
      <w:pPr>
        <w:pStyle w:val="NoSpacing"/>
      </w:pPr>
    </w:p>
    <w:p w:rsidR="00E26308" w:rsidRDefault="00E26308" w:rsidP="00E26308">
      <w:pPr>
        <w:pStyle w:val="NoSpacing"/>
      </w:pPr>
      <w:r>
        <w:t xml:space="preserve">HWC-Field to REDD data migration – disorganized thoughts </w:t>
      </w:r>
    </w:p>
    <w:p w:rsidR="00AF2B25" w:rsidRDefault="00AF2B25" w:rsidP="002B78C3">
      <w:pPr>
        <w:pStyle w:val="NoSpacing"/>
      </w:pPr>
    </w:p>
    <w:p w:rsidR="002916C3" w:rsidRDefault="002916C3" w:rsidP="002B78C3">
      <w:pPr>
        <w:pStyle w:val="NoSpacing"/>
      </w:pPr>
      <w:r>
        <w:t xml:space="preserve">WACS </w:t>
      </w:r>
      <w:r w:rsidR="00C45DD0">
        <w:t xml:space="preserve">(10E6 records) </w:t>
      </w:r>
      <w:r>
        <w:t>is a more robust database than HWC-Field</w:t>
      </w:r>
      <w:r w:rsidR="00C45DD0">
        <w:t xml:space="preserve"> (2.1E6 records)</w:t>
      </w:r>
      <w:r>
        <w:t xml:space="preserve">.  WACS stores data for the Solid Waste, Hazardous Waste and Underground Injection Control programs. WACS contains more Monitoring Well construction information and meats the Departments Locational Data Standards.  WACS includes many more analytes and with the upload of lab and field analytical data using the ADaPT software, adheres more closely to 62-160, F.A.C. in regards to the QA rule and data qualifiers.   An advantage of HWC- over WACS is the capability of storing of </w:t>
      </w:r>
      <w:proofErr w:type="spellStart"/>
      <w:r>
        <w:t>databasing</w:t>
      </w:r>
      <w:proofErr w:type="spellEnd"/>
      <w:r>
        <w:t xml:space="preserve"> “Temporary” </w:t>
      </w:r>
      <w:r w:rsidR="00816435">
        <w:t>s</w:t>
      </w:r>
      <w:r>
        <w:t xml:space="preserve">amples; </w:t>
      </w:r>
      <w:r w:rsidR="00816435">
        <w:t xml:space="preserve">samples that can only be collected once (unable to sample the same location more than once).  These samples might include; </w:t>
      </w:r>
      <w:r w:rsidR="00E26308">
        <w:t>push wells, soil samples, air samples, one</w:t>
      </w:r>
      <w:r w:rsidR="00816435">
        <w:t>-</w:t>
      </w:r>
      <w:r w:rsidR="00E26308">
        <w:t xml:space="preserve">time surface water sampling.  </w:t>
      </w:r>
      <w:r w:rsidR="00C45DD0">
        <w:t xml:space="preserve">Taking these points into consideration it would be best to model the REDD database table structure </w:t>
      </w:r>
      <w:r w:rsidR="00E26308">
        <w:t xml:space="preserve">after </w:t>
      </w:r>
      <w:r w:rsidR="00C45DD0">
        <w:t xml:space="preserve">the WACS database table structure with modifications.  </w:t>
      </w:r>
      <w:r w:rsidR="00816435">
        <w:t>R</w:t>
      </w:r>
      <w:r w:rsidR="00C45DD0">
        <w:t xml:space="preserve">EDD should use </w:t>
      </w:r>
      <w:r w:rsidR="00E26308">
        <w:t>field name</w:t>
      </w:r>
      <w:r w:rsidR="00C45DD0">
        <w:t>s</w:t>
      </w:r>
      <w:r w:rsidR="00E26308">
        <w:t xml:space="preserve"> that more closely match fields used by the ADaPT Software.   </w:t>
      </w:r>
      <w:r w:rsidR="0058320C">
        <w:t xml:space="preserve">We need to make sure that HWC-Field data is converted and either uses updated codes/valid values or we incorporate missing codes/valid values in REDD that is required by HWC-Field. </w:t>
      </w:r>
      <w:r w:rsidR="00E26308">
        <w:t xml:space="preserve">REDD already contains HW, PR and SW program area data.  Labs producing </w:t>
      </w:r>
      <w:r w:rsidR="00557487">
        <w:t xml:space="preserve">and </w:t>
      </w:r>
      <w:r w:rsidR="00E26308">
        <w:t>submitting HWC-Field data already submit ADaPT lab EDDs</w:t>
      </w:r>
      <w:r w:rsidR="00557487">
        <w:t>.</w:t>
      </w:r>
      <w:r w:rsidR="00E26308">
        <w:t xml:space="preserve"> </w:t>
      </w:r>
      <w:r w:rsidR="00557487">
        <w:t xml:space="preserve"> More than </w:t>
      </w:r>
      <w:r w:rsidR="00E26308">
        <w:t xml:space="preserve">half the consultants </w:t>
      </w:r>
      <w:r w:rsidR="00557487">
        <w:t xml:space="preserve">submitting HWC-Field data </w:t>
      </w:r>
      <w:r w:rsidR="00E26308">
        <w:t xml:space="preserve">also </w:t>
      </w:r>
      <w:r w:rsidR="00557487">
        <w:t xml:space="preserve">produce and </w:t>
      </w:r>
      <w:r w:rsidR="00E26308">
        <w:t xml:space="preserve">submit </w:t>
      </w:r>
      <w:r w:rsidR="00557487">
        <w:t xml:space="preserve">ADaPT </w:t>
      </w:r>
      <w:r w:rsidR="00E26308">
        <w:t xml:space="preserve">field EDDs to either the HW, PR or SW programs. </w:t>
      </w:r>
      <w:r w:rsidR="00816435">
        <w:t xml:space="preserve">  </w:t>
      </w:r>
    </w:p>
    <w:p w:rsidR="0008034C" w:rsidRDefault="0008034C" w:rsidP="002B78C3">
      <w:pPr>
        <w:pStyle w:val="NoSpacing"/>
      </w:pPr>
    </w:p>
    <w:p w:rsidR="008547FC" w:rsidRDefault="00A5152A" w:rsidP="002B78C3">
      <w:pPr>
        <w:pStyle w:val="NoSpacing"/>
      </w:pPr>
      <w:r>
        <w:t xml:space="preserve">We need to </w:t>
      </w:r>
      <w:r w:rsidR="008547FC">
        <w:t xml:space="preserve">add </w:t>
      </w:r>
      <w:proofErr w:type="spellStart"/>
      <w:r w:rsidR="008547FC">
        <w:t>Faicility</w:t>
      </w:r>
      <w:proofErr w:type="spellEnd"/>
      <w:r w:rsidR="008547FC">
        <w:t xml:space="preserve"> and </w:t>
      </w:r>
      <w:r>
        <w:t xml:space="preserve">Monitoring Testsite Inventory </w:t>
      </w:r>
      <w:r w:rsidR="008547FC">
        <w:t xml:space="preserve">tables to REDD </w:t>
      </w:r>
      <w:r>
        <w:t>for PRP and Waste Cleanup.  Solid Waste and Hazardous Waste programs alr</w:t>
      </w:r>
      <w:r w:rsidR="008547FC">
        <w:t>e</w:t>
      </w:r>
      <w:r>
        <w:t xml:space="preserve">ady have </w:t>
      </w:r>
      <w:r w:rsidR="008547FC">
        <w:t xml:space="preserve">this </w:t>
      </w:r>
      <w:r>
        <w:t xml:space="preserve">information in WACS. </w:t>
      </w:r>
      <w:r w:rsidR="008547FC">
        <w:t xml:space="preserve">  For Solid and Hazardous Waste, it might be best to create a view of data from WACS in REDD. Alternately we can populate data in the new complex REDD data table structure and use the temporary table in REDD when uploading the data to WACS.</w:t>
      </w:r>
    </w:p>
    <w:p w:rsidR="00F432F6" w:rsidRDefault="00F432F6" w:rsidP="00F432F6">
      <w:pPr>
        <w:pStyle w:val="NoSpacing"/>
      </w:pPr>
    </w:p>
    <w:p w:rsidR="002B78C3" w:rsidRDefault="002B78C3" w:rsidP="002B78C3">
      <w:pPr>
        <w:pStyle w:val="NoSpacing"/>
      </w:pPr>
      <w:r>
        <w:t xml:space="preserve">In creating this REDD database </w:t>
      </w:r>
      <w:r w:rsidR="0008034C">
        <w:t>structure,</w:t>
      </w:r>
      <w:r>
        <w:t xml:space="preserve"> the decision has to be made whether to capture all ADaPT data as we </w:t>
      </w:r>
      <w:proofErr w:type="spellStart"/>
      <w:r>
        <w:t>currenly</w:t>
      </w:r>
      <w:proofErr w:type="spellEnd"/>
      <w:r>
        <w:t xml:space="preserve"> do in the REDD_SNAP.</w:t>
      </w:r>
      <w:r w:rsidR="0008034C">
        <w:t xml:space="preserve">ADAPT_EDD_RECORDS; or capture the data we do in WACS plus a few additional </w:t>
      </w:r>
      <w:r w:rsidR="00C731AD">
        <w:t xml:space="preserve">important </w:t>
      </w:r>
      <w:r w:rsidR="0008034C">
        <w:t xml:space="preserve">fields. </w:t>
      </w:r>
    </w:p>
    <w:p w:rsidR="00F432F6" w:rsidRDefault="00F432F6" w:rsidP="00F432F6">
      <w:pPr>
        <w:pStyle w:val="NoSpacing"/>
      </w:pPr>
    </w:p>
    <w:p w:rsidR="00F432F6" w:rsidRDefault="00F432F6" w:rsidP="00F432F6">
      <w:pPr>
        <w:pStyle w:val="NoSpacing"/>
      </w:pPr>
      <w:bookmarkStart w:id="0" w:name="_GoBack"/>
      <w:bookmarkEnd w:id="0"/>
      <w:r>
        <w:t>Use SQL Developer to copy the Table Structures from WACS and modify them for REDD.</w:t>
      </w:r>
    </w:p>
    <w:p w:rsidR="00F432F6" w:rsidRDefault="00F432F6" w:rsidP="00F432F6">
      <w:pPr>
        <w:pStyle w:val="NoSpacing"/>
      </w:pPr>
      <w:r>
        <w:t>data table structures from ADaPT.</w:t>
      </w:r>
    </w:p>
    <w:p w:rsidR="0008034C" w:rsidRDefault="0008034C" w:rsidP="002B78C3">
      <w:pPr>
        <w:pStyle w:val="NoSpacing"/>
      </w:pPr>
    </w:p>
    <w:p w:rsidR="00A528A4" w:rsidRDefault="00C731AD" w:rsidP="00A528A4">
      <w:pPr>
        <w:pStyle w:val="NoSpacing"/>
      </w:pPr>
      <w:r>
        <w:t xml:space="preserve">When data is uploaded to REDD data is Validated, numerous checks are performed on specific data fields.  currently for Solid and Hazardous Waste, Facility ID and Monitoring Testsite associations are also checked. We need to build the Monitoring Testsite Inventory into REDD for both Petroleum Cleanup and various Waste Cleanup programs.  </w:t>
      </w:r>
      <w:r w:rsidR="00A528A4">
        <w:t>An important verification that ADaPT rarely but still does miss is the "Qualifier verification?".</w:t>
      </w:r>
    </w:p>
    <w:p w:rsidR="00A528A4" w:rsidRDefault="00A528A4" w:rsidP="00A528A4">
      <w:pPr>
        <w:pStyle w:val="NoSpacing"/>
      </w:pPr>
      <w:r>
        <w:t xml:space="preserve">ADaPT looks at data qualifiers on an individual basis. </w:t>
      </w:r>
    </w:p>
    <w:p w:rsidR="00A528A4" w:rsidRDefault="00A528A4" w:rsidP="00A528A4">
      <w:pPr>
        <w:pStyle w:val="NoSpacing"/>
      </w:pPr>
      <w:r>
        <w:t>WACS verifies the Qualifiers based on their combination.</w:t>
      </w:r>
    </w:p>
    <w:p w:rsidR="00A528A4" w:rsidRDefault="00A528A4" w:rsidP="00A528A4">
      <w:pPr>
        <w:pStyle w:val="NoSpacing"/>
      </w:pPr>
      <w:r>
        <w:t>There are qualifier combinations that are occasionally reported that are NOT valid.</w:t>
      </w:r>
    </w:p>
    <w:p w:rsidR="00C731AD" w:rsidRDefault="00C731AD" w:rsidP="002B78C3">
      <w:pPr>
        <w:pStyle w:val="NoSpacing"/>
      </w:pPr>
    </w:p>
    <w:p w:rsidR="00C731AD" w:rsidRDefault="00A528A4" w:rsidP="00C731AD">
      <w:pPr>
        <w:pStyle w:val="NoSpacing"/>
      </w:pPr>
      <w:r>
        <w:t>T</w:t>
      </w:r>
      <w:r w:rsidR="00C731AD">
        <w:t xml:space="preserve">he following WACS tables are used to verify data uploaded to REDD for HW, PR SW and WC.  (I have successfully uploaded WC lab data to REDD without any field EDDs). We may consider verifying data for the upload to REDD using newly created REDD tables. </w:t>
      </w:r>
    </w:p>
    <w:p w:rsidR="00C731AD" w:rsidRDefault="00C731AD" w:rsidP="00C731AD">
      <w:pPr>
        <w:pStyle w:val="NoSpacing"/>
      </w:pPr>
    </w:p>
    <w:tbl>
      <w:tblPr>
        <w:tblW w:w="8320" w:type="dxa"/>
        <w:tblInd w:w="-5" w:type="dxa"/>
        <w:tblLook w:val="04A0" w:firstRow="1" w:lastRow="0" w:firstColumn="1" w:lastColumn="0" w:noHBand="0" w:noVBand="1"/>
      </w:tblPr>
      <w:tblGrid>
        <w:gridCol w:w="2060"/>
        <w:gridCol w:w="3040"/>
        <w:gridCol w:w="3220"/>
      </w:tblGrid>
      <w:tr w:rsidR="00C731AD" w:rsidRPr="00CE4E2D" w:rsidTr="00C731AD">
        <w:trPr>
          <w:trHeight w:val="305"/>
        </w:trPr>
        <w:tc>
          <w:tcPr>
            <w:tcW w:w="2060" w:type="dxa"/>
            <w:tcBorders>
              <w:top w:val="single" w:sz="4" w:space="0" w:color="auto"/>
              <w:left w:val="single" w:sz="4" w:space="0" w:color="auto"/>
              <w:bottom w:val="single" w:sz="4" w:space="0" w:color="auto"/>
              <w:right w:val="single" w:sz="4" w:space="0" w:color="auto"/>
            </w:tcBorders>
            <w:shd w:val="clear" w:color="000000" w:fill="D9D9D9"/>
            <w:noWrap/>
            <w:hideMark/>
          </w:tcPr>
          <w:p w:rsidR="00C731AD" w:rsidRPr="00CE4E2D" w:rsidRDefault="00C731AD" w:rsidP="007949C7">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Data Validation</w:t>
            </w:r>
          </w:p>
        </w:tc>
        <w:tc>
          <w:tcPr>
            <w:tcW w:w="3040" w:type="dxa"/>
            <w:tcBorders>
              <w:top w:val="single" w:sz="4" w:space="0" w:color="auto"/>
              <w:left w:val="nil"/>
              <w:bottom w:val="single" w:sz="4" w:space="0" w:color="auto"/>
              <w:right w:val="single" w:sz="4" w:space="0" w:color="auto"/>
            </w:tcBorders>
            <w:shd w:val="clear" w:color="000000" w:fill="D9D9D9"/>
            <w:noWrap/>
            <w:hideMark/>
          </w:tcPr>
          <w:p w:rsidR="00C731AD" w:rsidRPr="00CE4E2D" w:rsidRDefault="00C731AD" w:rsidP="007949C7">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 xml:space="preserve">ADaPT (export) </w:t>
            </w:r>
          </w:p>
        </w:tc>
        <w:tc>
          <w:tcPr>
            <w:tcW w:w="3220" w:type="dxa"/>
            <w:tcBorders>
              <w:top w:val="single" w:sz="4" w:space="0" w:color="auto"/>
              <w:left w:val="nil"/>
              <w:bottom w:val="single" w:sz="4" w:space="0" w:color="auto"/>
              <w:right w:val="single" w:sz="4" w:space="0" w:color="auto"/>
            </w:tcBorders>
            <w:shd w:val="clear" w:color="000000" w:fill="D9D9D9"/>
            <w:noWrap/>
            <w:hideMark/>
          </w:tcPr>
          <w:p w:rsidR="00C731AD" w:rsidRPr="00CE4E2D" w:rsidRDefault="00C731AD" w:rsidP="007949C7">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WACS (import to WACS and REDD)</w:t>
            </w:r>
          </w:p>
        </w:tc>
      </w:tr>
      <w:tr w:rsidR="00C731AD" w:rsidRPr="00CE4E2D" w:rsidTr="00C731AD">
        <w:trPr>
          <w:trHeight w:val="170"/>
        </w:trPr>
        <w:tc>
          <w:tcPr>
            <w:tcW w:w="2060" w:type="dxa"/>
            <w:tcBorders>
              <w:top w:val="nil"/>
              <w:left w:val="single" w:sz="4" w:space="0" w:color="auto"/>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xml:space="preserve">Facility/Testsite Valid? </w:t>
            </w:r>
          </w:p>
        </w:tc>
        <w:tc>
          <w:tcPr>
            <w:tcW w:w="3040" w:type="dxa"/>
            <w:tcBorders>
              <w:top w:val="nil"/>
              <w:left w:val="nil"/>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tblWacs_Svl_SolidWaste_Testsite_Inventory</w:t>
            </w:r>
            <w:proofErr w:type="spellEnd"/>
          </w:p>
        </w:tc>
        <w:tc>
          <w:tcPr>
            <w:tcW w:w="3220" w:type="dxa"/>
            <w:tcBorders>
              <w:top w:val="nil"/>
              <w:left w:val="nil"/>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WACS_SNAP.MONITOR_WELL_TESTSITES</w:t>
            </w:r>
          </w:p>
        </w:tc>
      </w:tr>
      <w:tr w:rsidR="00C731AD" w:rsidRPr="00CE4E2D" w:rsidTr="00C731A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(SW &amp; HW; add for PR and WC)</w:t>
            </w:r>
          </w:p>
        </w:tc>
        <w:tc>
          <w:tcPr>
            <w:tcW w:w="304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22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731AD" w:rsidRPr="00CE4E2D" w:rsidTr="00C731AD">
        <w:trPr>
          <w:trHeight w:val="188"/>
        </w:trPr>
        <w:tc>
          <w:tcPr>
            <w:tcW w:w="2060" w:type="dxa"/>
            <w:tcBorders>
              <w:top w:val="nil"/>
              <w:left w:val="single" w:sz="4" w:space="0" w:color="auto"/>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Sample Type Valid?</w:t>
            </w:r>
          </w:p>
        </w:tc>
        <w:tc>
          <w:tcPr>
            <w:tcW w:w="304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tblWacs_Svl_Sample_Type_Codes</w:t>
            </w:r>
            <w:proofErr w:type="spellEnd"/>
          </w:p>
        </w:tc>
        <w:tc>
          <w:tcPr>
            <w:tcW w:w="322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WACS_SNAP.WACS_SAMPLE_TYPE_CODES</w:t>
            </w:r>
          </w:p>
        </w:tc>
      </w:tr>
      <w:tr w:rsidR="00C731AD" w:rsidRPr="00CE4E2D" w:rsidTr="00C731AD">
        <w:trPr>
          <w:trHeight w:val="197"/>
        </w:trPr>
        <w:tc>
          <w:tcPr>
            <w:tcW w:w="2060" w:type="dxa"/>
            <w:tcBorders>
              <w:top w:val="nil"/>
              <w:left w:val="single" w:sz="4" w:space="0" w:color="auto"/>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Storet</w:t>
            </w:r>
            <w:proofErr w:type="spellEnd"/>
            <w:r w:rsidRPr="00CE4E2D">
              <w:rPr>
                <w:rFonts w:ascii="Arial Narrow" w:eastAsia="Times New Roman" w:hAnsi="Arial Narrow"/>
                <w:color w:val="000000"/>
                <w:sz w:val="14"/>
                <w:szCs w:val="14"/>
              </w:rPr>
              <w:t xml:space="preserve"> Valid?</w:t>
            </w:r>
          </w:p>
        </w:tc>
        <w:tc>
          <w:tcPr>
            <w:tcW w:w="304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TblWACS_STORET_Numbers</w:t>
            </w:r>
            <w:proofErr w:type="spellEnd"/>
          </w:p>
        </w:tc>
        <w:tc>
          <w:tcPr>
            <w:tcW w:w="322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WACS_SNAP.STORET_NUMBER_CODES</w:t>
            </w:r>
          </w:p>
        </w:tc>
      </w:tr>
      <w:tr w:rsidR="00C731AD" w:rsidRPr="00CE4E2D" w:rsidTr="00C731AD">
        <w:trPr>
          <w:trHeight w:val="170"/>
        </w:trPr>
        <w:tc>
          <w:tcPr>
            <w:tcW w:w="2060" w:type="dxa"/>
            <w:tcBorders>
              <w:top w:val="nil"/>
              <w:left w:val="single" w:sz="4" w:space="0" w:color="auto"/>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Qualifier Valid?</w:t>
            </w:r>
          </w:p>
        </w:tc>
        <w:tc>
          <w:tcPr>
            <w:tcW w:w="3040" w:type="dxa"/>
            <w:tcBorders>
              <w:top w:val="nil"/>
              <w:left w:val="nil"/>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tblSvlLabQualifiers</w:t>
            </w:r>
            <w:proofErr w:type="spellEnd"/>
            <w:r w:rsidRPr="00CE4E2D">
              <w:rPr>
                <w:rFonts w:ascii="Arial Narrow" w:eastAsia="Times New Roman" w:hAnsi="Arial Narrow"/>
                <w:color w:val="000000"/>
                <w:sz w:val="14"/>
                <w:szCs w:val="14"/>
              </w:rPr>
              <w:t xml:space="preserve"> and </w:t>
            </w:r>
          </w:p>
        </w:tc>
        <w:tc>
          <w:tcPr>
            <w:tcW w:w="3220" w:type="dxa"/>
            <w:tcBorders>
              <w:top w:val="nil"/>
              <w:left w:val="nil"/>
              <w:bottom w:val="nil"/>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WACS_SNAP.TEST_REMARK_TYPE_CODES</w:t>
            </w:r>
          </w:p>
        </w:tc>
      </w:tr>
      <w:tr w:rsidR="00C731AD" w:rsidRPr="00CE4E2D" w:rsidTr="00C731A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tblWacs_Svl_Field_Parameter_Qualifier_Code</w:t>
            </w:r>
            <w:proofErr w:type="spellEnd"/>
          </w:p>
        </w:tc>
        <w:tc>
          <w:tcPr>
            <w:tcW w:w="322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731AD" w:rsidRPr="00CE4E2D" w:rsidTr="00C731AD">
        <w:trPr>
          <w:trHeight w:val="70"/>
        </w:trPr>
        <w:tc>
          <w:tcPr>
            <w:tcW w:w="2060" w:type="dxa"/>
            <w:tcBorders>
              <w:top w:val="nil"/>
              <w:left w:val="single" w:sz="4" w:space="0" w:color="auto"/>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Report Type Valid?</w:t>
            </w:r>
          </w:p>
        </w:tc>
        <w:tc>
          <w:tcPr>
            <w:tcW w:w="304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tblWacs_Svl_Report_Type</w:t>
            </w:r>
            <w:proofErr w:type="spellEnd"/>
          </w:p>
        </w:tc>
        <w:tc>
          <w:tcPr>
            <w:tcW w:w="3220" w:type="dxa"/>
            <w:tcBorders>
              <w:top w:val="nil"/>
              <w:left w:val="nil"/>
              <w:bottom w:val="single" w:sz="4" w:space="0" w:color="auto"/>
              <w:right w:val="single" w:sz="4" w:space="0" w:color="auto"/>
            </w:tcBorders>
            <w:shd w:val="clear" w:color="auto" w:fill="auto"/>
            <w:noWrap/>
            <w:hideMark/>
          </w:tcPr>
          <w:p w:rsidR="00C731AD" w:rsidRPr="00CE4E2D" w:rsidRDefault="00C731AD" w:rsidP="007949C7">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WACS_SNAP.WACS_REPORT_TYPE_CODES</w:t>
            </w:r>
          </w:p>
        </w:tc>
      </w:tr>
    </w:tbl>
    <w:p w:rsidR="00C731AD" w:rsidRDefault="00C731AD" w:rsidP="00C731AD">
      <w:pPr>
        <w:pStyle w:val="NoSpacing"/>
      </w:pPr>
    </w:p>
    <w:p w:rsidR="005F6DC3" w:rsidRDefault="005F6DC3" w:rsidP="005F6DC3">
      <w:pPr>
        <w:pStyle w:val="NoSpacing"/>
      </w:pPr>
    </w:p>
    <w:p w:rsidR="00C731AD" w:rsidRDefault="00C731AD" w:rsidP="005F6DC3">
      <w:pPr>
        <w:pStyle w:val="NoSpacing"/>
      </w:pPr>
    </w:p>
    <w:p w:rsidR="00A528A4" w:rsidRDefault="00A528A4" w:rsidP="005F6DC3">
      <w:pPr>
        <w:pStyle w:val="NoSpacing"/>
      </w:pPr>
    </w:p>
    <w:p w:rsidR="00C731AD" w:rsidRDefault="00C731AD" w:rsidP="005F6DC3">
      <w:pPr>
        <w:pStyle w:val="NoSpacing"/>
      </w:pPr>
    </w:p>
    <w:p w:rsidR="00C731AD" w:rsidRDefault="00C731AD" w:rsidP="005F6DC3">
      <w:pPr>
        <w:pStyle w:val="NoSpacing"/>
      </w:pPr>
    </w:p>
    <w:p w:rsidR="00C731AD" w:rsidRDefault="00C731AD" w:rsidP="005F6DC3">
      <w:pPr>
        <w:pStyle w:val="NoSpacing"/>
      </w:pPr>
    </w:p>
    <w:p w:rsidR="00AF2B25" w:rsidRDefault="00AF2B25" w:rsidP="005F6DC3">
      <w:pPr>
        <w:pStyle w:val="NoSpacing"/>
      </w:pPr>
    </w:p>
    <w:p w:rsidR="00C731AD" w:rsidRDefault="00C731AD" w:rsidP="005F6DC3">
      <w:pPr>
        <w:pStyle w:val="NoSpacing"/>
      </w:pPr>
    </w:p>
    <w:p w:rsidR="00C731AD" w:rsidRDefault="00C731AD" w:rsidP="005F6DC3">
      <w:pPr>
        <w:pStyle w:val="NoSpacing"/>
      </w:pPr>
    </w:p>
    <w:tbl>
      <w:tblPr>
        <w:tblW w:w="2880" w:type="dxa"/>
        <w:tblInd w:w="-10" w:type="dxa"/>
        <w:tblLook w:val="04A0" w:firstRow="1" w:lastRow="0" w:firstColumn="1" w:lastColumn="0" w:noHBand="0" w:noVBand="1"/>
      </w:tblPr>
      <w:tblGrid>
        <w:gridCol w:w="2608"/>
        <w:gridCol w:w="2353"/>
        <w:gridCol w:w="2929"/>
      </w:tblGrid>
      <w:tr w:rsidR="00E829E1" w:rsidRPr="00E829E1" w:rsidTr="00E829E1">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E829E1" w:rsidRPr="00E829E1" w:rsidRDefault="00E829E1" w:rsidP="00E829E1">
            <w:pPr>
              <w:spacing w:after="0" w:line="240" w:lineRule="auto"/>
              <w:rPr>
                <w:rFonts w:ascii="Arial Narrow" w:eastAsia="Times New Roman" w:hAnsi="Arial Narrow" w:cs="Times New Roman"/>
                <w:b/>
                <w:bCs/>
                <w:color w:val="000000"/>
                <w:sz w:val="16"/>
                <w:szCs w:val="16"/>
              </w:rPr>
            </w:pPr>
            <w:r w:rsidRPr="00E829E1">
              <w:rPr>
                <w:rFonts w:ascii="Arial Narrow" w:eastAsia="Times New Roman" w:hAnsi="Arial Narrow" w:cs="Times New Roman"/>
                <w:b/>
                <w:bCs/>
                <w:color w:val="000000"/>
                <w:sz w:val="16"/>
                <w:szCs w:val="16"/>
              </w:rPr>
              <w:t>REDD_SNAP.</w:t>
            </w:r>
          </w:p>
        </w:tc>
        <w:tc>
          <w:tcPr>
            <w:tcW w:w="960" w:type="dxa"/>
            <w:tcBorders>
              <w:top w:val="single" w:sz="8" w:space="0" w:color="auto"/>
              <w:left w:val="nil"/>
              <w:bottom w:val="single" w:sz="8" w:space="0" w:color="auto"/>
              <w:right w:val="single" w:sz="8" w:space="0" w:color="auto"/>
            </w:tcBorders>
            <w:shd w:val="clear" w:color="000000" w:fill="D9D9D9"/>
            <w:noWrap/>
            <w:vAlign w:val="center"/>
            <w:hideMark/>
          </w:tcPr>
          <w:p w:rsidR="00E829E1" w:rsidRPr="00E829E1" w:rsidRDefault="00E829E1" w:rsidP="00E829E1">
            <w:pPr>
              <w:spacing w:after="0" w:line="240" w:lineRule="auto"/>
              <w:rPr>
                <w:rFonts w:ascii="Arial Narrow" w:eastAsia="Times New Roman" w:hAnsi="Arial Narrow" w:cs="Times New Roman"/>
                <w:b/>
                <w:bCs/>
                <w:color w:val="000000"/>
                <w:sz w:val="16"/>
                <w:szCs w:val="16"/>
              </w:rPr>
            </w:pPr>
            <w:r w:rsidRPr="00E829E1">
              <w:rPr>
                <w:rFonts w:ascii="Arial Narrow" w:eastAsia="Times New Roman" w:hAnsi="Arial Narrow" w:cs="Times New Roman"/>
                <w:b/>
                <w:bCs/>
                <w:color w:val="000000"/>
                <w:sz w:val="16"/>
                <w:szCs w:val="16"/>
              </w:rPr>
              <w:t>WACS_SNAP.</w:t>
            </w:r>
          </w:p>
        </w:tc>
        <w:tc>
          <w:tcPr>
            <w:tcW w:w="960" w:type="dxa"/>
            <w:tcBorders>
              <w:top w:val="single" w:sz="8" w:space="0" w:color="auto"/>
              <w:left w:val="nil"/>
              <w:bottom w:val="single" w:sz="8" w:space="0" w:color="auto"/>
              <w:right w:val="single" w:sz="8" w:space="0" w:color="auto"/>
            </w:tcBorders>
            <w:shd w:val="clear" w:color="000000" w:fill="D9D9D9"/>
            <w:noWrap/>
            <w:vAlign w:val="center"/>
            <w:hideMark/>
          </w:tcPr>
          <w:p w:rsidR="00E829E1" w:rsidRPr="00E829E1" w:rsidRDefault="00E829E1" w:rsidP="00E829E1">
            <w:pPr>
              <w:spacing w:after="0" w:line="240" w:lineRule="auto"/>
              <w:rPr>
                <w:rFonts w:ascii="Arial Narrow" w:eastAsia="Times New Roman" w:hAnsi="Arial Narrow" w:cs="Times New Roman"/>
                <w:b/>
                <w:bCs/>
                <w:color w:val="000000"/>
                <w:sz w:val="16"/>
                <w:szCs w:val="16"/>
              </w:rPr>
            </w:pPr>
            <w:r w:rsidRPr="00E829E1">
              <w:rPr>
                <w:rFonts w:ascii="Arial Narrow" w:eastAsia="Times New Roman" w:hAnsi="Arial Narrow" w:cs="Times New Roman"/>
                <w:b/>
                <w:bCs/>
                <w:color w:val="000000"/>
                <w:sz w:val="16"/>
                <w:szCs w:val="16"/>
              </w:rPr>
              <w:t>ADaPT</w:t>
            </w:r>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STORET_NUMBER_CODES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STORET_NUMBER_CODES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TblWACS_STORET_Numbers</w:t>
            </w:r>
            <w:proofErr w:type="spellEnd"/>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353851" w:rsidP="00E829E1">
            <w:pPr>
              <w:spacing w:after="0" w:line="240" w:lineRule="auto"/>
              <w:rPr>
                <w:rFonts w:ascii="Arial Narrow" w:eastAsia="Times New Roman" w:hAnsi="Arial Narrow" w:cs="Times New Roman"/>
                <w:color w:val="000000"/>
                <w:sz w:val="16"/>
                <w:szCs w:val="16"/>
              </w:rPr>
            </w:pPr>
            <w:r>
              <w:rPr>
                <w:rFonts w:ascii="Arial Narrow" w:eastAsia="Times New Roman" w:hAnsi="Arial Narrow" w:cs="Times New Roman"/>
                <w:color w:val="000000"/>
                <w:sz w:val="16"/>
                <w:szCs w:val="16"/>
              </w:rPr>
              <w:t>MONITORING_TESTSITE</w:t>
            </w:r>
            <w:r w:rsidR="00E829E1" w:rsidRPr="00E829E1">
              <w:rPr>
                <w:rFonts w:ascii="Arial Narrow" w:eastAsia="Times New Roman" w:hAnsi="Arial Narrow" w:cs="Times New Roman"/>
                <w:color w:val="000000"/>
                <w:sz w:val="16"/>
                <w:szCs w:val="16"/>
              </w:rPr>
              <w:t>_RESULTS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MONITOR_WELL_TEST_RESULTS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 </w:t>
            </w:r>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353851" w:rsidP="00FA40B9">
            <w:pPr>
              <w:spacing w:after="0" w:line="240" w:lineRule="auto"/>
              <w:rPr>
                <w:rFonts w:ascii="Arial Narrow" w:eastAsia="Times New Roman" w:hAnsi="Arial Narrow" w:cs="Times New Roman"/>
                <w:color w:val="000000"/>
                <w:sz w:val="16"/>
                <w:szCs w:val="16"/>
              </w:rPr>
            </w:pPr>
            <w:r>
              <w:rPr>
                <w:rFonts w:ascii="Arial Narrow" w:eastAsia="Times New Roman" w:hAnsi="Arial Narrow" w:cs="Times New Roman"/>
                <w:color w:val="000000"/>
                <w:sz w:val="16"/>
                <w:szCs w:val="16"/>
              </w:rPr>
              <w:t>MONITORING_TESTSITE_</w:t>
            </w:r>
            <w:r w:rsidR="00FA40B9">
              <w:rPr>
                <w:rFonts w:ascii="Arial Narrow" w:eastAsia="Times New Roman" w:hAnsi="Arial Narrow" w:cs="Times New Roman"/>
                <w:color w:val="000000"/>
                <w:sz w:val="16"/>
                <w:szCs w:val="16"/>
              </w:rPr>
              <w:t>REPORTS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MONITOR_WELL_REPORTS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 </w:t>
            </w:r>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MONITORING_TESTSITE_INVENTORY</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MONITOR_WELL_TESTSITES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tblWacs_Svl_SolidWaste_Testsite_Inventory</w:t>
            </w:r>
            <w:proofErr w:type="spellEnd"/>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FACILITIES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WACS_FACILITIES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 </w:t>
            </w:r>
            <w:proofErr w:type="spellStart"/>
            <w:r w:rsidRPr="00E829E1">
              <w:rPr>
                <w:rFonts w:ascii="Arial Narrow" w:eastAsia="Times New Roman" w:hAnsi="Arial Narrow" w:cs="Times New Roman"/>
                <w:color w:val="000000"/>
                <w:sz w:val="16"/>
                <w:szCs w:val="16"/>
              </w:rPr>
              <w:t>tblSvlProject</w:t>
            </w:r>
            <w:proofErr w:type="spellEnd"/>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COUNTY_CODES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WACS_QUERY.COUNTY_CODES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 </w:t>
            </w:r>
          </w:p>
        </w:tc>
      </w:tr>
      <w:tr w:rsidR="00E829E1" w:rsidRPr="00E829E1" w:rsidTr="00E829E1">
        <w:trPr>
          <w:trHeight w:val="300"/>
        </w:trPr>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DATA_QUALIFIER_CODES</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TEST_REMARK_TYPE_CODES</w:t>
            </w:r>
          </w:p>
        </w:tc>
        <w:tc>
          <w:tcPr>
            <w:tcW w:w="960" w:type="dxa"/>
            <w:tcBorders>
              <w:top w:val="nil"/>
              <w:left w:val="nil"/>
              <w:bottom w:val="nil"/>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tblSvlLabQualifiers</w:t>
            </w:r>
            <w:proofErr w:type="spellEnd"/>
            <w:r w:rsidRPr="00E829E1">
              <w:rPr>
                <w:rFonts w:ascii="Arial Narrow" w:eastAsia="Times New Roman" w:hAnsi="Arial Narrow" w:cs="Times New Roman"/>
                <w:color w:val="000000"/>
                <w:sz w:val="16"/>
                <w:szCs w:val="16"/>
              </w:rPr>
              <w:t xml:space="preserve"> and </w:t>
            </w:r>
          </w:p>
        </w:tc>
      </w:tr>
      <w:tr w:rsidR="00E829E1" w:rsidRPr="00E829E1" w:rsidTr="00E829E1">
        <w:trPr>
          <w:trHeight w:val="315"/>
        </w:trPr>
        <w:tc>
          <w:tcPr>
            <w:tcW w:w="960" w:type="dxa"/>
            <w:vMerge/>
            <w:tcBorders>
              <w:top w:val="nil"/>
              <w:left w:val="single" w:sz="8" w:space="0" w:color="auto"/>
              <w:bottom w:val="single" w:sz="8" w:space="0" w:color="000000"/>
              <w:right w:val="single" w:sz="8" w:space="0" w:color="auto"/>
            </w:tcBorders>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
        </w:tc>
        <w:tc>
          <w:tcPr>
            <w:tcW w:w="960" w:type="dxa"/>
            <w:vMerge/>
            <w:tcBorders>
              <w:top w:val="nil"/>
              <w:left w:val="single" w:sz="8" w:space="0" w:color="auto"/>
              <w:bottom w:val="nil"/>
              <w:right w:val="single" w:sz="8" w:space="0" w:color="auto"/>
            </w:tcBorders>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tblWacs_Svl_Field_Parameter_Qualifier_Code</w:t>
            </w:r>
            <w:proofErr w:type="spellEnd"/>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REPORT_TYPE_CODES</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WACS_REPORT_TYPE_CODES</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tblWacs_Svl_Report_Type</w:t>
            </w:r>
            <w:proofErr w:type="spellEnd"/>
          </w:p>
        </w:tc>
      </w:tr>
      <w:tr w:rsidR="00E829E1" w:rsidRPr="00E829E1" w:rsidTr="00E829E1">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SAMPLE_TYPE_CODES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r w:rsidRPr="00E829E1">
              <w:rPr>
                <w:rFonts w:ascii="Arial Narrow" w:eastAsia="Times New Roman" w:hAnsi="Arial Narrow" w:cs="Times New Roman"/>
                <w:color w:val="000000"/>
                <w:sz w:val="16"/>
                <w:szCs w:val="16"/>
              </w:rPr>
              <w:t>WACS_SAMPLE_TYPE_CODES</w:t>
            </w:r>
          </w:p>
        </w:tc>
        <w:tc>
          <w:tcPr>
            <w:tcW w:w="960" w:type="dxa"/>
            <w:tcBorders>
              <w:top w:val="nil"/>
              <w:left w:val="nil"/>
              <w:bottom w:val="single" w:sz="8" w:space="0" w:color="auto"/>
              <w:right w:val="single" w:sz="8" w:space="0" w:color="auto"/>
            </w:tcBorders>
            <w:shd w:val="clear" w:color="auto" w:fill="auto"/>
            <w:noWrap/>
            <w:vAlign w:val="center"/>
            <w:hideMark/>
          </w:tcPr>
          <w:p w:rsidR="00E829E1" w:rsidRPr="00E829E1" w:rsidRDefault="00E829E1" w:rsidP="00E829E1">
            <w:pPr>
              <w:spacing w:after="0" w:line="240" w:lineRule="auto"/>
              <w:rPr>
                <w:rFonts w:ascii="Arial Narrow" w:eastAsia="Times New Roman" w:hAnsi="Arial Narrow" w:cs="Times New Roman"/>
                <w:color w:val="000000"/>
                <w:sz w:val="16"/>
                <w:szCs w:val="16"/>
              </w:rPr>
            </w:pPr>
            <w:proofErr w:type="spellStart"/>
            <w:r w:rsidRPr="00E829E1">
              <w:rPr>
                <w:rFonts w:ascii="Arial Narrow" w:eastAsia="Times New Roman" w:hAnsi="Arial Narrow" w:cs="Times New Roman"/>
                <w:color w:val="000000"/>
                <w:sz w:val="16"/>
                <w:szCs w:val="16"/>
              </w:rPr>
              <w:t>tblWacs_Svl_Sample_Type_Codes</w:t>
            </w:r>
            <w:proofErr w:type="spellEnd"/>
          </w:p>
        </w:tc>
      </w:tr>
    </w:tbl>
    <w:p w:rsidR="00E829E1" w:rsidRDefault="00E829E1" w:rsidP="005F6DC3">
      <w:pPr>
        <w:pStyle w:val="NoSpacing"/>
      </w:pPr>
    </w:p>
    <w:p w:rsidR="00E829E1" w:rsidRDefault="00AF2B25" w:rsidP="005F6DC3">
      <w:pPr>
        <w:pStyle w:val="NoSpacing"/>
      </w:pPr>
      <w:r>
        <w:t>HWC-Field Tables</w:t>
      </w:r>
    </w:p>
    <w:p w:rsidR="00AF2B25" w:rsidRDefault="00AF2B25" w:rsidP="005F6DC3">
      <w:pPr>
        <w:pStyle w:val="NoSpacing"/>
      </w:pPr>
    </w:p>
    <w:p w:rsidR="005F6DC3" w:rsidRDefault="005F6DC3" w:rsidP="003F77BF">
      <w:pPr>
        <w:pStyle w:val="NoSpacing"/>
      </w:pPr>
      <w:r>
        <w:t>T_ANALYTICAL – 99.94% converted only surrogates and bogus analytes are not converted</w:t>
      </w:r>
    </w:p>
    <w:p w:rsidR="005F6DC3" w:rsidRDefault="005F6DC3" w:rsidP="003F77BF">
      <w:pPr>
        <w:pStyle w:val="NoSpacing"/>
      </w:pPr>
      <w:r>
        <w:t xml:space="preserve">T_AQUIFER has only 609 records, don’t </w:t>
      </w:r>
      <w:r w:rsidR="00673FBB">
        <w:t xml:space="preserve">convert/move to REDD. </w:t>
      </w:r>
    </w:p>
    <w:p w:rsidR="005F6DC3" w:rsidRDefault="005F6DC3" w:rsidP="003F77BF">
      <w:pPr>
        <w:pStyle w:val="NoSpacing"/>
      </w:pPr>
      <w:r>
        <w:t>T_FIELDTEST – converted</w:t>
      </w:r>
    </w:p>
    <w:p w:rsidR="005F6DC3" w:rsidRDefault="005F6DC3" w:rsidP="003F77BF">
      <w:pPr>
        <w:pStyle w:val="NoSpacing"/>
        <w:rPr>
          <w:b/>
          <w:bCs/>
          <w:sz w:val="20"/>
          <w:szCs w:val="20"/>
        </w:rPr>
      </w:pPr>
      <w:r>
        <w:t xml:space="preserve">T_SAM_LOCATION – </w:t>
      </w:r>
      <w:r w:rsidR="003F77BF">
        <w:rPr>
          <w:b/>
          <w:bCs/>
          <w:sz w:val="20"/>
          <w:szCs w:val="20"/>
        </w:rPr>
        <w:t xml:space="preserve">This table identifies the physical locations on the surface of the earth where samples have been </w:t>
      </w:r>
      <w:proofErr w:type="gramStart"/>
      <w:r w:rsidR="003F77BF">
        <w:rPr>
          <w:b/>
          <w:bCs/>
          <w:sz w:val="20"/>
          <w:szCs w:val="20"/>
        </w:rPr>
        <w:t>collected,.</w:t>
      </w:r>
      <w:proofErr w:type="gramEnd"/>
    </w:p>
    <w:p w:rsidR="00C87AAA" w:rsidRPr="00C87AAA" w:rsidRDefault="00C87AAA" w:rsidP="003F77BF">
      <w:pPr>
        <w:pStyle w:val="NoSpacing"/>
      </w:pPr>
      <w:r>
        <w:rPr>
          <w:b/>
          <w:bCs/>
          <w:sz w:val="20"/>
          <w:szCs w:val="20"/>
        </w:rPr>
        <w:tab/>
        <w:t xml:space="preserve">    </w:t>
      </w:r>
      <w:r w:rsidRPr="00C87AAA">
        <w:rPr>
          <w:bCs/>
          <w:sz w:val="20"/>
          <w:szCs w:val="20"/>
        </w:rPr>
        <w:t>32110 records</w:t>
      </w:r>
      <w:r>
        <w:rPr>
          <w:bCs/>
          <w:sz w:val="20"/>
          <w:szCs w:val="20"/>
        </w:rPr>
        <w:t>, redundant (except for Temporary samples?)</w:t>
      </w:r>
    </w:p>
    <w:p w:rsidR="00673FBB" w:rsidRDefault="005F6DC3" w:rsidP="003F77BF">
      <w:pPr>
        <w:pStyle w:val="NoSpacing"/>
      </w:pPr>
      <w:r>
        <w:t>T_SAMPLE –</w:t>
      </w:r>
      <w:r w:rsidR="000A4B95">
        <w:t xml:space="preserve"> </w:t>
      </w:r>
      <w:r w:rsidR="004801F5">
        <w:t xml:space="preserve">used in conjunction with </w:t>
      </w:r>
      <w:proofErr w:type="spellStart"/>
      <w:r w:rsidR="004801F5">
        <w:t>T_ANALYTical</w:t>
      </w:r>
      <w:proofErr w:type="spellEnd"/>
      <w:r w:rsidR="004801F5">
        <w:t>, TT_FIELDTEST and T_WATER_LEVEL tables.</w:t>
      </w:r>
    </w:p>
    <w:p w:rsidR="004801F5" w:rsidRDefault="004801F5" w:rsidP="004801F5">
      <w:pPr>
        <w:pStyle w:val="NoSpacing"/>
      </w:pPr>
      <w:r>
        <w:tab/>
        <w:t xml:space="preserve">          104516 records</w:t>
      </w:r>
    </w:p>
    <w:p w:rsidR="004801F5" w:rsidRDefault="000A4B95" w:rsidP="003F77BF">
      <w:pPr>
        <w:pStyle w:val="NoSpacing"/>
      </w:pPr>
      <w:r>
        <w:tab/>
        <w:t xml:space="preserve">          </w:t>
      </w:r>
      <w:r w:rsidR="004801F5">
        <w:t xml:space="preserve">Similar to </w:t>
      </w:r>
      <w:r w:rsidR="004801F5" w:rsidRPr="004801F5">
        <w:t>MONITOR_WELL_REPORTS</w:t>
      </w:r>
    </w:p>
    <w:p w:rsidR="005F6DC3" w:rsidRDefault="005F6DC3" w:rsidP="003F77BF">
      <w:pPr>
        <w:pStyle w:val="NoSpacing"/>
      </w:pPr>
      <w:r>
        <w:t xml:space="preserve">T_WATER_LEVEL – </w:t>
      </w:r>
      <w:r w:rsidR="00673FBB">
        <w:t>converted</w:t>
      </w:r>
    </w:p>
    <w:p w:rsidR="005F6DC3" w:rsidRDefault="005F6DC3" w:rsidP="003F77BF">
      <w:pPr>
        <w:pStyle w:val="NoSpacing"/>
      </w:pPr>
      <w:r>
        <w:t>T_WELL</w:t>
      </w:r>
      <w:r w:rsidR="00673FBB">
        <w:t xml:space="preserve"> - </w:t>
      </w:r>
      <w:r w:rsidR="003F77BF">
        <w:rPr>
          <w:b/>
          <w:bCs/>
          <w:sz w:val="20"/>
          <w:szCs w:val="20"/>
        </w:rPr>
        <w:t xml:space="preserve">This table identifies and describes each well.  It also includes any aquifer parameters collected at that well. </w:t>
      </w:r>
      <w:r w:rsidR="003F77BF">
        <w:t xml:space="preserve"> </w:t>
      </w:r>
    </w:p>
    <w:p w:rsidR="00C87AAA" w:rsidRDefault="00C87AAA" w:rsidP="003F77BF">
      <w:pPr>
        <w:pStyle w:val="NoSpacing"/>
      </w:pPr>
      <w:r>
        <w:tab/>
        <w:t xml:space="preserve">     8605 records</w:t>
      </w:r>
    </w:p>
    <w:p w:rsidR="003F77BF" w:rsidRDefault="003F77BF" w:rsidP="003F77BF">
      <w:pPr>
        <w:pStyle w:val="NoSpacing"/>
      </w:pPr>
      <w:r>
        <w:tab/>
        <w:t xml:space="preserve">    Similar to </w:t>
      </w:r>
      <w:r w:rsidRPr="003F77BF">
        <w:t>MONITOR_WELL_TESTSITES</w:t>
      </w:r>
      <w:r w:rsidR="00304A17">
        <w:t>, does not include “Temporary” samples (DP, SS, AIR, etc).</w:t>
      </w:r>
    </w:p>
    <w:p w:rsidR="003F77BF" w:rsidRDefault="003F77BF" w:rsidP="003F77BF">
      <w:pPr>
        <w:pStyle w:val="NoSpacing"/>
      </w:pPr>
    </w:p>
    <w:p w:rsidR="005F6DC3" w:rsidRDefault="006C426B">
      <w:r>
        <w:t>John Sykes stated that T_SAM_LOCATION and T_WELL (Table 1 and 2) are updated only when a new Monitoring well is sampled.</w:t>
      </w:r>
      <w:r w:rsidR="003D0427">
        <w:t xml:space="preserve">  HWC</w:t>
      </w:r>
      <w:r w:rsidR="00ED6CA6">
        <w:t>-</w:t>
      </w:r>
      <w:r w:rsidR="003D0427">
        <w:t>Field uses single POINT_IDs for “</w:t>
      </w:r>
      <w:proofErr w:type="spellStart"/>
      <w:r w:rsidR="003D0427">
        <w:t>Testsite_NAMES</w:t>
      </w:r>
      <w:proofErr w:type="spellEnd"/>
      <w:r w:rsidR="003D0427">
        <w:t xml:space="preserve">”, this field includes both </w:t>
      </w:r>
      <w:proofErr w:type="spellStart"/>
      <w:proofErr w:type="gramStart"/>
      <w:r w:rsidR="003D0427">
        <w:t>a</w:t>
      </w:r>
      <w:proofErr w:type="spellEnd"/>
      <w:proofErr w:type="gramEnd"/>
      <w:r w:rsidR="003D0427">
        <w:t xml:space="preserve"> Alpha code for the Type of Sample/sampling point and a number.  We need to split out the </w:t>
      </w:r>
      <w:proofErr w:type="spellStart"/>
      <w:r w:rsidR="003D0427">
        <w:t>SampleType</w:t>
      </w:r>
      <w:proofErr w:type="spellEnd"/>
      <w:r w:rsidR="003D0427">
        <w:t>/</w:t>
      </w:r>
      <w:proofErr w:type="spellStart"/>
      <w:r w:rsidR="003D0427">
        <w:t>SampleLocation</w:t>
      </w:r>
      <w:proofErr w:type="spellEnd"/>
      <w:r w:rsidR="003D0427">
        <w:t xml:space="preserve"> code into another column. We also need to add a “</w:t>
      </w:r>
      <w:proofErr w:type="spellStart"/>
      <w:r w:rsidR="003D0427">
        <w:t>Testsite_ID</w:t>
      </w:r>
      <w:proofErr w:type="spellEnd"/>
      <w:r w:rsidR="003D0427">
        <w:t xml:space="preserve">” column.  Now HWC field verifies each sample by collecting the </w:t>
      </w:r>
      <w:proofErr w:type="spellStart"/>
      <w:r w:rsidR="003D0427">
        <w:t>latt</w:t>
      </w:r>
      <w:proofErr w:type="spellEnd"/>
      <w:r w:rsidR="003D0427">
        <w:t>-long for ea</w:t>
      </w:r>
      <w:r w:rsidR="00ED6CA6">
        <w:t xml:space="preserve">ch location which is redundant.  Instead we will verify each sample point by using the Monitoring Site ID. This is simpler </w:t>
      </w:r>
      <w:proofErr w:type="spellStart"/>
      <w:r w:rsidR="00ED6CA6">
        <w:t>dta</w:t>
      </w:r>
      <w:proofErr w:type="spellEnd"/>
      <w:r w:rsidR="00ED6CA6">
        <w:t xml:space="preserve"> entry for ADaPT.</w:t>
      </w:r>
    </w:p>
    <w:p w:rsidR="006C426B" w:rsidRDefault="003D0427" w:rsidP="003D0427">
      <w:pPr>
        <w:pStyle w:val="NoSpacing"/>
      </w:pPr>
      <w:proofErr w:type="spellStart"/>
      <w:r>
        <w:t>Source_ID</w:t>
      </w:r>
      <w:proofErr w:type="spellEnd"/>
      <w:r>
        <w:tab/>
        <w:t xml:space="preserve">ProjectNumber, </w:t>
      </w:r>
      <w:proofErr w:type="spellStart"/>
      <w:r>
        <w:t>Facility_ID</w:t>
      </w:r>
      <w:proofErr w:type="spellEnd"/>
    </w:p>
    <w:p w:rsidR="003D0427" w:rsidRDefault="003D0427" w:rsidP="003D0427">
      <w:pPr>
        <w:pStyle w:val="NoSpacing"/>
      </w:pPr>
      <w:proofErr w:type="spellStart"/>
      <w:r>
        <w:t>Point_ID</w:t>
      </w:r>
      <w:proofErr w:type="spellEnd"/>
      <w:r>
        <w:tab/>
        <w:t xml:space="preserve">ClientSampleID, </w:t>
      </w:r>
      <w:proofErr w:type="spellStart"/>
      <w:r>
        <w:t>Monitoirng_Testsite_Name</w:t>
      </w:r>
      <w:proofErr w:type="spellEnd"/>
    </w:p>
    <w:p w:rsidR="003D0427" w:rsidRDefault="003D0427" w:rsidP="003D0427">
      <w:pPr>
        <w:pStyle w:val="NoSpacing"/>
      </w:pPr>
      <w:r>
        <w:t>SAMPLE_ID</w:t>
      </w:r>
      <w:r>
        <w:tab/>
      </w:r>
      <w:r w:rsidR="00742EB0" w:rsidRPr="00742EB0">
        <w:t>MONITOR_WELL_REPORT_ID</w:t>
      </w:r>
    </w:p>
    <w:p w:rsidR="00742EB0" w:rsidRDefault="00742EB0" w:rsidP="003D0427">
      <w:pPr>
        <w:pStyle w:val="NoSpacing"/>
      </w:pPr>
      <w:r>
        <w:tab/>
      </w:r>
      <w:r>
        <w:tab/>
        <w:t xml:space="preserve">Combination of </w:t>
      </w:r>
      <w:proofErr w:type="spellStart"/>
      <w:r>
        <w:t>Point_ID</w:t>
      </w:r>
      <w:proofErr w:type="spellEnd"/>
      <w:r>
        <w:t xml:space="preserve"> and Date_Sampled</w:t>
      </w:r>
    </w:p>
    <w:p w:rsidR="000D56E6" w:rsidRDefault="000D56E6"/>
    <w:p w:rsidR="003D0427" w:rsidRDefault="000D56E6">
      <w:r>
        <w:t>Converting T_ANALYTICAL data to REDD</w:t>
      </w:r>
    </w:p>
    <w:p w:rsidR="00884822" w:rsidRDefault="003F6F5D" w:rsidP="002E3F9F">
      <w:pPr>
        <w:pStyle w:val="NoSpacing"/>
      </w:pPr>
      <w:r>
        <w:t xml:space="preserve">I linked he </w:t>
      </w:r>
      <w:proofErr w:type="spellStart"/>
      <w:r>
        <w:t>T_Analyte</w:t>
      </w:r>
      <w:proofErr w:type="spellEnd"/>
      <w:r>
        <w:t xml:space="preserve"> and </w:t>
      </w:r>
      <w:proofErr w:type="spellStart"/>
      <w:r>
        <w:t>T_Sample</w:t>
      </w:r>
      <w:proofErr w:type="spellEnd"/>
      <w:r>
        <w:t xml:space="preserve"> tables to determine the unique combination of the following fields. </w:t>
      </w:r>
    </w:p>
    <w:p w:rsidR="003F6F5D" w:rsidRDefault="003F6F5D" w:rsidP="002E3F9F">
      <w:pPr>
        <w:pStyle w:val="NoSpacing"/>
        <w:ind w:firstLine="720"/>
      </w:pPr>
      <w:r>
        <w:lastRenderedPageBreak/>
        <w:t>CAS</w:t>
      </w:r>
    </w:p>
    <w:p w:rsidR="003F6F5D" w:rsidRDefault="003F6F5D" w:rsidP="002E3F9F">
      <w:pPr>
        <w:pStyle w:val="NoSpacing"/>
        <w:ind w:firstLine="720"/>
      </w:pPr>
      <w:r>
        <w:t>ANALYTE</w:t>
      </w:r>
    </w:p>
    <w:p w:rsidR="003F6F5D" w:rsidRDefault="006D44CB" w:rsidP="002E3F9F">
      <w:pPr>
        <w:pStyle w:val="NoSpacing"/>
        <w:ind w:firstLine="720"/>
      </w:pPr>
      <w:r>
        <w:t>UNITS</w:t>
      </w:r>
    </w:p>
    <w:p w:rsidR="006D44CB" w:rsidRDefault="006D44CB" w:rsidP="002E3F9F">
      <w:pPr>
        <w:pStyle w:val="NoSpacing"/>
        <w:ind w:firstLine="720"/>
      </w:pPr>
      <w:r>
        <w:t>MATRIX</w:t>
      </w:r>
    </w:p>
    <w:p w:rsidR="007E0BBC" w:rsidRDefault="006D44CB" w:rsidP="006D44CB">
      <w:pPr>
        <w:rPr>
          <w:rFonts w:ascii="Arial" w:hAnsi="Arial" w:cs="Arial"/>
        </w:rPr>
      </w:pPr>
      <w:r>
        <w:t xml:space="preserve">I have created a simple translation table for the matrix conversion. </w:t>
      </w:r>
      <w:r w:rsidR="007E0BBC">
        <w:rPr>
          <w:rFonts w:ascii="Arial" w:hAnsi="Arial" w:cs="Arial"/>
        </w:rPr>
        <w:t xml:space="preserve">STORET does not distinguish (by Matrix) the difference between Soil and Sediment Samples. This is often indicated in the STORET code Analyte field. If we have Percent Moisture we can determine if the sample is sediment.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54"/>
        <w:gridCol w:w="2291"/>
      </w:tblGrid>
      <w:tr w:rsidR="007E0BBC" w:rsidRPr="007E0BBC" w:rsidTr="007E0BBC">
        <w:trPr>
          <w:tblHeader/>
          <w:tblCellSpacing w:w="0" w:type="dxa"/>
        </w:trPr>
        <w:tc>
          <w:tcPr>
            <w:tcW w:w="0" w:type="auto"/>
            <w:gridSpan w:val="2"/>
            <w:tcBorders>
              <w:top w:val="nil"/>
              <w:left w:val="nil"/>
              <w:bottom w:val="nil"/>
              <w:right w:val="nil"/>
            </w:tcBorders>
            <w:shd w:val="clear" w:color="auto" w:fill="C0C0C0"/>
            <w:vAlign w:val="center"/>
            <w:hideMark/>
          </w:tcPr>
          <w:p w:rsidR="007E0BBC" w:rsidRPr="007E0BBC" w:rsidRDefault="007E0BBC" w:rsidP="007E0BBC">
            <w:pPr>
              <w:spacing w:after="0" w:line="240" w:lineRule="auto"/>
              <w:jc w:val="center"/>
              <w:rPr>
                <w:rFonts w:ascii="Calibri" w:eastAsia="Times New Roman" w:hAnsi="Calibri" w:cs="Times New Roman"/>
                <w:color w:val="000000"/>
                <w:sz w:val="24"/>
                <w:szCs w:val="24"/>
              </w:rPr>
            </w:pPr>
            <w:r w:rsidRPr="007E0BBC">
              <w:rPr>
                <w:rFonts w:ascii="Calibri" w:eastAsia="Times New Roman" w:hAnsi="Calibri" w:cs="Times New Roman"/>
                <w:b/>
                <w:bCs/>
                <w:color w:val="000000"/>
                <w:sz w:val="24"/>
                <w:szCs w:val="24"/>
              </w:rPr>
              <w:t>Matrix Conversion HWC-Field to REDD</w:t>
            </w:r>
          </w:p>
        </w:tc>
      </w:tr>
      <w:tr w:rsidR="007E0BBC" w:rsidRPr="007E0BBC" w:rsidTr="007E0BBC">
        <w:trPr>
          <w:tblHeade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7E0BBC" w:rsidRPr="007E0BBC" w:rsidRDefault="007E0BBC" w:rsidP="007E0BBC">
            <w:pPr>
              <w:spacing w:after="0" w:line="240" w:lineRule="auto"/>
              <w:jc w:val="center"/>
              <w:rPr>
                <w:rFonts w:ascii="Times New Roman" w:eastAsia="Times New Roman" w:hAnsi="Times New Roman" w:cs="Times New Roman"/>
                <w:b/>
                <w:bCs/>
                <w:sz w:val="24"/>
                <w:szCs w:val="24"/>
              </w:rPr>
            </w:pPr>
            <w:r w:rsidRPr="007E0BBC">
              <w:rPr>
                <w:rFonts w:ascii="Calibri" w:eastAsia="Times New Roman" w:hAnsi="Calibri" w:cs="Times New Roman"/>
                <w:b/>
                <w:bCs/>
                <w:color w:val="000000"/>
              </w:rPr>
              <w:t>MATRIX</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7E0BBC" w:rsidRPr="007E0BBC" w:rsidRDefault="007E0BBC" w:rsidP="007E0BBC">
            <w:pPr>
              <w:spacing w:after="0" w:line="240" w:lineRule="auto"/>
              <w:jc w:val="center"/>
              <w:rPr>
                <w:rFonts w:ascii="Times New Roman" w:eastAsia="Times New Roman" w:hAnsi="Times New Roman" w:cs="Times New Roman"/>
                <w:b/>
                <w:bCs/>
                <w:sz w:val="24"/>
                <w:szCs w:val="24"/>
              </w:rPr>
            </w:pPr>
            <w:proofErr w:type="spellStart"/>
            <w:r w:rsidRPr="007E0BBC">
              <w:rPr>
                <w:rFonts w:ascii="Calibri" w:eastAsia="Times New Roman" w:hAnsi="Calibri" w:cs="Times New Roman"/>
                <w:b/>
                <w:bCs/>
                <w:color w:val="000000"/>
              </w:rPr>
              <w:t>STORET_Matrix</w:t>
            </w:r>
            <w:proofErr w:type="spellEnd"/>
          </w:p>
        </w:tc>
      </w:tr>
      <w:tr w:rsidR="007E0BBC" w:rsidRPr="007E0BBC" w:rsidTr="007E0BB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LIQUID</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W</w:t>
            </w:r>
          </w:p>
        </w:tc>
      </w:tr>
      <w:tr w:rsidR="007E0BBC" w:rsidRPr="007E0BBC" w:rsidTr="007E0BB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SOLID</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S</w:t>
            </w:r>
          </w:p>
        </w:tc>
      </w:tr>
      <w:tr w:rsidR="007E0BBC" w:rsidRPr="007E0BBC" w:rsidTr="007E0BB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GAS</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A</w:t>
            </w:r>
          </w:p>
        </w:tc>
      </w:tr>
      <w:tr w:rsidR="007E0BBC" w:rsidRPr="007E0BBC" w:rsidTr="007E0BB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SEDIMENT</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7E0BBC" w:rsidRPr="007E0BBC" w:rsidRDefault="007E0BBC" w:rsidP="007E0BBC">
            <w:pPr>
              <w:spacing w:after="0" w:line="240" w:lineRule="auto"/>
              <w:rPr>
                <w:rFonts w:ascii="Times New Roman" w:eastAsia="Times New Roman" w:hAnsi="Times New Roman" w:cs="Times New Roman"/>
                <w:sz w:val="24"/>
                <w:szCs w:val="24"/>
              </w:rPr>
            </w:pPr>
            <w:r w:rsidRPr="007E0BBC">
              <w:rPr>
                <w:rFonts w:ascii="Calibri" w:eastAsia="Times New Roman" w:hAnsi="Calibri" w:cs="Times New Roman"/>
                <w:color w:val="000000"/>
              </w:rPr>
              <w:t>S</w:t>
            </w:r>
          </w:p>
        </w:tc>
      </w:tr>
    </w:tbl>
    <w:p w:rsidR="007E0BBC" w:rsidRDefault="007E0BBC" w:rsidP="006A6508">
      <w:pPr>
        <w:autoSpaceDE w:val="0"/>
        <w:autoSpaceDN w:val="0"/>
        <w:adjustRightInd w:val="0"/>
        <w:spacing w:after="0" w:line="240" w:lineRule="auto"/>
        <w:rPr>
          <w:rFonts w:ascii="Arial" w:hAnsi="Arial" w:cs="Arial"/>
        </w:rPr>
      </w:pPr>
    </w:p>
    <w:p w:rsidR="007E0BBC" w:rsidRDefault="007E0BBC" w:rsidP="007E0BBC">
      <w:pPr>
        <w:autoSpaceDE w:val="0"/>
        <w:autoSpaceDN w:val="0"/>
        <w:adjustRightInd w:val="0"/>
        <w:spacing w:after="0" w:line="240" w:lineRule="auto"/>
        <w:rPr>
          <w:rFonts w:ascii="Arial" w:hAnsi="Arial" w:cs="Arial"/>
        </w:rPr>
      </w:pPr>
      <w:r>
        <w:rPr>
          <w:rFonts w:ascii="Arial" w:hAnsi="Arial" w:cs="Arial"/>
        </w:rPr>
        <w:t xml:space="preserve">Also in HWC-Field the matrix is indicated in the T_SAMPLE (HWCFIELD) table. This is similar to WACS where the Testsite Inventory table indicates the type of sample collected. </w:t>
      </w:r>
    </w:p>
    <w:p w:rsidR="007E0BBC" w:rsidRDefault="007E0BBC" w:rsidP="006A6508">
      <w:pPr>
        <w:autoSpaceDE w:val="0"/>
        <w:autoSpaceDN w:val="0"/>
        <w:adjustRightInd w:val="0"/>
        <w:spacing w:after="0" w:line="240" w:lineRule="auto"/>
        <w:rPr>
          <w:rFonts w:ascii="Arial" w:hAnsi="Arial" w:cs="Arial"/>
        </w:rPr>
      </w:pPr>
    </w:p>
    <w:tbl>
      <w:tblPr>
        <w:tblW w:w="4820" w:type="dxa"/>
        <w:tblInd w:w="-5" w:type="dxa"/>
        <w:tblLook w:val="04A0" w:firstRow="1" w:lastRow="0" w:firstColumn="1" w:lastColumn="0" w:noHBand="0" w:noVBand="1"/>
      </w:tblPr>
      <w:tblGrid>
        <w:gridCol w:w="2140"/>
        <w:gridCol w:w="2680"/>
      </w:tblGrid>
      <w:tr w:rsidR="003F6F5D" w:rsidRPr="003F6F5D" w:rsidTr="003F6F5D">
        <w:trPr>
          <w:trHeight w:val="300"/>
        </w:trPr>
        <w:tc>
          <w:tcPr>
            <w:tcW w:w="2140" w:type="dxa"/>
            <w:tcBorders>
              <w:top w:val="single" w:sz="4" w:space="0" w:color="auto"/>
              <w:left w:val="single" w:sz="4" w:space="0" w:color="auto"/>
              <w:bottom w:val="single" w:sz="4" w:space="0" w:color="auto"/>
              <w:right w:val="single" w:sz="4" w:space="0" w:color="auto"/>
            </w:tcBorders>
            <w:shd w:val="clear" w:color="000000" w:fill="D9D9D9"/>
            <w:noWrap/>
            <w:hideMark/>
          </w:tcPr>
          <w:p w:rsidR="003F6F5D" w:rsidRPr="003F6F5D" w:rsidRDefault="003F6F5D" w:rsidP="003F6F5D">
            <w:pPr>
              <w:spacing w:after="0" w:line="240" w:lineRule="auto"/>
              <w:rPr>
                <w:rFonts w:ascii="Arial Narrow" w:eastAsia="Times New Roman" w:hAnsi="Arial Narrow" w:cs="Times New Roman"/>
                <w:b/>
                <w:bCs/>
                <w:color w:val="000000"/>
                <w:sz w:val="16"/>
                <w:szCs w:val="16"/>
              </w:rPr>
            </w:pPr>
            <w:r w:rsidRPr="003F6F5D">
              <w:rPr>
                <w:rFonts w:ascii="Arial Narrow" w:eastAsia="Times New Roman" w:hAnsi="Arial Narrow" w:cs="Times New Roman"/>
                <w:b/>
                <w:bCs/>
                <w:color w:val="000000"/>
                <w:sz w:val="16"/>
                <w:szCs w:val="16"/>
              </w:rPr>
              <w:t>WATER_CLASSIFICATION_ID</w:t>
            </w:r>
          </w:p>
        </w:tc>
        <w:tc>
          <w:tcPr>
            <w:tcW w:w="2680" w:type="dxa"/>
            <w:tcBorders>
              <w:top w:val="single" w:sz="4" w:space="0" w:color="auto"/>
              <w:left w:val="nil"/>
              <w:bottom w:val="single" w:sz="4" w:space="0" w:color="auto"/>
              <w:right w:val="single" w:sz="4" w:space="0" w:color="auto"/>
            </w:tcBorders>
            <w:shd w:val="clear" w:color="000000" w:fill="D9D9D9"/>
            <w:noWrap/>
            <w:hideMark/>
          </w:tcPr>
          <w:p w:rsidR="003F6F5D" w:rsidRPr="003F6F5D" w:rsidRDefault="003F6F5D" w:rsidP="003F6F5D">
            <w:pPr>
              <w:spacing w:after="0" w:line="240" w:lineRule="auto"/>
              <w:rPr>
                <w:rFonts w:ascii="Arial Narrow" w:eastAsia="Times New Roman" w:hAnsi="Arial Narrow" w:cs="Times New Roman"/>
                <w:b/>
                <w:bCs/>
                <w:color w:val="000000"/>
                <w:sz w:val="16"/>
                <w:szCs w:val="16"/>
              </w:rPr>
            </w:pPr>
            <w:r w:rsidRPr="003F6F5D">
              <w:rPr>
                <w:rFonts w:ascii="Arial Narrow" w:eastAsia="Times New Roman" w:hAnsi="Arial Narrow" w:cs="Times New Roman"/>
                <w:b/>
                <w:bCs/>
                <w:color w:val="000000"/>
                <w:sz w:val="16"/>
                <w:szCs w:val="16"/>
              </w:rPr>
              <w:t>DESCRIPTION</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G-I</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GROUNDWATER CLASS 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G-II</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GROUNDWATER CLASS II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G-III</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GROUNDWATER CLASS III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G-IV</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GROUNDWATER CLASS IV</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SW-I</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CLASS 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SW-II</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CLASS II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SW-IIIF</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(FRESH) CLASS III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SW-IIIM</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(MARINE) CLASS III</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SW-IV</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CLASS IV</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SW-V</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SURFACE WATER CLASS V</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LC</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LEACHATE</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SOIL OR SEDIMENT</w:t>
            </w:r>
          </w:p>
        </w:tc>
      </w:tr>
      <w:tr w:rsidR="003F6F5D" w:rsidRPr="003F6F5D" w:rsidTr="003F6F5D">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GC</w:t>
            </w:r>
          </w:p>
        </w:tc>
        <w:tc>
          <w:tcPr>
            <w:tcW w:w="2680" w:type="dxa"/>
            <w:tcBorders>
              <w:top w:val="nil"/>
              <w:left w:val="nil"/>
              <w:bottom w:val="single" w:sz="4" w:space="0" w:color="auto"/>
              <w:right w:val="single" w:sz="4" w:space="0" w:color="auto"/>
            </w:tcBorders>
            <w:shd w:val="clear" w:color="auto" w:fill="auto"/>
            <w:noWrap/>
            <w:hideMark/>
          </w:tcPr>
          <w:p w:rsidR="003F6F5D" w:rsidRPr="003F6F5D" w:rsidRDefault="003F6F5D" w:rsidP="003F6F5D">
            <w:pPr>
              <w:spacing w:after="0" w:line="240" w:lineRule="auto"/>
              <w:rPr>
                <w:rFonts w:ascii="Arial Narrow" w:eastAsia="Times New Roman" w:hAnsi="Arial Narrow" w:cs="Times New Roman"/>
                <w:color w:val="000000"/>
                <w:sz w:val="16"/>
                <w:szCs w:val="16"/>
              </w:rPr>
            </w:pPr>
            <w:r w:rsidRPr="003F6F5D">
              <w:rPr>
                <w:rFonts w:ascii="Arial Narrow" w:eastAsia="Times New Roman" w:hAnsi="Arial Narrow" w:cs="Times New Roman"/>
                <w:color w:val="000000"/>
                <w:sz w:val="16"/>
                <w:szCs w:val="16"/>
              </w:rPr>
              <w:t>GAS CONDENSATE</w:t>
            </w:r>
          </w:p>
        </w:tc>
      </w:tr>
    </w:tbl>
    <w:p w:rsidR="007E0BBC" w:rsidRDefault="007E0BBC" w:rsidP="006A6508">
      <w:pPr>
        <w:autoSpaceDE w:val="0"/>
        <w:autoSpaceDN w:val="0"/>
        <w:adjustRightInd w:val="0"/>
        <w:spacing w:after="0" w:line="240" w:lineRule="auto"/>
        <w:rPr>
          <w:rFonts w:ascii="Arial" w:hAnsi="Arial" w:cs="Arial"/>
        </w:rPr>
      </w:pPr>
    </w:p>
    <w:p w:rsidR="003F6F5D" w:rsidRDefault="003F6F5D" w:rsidP="006A6508">
      <w:pPr>
        <w:autoSpaceDE w:val="0"/>
        <w:autoSpaceDN w:val="0"/>
        <w:adjustRightInd w:val="0"/>
        <w:spacing w:after="0" w:line="240" w:lineRule="auto"/>
        <w:rPr>
          <w:rFonts w:ascii="Arial" w:hAnsi="Arial" w:cs="Arial"/>
        </w:rPr>
      </w:pPr>
      <w:r>
        <w:rPr>
          <w:rFonts w:ascii="Arial" w:hAnsi="Arial" w:cs="Arial"/>
        </w:rPr>
        <w:t xml:space="preserve">The entries in this table determine what 62-777 Criteria or RCRA Criteria are applied in the </w:t>
      </w:r>
      <w:proofErr w:type="spellStart"/>
      <w:r>
        <w:rPr>
          <w:rFonts w:ascii="Arial" w:hAnsi="Arial" w:cs="Arial"/>
        </w:rPr>
        <w:t>Exceedence</w:t>
      </w:r>
      <w:proofErr w:type="spellEnd"/>
      <w:r>
        <w:rPr>
          <w:rFonts w:ascii="Arial" w:hAnsi="Arial" w:cs="Arial"/>
        </w:rPr>
        <w:t xml:space="preserve"> ASP repots. We need to further </w:t>
      </w:r>
      <w:r w:rsidRPr="003F6F5D">
        <w:rPr>
          <w:rFonts w:ascii="Arial" w:hAnsi="Arial" w:cs="Arial"/>
        </w:rPr>
        <w:t>delineate</w:t>
      </w:r>
      <w:r>
        <w:rPr>
          <w:rFonts w:ascii="Arial" w:hAnsi="Arial" w:cs="Arial"/>
        </w:rPr>
        <w:t xml:space="preserve"> the “S” code (for </w:t>
      </w:r>
      <w:proofErr w:type="spellStart"/>
      <w:r>
        <w:rPr>
          <w:rFonts w:ascii="Arial" w:hAnsi="Arial" w:cs="Arial"/>
        </w:rPr>
        <w:t>Soilds</w:t>
      </w:r>
      <w:proofErr w:type="spellEnd"/>
      <w:r>
        <w:rPr>
          <w:rFonts w:ascii="Arial" w:hAnsi="Arial" w:cs="Arial"/>
        </w:rPr>
        <w:t xml:space="preserve"> 62-777 Table II, and for Sediment criteria). In REDD if we use a similar code table for each permanent Monitoring Site and determine this code for each temporary sample collected; the Exceedance Report will automatically apply the appropriate criteria to the data.</w:t>
      </w:r>
    </w:p>
    <w:p w:rsidR="006D44CB" w:rsidRDefault="006D44CB" w:rsidP="006A6508">
      <w:pPr>
        <w:autoSpaceDE w:val="0"/>
        <w:autoSpaceDN w:val="0"/>
        <w:adjustRightInd w:val="0"/>
        <w:spacing w:after="0" w:line="240" w:lineRule="auto"/>
        <w:rPr>
          <w:rFonts w:ascii="Arial" w:hAnsi="Arial" w:cs="Arial"/>
        </w:rPr>
      </w:pPr>
    </w:p>
    <w:p w:rsidR="00C96FE4" w:rsidRDefault="00291579" w:rsidP="006A6508">
      <w:pPr>
        <w:autoSpaceDE w:val="0"/>
        <w:autoSpaceDN w:val="0"/>
        <w:adjustRightInd w:val="0"/>
        <w:spacing w:after="0" w:line="240" w:lineRule="auto"/>
        <w:rPr>
          <w:rFonts w:ascii="Arial" w:hAnsi="Arial" w:cs="Arial"/>
        </w:rPr>
      </w:pPr>
      <w:r>
        <w:rPr>
          <w:rFonts w:ascii="Arial" w:hAnsi="Arial" w:cs="Arial"/>
        </w:rPr>
        <w:t>I am creating a Translation Table that I will link both CAS and ANALYTE fields to and create all fields required to then assign/link to STORET codes. The new fields will be;</w:t>
      </w:r>
      <w:r w:rsidR="00884822">
        <w:rPr>
          <w:rFonts w:ascii="Arial" w:hAnsi="Arial" w:cs="Arial"/>
        </w:rPr>
        <w:t xml:space="preserve"> I have </w:t>
      </w:r>
      <w:proofErr w:type="spellStart"/>
      <w:r w:rsidR="00884822">
        <w:rPr>
          <w:rFonts w:ascii="Arial" w:hAnsi="Arial" w:cs="Arial"/>
        </w:rPr>
        <w:t>crated</w:t>
      </w:r>
      <w:proofErr w:type="spellEnd"/>
      <w:r w:rsidR="00884822">
        <w:rPr>
          <w:rFonts w:ascii="Arial" w:hAnsi="Arial" w:cs="Arial"/>
        </w:rPr>
        <w:t xml:space="preserve"> a pseudo ClientAnalyteID field by removing all dashes from the CAS field. I am </w:t>
      </w:r>
      <w:proofErr w:type="spellStart"/>
      <w:r w:rsidR="00884822">
        <w:rPr>
          <w:rFonts w:ascii="Arial" w:hAnsi="Arial" w:cs="Arial"/>
        </w:rPr>
        <w:t>repling</w:t>
      </w:r>
      <w:proofErr w:type="spellEnd"/>
      <w:r w:rsidR="00884822">
        <w:rPr>
          <w:rFonts w:ascii="Arial" w:hAnsi="Arial" w:cs="Arial"/>
        </w:rPr>
        <w:t xml:space="preserve"> CAS field entries in the new </w:t>
      </w:r>
      <w:proofErr w:type="spellStart"/>
      <w:r w:rsidR="00884822">
        <w:rPr>
          <w:rFonts w:ascii="Arial" w:hAnsi="Arial" w:cs="Arial"/>
        </w:rPr>
        <w:t>psudo</w:t>
      </w:r>
      <w:proofErr w:type="spellEnd"/>
      <w:r w:rsidR="00884822">
        <w:rPr>
          <w:rFonts w:ascii="Arial" w:hAnsi="Arial" w:cs="Arial"/>
        </w:rPr>
        <w:t xml:space="preserve"> ClientAnalyteID field to match the ANALYTE field with the </w:t>
      </w:r>
      <w:proofErr w:type="gramStart"/>
      <w:r w:rsidR="00884822">
        <w:rPr>
          <w:rFonts w:ascii="Arial" w:hAnsi="Arial" w:cs="Arial"/>
        </w:rPr>
        <w:t>AnalyteName  field</w:t>
      </w:r>
      <w:proofErr w:type="gramEnd"/>
      <w:r w:rsidR="00884822">
        <w:rPr>
          <w:rFonts w:ascii="Arial" w:hAnsi="Arial" w:cs="Arial"/>
        </w:rPr>
        <w:t xml:space="preserve"> in ADaPT </w:t>
      </w:r>
      <w:r w:rsidR="001F66F7">
        <w:rPr>
          <w:rFonts w:ascii="Arial" w:hAnsi="Arial" w:cs="Arial"/>
        </w:rPr>
        <w:t>and REDD.</w:t>
      </w:r>
      <w:r w:rsidR="002E3F9F">
        <w:rPr>
          <w:rFonts w:ascii="Arial" w:hAnsi="Arial" w:cs="Arial"/>
        </w:rPr>
        <w:t xml:space="preserve">  I in some cases used the common CAS entry to help determine the proper ANALYTE in assigning the new ClientAnalyteID. I have also used the list of 16,522 STORET codes created by EPA to help assign STORET codes that are new to ADaPT and REDD.  STORET codes are actually five digit numbers, our pseudo STORET Codes are six digits in </w:t>
      </w:r>
      <w:proofErr w:type="spellStart"/>
      <w:r w:rsidR="002E3F9F">
        <w:rPr>
          <w:rFonts w:ascii="Arial" w:hAnsi="Arial" w:cs="Arial"/>
        </w:rPr>
        <w:t>lenth</w:t>
      </w:r>
      <w:proofErr w:type="spellEnd"/>
      <w:r w:rsidR="002E3F9F">
        <w:rPr>
          <w:rFonts w:ascii="Arial" w:hAnsi="Arial" w:cs="Arial"/>
        </w:rPr>
        <w:t xml:space="preserve">. All six digit STORET codes have at least one leading zero.  If EPA did not define a STORET code we need then the six digit STORET code we generate will have a leading nine (9). .  We attempt to match the Analyte name, matrix, units as close as possible </w:t>
      </w:r>
      <w:r w:rsidR="00C96FE4">
        <w:rPr>
          <w:rFonts w:ascii="Arial" w:hAnsi="Arial" w:cs="Arial"/>
        </w:rPr>
        <w:t xml:space="preserve">and may choose the closest non-match and add the leading 9 to generate a new STORET Code. </w:t>
      </w:r>
    </w:p>
    <w:p w:rsidR="00C96FE4" w:rsidRDefault="00C96FE4" w:rsidP="006A6508">
      <w:pPr>
        <w:autoSpaceDE w:val="0"/>
        <w:autoSpaceDN w:val="0"/>
        <w:adjustRightInd w:val="0"/>
        <w:spacing w:after="0" w:line="240" w:lineRule="auto"/>
        <w:rPr>
          <w:rFonts w:ascii="Arial" w:hAnsi="Arial" w:cs="Arial"/>
        </w:rPr>
      </w:pPr>
    </w:p>
    <w:p w:rsidR="00291579" w:rsidRPr="00291579" w:rsidRDefault="00291579" w:rsidP="00291579">
      <w:pPr>
        <w:autoSpaceDE w:val="0"/>
        <w:autoSpaceDN w:val="0"/>
        <w:adjustRightInd w:val="0"/>
        <w:spacing w:after="0" w:line="240" w:lineRule="auto"/>
        <w:rPr>
          <w:rFonts w:ascii="Arial" w:hAnsi="Arial" w:cs="Arial"/>
        </w:rPr>
      </w:pPr>
      <w:proofErr w:type="spellStart"/>
      <w:r w:rsidRPr="00291579">
        <w:rPr>
          <w:rFonts w:ascii="Arial" w:hAnsi="Arial" w:cs="Arial"/>
        </w:rPr>
        <w:lastRenderedPageBreak/>
        <w:t>STORET_Code</w:t>
      </w:r>
      <w:proofErr w:type="spellEnd"/>
      <w:r>
        <w:rPr>
          <w:rFonts w:ascii="Arial" w:hAnsi="Arial" w:cs="Arial"/>
        </w:rPr>
        <w:tab/>
        <w:t>New</w:t>
      </w:r>
      <w:r w:rsidR="001F66F7">
        <w:rPr>
          <w:rFonts w:ascii="Arial" w:hAnsi="Arial" w:cs="Arial"/>
        </w:rPr>
        <w:t xml:space="preserve"> field</w:t>
      </w:r>
      <w:r>
        <w:rPr>
          <w:rFonts w:ascii="Arial" w:hAnsi="Arial" w:cs="Arial"/>
        </w:rPr>
        <w:t xml:space="preserve">, I don’t like STORET and think of them as a Primary </w:t>
      </w:r>
      <w:r w:rsidRPr="00291579">
        <w:rPr>
          <w:rFonts w:ascii="Arial" w:hAnsi="Arial" w:cs="Arial"/>
        </w:rPr>
        <w:tab/>
      </w:r>
      <w:r>
        <w:rPr>
          <w:rFonts w:ascii="Arial" w:hAnsi="Arial" w:cs="Arial"/>
        </w:rPr>
        <w:t>Key.</w:t>
      </w:r>
    </w:p>
    <w:p w:rsidR="00291579" w:rsidRPr="00291579" w:rsidRDefault="00291579" w:rsidP="00291579">
      <w:pPr>
        <w:autoSpaceDE w:val="0"/>
        <w:autoSpaceDN w:val="0"/>
        <w:adjustRightInd w:val="0"/>
        <w:spacing w:after="0" w:line="240" w:lineRule="auto"/>
        <w:rPr>
          <w:rFonts w:ascii="Arial" w:hAnsi="Arial" w:cs="Arial"/>
        </w:rPr>
      </w:pPr>
      <w:r w:rsidRPr="00291579">
        <w:rPr>
          <w:rFonts w:ascii="Arial" w:hAnsi="Arial" w:cs="Arial"/>
        </w:rPr>
        <w:t>ClientAnalyteID</w:t>
      </w:r>
      <w:r w:rsidRPr="00291579">
        <w:rPr>
          <w:rFonts w:ascii="Arial" w:hAnsi="Arial" w:cs="Arial"/>
        </w:rPr>
        <w:tab/>
      </w:r>
      <w:r>
        <w:rPr>
          <w:rFonts w:ascii="Arial" w:hAnsi="Arial" w:cs="Arial"/>
        </w:rPr>
        <w:t>(CAS) entries may be reassigned for some analytes</w:t>
      </w:r>
    </w:p>
    <w:p w:rsidR="00884822" w:rsidRPr="00291579" w:rsidRDefault="00291579" w:rsidP="00884822">
      <w:pPr>
        <w:autoSpaceDE w:val="0"/>
        <w:autoSpaceDN w:val="0"/>
        <w:adjustRightInd w:val="0"/>
        <w:spacing w:after="0" w:line="240" w:lineRule="auto"/>
        <w:rPr>
          <w:rFonts w:ascii="Arial" w:hAnsi="Arial" w:cs="Arial"/>
        </w:rPr>
      </w:pPr>
      <w:r w:rsidRPr="00291579">
        <w:rPr>
          <w:rFonts w:ascii="Arial" w:hAnsi="Arial" w:cs="Arial"/>
        </w:rPr>
        <w:t>Parameter_Name</w:t>
      </w:r>
      <w:r w:rsidRPr="00291579">
        <w:rPr>
          <w:rFonts w:ascii="Arial" w:hAnsi="Arial" w:cs="Arial"/>
        </w:rPr>
        <w:tab/>
      </w:r>
      <w:r w:rsidR="00884822">
        <w:rPr>
          <w:rFonts w:ascii="Arial" w:hAnsi="Arial" w:cs="Arial"/>
        </w:rPr>
        <w:t>(ANALYTE) entries may be reassigned for some analytes</w:t>
      </w:r>
    </w:p>
    <w:p w:rsidR="00884822" w:rsidRDefault="00291579" w:rsidP="00291579">
      <w:pPr>
        <w:autoSpaceDE w:val="0"/>
        <w:autoSpaceDN w:val="0"/>
        <w:adjustRightInd w:val="0"/>
        <w:spacing w:after="0" w:line="240" w:lineRule="auto"/>
        <w:rPr>
          <w:rFonts w:ascii="Arial" w:hAnsi="Arial" w:cs="Arial"/>
        </w:rPr>
      </w:pPr>
      <w:r w:rsidRPr="00291579">
        <w:rPr>
          <w:rFonts w:ascii="Arial" w:hAnsi="Arial" w:cs="Arial"/>
        </w:rPr>
        <w:t>Units</w:t>
      </w:r>
      <w:r w:rsidRPr="00291579">
        <w:rPr>
          <w:rFonts w:ascii="Arial" w:hAnsi="Arial" w:cs="Arial"/>
        </w:rPr>
        <w:tab/>
      </w:r>
      <w:r w:rsidR="00884822">
        <w:rPr>
          <w:rFonts w:ascii="Arial" w:hAnsi="Arial" w:cs="Arial"/>
        </w:rPr>
        <w:tab/>
      </w:r>
      <w:r w:rsidR="00884822">
        <w:rPr>
          <w:rFonts w:ascii="Arial" w:hAnsi="Arial" w:cs="Arial"/>
        </w:rPr>
        <w:tab/>
        <w:t xml:space="preserve">Any units that do not match will have to be changed and appropriate numeric Results will </w:t>
      </w:r>
    </w:p>
    <w:p w:rsidR="00291579" w:rsidRPr="00291579" w:rsidRDefault="00884822" w:rsidP="00884822">
      <w:pPr>
        <w:autoSpaceDE w:val="0"/>
        <w:autoSpaceDN w:val="0"/>
        <w:adjustRightInd w:val="0"/>
        <w:spacing w:after="0" w:line="240" w:lineRule="auto"/>
        <w:ind w:left="1440" w:firstLine="720"/>
        <w:rPr>
          <w:rFonts w:ascii="Arial" w:hAnsi="Arial" w:cs="Arial"/>
        </w:rPr>
      </w:pPr>
      <w:r>
        <w:rPr>
          <w:rFonts w:ascii="Arial" w:hAnsi="Arial" w:cs="Arial"/>
        </w:rPr>
        <w:t>have to be numerically converted.</w:t>
      </w:r>
    </w:p>
    <w:p w:rsidR="00291579" w:rsidRPr="00291579" w:rsidRDefault="00291579" w:rsidP="00291579">
      <w:pPr>
        <w:autoSpaceDE w:val="0"/>
        <w:autoSpaceDN w:val="0"/>
        <w:adjustRightInd w:val="0"/>
        <w:spacing w:after="0" w:line="240" w:lineRule="auto"/>
        <w:rPr>
          <w:rFonts w:ascii="Arial" w:hAnsi="Arial" w:cs="Arial"/>
        </w:rPr>
      </w:pPr>
      <w:proofErr w:type="spellStart"/>
      <w:r w:rsidRPr="00291579">
        <w:rPr>
          <w:rFonts w:ascii="Arial" w:hAnsi="Arial" w:cs="Arial"/>
        </w:rPr>
        <w:t>TotalOrDissolved</w:t>
      </w:r>
      <w:proofErr w:type="spellEnd"/>
      <w:r w:rsidRPr="00291579">
        <w:rPr>
          <w:rFonts w:ascii="Arial" w:hAnsi="Arial" w:cs="Arial"/>
        </w:rPr>
        <w:tab/>
      </w:r>
      <w:r w:rsidR="001F66F7">
        <w:rPr>
          <w:rFonts w:ascii="Arial" w:hAnsi="Arial" w:cs="Arial"/>
        </w:rPr>
        <w:t>N</w:t>
      </w:r>
      <w:r w:rsidR="00884822">
        <w:rPr>
          <w:rFonts w:ascii="Arial" w:hAnsi="Arial" w:cs="Arial"/>
        </w:rPr>
        <w:t>ew field, TOT, (DIS if Filtered metal) based on ANALYTE field entries.</w:t>
      </w:r>
    </w:p>
    <w:p w:rsidR="00291579" w:rsidRPr="00291579" w:rsidRDefault="00291579" w:rsidP="00291579">
      <w:pPr>
        <w:autoSpaceDE w:val="0"/>
        <w:autoSpaceDN w:val="0"/>
        <w:adjustRightInd w:val="0"/>
        <w:spacing w:after="0" w:line="240" w:lineRule="auto"/>
        <w:rPr>
          <w:rFonts w:ascii="Arial" w:hAnsi="Arial" w:cs="Arial"/>
        </w:rPr>
      </w:pPr>
      <w:proofErr w:type="spellStart"/>
      <w:r w:rsidRPr="00291579">
        <w:rPr>
          <w:rFonts w:ascii="Arial" w:hAnsi="Arial" w:cs="Arial"/>
        </w:rPr>
        <w:t>Field_Measure</w:t>
      </w:r>
      <w:proofErr w:type="spellEnd"/>
      <w:r w:rsidRPr="00291579">
        <w:rPr>
          <w:rFonts w:ascii="Arial" w:hAnsi="Arial" w:cs="Arial"/>
        </w:rPr>
        <w:tab/>
      </w:r>
      <w:r w:rsidR="00884822">
        <w:rPr>
          <w:rFonts w:ascii="Arial" w:hAnsi="Arial" w:cs="Arial"/>
        </w:rPr>
        <w:t>New field, “F” for all T_ANALYTE table entries</w:t>
      </w:r>
    </w:p>
    <w:p w:rsidR="00291579" w:rsidRDefault="00291579" w:rsidP="00291579">
      <w:pPr>
        <w:autoSpaceDE w:val="0"/>
        <w:autoSpaceDN w:val="0"/>
        <w:adjustRightInd w:val="0"/>
        <w:spacing w:after="0" w:line="240" w:lineRule="auto"/>
        <w:rPr>
          <w:rFonts w:ascii="Arial" w:hAnsi="Arial" w:cs="Arial"/>
        </w:rPr>
      </w:pPr>
      <w:r w:rsidRPr="00291579">
        <w:rPr>
          <w:rFonts w:ascii="Arial" w:hAnsi="Arial" w:cs="Arial"/>
        </w:rPr>
        <w:t>Matrix</w:t>
      </w:r>
      <w:r w:rsidRPr="00291579">
        <w:rPr>
          <w:rFonts w:ascii="Arial" w:hAnsi="Arial" w:cs="Arial"/>
        </w:rPr>
        <w:tab/>
      </w:r>
      <w:r w:rsidR="00884822">
        <w:rPr>
          <w:rFonts w:ascii="Arial" w:hAnsi="Arial" w:cs="Arial"/>
        </w:rPr>
        <w:tab/>
      </w:r>
      <w:r w:rsidR="00884822">
        <w:rPr>
          <w:rFonts w:ascii="Arial" w:hAnsi="Arial" w:cs="Arial"/>
        </w:rPr>
        <w:tab/>
        <w:t xml:space="preserve">Use Matrix conversion table </w:t>
      </w:r>
      <w:r w:rsidR="001F66F7">
        <w:rPr>
          <w:rFonts w:ascii="Arial" w:hAnsi="Arial" w:cs="Arial"/>
        </w:rPr>
        <w:t xml:space="preserve">previously </w:t>
      </w:r>
      <w:r w:rsidR="00884822">
        <w:rPr>
          <w:rFonts w:ascii="Arial" w:hAnsi="Arial" w:cs="Arial"/>
        </w:rPr>
        <w:t>listed</w:t>
      </w:r>
      <w:r w:rsidR="001F66F7">
        <w:rPr>
          <w:rFonts w:ascii="Arial" w:hAnsi="Arial" w:cs="Arial"/>
        </w:rPr>
        <w:t>.</w:t>
      </w:r>
    </w:p>
    <w:p w:rsidR="00291579" w:rsidRDefault="00291579" w:rsidP="006A6508">
      <w:pPr>
        <w:autoSpaceDE w:val="0"/>
        <w:autoSpaceDN w:val="0"/>
        <w:adjustRightInd w:val="0"/>
        <w:spacing w:after="0" w:line="240" w:lineRule="auto"/>
        <w:rPr>
          <w:rFonts w:ascii="Arial" w:hAnsi="Arial" w:cs="Arial"/>
        </w:rPr>
      </w:pPr>
    </w:p>
    <w:p w:rsidR="006D44CB" w:rsidRDefault="006D44CB" w:rsidP="006D44CB">
      <w:r>
        <w:t xml:space="preserve">There are a number of Analytes that are misidentified, examples are MADEP VPH and MADEP VPH methods that </w:t>
      </w:r>
      <w:proofErr w:type="spellStart"/>
      <w:r>
        <w:t>speciate</w:t>
      </w:r>
      <w:proofErr w:type="spellEnd"/>
      <w:r>
        <w:t xml:space="preserve"> Petroleum Hydrocarbons into specific Aliphatic or Aromatic carbon ranges.  In some instances the aliphatic carbon range is the carbon range for aromatics and vice-versa.  The analyte Total Light Petroleum Hydrocarbon or Total Petroleum Hydrocarbon are reported by methods EPA 8260, EPA-18 which should be (M-18), M-18 and TO-15.   Here is an excerpt from Method EPA 8260.</w:t>
      </w:r>
    </w:p>
    <w:p w:rsidR="006D44CB" w:rsidRDefault="006D44CB" w:rsidP="006D44CB">
      <w:pPr>
        <w:autoSpaceDE w:val="0"/>
        <w:autoSpaceDN w:val="0"/>
        <w:adjustRightInd w:val="0"/>
        <w:spacing w:after="0" w:line="240" w:lineRule="auto"/>
        <w:rPr>
          <w:rFonts w:ascii="Arial" w:hAnsi="Arial" w:cs="Arial"/>
        </w:rPr>
      </w:pPr>
      <w:r>
        <w:rPr>
          <w:rFonts w:ascii="Arial" w:hAnsi="Arial" w:cs="Arial"/>
        </w:rPr>
        <w:t>“11.7.5 Quantitation of multicomponent parameters such as gasoline range organics</w:t>
      </w:r>
    </w:p>
    <w:p w:rsidR="006D44CB" w:rsidRDefault="006D44CB" w:rsidP="006D44CB">
      <w:pPr>
        <w:autoSpaceDE w:val="0"/>
        <w:autoSpaceDN w:val="0"/>
        <w:adjustRightInd w:val="0"/>
        <w:spacing w:after="0" w:line="240" w:lineRule="auto"/>
        <w:rPr>
          <w:rFonts w:ascii="Arial" w:hAnsi="Arial" w:cs="Arial"/>
        </w:rPr>
      </w:pPr>
      <w:r>
        <w:rPr>
          <w:rFonts w:ascii="Arial" w:hAnsi="Arial" w:cs="Arial"/>
        </w:rPr>
        <w:t>(GROs) and total petroleum hydrocarbons (TPH) using the Method 8260 recommended</w:t>
      </w:r>
    </w:p>
    <w:p w:rsidR="006D44CB" w:rsidRDefault="006D44CB" w:rsidP="006D44CB">
      <w:pPr>
        <w:autoSpaceDE w:val="0"/>
        <w:autoSpaceDN w:val="0"/>
        <w:adjustRightInd w:val="0"/>
        <w:spacing w:after="0" w:line="240" w:lineRule="auto"/>
        <w:rPr>
          <w:rFonts w:ascii="Arial" w:hAnsi="Arial" w:cs="Arial"/>
        </w:rPr>
      </w:pPr>
      <w:r>
        <w:rPr>
          <w:rFonts w:ascii="Arial" w:hAnsi="Arial" w:cs="Arial"/>
        </w:rPr>
        <w:t>internal standard quantitation technique is beyond the scope of this method. Typically,</w:t>
      </w:r>
    </w:p>
    <w:p w:rsidR="006D44CB" w:rsidRDefault="006D44CB" w:rsidP="006D44CB">
      <w:pPr>
        <w:autoSpaceDE w:val="0"/>
        <w:autoSpaceDN w:val="0"/>
        <w:adjustRightInd w:val="0"/>
        <w:spacing w:after="0" w:line="240" w:lineRule="auto"/>
        <w:rPr>
          <w:rFonts w:ascii="Arial" w:hAnsi="Arial" w:cs="Arial"/>
        </w:rPr>
      </w:pPr>
      <w:r>
        <w:rPr>
          <w:rFonts w:ascii="Arial" w:hAnsi="Arial" w:cs="Arial"/>
        </w:rPr>
        <w:t>analyses for these parameters are performed using GC/FID or GC with a MS detector</w:t>
      </w:r>
    </w:p>
    <w:p w:rsidR="006D44CB" w:rsidRDefault="006D44CB" w:rsidP="006D44CB">
      <w:pPr>
        <w:autoSpaceDE w:val="0"/>
        <w:autoSpaceDN w:val="0"/>
        <w:adjustRightInd w:val="0"/>
        <w:spacing w:after="0" w:line="240" w:lineRule="auto"/>
        <w:rPr>
          <w:rFonts w:ascii="Arial" w:hAnsi="Arial" w:cs="Arial"/>
        </w:rPr>
      </w:pPr>
      <w:r>
        <w:rPr>
          <w:rFonts w:ascii="Arial" w:hAnsi="Arial" w:cs="Arial"/>
        </w:rPr>
        <w:t>capability that is available with Method 8015.”</w:t>
      </w:r>
    </w:p>
    <w:p w:rsidR="006D44CB" w:rsidRDefault="006D44CB" w:rsidP="006D44CB">
      <w:pPr>
        <w:autoSpaceDE w:val="0"/>
        <w:autoSpaceDN w:val="0"/>
        <w:adjustRightInd w:val="0"/>
        <w:spacing w:after="0" w:line="240" w:lineRule="auto"/>
        <w:rPr>
          <w:rFonts w:ascii="Arial" w:hAnsi="Arial" w:cs="Arial"/>
        </w:rPr>
      </w:pPr>
    </w:p>
    <w:p w:rsidR="006D44CB" w:rsidRDefault="006D44CB" w:rsidP="006D44CB">
      <w:pPr>
        <w:autoSpaceDE w:val="0"/>
        <w:autoSpaceDN w:val="0"/>
        <w:adjustRightInd w:val="0"/>
        <w:spacing w:after="0" w:line="240" w:lineRule="auto"/>
        <w:rPr>
          <w:rFonts w:ascii="Arial" w:hAnsi="Arial" w:cs="Arial"/>
        </w:rPr>
      </w:pPr>
      <w:r>
        <w:rPr>
          <w:rFonts w:ascii="Arial" w:hAnsi="Arial" w:cs="Arial"/>
        </w:rPr>
        <w:t>FL-DOH certifies Total Petroleum Hydrocarbons only for water and soil matrices by methods FDEP FL-PRO, EPA 1664A and EPA 1665.</w:t>
      </w:r>
    </w:p>
    <w:p w:rsidR="006D44CB" w:rsidRDefault="006D44CB" w:rsidP="006A6508">
      <w:pPr>
        <w:autoSpaceDE w:val="0"/>
        <w:autoSpaceDN w:val="0"/>
        <w:adjustRightInd w:val="0"/>
        <w:spacing w:after="0" w:line="240" w:lineRule="auto"/>
        <w:rPr>
          <w:rFonts w:ascii="Arial" w:hAnsi="Arial" w:cs="Arial"/>
        </w:rPr>
      </w:pPr>
    </w:p>
    <w:p w:rsidR="00232FE4" w:rsidRDefault="00232FE4" w:rsidP="006A6508">
      <w:pPr>
        <w:autoSpaceDE w:val="0"/>
        <w:autoSpaceDN w:val="0"/>
        <w:adjustRightInd w:val="0"/>
        <w:spacing w:after="0" w:line="240" w:lineRule="auto"/>
        <w:rPr>
          <w:rFonts w:ascii="Arial" w:hAnsi="Arial" w:cs="Arial"/>
        </w:rPr>
      </w:pPr>
      <w:r>
        <w:rPr>
          <w:rFonts w:ascii="Arial" w:hAnsi="Arial" w:cs="Arial"/>
        </w:rPr>
        <w:t xml:space="preserve">Unmatched fields to check the following resources (method used in HWC Field, EPA’s 166522 STORET Code list, John Sykes).  Perhaps some analytes are not of importance and need not be migrated.  </w:t>
      </w:r>
    </w:p>
    <w:p w:rsidR="00232FE4" w:rsidRDefault="00232FE4" w:rsidP="006A6508">
      <w:pPr>
        <w:autoSpaceDE w:val="0"/>
        <w:autoSpaceDN w:val="0"/>
        <w:adjustRightInd w:val="0"/>
        <w:spacing w:after="0" w:line="240" w:lineRule="auto"/>
        <w:rPr>
          <w:rFonts w:ascii="Arial" w:hAnsi="Arial" w:cs="Arial"/>
        </w:rPr>
      </w:pPr>
    </w:p>
    <w:p w:rsidR="00C97EEA" w:rsidRDefault="00C97EEA" w:rsidP="006A6508">
      <w:pPr>
        <w:autoSpaceDE w:val="0"/>
        <w:autoSpaceDN w:val="0"/>
        <w:adjustRightInd w:val="0"/>
        <w:spacing w:after="0" w:line="240" w:lineRule="auto"/>
        <w:rPr>
          <w:rFonts w:ascii="Arial" w:hAnsi="Arial" w:cs="Arial"/>
        </w:rPr>
      </w:pPr>
    </w:p>
    <w:p w:rsidR="00C97EEA" w:rsidRDefault="00C97EEA" w:rsidP="006A6508">
      <w:pPr>
        <w:autoSpaceDE w:val="0"/>
        <w:autoSpaceDN w:val="0"/>
        <w:adjustRightInd w:val="0"/>
        <w:spacing w:after="0" w:line="240" w:lineRule="auto"/>
        <w:rPr>
          <w:rFonts w:ascii="Arial" w:hAnsi="Arial" w:cs="Arial"/>
        </w:rPr>
      </w:pPr>
      <w:r>
        <w:rPr>
          <w:rFonts w:ascii="Arial" w:hAnsi="Arial" w:cs="Arial"/>
        </w:rPr>
        <w:t>EPA STORET Code Matrices:</w:t>
      </w:r>
    </w:p>
    <w:p w:rsidR="00C97EEA" w:rsidRPr="00C97EEA" w:rsidRDefault="00C97EEA" w:rsidP="00C97EEA">
      <w:pPr>
        <w:autoSpaceDE w:val="0"/>
        <w:autoSpaceDN w:val="0"/>
        <w:adjustRightInd w:val="0"/>
        <w:spacing w:after="0" w:line="240" w:lineRule="auto"/>
        <w:rPr>
          <w:rFonts w:ascii="Arial" w:hAnsi="Arial" w:cs="Arial"/>
        </w:rPr>
      </w:pP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W - WATER</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T - TISSUE</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S - SEDIMENT</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A - AIR</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D - SLUDGE</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M - METEOROLOGICAL</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E - EFFLUENT AND INFLUENT</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L - LAND</w:t>
      </w:r>
    </w:p>
    <w:p w:rsidR="00C97EEA" w:rsidRP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F - FOOD</w:t>
      </w:r>
    </w:p>
    <w:p w:rsidR="00C97EEA" w:rsidRDefault="00C97EEA" w:rsidP="00C97EEA">
      <w:pPr>
        <w:autoSpaceDE w:val="0"/>
        <w:autoSpaceDN w:val="0"/>
        <w:adjustRightInd w:val="0"/>
        <w:spacing w:after="0" w:line="240" w:lineRule="auto"/>
        <w:rPr>
          <w:rFonts w:ascii="Arial" w:hAnsi="Arial" w:cs="Arial"/>
        </w:rPr>
      </w:pPr>
      <w:r w:rsidRPr="00C97EEA">
        <w:rPr>
          <w:rFonts w:ascii="Arial" w:hAnsi="Arial" w:cs="Arial"/>
        </w:rPr>
        <w:t xml:space="preserve">     O </w:t>
      </w:r>
      <w:r w:rsidR="00A319D3">
        <w:rPr>
          <w:rFonts w:ascii="Arial" w:hAnsi="Arial" w:cs="Arial"/>
        </w:rPr>
        <w:t>–</w:t>
      </w:r>
      <w:r w:rsidRPr="00C97EEA">
        <w:rPr>
          <w:rFonts w:ascii="Arial" w:hAnsi="Arial" w:cs="Arial"/>
        </w:rPr>
        <w:t xml:space="preserve"> OTHER</w:t>
      </w:r>
    </w:p>
    <w:p w:rsidR="00A319D3" w:rsidRDefault="00A319D3" w:rsidP="00C97EEA">
      <w:pPr>
        <w:autoSpaceDE w:val="0"/>
        <w:autoSpaceDN w:val="0"/>
        <w:adjustRightInd w:val="0"/>
        <w:spacing w:after="0" w:line="240" w:lineRule="auto"/>
        <w:rPr>
          <w:rFonts w:ascii="Arial" w:hAnsi="Arial" w:cs="Arial"/>
        </w:rPr>
      </w:pPr>
    </w:p>
    <w:p w:rsidR="00460DE0" w:rsidRDefault="00460DE0" w:rsidP="00C97EEA">
      <w:pPr>
        <w:autoSpaceDE w:val="0"/>
        <w:autoSpaceDN w:val="0"/>
        <w:adjustRightInd w:val="0"/>
        <w:spacing w:after="0" w:line="240" w:lineRule="auto"/>
        <w:rPr>
          <w:rFonts w:ascii="Arial" w:hAnsi="Arial" w:cs="Arial"/>
        </w:rPr>
      </w:pPr>
      <w:r>
        <w:rPr>
          <w:rFonts w:ascii="Arial" w:hAnsi="Arial" w:cs="Arial"/>
        </w:rPr>
        <w:t xml:space="preserve">HWC-Field data Ravi </w:t>
      </w:r>
      <w:r w:rsidR="00735C3D">
        <w:rPr>
          <w:rFonts w:ascii="Arial" w:hAnsi="Arial" w:cs="Arial"/>
        </w:rPr>
        <w:t xml:space="preserve">Teja </w:t>
      </w:r>
      <w:r>
        <w:rPr>
          <w:rFonts w:ascii="Arial" w:hAnsi="Arial" w:cs="Arial"/>
        </w:rPr>
        <w:t xml:space="preserve">has </w:t>
      </w:r>
      <w:proofErr w:type="spellStart"/>
      <w:r>
        <w:rPr>
          <w:rFonts w:ascii="Arial" w:hAnsi="Arial" w:cs="Arial"/>
        </w:rPr>
        <w:t>alrady</w:t>
      </w:r>
      <w:proofErr w:type="spellEnd"/>
      <w:r>
        <w:rPr>
          <w:rFonts w:ascii="Arial" w:hAnsi="Arial" w:cs="Arial"/>
        </w:rPr>
        <w:t xml:space="preserve"> loaded into the </w:t>
      </w:r>
      <w:proofErr w:type="spellStart"/>
      <w:r>
        <w:rPr>
          <w:rFonts w:ascii="Arial" w:hAnsi="Arial" w:cs="Arial"/>
        </w:rPr>
        <w:t>ADaPT_Records</w:t>
      </w:r>
      <w:proofErr w:type="spellEnd"/>
      <w:r>
        <w:rPr>
          <w:rFonts w:ascii="Arial" w:hAnsi="Arial" w:cs="Arial"/>
        </w:rPr>
        <w:t xml:space="preserve"> table.</w:t>
      </w:r>
    </w:p>
    <w:p w:rsidR="00460DE0" w:rsidRDefault="00460DE0" w:rsidP="00C97EEA">
      <w:pPr>
        <w:autoSpaceDE w:val="0"/>
        <w:autoSpaceDN w:val="0"/>
        <w:adjustRightInd w:val="0"/>
        <w:spacing w:after="0" w:line="240" w:lineRule="auto"/>
        <w:rPr>
          <w:rFonts w:ascii="Arial" w:hAnsi="Arial" w:cs="Arial"/>
        </w:rPr>
      </w:pPr>
    </w:p>
    <w:p w:rsidR="00A319D3" w:rsidRDefault="00A319D3" w:rsidP="00C97EEA">
      <w:pPr>
        <w:autoSpaceDE w:val="0"/>
        <w:autoSpaceDN w:val="0"/>
        <w:adjustRightInd w:val="0"/>
        <w:spacing w:after="0" w:line="240" w:lineRule="auto"/>
        <w:rPr>
          <w:rFonts w:ascii="Arial" w:hAnsi="Arial" w:cs="Arial"/>
        </w:rPr>
      </w:pPr>
      <w:r>
        <w:rPr>
          <w:rFonts w:ascii="Arial" w:hAnsi="Arial" w:cs="Arial"/>
        </w:rPr>
        <w:t>ORADEV</w:t>
      </w:r>
    </w:p>
    <w:p w:rsidR="00A319D3" w:rsidRDefault="00A319D3" w:rsidP="00C97EEA">
      <w:pPr>
        <w:autoSpaceDE w:val="0"/>
        <w:autoSpaceDN w:val="0"/>
        <w:adjustRightInd w:val="0"/>
        <w:spacing w:after="0" w:line="240" w:lineRule="auto"/>
        <w:rPr>
          <w:rFonts w:ascii="Arial" w:hAnsi="Arial" w:cs="Arial"/>
        </w:rPr>
      </w:pPr>
      <w:r>
        <w:rPr>
          <w:rFonts w:ascii="Arial" w:hAnsi="Arial" w:cs="Arial"/>
        </w:rPr>
        <w:t>HWCFIELD_ANALYTICAL_RECORDS</w:t>
      </w:r>
    </w:p>
    <w:p w:rsidR="00A319D3" w:rsidRDefault="00A319D3" w:rsidP="00C97EEA">
      <w:pPr>
        <w:autoSpaceDE w:val="0"/>
        <w:autoSpaceDN w:val="0"/>
        <w:adjustRightInd w:val="0"/>
        <w:spacing w:after="0" w:line="240" w:lineRule="auto"/>
        <w:rPr>
          <w:rFonts w:ascii="Arial" w:hAnsi="Arial" w:cs="Arial"/>
        </w:rPr>
      </w:pPr>
    </w:p>
    <w:p w:rsidR="00A319D3" w:rsidRDefault="00E8393B" w:rsidP="00C97EEA">
      <w:pPr>
        <w:autoSpaceDE w:val="0"/>
        <w:autoSpaceDN w:val="0"/>
        <w:adjustRightInd w:val="0"/>
        <w:spacing w:after="0" w:line="240" w:lineRule="auto"/>
        <w:rPr>
          <w:rFonts w:ascii="Arial" w:hAnsi="Arial" w:cs="Arial"/>
        </w:rPr>
      </w:pPr>
      <w:r>
        <w:rPr>
          <w:rFonts w:ascii="Arial" w:hAnsi="Arial" w:cs="Arial"/>
        </w:rPr>
        <w:t>Ravi Teja 5-7645</w:t>
      </w:r>
    </w:p>
    <w:p w:rsidR="00E8393B" w:rsidRDefault="00E8393B" w:rsidP="00C97EEA">
      <w:pPr>
        <w:autoSpaceDE w:val="0"/>
        <w:autoSpaceDN w:val="0"/>
        <w:adjustRightInd w:val="0"/>
        <w:spacing w:after="0" w:line="240" w:lineRule="auto"/>
        <w:rPr>
          <w:rFonts w:ascii="Arial" w:hAnsi="Arial" w:cs="Arial"/>
        </w:rPr>
      </w:pPr>
    </w:p>
    <w:sectPr w:rsidR="00E8393B" w:rsidSect="003F6F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08"/>
    <w:rsid w:val="000515FB"/>
    <w:rsid w:val="0008034C"/>
    <w:rsid w:val="000A4B95"/>
    <w:rsid w:val="000C2E5E"/>
    <w:rsid w:val="000D56E6"/>
    <w:rsid w:val="00195DE2"/>
    <w:rsid w:val="001B1C8C"/>
    <w:rsid w:val="001F66F7"/>
    <w:rsid w:val="0022004B"/>
    <w:rsid w:val="002245A8"/>
    <w:rsid w:val="00232FE4"/>
    <w:rsid w:val="00291579"/>
    <w:rsid w:val="002916C3"/>
    <w:rsid w:val="002B0710"/>
    <w:rsid w:val="002B78C3"/>
    <w:rsid w:val="002E3F9F"/>
    <w:rsid w:val="00304A17"/>
    <w:rsid w:val="00353851"/>
    <w:rsid w:val="003600C2"/>
    <w:rsid w:val="00375CEA"/>
    <w:rsid w:val="003D0427"/>
    <w:rsid w:val="003F6F5D"/>
    <w:rsid w:val="003F77BF"/>
    <w:rsid w:val="004547F4"/>
    <w:rsid w:val="00460DE0"/>
    <w:rsid w:val="004801F5"/>
    <w:rsid w:val="00484E38"/>
    <w:rsid w:val="004A0C81"/>
    <w:rsid w:val="004C6388"/>
    <w:rsid w:val="004E64D6"/>
    <w:rsid w:val="0054520D"/>
    <w:rsid w:val="00557487"/>
    <w:rsid w:val="0058320C"/>
    <w:rsid w:val="005F6DC3"/>
    <w:rsid w:val="00622591"/>
    <w:rsid w:val="006511D8"/>
    <w:rsid w:val="00673FBB"/>
    <w:rsid w:val="00691043"/>
    <w:rsid w:val="006A1E37"/>
    <w:rsid w:val="006A54AD"/>
    <w:rsid w:val="006A6508"/>
    <w:rsid w:val="006C426B"/>
    <w:rsid w:val="006D44CB"/>
    <w:rsid w:val="00735C3D"/>
    <w:rsid w:val="00742EB0"/>
    <w:rsid w:val="00775D37"/>
    <w:rsid w:val="007E0BBC"/>
    <w:rsid w:val="00816435"/>
    <w:rsid w:val="008547FC"/>
    <w:rsid w:val="00884822"/>
    <w:rsid w:val="008B58CE"/>
    <w:rsid w:val="008C6303"/>
    <w:rsid w:val="008D33BE"/>
    <w:rsid w:val="009D46FC"/>
    <w:rsid w:val="00A319D3"/>
    <w:rsid w:val="00A5152A"/>
    <w:rsid w:val="00A528A4"/>
    <w:rsid w:val="00A734AE"/>
    <w:rsid w:val="00AE1226"/>
    <w:rsid w:val="00AF2B25"/>
    <w:rsid w:val="00B610C4"/>
    <w:rsid w:val="00C259ED"/>
    <w:rsid w:val="00C45DD0"/>
    <w:rsid w:val="00C731AD"/>
    <w:rsid w:val="00C87AAA"/>
    <w:rsid w:val="00C96FE4"/>
    <w:rsid w:val="00C97EEA"/>
    <w:rsid w:val="00CD431A"/>
    <w:rsid w:val="00CE6035"/>
    <w:rsid w:val="00D14CD5"/>
    <w:rsid w:val="00DF6EC4"/>
    <w:rsid w:val="00E26308"/>
    <w:rsid w:val="00E829E1"/>
    <w:rsid w:val="00E8393B"/>
    <w:rsid w:val="00EC47E5"/>
    <w:rsid w:val="00ED6CA6"/>
    <w:rsid w:val="00EF59A8"/>
    <w:rsid w:val="00F071CF"/>
    <w:rsid w:val="00F432F6"/>
    <w:rsid w:val="00F74B0E"/>
    <w:rsid w:val="00F94137"/>
    <w:rsid w:val="00FA4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11CD"/>
  <w15:chartTrackingRefBased/>
  <w15:docId w15:val="{2D4B73E4-BD67-4926-B581-941F5EBF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44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31916">
      <w:bodyDiv w:val="1"/>
      <w:marLeft w:val="0"/>
      <w:marRight w:val="0"/>
      <w:marTop w:val="0"/>
      <w:marBottom w:val="0"/>
      <w:divBdr>
        <w:top w:val="none" w:sz="0" w:space="0" w:color="auto"/>
        <w:left w:val="none" w:sz="0" w:space="0" w:color="auto"/>
        <w:bottom w:val="none" w:sz="0" w:space="0" w:color="auto"/>
        <w:right w:val="none" w:sz="0" w:space="0" w:color="auto"/>
      </w:divBdr>
    </w:div>
    <w:div w:id="361443916">
      <w:bodyDiv w:val="1"/>
      <w:marLeft w:val="0"/>
      <w:marRight w:val="0"/>
      <w:marTop w:val="0"/>
      <w:marBottom w:val="0"/>
      <w:divBdr>
        <w:top w:val="none" w:sz="0" w:space="0" w:color="auto"/>
        <w:left w:val="none" w:sz="0" w:space="0" w:color="auto"/>
        <w:bottom w:val="none" w:sz="0" w:space="0" w:color="auto"/>
        <w:right w:val="none" w:sz="0" w:space="0" w:color="auto"/>
      </w:divBdr>
    </w:div>
    <w:div w:id="649553707">
      <w:bodyDiv w:val="1"/>
      <w:marLeft w:val="0"/>
      <w:marRight w:val="0"/>
      <w:marTop w:val="0"/>
      <w:marBottom w:val="0"/>
      <w:divBdr>
        <w:top w:val="none" w:sz="0" w:space="0" w:color="auto"/>
        <w:left w:val="none" w:sz="0" w:space="0" w:color="auto"/>
        <w:bottom w:val="none" w:sz="0" w:space="0" w:color="auto"/>
        <w:right w:val="none" w:sz="0" w:space="0" w:color="auto"/>
      </w:divBdr>
    </w:div>
    <w:div w:id="667051624">
      <w:bodyDiv w:val="1"/>
      <w:marLeft w:val="0"/>
      <w:marRight w:val="0"/>
      <w:marTop w:val="0"/>
      <w:marBottom w:val="0"/>
      <w:divBdr>
        <w:top w:val="none" w:sz="0" w:space="0" w:color="auto"/>
        <w:left w:val="none" w:sz="0" w:space="0" w:color="auto"/>
        <w:bottom w:val="none" w:sz="0" w:space="0" w:color="auto"/>
        <w:right w:val="none" w:sz="0" w:space="0" w:color="auto"/>
      </w:divBdr>
    </w:div>
    <w:div w:id="733969536">
      <w:bodyDiv w:val="1"/>
      <w:marLeft w:val="0"/>
      <w:marRight w:val="0"/>
      <w:marTop w:val="0"/>
      <w:marBottom w:val="0"/>
      <w:divBdr>
        <w:top w:val="none" w:sz="0" w:space="0" w:color="auto"/>
        <w:left w:val="none" w:sz="0" w:space="0" w:color="auto"/>
        <w:bottom w:val="none" w:sz="0" w:space="0" w:color="auto"/>
        <w:right w:val="none" w:sz="0" w:space="0" w:color="auto"/>
      </w:divBdr>
    </w:div>
    <w:div w:id="879170220">
      <w:bodyDiv w:val="1"/>
      <w:marLeft w:val="0"/>
      <w:marRight w:val="0"/>
      <w:marTop w:val="0"/>
      <w:marBottom w:val="0"/>
      <w:divBdr>
        <w:top w:val="none" w:sz="0" w:space="0" w:color="auto"/>
        <w:left w:val="none" w:sz="0" w:space="0" w:color="auto"/>
        <w:bottom w:val="none" w:sz="0" w:space="0" w:color="auto"/>
        <w:right w:val="none" w:sz="0" w:space="0" w:color="auto"/>
      </w:divBdr>
    </w:div>
    <w:div w:id="1007293098">
      <w:bodyDiv w:val="1"/>
      <w:marLeft w:val="0"/>
      <w:marRight w:val="0"/>
      <w:marTop w:val="0"/>
      <w:marBottom w:val="0"/>
      <w:divBdr>
        <w:top w:val="none" w:sz="0" w:space="0" w:color="auto"/>
        <w:left w:val="none" w:sz="0" w:space="0" w:color="auto"/>
        <w:bottom w:val="none" w:sz="0" w:space="0" w:color="auto"/>
        <w:right w:val="none" w:sz="0" w:space="0" w:color="auto"/>
      </w:divBdr>
    </w:div>
    <w:div w:id="1239091824">
      <w:bodyDiv w:val="1"/>
      <w:marLeft w:val="0"/>
      <w:marRight w:val="0"/>
      <w:marTop w:val="0"/>
      <w:marBottom w:val="0"/>
      <w:divBdr>
        <w:top w:val="none" w:sz="0" w:space="0" w:color="auto"/>
        <w:left w:val="none" w:sz="0" w:space="0" w:color="auto"/>
        <w:bottom w:val="none" w:sz="0" w:space="0" w:color="auto"/>
        <w:right w:val="none" w:sz="0" w:space="0" w:color="auto"/>
      </w:divBdr>
    </w:div>
    <w:div w:id="1364209279">
      <w:bodyDiv w:val="1"/>
      <w:marLeft w:val="0"/>
      <w:marRight w:val="0"/>
      <w:marTop w:val="0"/>
      <w:marBottom w:val="0"/>
      <w:divBdr>
        <w:top w:val="none" w:sz="0" w:space="0" w:color="auto"/>
        <w:left w:val="none" w:sz="0" w:space="0" w:color="auto"/>
        <w:bottom w:val="none" w:sz="0" w:space="0" w:color="auto"/>
        <w:right w:val="none" w:sz="0" w:space="0" w:color="auto"/>
      </w:divBdr>
    </w:div>
    <w:div w:id="1368675346">
      <w:bodyDiv w:val="1"/>
      <w:marLeft w:val="0"/>
      <w:marRight w:val="0"/>
      <w:marTop w:val="0"/>
      <w:marBottom w:val="0"/>
      <w:divBdr>
        <w:top w:val="none" w:sz="0" w:space="0" w:color="auto"/>
        <w:left w:val="none" w:sz="0" w:space="0" w:color="auto"/>
        <w:bottom w:val="none" w:sz="0" w:space="0" w:color="auto"/>
        <w:right w:val="none" w:sz="0" w:space="0" w:color="auto"/>
      </w:divBdr>
    </w:div>
    <w:div w:id="1463689412">
      <w:bodyDiv w:val="1"/>
      <w:marLeft w:val="0"/>
      <w:marRight w:val="0"/>
      <w:marTop w:val="0"/>
      <w:marBottom w:val="0"/>
      <w:divBdr>
        <w:top w:val="none" w:sz="0" w:space="0" w:color="auto"/>
        <w:left w:val="none" w:sz="0" w:space="0" w:color="auto"/>
        <w:bottom w:val="none" w:sz="0" w:space="0" w:color="auto"/>
        <w:right w:val="none" w:sz="0" w:space="0" w:color="auto"/>
      </w:divBdr>
    </w:div>
    <w:div w:id="1601718243">
      <w:bodyDiv w:val="1"/>
      <w:marLeft w:val="0"/>
      <w:marRight w:val="0"/>
      <w:marTop w:val="0"/>
      <w:marBottom w:val="0"/>
      <w:divBdr>
        <w:top w:val="none" w:sz="0" w:space="0" w:color="auto"/>
        <w:left w:val="none" w:sz="0" w:space="0" w:color="auto"/>
        <w:bottom w:val="none" w:sz="0" w:space="0" w:color="auto"/>
        <w:right w:val="none" w:sz="0" w:space="0" w:color="auto"/>
      </w:divBdr>
    </w:div>
    <w:div w:id="1690837454">
      <w:bodyDiv w:val="1"/>
      <w:marLeft w:val="0"/>
      <w:marRight w:val="0"/>
      <w:marTop w:val="0"/>
      <w:marBottom w:val="0"/>
      <w:divBdr>
        <w:top w:val="none" w:sz="0" w:space="0" w:color="auto"/>
        <w:left w:val="none" w:sz="0" w:space="0" w:color="auto"/>
        <w:bottom w:val="none" w:sz="0" w:space="0" w:color="auto"/>
        <w:right w:val="none" w:sz="0" w:space="0" w:color="auto"/>
      </w:divBdr>
    </w:div>
    <w:div w:id="1707638106">
      <w:bodyDiv w:val="1"/>
      <w:marLeft w:val="0"/>
      <w:marRight w:val="0"/>
      <w:marTop w:val="0"/>
      <w:marBottom w:val="0"/>
      <w:divBdr>
        <w:top w:val="none" w:sz="0" w:space="0" w:color="auto"/>
        <w:left w:val="none" w:sz="0" w:space="0" w:color="auto"/>
        <w:bottom w:val="none" w:sz="0" w:space="0" w:color="auto"/>
        <w:right w:val="none" w:sz="0" w:space="0" w:color="auto"/>
      </w:divBdr>
    </w:div>
    <w:div w:id="1713075571">
      <w:bodyDiv w:val="1"/>
      <w:marLeft w:val="0"/>
      <w:marRight w:val="0"/>
      <w:marTop w:val="0"/>
      <w:marBottom w:val="0"/>
      <w:divBdr>
        <w:top w:val="none" w:sz="0" w:space="0" w:color="auto"/>
        <w:left w:val="none" w:sz="0" w:space="0" w:color="auto"/>
        <w:bottom w:val="none" w:sz="0" w:space="0" w:color="auto"/>
        <w:right w:val="none" w:sz="0" w:space="0" w:color="auto"/>
      </w:divBdr>
    </w:div>
    <w:div w:id="1791431155">
      <w:bodyDiv w:val="1"/>
      <w:marLeft w:val="0"/>
      <w:marRight w:val="0"/>
      <w:marTop w:val="0"/>
      <w:marBottom w:val="0"/>
      <w:divBdr>
        <w:top w:val="none" w:sz="0" w:space="0" w:color="auto"/>
        <w:left w:val="none" w:sz="0" w:space="0" w:color="auto"/>
        <w:bottom w:val="none" w:sz="0" w:space="0" w:color="auto"/>
        <w:right w:val="none" w:sz="0" w:space="0" w:color="auto"/>
      </w:divBdr>
    </w:div>
    <w:div w:id="192390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859</TotalTime>
  <Pages>4</Pages>
  <Words>1597</Words>
  <Characters>9107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35</cp:revision>
  <dcterms:created xsi:type="dcterms:W3CDTF">2016-02-05T15:02:00Z</dcterms:created>
  <dcterms:modified xsi:type="dcterms:W3CDTF">2016-04-05T19:36:00Z</dcterms:modified>
</cp:coreProperties>
</file>