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32A52" w14:textId="5A376C8E" w:rsidR="00AC7380" w:rsidRPr="00AD04F6" w:rsidRDefault="00086DED" w:rsidP="000D370D">
      <w:pPr>
        <w:pStyle w:val="TM-Heading"/>
      </w:pPr>
      <w:r>
        <w:rPr>
          <w:noProof/>
          <w:lang w:eastAsia="en-US"/>
        </w:rPr>
        <w:drawing>
          <wp:anchor distT="0" distB="0" distL="114300" distR="114300" simplePos="0" relativeHeight="251658240" behindDoc="1" locked="0" layoutInCell="1" allowOverlap="1" wp14:anchorId="46D94490" wp14:editId="6FF305A7">
            <wp:simplePos x="0" y="0"/>
            <wp:positionH relativeFrom="column">
              <wp:posOffset>3204210</wp:posOffset>
            </wp:positionH>
            <wp:positionV relativeFrom="paragraph">
              <wp:posOffset>21590</wp:posOffset>
            </wp:positionV>
            <wp:extent cx="2784347" cy="61540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ondarylogo_full_color_l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4347" cy="615403"/>
                    </a:xfrm>
                    <a:prstGeom prst="rect">
                      <a:avLst/>
                    </a:prstGeom>
                  </pic:spPr>
                </pic:pic>
              </a:graphicData>
            </a:graphic>
            <wp14:sizeRelH relativeFrom="page">
              <wp14:pctWidth>0</wp14:pctWidth>
            </wp14:sizeRelH>
            <wp14:sizeRelV relativeFrom="page">
              <wp14:pctHeight>0</wp14:pctHeight>
            </wp14:sizeRelV>
          </wp:anchor>
        </w:drawing>
      </w:r>
      <w:r w:rsidR="00AC7380" w:rsidRPr="00AD04F6">
        <w:t>TECHNICAL MEMORANDUM</w:t>
      </w:r>
    </w:p>
    <w:p w14:paraId="19432A53" w14:textId="77777777" w:rsidR="00AC7380" w:rsidRDefault="00AC7380">
      <w:pPr>
        <w:rPr>
          <w:b/>
        </w:rPr>
      </w:pPr>
    </w:p>
    <w:p w14:paraId="018EB4BE" w14:textId="77777777" w:rsidR="00C15FF7" w:rsidRDefault="00C15FF7" w:rsidP="00BA23B4">
      <w:pPr>
        <w:pStyle w:val="Title-TM"/>
      </w:pPr>
    </w:p>
    <w:p w14:paraId="19432A54" w14:textId="349452B4" w:rsidR="00AC7380" w:rsidRPr="00C7238B" w:rsidRDefault="00784140" w:rsidP="00BA23B4">
      <w:pPr>
        <w:pStyle w:val="Title-TM"/>
      </w:pPr>
      <w:r>
        <w:t>Mosquito Lagoon Reasonable Assurance Plan</w:t>
      </w:r>
    </w:p>
    <w:p w14:paraId="19432A55" w14:textId="77777777" w:rsidR="00AC7380" w:rsidRDefault="00AC7380" w:rsidP="007F6DE7">
      <w:pPr>
        <w:spacing w:after="0"/>
      </w:pPr>
    </w:p>
    <w:p w14:paraId="19432A56" w14:textId="23EA4B3B" w:rsidR="00AC7380" w:rsidRPr="00B87899" w:rsidRDefault="00AC7380" w:rsidP="007F6DE7">
      <w:pPr>
        <w:tabs>
          <w:tab w:val="left" w:pos="2160"/>
        </w:tabs>
        <w:spacing w:after="0"/>
      </w:pPr>
      <w:r>
        <w:rPr>
          <w:b/>
        </w:rPr>
        <w:t>TO:</w:t>
      </w:r>
      <w:r w:rsidR="00784140">
        <w:rPr>
          <w:b/>
        </w:rPr>
        <w:tab/>
      </w:r>
      <w:r w:rsidR="00784140" w:rsidRPr="00B87899">
        <w:t>Stakeholder Group</w:t>
      </w:r>
    </w:p>
    <w:p w14:paraId="19432A57" w14:textId="77777777" w:rsidR="00AC7380" w:rsidRDefault="00AC7380" w:rsidP="007F6DE7">
      <w:pPr>
        <w:tabs>
          <w:tab w:val="left" w:pos="2160"/>
        </w:tabs>
        <w:spacing w:after="0"/>
      </w:pPr>
    </w:p>
    <w:p w14:paraId="19432A58" w14:textId="592CBA0C" w:rsidR="00AC7380" w:rsidRPr="002804BF" w:rsidRDefault="00AC7380" w:rsidP="007F6DE7">
      <w:pPr>
        <w:tabs>
          <w:tab w:val="left" w:pos="2160"/>
        </w:tabs>
        <w:spacing w:after="0"/>
      </w:pPr>
      <w:r>
        <w:rPr>
          <w:b/>
        </w:rPr>
        <w:t>FROM:</w:t>
      </w:r>
      <w:r>
        <w:rPr>
          <w:b/>
        </w:rPr>
        <w:tab/>
      </w:r>
      <w:r w:rsidR="00784140" w:rsidRPr="00B87899">
        <w:t>Brett Cunningham</w:t>
      </w:r>
      <w:r w:rsidR="00B87899" w:rsidRPr="00B87899">
        <w:t>, PE</w:t>
      </w:r>
    </w:p>
    <w:p w14:paraId="19432A59" w14:textId="77777777" w:rsidR="00AC7380" w:rsidRDefault="00AC7380" w:rsidP="007F6DE7">
      <w:pPr>
        <w:tabs>
          <w:tab w:val="left" w:pos="2160"/>
        </w:tabs>
        <w:spacing w:after="0"/>
      </w:pPr>
    </w:p>
    <w:p w14:paraId="19432A5C" w14:textId="1F461C9B" w:rsidR="00AC7380" w:rsidRPr="000F1ECF" w:rsidRDefault="00AC7380" w:rsidP="007F6DE7">
      <w:pPr>
        <w:tabs>
          <w:tab w:val="left" w:pos="2160"/>
        </w:tabs>
        <w:spacing w:after="0"/>
      </w:pPr>
      <w:r>
        <w:rPr>
          <w:b/>
        </w:rPr>
        <w:t>DATE:</w:t>
      </w:r>
      <w:r>
        <w:rPr>
          <w:b/>
        </w:rPr>
        <w:tab/>
      </w:r>
      <w:r w:rsidR="00341CB2">
        <w:fldChar w:fldCharType="begin"/>
      </w:r>
      <w:r w:rsidR="00341CB2">
        <w:instrText xml:space="preserve"> DATE  \@ "MMMM d, yyyy"  \* MERGEFORMAT </w:instrText>
      </w:r>
      <w:r w:rsidR="00341CB2">
        <w:fldChar w:fldCharType="separate"/>
      </w:r>
      <w:r w:rsidR="00FC5109">
        <w:rPr>
          <w:noProof/>
        </w:rPr>
        <w:t>June 7, 2017</w:t>
      </w:r>
      <w:r w:rsidR="00341CB2">
        <w:fldChar w:fldCharType="end"/>
      </w:r>
    </w:p>
    <w:p w14:paraId="19432A5D" w14:textId="77777777" w:rsidR="00AC7380" w:rsidRDefault="00AC7380" w:rsidP="007F6DE7">
      <w:pPr>
        <w:tabs>
          <w:tab w:val="left" w:pos="2160"/>
        </w:tabs>
        <w:spacing w:after="0"/>
      </w:pPr>
    </w:p>
    <w:p w14:paraId="19432A5E" w14:textId="387FE5BA" w:rsidR="000149F1" w:rsidRPr="000F1ECF" w:rsidRDefault="00AC7380" w:rsidP="00BA23B4">
      <w:pPr>
        <w:pBdr>
          <w:bottom w:val="single" w:sz="4" w:space="1" w:color="auto"/>
        </w:pBdr>
        <w:tabs>
          <w:tab w:val="left" w:pos="2160"/>
        </w:tabs>
        <w:spacing w:after="0"/>
        <w:ind w:left="2160" w:hanging="2160"/>
      </w:pPr>
      <w:r>
        <w:rPr>
          <w:b/>
        </w:rPr>
        <w:t>SUBJECT:</w:t>
      </w:r>
      <w:r>
        <w:rPr>
          <w:b/>
        </w:rPr>
        <w:tab/>
      </w:r>
      <w:r w:rsidR="00B51FC3">
        <w:t>Responses to Draft Watershed Model Report</w:t>
      </w:r>
    </w:p>
    <w:p w14:paraId="19432A5F" w14:textId="373FD4C1" w:rsidR="00AC7380" w:rsidRPr="000F1ECF" w:rsidRDefault="000149F1" w:rsidP="00BA23B4">
      <w:pPr>
        <w:pBdr>
          <w:bottom w:val="single" w:sz="4" w:space="1" w:color="auto"/>
        </w:pBdr>
        <w:tabs>
          <w:tab w:val="left" w:pos="2160"/>
        </w:tabs>
        <w:spacing w:after="0"/>
        <w:ind w:left="2160" w:hanging="2160"/>
      </w:pPr>
      <w:r w:rsidRPr="000F1ECF">
        <w:tab/>
      </w:r>
      <w:r w:rsidR="005249B5" w:rsidRPr="000F1ECF">
        <w:t>Jones Edmunds Project No.</w:t>
      </w:r>
      <w:r w:rsidR="00B87899">
        <w:t>:</w:t>
      </w:r>
      <w:r w:rsidR="00784140">
        <w:t xml:space="preserve"> 22015-012-01</w:t>
      </w:r>
    </w:p>
    <w:p w14:paraId="19432A60" w14:textId="1B6430C6" w:rsidR="009E726A" w:rsidRDefault="00B51FC3" w:rsidP="00043DAE">
      <w:pPr>
        <w:pStyle w:val="Heading1"/>
      </w:pPr>
      <w:r>
        <w:t>introduction</w:t>
      </w:r>
    </w:p>
    <w:p w14:paraId="0CA63B1A" w14:textId="0ABC6F1F" w:rsidR="00B51FC3" w:rsidRDefault="00B51FC3" w:rsidP="00B51FC3">
      <w:r>
        <w:t xml:space="preserve">Jones Edmunds </w:t>
      </w:r>
      <w:r w:rsidR="00DC1D5A">
        <w:t xml:space="preserve">&amp; Associates, Inc. </w:t>
      </w:r>
      <w:r>
        <w:t xml:space="preserve">posted the latest Draft Watershed Model Report </w:t>
      </w:r>
      <w:r w:rsidR="007725FD">
        <w:t xml:space="preserve">to the Teamwork site </w:t>
      </w:r>
      <w:r>
        <w:t>on January 3, 2017. At the previous Stakeholder meeting, the Stakeholder</w:t>
      </w:r>
      <w:r w:rsidR="007725FD">
        <w:t>s</w:t>
      </w:r>
      <w:r>
        <w:t xml:space="preserve"> agreed to have a comment period of 2 weeks in which to review the report and provide comments. Jones Edmunds extended that comment period to ensure adequate time for </w:t>
      </w:r>
      <w:r w:rsidR="007725FD">
        <w:t>ever</w:t>
      </w:r>
      <w:r>
        <w:t>yone that wanted to comment to do so. We handled comments in one of the following two ways:</w:t>
      </w:r>
    </w:p>
    <w:p w14:paraId="7F4DF75A" w14:textId="49C10D43" w:rsidR="00B51FC3" w:rsidRDefault="00FD0396" w:rsidP="00B51FC3">
      <w:pPr>
        <w:pStyle w:val="Bullet"/>
      </w:pPr>
      <w:r>
        <w:t>For comments where we agree that a change needed to be made – in either the report or the model</w:t>
      </w:r>
      <w:r w:rsidR="007725FD">
        <w:t xml:space="preserve"> itself</w:t>
      </w:r>
      <w:r>
        <w:t xml:space="preserve"> – we updated the report or model in accordance with the comment.</w:t>
      </w:r>
    </w:p>
    <w:p w14:paraId="5BC05F36" w14:textId="61014C22" w:rsidR="00FD0396" w:rsidRDefault="00FD0396" w:rsidP="00B51FC3">
      <w:pPr>
        <w:pStyle w:val="Bullet"/>
      </w:pPr>
      <w:r>
        <w:t xml:space="preserve">For comments where we do not believe an update is needed, we have included a discussion in this Technical Memorandum </w:t>
      </w:r>
      <w:r w:rsidR="007725FD">
        <w:t>on</w:t>
      </w:r>
      <w:r>
        <w:t xml:space="preserve"> why we do not believe an update is needed. Therefore, the responses to comments in this Technical Memorandum represent a subset of the total comments received on the report and model.</w:t>
      </w:r>
    </w:p>
    <w:p w14:paraId="12975255" w14:textId="5568CB86" w:rsidR="001D78F4" w:rsidRDefault="00FD0396" w:rsidP="001D78F4">
      <w:pPr>
        <w:pStyle w:val="Heading1"/>
      </w:pPr>
      <w:r>
        <w:t>Responses to comments not incorporated into</w:t>
      </w:r>
      <w:r w:rsidR="00DC1D5A">
        <w:t xml:space="preserve"> THE</w:t>
      </w:r>
      <w:r>
        <w:t xml:space="preserve"> final report</w:t>
      </w:r>
    </w:p>
    <w:p w14:paraId="36F2D682" w14:textId="79FFA165" w:rsidR="001D78F4" w:rsidRDefault="00FD0396" w:rsidP="001D78F4">
      <w:r>
        <w:t>The following are responses to comments th</w:t>
      </w:r>
      <w:r w:rsidR="00DC1D5A">
        <w:t>at</w:t>
      </w:r>
      <w:r>
        <w:t xml:space="preserve"> were not incorporated directly into the Final Watershed Model Report:</w:t>
      </w:r>
    </w:p>
    <w:p w14:paraId="6E21BD1B" w14:textId="68F6C563" w:rsidR="00834730" w:rsidRDefault="00834730" w:rsidP="00834730">
      <w:pPr>
        <w:pStyle w:val="Bullet"/>
      </w:pPr>
      <w:r>
        <w:rPr>
          <w:b/>
        </w:rPr>
        <w:t>Page 1-1, third paragraph:</w:t>
      </w:r>
      <w:r>
        <w:t xml:space="preserve"> </w:t>
      </w:r>
      <w:r w:rsidRPr="00834730">
        <w:t>Was septic tank treated separated from all other point source? So it was excluded from the module "point-source"?</w:t>
      </w:r>
    </w:p>
    <w:p w14:paraId="2882DB0F" w14:textId="76519ED5" w:rsidR="00834730" w:rsidRDefault="00834730" w:rsidP="00834730">
      <w:pPr>
        <w:pStyle w:val="Bullet"/>
        <w:numPr>
          <w:ilvl w:val="0"/>
          <w:numId w:val="0"/>
        </w:numPr>
        <w:ind w:left="360"/>
      </w:pPr>
      <w:r w:rsidRPr="00232063">
        <w:rPr>
          <w:u w:val="single"/>
        </w:rPr>
        <w:t>Response</w:t>
      </w:r>
      <w:r>
        <w:t>: Septic tanks were treated separately and are excluded from the module “point-source.”</w:t>
      </w:r>
    </w:p>
    <w:p w14:paraId="1E342DC1" w14:textId="671689F9" w:rsidR="00834730" w:rsidRDefault="00834730" w:rsidP="00834730">
      <w:pPr>
        <w:pStyle w:val="Bullet"/>
      </w:pPr>
      <w:r>
        <w:rPr>
          <w:b/>
        </w:rPr>
        <w:t>Page 1-1, Section 1.1:</w:t>
      </w:r>
      <w:r>
        <w:t xml:space="preserve"> D</w:t>
      </w:r>
      <w:r w:rsidRPr="00834730">
        <w:t>id you re-delineate the watershed or used the existing one. If this is a new one, what were the source data and how did you define the watershed? If you used the existing one, what is the source?</w:t>
      </w:r>
    </w:p>
    <w:p w14:paraId="52CC0D58" w14:textId="1333ADAC" w:rsidR="00834730" w:rsidRPr="00834730" w:rsidRDefault="00834730" w:rsidP="00834730">
      <w:pPr>
        <w:pStyle w:val="Bullet"/>
        <w:numPr>
          <w:ilvl w:val="0"/>
          <w:numId w:val="0"/>
        </w:numPr>
        <w:ind w:left="360"/>
      </w:pPr>
      <w:r w:rsidRPr="00232063">
        <w:rPr>
          <w:u w:val="single"/>
        </w:rPr>
        <w:t>Response</w:t>
      </w:r>
      <w:r>
        <w:t>: We re-delineated the watershed primarily using the 2007 FDEM LiDAR dataset. We supplemented with storm sewer information and information from other studies where available. As described in Section 1.1, we excluded some of the closed basin areas.</w:t>
      </w:r>
    </w:p>
    <w:p w14:paraId="00E05A07" w14:textId="65BBB076" w:rsidR="00FD0396" w:rsidRDefault="00922078" w:rsidP="00922078">
      <w:pPr>
        <w:pStyle w:val="Bullet"/>
      </w:pPr>
      <w:r>
        <w:rPr>
          <w:b/>
        </w:rPr>
        <w:lastRenderedPageBreak/>
        <w:t>Page 2-5, first paragraph:</w:t>
      </w:r>
      <w:r w:rsidR="001D78F4">
        <w:t xml:space="preserve"> </w:t>
      </w:r>
      <w:r>
        <w:t>The Priestly-Taylor m</w:t>
      </w:r>
      <w:r w:rsidRPr="00922078">
        <w:t>ethod is appropriate for use in the Florida humid climate</w:t>
      </w:r>
      <w:r>
        <w:t>.</w:t>
      </w:r>
    </w:p>
    <w:p w14:paraId="19762AEE" w14:textId="15F49B3D" w:rsidR="001D78F4" w:rsidRDefault="00922078" w:rsidP="00922078">
      <w:pPr>
        <w:pStyle w:val="Bullet"/>
        <w:numPr>
          <w:ilvl w:val="0"/>
          <w:numId w:val="0"/>
        </w:numPr>
        <w:ind w:left="360"/>
      </w:pPr>
      <w:r w:rsidRPr="00232063">
        <w:rPr>
          <w:u w:val="single"/>
        </w:rPr>
        <w:t>Response</w:t>
      </w:r>
      <w:r>
        <w:t>: Acknowledged.</w:t>
      </w:r>
    </w:p>
    <w:p w14:paraId="27DF3BC7" w14:textId="175C5D1D" w:rsidR="00245D2A" w:rsidRDefault="00245D2A" w:rsidP="007F6215">
      <w:pPr>
        <w:pStyle w:val="Bullet"/>
      </w:pPr>
      <w:r>
        <w:rPr>
          <w:b/>
        </w:rPr>
        <w:t>Page 2-5, last paragraph:</w:t>
      </w:r>
      <w:r>
        <w:t xml:space="preserve"> A</w:t>
      </w:r>
      <w:r w:rsidRPr="00245D2A">
        <w:t>re there any seasonal trends some type of summary description should be added to the text?</w:t>
      </w:r>
      <w:r w:rsidR="007F6215">
        <w:t xml:space="preserve"> </w:t>
      </w:r>
      <w:r w:rsidR="007F6215" w:rsidRPr="007F6215">
        <w:t>Then omit year 1995.</w:t>
      </w:r>
    </w:p>
    <w:p w14:paraId="3A051297" w14:textId="154DC82E" w:rsidR="00245D2A" w:rsidRDefault="00245D2A" w:rsidP="00245D2A">
      <w:pPr>
        <w:pStyle w:val="Bullet"/>
        <w:numPr>
          <w:ilvl w:val="0"/>
          <w:numId w:val="0"/>
        </w:numPr>
        <w:ind w:left="360"/>
      </w:pPr>
      <w:r w:rsidRPr="00232063">
        <w:rPr>
          <w:u w:val="single"/>
        </w:rPr>
        <w:t>Response</w:t>
      </w:r>
      <w:r>
        <w:t>: Because there was so little deviation throughout the year, as shown in Figure 2-2, we did not feel that a seasonality test was necessary.</w:t>
      </w:r>
      <w:r w:rsidR="007F6215">
        <w:t xml:space="preserve"> We prefer to include the entire dataset.</w:t>
      </w:r>
    </w:p>
    <w:p w14:paraId="539537C3" w14:textId="479FCB30" w:rsidR="007F6215" w:rsidRDefault="007F6215" w:rsidP="007F6215">
      <w:pPr>
        <w:pStyle w:val="Bullet"/>
      </w:pPr>
      <w:r>
        <w:rPr>
          <w:b/>
        </w:rPr>
        <w:t>Page 2-7, second paragraph, second sentence:</w:t>
      </w:r>
      <w:r>
        <w:t xml:space="preserve"> W</w:t>
      </w:r>
      <w:r w:rsidRPr="007F6215">
        <w:t>ho did this? If someone else, please provide reference, if done in house, please provide more details.</w:t>
      </w:r>
    </w:p>
    <w:p w14:paraId="1E8923C9" w14:textId="15B7A2FD" w:rsidR="007F6215" w:rsidRDefault="007F6215" w:rsidP="007F6215">
      <w:pPr>
        <w:pStyle w:val="Bullet"/>
        <w:numPr>
          <w:ilvl w:val="0"/>
          <w:numId w:val="0"/>
        </w:numPr>
        <w:ind w:left="360"/>
      </w:pPr>
      <w:r w:rsidRPr="00232063">
        <w:rPr>
          <w:u w:val="single"/>
        </w:rPr>
        <w:t>Response</w:t>
      </w:r>
      <w:r>
        <w:t>: These estimates were done by our in-house ecologists based on their general understanding of vegetation cover and root depths typical for those covers.</w:t>
      </w:r>
    </w:p>
    <w:p w14:paraId="20C0CDDB" w14:textId="19C54FEB" w:rsidR="00282532" w:rsidRDefault="00282532" w:rsidP="00282532">
      <w:pPr>
        <w:pStyle w:val="Bullet"/>
      </w:pPr>
      <w:r>
        <w:rPr>
          <w:b/>
        </w:rPr>
        <w:t>Section 2-2, first equation, rainfall term:</w:t>
      </w:r>
      <w:r>
        <w:t xml:space="preserve"> </w:t>
      </w:r>
      <w:r w:rsidRPr="00282532">
        <w:t>I</w:t>
      </w:r>
      <w:r>
        <w:t>s</w:t>
      </w:r>
      <w:r w:rsidRPr="00282532">
        <w:t xml:space="preserve"> rainfall considered as the only input source of water? What about surface and ground inflow?</w:t>
      </w:r>
    </w:p>
    <w:p w14:paraId="1FA61F4E" w14:textId="3F84A940" w:rsidR="00282532" w:rsidRDefault="00282532" w:rsidP="00282532">
      <w:pPr>
        <w:pStyle w:val="Bullet"/>
        <w:numPr>
          <w:ilvl w:val="0"/>
          <w:numId w:val="0"/>
        </w:numPr>
        <w:ind w:left="360"/>
      </w:pPr>
      <w:r w:rsidRPr="00232063">
        <w:rPr>
          <w:u w:val="single"/>
        </w:rPr>
        <w:t>Response</w:t>
      </w:r>
      <w:r>
        <w:t>: In terms of this continuity equation, rainfall is considered as the only input source. Surface and groundwater flow are considered as outflow terms only in this context. It is similar, for instance, to the continuity equation in SWMM.</w:t>
      </w:r>
    </w:p>
    <w:p w14:paraId="2AD02541" w14:textId="5EDF952D" w:rsidR="00043B1C" w:rsidRDefault="00043B1C" w:rsidP="00043B1C">
      <w:pPr>
        <w:pStyle w:val="Bullet"/>
      </w:pPr>
      <w:r>
        <w:rPr>
          <w:b/>
        </w:rPr>
        <w:t>Table 2-2</w:t>
      </w:r>
      <w:r w:rsidRPr="00922078">
        <w:rPr>
          <w:b/>
        </w:rPr>
        <w:t>:</w:t>
      </w:r>
      <w:r>
        <w:t xml:space="preserve"> Saturated horizontal hydraulic conductivity</w:t>
      </w:r>
      <w:r w:rsidRPr="00043B1C">
        <w:t xml:space="preserve"> generally decreases per Rawls, et al. soil data and Table 7-1 in </w:t>
      </w:r>
      <w:r w:rsidR="007B3538">
        <w:t xml:space="preserve">the </w:t>
      </w:r>
      <w:r w:rsidRPr="00043B1C">
        <w:t>National Engineering Handbook</w:t>
      </w:r>
      <w:r w:rsidR="007B3538">
        <w:t>,</w:t>
      </w:r>
      <w:r w:rsidRPr="00043B1C">
        <w:t xml:space="preserve"> Part 630, Chapter 7</w:t>
      </w:r>
      <w:r>
        <w:t xml:space="preserve">. Wilting point and field capacity </w:t>
      </w:r>
      <w:r w:rsidRPr="00043B1C">
        <w:t>generally increase as the runoff potential of a soil increases. Refer to Rawls, et al. soil parameters.</w:t>
      </w:r>
      <w:r>
        <w:t xml:space="preserve"> Vadose zone moisture </w:t>
      </w:r>
      <w:r w:rsidRPr="00043B1C">
        <w:t>generally increases as the runoff potential of a soil increases.</w:t>
      </w:r>
    </w:p>
    <w:p w14:paraId="59DDBE08" w14:textId="2608A13A" w:rsidR="00043B1C" w:rsidRDefault="00043B1C" w:rsidP="00043B1C">
      <w:pPr>
        <w:pStyle w:val="Bullet"/>
        <w:numPr>
          <w:ilvl w:val="0"/>
          <w:numId w:val="0"/>
        </w:numPr>
        <w:ind w:left="360"/>
      </w:pPr>
      <w:r w:rsidRPr="007725FD">
        <w:rPr>
          <w:u w:val="single"/>
        </w:rPr>
        <w:t>Response:</w:t>
      </w:r>
      <w:r>
        <w:t xml:space="preserve"> We agree with all of the statements above. Based on that</w:t>
      </w:r>
      <w:r w:rsidR="007B3538">
        <w:t>,</w:t>
      </w:r>
      <w:r>
        <w:t xml:space="preserve"> we initially thought we had simply transposed the groundwater parameters for HSG A and B soils. However, we have verified that those are correct averages over the study area using the SSURGO data. The resulting averages are counter-intuitive, but we do not have data to override the SSURGO data.</w:t>
      </w:r>
      <w:r w:rsidR="00C737BF">
        <w:t xml:space="preserve"> We have tested the sensitivity to these parameters, and the results are generally not very sensitive to them – especially at a monthly scale. Therefore, regardless of the counter intuitiveness of the data, we believe the results are reflective of what is occurring in the watershed.</w:t>
      </w:r>
    </w:p>
    <w:p w14:paraId="2E7C8785" w14:textId="7685B1D3" w:rsidR="001C2872" w:rsidRDefault="001C2872" w:rsidP="001C2872">
      <w:pPr>
        <w:pStyle w:val="Bullet"/>
      </w:pPr>
      <w:r>
        <w:rPr>
          <w:b/>
        </w:rPr>
        <w:t>Page 2-10, first paragraph,</w:t>
      </w:r>
      <w:r w:rsidRPr="00922078">
        <w:rPr>
          <w:b/>
        </w:rPr>
        <w:t xml:space="preserve"> </w:t>
      </w:r>
      <w:r>
        <w:rPr>
          <w:b/>
        </w:rPr>
        <w:t>0.2S term</w:t>
      </w:r>
      <w:r w:rsidRPr="00922078">
        <w:rPr>
          <w:b/>
        </w:rPr>
        <w:t>:</w:t>
      </w:r>
      <w:r>
        <w:t xml:space="preserve"> W</w:t>
      </w:r>
      <w:r w:rsidRPr="001C2872">
        <w:t>here is this constant from?</w:t>
      </w:r>
    </w:p>
    <w:p w14:paraId="2F2472A5" w14:textId="244EFFE2" w:rsidR="001C2872" w:rsidRDefault="001C2872" w:rsidP="001C2872">
      <w:pPr>
        <w:pStyle w:val="Bullet"/>
        <w:numPr>
          <w:ilvl w:val="0"/>
          <w:numId w:val="0"/>
        </w:numPr>
        <w:ind w:left="360"/>
      </w:pPr>
      <w:r w:rsidRPr="007725FD">
        <w:rPr>
          <w:u w:val="single"/>
        </w:rPr>
        <w:t>Response:</w:t>
      </w:r>
      <w:r>
        <w:t xml:space="preserve"> As stated in the sentence, it is from the NRCS TR-55 Manual.</w:t>
      </w:r>
    </w:p>
    <w:p w14:paraId="27F500A8" w14:textId="5CF0541C" w:rsidR="001D78F4" w:rsidRDefault="00922078" w:rsidP="00922078">
      <w:pPr>
        <w:pStyle w:val="Bullet"/>
      </w:pPr>
      <w:r>
        <w:rPr>
          <w:b/>
        </w:rPr>
        <w:t>Page 2-10, first paragraph,</w:t>
      </w:r>
      <w:r w:rsidRPr="00922078">
        <w:rPr>
          <w:b/>
        </w:rPr>
        <w:t xml:space="preserve"> Ia for DCIA was fixed at 0.1 inch:</w:t>
      </w:r>
      <w:r>
        <w:t xml:space="preserve"> </w:t>
      </w:r>
      <w:r w:rsidRPr="00922078">
        <w:t>Okay based on ASCE document “Design and Construction of Urban Stormwater Management Systems” and represents a curve number of 95.24</w:t>
      </w:r>
      <w:r>
        <w:t>.</w:t>
      </w:r>
    </w:p>
    <w:p w14:paraId="76133DA1" w14:textId="77777777" w:rsidR="00922078" w:rsidRDefault="00922078" w:rsidP="00922078">
      <w:pPr>
        <w:pStyle w:val="Bullet"/>
        <w:numPr>
          <w:ilvl w:val="0"/>
          <w:numId w:val="0"/>
        </w:numPr>
        <w:ind w:left="360"/>
      </w:pPr>
      <w:r w:rsidRPr="007725FD">
        <w:rPr>
          <w:u w:val="single"/>
        </w:rPr>
        <w:t>Response:</w:t>
      </w:r>
      <w:r>
        <w:t xml:space="preserve"> Acknowledged.</w:t>
      </w:r>
    </w:p>
    <w:p w14:paraId="7C948423" w14:textId="1DB2C54A" w:rsidR="001C2872" w:rsidRDefault="001C2872" w:rsidP="001C2872">
      <w:pPr>
        <w:pStyle w:val="Bullet"/>
      </w:pPr>
      <w:r>
        <w:rPr>
          <w:b/>
        </w:rPr>
        <w:t>Page 2-10, first equation</w:t>
      </w:r>
      <w:r w:rsidRPr="00922078">
        <w:rPr>
          <w:b/>
        </w:rPr>
        <w:t>:</w:t>
      </w:r>
      <w:r>
        <w:t xml:space="preserve"> </w:t>
      </w:r>
      <w:r w:rsidRPr="001C2872">
        <w:t>Doesn't this denominator be surface area of the pixel?</w:t>
      </w:r>
      <w:bookmarkStart w:id="0" w:name="_GoBack"/>
      <w:bookmarkEnd w:id="0"/>
    </w:p>
    <w:p w14:paraId="689E329E" w14:textId="5C4F0686" w:rsidR="001C2872" w:rsidRDefault="001C2872" w:rsidP="001C2872">
      <w:pPr>
        <w:pStyle w:val="Bullet"/>
        <w:numPr>
          <w:ilvl w:val="0"/>
          <w:numId w:val="0"/>
        </w:numPr>
        <w:ind w:left="360"/>
      </w:pPr>
      <w:r w:rsidRPr="007725FD">
        <w:rPr>
          <w:u w:val="single"/>
        </w:rPr>
        <w:t>Response:</w:t>
      </w:r>
      <w:r>
        <w:t xml:space="preserve"> </w:t>
      </w:r>
      <w:r w:rsidR="00CD2712">
        <w:t>As stated in the text, the equation represents a depth</w:t>
      </w:r>
      <w:r>
        <w:t>.</w:t>
      </w:r>
      <w:r w:rsidR="00CD2712">
        <w:t xml:space="preserve"> It is converted into a volume based on applying it over an area. If interested in the volume over a pixel, then the pixel area would be appropriate.</w:t>
      </w:r>
    </w:p>
    <w:p w14:paraId="599E3EA4" w14:textId="17FB0250" w:rsidR="001D78F4" w:rsidRDefault="00232063" w:rsidP="00232063">
      <w:pPr>
        <w:pStyle w:val="Bullet"/>
      </w:pPr>
      <w:r>
        <w:rPr>
          <w:b/>
        </w:rPr>
        <w:lastRenderedPageBreak/>
        <w:t>Page 2-10, groundwater flow equation</w:t>
      </w:r>
      <w:r w:rsidRPr="00922078">
        <w:rPr>
          <w:b/>
        </w:rPr>
        <w:t>:</w:t>
      </w:r>
      <w:r>
        <w:rPr>
          <w:b/>
        </w:rPr>
        <w:t xml:space="preserve"> </w:t>
      </w:r>
      <w:r w:rsidRPr="00232063">
        <w:t>Error in Dupuit-Forcheimer equation.  It should be presented as (D1</w:t>
      </w:r>
      <w:r w:rsidRPr="00232063">
        <w:rPr>
          <w:vertAlign w:val="superscript"/>
        </w:rPr>
        <w:t>2</w:t>
      </w:r>
      <w:r w:rsidRPr="00232063">
        <w:t xml:space="preserve"> – BC</w:t>
      </w:r>
      <w:r w:rsidRPr="00232063">
        <w:rPr>
          <w:vertAlign w:val="superscript"/>
        </w:rPr>
        <w:t>2</w:t>
      </w:r>
      <w:r w:rsidRPr="00232063">
        <w:t>)*C*K/L</w:t>
      </w:r>
      <w:r w:rsidRPr="00232063">
        <w:rPr>
          <w:vertAlign w:val="superscript"/>
        </w:rPr>
        <w:t>2</w:t>
      </w:r>
      <w:r w:rsidRPr="00232063">
        <w:t>. The variable D1 is maximum vadose zone depth, not average depth. Also, note that GWFLW has units of length per time.</w:t>
      </w:r>
    </w:p>
    <w:p w14:paraId="29630DFC" w14:textId="21216A89" w:rsidR="001D78F4" w:rsidRDefault="00232063" w:rsidP="00232063">
      <w:pPr>
        <w:pStyle w:val="Bullet"/>
        <w:numPr>
          <w:ilvl w:val="0"/>
          <w:numId w:val="0"/>
        </w:numPr>
        <w:ind w:left="360"/>
      </w:pPr>
      <w:r w:rsidRPr="00232063">
        <w:rPr>
          <w:u w:val="single"/>
        </w:rPr>
        <w:t>Response:</w:t>
      </w:r>
      <w:r>
        <w:t xml:space="preserve"> The flow equation was taken directly from the SWMM 4 User’s Manual, Appendix X. We acknowledge the more familiar form of the equation under the Dupuit-Forcheimer approximation provided in the comment. However, the application in the SWMM groundwater routine – similar to how we have applied it in this model – is an atypical derivation of the Dupuit-Forcheimer approximation, based in part on the fact that the model does not track a maximum vadose zone depth. It only tracks one depth, which must be interpreted as the average. Therefore, the form of the equation will differ from the more familiar form. Perhaps an alternative way of describing the flow equation used in the model is</w:t>
      </w:r>
      <w:r w:rsidR="006642C4">
        <w:t xml:space="preserve"> as</w:t>
      </w:r>
      <w:r>
        <w:t xml:space="preserve"> the generalized SWMM groundwater </w:t>
      </w:r>
      <w:r w:rsidR="006642C4">
        <w:t>equation</w:t>
      </w:r>
      <w:r>
        <w:t xml:space="preserve"> as applied under the Dupuit-Forcheimer approximation.</w:t>
      </w:r>
    </w:p>
    <w:p w14:paraId="1A39B646" w14:textId="3FF2C492" w:rsidR="00CD2712" w:rsidRDefault="00CD2712" w:rsidP="00CD2712">
      <w:pPr>
        <w:pStyle w:val="Bullet"/>
      </w:pPr>
      <w:r>
        <w:rPr>
          <w:b/>
        </w:rPr>
        <w:t>Page 2-11, third paragraph, crop coefficient</w:t>
      </w:r>
      <w:r w:rsidRPr="00922078">
        <w:rPr>
          <w:b/>
        </w:rPr>
        <w:t>:</w:t>
      </w:r>
      <w:r>
        <w:t xml:space="preserve"> H</w:t>
      </w:r>
      <w:r w:rsidRPr="00CD2712">
        <w:t>ow many different ty</w:t>
      </w:r>
      <w:r>
        <w:t>p</w:t>
      </w:r>
      <w:r w:rsidRPr="00CD2712">
        <w:t>es of crop (vegetation) did you use? And what are classes?</w:t>
      </w:r>
      <w:r w:rsidRPr="001C2872">
        <w:t>?</w:t>
      </w:r>
    </w:p>
    <w:p w14:paraId="331263D0" w14:textId="13947615" w:rsidR="00CD2712" w:rsidRDefault="00CD2712" w:rsidP="00CD2712">
      <w:pPr>
        <w:pStyle w:val="Bullet"/>
        <w:numPr>
          <w:ilvl w:val="0"/>
          <w:numId w:val="0"/>
        </w:numPr>
        <w:ind w:left="360"/>
      </w:pPr>
      <w:r w:rsidRPr="007725FD">
        <w:rPr>
          <w:u w:val="single"/>
        </w:rPr>
        <w:t>Response:</w:t>
      </w:r>
      <w:r>
        <w:t xml:space="preserve"> </w:t>
      </w:r>
      <w:r w:rsidR="00DF1AB9">
        <w:t>Since the modeling was based on land use, we used a mix of vegetation that is representative of each land use</w:t>
      </w:r>
      <w:r>
        <w:t>.</w:t>
      </w:r>
      <w:r w:rsidR="00DF1AB9">
        <w:t xml:space="preserve"> For instance, single-family residential was weighted toward lawn turf.</w:t>
      </w:r>
    </w:p>
    <w:p w14:paraId="69973968" w14:textId="4182ADE4" w:rsidR="001D78F4" w:rsidRDefault="00BB6E63" w:rsidP="00BB6E63">
      <w:pPr>
        <w:pStyle w:val="Bullet"/>
      </w:pPr>
      <w:r w:rsidRPr="00BB6E63">
        <w:rPr>
          <w:b/>
        </w:rPr>
        <w:t>Page 4-1, If the 2004 land use was urban and the 2014 land use was non-urban, the 2004 land use was overwritten with the 2014 land use:</w:t>
      </w:r>
      <w:r>
        <w:t xml:space="preserve"> </w:t>
      </w:r>
      <w:r w:rsidR="001D78F4">
        <w:t xml:space="preserve"> </w:t>
      </w:r>
      <w:r w:rsidRPr="00BB6E63">
        <w:t>Should this be rewritten as, “If the 2004 land use was non-urban and the 2014 land use was urban</w:t>
      </w:r>
      <w:r w:rsidR="00303337">
        <w:t>?</w:t>
      </w:r>
      <w:r w:rsidRPr="00BB6E63">
        <w:t>”</w:t>
      </w:r>
    </w:p>
    <w:p w14:paraId="076D5589" w14:textId="4D55C863" w:rsidR="001D78F4" w:rsidRDefault="00BB6E63" w:rsidP="00BB6E63">
      <w:pPr>
        <w:pStyle w:val="Bullet"/>
        <w:numPr>
          <w:ilvl w:val="0"/>
          <w:numId w:val="0"/>
        </w:numPr>
        <w:ind w:left="360"/>
      </w:pPr>
      <w:r w:rsidRPr="00BB6E63">
        <w:rPr>
          <w:u w:val="single"/>
        </w:rPr>
        <w:t>Response:</w:t>
      </w:r>
      <w:r>
        <w:rPr>
          <w:b/>
        </w:rPr>
        <w:t xml:space="preserve"> </w:t>
      </w:r>
      <w:r>
        <w:t>The report is correct as written. When spatially comparing two different land use layers, there are frequently sliver areas that violate what land use changes occurred based on polygon boundaries being slightly different. As an example, it is not likely that an area that was urban in 2004 would be non-urban in 2014</w:t>
      </w:r>
      <w:r w:rsidR="00303337">
        <w:t xml:space="preserve"> (i.e., reverse development)</w:t>
      </w:r>
      <w:r>
        <w:t>. To be consistent, we used the 2014 layer to take preceden</w:t>
      </w:r>
      <w:r w:rsidR="007B3538">
        <w:t>ce</w:t>
      </w:r>
      <w:r>
        <w:t xml:space="preserve"> when inconsistencies occurred.</w:t>
      </w:r>
    </w:p>
    <w:p w14:paraId="39A6044D" w14:textId="17E82391" w:rsidR="00DF1AB9" w:rsidRDefault="00DF1AB9" w:rsidP="00DF1AB9">
      <w:pPr>
        <w:pStyle w:val="Bullet"/>
      </w:pPr>
      <w:r w:rsidRPr="00BB6E63">
        <w:rPr>
          <w:b/>
        </w:rPr>
        <w:t xml:space="preserve">Page 4-1, </w:t>
      </w:r>
      <w:r>
        <w:rPr>
          <w:b/>
        </w:rPr>
        <w:t xml:space="preserve">fourth paragraph, </w:t>
      </w:r>
      <w:r w:rsidRPr="00DF1AB9">
        <w:rPr>
          <w:b/>
        </w:rPr>
        <w:t>a si</w:t>
      </w:r>
      <w:r>
        <w:rPr>
          <w:b/>
        </w:rPr>
        <w:t>ngle land use feature class</w:t>
      </w:r>
      <w:r w:rsidRPr="00BB6E63">
        <w:rPr>
          <w:b/>
        </w:rPr>
        <w:t>:</w:t>
      </w:r>
      <w:r>
        <w:t xml:space="preserve">  </w:t>
      </w:r>
      <w:r w:rsidRPr="00DF1AB9">
        <w:t>Do you have classification accuracy results of this classification map?</w:t>
      </w:r>
    </w:p>
    <w:p w14:paraId="30FFD39E" w14:textId="4A9F34AF" w:rsidR="00DF1AB9" w:rsidRPr="001D78F4" w:rsidRDefault="00DF1AB9" w:rsidP="00DF1AB9">
      <w:pPr>
        <w:pStyle w:val="Bullet"/>
        <w:numPr>
          <w:ilvl w:val="0"/>
          <w:numId w:val="0"/>
        </w:numPr>
        <w:ind w:left="360"/>
      </w:pPr>
      <w:r w:rsidRPr="00BB6E63">
        <w:rPr>
          <w:u w:val="single"/>
        </w:rPr>
        <w:t>Response:</w:t>
      </w:r>
      <w:r>
        <w:rPr>
          <w:b/>
        </w:rPr>
        <w:t xml:space="preserve"> </w:t>
      </w:r>
      <w:r>
        <w:t>We do not have a classification accuracy report from SJRWMD – the agency that created the feature classes. However, we did spot-check the feature classes, and the accuracy appears to be sufficiently accurate for the purposes of this study.</w:t>
      </w:r>
    </w:p>
    <w:p w14:paraId="15000A62" w14:textId="7890AB8D" w:rsidR="001D78F4" w:rsidRDefault="0087373B" w:rsidP="0087373B">
      <w:pPr>
        <w:pStyle w:val="Bullet"/>
      </w:pPr>
      <w:r>
        <w:rPr>
          <w:b/>
        </w:rPr>
        <w:t xml:space="preserve">Table 4-4, wet detention volume constituent removal efficiency: </w:t>
      </w:r>
      <w:r w:rsidR="001D78F4">
        <w:t xml:space="preserve"> </w:t>
      </w:r>
      <w:r w:rsidRPr="0087373B">
        <w:t>Wet Detention does not typically use infiltration or filtration as the treatment mechanism</w:t>
      </w:r>
      <w:r>
        <w:t>.</w:t>
      </w:r>
    </w:p>
    <w:p w14:paraId="79AB7228" w14:textId="636EC248" w:rsidR="00332C7A" w:rsidRDefault="0087373B" w:rsidP="0087373B">
      <w:pPr>
        <w:pStyle w:val="Bullet"/>
        <w:numPr>
          <w:ilvl w:val="0"/>
          <w:numId w:val="0"/>
        </w:numPr>
        <w:ind w:left="360"/>
      </w:pPr>
      <w:r w:rsidRPr="0087373B">
        <w:rPr>
          <w:u w:val="single"/>
        </w:rPr>
        <w:t>Response:</w:t>
      </w:r>
      <w:r>
        <w:t xml:space="preserve"> We acknowledge that wet detention is not often thought of as a volume</w:t>
      </w:r>
      <w:r w:rsidR="007B3538">
        <w:t>-</w:t>
      </w:r>
      <w:r>
        <w:t>reduction BMP. However, we wanted to stay consistent where possible with what was used for the Indian River Lagoon TMDL revision. There was significant discussion on this point in that project, with acknowledgement that often wet detention ponds will draw down below their normal water level during dry periods. Dr. Harvey Harper was the one responsible for setting this value</w:t>
      </w:r>
      <w:r w:rsidR="00303337">
        <w:t xml:space="preserve"> on that project</w:t>
      </w:r>
      <w:r>
        <w:t>, and fortunately Dr. Harper ha</w:t>
      </w:r>
      <w:r w:rsidR="004F4DA3">
        <w:t>s</w:t>
      </w:r>
      <w:r>
        <w:t xml:space="preserve"> been one of the principal investigators on many of the studies around Florida monitoring the effectiveness of wet detention. Dr. Harper’s method generally used continuous flow monitoring and a full mass balance approach, so any ‘retention’ effects in the wet detention ponds would have been accounted for in his overall reductions. The 20</w:t>
      </w:r>
      <w:r w:rsidR="004F4DA3">
        <w:t>-percent</w:t>
      </w:r>
      <w:r>
        <w:t xml:space="preserve"> value was his estimate from having performed many of the long-term </w:t>
      </w:r>
      <w:r w:rsidR="00110582">
        <w:t xml:space="preserve">wet detention </w:t>
      </w:r>
      <w:r>
        <w:t>monitoring projects.</w:t>
      </w:r>
    </w:p>
    <w:p w14:paraId="6DDB1CDD" w14:textId="501F73A2" w:rsidR="00851929" w:rsidRDefault="00851929" w:rsidP="00851929">
      <w:pPr>
        <w:pStyle w:val="Bullet"/>
      </w:pPr>
      <w:r>
        <w:rPr>
          <w:b/>
        </w:rPr>
        <w:lastRenderedPageBreak/>
        <w:t xml:space="preserve">Table 4-3: </w:t>
      </w:r>
      <w:r>
        <w:t xml:space="preserve"> </w:t>
      </w:r>
      <w:r w:rsidRPr="00851929">
        <w:t>The values for Open are same for the Forest. What is the definition for the open land uses?</w:t>
      </w:r>
      <w:r>
        <w:t xml:space="preserve"> </w:t>
      </w:r>
      <w:r w:rsidRPr="00851929">
        <w:t>When all sources for TN and TP are restricted to land base, then what about BOD?</w:t>
      </w:r>
    </w:p>
    <w:p w14:paraId="207CC696" w14:textId="66EE1EE7" w:rsidR="00851929" w:rsidRDefault="00851929" w:rsidP="00851929">
      <w:pPr>
        <w:pStyle w:val="Bullet"/>
        <w:numPr>
          <w:ilvl w:val="0"/>
          <w:numId w:val="0"/>
        </w:numPr>
        <w:ind w:left="360"/>
      </w:pPr>
      <w:r w:rsidRPr="0087373B">
        <w:rPr>
          <w:u w:val="single"/>
        </w:rPr>
        <w:t>Response:</w:t>
      </w:r>
      <w:r>
        <w:t xml:space="preserve"> We acknowledge that the values are the same for open and forest. As stated in the text, these came from the </w:t>
      </w:r>
      <w:r w:rsidRPr="00851929">
        <w:t>TMDL revision for Indian River Lagoon (IRL</w:t>
      </w:r>
      <w:r>
        <w:t>) and Banana River Lagoon (BRL). There is typically little difference in EMCs between these two land uses. A reasonable definition for open land comes from the FLUCCS definition:  “This category includes undeveloped land within urban areas and inactive land with street patterns but without structures. Open Land normally does not exhibit any structures or any indication of intended use. Often, urban inactive land may be in a transitional state and ultimately will be developed into one of the typical urban land uses although at the time of the inventory, the intended use may be impossible to determine from aerial photo interpretation alone.”</w:t>
      </w:r>
      <w:r w:rsidR="00000EDA">
        <w:t xml:space="preserve"> We agree there is merit to reducing the BOD EMC to zero for water.</w:t>
      </w:r>
    </w:p>
    <w:p w14:paraId="770D192E" w14:textId="5799EF99" w:rsidR="00000EDA" w:rsidRDefault="00000EDA" w:rsidP="00000EDA">
      <w:pPr>
        <w:pStyle w:val="Bullet"/>
      </w:pPr>
      <w:r>
        <w:rPr>
          <w:b/>
        </w:rPr>
        <w:t xml:space="preserve">Page 4-10, BOD5: </w:t>
      </w:r>
      <w:r>
        <w:t xml:space="preserve"> ? over 5.</w:t>
      </w:r>
    </w:p>
    <w:p w14:paraId="4C8BED8D" w14:textId="3B1B8EA4" w:rsidR="00000EDA" w:rsidRDefault="00000EDA" w:rsidP="00000EDA">
      <w:pPr>
        <w:pStyle w:val="Bullet"/>
        <w:numPr>
          <w:ilvl w:val="0"/>
          <w:numId w:val="0"/>
        </w:numPr>
        <w:ind w:left="360"/>
      </w:pPr>
      <w:r w:rsidRPr="002A2C01">
        <w:rPr>
          <w:u w:val="single"/>
        </w:rPr>
        <w:t>Response:</w:t>
      </w:r>
      <w:r w:rsidRPr="002A2C01">
        <w:t xml:space="preserve"> </w:t>
      </w:r>
      <w:r>
        <w:t>BOD5 represents the 5-day BOD, which is the typical test done for BOD.</w:t>
      </w:r>
    </w:p>
    <w:p w14:paraId="5D9163E5" w14:textId="149C70DA" w:rsidR="00000EDA" w:rsidRDefault="00000EDA" w:rsidP="00000EDA">
      <w:pPr>
        <w:pStyle w:val="Bullet"/>
      </w:pPr>
      <w:r w:rsidRPr="00000EDA">
        <w:rPr>
          <w:b/>
        </w:rPr>
        <w:t>Page 7-1, second paragraph, first sentence, Since septic systems possibly contribute a significant nutrient load to Mosquito Lagoon:</w:t>
      </w:r>
      <w:r>
        <w:t xml:space="preserve">  H</w:t>
      </w:r>
      <w:r w:rsidRPr="00000EDA">
        <w:t>ow do we know?</w:t>
      </w:r>
    </w:p>
    <w:p w14:paraId="2DB23EBB" w14:textId="2B2022A4" w:rsidR="00000EDA" w:rsidRPr="002A2C01" w:rsidRDefault="00000EDA" w:rsidP="00000EDA">
      <w:pPr>
        <w:pStyle w:val="Bullet"/>
        <w:numPr>
          <w:ilvl w:val="0"/>
          <w:numId w:val="0"/>
        </w:numPr>
        <w:ind w:left="360"/>
        <w:rPr>
          <w:u w:val="single"/>
        </w:rPr>
      </w:pPr>
      <w:r w:rsidRPr="002A2C01">
        <w:rPr>
          <w:u w:val="single"/>
        </w:rPr>
        <w:t>Response:</w:t>
      </w:r>
      <w:r w:rsidRPr="002A2C01">
        <w:t xml:space="preserve"> </w:t>
      </w:r>
      <w:r>
        <w:t>Septic loads to the Lagoon are not possible to know with a great degree of certainty with the current state of technology. However, the uncertainty i</w:t>
      </w:r>
      <w:r w:rsidR="004F4DA3">
        <w:t>s</w:t>
      </w:r>
      <w:r>
        <w:t xml:space="preserve"> fairly bounded. That is the basis of this statement.</w:t>
      </w:r>
    </w:p>
    <w:p w14:paraId="5BC8923E" w14:textId="5920EAE2" w:rsidR="00332C7A" w:rsidRDefault="002A2C01" w:rsidP="002A2C01">
      <w:pPr>
        <w:pStyle w:val="Bullet"/>
      </w:pPr>
      <w:r>
        <w:rPr>
          <w:b/>
        </w:rPr>
        <w:t xml:space="preserve">Page 7-1, third paragraph: </w:t>
      </w:r>
      <w:r w:rsidR="00332C7A">
        <w:t xml:space="preserve"> </w:t>
      </w:r>
      <w:r>
        <w:t>The 100 gallons per day per capita is a</w:t>
      </w:r>
      <w:r w:rsidRPr="002A2C01">
        <w:t xml:space="preserve"> little bit high based on data from Metcalf and Eddy, Inc. for wastewater flow rates from residential sources, but still within reason.</w:t>
      </w:r>
    </w:p>
    <w:p w14:paraId="5EDFCDCC" w14:textId="71722B0A" w:rsidR="002A2C01" w:rsidRPr="002A2C01" w:rsidRDefault="002A2C01" w:rsidP="002A2C01">
      <w:pPr>
        <w:pStyle w:val="Bullet"/>
        <w:numPr>
          <w:ilvl w:val="0"/>
          <w:numId w:val="0"/>
        </w:numPr>
        <w:ind w:left="360"/>
        <w:rPr>
          <w:u w:val="single"/>
        </w:rPr>
      </w:pPr>
      <w:r w:rsidRPr="002A2C01">
        <w:rPr>
          <w:u w:val="single"/>
        </w:rPr>
        <w:t>Response:</w:t>
      </w:r>
      <w:r w:rsidRPr="002A2C01">
        <w:t xml:space="preserve"> Acknowledged.</w:t>
      </w:r>
    </w:p>
    <w:p w14:paraId="1164E157" w14:textId="7980024E" w:rsidR="002A2C01" w:rsidRDefault="002A2C01" w:rsidP="002A2C01">
      <w:pPr>
        <w:pStyle w:val="Bullet"/>
      </w:pPr>
      <w:r>
        <w:rPr>
          <w:b/>
        </w:rPr>
        <w:t xml:space="preserve">Page 7-1, third paragraph: </w:t>
      </w:r>
      <w:r>
        <w:t xml:space="preserve"> </w:t>
      </w:r>
      <w:r w:rsidRPr="002A2C01">
        <w:t>2010 US Census data could be utilized to determine this number</w:t>
      </w:r>
      <w:r>
        <w:t xml:space="preserve"> [2.5</w:t>
      </w:r>
      <w:r w:rsidR="004F4DA3">
        <w:t> </w:t>
      </w:r>
      <w:r>
        <w:t>people per household]</w:t>
      </w:r>
      <w:r w:rsidRPr="002A2C01">
        <w:t xml:space="preserve"> in Volusia County. On average there are 2.3 individuals per household in Volusia County</w:t>
      </w:r>
      <w:r>
        <w:t>.</w:t>
      </w:r>
    </w:p>
    <w:p w14:paraId="6625744F" w14:textId="77777777" w:rsidR="002A2C01" w:rsidRDefault="002A2C01" w:rsidP="002A2C01">
      <w:pPr>
        <w:pStyle w:val="Bullet"/>
        <w:numPr>
          <w:ilvl w:val="0"/>
          <w:numId w:val="0"/>
        </w:numPr>
        <w:ind w:left="360"/>
      </w:pPr>
      <w:r w:rsidRPr="002A2C01">
        <w:rPr>
          <w:u w:val="single"/>
        </w:rPr>
        <w:t>Response:</w:t>
      </w:r>
      <w:r w:rsidRPr="002A2C01">
        <w:t xml:space="preserve"> Acknowledged.</w:t>
      </w:r>
    </w:p>
    <w:p w14:paraId="042B33CE" w14:textId="66FD45B5" w:rsidR="00627DC7" w:rsidRDefault="00627DC7" w:rsidP="00627DC7">
      <w:pPr>
        <w:pStyle w:val="Bullet"/>
      </w:pPr>
      <w:r>
        <w:rPr>
          <w:b/>
        </w:rPr>
        <w:t xml:space="preserve">Page 7-1, fourth paragraph, second sentence, soil: </w:t>
      </w:r>
      <w:r>
        <w:t xml:space="preserve"> </w:t>
      </w:r>
      <w:r w:rsidRPr="00627DC7">
        <w:t>DOH has the index equation using soil porocity and type, proximity to shell fish beds, depth of groundwater, and proximinty to wetlands. Which of these were used?</w:t>
      </w:r>
    </w:p>
    <w:p w14:paraId="086F0C34" w14:textId="3DF4DDAA" w:rsidR="00627DC7" w:rsidRDefault="00627DC7" w:rsidP="00627DC7">
      <w:pPr>
        <w:pStyle w:val="Bullet"/>
        <w:numPr>
          <w:ilvl w:val="0"/>
          <w:numId w:val="0"/>
        </w:numPr>
        <w:ind w:left="360"/>
      </w:pPr>
      <w:r w:rsidRPr="002A2C01">
        <w:rPr>
          <w:u w:val="single"/>
        </w:rPr>
        <w:t>Response:</w:t>
      </w:r>
      <w:r w:rsidRPr="002A2C01">
        <w:t xml:space="preserve"> </w:t>
      </w:r>
      <w:r>
        <w:t>We did not use a DOH method</w:t>
      </w:r>
      <w:r w:rsidRPr="002A2C01">
        <w:t>.</w:t>
      </w:r>
    </w:p>
    <w:p w14:paraId="1BC5655B" w14:textId="0785861E" w:rsidR="00A05566" w:rsidRDefault="00A05566" w:rsidP="00A05566">
      <w:pPr>
        <w:pStyle w:val="Bullet"/>
      </w:pPr>
      <w:r>
        <w:rPr>
          <w:b/>
        </w:rPr>
        <w:t xml:space="preserve">General comment: </w:t>
      </w:r>
      <w:r>
        <w:t xml:space="preserve"> </w:t>
      </w:r>
      <w:r w:rsidRPr="00A05566">
        <w:t>Is an Executive Summary appropriate for this type of report? There is great public interest in the Mosquito Lagoon and the Report itself is very technical. If there is a way to convey the main points in an Executive Summary, that might help facilitate the public's understanding of this RAP development process.</w:t>
      </w:r>
    </w:p>
    <w:p w14:paraId="5A07AE1A" w14:textId="0F900B67" w:rsidR="00A05566" w:rsidRDefault="00A05566" w:rsidP="00A05566">
      <w:pPr>
        <w:pStyle w:val="Bullet"/>
        <w:numPr>
          <w:ilvl w:val="0"/>
          <w:numId w:val="0"/>
        </w:numPr>
        <w:ind w:left="360"/>
      </w:pPr>
      <w:r w:rsidRPr="002A2C01">
        <w:rPr>
          <w:u w:val="single"/>
        </w:rPr>
        <w:t>Response:</w:t>
      </w:r>
      <w:r w:rsidRPr="002A2C01">
        <w:t xml:space="preserve"> </w:t>
      </w:r>
      <w:r>
        <w:t>This report is intended for a technical audience and is relatively short.</w:t>
      </w:r>
      <w:r w:rsidR="00B23B4F">
        <w:t xml:space="preserve"> There may be other elements of the project that will be targeted for a broader audience.</w:t>
      </w:r>
    </w:p>
    <w:p w14:paraId="59EA431B" w14:textId="2BC14658" w:rsidR="00B23B4F" w:rsidRDefault="00B23B4F" w:rsidP="00B23B4F">
      <w:pPr>
        <w:pStyle w:val="Bullet"/>
      </w:pPr>
      <w:r>
        <w:rPr>
          <w:b/>
        </w:rPr>
        <w:t xml:space="preserve">General comment: </w:t>
      </w:r>
      <w:r>
        <w:t xml:space="preserve"> </w:t>
      </w:r>
      <w:r w:rsidRPr="00B23B4F">
        <w:t>Is there a ground truthing element to this modeling work to assess whether it is simulating real world conditions with acceptable levels of accuracy and precision?</w:t>
      </w:r>
    </w:p>
    <w:p w14:paraId="0B1D4771" w14:textId="3987CBB2" w:rsidR="00B23B4F" w:rsidRPr="002A2C01" w:rsidRDefault="00B23B4F" w:rsidP="00B23B4F">
      <w:pPr>
        <w:pStyle w:val="Bullet"/>
        <w:numPr>
          <w:ilvl w:val="0"/>
          <w:numId w:val="0"/>
        </w:numPr>
        <w:ind w:left="360"/>
        <w:rPr>
          <w:u w:val="single"/>
        </w:rPr>
      </w:pPr>
      <w:r w:rsidRPr="002A2C01">
        <w:rPr>
          <w:u w:val="single"/>
        </w:rPr>
        <w:lastRenderedPageBreak/>
        <w:t>Response:</w:t>
      </w:r>
      <w:r w:rsidRPr="002A2C01">
        <w:t xml:space="preserve"> </w:t>
      </w:r>
      <w:r>
        <w:t xml:space="preserve">As stated in the report, there </w:t>
      </w:r>
      <w:r w:rsidR="00303337">
        <w:t>are, unfortunately,</w:t>
      </w:r>
      <w:r>
        <w:t xml:space="preserve"> very little monitoring data from within the watershed itself that could be used for model calibration or ground truthing. There are significantly more data within the Mosquito Lagoon itself that can be used to ground truth the collective analysis of the watershed model and Lagoon response. The Watershed Model Report does not include the Lagoon response. That will be covered in a separate document. Given the limitation of monitoring data from</w:t>
      </w:r>
      <w:r w:rsidR="00D770D5">
        <w:t xml:space="preserve"> within</w:t>
      </w:r>
      <w:r>
        <w:t xml:space="preserve"> the watershed, we tried to stay consistent where possible with the approach used for the recent Indian River Lagoon TMDL revision since that is a nearby similar watershed that does have monitoring data</w:t>
      </w:r>
      <w:r w:rsidR="00D770D5">
        <w:t xml:space="preserve"> and where model calibration was performed</w:t>
      </w:r>
      <w:r>
        <w:t xml:space="preserve">. We also made other comparisons </w:t>
      </w:r>
      <w:r w:rsidR="00D770D5">
        <w:t>where we had applicable data to validate model results. For instance, SJRWMD provided us with references to septic system loading in similar coastal watersheds.</w:t>
      </w:r>
    </w:p>
    <w:p w14:paraId="4F3440B9" w14:textId="4560EE41" w:rsidR="00730E19" w:rsidRDefault="00730E19" w:rsidP="00730E19">
      <w:pPr>
        <w:pStyle w:val="Bullet"/>
      </w:pPr>
      <w:r w:rsidRPr="00730E19">
        <w:rPr>
          <w:b/>
        </w:rPr>
        <w:t>Table 2.2:</w:t>
      </w:r>
      <w:r>
        <w:t xml:space="preserve"> </w:t>
      </w:r>
      <w:r w:rsidRPr="00730E19">
        <w:t>Table 2.2 contains an "Aquifer Recharge" column in which every value is zero. Is that column necessary?</w:t>
      </w:r>
    </w:p>
    <w:p w14:paraId="7BD29D52" w14:textId="3F5D3DF4" w:rsidR="00B23B4F" w:rsidRDefault="00730E19" w:rsidP="00730E19">
      <w:pPr>
        <w:pStyle w:val="Bullet"/>
        <w:numPr>
          <w:ilvl w:val="0"/>
          <w:numId w:val="0"/>
        </w:numPr>
        <w:ind w:left="360"/>
      </w:pPr>
      <w:r w:rsidRPr="002A2C01">
        <w:rPr>
          <w:u w:val="single"/>
        </w:rPr>
        <w:t>Response:</w:t>
      </w:r>
      <w:r w:rsidRPr="002A2C01">
        <w:t xml:space="preserve"> </w:t>
      </w:r>
      <w:r>
        <w:t>The column was included simply for completeness. Our intent is to be as transparent as possible with all aspects of the project. At times that may mean including information with minimal value.</w:t>
      </w:r>
    </w:p>
    <w:p w14:paraId="4EC58DB3" w14:textId="7D268514" w:rsidR="00730E19" w:rsidRDefault="00730E19" w:rsidP="00730E19">
      <w:pPr>
        <w:pStyle w:val="Bullet"/>
      </w:pPr>
      <w:r>
        <w:rPr>
          <w:b/>
        </w:rPr>
        <w:t>General comment</w:t>
      </w:r>
      <w:r w:rsidRPr="00730E19">
        <w:rPr>
          <w:b/>
        </w:rPr>
        <w:t>:</w:t>
      </w:r>
      <w:r>
        <w:t xml:space="preserve"> </w:t>
      </w:r>
      <w:r w:rsidRPr="00730E19">
        <w:t>Within the discussion of wastewater treatment plant discharges, New Smyrna is mentioned. My understanding is that this city does not routinely discharge to tide. Is that the case? If so, should that fact be included?</w:t>
      </w:r>
    </w:p>
    <w:p w14:paraId="4A94EFEF" w14:textId="3EE57627" w:rsidR="00730E19" w:rsidRDefault="00730E19" w:rsidP="00730E19">
      <w:pPr>
        <w:pStyle w:val="Bullet"/>
        <w:numPr>
          <w:ilvl w:val="0"/>
          <w:numId w:val="0"/>
        </w:numPr>
        <w:ind w:left="360"/>
      </w:pPr>
      <w:r w:rsidRPr="002A2C01">
        <w:rPr>
          <w:u w:val="single"/>
        </w:rPr>
        <w:t>Response:</w:t>
      </w:r>
      <w:r w:rsidRPr="002A2C01">
        <w:t xml:space="preserve"> </w:t>
      </w:r>
      <w:r>
        <w:t xml:space="preserve">The model accounts for whatever reuse occurred at each wastewater treatment plant. Each plant is required to submit monthly discharge monitoring reports to </w:t>
      </w:r>
      <w:r w:rsidR="004F4DA3">
        <w:t>F</w:t>
      </w:r>
      <w:r>
        <w:t>DEP</w:t>
      </w:r>
      <w:r w:rsidR="00000641">
        <w:t>. Tho</w:t>
      </w:r>
      <w:r>
        <w:t>se reports include flows and constituent values that were discharged to tide and reused.</w:t>
      </w:r>
      <w:r w:rsidR="00000641">
        <w:t xml:space="preserve"> We used tho</w:t>
      </w:r>
      <w:r>
        <w:t>se reports for the point</w:t>
      </w:r>
      <w:r w:rsidR="004F4DA3">
        <w:t>-</w:t>
      </w:r>
      <w:r>
        <w:t>source portion of the model.</w:t>
      </w:r>
    </w:p>
    <w:p w14:paraId="695ECE83" w14:textId="5DB2682A" w:rsidR="00730E19" w:rsidRDefault="00000641" w:rsidP="00730E19">
      <w:pPr>
        <w:pStyle w:val="Bullet"/>
      </w:pPr>
      <w:r>
        <w:rPr>
          <w:b/>
        </w:rPr>
        <w:t>Page 7-1, third paragraph</w:t>
      </w:r>
      <w:r w:rsidR="00730E19" w:rsidRPr="00730E19">
        <w:rPr>
          <w:b/>
        </w:rPr>
        <w:t>:</w:t>
      </w:r>
      <w:r w:rsidR="00730E19">
        <w:t xml:space="preserve"> </w:t>
      </w:r>
      <w:r w:rsidR="00730E19" w:rsidRPr="00730E19">
        <w:t>The Report states that flow rates throughout the watershed were assumed to be 100 gallons per day per capita. Is this the same as consumption? If so, estimates I have seen for Florida are typically greater than 100 gpd, closer to 150 gpd. Is that applicable here?</w:t>
      </w:r>
    </w:p>
    <w:p w14:paraId="75255DA4" w14:textId="03F28DEA" w:rsidR="00730E19" w:rsidRDefault="00730E19" w:rsidP="00730E19">
      <w:pPr>
        <w:pStyle w:val="Bullet"/>
        <w:numPr>
          <w:ilvl w:val="0"/>
          <w:numId w:val="0"/>
        </w:numPr>
        <w:ind w:left="360"/>
      </w:pPr>
      <w:r w:rsidRPr="002A2C01">
        <w:rPr>
          <w:u w:val="single"/>
        </w:rPr>
        <w:t>Response:</w:t>
      </w:r>
      <w:r w:rsidRPr="002A2C01">
        <w:t xml:space="preserve"> </w:t>
      </w:r>
      <w:r w:rsidR="00D3716E">
        <w:t>The actual value varies over time, but t</w:t>
      </w:r>
      <w:r>
        <w:t>he 100</w:t>
      </w:r>
      <w:r w:rsidR="004F4DA3">
        <w:t>-</w:t>
      </w:r>
      <w:r>
        <w:t>gpd value is reasonable for this watershed.</w:t>
      </w:r>
      <w:r w:rsidR="00D3716E">
        <w:t xml:space="preserve"> </w:t>
      </w:r>
    </w:p>
    <w:p w14:paraId="6E1319F9" w14:textId="3E9A034B" w:rsidR="00D3716E" w:rsidRDefault="00000641" w:rsidP="00D3716E">
      <w:pPr>
        <w:pStyle w:val="Bullet"/>
      </w:pPr>
      <w:r>
        <w:rPr>
          <w:b/>
        </w:rPr>
        <w:t>Page 7-1, last paragraph</w:t>
      </w:r>
      <w:r w:rsidR="00D3716E" w:rsidRPr="00730E19">
        <w:rPr>
          <w:b/>
        </w:rPr>
        <w:t>:</w:t>
      </w:r>
      <w:r w:rsidR="00D3716E">
        <w:t xml:space="preserve"> </w:t>
      </w:r>
      <w:r w:rsidR="00D3716E" w:rsidRPr="00D3716E">
        <w:t>Discussion of septic contribution included the following statement, "The lower concentrations were for septic tanks in excess of approximately 1,000 feet from the Mosquito Lagoon or a ditch/canal that is cut deeply enough to likely intercept the groundwater table." How much confidence is there in the hydrology/geology of the watershed to support this statement? Working in the springs region, septic tanks anywhere within the miles-wide springshed are targeted, so the 1,000 foot cutoff for low impact seemed like too small a distance.</w:t>
      </w:r>
    </w:p>
    <w:p w14:paraId="6DD84656" w14:textId="0A89CDC4" w:rsidR="00D3716E" w:rsidRDefault="00D3716E" w:rsidP="00D3716E">
      <w:pPr>
        <w:pStyle w:val="Bullet"/>
        <w:numPr>
          <w:ilvl w:val="0"/>
          <w:numId w:val="0"/>
        </w:numPr>
        <w:ind w:left="360"/>
      </w:pPr>
      <w:r w:rsidRPr="002A2C01">
        <w:rPr>
          <w:u w:val="single"/>
        </w:rPr>
        <w:t>Response:</w:t>
      </w:r>
      <w:r w:rsidRPr="002A2C01">
        <w:t xml:space="preserve"> </w:t>
      </w:r>
      <w:r>
        <w:t>The fate of septic system drainfield effluent in the Mosquito Lagoon watershed is very different than the fate in most springsheds based on the hydrogeology. Springsheds often have a high percentage of higher permeability soils coupled with deep groundwater tables. In contrast, much of the Mosquito Lagoon watershed has relatively shallow groundwater tables. With the deeper groundwater tables, the primary flow direction is vertical. Additionally, the soils are more typically in an oxic state, so no significant denitrification can occur. In shallow groundwater tables, the primary flow direction is horizontal. Also, soils are more typically in an anoxic state, so there is normally some denitrification that occurs between the drainfield and the receiving waterbody. A 1,000</w:t>
      </w:r>
      <w:r w:rsidR="009C04C1">
        <w:t>-foot</w:t>
      </w:r>
      <w:r>
        <w:t xml:space="preserve"> cutoff would not be appropriate in a typical springshed but is reasonable for this watershed.</w:t>
      </w:r>
    </w:p>
    <w:p w14:paraId="02C6E158" w14:textId="7AD70D26" w:rsidR="00D3716E" w:rsidRDefault="004B430A" w:rsidP="00D3716E">
      <w:pPr>
        <w:pStyle w:val="Bullet"/>
      </w:pPr>
      <w:r>
        <w:rPr>
          <w:b/>
        </w:rPr>
        <w:t>Page 7-1, last paragraph</w:t>
      </w:r>
      <w:r w:rsidR="00D3716E" w:rsidRPr="00730E19">
        <w:rPr>
          <w:b/>
        </w:rPr>
        <w:t>:</w:t>
      </w:r>
      <w:r w:rsidR="00D3716E">
        <w:t xml:space="preserve"> </w:t>
      </w:r>
      <w:r w:rsidR="00D3716E" w:rsidRPr="00D3716E">
        <w:t xml:space="preserve">Also in the septic discussion, "We used a failure rate of 8 percent based on data from a previous study in Sarasota County in an area with similar conditions." Can you </w:t>
      </w:r>
      <w:r w:rsidR="00D3716E" w:rsidRPr="00D3716E">
        <w:lastRenderedPageBreak/>
        <w:t>expound upon these conditions? Same soil types; age of homes; density of homes? In western Volusia, septic tanks account for more than 50% of the nitrate in Blue Spring. It would be helpful to explain why the failure rate is thought to be so low along the lagoon. Definition of how the word "failing" is being applied would also be informative.</w:t>
      </w:r>
    </w:p>
    <w:p w14:paraId="5727C966" w14:textId="75C17A5C" w:rsidR="00D3716E" w:rsidRDefault="00D3716E" w:rsidP="00D3716E">
      <w:pPr>
        <w:pStyle w:val="Bullet"/>
        <w:numPr>
          <w:ilvl w:val="0"/>
          <w:numId w:val="0"/>
        </w:numPr>
        <w:ind w:left="360"/>
      </w:pPr>
      <w:r w:rsidRPr="002A2C01">
        <w:rPr>
          <w:u w:val="single"/>
        </w:rPr>
        <w:t>Response:</w:t>
      </w:r>
      <w:r w:rsidRPr="002A2C01">
        <w:t xml:space="preserve"> </w:t>
      </w:r>
      <w:r>
        <w:t>In the context of this report and analysis, failure</w:t>
      </w:r>
      <w:r w:rsidR="007314AE">
        <w:t xml:space="preserve"> relates more to the drainfield than the tank itself. Tank failure can result in sewer backups to the property owner, so those failures tend to be more short-lived. Drainfield failures can go undetected for much longer and are therefore a greater consideration for this study. The conditions in the watersheds in the Sarasota County study are similar to those in this watershed (i.e., similar soil and groundwater conditions). As alluded to in the response above, the hydrogeologic conditions in the Mosquito Lagoon watershed and Blue Spring springshed are significantly different.</w:t>
      </w:r>
    </w:p>
    <w:p w14:paraId="3970E7A6" w14:textId="3FC664A7" w:rsidR="00627DC7" w:rsidRDefault="00627DC7" w:rsidP="00627DC7">
      <w:pPr>
        <w:pStyle w:val="Bullet"/>
      </w:pPr>
      <w:r>
        <w:rPr>
          <w:b/>
        </w:rPr>
        <w:t>Figure 8-1</w:t>
      </w:r>
      <w:r w:rsidR="00D34632">
        <w:rPr>
          <w:b/>
        </w:rPr>
        <w:t xml:space="preserve"> (now 9-1)</w:t>
      </w:r>
      <w:r w:rsidRPr="00730E19">
        <w:rPr>
          <w:b/>
        </w:rPr>
        <w:t>:</w:t>
      </w:r>
      <w:r>
        <w:t xml:space="preserve"> </w:t>
      </w:r>
      <w:r w:rsidRPr="00627DC7">
        <w:t>What are the main factors for the fluctuations?</w:t>
      </w:r>
    </w:p>
    <w:p w14:paraId="3B73A6CB" w14:textId="5DF8E96A" w:rsidR="00627DC7" w:rsidRDefault="00627DC7" w:rsidP="00627DC7">
      <w:pPr>
        <w:pStyle w:val="Bullet"/>
        <w:numPr>
          <w:ilvl w:val="0"/>
          <w:numId w:val="0"/>
        </w:numPr>
        <w:ind w:left="360"/>
      </w:pPr>
      <w:r w:rsidRPr="002A2C01">
        <w:rPr>
          <w:u w:val="single"/>
        </w:rPr>
        <w:t>Response:</w:t>
      </w:r>
      <w:r w:rsidRPr="002A2C01">
        <w:t xml:space="preserve"> </w:t>
      </w:r>
      <w:r>
        <w:t>Rainfall is by far the main factor for the fluc</w:t>
      </w:r>
      <w:r w:rsidR="009C04C1">
        <w:t>t</w:t>
      </w:r>
      <w:r>
        <w:t>uations.</w:t>
      </w:r>
    </w:p>
    <w:p w14:paraId="771B28EC" w14:textId="40FA4A6B" w:rsidR="007314AE" w:rsidRDefault="007314AE" w:rsidP="007314AE">
      <w:pPr>
        <w:pStyle w:val="Bullet"/>
      </w:pPr>
      <w:r>
        <w:rPr>
          <w:b/>
        </w:rPr>
        <w:t>General comment</w:t>
      </w:r>
      <w:r w:rsidRPr="00730E19">
        <w:rPr>
          <w:b/>
        </w:rPr>
        <w:t>:</w:t>
      </w:r>
      <w:r>
        <w:t xml:space="preserve"> </w:t>
      </w:r>
      <w:r w:rsidRPr="007314AE">
        <w:t>Is it accurate that ENR 3 has no septic contribution</w:t>
      </w:r>
      <w:r>
        <w:t>?</w:t>
      </w:r>
    </w:p>
    <w:p w14:paraId="67FDCD35" w14:textId="61C5E4C5" w:rsidR="007314AE" w:rsidRDefault="007314AE" w:rsidP="007314AE">
      <w:pPr>
        <w:pStyle w:val="Bullet"/>
        <w:numPr>
          <w:ilvl w:val="0"/>
          <w:numId w:val="0"/>
        </w:numPr>
        <w:ind w:left="360"/>
      </w:pPr>
      <w:r w:rsidRPr="002A2C01">
        <w:rPr>
          <w:u w:val="single"/>
        </w:rPr>
        <w:t>Response:</w:t>
      </w:r>
      <w:r w:rsidRPr="002A2C01">
        <w:t xml:space="preserve"> </w:t>
      </w:r>
      <w:r>
        <w:t>Yes. There a no known septic systems in ENR 3.</w:t>
      </w:r>
    </w:p>
    <w:p w14:paraId="7768451E" w14:textId="4F7A2B8F" w:rsidR="002621B3" w:rsidRDefault="002621B3" w:rsidP="002621B3">
      <w:pPr>
        <w:pStyle w:val="Bullet"/>
      </w:pPr>
      <w:r w:rsidRPr="002621B3">
        <w:rPr>
          <w:b/>
        </w:rPr>
        <w:t>General comment:</w:t>
      </w:r>
      <w:r>
        <w:t xml:space="preserve"> How does the model account for the fact that prior to ~1970, septic tanks were installed without permits, meaning there are no records to identify their location?</w:t>
      </w:r>
    </w:p>
    <w:p w14:paraId="76308FB9" w14:textId="11954868" w:rsidR="002621B3" w:rsidRDefault="002621B3" w:rsidP="002621B3">
      <w:pPr>
        <w:pStyle w:val="Bullet"/>
        <w:numPr>
          <w:ilvl w:val="0"/>
          <w:numId w:val="0"/>
        </w:numPr>
        <w:ind w:left="360"/>
      </w:pPr>
      <w:r w:rsidRPr="002A2C01">
        <w:rPr>
          <w:u w:val="single"/>
        </w:rPr>
        <w:t>Response:</w:t>
      </w:r>
      <w:r w:rsidRPr="002A2C01">
        <w:t xml:space="preserve"> </w:t>
      </w:r>
      <w:r>
        <w:t>The presence of septic tanks did not rely on permitting. It relied on a knowledge of what is sewered and a detailed knowledge by Jeff Sulzbach and Chip Schelble with DOH of what properties are still served by septic systems. Many of the septic systems in the model are pre-1970.</w:t>
      </w:r>
    </w:p>
    <w:p w14:paraId="0681A6E7" w14:textId="6CA8F1EF" w:rsidR="002621B3" w:rsidRDefault="002621B3" w:rsidP="00EA3691">
      <w:pPr>
        <w:pStyle w:val="Bullet"/>
      </w:pPr>
      <w:r w:rsidRPr="00EA3691">
        <w:rPr>
          <w:b/>
        </w:rPr>
        <w:t>General comment:</w:t>
      </w:r>
      <w:r>
        <w:t xml:space="preserve"> </w:t>
      </w:r>
      <w:r w:rsidR="00EA3691">
        <w:t>The watershed model considers nutrients entering Mosquito Lagoon via stormwater, septic, and baseflow. How/where is internal loading (existing muck deposits) considered?</w:t>
      </w:r>
    </w:p>
    <w:p w14:paraId="36EC8FA9" w14:textId="0B3AF206" w:rsidR="002621B3" w:rsidRDefault="002621B3" w:rsidP="002621B3">
      <w:pPr>
        <w:pStyle w:val="Bullet"/>
        <w:numPr>
          <w:ilvl w:val="0"/>
          <w:numId w:val="0"/>
        </w:numPr>
        <w:ind w:left="360"/>
      </w:pPr>
      <w:r w:rsidRPr="002A2C01">
        <w:rPr>
          <w:u w:val="single"/>
        </w:rPr>
        <w:t>Response:</w:t>
      </w:r>
      <w:r w:rsidRPr="002A2C01">
        <w:t xml:space="preserve"> </w:t>
      </w:r>
      <w:r w:rsidR="00EA3691">
        <w:t>Internal loading is considered in the receiving water modeling performed by Janicki Environmental as a part of this project. Findings on internal loading will be provided in a separate report.</w:t>
      </w:r>
    </w:p>
    <w:p w14:paraId="2C501286" w14:textId="6F417B40" w:rsidR="002621B3" w:rsidRDefault="002621B3" w:rsidP="00EA3691">
      <w:pPr>
        <w:pStyle w:val="Bullet"/>
      </w:pPr>
      <w:r>
        <w:rPr>
          <w:b/>
        </w:rPr>
        <w:t>General comment</w:t>
      </w:r>
      <w:r w:rsidRPr="00730E19">
        <w:rPr>
          <w:b/>
        </w:rPr>
        <w:t>:</w:t>
      </w:r>
      <w:r>
        <w:t xml:space="preserve"> </w:t>
      </w:r>
      <w:r w:rsidR="00EA3691" w:rsidRPr="00EA3691">
        <w:t>Would you explain why the Theissen Boundaries in Figure 2.1 extend as far laterally as they do in the Figure?</w:t>
      </w:r>
    </w:p>
    <w:p w14:paraId="16E36723" w14:textId="64ABEE88" w:rsidR="002621B3" w:rsidRDefault="002621B3" w:rsidP="002621B3">
      <w:pPr>
        <w:pStyle w:val="Bullet"/>
        <w:numPr>
          <w:ilvl w:val="0"/>
          <w:numId w:val="0"/>
        </w:numPr>
        <w:ind w:left="360"/>
      </w:pPr>
      <w:r w:rsidRPr="002A2C01">
        <w:rPr>
          <w:u w:val="single"/>
        </w:rPr>
        <w:t>Response:</w:t>
      </w:r>
      <w:r w:rsidRPr="002A2C01">
        <w:t xml:space="preserve"> </w:t>
      </w:r>
      <w:r w:rsidR="00EA3691">
        <w:t>The extents are arbitrary. We originally had them truncated at the watershed boundary, but they were not very noticeable at those extents.</w:t>
      </w:r>
    </w:p>
    <w:p w14:paraId="2CF875FE" w14:textId="16B0521D" w:rsidR="002621B3" w:rsidRDefault="002621B3" w:rsidP="00EA3691">
      <w:pPr>
        <w:pStyle w:val="Bullet"/>
      </w:pPr>
      <w:r w:rsidRPr="00EA3691">
        <w:rPr>
          <w:b/>
        </w:rPr>
        <w:t>General comment:</w:t>
      </w:r>
      <w:r>
        <w:t xml:space="preserve"> </w:t>
      </w:r>
      <w:r w:rsidR="00EA3691">
        <w:t>Does the model capture rainfall pulse events (i.e. summer tropical storms/</w:t>
      </w:r>
      <w:r w:rsidR="009C04C1">
        <w:t>‌</w:t>
      </w:r>
      <w:r w:rsidR="00EA3691">
        <w:t>hurricanes, winter storms)? Is the significance of a strong and/or prolonged rain event relevant to the model? For example, if rainfall is 50 in/yr, does it matter how that rainfall is distributed throughout the 12-months of the year? Are you using an annual average rainfall, or monthly rainfall amounts in the model?</w:t>
      </w:r>
    </w:p>
    <w:p w14:paraId="52D367AA" w14:textId="7788B2C1" w:rsidR="002621B3" w:rsidRDefault="002621B3" w:rsidP="002621B3">
      <w:pPr>
        <w:pStyle w:val="Bullet"/>
        <w:numPr>
          <w:ilvl w:val="0"/>
          <w:numId w:val="0"/>
        </w:numPr>
        <w:ind w:left="360"/>
      </w:pPr>
      <w:r w:rsidRPr="002A2C01">
        <w:rPr>
          <w:u w:val="single"/>
        </w:rPr>
        <w:t>Response:</w:t>
      </w:r>
      <w:r w:rsidR="00EA3691" w:rsidRPr="00EA3691">
        <w:t xml:space="preserve"> We used daily rainfall </w:t>
      </w:r>
      <w:r w:rsidR="00EA3691">
        <w:t>for the ga</w:t>
      </w:r>
      <w:r w:rsidR="009C04C1">
        <w:t>u</w:t>
      </w:r>
      <w:r w:rsidR="00EA3691">
        <w:t>ges discussed in the report, so the model captures whatever pulses were recorded at those ga</w:t>
      </w:r>
      <w:r w:rsidR="009C04C1">
        <w:t>u</w:t>
      </w:r>
      <w:r w:rsidR="00EA3691">
        <w:t>ges. With respect to the Lagoon, it does not likely make a large difference for how the rainfall is distributed over any given day. It would make a difference at a monthly or annual time scale.</w:t>
      </w:r>
    </w:p>
    <w:p w14:paraId="133CCF29" w14:textId="58CD207E" w:rsidR="002621B3" w:rsidRDefault="002621B3" w:rsidP="003F3FB0">
      <w:pPr>
        <w:pStyle w:val="Bullet"/>
        <w:keepNext/>
      </w:pPr>
      <w:r>
        <w:rPr>
          <w:b/>
        </w:rPr>
        <w:lastRenderedPageBreak/>
        <w:t>General comment</w:t>
      </w:r>
      <w:r w:rsidRPr="00730E19">
        <w:rPr>
          <w:b/>
        </w:rPr>
        <w:t>:</w:t>
      </w:r>
      <w:r>
        <w:t xml:space="preserve"> </w:t>
      </w:r>
      <w:r w:rsidR="00EA3691" w:rsidRPr="00EA3691">
        <w:t>Who maintains baffle boxes to ensure they are working and providing treatment?</w:t>
      </w:r>
    </w:p>
    <w:p w14:paraId="1EE408AD" w14:textId="37600344" w:rsidR="002621B3" w:rsidRDefault="002621B3" w:rsidP="002621B3">
      <w:pPr>
        <w:pStyle w:val="Bullet"/>
        <w:numPr>
          <w:ilvl w:val="0"/>
          <w:numId w:val="0"/>
        </w:numPr>
        <w:ind w:left="360"/>
      </w:pPr>
      <w:r w:rsidRPr="002A2C01">
        <w:rPr>
          <w:u w:val="single"/>
        </w:rPr>
        <w:t>Response:</w:t>
      </w:r>
      <w:r w:rsidRPr="002A2C01">
        <w:t xml:space="preserve"> </w:t>
      </w:r>
      <w:r w:rsidR="00EA3691">
        <w:t>The baffle boxes are maintained by the Cities and County.</w:t>
      </w:r>
    </w:p>
    <w:p w14:paraId="2D2D91D7" w14:textId="0CB53D1E" w:rsidR="002621B3" w:rsidRDefault="002621B3" w:rsidP="00EA3691">
      <w:pPr>
        <w:pStyle w:val="Bullet"/>
      </w:pPr>
      <w:r>
        <w:rPr>
          <w:b/>
        </w:rPr>
        <w:t>General comment</w:t>
      </w:r>
      <w:r w:rsidRPr="00730E19">
        <w:rPr>
          <w:b/>
        </w:rPr>
        <w:t>:</w:t>
      </w:r>
      <w:r>
        <w:t xml:space="preserve"> </w:t>
      </w:r>
      <w:r w:rsidR="00EA3691" w:rsidRPr="00EA3691">
        <w:t>Do Tampa Bay and Volusia County have equivalent reuse volumes?</w:t>
      </w:r>
    </w:p>
    <w:p w14:paraId="4840B966" w14:textId="4902DA2A" w:rsidR="002621B3" w:rsidRDefault="002621B3" w:rsidP="002621B3">
      <w:pPr>
        <w:pStyle w:val="Bullet"/>
        <w:numPr>
          <w:ilvl w:val="0"/>
          <w:numId w:val="0"/>
        </w:numPr>
        <w:ind w:left="360"/>
      </w:pPr>
      <w:r w:rsidRPr="002A2C01">
        <w:rPr>
          <w:u w:val="single"/>
        </w:rPr>
        <w:t>Response:</w:t>
      </w:r>
      <w:r w:rsidRPr="002A2C01">
        <w:t xml:space="preserve"> </w:t>
      </w:r>
      <w:r w:rsidR="00EA3691">
        <w:t>We do not have the data to make that direct comparison, but it is likely that reuse rates are similar between the two</w:t>
      </w:r>
      <w:r>
        <w:t>.</w:t>
      </w:r>
    </w:p>
    <w:p w14:paraId="76156527" w14:textId="61828776" w:rsidR="002621B3" w:rsidRDefault="002621B3" w:rsidP="00AA69E3">
      <w:pPr>
        <w:pStyle w:val="Bullet"/>
      </w:pPr>
      <w:r w:rsidRPr="00AA69E3">
        <w:rPr>
          <w:b/>
        </w:rPr>
        <w:t>General comment:</w:t>
      </w:r>
      <w:r>
        <w:t xml:space="preserve"> </w:t>
      </w:r>
      <w:r w:rsidR="00AA69E3">
        <w:t>Table 6-2, Monthly Flow Concentrations: Where values are not available, the codes explain the reason for missing data. In how many cases were data not available?</w:t>
      </w:r>
    </w:p>
    <w:p w14:paraId="2DD686F9" w14:textId="6F638381" w:rsidR="002621B3" w:rsidRDefault="002621B3" w:rsidP="002621B3">
      <w:pPr>
        <w:pStyle w:val="Bullet"/>
        <w:numPr>
          <w:ilvl w:val="0"/>
          <w:numId w:val="0"/>
        </w:numPr>
        <w:ind w:left="360"/>
      </w:pPr>
      <w:r w:rsidRPr="002A2C01">
        <w:rPr>
          <w:u w:val="single"/>
        </w:rPr>
        <w:t>Response:</w:t>
      </w:r>
      <w:r w:rsidRPr="002A2C01">
        <w:t xml:space="preserve"> </w:t>
      </w:r>
      <w:r w:rsidR="00AA69E3">
        <w:t>We are assuming this comment pertains to Section 6-2 since there is not a Table 6-2</w:t>
      </w:r>
      <w:r>
        <w:t>.</w:t>
      </w:r>
      <w:r w:rsidR="00AA69E3">
        <w:t xml:space="preserve"> We do not have the statistics for the number of missing points, but it was relatively small (&lt;10</w:t>
      </w:r>
      <w:r w:rsidR="009C04C1">
        <w:t xml:space="preserve"> percent</w:t>
      </w:r>
      <w:r w:rsidR="00AA69E3">
        <w:t>).</w:t>
      </w:r>
    </w:p>
    <w:p w14:paraId="1A04D766" w14:textId="752E5B86" w:rsidR="002621B3" w:rsidRDefault="002621B3" w:rsidP="00AA69E3">
      <w:pPr>
        <w:pStyle w:val="Bullet"/>
      </w:pPr>
      <w:r>
        <w:rPr>
          <w:b/>
        </w:rPr>
        <w:t>General comment</w:t>
      </w:r>
      <w:r w:rsidRPr="00730E19">
        <w:rPr>
          <w:b/>
        </w:rPr>
        <w:t>:</w:t>
      </w:r>
      <w:r>
        <w:t xml:space="preserve"> </w:t>
      </w:r>
      <w:r w:rsidR="00AA69E3" w:rsidRPr="00AA69E3">
        <w:t>A septic failure rate of 8% was used. How was "failure" defined? If a fully functioning conventional septic tank has only ~30% nitrate removal, shouldn't most if not all septic systems within 1,000 feet of Mosquito Lagoon be considered failing?</w:t>
      </w:r>
    </w:p>
    <w:p w14:paraId="46C82ED5" w14:textId="0608CD8E" w:rsidR="002621B3" w:rsidRDefault="002621B3" w:rsidP="002621B3">
      <w:pPr>
        <w:pStyle w:val="Bullet"/>
        <w:numPr>
          <w:ilvl w:val="0"/>
          <w:numId w:val="0"/>
        </w:numPr>
        <w:ind w:left="360"/>
      </w:pPr>
      <w:r w:rsidRPr="002A2C01">
        <w:rPr>
          <w:u w:val="single"/>
        </w:rPr>
        <w:t>Response:</w:t>
      </w:r>
      <w:r w:rsidRPr="002A2C01">
        <w:t xml:space="preserve"> </w:t>
      </w:r>
      <w:r w:rsidR="00AA69E3">
        <w:t>Failure as used in this context was described earlier in this document</w:t>
      </w:r>
      <w:r>
        <w:t>.</w:t>
      </w:r>
    </w:p>
    <w:p w14:paraId="08B985DD" w14:textId="6EBB2EF4" w:rsidR="002621B3" w:rsidRDefault="002621B3" w:rsidP="00AA69E3">
      <w:pPr>
        <w:pStyle w:val="Bullet"/>
      </w:pPr>
      <w:r>
        <w:rPr>
          <w:b/>
        </w:rPr>
        <w:t>General comment</w:t>
      </w:r>
      <w:r w:rsidRPr="00730E19">
        <w:rPr>
          <w:b/>
        </w:rPr>
        <w:t>:</w:t>
      </w:r>
      <w:r>
        <w:t xml:space="preserve"> </w:t>
      </w:r>
      <w:r w:rsidR="00AA69E3" w:rsidRPr="00AA69E3">
        <w:t>How is BOD calculated? Should nutrients and BOD have an inverse relationship?</w:t>
      </w:r>
    </w:p>
    <w:p w14:paraId="505112A7" w14:textId="57B8D5F6" w:rsidR="002621B3" w:rsidRDefault="002621B3" w:rsidP="002621B3">
      <w:pPr>
        <w:pStyle w:val="Bullet"/>
        <w:numPr>
          <w:ilvl w:val="0"/>
          <w:numId w:val="0"/>
        </w:numPr>
        <w:ind w:left="360"/>
      </w:pPr>
      <w:r w:rsidRPr="002A2C01">
        <w:rPr>
          <w:u w:val="single"/>
        </w:rPr>
        <w:t>Response:</w:t>
      </w:r>
      <w:r w:rsidRPr="002A2C01">
        <w:t xml:space="preserve"> </w:t>
      </w:r>
      <w:r w:rsidR="00AA69E3">
        <w:t>We are not sure of the context of this comment, but BOD procedures are well</w:t>
      </w:r>
      <w:r w:rsidR="009C04C1">
        <w:t xml:space="preserve"> </w:t>
      </w:r>
      <w:r w:rsidR="00AA69E3">
        <w:t>documented. We would not necessarily expect an inverse relationship between BOD and nutrients. If anything, we might expect them to have more of a positive correlation.</w:t>
      </w:r>
    </w:p>
    <w:p w14:paraId="51456051" w14:textId="010E8DCE" w:rsidR="002621B3" w:rsidRDefault="002621B3" w:rsidP="00AA69E3">
      <w:pPr>
        <w:pStyle w:val="Bullet"/>
      </w:pPr>
      <w:r>
        <w:rPr>
          <w:b/>
        </w:rPr>
        <w:t>General comment</w:t>
      </w:r>
      <w:r w:rsidRPr="00730E19">
        <w:rPr>
          <w:b/>
        </w:rPr>
        <w:t>:</w:t>
      </w:r>
      <w:r>
        <w:t xml:space="preserve"> </w:t>
      </w:r>
      <w:r w:rsidR="00AA69E3" w:rsidRPr="00AA69E3">
        <w:t>For clarification, the report should explain that high direct runoff in ENR 3 is due to Haulover Canal.</w:t>
      </w:r>
    </w:p>
    <w:p w14:paraId="6D8CE07C" w14:textId="6181994F" w:rsidR="002621B3" w:rsidRDefault="002621B3" w:rsidP="002621B3">
      <w:pPr>
        <w:pStyle w:val="Bullet"/>
        <w:numPr>
          <w:ilvl w:val="0"/>
          <w:numId w:val="0"/>
        </w:numPr>
        <w:ind w:left="360"/>
      </w:pPr>
      <w:r w:rsidRPr="002A2C01">
        <w:rPr>
          <w:u w:val="single"/>
        </w:rPr>
        <w:t>Response:</w:t>
      </w:r>
      <w:r w:rsidRPr="002A2C01">
        <w:t xml:space="preserve"> </w:t>
      </w:r>
      <w:r w:rsidR="00AA69E3">
        <w:t>In the context of this report, flow from Haulover Canal would not be considered direct runoff. Direct runoff would only come from a land surface. Fluxes with Haulover Canal are considered in the work being performed by Janicki Environmental.</w:t>
      </w:r>
    </w:p>
    <w:p w14:paraId="75E89181" w14:textId="77777777" w:rsidR="00627DC7" w:rsidRDefault="00627DC7" w:rsidP="007314AE">
      <w:pPr>
        <w:pStyle w:val="Bullet"/>
        <w:numPr>
          <w:ilvl w:val="0"/>
          <w:numId w:val="0"/>
        </w:numPr>
        <w:ind w:left="360"/>
      </w:pPr>
    </w:p>
    <w:p w14:paraId="27B55D24" w14:textId="77777777" w:rsidR="00D3716E" w:rsidRPr="002A2C01" w:rsidRDefault="00D3716E" w:rsidP="00730E19">
      <w:pPr>
        <w:pStyle w:val="Bullet"/>
        <w:numPr>
          <w:ilvl w:val="0"/>
          <w:numId w:val="0"/>
        </w:numPr>
        <w:ind w:left="360"/>
        <w:rPr>
          <w:u w:val="single"/>
        </w:rPr>
      </w:pPr>
    </w:p>
    <w:p w14:paraId="6063A286" w14:textId="77777777" w:rsidR="00730E19" w:rsidRPr="002A2C01" w:rsidRDefault="00730E19" w:rsidP="00730E19">
      <w:pPr>
        <w:pStyle w:val="Bullet"/>
        <w:numPr>
          <w:ilvl w:val="0"/>
          <w:numId w:val="0"/>
        </w:numPr>
        <w:ind w:left="360"/>
        <w:rPr>
          <w:u w:val="single"/>
        </w:rPr>
      </w:pPr>
    </w:p>
    <w:sectPr w:rsidR="00730E19" w:rsidRPr="002A2C01" w:rsidSect="00B87698">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936"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0C4F4" w14:textId="77777777" w:rsidR="0066675D" w:rsidRDefault="0066675D">
      <w:r>
        <w:separator/>
      </w:r>
    </w:p>
  </w:endnote>
  <w:endnote w:type="continuationSeparator" w:id="0">
    <w:p w14:paraId="6C989DF7" w14:textId="77777777" w:rsidR="0066675D" w:rsidRDefault="00666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Lt BT">
    <w:panose1 w:val="020B040302020202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wis721 BT">
    <w:panose1 w:val="020B0504020202020204"/>
    <w:charset w:val="00"/>
    <w:family w:val="swiss"/>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3F90" w14:textId="77777777" w:rsidR="0035420E" w:rsidRDefault="0035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B21A" w14:textId="270CE2B0" w:rsidR="004812C6" w:rsidRDefault="00B87698" w:rsidP="004812C6">
    <w:pPr>
      <w:pStyle w:val="Footer"/>
    </w:pPr>
    <w:r>
      <w:t>22015-012-01</w:t>
    </w:r>
    <w:r w:rsidR="004812C6">
      <w:tab/>
    </w:r>
    <w:r w:rsidR="004812C6">
      <w:rPr>
        <w:noProof w:val="0"/>
      </w:rPr>
      <w:fldChar w:fldCharType="begin"/>
    </w:r>
    <w:r w:rsidR="004812C6">
      <w:instrText xml:space="preserve"> PAGE   \* MERGEFORMAT </w:instrText>
    </w:r>
    <w:r w:rsidR="004812C6">
      <w:rPr>
        <w:noProof w:val="0"/>
      </w:rPr>
      <w:fldChar w:fldCharType="separate"/>
    </w:r>
    <w:r w:rsidR="00FC5109">
      <w:t>1</w:t>
    </w:r>
    <w:r w:rsidR="004812C6">
      <w:fldChar w:fldCharType="end"/>
    </w:r>
  </w:p>
  <w:p w14:paraId="19432AA0" w14:textId="47E5DE7F" w:rsidR="00F63429" w:rsidRPr="001925BB" w:rsidRDefault="004812C6" w:rsidP="004812C6">
    <w:pPr>
      <w:pStyle w:val="Footer"/>
    </w:pPr>
    <w:r>
      <w:fldChar w:fldCharType="begin"/>
    </w:r>
    <w:r>
      <w:instrText xml:space="preserve"> DATE  \@ "MMMM yyyy"  \* MERGEFORMAT </w:instrText>
    </w:r>
    <w:r>
      <w:fldChar w:fldCharType="separate"/>
    </w:r>
    <w:r w:rsidR="00FC5109">
      <w:t>June 2017</w:t>
    </w:r>
    <w:r>
      <w:fldChar w:fldCharType="end"/>
    </w:r>
    <w:r>
      <w:tab/>
    </w:r>
    <w:r w:rsidR="00B87698" w:rsidRPr="00784140">
      <w:t>Mosquito Lagoon Reasonable Assurance Plan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D8CED" w14:textId="6FAA8515" w:rsidR="004812C6" w:rsidRDefault="00784140" w:rsidP="004812C6">
    <w:pPr>
      <w:pStyle w:val="Footer"/>
    </w:pPr>
    <w:r>
      <w:t>22015-012-01</w:t>
    </w:r>
    <w:r w:rsidR="004812C6">
      <w:tab/>
    </w:r>
    <w:r w:rsidR="004812C6">
      <w:rPr>
        <w:noProof w:val="0"/>
      </w:rPr>
      <w:fldChar w:fldCharType="begin"/>
    </w:r>
    <w:r w:rsidR="004812C6">
      <w:instrText xml:space="preserve"> PAGE   \* MERGEFORMAT </w:instrText>
    </w:r>
    <w:r w:rsidR="004812C6">
      <w:rPr>
        <w:noProof w:val="0"/>
      </w:rPr>
      <w:fldChar w:fldCharType="separate"/>
    </w:r>
    <w:r w:rsidR="00B87698">
      <w:t>1</w:t>
    </w:r>
    <w:r w:rsidR="004812C6">
      <w:fldChar w:fldCharType="end"/>
    </w:r>
  </w:p>
  <w:p w14:paraId="19432AA2" w14:textId="7A723709" w:rsidR="00F63429" w:rsidRPr="004573D2" w:rsidRDefault="004812C6" w:rsidP="004812C6">
    <w:pPr>
      <w:pStyle w:val="Footer"/>
    </w:pPr>
    <w:r>
      <w:fldChar w:fldCharType="begin"/>
    </w:r>
    <w:r>
      <w:instrText xml:space="preserve"> DATE  \@ "MMMM yyyy"  \* MERGEFORMAT </w:instrText>
    </w:r>
    <w:r>
      <w:fldChar w:fldCharType="separate"/>
    </w:r>
    <w:r w:rsidR="00FC5109">
      <w:t>June 2017</w:t>
    </w:r>
    <w:r>
      <w:fldChar w:fldCharType="end"/>
    </w:r>
    <w:r>
      <w:tab/>
    </w:r>
    <w:r w:rsidR="00784140" w:rsidRPr="00784140">
      <w:t>Mosquito Lagoon Reasonable Assurance Plan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41D17" w14:textId="77777777" w:rsidR="0066675D" w:rsidRDefault="0066675D">
      <w:r>
        <w:separator/>
      </w:r>
    </w:p>
  </w:footnote>
  <w:footnote w:type="continuationSeparator" w:id="0">
    <w:p w14:paraId="4EFFFB71" w14:textId="77777777" w:rsidR="0066675D" w:rsidRDefault="00666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FCECB" w14:textId="77777777" w:rsidR="0035420E" w:rsidRDefault="00354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32A9F" w14:textId="77777777" w:rsidR="00F63429" w:rsidRPr="00A362DC" w:rsidRDefault="00F63429" w:rsidP="00A362D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F6AD1" w14:textId="77777777" w:rsidR="0035420E" w:rsidRDefault="00354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4470F3CE"/>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15489"/>
    <w:multiLevelType w:val="multilevel"/>
    <w:tmpl w:val="A1106B04"/>
    <w:lvl w:ilvl="0">
      <w:start w:val="1"/>
      <w:numFmt w:val="decimal"/>
      <w:pStyle w:val="Heading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214675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087C3097"/>
    <w:multiLevelType w:val="hybridMultilevel"/>
    <w:tmpl w:val="83A0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135C3"/>
    <w:multiLevelType w:val="multilevel"/>
    <w:tmpl w:val="DEF85ECA"/>
    <w:lvl w:ilvl="0">
      <w:start w:val="1"/>
      <w:numFmt w:val="decimal"/>
      <w:lvlText w:val="%1"/>
      <w:lvlJc w:val="left"/>
      <w:pPr>
        <w:ind w:left="432" w:hanging="432"/>
      </w:pPr>
      <w:rPr>
        <w:rFonts w:hint="default"/>
        <w:sz w:val="20"/>
        <w:szCs w:val="20"/>
        <w:vertAlign w:val="superscrip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0F6FC6"/>
        <w:sz w:val="16"/>
      </w:rPr>
    </w:lvl>
    <w:lvl w:ilvl="1">
      <w:start w:val="1"/>
      <w:numFmt w:val="bullet"/>
      <w:lvlText w:val=""/>
      <w:lvlJc w:val="left"/>
      <w:pPr>
        <w:ind w:left="490" w:hanging="245"/>
      </w:pPr>
      <w:rPr>
        <w:rFonts w:ascii="Symbol" w:hAnsi="Symbol" w:hint="default"/>
        <w:color w:val="0F6FC6"/>
        <w:sz w:val="18"/>
      </w:rPr>
    </w:lvl>
    <w:lvl w:ilvl="2">
      <w:start w:val="1"/>
      <w:numFmt w:val="bullet"/>
      <w:lvlText w:val=""/>
      <w:lvlJc w:val="left"/>
      <w:pPr>
        <w:ind w:left="735" w:hanging="245"/>
      </w:pPr>
      <w:rPr>
        <w:rFonts w:ascii="Symbol" w:hAnsi="Symbol" w:hint="default"/>
        <w:color w:val="0F6FC6"/>
        <w:sz w:val="18"/>
      </w:rPr>
    </w:lvl>
    <w:lvl w:ilvl="3">
      <w:start w:val="1"/>
      <w:numFmt w:val="bullet"/>
      <w:lvlText w:val=""/>
      <w:lvlJc w:val="left"/>
      <w:pPr>
        <w:ind w:left="980" w:hanging="245"/>
      </w:pPr>
      <w:rPr>
        <w:rFonts w:ascii="Symbol" w:hAnsi="Symbol" w:hint="default"/>
        <w:color w:val="0B5294"/>
        <w:sz w:val="12"/>
      </w:rPr>
    </w:lvl>
    <w:lvl w:ilvl="4">
      <w:start w:val="1"/>
      <w:numFmt w:val="bullet"/>
      <w:lvlText w:val=""/>
      <w:lvlJc w:val="left"/>
      <w:pPr>
        <w:ind w:left="1225" w:hanging="245"/>
      </w:pPr>
      <w:rPr>
        <w:rFonts w:ascii="Symbol" w:hAnsi="Symbol" w:hint="default"/>
        <w:color w:val="0B5294"/>
        <w:sz w:val="12"/>
      </w:rPr>
    </w:lvl>
    <w:lvl w:ilvl="5">
      <w:start w:val="1"/>
      <w:numFmt w:val="bullet"/>
      <w:lvlText w:val=""/>
      <w:lvlJc w:val="left"/>
      <w:pPr>
        <w:ind w:left="1470" w:hanging="245"/>
      </w:pPr>
      <w:rPr>
        <w:rFonts w:ascii="Symbol" w:hAnsi="Symbol" w:hint="default"/>
        <w:color w:val="A5C249"/>
        <w:sz w:val="12"/>
      </w:rPr>
    </w:lvl>
    <w:lvl w:ilvl="6">
      <w:start w:val="1"/>
      <w:numFmt w:val="bullet"/>
      <w:lvlText w:val=""/>
      <w:lvlJc w:val="left"/>
      <w:pPr>
        <w:ind w:left="1715" w:hanging="245"/>
      </w:pPr>
      <w:rPr>
        <w:rFonts w:ascii="Symbol" w:hAnsi="Symbol" w:hint="default"/>
        <w:color w:val="A5C249"/>
        <w:sz w:val="12"/>
      </w:rPr>
    </w:lvl>
    <w:lvl w:ilvl="7">
      <w:start w:val="1"/>
      <w:numFmt w:val="bullet"/>
      <w:lvlText w:val=""/>
      <w:lvlJc w:val="left"/>
      <w:pPr>
        <w:ind w:left="1960" w:hanging="245"/>
      </w:pPr>
      <w:rPr>
        <w:rFonts w:ascii="Symbol" w:hAnsi="Symbol" w:hint="default"/>
        <w:color w:val="A5C249"/>
        <w:sz w:val="12"/>
      </w:rPr>
    </w:lvl>
    <w:lvl w:ilvl="8">
      <w:start w:val="1"/>
      <w:numFmt w:val="bullet"/>
      <w:lvlText w:val=""/>
      <w:lvlJc w:val="left"/>
      <w:pPr>
        <w:ind w:left="2205" w:hanging="245"/>
      </w:pPr>
      <w:rPr>
        <w:rFonts w:ascii="Symbol" w:hAnsi="Symbol" w:hint="default"/>
        <w:color w:val="A5C249"/>
        <w:sz w:val="12"/>
      </w:rPr>
    </w:lvl>
  </w:abstractNum>
  <w:abstractNum w:abstractNumId="6" w15:restartNumberingAfterBreak="0">
    <w:nsid w:val="0C8322BD"/>
    <w:multiLevelType w:val="multilevel"/>
    <w:tmpl w:val="D8142DF6"/>
    <w:lvl w:ilvl="0">
      <w:start w:val="1"/>
      <w:numFmt w:val="decimal"/>
      <w:pStyle w:val="StyleHeading1BoldUnderline"/>
      <w:lvlText w:val="%1.0"/>
      <w:lvlJc w:val="left"/>
      <w:pPr>
        <w:tabs>
          <w:tab w:val="num" w:pos="720"/>
        </w:tabs>
        <w:ind w:left="1080" w:hanging="1080"/>
      </w:pPr>
      <w:rPr>
        <w:rFonts w:ascii="Times New Roman" w:hAnsi="Times New Roman" w:hint="default"/>
        <w:b/>
        <w:i w:val="0"/>
        <w:strike w:val="0"/>
        <w:dstrike w:val="0"/>
        <w:color w:val="000000"/>
        <w:sz w:val="24"/>
        <w:szCs w:val="24"/>
        <w:vertAlign w:val="baseline"/>
      </w:rPr>
    </w:lvl>
    <w:lvl w:ilvl="1">
      <w:start w:val="1"/>
      <w:numFmt w:val="decimal"/>
      <w:lvlText w:val="%1.%2"/>
      <w:lvlJc w:val="left"/>
      <w:pPr>
        <w:tabs>
          <w:tab w:val="num" w:pos="720"/>
        </w:tabs>
        <w:ind w:left="720" w:hanging="720"/>
      </w:pPr>
      <w:rPr>
        <w:rFonts w:ascii="Times New Roman" w:hAnsi="Times New Roman" w:hint="default"/>
        <w:b w:val="0"/>
        <w:i w:val="0"/>
        <w:sz w:val="24"/>
        <w:szCs w:val="36"/>
      </w:rPr>
    </w:lvl>
    <w:lvl w:ilvl="2">
      <w:start w:val="1"/>
      <w:numFmt w:val="decimal"/>
      <w:lvlText w:val="%1.%2.%3"/>
      <w:lvlJc w:val="left"/>
      <w:pPr>
        <w:tabs>
          <w:tab w:val="num" w:pos="720"/>
        </w:tabs>
        <w:ind w:left="0" w:firstLine="0"/>
      </w:pPr>
      <w:rPr>
        <w:rFonts w:ascii="Times New Roman" w:hAnsi="Times New Roman" w:hint="default"/>
        <w:b w:val="0"/>
        <w:i w:val="0"/>
        <w:sz w:val="24"/>
        <w:szCs w:val="28"/>
        <w:u w:val="none"/>
      </w:rPr>
    </w:lvl>
    <w:lvl w:ilvl="3">
      <w:start w:val="1"/>
      <w:numFmt w:val="decimal"/>
      <w:lvlText w:val="%1.%2.%3.%4"/>
      <w:lvlJc w:val="left"/>
      <w:pPr>
        <w:tabs>
          <w:tab w:val="num" w:pos="1080"/>
        </w:tabs>
        <w:ind w:left="2520" w:hanging="2520"/>
      </w:pPr>
      <w:rPr>
        <w:rFonts w:ascii="Times New Roman" w:hAnsi="Times New Roman" w:hint="default"/>
        <w:b w:val="0"/>
        <w:i w:val="0"/>
        <w:sz w:val="24"/>
        <w:szCs w:val="24"/>
      </w:rPr>
    </w:lvl>
    <w:lvl w:ilvl="4">
      <w:start w:val="1"/>
      <w:numFmt w:val="upperLetter"/>
      <w:lvlText w:val="%5."/>
      <w:lvlJc w:val="left"/>
      <w:pPr>
        <w:tabs>
          <w:tab w:val="num" w:pos="720"/>
        </w:tabs>
        <w:ind w:left="1080" w:hanging="360"/>
      </w:pPr>
      <w:rPr>
        <w:rFonts w:ascii="Times New Roman" w:hAnsi="Times New Roman" w:hint="default"/>
        <w:b w:val="0"/>
        <w:i w:val="0"/>
        <w:sz w:val="24"/>
        <w:szCs w:val="24"/>
      </w:rPr>
    </w:lvl>
    <w:lvl w:ilvl="5">
      <w:start w:val="1"/>
      <w:numFmt w:val="decimal"/>
      <w:lvlText w:val="%6."/>
      <w:lvlJc w:val="left"/>
      <w:pPr>
        <w:tabs>
          <w:tab w:val="num" w:pos="720"/>
        </w:tabs>
        <w:ind w:left="216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4595D14"/>
    <w:multiLevelType w:val="multilevel"/>
    <w:tmpl w:val="6AEA1C40"/>
    <w:lvl w:ilvl="0">
      <w:start w:val="1"/>
      <w:numFmt w:val="upperRoman"/>
      <w:lvlText w:val="%1."/>
      <w:lvlJc w:val="left"/>
      <w:pPr>
        <w:tabs>
          <w:tab w:val="num" w:pos="720"/>
        </w:tabs>
        <w:ind w:left="720" w:hanging="720"/>
      </w:pPr>
      <w:rPr>
        <w:rFonts w:ascii="Times New Roman" w:hAnsi="Times New Roman" w:hint="default"/>
        <w:b/>
        <w:i w:val="0"/>
        <w:sz w:val="24"/>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1440" w:hanging="720"/>
      </w:pPr>
      <w:rPr>
        <w:rFonts w:hint="default"/>
      </w:rPr>
    </w:lvl>
    <w:lvl w:ilvl="3">
      <w:start w:val="1"/>
      <w:numFmt w:val="lowerLetter"/>
      <w:lvlText w:val="%4."/>
      <w:lvlJc w:val="left"/>
      <w:pPr>
        <w:tabs>
          <w:tab w:val="num" w:pos="720"/>
        </w:tabs>
        <w:ind w:left="2160" w:hanging="720"/>
      </w:pPr>
      <w:rPr>
        <w:rFonts w:hint="default"/>
      </w:rPr>
    </w:lvl>
    <w:lvl w:ilvl="4">
      <w:start w:val="1"/>
      <w:numFmt w:val="lowerRoman"/>
      <w:lvlText w:val="%5."/>
      <w:lvlJc w:val="left"/>
      <w:pPr>
        <w:tabs>
          <w:tab w:val="num" w:pos="720"/>
        </w:tabs>
        <w:ind w:left="2880" w:hanging="720"/>
      </w:pPr>
      <w:rPr>
        <w:rFonts w:hint="default"/>
      </w:rPr>
    </w:lvl>
    <w:lvl w:ilvl="5">
      <w:start w:val="1"/>
      <w:numFmt w:val="lowerRoman"/>
      <w:lvlText w:val="(%6)"/>
      <w:lvlJc w:val="left"/>
      <w:pPr>
        <w:tabs>
          <w:tab w:val="num" w:pos="1800"/>
        </w:tabs>
        <w:ind w:left="1800" w:firstLine="0"/>
      </w:pPr>
      <w:rPr>
        <w:rFonts w:hint="default"/>
      </w:rPr>
    </w:lvl>
    <w:lvl w:ilvl="6">
      <w:start w:val="1"/>
      <w:numFmt w:val="decimal"/>
      <w:lvlText w:val="%7)"/>
      <w:lvlJc w:val="left"/>
      <w:pPr>
        <w:tabs>
          <w:tab w:val="num" w:pos="1800"/>
        </w:tabs>
        <w:ind w:left="1800" w:firstLine="0"/>
      </w:pPr>
      <w:rPr>
        <w:rFonts w:hint="default"/>
      </w:rPr>
    </w:lvl>
    <w:lvl w:ilvl="7">
      <w:start w:val="1"/>
      <w:numFmt w:val="lowerLetter"/>
      <w:lvlText w:val="%8)"/>
      <w:lvlJc w:val="left"/>
      <w:pPr>
        <w:tabs>
          <w:tab w:val="num" w:pos="1800"/>
        </w:tabs>
        <w:ind w:left="1800" w:firstLine="0"/>
      </w:pPr>
      <w:rPr>
        <w:rFonts w:hint="default"/>
      </w:rPr>
    </w:lvl>
    <w:lvl w:ilvl="8">
      <w:numFmt w:val="decimal"/>
      <w:lvlText w:val=""/>
      <w:lvlJc w:val="left"/>
      <w:pPr>
        <w:tabs>
          <w:tab w:val="num" w:pos="1800"/>
        </w:tabs>
        <w:ind w:left="1800" w:firstLine="0"/>
      </w:pPr>
      <w:rPr>
        <w:rFonts w:hint="default"/>
      </w:rPr>
    </w:lvl>
  </w:abstractNum>
  <w:abstractNum w:abstractNumId="8" w15:restartNumberingAfterBreak="0">
    <w:nsid w:val="14B2223F"/>
    <w:multiLevelType w:val="hybridMultilevel"/>
    <w:tmpl w:val="1F8A6F5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4CD2610"/>
    <w:multiLevelType w:val="hybridMultilevel"/>
    <w:tmpl w:val="AB266C88"/>
    <w:lvl w:ilvl="0" w:tplc="BBC6370A">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F66296A4">
      <w:start w:val="1"/>
      <w:numFmt w:val="bullet"/>
      <w:pStyle w:val="Bullet-ThirdLevel"/>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04617B"/>
      </w:rPr>
    </w:lvl>
    <w:lvl w:ilvl="2">
      <w:start w:val="1"/>
      <w:numFmt w:val="lowerRoman"/>
      <w:lvlText w:val="%3)"/>
      <w:lvlJc w:val="left"/>
      <w:pPr>
        <w:ind w:left="864" w:hanging="288"/>
      </w:pPr>
      <w:rPr>
        <w:rFonts w:hint="default"/>
        <w:color w:val="04617B"/>
      </w:rPr>
    </w:lvl>
    <w:lvl w:ilvl="3">
      <w:start w:val="1"/>
      <w:numFmt w:val="decimal"/>
      <w:lvlText w:val="(%4)"/>
      <w:lvlJc w:val="left"/>
      <w:pPr>
        <w:ind w:left="1152" w:hanging="288"/>
      </w:pPr>
      <w:rPr>
        <w:rFonts w:hint="default"/>
        <w:color w:val="04617B"/>
      </w:rPr>
    </w:lvl>
    <w:lvl w:ilvl="4">
      <w:start w:val="1"/>
      <w:numFmt w:val="lowerLetter"/>
      <w:lvlText w:val="(%5)"/>
      <w:lvlJc w:val="left"/>
      <w:pPr>
        <w:ind w:left="1440" w:hanging="288"/>
      </w:pPr>
      <w:rPr>
        <w:rFonts w:hint="default"/>
        <w:color w:val="04617B"/>
      </w:rPr>
    </w:lvl>
    <w:lvl w:ilvl="5">
      <w:start w:val="1"/>
      <w:numFmt w:val="lowerRoman"/>
      <w:lvlText w:val="(%6)"/>
      <w:lvlJc w:val="left"/>
      <w:pPr>
        <w:ind w:left="1728" w:hanging="288"/>
      </w:pPr>
      <w:rPr>
        <w:rFonts w:hint="default"/>
        <w:color w:val="04617B"/>
      </w:rPr>
    </w:lvl>
    <w:lvl w:ilvl="6">
      <w:start w:val="1"/>
      <w:numFmt w:val="decimal"/>
      <w:lvlText w:val="%7."/>
      <w:lvlJc w:val="left"/>
      <w:pPr>
        <w:ind w:left="2016" w:hanging="288"/>
      </w:pPr>
      <w:rPr>
        <w:rFonts w:hint="default"/>
        <w:color w:val="04617B"/>
      </w:rPr>
    </w:lvl>
    <w:lvl w:ilvl="7">
      <w:start w:val="1"/>
      <w:numFmt w:val="lowerLetter"/>
      <w:lvlText w:val="%8."/>
      <w:lvlJc w:val="left"/>
      <w:pPr>
        <w:ind w:left="2304" w:hanging="288"/>
      </w:pPr>
      <w:rPr>
        <w:rFonts w:hint="default"/>
        <w:color w:val="04617B"/>
      </w:rPr>
    </w:lvl>
    <w:lvl w:ilvl="8">
      <w:start w:val="1"/>
      <w:numFmt w:val="lowerRoman"/>
      <w:lvlText w:val="%9."/>
      <w:lvlJc w:val="left"/>
      <w:pPr>
        <w:ind w:left="2592" w:hanging="288"/>
      </w:pPr>
      <w:rPr>
        <w:rFonts w:hint="default"/>
        <w:color w:val="04617B"/>
      </w:rPr>
    </w:lvl>
  </w:abstractNum>
  <w:abstractNum w:abstractNumId="11" w15:restartNumberingAfterBreak="0">
    <w:nsid w:val="1A0261DB"/>
    <w:multiLevelType w:val="hybridMultilevel"/>
    <w:tmpl w:val="D63AFFE0"/>
    <w:lvl w:ilvl="0" w:tplc="E982BDA0">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15:restartNumberingAfterBreak="0">
    <w:nsid w:val="1B5B2AA3"/>
    <w:multiLevelType w:val="multilevel"/>
    <w:tmpl w:val="45EE437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upperLetter"/>
      <w:pStyle w:val="Heading5"/>
      <w:lvlText w:val="%5."/>
      <w:lvlJc w:val="left"/>
      <w:pPr>
        <w:ind w:left="648" w:hanging="648"/>
      </w:pPr>
      <w:rPr>
        <w:rFonts w:hint="default"/>
      </w:rPr>
    </w:lvl>
    <w:lvl w:ilvl="5">
      <w:start w:val="1"/>
      <w:numFmt w:val="decimal"/>
      <w:lvlText w:val="%6."/>
      <w:lvlJc w:val="left"/>
      <w:pPr>
        <w:ind w:left="648" w:hanging="648"/>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245630C6"/>
    <w:multiLevelType w:val="hybridMultilevel"/>
    <w:tmpl w:val="6082B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B696E"/>
    <w:multiLevelType w:val="hybridMultilevel"/>
    <w:tmpl w:val="F2A06856"/>
    <w:lvl w:ilvl="0" w:tplc="0C8E0AC6">
      <w:start w:val="1"/>
      <w:numFmt w:val="bullet"/>
      <w:pStyle w:val="Bullet-SecondLevel"/>
      <w:lvlText w:val=""/>
      <w:lvlJc w:val="left"/>
      <w:pPr>
        <w:ind w:left="720" w:hanging="360"/>
      </w:pPr>
      <w:rPr>
        <w:rFonts w:ascii="Wingdings" w:hAnsi="Wingdings" w:hint="default"/>
        <w:b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95372"/>
    <w:multiLevelType w:val="multilevel"/>
    <w:tmpl w:val="FD880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A353B74"/>
    <w:multiLevelType w:val="hybridMultilevel"/>
    <w:tmpl w:val="CF884D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CA1288"/>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412D7"/>
    <w:multiLevelType w:val="multilevel"/>
    <w:tmpl w:val="B5CCE31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BB14409"/>
    <w:multiLevelType w:val="hybridMultilevel"/>
    <w:tmpl w:val="A878AC3A"/>
    <w:lvl w:ilvl="0" w:tplc="31FAB6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64173B"/>
    <w:multiLevelType w:val="hybridMultilevel"/>
    <w:tmpl w:val="CD52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B061B"/>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D63663"/>
    <w:multiLevelType w:val="hybridMultilevel"/>
    <w:tmpl w:val="718C7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20484D"/>
    <w:multiLevelType w:val="multilevel"/>
    <w:tmpl w:val="4DFACFCC"/>
    <w:lvl w:ilvl="0">
      <w:start w:val="1"/>
      <w:numFmt w:val="decimal"/>
      <w:lvlText w:val="%1"/>
      <w:lvlJc w:val="left"/>
      <w:pPr>
        <w:ind w:left="432" w:hanging="432"/>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ind w:left="576" w:hanging="576"/>
      </w:pPr>
      <w:rPr>
        <w:rFonts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ind w:left="720"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lvlText w:val="%1.%2.%3.%4"/>
      <w:lvlJc w:val="left"/>
      <w:pPr>
        <w:ind w:left="864" w:hanging="864"/>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lvlText w:val="%1.%2.%3.%4.%5"/>
      <w:lvlJc w:val="left"/>
      <w:pPr>
        <w:ind w:left="1008" w:hanging="1008"/>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6DC6233"/>
    <w:multiLevelType w:val="multilevel"/>
    <w:tmpl w:val="B1C2E16A"/>
    <w:styleLink w:val="1ai"/>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81F3592"/>
    <w:multiLevelType w:val="hybridMultilevel"/>
    <w:tmpl w:val="B1047302"/>
    <w:lvl w:ilvl="0" w:tplc="AC7A5DC8">
      <w:start w:val="1"/>
      <w:numFmt w:val="bullet"/>
      <w:pStyle w:val="Bullet"/>
      <w:lvlText w:val=""/>
      <w:lvlJc w:val="left"/>
      <w:pPr>
        <w:ind w:left="360" w:hanging="360"/>
      </w:pPr>
      <w:rPr>
        <w:rFonts w:ascii="Wingdings" w:hAnsi="Wingdings" w:hint="default"/>
        <w:color w:val="004264"/>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FE5D8E"/>
    <w:multiLevelType w:val="hybridMultilevel"/>
    <w:tmpl w:val="BC86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447BC3"/>
    <w:multiLevelType w:val="hybridMultilevel"/>
    <w:tmpl w:val="8C3C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15610D"/>
    <w:multiLevelType w:val="multilevel"/>
    <w:tmpl w:val="D46E1B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upperLetter"/>
      <w:lvlText w:val="%5."/>
      <w:lvlJc w:val="left"/>
      <w:pPr>
        <w:ind w:left="1008" w:hanging="1008"/>
      </w:pPr>
      <w:rPr>
        <w:rFonts w:hint="default"/>
      </w:rPr>
    </w:lvl>
    <w:lvl w:ilvl="5">
      <w:start w:val="1"/>
      <w:numFmt w:val="decimal"/>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762A0C90"/>
    <w:multiLevelType w:val="hybridMultilevel"/>
    <w:tmpl w:val="6A5A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374AC8"/>
    <w:multiLevelType w:val="multilevel"/>
    <w:tmpl w:val="A35EDA70"/>
    <w:lvl w:ilvl="0">
      <w:start w:val="1"/>
      <w:numFmt w:val="decimal"/>
      <w:pStyle w:val="Heading6"/>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upperLetter"/>
      <w:lvlText w:val="%5."/>
      <w:lvlJc w:val="left"/>
      <w:pPr>
        <w:ind w:left="432" w:hanging="432"/>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8C6248F"/>
    <w:multiLevelType w:val="hybridMultilevel"/>
    <w:tmpl w:val="5E845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9C7498"/>
    <w:multiLevelType w:val="hybridMultilevel"/>
    <w:tmpl w:val="87C03502"/>
    <w:lvl w:ilvl="0" w:tplc="5ACCC2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1C7135"/>
    <w:multiLevelType w:val="hybridMultilevel"/>
    <w:tmpl w:val="DE62CF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2"/>
  </w:num>
  <w:num w:numId="4">
    <w:abstractNumId w:val="6"/>
  </w:num>
  <w:num w:numId="5">
    <w:abstractNumId w:val="14"/>
  </w:num>
  <w:num w:numId="6">
    <w:abstractNumId w:val="30"/>
  </w:num>
  <w:num w:numId="7">
    <w:abstractNumId w:val="25"/>
  </w:num>
  <w:num w:numId="8">
    <w:abstractNumId w:val="5"/>
  </w:num>
  <w:num w:numId="9">
    <w:abstractNumId w:val="10"/>
  </w:num>
  <w:num w:numId="10">
    <w:abstractNumId w:val="9"/>
  </w:num>
  <w:num w:numId="11">
    <w:abstractNumId w:val="12"/>
  </w:num>
  <w:num w:numId="12">
    <w:abstractNumId w:val="1"/>
  </w:num>
  <w:num w:numId="13">
    <w:abstractNumId w:val="8"/>
  </w:num>
  <w:num w:numId="14">
    <w:abstractNumId w:val="21"/>
  </w:num>
  <w:num w:numId="15">
    <w:abstractNumId w:val="13"/>
  </w:num>
  <w:num w:numId="16">
    <w:abstractNumId w:val="17"/>
  </w:num>
  <w:num w:numId="17">
    <w:abstractNumId w:val="33"/>
  </w:num>
  <w:num w:numId="18">
    <w:abstractNumId w:val="28"/>
  </w:num>
  <w:num w:numId="19">
    <w:abstractNumId w:val="23"/>
    <w:lvlOverride w:ilvl="0">
      <w:startOverride w:val="1"/>
      <w:lvl w:ilvl="0">
        <w:start w:val="1"/>
        <w:numFmt w:val="decimal"/>
        <w:lvlText w:val="%1."/>
        <w:lvlJc w:val="left"/>
      </w:lvl>
    </w:lvlOverride>
  </w:num>
  <w:num w:numId="20">
    <w:abstractNumId w:val="4"/>
    <w:lvlOverride w:ilvl="0">
      <w:startOverride w:val="1"/>
      <w:lvl w:ilvl="0">
        <w:start w:val="1"/>
        <w:numFmt w:val="decimal"/>
        <w:lvlText w:val="%1)"/>
        <w:lvlJc w:val="left"/>
      </w:lvl>
    </w:lvlOverride>
  </w:num>
  <w:num w:numId="21">
    <w:abstractNumId w:val="7"/>
  </w:num>
  <w:num w:numId="22">
    <w:abstractNumId w:val="16"/>
  </w:num>
  <w:num w:numId="23">
    <w:abstractNumId w:val="32"/>
  </w:num>
  <w:num w:numId="24">
    <w:abstractNumId w:val="11"/>
  </w:num>
  <w:num w:numId="25">
    <w:abstractNumId w:val="19"/>
  </w:num>
  <w:num w:numId="26">
    <w:abstractNumId w:val="15"/>
  </w:num>
  <w:num w:numId="27">
    <w:abstractNumId w:val="27"/>
  </w:num>
  <w:num w:numId="28">
    <w:abstractNumId w:val="25"/>
  </w:num>
  <w:num w:numId="29">
    <w:abstractNumId w:val="29"/>
  </w:num>
  <w:num w:numId="30">
    <w:abstractNumId w:val="20"/>
  </w:num>
  <w:num w:numId="31">
    <w:abstractNumId w:val="3"/>
  </w:num>
  <w:num w:numId="32">
    <w:abstractNumId w:val="22"/>
  </w:num>
  <w:num w:numId="33">
    <w:abstractNumId w:val="31"/>
  </w:num>
  <w:num w:numId="34">
    <w:abstractNumId w:val="12"/>
  </w:num>
  <w:num w:numId="35">
    <w:abstractNumId w:val="12"/>
  </w:num>
  <w:num w:numId="36">
    <w:abstractNumId w:val="12"/>
  </w:num>
  <w:num w:numId="37">
    <w:abstractNumId w:val="26"/>
  </w:num>
  <w:num w:numId="3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12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BB"/>
    <w:rsid w:val="00000641"/>
    <w:rsid w:val="00000EDA"/>
    <w:rsid w:val="000149F1"/>
    <w:rsid w:val="00016434"/>
    <w:rsid w:val="000231F5"/>
    <w:rsid w:val="000308B2"/>
    <w:rsid w:val="00043B1C"/>
    <w:rsid w:val="00043DAE"/>
    <w:rsid w:val="00045E9C"/>
    <w:rsid w:val="00061949"/>
    <w:rsid w:val="00071642"/>
    <w:rsid w:val="00081D22"/>
    <w:rsid w:val="00086DED"/>
    <w:rsid w:val="000968C0"/>
    <w:rsid w:val="000C7B90"/>
    <w:rsid w:val="000D2B09"/>
    <w:rsid w:val="000D370D"/>
    <w:rsid w:val="000F1ECF"/>
    <w:rsid w:val="00110582"/>
    <w:rsid w:val="001233C4"/>
    <w:rsid w:val="00151E4D"/>
    <w:rsid w:val="00154A79"/>
    <w:rsid w:val="00166FB2"/>
    <w:rsid w:val="0017386C"/>
    <w:rsid w:val="001925BB"/>
    <w:rsid w:val="001C2872"/>
    <w:rsid w:val="001D0E01"/>
    <w:rsid w:val="001D5EA3"/>
    <w:rsid w:val="001D78F4"/>
    <w:rsid w:val="001E2DE3"/>
    <w:rsid w:val="001E5266"/>
    <w:rsid w:val="001F1ECE"/>
    <w:rsid w:val="002032AA"/>
    <w:rsid w:val="00216024"/>
    <w:rsid w:val="00232063"/>
    <w:rsid w:val="002403A3"/>
    <w:rsid w:val="00245D2A"/>
    <w:rsid w:val="002621B3"/>
    <w:rsid w:val="00270CE3"/>
    <w:rsid w:val="00272DD9"/>
    <w:rsid w:val="002804BF"/>
    <w:rsid w:val="00282532"/>
    <w:rsid w:val="002A2C01"/>
    <w:rsid w:val="002C73D4"/>
    <w:rsid w:val="002D1A2D"/>
    <w:rsid w:val="00303337"/>
    <w:rsid w:val="003046A7"/>
    <w:rsid w:val="00307A49"/>
    <w:rsid w:val="00314376"/>
    <w:rsid w:val="00332C7A"/>
    <w:rsid w:val="003374E6"/>
    <w:rsid w:val="00341CB2"/>
    <w:rsid w:val="00352CDB"/>
    <w:rsid w:val="0035420E"/>
    <w:rsid w:val="00375B30"/>
    <w:rsid w:val="00397253"/>
    <w:rsid w:val="00397DA9"/>
    <w:rsid w:val="003A59ED"/>
    <w:rsid w:val="003C7A7B"/>
    <w:rsid w:val="003D244C"/>
    <w:rsid w:val="003E1B89"/>
    <w:rsid w:val="003E7307"/>
    <w:rsid w:val="003F3FB0"/>
    <w:rsid w:val="00414710"/>
    <w:rsid w:val="00422174"/>
    <w:rsid w:val="00433657"/>
    <w:rsid w:val="0044378A"/>
    <w:rsid w:val="004573D2"/>
    <w:rsid w:val="004642AD"/>
    <w:rsid w:val="004812C6"/>
    <w:rsid w:val="00483C13"/>
    <w:rsid w:val="00493843"/>
    <w:rsid w:val="00494A34"/>
    <w:rsid w:val="004B430A"/>
    <w:rsid w:val="004B56FA"/>
    <w:rsid w:val="004B6697"/>
    <w:rsid w:val="004B6B5F"/>
    <w:rsid w:val="004C5E93"/>
    <w:rsid w:val="004D61F4"/>
    <w:rsid w:val="004F4DA3"/>
    <w:rsid w:val="005036D0"/>
    <w:rsid w:val="005249B5"/>
    <w:rsid w:val="00526318"/>
    <w:rsid w:val="00551CED"/>
    <w:rsid w:val="00555CC1"/>
    <w:rsid w:val="00564697"/>
    <w:rsid w:val="005653F4"/>
    <w:rsid w:val="00565631"/>
    <w:rsid w:val="00571EEE"/>
    <w:rsid w:val="005B3474"/>
    <w:rsid w:val="005B7BBD"/>
    <w:rsid w:val="005D5134"/>
    <w:rsid w:val="005D5E26"/>
    <w:rsid w:val="00622441"/>
    <w:rsid w:val="00627DC7"/>
    <w:rsid w:val="00660D0B"/>
    <w:rsid w:val="006642C4"/>
    <w:rsid w:val="0066675D"/>
    <w:rsid w:val="00685928"/>
    <w:rsid w:val="006F0892"/>
    <w:rsid w:val="00702869"/>
    <w:rsid w:val="007066C4"/>
    <w:rsid w:val="00730E19"/>
    <w:rsid w:val="007314AE"/>
    <w:rsid w:val="00734A98"/>
    <w:rsid w:val="00742C8C"/>
    <w:rsid w:val="007725FD"/>
    <w:rsid w:val="00777FF0"/>
    <w:rsid w:val="00784140"/>
    <w:rsid w:val="00784B13"/>
    <w:rsid w:val="007B3538"/>
    <w:rsid w:val="007C04B5"/>
    <w:rsid w:val="007D5E87"/>
    <w:rsid w:val="007D6AEF"/>
    <w:rsid w:val="007E4820"/>
    <w:rsid w:val="007F02F5"/>
    <w:rsid w:val="007F14AC"/>
    <w:rsid w:val="007F6215"/>
    <w:rsid w:val="007F6DE7"/>
    <w:rsid w:val="00833F32"/>
    <w:rsid w:val="00834730"/>
    <w:rsid w:val="0084516B"/>
    <w:rsid w:val="00845F7D"/>
    <w:rsid w:val="00851929"/>
    <w:rsid w:val="00856164"/>
    <w:rsid w:val="0087373B"/>
    <w:rsid w:val="008808BF"/>
    <w:rsid w:val="00885D8A"/>
    <w:rsid w:val="008973E5"/>
    <w:rsid w:val="008A1886"/>
    <w:rsid w:val="008A1B21"/>
    <w:rsid w:val="008A255C"/>
    <w:rsid w:val="008B5AA4"/>
    <w:rsid w:val="008F1041"/>
    <w:rsid w:val="00906AA8"/>
    <w:rsid w:val="00914CC5"/>
    <w:rsid w:val="00922078"/>
    <w:rsid w:val="009643F1"/>
    <w:rsid w:val="009646FD"/>
    <w:rsid w:val="00966E6B"/>
    <w:rsid w:val="009A136F"/>
    <w:rsid w:val="009A74AC"/>
    <w:rsid w:val="009C04C1"/>
    <w:rsid w:val="009D1328"/>
    <w:rsid w:val="009D48F3"/>
    <w:rsid w:val="009E726A"/>
    <w:rsid w:val="009F246E"/>
    <w:rsid w:val="009F632C"/>
    <w:rsid w:val="00A05566"/>
    <w:rsid w:val="00A1476B"/>
    <w:rsid w:val="00A235F3"/>
    <w:rsid w:val="00A24719"/>
    <w:rsid w:val="00A362DC"/>
    <w:rsid w:val="00A37DEE"/>
    <w:rsid w:val="00A4727F"/>
    <w:rsid w:val="00A55ACE"/>
    <w:rsid w:val="00A72F63"/>
    <w:rsid w:val="00A84632"/>
    <w:rsid w:val="00A96888"/>
    <w:rsid w:val="00AA354E"/>
    <w:rsid w:val="00AA69E3"/>
    <w:rsid w:val="00AC138D"/>
    <w:rsid w:val="00AC7380"/>
    <w:rsid w:val="00AD04F6"/>
    <w:rsid w:val="00AF359C"/>
    <w:rsid w:val="00B04373"/>
    <w:rsid w:val="00B23B4F"/>
    <w:rsid w:val="00B32910"/>
    <w:rsid w:val="00B349A2"/>
    <w:rsid w:val="00B35DCE"/>
    <w:rsid w:val="00B37C8E"/>
    <w:rsid w:val="00B45427"/>
    <w:rsid w:val="00B51FC3"/>
    <w:rsid w:val="00B62BEC"/>
    <w:rsid w:val="00B87698"/>
    <w:rsid w:val="00B87899"/>
    <w:rsid w:val="00B9364B"/>
    <w:rsid w:val="00B9605A"/>
    <w:rsid w:val="00BA23B4"/>
    <w:rsid w:val="00BB1BA3"/>
    <w:rsid w:val="00BB6E63"/>
    <w:rsid w:val="00BF3686"/>
    <w:rsid w:val="00C15FF7"/>
    <w:rsid w:val="00C7238B"/>
    <w:rsid w:val="00C737BF"/>
    <w:rsid w:val="00C80B70"/>
    <w:rsid w:val="00C8283F"/>
    <w:rsid w:val="00C916F2"/>
    <w:rsid w:val="00C952EC"/>
    <w:rsid w:val="00CB5BA3"/>
    <w:rsid w:val="00CD2712"/>
    <w:rsid w:val="00CE1C39"/>
    <w:rsid w:val="00CE47BB"/>
    <w:rsid w:val="00D23028"/>
    <w:rsid w:val="00D258A7"/>
    <w:rsid w:val="00D34632"/>
    <w:rsid w:val="00D3716E"/>
    <w:rsid w:val="00D770D5"/>
    <w:rsid w:val="00D95E83"/>
    <w:rsid w:val="00DA2542"/>
    <w:rsid w:val="00DA7C83"/>
    <w:rsid w:val="00DC1D5A"/>
    <w:rsid w:val="00DF1586"/>
    <w:rsid w:val="00DF1AB9"/>
    <w:rsid w:val="00DF20AC"/>
    <w:rsid w:val="00E31DB9"/>
    <w:rsid w:val="00E46D20"/>
    <w:rsid w:val="00E52838"/>
    <w:rsid w:val="00E87D6F"/>
    <w:rsid w:val="00EA3691"/>
    <w:rsid w:val="00EC66C3"/>
    <w:rsid w:val="00EE278C"/>
    <w:rsid w:val="00EF38C8"/>
    <w:rsid w:val="00F05868"/>
    <w:rsid w:val="00F16ABA"/>
    <w:rsid w:val="00F26B88"/>
    <w:rsid w:val="00F36467"/>
    <w:rsid w:val="00F47295"/>
    <w:rsid w:val="00F63429"/>
    <w:rsid w:val="00F73D99"/>
    <w:rsid w:val="00F9161C"/>
    <w:rsid w:val="00F9597D"/>
    <w:rsid w:val="00F978C7"/>
    <w:rsid w:val="00FB48B3"/>
    <w:rsid w:val="00FC45B1"/>
    <w:rsid w:val="00FC5109"/>
    <w:rsid w:val="00FD0396"/>
    <w:rsid w:val="00FF2CD7"/>
    <w:rsid w:val="00FF3572"/>
    <w:rsid w:val="00FF761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9432A52"/>
  <w15:docId w15:val="{1A58CD4D-B00F-4AC1-892D-7CD9520B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qFormat="1"/>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05A"/>
    <w:pPr>
      <w:spacing w:after="200" w:line="276" w:lineRule="auto"/>
    </w:pPr>
    <w:rPr>
      <w:rFonts w:ascii="Arial" w:eastAsia="Calibri" w:hAnsi="Arial" w:cs="Calibri"/>
      <w:lang w:eastAsia="ja-JP"/>
    </w:rPr>
  </w:style>
  <w:style w:type="paragraph" w:styleId="Heading1">
    <w:name w:val="heading 1"/>
    <w:basedOn w:val="Normal"/>
    <w:next w:val="Normal"/>
    <w:link w:val="Heading1Char"/>
    <w:autoRedefine/>
    <w:qFormat/>
    <w:rsid w:val="00B9605A"/>
    <w:pPr>
      <w:keepNext/>
      <w:keepLines/>
      <w:numPr>
        <w:numId w:val="11"/>
      </w:numPr>
      <w:spacing w:before="360" w:after="160"/>
      <w:outlineLvl w:val="0"/>
    </w:pPr>
    <w:rPr>
      <w:rFonts w:cs="Arial"/>
      <w:b/>
      <w:caps/>
      <w:color w:val="004264"/>
      <w:sz w:val="28"/>
      <w:szCs w:val="32"/>
    </w:rPr>
  </w:style>
  <w:style w:type="paragraph" w:styleId="Heading2">
    <w:name w:val="heading 2"/>
    <w:basedOn w:val="Normal"/>
    <w:next w:val="Normal"/>
    <w:link w:val="Heading2Char"/>
    <w:autoRedefine/>
    <w:qFormat/>
    <w:rsid w:val="00B9605A"/>
    <w:pPr>
      <w:keepNext/>
      <w:keepLines/>
      <w:numPr>
        <w:ilvl w:val="1"/>
        <w:numId w:val="11"/>
      </w:numPr>
      <w:spacing w:after="160"/>
      <w:outlineLvl w:val="1"/>
    </w:pPr>
    <w:rPr>
      <w:b/>
      <w:smallCaps/>
      <w:color w:val="004264"/>
      <w:sz w:val="26"/>
      <w:szCs w:val="24"/>
    </w:rPr>
  </w:style>
  <w:style w:type="paragraph" w:styleId="Heading3">
    <w:name w:val="heading 3"/>
    <w:basedOn w:val="Heading2"/>
    <w:next w:val="Normal"/>
    <w:link w:val="Heading3Char"/>
    <w:autoRedefine/>
    <w:qFormat/>
    <w:rsid w:val="00B9605A"/>
    <w:pPr>
      <w:numPr>
        <w:ilvl w:val="2"/>
      </w:numPr>
      <w:spacing w:before="240" w:after="120"/>
      <w:outlineLvl w:val="2"/>
    </w:pPr>
    <w:rPr>
      <w:rFonts w:cs="Arial"/>
      <w:b w:val="0"/>
      <w:sz w:val="22"/>
    </w:rPr>
  </w:style>
  <w:style w:type="paragraph" w:styleId="Heading4">
    <w:name w:val="heading 4"/>
    <w:basedOn w:val="Normal"/>
    <w:next w:val="Normal"/>
    <w:link w:val="Heading4Char"/>
    <w:qFormat/>
    <w:rsid w:val="00B9605A"/>
    <w:pPr>
      <w:numPr>
        <w:ilvl w:val="3"/>
        <w:numId w:val="11"/>
      </w:numPr>
      <w:spacing w:before="240" w:after="120"/>
      <w:outlineLvl w:val="3"/>
    </w:pPr>
    <w:rPr>
      <w:rFonts w:eastAsia="Times New Roman"/>
      <w:snapToGrid w:val="0"/>
      <w:color w:val="1F497D"/>
      <w:szCs w:val="24"/>
    </w:rPr>
  </w:style>
  <w:style w:type="paragraph" w:styleId="Heading5">
    <w:name w:val="heading 5"/>
    <w:basedOn w:val="Normal"/>
    <w:next w:val="Normal"/>
    <w:link w:val="Heading5Char"/>
    <w:autoRedefine/>
    <w:qFormat/>
    <w:rsid w:val="00B9605A"/>
    <w:pPr>
      <w:keepNext/>
      <w:keepLines/>
      <w:numPr>
        <w:ilvl w:val="4"/>
        <w:numId w:val="11"/>
      </w:numPr>
      <w:spacing w:after="120"/>
      <w:outlineLvl w:val="4"/>
    </w:pPr>
    <w:rPr>
      <w:rFonts w:cs="Arial"/>
    </w:rPr>
  </w:style>
  <w:style w:type="paragraph" w:styleId="Heading6">
    <w:name w:val="heading 6"/>
    <w:basedOn w:val="Normal"/>
    <w:next w:val="Normal"/>
    <w:link w:val="Heading6Char"/>
    <w:autoRedefine/>
    <w:qFormat/>
    <w:rsid w:val="00B9605A"/>
    <w:pPr>
      <w:numPr>
        <w:numId w:val="6"/>
      </w:numPr>
      <w:tabs>
        <w:tab w:val="left" w:pos="360"/>
      </w:tabs>
      <w:spacing w:before="120" w:after="120"/>
      <w:outlineLvl w:val="5"/>
    </w:pPr>
    <w:rPr>
      <w:rFonts w:eastAsia="Times New Roman"/>
      <w:bCs/>
    </w:rPr>
  </w:style>
  <w:style w:type="paragraph" w:styleId="Heading7">
    <w:name w:val="heading 7"/>
    <w:basedOn w:val="Normal"/>
    <w:next w:val="Normal"/>
    <w:link w:val="Heading7Char"/>
    <w:autoRedefine/>
    <w:uiPriority w:val="99"/>
    <w:rsid w:val="00B9605A"/>
    <w:pPr>
      <w:numPr>
        <w:numId w:val="12"/>
      </w:numPr>
      <w:ind w:hanging="360"/>
      <w:outlineLvl w:val="6"/>
    </w:pPr>
  </w:style>
  <w:style w:type="paragraph" w:styleId="Heading8">
    <w:name w:val="heading 8"/>
    <w:basedOn w:val="Normal"/>
    <w:next w:val="Normal"/>
    <w:link w:val="Heading8Char"/>
    <w:uiPriority w:val="99"/>
    <w:rsid w:val="00B9605A"/>
    <w:pPr>
      <w:numPr>
        <w:ilvl w:val="7"/>
        <w:numId w:val="11"/>
      </w:numPr>
      <w:outlineLvl w:val="7"/>
    </w:pPr>
    <w:rPr>
      <w:b/>
      <w:color w:val="0075A2"/>
    </w:rPr>
  </w:style>
  <w:style w:type="paragraph" w:styleId="Heading9">
    <w:name w:val="heading 9"/>
    <w:basedOn w:val="Normal"/>
    <w:next w:val="Normal"/>
    <w:link w:val="Heading9Char"/>
    <w:uiPriority w:val="99"/>
    <w:rsid w:val="00B9605A"/>
    <w:pPr>
      <w:numPr>
        <w:ilvl w:val="8"/>
        <w:numId w:val="11"/>
      </w:numPr>
      <w:outlineLvl w:val="8"/>
    </w:pPr>
    <w:rPr>
      <w:b/>
      <w:i/>
      <w:color w:val="0075A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
    <w:basedOn w:val="Normal"/>
    <w:link w:val="BodyTextChar"/>
    <w:semiHidden/>
    <w:rsid w:val="00B9605A"/>
  </w:style>
  <w:style w:type="paragraph" w:styleId="BodyText3">
    <w:name w:val="Body Text 3"/>
    <w:basedOn w:val="Normal"/>
    <w:link w:val="BodyText3Char"/>
    <w:semiHidden/>
    <w:rsid w:val="00B9605A"/>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pPr>
  </w:style>
  <w:style w:type="paragraph" w:styleId="Footer">
    <w:name w:val="footer"/>
    <w:basedOn w:val="Normal"/>
    <w:link w:val="FooterChar"/>
    <w:autoRedefine/>
    <w:uiPriority w:val="99"/>
    <w:qFormat/>
    <w:rsid w:val="00B9605A"/>
    <w:pPr>
      <w:pBdr>
        <w:top w:val="single" w:sz="4" w:space="1" w:color="auto"/>
      </w:pBdr>
      <w:tabs>
        <w:tab w:val="right" w:pos="9360"/>
        <w:tab w:val="right" w:pos="12960"/>
        <w:tab w:val="right" w:pos="21600"/>
      </w:tabs>
      <w:spacing w:after="0" w:line="240" w:lineRule="auto"/>
    </w:pPr>
    <w:rPr>
      <w:noProof/>
      <w:sz w:val="16"/>
      <w:szCs w:val="16"/>
    </w:rPr>
  </w:style>
  <w:style w:type="paragraph" w:styleId="TableofFigures">
    <w:name w:val="table of figures"/>
    <w:basedOn w:val="Normal"/>
    <w:next w:val="Normal"/>
    <w:autoRedefine/>
    <w:uiPriority w:val="99"/>
    <w:rsid w:val="00B9605A"/>
    <w:pPr>
      <w:tabs>
        <w:tab w:val="left" w:pos="1440"/>
        <w:tab w:val="right" w:leader="dot" w:pos="9360"/>
      </w:tabs>
      <w:spacing w:before="40" w:after="40" w:line="240" w:lineRule="auto"/>
      <w:ind w:left="1440" w:right="720" w:hanging="1440"/>
    </w:pPr>
    <w:rPr>
      <w:noProof/>
    </w:rPr>
  </w:style>
  <w:style w:type="paragraph" w:customStyle="1" w:styleId="StyleTableofFiguresRight025">
    <w:name w:val="Style Table of Figures + Right:  0.25&quot;"/>
    <w:basedOn w:val="TableofFigures"/>
    <w:semiHidden/>
    <w:rsid w:val="00B9605A"/>
    <w:pPr>
      <w:ind w:right="360"/>
    </w:pPr>
  </w:style>
  <w:style w:type="paragraph" w:styleId="TOC1">
    <w:name w:val="toc 1"/>
    <w:basedOn w:val="Normal"/>
    <w:next w:val="Normal"/>
    <w:link w:val="TOC1Char"/>
    <w:autoRedefine/>
    <w:uiPriority w:val="39"/>
    <w:rsid w:val="00B9605A"/>
    <w:pPr>
      <w:keepNext/>
      <w:tabs>
        <w:tab w:val="left" w:pos="660"/>
        <w:tab w:val="right" w:leader="dot" w:pos="9350"/>
      </w:tabs>
      <w:spacing w:after="100"/>
    </w:pPr>
    <w:rPr>
      <w:b/>
      <w:noProof/>
    </w:rPr>
  </w:style>
  <w:style w:type="paragraph" w:styleId="TOC2">
    <w:name w:val="toc 2"/>
    <w:basedOn w:val="Normal"/>
    <w:next w:val="Normal"/>
    <w:autoRedefine/>
    <w:uiPriority w:val="39"/>
    <w:rsid w:val="00B9605A"/>
    <w:pPr>
      <w:tabs>
        <w:tab w:val="left" w:pos="880"/>
        <w:tab w:val="right" w:leader="dot" w:pos="9350"/>
      </w:tabs>
      <w:spacing w:after="100"/>
      <w:ind w:left="220"/>
    </w:pPr>
    <w:rPr>
      <w:noProof/>
    </w:rPr>
  </w:style>
  <w:style w:type="paragraph" w:styleId="TOC3">
    <w:name w:val="toc 3"/>
    <w:basedOn w:val="Normal"/>
    <w:next w:val="Normal"/>
    <w:autoRedefine/>
    <w:uiPriority w:val="39"/>
    <w:rsid w:val="00B9605A"/>
    <w:pPr>
      <w:tabs>
        <w:tab w:val="left" w:pos="1325"/>
        <w:tab w:val="right" w:leader="dot" w:pos="9350"/>
      </w:tabs>
      <w:spacing w:after="100"/>
      <w:ind w:left="440"/>
    </w:pPr>
    <w:rPr>
      <w:rFonts w:eastAsia="Times New Roman"/>
      <w:noProof/>
      <w:color w:val="000000"/>
      <w:szCs w:val="22"/>
    </w:rPr>
  </w:style>
  <w:style w:type="paragraph" w:customStyle="1" w:styleId="StyleHeading1Underline">
    <w:name w:val="Style Heading 1 + Underline"/>
    <w:basedOn w:val="Heading1"/>
    <w:semiHidden/>
    <w:rsid w:val="00B9605A"/>
    <w:pPr>
      <w:numPr>
        <w:numId w:val="0"/>
      </w:numPr>
      <w:spacing w:line="340" w:lineRule="atLeast"/>
    </w:pPr>
    <w:rPr>
      <w:szCs w:val="28"/>
    </w:rPr>
  </w:style>
  <w:style w:type="paragraph" w:styleId="Header">
    <w:name w:val="header"/>
    <w:basedOn w:val="Normal"/>
    <w:link w:val="HeaderChar"/>
    <w:uiPriority w:val="99"/>
    <w:semiHidden/>
    <w:rsid w:val="00B9605A"/>
    <w:pPr>
      <w:tabs>
        <w:tab w:val="center" w:pos="4680"/>
        <w:tab w:val="right" w:pos="9360"/>
      </w:tabs>
      <w:spacing w:line="240" w:lineRule="auto"/>
    </w:pPr>
  </w:style>
  <w:style w:type="numbering" w:styleId="111111">
    <w:name w:val="Outline List 2"/>
    <w:basedOn w:val="NoList"/>
    <w:rsid w:val="00B9605A"/>
    <w:pPr>
      <w:numPr>
        <w:numId w:val="1"/>
      </w:numPr>
    </w:pPr>
  </w:style>
  <w:style w:type="numbering" w:styleId="1ai">
    <w:name w:val="Outline List 1"/>
    <w:basedOn w:val="NoList"/>
    <w:rsid w:val="00B9605A"/>
    <w:pPr>
      <w:numPr>
        <w:numId w:val="2"/>
      </w:numPr>
    </w:pPr>
  </w:style>
  <w:style w:type="numbering" w:styleId="ArticleSection">
    <w:name w:val="Outline List 3"/>
    <w:basedOn w:val="NoList"/>
    <w:rsid w:val="00B9605A"/>
    <w:pPr>
      <w:numPr>
        <w:numId w:val="3"/>
      </w:numPr>
    </w:pPr>
  </w:style>
  <w:style w:type="paragraph" w:styleId="BlockText">
    <w:name w:val="Block Text"/>
    <w:aliases w:val="Block Quote"/>
    <w:basedOn w:val="Normal"/>
    <w:uiPriority w:val="99"/>
    <w:semiHidden/>
    <w:rsid w:val="00B9605A"/>
    <w:pPr>
      <w:pBdr>
        <w:top w:val="single" w:sz="2" w:space="10" w:color="AAC7AC"/>
        <w:bottom w:val="single" w:sz="24" w:space="10" w:color="AAC7AC"/>
      </w:pBdr>
      <w:spacing w:after="280" w:line="240" w:lineRule="auto"/>
      <w:ind w:left="1440" w:right="1440"/>
    </w:pPr>
    <w:rPr>
      <w:rFonts w:ascii="Perpetua" w:eastAsia="Times New Roman" w:hAnsi="Perpetua"/>
      <w:color w:val="7F7F7F"/>
      <w:sz w:val="28"/>
      <w:szCs w:val="28"/>
      <w:lang w:eastAsia="ko-KR" w:bidi="hi-IN"/>
    </w:rPr>
  </w:style>
  <w:style w:type="paragraph" w:styleId="BodyText2">
    <w:name w:val="Body Text 2"/>
    <w:basedOn w:val="Normal"/>
    <w:link w:val="BodyText2Char"/>
    <w:semiHidden/>
    <w:rsid w:val="00B9605A"/>
    <w:pPr>
      <w:spacing w:after="120" w:line="480" w:lineRule="auto"/>
    </w:pPr>
  </w:style>
  <w:style w:type="paragraph" w:styleId="BodyTextFirstIndent">
    <w:name w:val="Body Text First Indent"/>
    <w:basedOn w:val="BodyText"/>
    <w:link w:val="BodyTextFirstIndentChar"/>
    <w:semiHidden/>
    <w:rsid w:val="00B9605A"/>
    <w:pPr>
      <w:spacing w:after="120"/>
      <w:ind w:firstLine="210"/>
    </w:pPr>
  </w:style>
  <w:style w:type="paragraph" w:styleId="BodyTextIndent">
    <w:name w:val="Body Text Indent"/>
    <w:basedOn w:val="Normal"/>
    <w:link w:val="BodyTextIndentChar"/>
    <w:semiHidden/>
    <w:rsid w:val="00B9605A"/>
    <w:pPr>
      <w:spacing w:after="120"/>
      <w:ind w:left="360"/>
    </w:pPr>
  </w:style>
  <w:style w:type="paragraph" w:styleId="BodyTextFirstIndent2">
    <w:name w:val="Body Text First Indent 2"/>
    <w:basedOn w:val="BodyTextIndent"/>
    <w:link w:val="BodyTextFirstIndent2Char"/>
    <w:semiHidden/>
    <w:rsid w:val="00B9605A"/>
    <w:pPr>
      <w:ind w:firstLine="210"/>
    </w:pPr>
  </w:style>
  <w:style w:type="paragraph" w:styleId="BodyTextIndent2">
    <w:name w:val="Body Text Indent 2"/>
    <w:basedOn w:val="Normal"/>
    <w:link w:val="BodyTextIndent2Char"/>
    <w:semiHidden/>
    <w:rsid w:val="00B9605A"/>
    <w:pPr>
      <w:spacing w:after="120" w:line="480" w:lineRule="auto"/>
      <w:ind w:left="360"/>
    </w:pPr>
  </w:style>
  <w:style w:type="paragraph" w:styleId="BodyTextIndent3">
    <w:name w:val="Body Text Indent 3"/>
    <w:basedOn w:val="Normal"/>
    <w:link w:val="BodyTextIndent3Char"/>
    <w:semiHidden/>
    <w:rsid w:val="00B9605A"/>
    <w:pPr>
      <w:spacing w:after="120"/>
      <w:ind w:left="360"/>
    </w:pPr>
    <w:rPr>
      <w:sz w:val="16"/>
      <w:szCs w:val="16"/>
    </w:rPr>
  </w:style>
  <w:style w:type="paragraph" w:styleId="Closing">
    <w:name w:val="Closing"/>
    <w:basedOn w:val="Normal"/>
    <w:link w:val="ClosingChar"/>
    <w:semiHidden/>
    <w:rsid w:val="00B9605A"/>
    <w:pPr>
      <w:ind w:left="4320"/>
    </w:pPr>
  </w:style>
  <w:style w:type="paragraph" w:styleId="Date">
    <w:name w:val="Date"/>
    <w:basedOn w:val="Normal"/>
    <w:next w:val="Normal"/>
    <w:link w:val="DateChar"/>
    <w:semiHidden/>
    <w:rsid w:val="00B9605A"/>
  </w:style>
  <w:style w:type="paragraph" w:styleId="E-mailSignature">
    <w:name w:val="E-mail Signature"/>
    <w:basedOn w:val="Normal"/>
    <w:link w:val="E-mailSignatureChar"/>
    <w:semiHidden/>
    <w:rsid w:val="00B9605A"/>
  </w:style>
  <w:style w:type="character" w:styleId="Emphasis">
    <w:name w:val="Emphasis"/>
    <w:uiPriority w:val="99"/>
    <w:rsid w:val="00B9605A"/>
    <w:rPr>
      <w:b/>
      <w:i/>
      <w:color w:val="02303D"/>
      <w:spacing w:val="10"/>
      <w:sz w:val="18"/>
      <w:szCs w:val="18"/>
    </w:rPr>
  </w:style>
  <w:style w:type="paragraph" w:styleId="EnvelopeAddress">
    <w:name w:val="envelope address"/>
    <w:basedOn w:val="Normal"/>
    <w:semiHidden/>
    <w:rsid w:val="00B9605A"/>
    <w:pPr>
      <w:framePr w:w="7920" w:h="1980" w:hRule="exact" w:hSpace="180" w:wrap="auto" w:hAnchor="page" w:xAlign="center" w:yAlign="bottom"/>
      <w:ind w:left="2880"/>
    </w:pPr>
    <w:rPr>
      <w:rFonts w:cs="Arial"/>
    </w:rPr>
  </w:style>
  <w:style w:type="paragraph" w:styleId="EnvelopeReturn">
    <w:name w:val="envelope return"/>
    <w:basedOn w:val="Normal"/>
    <w:semiHidden/>
    <w:rsid w:val="00B9605A"/>
    <w:rPr>
      <w:rFonts w:cs="Arial"/>
    </w:rPr>
  </w:style>
  <w:style w:type="character" w:styleId="FollowedHyperlink">
    <w:name w:val="FollowedHyperlink"/>
    <w:uiPriority w:val="99"/>
    <w:semiHidden/>
    <w:rsid w:val="00B9605A"/>
    <w:rPr>
      <w:color w:val="800080"/>
      <w:u w:val="single"/>
    </w:rPr>
  </w:style>
  <w:style w:type="character" w:styleId="HTMLAcronym">
    <w:name w:val="HTML Acronym"/>
    <w:semiHidden/>
    <w:rsid w:val="00B9605A"/>
  </w:style>
  <w:style w:type="paragraph" w:styleId="HTMLAddress">
    <w:name w:val="HTML Address"/>
    <w:basedOn w:val="Normal"/>
    <w:link w:val="HTMLAddressChar"/>
    <w:semiHidden/>
    <w:rsid w:val="00B9605A"/>
    <w:rPr>
      <w:i/>
      <w:iCs/>
    </w:rPr>
  </w:style>
  <w:style w:type="character" w:styleId="HTMLCite">
    <w:name w:val="HTML Cite"/>
    <w:semiHidden/>
    <w:rsid w:val="00B9605A"/>
    <w:rPr>
      <w:i/>
      <w:iCs/>
    </w:rPr>
  </w:style>
  <w:style w:type="character" w:styleId="HTMLCode">
    <w:name w:val="HTML Code"/>
    <w:semiHidden/>
    <w:rsid w:val="00B9605A"/>
    <w:rPr>
      <w:rFonts w:ascii="Courier New" w:hAnsi="Courier New" w:cs="Courier New"/>
      <w:sz w:val="20"/>
      <w:szCs w:val="20"/>
    </w:rPr>
  </w:style>
  <w:style w:type="character" w:styleId="HTMLDefinition">
    <w:name w:val="HTML Definition"/>
    <w:semiHidden/>
    <w:rsid w:val="00B9605A"/>
    <w:rPr>
      <w:i/>
      <w:iCs/>
    </w:rPr>
  </w:style>
  <w:style w:type="character" w:styleId="HTMLKeyboard">
    <w:name w:val="HTML Keyboard"/>
    <w:semiHidden/>
    <w:rsid w:val="00B9605A"/>
    <w:rPr>
      <w:rFonts w:ascii="Courier New" w:hAnsi="Courier New" w:cs="Courier New"/>
      <w:sz w:val="20"/>
      <w:szCs w:val="20"/>
    </w:rPr>
  </w:style>
  <w:style w:type="paragraph" w:styleId="HTMLPreformatted">
    <w:name w:val="HTML Preformatted"/>
    <w:basedOn w:val="Normal"/>
    <w:link w:val="HTMLPreformattedChar"/>
    <w:semiHidden/>
    <w:rsid w:val="00B9605A"/>
    <w:rPr>
      <w:rFonts w:ascii="Courier New" w:hAnsi="Courier New" w:cs="Courier New"/>
    </w:rPr>
  </w:style>
  <w:style w:type="character" w:styleId="HTMLSample">
    <w:name w:val="HTML Sample"/>
    <w:semiHidden/>
    <w:rsid w:val="00B9605A"/>
    <w:rPr>
      <w:rFonts w:ascii="Courier New" w:hAnsi="Courier New" w:cs="Courier New"/>
    </w:rPr>
  </w:style>
  <w:style w:type="character" w:styleId="HTMLTypewriter">
    <w:name w:val="HTML Typewriter"/>
    <w:semiHidden/>
    <w:rsid w:val="00B9605A"/>
    <w:rPr>
      <w:rFonts w:ascii="Courier New" w:hAnsi="Courier New" w:cs="Courier New"/>
      <w:sz w:val="20"/>
      <w:szCs w:val="20"/>
    </w:rPr>
  </w:style>
  <w:style w:type="character" w:styleId="HTMLVariable">
    <w:name w:val="HTML Variable"/>
    <w:semiHidden/>
    <w:rsid w:val="00B9605A"/>
    <w:rPr>
      <w:i/>
      <w:iCs/>
    </w:rPr>
  </w:style>
  <w:style w:type="character" w:styleId="Hyperlink">
    <w:name w:val="Hyperlink"/>
    <w:uiPriority w:val="99"/>
    <w:semiHidden/>
    <w:qFormat/>
    <w:rsid w:val="00B9605A"/>
    <w:rPr>
      <w:rFonts w:ascii="Arial" w:hAnsi="Arial"/>
      <w:color w:val="1F497D"/>
      <w:sz w:val="20"/>
      <w:u w:val="single"/>
    </w:rPr>
  </w:style>
  <w:style w:type="character" w:styleId="LineNumber">
    <w:name w:val="line number"/>
    <w:semiHidden/>
    <w:rsid w:val="00B9605A"/>
  </w:style>
  <w:style w:type="paragraph" w:styleId="List">
    <w:name w:val="List"/>
    <w:basedOn w:val="Normal"/>
    <w:semiHidden/>
    <w:rsid w:val="00B9605A"/>
    <w:pPr>
      <w:ind w:left="360" w:hanging="360"/>
    </w:pPr>
  </w:style>
  <w:style w:type="paragraph" w:styleId="List2">
    <w:name w:val="List 2"/>
    <w:basedOn w:val="Normal"/>
    <w:semiHidden/>
    <w:rsid w:val="00B9605A"/>
    <w:pPr>
      <w:ind w:left="720" w:hanging="360"/>
    </w:pPr>
  </w:style>
  <w:style w:type="paragraph" w:styleId="List3">
    <w:name w:val="List 3"/>
    <w:basedOn w:val="Normal"/>
    <w:semiHidden/>
    <w:rsid w:val="00B9605A"/>
    <w:pPr>
      <w:ind w:left="1080" w:hanging="360"/>
    </w:pPr>
  </w:style>
  <w:style w:type="paragraph" w:styleId="List4">
    <w:name w:val="List 4"/>
    <w:basedOn w:val="Normal"/>
    <w:semiHidden/>
    <w:rsid w:val="00B9605A"/>
    <w:pPr>
      <w:ind w:left="1440" w:hanging="360"/>
    </w:pPr>
  </w:style>
  <w:style w:type="paragraph" w:styleId="List5">
    <w:name w:val="List 5"/>
    <w:basedOn w:val="Normal"/>
    <w:semiHidden/>
    <w:rsid w:val="00B9605A"/>
    <w:pPr>
      <w:ind w:left="1800" w:hanging="360"/>
    </w:pPr>
  </w:style>
  <w:style w:type="paragraph" w:styleId="ListBullet">
    <w:name w:val="List Bullet"/>
    <w:basedOn w:val="Normal"/>
    <w:uiPriority w:val="99"/>
    <w:semiHidden/>
    <w:rsid w:val="00B9605A"/>
    <w:pPr>
      <w:ind w:left="360" w:hanging="360"/>
      <w:contextualSpacing/>
    </w:pPr>
    <w:rPr>
      <w:rFonts w:eastAsia="Perpetua"/>
      <w:color w:val="000000"/>
    </w:rPr>
  </w:style>
  <w:style w:type="paragraph" w:styleId="ListBullet2">
    <w:name w:val="List Bullet 2"/>
    <w:basedOn w:val="Normal"/>
    <w:uiPriority w:val="99"/>
    <w:semiHidden/>
    <w:rsid w:val="00B9605A"/>
    <w:pPr>
      <w:ind w:left="720" w:hanging="360"/>
    </w:pPr>
    <w:rPr>
      <w:rFonts w:eastAsia="Perpetua"/>
      <w:color w:val="000000"/>
    </w:rPr>
  </w:style>
  <w:style w:type="paragraph" w:styleId="ListBullet3">
    <w:name w:val="List Bullet 3"/>
    <w:basedOn w:val="Normal"/>
    <w:uiPriority w:val="99"/>
    <w:semiHidden/>
    <w:rsid w:val="00B9605A"/>
    <w:pPr>
      <w:ind w:left="1080" w:hanging="360"/>
    </w:pPr>
    <w:rPr>
      <w:rFonts w:eastAsia="Perpetua"/>
      <w:color w:val="000000"/>
    </w:rPr>
  </w:style>
  <w:style w:type="paragraph" w:styleId="ListBullet4">
    <w:name w:val="List Bullet 4"/>
    <w:basedOn w:val="Normal"/>
    <w:uiPriority w:val="99"/>
    <w:semiHidden/>
    <w:rsid w:val="00B9605A"/>
    <w:pPr>
      <w:ind w:left="1440" w:hanging="360"/>
    </w:pPr>
    <w:rPr>
      <w:rFonts w:eastAsia="Perpetua"/>
      <w:color w:val="000000"/>
    </w:rPr>
  </w:style>
  <w:style w:type="paragraph" w:styleId="ListBullet5">
    <w:name w:val="List Bullet 5"/>
    <w:basedOn w:val="Normal"/>
    <w:uiPriority w:val="99"/>
    <w:semiHidden/>
    <w:rsid w:val="00B9605A"/>
    <w:pPr>
      <w:ind w:left="1800" w:hanging="360"/>
    </w:pPr>
    <w:rPr>
      <w:rFonts w:eastAsia="Perpetua"/>
      <w:color w:val="000000"/>
    </w:rPr>
  </w:style>
  <w:style w:type="paragraph" w:styleId="ListContinue">
    <w:name w:val="List Continue"/>
    <w:basedOn w:val="Normal"/>
    <w:semiHidden/>
    <w:rsid w:val="00B9605A"/>
    <w:pPr>
      <w:spacing w:after="120"/>
      <w:ind w:left="360"/>
    </w:pPr>
  </w:style>
  <w:style w:type="paragraph" w:styleId="ListContinue2">
    <w:name w:val="List Continue 2"/>
    <w:basedOn w:val="Normal"/>
    <w:semiHidden/>
    <w:rsid w:val="00B9605A"/>
    <w:pPr>
      <w:spacing w:after="120"/>
      <w:ind w:left="720"/>
    </w:pPr>
  </w:style>
  <w:style w:type="paragraph" w:styleId="ListContinue3">
    <w:name w:val="List Continue 3"/>
    <w:basedOn w:val="Normal"/>
    <w:semiHidden/>
    <w:rsid w:val="00B9605A"/>
    <w:pPr>
      <w:spacing w:after="120"/>
      <w:ind w:left="1080"/>
    </w:pPr>
  </w:style>
  <w:style w:type="paragraph" w:styleId="ListContinue4">
    <w:name w:val="List Continue 4"/>
    <w:basedOn w:val="Normal"/>
    <w:semiHidden/>
    <w:rsid w:val="00B9605A"/>
    <w:pPr>
      <w:spacing w:after="120"/>
      <w:ind w:left="1440"/>
    </w:pPr>
  </w:style>
  <w:style w:type="paragraph" w:styleId="ListContinue5">
    <w:name w:val="List Continue 5"/>
    <w:basedOn w:val="Normal"/>
    <w:semiHidden/>
    <w:rsid w:val="00B9605A"/>
    <w:pPr>
      <w:spacing w:after="120"/>
      <w:ind w:left="1800"/>
    </w:pPr>
  </w:style>
  <w:style w:type="paragraph" w:styleId="ListNumber">
    <w:name w:val="List Number"/>
    <w:basedOn w:val="Normal"/>
    <w:semiHidden/>
    <w:rsid w:val="00B9605A"/>
  </w:style>
  <w:style w:type="paragraph" w:styleId="ListNumber2">
    <w:name w:val="List Number 2"/>
    <w:basedOn w:val="Normal"/>
    <w:semiHidden/>
    <w:rsid w:val="00B9605A"/>
  </w:style>
  <w:style w:type="paragraph" w:styleId="ListNumber3">
    <w:name w:val="List Number 3"/>
    <w:basedOn w:val="Normal"/>
    <w:semiHidden/>
    <w:rsid w:val="00B9605A"/>
  </w:style>
  <w:style w:type="paragraph" w:styleId="ListNumber4">
    <w:name w:val="List Number 4"/>
    <w:basedOn w:val="Normal"/>
    <w:semiHidden/>
    <w:rsid w:val="00B9605A"/>
  </w:style>
  <w:style w:type="paragraph" w:styleId="ListNumber5">
    <w:name w:val="List Number 5"/>
    <w:basedOn w:val="Normal"/>
    <w:semiHidden/>
    <w:rsid w:val="00B9605A"/>
  </w:style>
  <w:style w:type="paragraph" w:styleId="MessageHeader">
    <w:name w:val="Message Header"/>
    <w:basedOn w:val="Normal"/>
    <w:link w:val="MessageHeaderChar"/>
    <w:semiHidden/>
    <w:rsid w:val="00B9605A"/>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paragraph" w:styleId="NormalWeb">
    <w:name w:val="Normal (Web)"/>
    <w:basedOn w:val="Normal"/>
    <w:uiPriority w:val="99"/>
    <w:semiHidden/>
    <w:rsid w:val="00B9605A"/>
    <w:pPr>
      <w:spacing w:before="100" w:beforeAutospacing="1" w:after="100" w:afterAutospacing="1" w:line="240" w:lineRule="auto"/>
    </w:pPr>
    <w:rPr>
      <w:rFonts w:ascii="Times New Roman" w:eastAsia="Times New Roman" w:hAnsi="Times New Roman"/>
      <w:sz w:val="24"/>
      <w:szCs w:val="24"/>
    </w:rPr>
  </w:style>
  <w:style w:type="paragraph" w:styleId="NormalIndent">
    <w:name w:val="Normal Indent"/>
    <w:basedOn w:val="Normal"/>
    <w:semiHidden/>
    <w:rsid w:val="000D370D"/>
    <w:pPr>
      <w:ind w:left="720"/>
    </w:pPr>
  </w:style>
  <w:style w:type="paragraph" w:styleId="NoteHeading">
    <w:name w:val="Note Heading"/>
    <w:basedOn w:val="Normal"/>
    <w:next w:val="Normal"/>
    <w:link w:val="NoteHeadingChar"/>
    <w:semiHidden/>
    <w:rsid w:val="00B9605A"/>
  </w:style>
  <w:style w:type="character" w:styleId="PageNumber">
    <w:name w:val="page number"/>
    <w:basedOn w:val="DefaultParagraphFont"/>
    <w:semiHidden/>
    <w:rsid w:val="000D370D"/>
  </w:style>
  <w:style w:type="paragraph" w:styleId="PlainText">
    <w:name w:val="Plain Text"/>
    <w:basedOn w:val="Normal"/>
    <w:link w:val="PlainTextChar"/>
    <w:semiHidden/>
    <w:rsid w:val="00B9605A"/>
    <w:rPr>
      <w:rFonts w:ascii="Courier New" w:hAnsi="Courier New" w:cs="Courier New"/>
    </w:rPr>
  </w:style>
  <w:style w:type="paragraph" w:styleId="Salutation">
    <w:name w:val="Salutation"/>
    <w:basedOn w:val="Normal"/>
    <w:next w:val="Normal"/>
    <w:link w:val="SalutationChar"/>
    <w:semiHidden/>
    <w:rsid w:val="00B9605A"/>
  </w:style>
  <w:style w:type="paragraph" w:styleId="Signature">
    <w:name w:val="Signature"/>
    <w:basedOn w:val="Normal"/>
    <w:link w:val="SignatureChar"/>
    <w:semiHidden/>
    <w:rsid w:val="00B9605A"/>
    <w:pPr>
      <w:ind w:left="4320"/>
    </w:pPr>
  </w:style>
  <w:style w:type="character" w:styleId="Strong">
    <w:name w:val="Strong"/>
    <w:basedOn w:val="DefaultParagraphFont"/>
    <w:qFormat/>
    <w:rsid w:val="000D370D"/>
    <w:rPr>
      <w:b/>
      <w:bCs/>
    </w:rPr>
  </w:style>
  <w:style w:type="paragraph" w:styleId="Subtitle">
    <w:name w:val="Subtitle"/>
    <w:basedOn w:val="Normal"/>
    <w:qFormat/>
    <w:rsid w:val="000D370D"/>
    <w:pPr>
      <w:spacing w:after="60"/>
      <w:jc w:val="center"/>
      <w:outlineLvl w:val="1"/>
    </w:pPr>
    <w:rPr>
      <w:rFonts w:cs="Arial"/>
    </w:rPr>
  </w:style>
  <w:style w:type="table" w:styleId="Table3Deffects1">
    <w:name w:val="Table 3D effects 1"/>
    <w:basedOn w:val="TableNormal"/>
    <w:rsid w:val="00B9605A"/>
    <w:pPr>
      <w:spacing w:line="300" w:lineRule="atLeast"/>
      <w:jc w:val="both"/>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B9605A"/>
    <w:pPr>
      <w:spacing w:line="300" w:lineRule="atLeast"/>
      <w:jc w:val="both"/>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B9605A"/>
    <w:pPr>
      <w:spacing w:line="300" w:lineRule="atLeast"/>
      <w:jc w:val="both"/>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B9605A"/>
    <w:pPr>
      <w:spacing w:line="300" w:lineRule="atLeast"/>
      <w:jc w:val="both"/>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B9605A"/>
    <w:pPr>
      <w:spacing w:line="300" w:lineRule="atLeast"/>
      <w:jc w:val="both"/>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B9605A"/>
    <w:pPr>
      <w:spacing w:line="300" w:lineRule="atLeast"/>
      <w:jc w:val="both"/>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B9605A"/>
    <w:pPr>
      <w:spacing w:line="300" w:lineRule="atLeast"/>
      <w:jc w:val="both"/>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B9605A"/>
    <w:pPr>
      <w:spacing w:line="300" w:lineRule="atLeast"/>
      <w:jc w:val="both"/>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B9605A"/>
    <w:pPr>
      <w:spacing w:line="300" w:lineRule="atLeast"/>
      <w:jc w:val="both"/>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B9605A"/>
    <w:pPr>
      <w:spacing w:line="300" w:lineRule="atLeast"/>
      <w:jc w:val="both"/>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B9605A"/>
    <w:pPr>
      <w:spacing w:line="300" w:lineRule="atLeast"/>
      <w:jc w:val="both"/>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B9605A"/>
    <w:pPr>
      <w:spacing w:line="300" w:lineRule="atLeast"/>
      <w:jc w:val="both"/>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B9605A"/>
    <w:pPr>
      <w:spacing w:line="300" w:lineRule="atLeast"/>
      <w:jc w:val="both"/>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B9605A"/>
    <w:pPr>
      <w:spacing w:line="300" w:lineRule="atLeast"/>
      <w:jc w:val="both"/>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B9605A"/>
    <w:pPr>
      <w:spacing w:line="300" w:lineRule="atLeast"/>
      <w:jc w:val="both"/>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B9605A"/>
    <w:pPr>
      <w:spacing w:line="300" w:lineRule="atLeast"/>
      <w:jc w:val="both"/>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B9605A"/>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1">
    <w:name w:val="Table Grid 1"/>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B9605A"/>
    <w:pPr>
      <w:spacing w:line="300" w:lineRule="atLeast"/>
      <w:jc w:val="both"/>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B9605A"/>
    <w:pPr>
      <w:spacing w:line="300" w:lineRule="atLeast"/>
      <w:jc w:val="both"/>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B9605A"/>
    <w:pPr>
      <w:spacing w:line="300" w:lineRule="atLeast"/>
      <w:jc w:val="both"/>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9605A"/>
    <w:pPr>
      <w:spacing w:line="300" w:lineRule="atLeast"/>
      <w:jc w:val="both"/>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9605A"/>
    <w:pPr>
      <w:spacing w:line="300" w:lineRule="atLeast"/>
      <w:jc w:val="both"/>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B9605A"/>
    <w:pPr>
      <w:spacing w:line="300" w:lineRule="atLeast"/>
      <w:jc w:val="both"/>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B9605A"/>
    <w:pPr>
      <w:spacing w:line="300" w:lineRule="atLeast"/>
      <w:jc w:val="both"/>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B9605A"/>
    <w:pPr>
      <w:spacing w:line="300" w:lineRule="atLeast"/>
      <w:jc w:val="both"/>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B9605A"/>
    <w:pPr>
      <w:spacing w:line="300" w:lineRule="atLeast"/>
      <w:jc w:val="both"/>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B9605A"/>
    <w:pPr>
      <w:spacing w:line="300" w:lineRule="atLeast"/>
      <w:jc w:val="both"/>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B9605A"/>
    <w:pPr>
      <w:spacing w:line="300" w:lineRule="atLeast"/>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B9605A"/>
    <w:pPr>
      <w:spacing w:line="300" w:lineRule="atLeast"/>
      <w:jc w:val="both"/>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B9605A"/>
    <w:pPr>
      <w:spacing w:line="300" w:lineRule="atLeast"/>
      <w:jc w:val="both"/>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B9605A"/>
    <w:pPr>
      <w:spacing w:line="300" w:lineRule="atLeast"/>
      <w:jc w:val="both"/>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B9605A"/>
    <w:pPr>
      <w:spacing w:line="300" w:lineRule="atLeast"/>
      <w:jc w:val="both"/>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B9605A"/>
    <w:pPr>
      <w:spacing w:line="300" w:lineRule="atLeast"/>
      <w:jc w:val="both"/>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B9605A"/>
    <w:pPr>
      <w:spacing w:line="300" w:lineRule="atLeast"/>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B9605A"/>
    <w:pPr>
      <w:spacing w:line="300" w:lineRule="atLeast"/>
      <w:jc w:val="both"/>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B9605A"/>
    <w:pPr>
      <w:spacing w:line="300" w:lineRule="atLeast"/>
      <w:jc w:val="both"/>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B9605A"/>
    <w:pPr>
      <w:spacing w:line="300" w:lineRule="atLeast"/>
      <w:jc w:val="both"/>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0D370D"/>
    <w:pPr>
      <w:spacing w:before="240" w:after="60"/>
      <w:jc w:val="center"/>
      <w:outlineLvl w:val="0"/>
    </w:pPr>
    <w:rPr>
      <w:rFonts w:cs="Arial"/>
      <w:b/>
      <w:bCs/>
      <w:kern w:val="28"/>
      <w:sz w:val="32"/>
      <w:szCs w:val="32"/>
    </w:rPr>
  </w:style>
  <w:style w:type="character" w:customStyle="1" w:styleId="a">
    <w:name w:val="_"/>
    <w:rsid w:val="00B9605A"/>
    <w:rPr>
      <w:sz w:val="24"/>
    </w:rPr>
  </w:style>
  <w:style w:type="paragraph" w:customStyle="1" w:styleId="Table">
    <w:name w:val="Table"/>
    <w:basedOn w:val="Figure"/>
    <w:link w:val="TableChar"/>
    <w:autoRedefine/>
    <w:qFormat/>
    <w:rsid w:val="00B9605A"/>
    <w:pPr>
      <w:tabs>
        <w:tab w:val="clear" w:pos="1440"/>
        <w:tab w:val="left" w:pos="1080"/>
      </w:tabs>
      <w:ind w:left="1080" w:hanging="1080"/>
    </w:pPr>
  </w:style>
  <w:style w:type="paragraph" w:customStyle="1" w:styleId="Figure">
    <w:name w:val="Figure"/>
    <w:basedOn w:val="Normal"/>
    <w:link w:val="FigureChar"/>
    <w:autoRedefine/>
    <w:qFormat/>
    <w:rsid w:val="00B9605A"/>
    <w:pPr>
      <w:keepNext/>
      <w:keepLines/>
      <w:tabs>
        <w:tab w:val="left" w:pos="1440"/>
      </w:tabs>
      <w:spacing w:after="0"/>
      <w:ind w:left="1440" w:hanging="1440"/>
    </w:pPr>
    <w:rPr>
      <w:rFonts w:cs="Arial"/>
      <w:b/>
      <w:color w:val="1F497D"/>
    </w:rPr>
  </w:style>
  <w:style w:type="paragraph" w:styleId="TOC4">
    <w:name w:val="toc 4"/>
    <w:aliases w:val="Table of Contents"/>
    <w:basedOn w:val="Normal"/>
    <w:next w:val="Normal"/>
    <w:autoRedefine/>
    <w:semiHidden/>
    <w:rsid w:val="000D370D"/>
  </w:style>
  <w:style w:type="paragraph" w:styleId="BalloonText">
    <w:name w:val="Balloon Text"/>
    <w:basedOn w:val="Normal"/>
    <w:link w:val="BalloonTextChar"/>
    <w:uiPriority w:val="99"/>
    <w:rsid w:val="00B9605A"/>
    <w:pPr>
      <w:spacing w:line="240" w:lineRule="auto"/>
    </w:pPr>
    <w:rPr>
      <w:rFonts w:ascii="Tahoma" w:hAnsi="Tahoma" w:cs="Tahoma"/>
      <w:sz w:val="16"/>
      <w:szCs w:val="16"/>
    </w:rPr>
  </w:style>
  <w:style w:type="character" w:customStyle="1" w:styleId="BalloonTextChar">
    <w:name w:val="Balloon Text Char"/>
    <w:link w:val="BalloonText"/>
    <w:uiPriority w:val="99"/>
    <w:rsid w:val="00B9605A"/>
    <w:rPr>
      <w:rFonts w:ascii="Tahoma" w:eastAsia="Calibri" w:hAnsi="Tahoma" w:cs="Tahoma"/>
      <w:sz w:val="16"/>
      <w:szCs w:val="16"/>
      <w:lang w:eastAsia="ja-JP"/>
    </w:rPr>
  </w:style>
  <w:style w:type="paragraph" w:styleId="DocumentMap">
    <w:name w:val="Document Map"/>
    <w:basedOn w:val="Normal"/>
    <w:link w:val="DocumentMapChar"/>
    <w:rsid w:val="00B9605A"/>
    <w:pPr>
      <w:shd w:val="clear" w:color="auto" w:fill="000080"/>
    </w:pPr>
    <w:rPr>
      <w:rFonts w:ascii="Tahoma" w:hAnsi="Tahoma" w:cs="Tahoma"/>
    </w:rPr>
  </w:style>
  <w:style w:type="character" w:customStyle="1" w:styleId="DocumentMapChar">
    <w:name w:val="Document Map Char"/>
    <w:link w:val="DocumentMap"/>
    <w:rsid w:val="00B9605A"/>
    <w:rPr>
      <w:rFonts w:ascii="Tahoma" w:eastAsia="Calibri" w:hAnsi="Tahoma" w:cs="Tahoma"/>
      <w:shd w:val="clear" w:color="auto" w:fill="000080"/>
      <w:lang w:eastAsia="ja-JP"/>
    </w:rPr>
  </w:style>
  <w:style w:type="paragraph" w:customStyle="1" w:styleId="Bullet">
    <w:name w:val="Bullet"/>
    <w:basedOn w:val="Normal"/>
    <w:qFormat/>
    <w:rsid w:val="00B9605A"/>
    <w:pPr>
      <w:numPr>
        <w:numId w:val="7"/>
      </w:numPr>
    </w:pPr>
    <w:rPr>
      <w:rFonts w:cs="Arial"/>
    </w:rPr>
  </w:style>
  <w:style w:type="paragraph" w:customStyle="1" w:styleId="StyleHeading1BoldUnderline">
    <w:name w:val="Style Heading 1 + Bold Underline"/>
    <w:basedOn w:val="Heading1"/>
    <w:autoRedefine/>
    <w:semiHidden/>
    <w:rsid w:val="00B9605A"/>
    <w:pPr>
      <w:numPr>
        <w:numId w:val="4"/>
      </w:numPr>
    </w:pPr>
    <w:rPr>
      <w:b w:val="0"/>
      <w:bCs/>
      <w:sz w:val="32"/>
    </w:rPr>
  </w:style>
  <w:style w:type="paragraph" w:customStyle="1" w:styleId="SCS1-linebullet">
    <w:name w:val="SCS 1-line bullet"/>
    <w:basedOn w:val="ListBullet"/>
    <w:semiHidden/>
    <w:rsid w:val="00B9605A"/>
    <w:pPr>
      <w:spacing w:line="240" w:lineRule="auto"/>
      <w:ind w:left="1080"/>
    </w:pPr>
  </w:style>
  <w:style w:type="paragraph" w:customStyle="1" w:styleId="StyleHeading1Underline1">
    <w:name w:val="Style Heading 1 + Underline1"/>
    <w:basedOn w:val="Heading1"/>
    <w:semiHidden/>
    <w:rsid w:val="00B9605A"/>
    <w:pPr>
      <w:numPr>
        <w:numId w:val="0"/>
      </w:numPr>
    </w:pPr>
  </w:style>
  <w:style w:type="paragraph" w:customStyle="1" w:styleId="StyleHeading3Underline">
    <w:name w:val="Style Heading 3 + Underline"/>
    <w:basedOn w:val="Heading3"/>
    <w:next w:val="Normal"/>
    <w:semiHidden/>
    <w:rsid w:val="00B9605A"/>
    <w:pPr>
      <w:numPr>
        <w:ilvl w:val="0"/>
        <w:numId w:val="0"/>
      </w:numPr>
    </w:pPr>
  </w:style>
  <w:style w:type="paragraph" w:customStyle="1" w:styleId="TableBody">
    <w:name w:val="Table Body"/>
    <w:basedOn w:val="Normal"/>
    <w:autoRedefine/>
    <w:qFormat/>
    <w:rsid w:val="00B9605A"/>
    <w:pPr>
      <w:autoSpaceDE w:val="0"/>
      <w:autoSpaceDN w:val="0"/>
      <w:adjustRightInd w:val="0"/>
      <w:spacing w:before="40" w:after="40" w:line="240" w:lineRule="auto"/>
    </w:pPr>
    <w:rPr>
      <w:rFonts w:cs="Arial"/>
    </w:rPr>
  </w:style>
  <w:style w:type="paragraph" w:customStyle="1" w:styleId="Bullet-SecondLevel">
    <w:name w:val="Bullet-Second Level"/>
    <w:basedOn w:val="Normal"/>
    <w:autoRedefine/>
    <w:qFormat/>
    <w:rsid w:val="00B9605A"/>
    <w:pPr>
      <w:numPr>
        <w:numId w:val="5"/>
      </w:numPr>
    </w:pPr>
  </w:style>
  <w:style w:type="character" w:styleId="CommentReference">
    <w:name w:val="annotation reference"/>
    <w:uiPriority w:val="99"/>
    <w:qFormat/>
    <w:rsid w:val="00B9605A"/>
    <w:rPr>
      <w:sz w:val="16"/>
      <w:szCs w:val="16"/>
    </w:rPr>
  </w:style>
  <w:style w:type="paragraph" w:styleId="CommentText">
    <w:name w:val="annotation text"/>
    <w:basedOn w:val="Normal"/>
    <w:link w:val="CommentTextChar"/>
    <w:uiPriority w:val="99"/>
    <w:qFormat/>
    <w:rsid w:val="00B9605A"/>
    <w:pPr>
      <w:spacing w:line="240" w:lineRule="auto"/>
    </w:pPr>
  </w:style>
  <w:style w:type="character" w:customStyle="1" w:styleId="CommentTextChar">
    <w:name w:val="Comment Text Char"/>
    <w:link w:val="CommentText"/>
    <w:uiPriority w:val="99"/>
    <w:rsid w:val="00B9605A"/>
    <w:rPr>
      <w:rFonts w:ascii="Arial" w:eastAsia="Calibri" w:hAnsi="Arial" w:cs="Calibri"/>
      <w:lang w:eastAsia="ja-JP"/>
    </w:rPr>
  </w:style>
  <w:style w:type="paragraph" w:styleId="CommentSubject">
    <w:name w:val="annotation subject"/>
    <w:basedOn w:val="CommentText"/>
    <w:next w:val="CommentText"/>
    <w:link w:val="CommentSubjectChar"/>
    <w:uiPriority w:val="99"/>
    <w:qFormat/>
    <w:rsid w:val="00B9605A"/>
    <w:rPr>
      <w:b/>
      <w:bCs/>
    </w:rPr>
  </w:style>
  <w:style w:type="character" w:customStyle="1" w:styleId="CommentSubjectChar">
    <w:name w:val="Comment Subject Char"/>
    <w:link w:val="CommentSubject"/>
    <w:uiPriority w:val="99"/>
    <w:rsid w:val="00B9605A"/>
    <w:rPr>
      <w:rFonts w:ascii="Arial" w:eastAsia="Calibri" w:hAnsi="Arial" w:cs="Calibri"/>
      <w:b/>
      <w:bCs/>
      <w:lang w:eastAsia="ja-JP"/>
    </w:rPr>
  </w:style>
  <w:style w:type="paragraph" w:styleId="ListParagraph">
    <w:name w:val="List Paragraph"/>
    <w:basedOn w:val="Normal"/>
    <w:uiPriority w:val="34"/>
    <w:qFormat/>
    <w:rsid w:val="00734A98"/>
    <w:pPr>
      <w:ind w:left="720"/>
      <w:contextualSpacing/>
    </w:pPr>
  </w:style>
  <w:style w:type="paragraph" w:customStyle="1" w:styleId="xl69">
    <w:name w:val="xl69"/>
    <w:basedOn w:val="Normal"/>
    <w:rsid w:val="00B960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0">
    <w:name w:val="xl70"/>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71">
    <w:name w:val="xl71"/>
    <w:basedOn w:val="Normal"/>
    <w:rsid w:val="00B9605A"/>
    <w:pPr>
      <w:shd w:val="clear" w:color="000000" w:fill="FFFFFF"/>
      <w:spacing w:before="100" w:beforeAutospacing="1" w:after="100" w:afterAutospacing="1" w:line="240" w:lineRule="auto"/>
    </w:pPr>
    <w:rPr>
      <w:rFonts w:ascii="Times New Roman" w:eastAsia="Times New Roman" w:hAnsi="Times New Roman"/>
      <w:i/>
      <w:iCs/>
      <w:sz w:val="24"/>
      <w:szCs w:val="24"/>
    </w:rPr>
  </w:style>
  <w:style w:type="paragraph" w:customStyle="1" w:styleId="xl72">
    <w:name w:val="xl72"/>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3">
    <w:name w:val="xl7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4">
    <w:name w:val="xl7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75">
    <w:name w:val="xl75"/>
    <w:basedOn w:val="Normal"/>
    <w:rsid w:val="00B9605A"/>
    <w:pPr>
      <w:shd w:val="clear" w:color="000000" w:fill="FFFFFF"/>
      <w:spacing w:before="100" w:beforeAutospacing="1" w:after="100" w:afterAutospacing="1" w:line="240" w:lineRule="auto"/>
      <w:jc w:val="right"/>
    </w:pPr>
    <w:rPr>
      <w:rFonts w:ascii="Times New Roman" w:eastAsia="Times New Roman" w:hAnsi="Times New Roman"/>
      <w:b/>
      <w:bCs/>
      <w:sz w:val="24"/>
      <w:szCs w:val="24"/>
    </w:rPr>
  </w:style>
  <w:style w:type="paragraph" w:customStyle="1" w:styleId="xl76">
    <w:name w:val="xl76"/>
    <w:basedOn w:val="Normal"/>
    <w:rsid w:val="00B960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B9605A"/>
    <w:pPr>
      <w:shd w:val="clear" w:color="000000" w:fill="FFFFFF"/>
      <w:spacing w:before="100" w:beforeAutospacing="1" w:after="100" w:afterAutospacing="1" w:line="240" w:lineRule="auto"/>
      <w:jc w:val="right"/>
    </w:pPr>
    <w:rPr>
      <w:rFonts w:ascii="Times New Roman" w:eastAsia="Times New Roman" w:hAnsi="Times New Roman"/>
      <w:sz w:val="24"/>
      <w:szCs w:val="24"/>
    </w:rPr>
  </w:style>
  <w:style w:type="paragraph" w:customStyle="1" w:styleId="xl78">
    <w:name w:val="xl78"/>
    <w:basedOn w:val="Normal"/>
    <w:rsid w:val="00B9605A"/>
    <w:pPr>
      <w:shd w:val="clear" w:color="000000" w:fill="FFFFFF"/>
      <w:spacing w:before="100" w:beforeAutospacing="1" w:after="100" w:afterAutospacing="1" w:line="240" w:lineRule="auto"/>
    </w:pPr>
    <w:rPr>
      <w:rFonts w:ascii="Times New Roman" w:eastAsia="Times New Roman" w:hAnsi="Times New Roman"/>
      <w:b/>
      <w:bCs/>
      <w:sz w:val="28"/>
      <w:szCs w:val="28"/>
    </w:rPr>
  </w:style>
  <w:style w:type="paragraph" w:customStyle="1" w:styleId="xl79">
    <w:name w:val="xl79"/>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0">
    <w:name w:val="xl80"/>
    <w:basedOn w:val="Normal"/>
    <w:rsid w:val="00B9605A"/>
    <w:pPr>
      <w:shd w:val="clear" w:color="000000" w:fill="FFFFFF"/>
      <w:spacing w:before="100" w:beforeAutospacing="1" w:after="100" w:afterAutospacing="1" w:line="240" w:lineRule="auto"/>
      <w:jc w:val="center"/>
    </w:pPr>
    <w:rPr>
      <w:rFonts w:eastAsia="Times New Roman" w:cs="Arial"/>
      <w:sz w:val="24"/>
      <w:szCs w:val="24"/>
    </w:rPr>
  </w:style>
  <w:style w:type="paragraph" w:customStyle="1" w:styleId="xl81">
    <w:name w:val="xl81"/>
    <w:basedOn w:val="Normal"/>
    <w:rsid w:val="00B9605A"/>
    <w:pPr>
      <w:shd w:val="clear" w:color="000000" w:fill="FFFFFF"/>
      <w:spacing w:before="100" w:beforeAutospacing="1" w:after="100" w:afterAutospacing="1" w:line="240" w:lineRule="auto"/>
    </w:pPr>
    <w:rPr>
      <w:rFonts w:eastAsia="Times New Roman" w:cs="Arial"/>
      <w:sz w:val="24"/>
      <w:szCs w:val="24"/>
    </w:rPr>
  </w:style>
  <w:style w:type="paragraph" w:customStyle="1" w:styleId="xl82">
    <w:name w:val="xl82"/>
    <w:basedOn w:val="Normal"/>
    <w:rsid w:val="00B9605A"/>
    <w:pPr>
      <w:shd w:val="clear" w:color="000000" w:fill="FFFFFF"/>
      <w:spacing w:before="100" w:beforeAutospacing="1" w:after="100" w:afterAutospacing="1" w:line="240" w:lineRule="auto"/>
    </w:pPr>
    <w:rPr>
      <w:rFonts w:ascii="Times New Roman" w:eastAsia="Times New Roman" w:hAnsi="Times New Roman"/>
      <w:b/>
      <w:bCs/>
      <w:color w:val="FF0000"/>
      <w:sz w:val="24"/>
      <w:szCs w:val="24"/>
    </w:rPr>
  </w:style>
  <w:style w:type="paragraph" w:customStyle="1" w:styleId="xl83">
    <w:name w:val="xl83"/>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4">
    <w:name w:val="xl84"/>
    <w:basedOn w:val="Normal"/>
    <w:rsid w:val="00B9605A"/>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85">
    <w:name w:val="xl85"/>
    <w:basedOn w:val="Normal"/>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styleId="Caption">
    <w:name w:val="caption"/>
    <w:aliases w:val="Caption-Table"/>
    <w:basedOn w:val="Normal"/>
    <w:next w:val="Normal"/>
    <w:qFormat/>
    <w:rsid w:val="000D370D"/>
    <w:pPr>
      <w:spacing w:line="300" w:lineRule="atLeast"/>
    </w:pPr>
    <w:rPr>
      <w:b/>
      <w:bCs/>
    </w:rPr>
  </w:style>
  <w:style w:type="character" w:customStyle="1" w:styleId="Heading4Char">
    <w:name w:val="Heading 4 Char"/>
    <w:link w:val="Heading4"/>
    <w:rsid w:val="00B9605A"/>
    <w:rPr>
      <w:rFonts w:ascii="Arial" w:hAnsi="Arial" w:cs="Calibri"/>
      <w:snapToGrid w:val="0"/>
      <w:color w:val="1F497D"/>
      <w:szCs w:val="24"/>
      <w:lang w:eastAsia="ja-JP"/>
    </w:rPr>
  </w:style>
  <w:style w:type="character" w:customStyle="1" w:styleId="Heading5Char">
    <w:name w:val="Heading 5 Char"/>
    <w:link w:val="Heading5"/>
    <w:rsid w:val="00B9605A"/>
    <w:rPr>
      <w:rFonts w:ascii="Arial" w:eastAsia="Calibri" w:hAnsi="Arial" w:cs="Arial"/>
      <w:lang w:eastAsia="ja-JP"/>
    </w:rPr>
  </w:style>
  <w:style w:type="character" w:customStyle="1" w:styleId="Heading6Char">
    <w:name w:val="Heading 6 Char"/>
    <w:link w:val="Heading6"/>
    <w:rsid w:val="00B9605A"/>
    <w:rPr>
      <w:rFonts w:ascii="Arial" w:hAnsi="Arial" w:cs="Calibri"/>
      <w:bCs/>
      <w:lang w:eastAsia="ja-JP"/>
    </w:rPr>
  </w:style>
  <w:style w:type="character" w:customStyle="1" w:styleId="Heading2Char">
    <w:name w:val="Heading 2 Char"/>
    <w:link w:val="Heading2"/>
    <w:rsid w:val="00B9605A"/>
    <w:rPr>
      <w:rFonts w:ascii="Arial" w:eastAsia="Calibri" w:hAnsi="Arial" w:cs="Calibri"/>
      <w:b/>
      <w:smallCaps/>
      <w:color w:val="004264"/>
      <w:sz w:val="26"/>
      <w:szCs w:val="24"/>
      <w:lang w:eastAsia="ja-JP"/>
    </w:rPr>
  </w:style>
  <w:style w:type="character" w:styleId="FootnoteReference">
    <w:name w:val="footnote reference"/>
    <w:rsid w:val="00B9605A"/>
    <w:rPr>
      <w:vertAlign w:val="superscript"/>
    </w:rPr>
  </w:style>
  <w:style w:type="paragraph" w:customStyle="1" w:styleId="ExecutiveSummary-Heading2">
    <w:name w:val="Executive Summary-Heading 2"/>
    <w:basedOn w:val="Heading2"/>
    <w:qFormat/>
    <w:rsid w:val="00B9605A"/>
    <w:pPr>
      <w:numPr>
        <w:ilvl w:val="0"/>
        <w:numId w:val="0"/>
      </w:numPr>
    </w:pPr>
  </w:style>
  <w:style w:type="paragraph" w:customStyle="1" w:styleId="TextBoxText">
    <w:name w:val="Text Box Text"/>
    <w:basedOn w:val="Normal"/>
    <w:qFormat/>
    <w:rsid w:val="00B9605A"/>
    <w:pPr>
      <w:spacing w:line="240" w:lineRule="auto"/>
      <w:jc w:val="center"/>
    </w:pPr>
    <w:rPr>
      <w:rFonts w:ascii="Calibri" w:hAnsi="Calibri"/>
      <w:sz w:val="24"/>
    </w:rPr>
  </w:style>
  <w:style w:type="paragraph" w:customStyle="1" w:styleId="TitlePage-SignatureBlockRight">
    <w:name w:val="Title Page-Signature Block (Right)"/>
    <w:basedOn w:val="TitlePage--Regular"/>
    <w:rsid w:val="00B9605A"/>
    <w:pPr>
      <w:jc w:val="right"/>
    </w:pPr>
    <w:rPr>
      <w:rFonts w:eastAsia="Times New Roman" w:cs="Times New Roman"/>
    </w:rPr>
  </w:style>
  <w:style w:type="paragraph" w:styleId="TOC5">
    <w:name w:val="toc 5"/>
    <w:basedOn w:val="Normal"/>
    <w:next w:val="Normal"/>
    <w:autoRedefine/>
    <w:uiPriority w:val="39"/>
    <w:rsid w:val="00B9605A"/>
    <w:pPr>
      <w:tabs>
        <w:tab w:val="right" w:leader="dot" w:pos="8630"/>
      </w:tabs>
      <w:spacing w:after="40" w:line="240" w:lineRule="auto"/>
      <w:ind w:left="878"/>
    </w:pPr>
    <w:rPr>
      <w:rFonts w:eastAsia="Perpetua"/>
      <w:smallCaps/>
      <w:noProof/>
      <w:color w:val="000000"/>
    </w:rPr>
  </w:style>
  <w:style w:type="paragraph" w:styleId="TOC6">
    <w:name w:val="toc 6"/>
    <w:basedOn w:val="Normal"/>
    <w:next w:val="Normal"/>
    <w:autoRedefine/>
    <w:uiPriority w:val="39"/>
    <w:rsid w:val="00B9605A"/>
    <w:pPr>
      <w:tabs>
        <w:tab w:val="right" w:leader="dot" w:pos="8630"/>
      </w:tabs>
      <w:spacing w:after="40" w:line="240" w:lineRule="auto"/>
      <w:ind w:left="1094"/>
    </w:pPr>
    <w:rPr>
      <w:rFonts w:eastAsia="Perpetua"/>
      <w:smallCaps/>
      <w:noProof/>
      <w:color w:val="000000"/>
    </w:rPr>
  </w:style>
  <w:style w:type="paragraph" w:styleId="TOC7">
    <w:name w:val="toc 7"/>
    <w:basedOn w:val="Normal"/>
    <w:next w:val="Normal"/>
    <w:autoRedefine/>
    <w:uiPriority w:val="39"/>
    <w:rsid w:val="00B9605A"/>
    <w:pPr>
      <w:tabs>
        <w:tab w:val="right" w:leader="dot" w:pos="8630"/>
      </w:tabs>
      <w:spacing w:after="40" w:line="240" w:lineRule="auto"/>
      <w:ind w:left="1325"/>
    </w:pPr>
    <w:rPr>
      <w:rFonts w:eastAsia="Perpetua"/>
      <w:smallCaps/>
      <w:noProof/>
      <w:color w:val="000000"/>
    </w:rPr>
  </w:style>
  <w:style w:type="paragraph" w:styleId="FootnoteText">
    <w:name w:val="footnote text"/>
    <w:basedOn w:val="Normal"/>
    <w:link w:val="FootnoteTextChar"/>
    <w:rsid w:val="00B9605A"/>
  </w:style>
  <w:style w:type="character" w:customStyle="1" w:styleId="FootnoteTextChar">
    <w:name w:val="Footnote Text Char"/>
    <w:link w:val="FootnoteText"/>
    <w:rsid w:val="00B9605A"/>
    <w:rPr>
      <w:rFonts w:ascii="Arial" w:eastAsia="Calibri" w:hAnsi="Arial" w:cs="Calibri"/>
      <w:lang w:eastAsia="ja-JP"/>
    </w:rPr>
  </w:style>
  <w:style w:type="character" w:customStyle="1" w:styleId="Heading3Char">
    <w:name w:val="Heading 3 Char"/>
    <w:link w:val="Heading3"/>
    <w:rsid w:val="00B9605A"/>
    <w:rPr>
      <w:rFonts w:ascii="Arial" w:eastAsia="Calibri" w:hAnsi="Arial" w:cs="Arial"/>
      <w:smallCaps/>
      <w:color w:val="004264"/>
      <w:sz w:val="22"/>
      <w:szCs w:val="24"/>
      <w:lang w:eastAsia="ja-JP"/>
    </w:rPr>
  </w:style>
  <w:style w:type="character" w:customStyle="1" w:styleId="TableChar">
    <w:name w:val="Table Char"/>
    <w:link w:val="Table"/>
    <w:rsid w:val="00B9605A"/>
    <w:rPr>
      <w:rFonts w:ascii="Arial" w:eastAsia="Calibri" w:hAnsi="Arial" w:cs="Arial"/>
      <w:b/>
      <w:color w:val="1F497D"/>
      <w:lang w:eastAsia="ja-JP"/>
    </w:rPr>
  </w:style>
  <w:style w:type="character" w:customStyle="1" w:styleId="FigureChar">
    <w:name w:val="Figure Char"/>
    <w:link w:val="Figure"/>
    <w:rsid w:val="00B9605A"/>
    <w:rPr>
      <w:rFonts w:ascii="Arial" w:eastAsia="Calibri" w:hAnsi="Arial" w:cs="Arial"/>
      <w:b/>
      <w:color w:val="1F497D"/>
      <w:lang w:eastAsia="ja-JP"/>
    </w:rPr>
  </w:style>
  <w:style w:type="paragraph" w:styleId="TableofAuthorities">
    <w:name w:val="table of authorities"/>
    <w:basedOn w:val="Normal"/>
    <w:next w:val="Normal"/>
    <w:rsid w:val="00B9605A"/>
    <w:pPr>
      <w:ind w:left="240" w:hanging="240"/>
    </w:pPr>
  </w:style>
  <w:style w:type="paragraph" w:styleId="TOAHeading">
    <w:name w:val="toa heading"/>
    <w:basedOn w:val="Normal"/>
    <w:next w:val="Normal"/>
    <w:rsid w:val="00B9605A"/>
    <w:pPr>
      <w:spacing w:before="240" w:after="120"/>
      <w:jc w:val="center"/>
    </w:pPr>
    <w:rPr>
      <w:smallCaps/>
      <w:sz w:val="22"/>
      <w:szCs w:val="22"/>
      <w:u w:val="single"/>
    </w:rPr>
  </w:style>
  <w:style w:type="paragraph" w:styleId="Index1">
    <w:name w:val="index 1"/>
    <w:basedOn w:val="Normal"/>
    <w:next w:val="Normal"/>
    <w:autoRedefine/>
    <w:rsid w:val="00B9605A"/>
    <w:pPr>
      <w:ind w:left="240" w:hanging="240"/>
    </w:pPr>
  </w:style>
  <w:style w:type="character" w:customStyle="1" w:styleId="BodyTextChar">
    <w:name w:val="Body Text Char"/>
    <w:aliases w:val="Body Text Char1 Char,Body Text Char Char Char"/>
    <w:link w:val="BodyText"/>
    <w:semiHidden/>
    <w:rsid w:val="00B9605A"/>
    <w:rPr>
      <w:rFonts w:ascii="Arial" w:eastAsia="Calibri" w:hAnsi="Arial" w:cs="Calibri"/>
      <w:lang w:eastAsia="ja-JP"/>
    </w:rPr>
  </w:style>
  <w:style w:type="paragraph" w:styleId="Revision">
    <w:name w:val="Revision"/>
    <w:hidden/>
    <w:uiPriority w:val="99"/>
    <w:semiHidden/>
    <w:qFormat/>
    <w:rsid w:val="00B9605A"/>
    <w:pPr>
      <w:spacing w:line="276" w:lineRule="auto"/>
    </w:pPr>
    <w:rPr>
      <w:rFonts w:ascii="Swis721 Lt BT" w:eastAsia="Calibri" w:hAnsi="Swis721 Lt BT" w:cs="Calibri"/>
      <w:color w:val="03485B"/>
      <w:lang w:eastAsia="ja-JP"/>
    </w:rPr>
  </w:style>
  <w:style w:type="character" w:customStyle="1" w:styleId="Heading1Char">
    <w:name w:val="Heading 1 Char"/>
    <w:link w:val="Heading1"/>
    <w:rsid w:val="00B9605A"/>
    <w:rPr>
      <w:rFonts w:ascii="Arial" w:eastAsia="Calibri" w:hAnsi="Arial" w:cs="Arial"/>
      <w:b/>
      <w:caps/>
      <w:color w:val="004264"/>
      <w:sz w:val="28"/>
      <w:szCs w:val="32"/>
      <w:lang w:eastAsia="ja-JP"/>
    </w:rPr>
  </w:style>
  <w:style w:type="character" w:customStyle="1" w:styleId="Heading7Char">
    <w:name w:val="Heading 7 Char"/>
    <w:link w:val="Heading7"/>
    <w:uiPriority w:val="99"/>
    <w:rsid w:val="00B9605A"/>
    <w:rPr>
      <w:rFonts w:ascii="Arial" w:eastAsia="Calibri" w:hAnsi="Arial" w:cs="Calibri"/>
      <w:lang w:eastAsia="ja-JP"/>
    </w:rPr>
  </w:style>
  <w:style w:type="character" w:customStyle="1" w:styleId="Heading8Char">
    <w:name w:val="Heading 8 Char"/>
    <w:link w:val="Heading8"/>
    <w:uiPriority w:val="99"/>
    <w:rsid w:val="00B9605A"/>
    <w:rPr>
      <w:rFonts w:ascii="Arial" w:eastAsia="Calibri" w:hAnsi="Arial" w:cs="Calibri"/>
      <w:b/>
      <w:color w:val="0075A2"/>
      <w:lang w:eastAsia="ja-JP"/>
    </w:rPr>
  </w:style>
  <w:style w:type="character" w:customStyle="1" w:styleId="Heading9Char">
    <w:name w:val="Heading 9 Char"/>
    <w:link w:val="Heading9"/>
    <w:uiPriority w:val="99"/>
    <w:rsid w:val="00B9605A"/>
    <w:rPr>
      <w:rFonts w:ascii="Arial" w:eastAsia="Calibri" w:hAnsi="Arial" w:cs="Calibri"/>
      <w:b/>
      <w:i/>
      <w:color w:val="0075A2"/>
      <w:sz w:val="18"/>
      <w:szCs w:val="18"/>
      <w:lang w:eastAsia="ja-JP"/>
    </w:rPr>
  </w:style>
  <w:style w:type="character" w:customStyle="1" w:styleId="BodyText3Char">
    <w:name w:val="Body Text 3 Char"/>
    <w:link w:val="BodyText3"/>
    <w:semiHidden/>
    <w:rsid w:val="00B9605A"/>
    <w:rPr>
      <w:rFonts w:ascii="Arial" w:eastAsia="Calibri" w:hAnsi="Arial" w:cs="Calibri"/>
      <w:lang w:eastAsia="ja-JP"/>
    </w:rPr>
  </w:style>
  <w:style w:type="character" w:customStyle="1" w:styleId="FooterChar">
    <w:name w:val="Footer Char"/>
    <w:link w:val="Footer"/>
    <w:uiPriority w:val="99"/>
    <w:rsid w:val="00B9605A"/>
    <w:rPr>
      <w:rFonts w:ascii="Arial" w:eastAsia="Calibri" w:hAnsi="Arial" w:cs="Calibri"/>
      <w:noProof/>
      <w:sz w:val="16"/>
      <w:szCs w:val="16"/>
      <w:lang w:eastAsia="ja-JP"/>
    </w:rPr>
  </w:style>
  <w:style w:type="character" w:customStyle="1" w:styleId="HeaderChar">
    <w:name w:val="Header Char"/>
    <w:link w:val="Header"/>
    <w:uiPriority w:val="99"/>
    <w:semiHidden/>
    <w:rsid w:val="00B9605A"/>
    <w:rPr>
      <w:rFonts w:ascii="Arial" w:eastAsia="Calibri" w:hAnsi="Arial" w:cs="Calibri"/>
      <w:lang w:eastAsia="ja-JP"/>
    </w:rPr>
  </w:style>
  <w:style w:type="character" w:customStyle="1" w:styleId="BodyText2Char">
    <w:name w:val="Body Text 2 Char"/>
    <w:link w:val="BodyText2"/>
    <w:semiHidden/>
    <w:rsid w:val="00B9605A"/>
    <w:rPr>
      <w:rFonts w:ascii="Arial" w:eastAsia="Calibri" w:hAnsi="Arial" w:cs="Calibri"/>
      <w:lang w:eastAsia="ja-JP"/>
    </w:rPr>
  </w:style>
  <w:style w:type="character" w:customStyle="1" w:styleId="BodyTextFirstIndentChar">
    <w:name w:val="Body Text First Indent Char"/>
    <w:link w:val="BodyTextFirstIndent"/>
    <w:semiHidden/>
    <w:rsid w:val="00B9605A"/>
    <w:rPr>
      <w:rFonts w:ascii="Arial" w:eastAsia="Calibri" w:hAnsi="Arial" w:cs="Calibri"/>
      <w:lang w:eastAsia="ja-JP"/>
    </w:rPr>
  </w:style>
  <w:style w:type="character" w:customStyle="1" w:styleId="BodyTextIndentChar">
    <w:name w:val="Body Text Indent Char"/>
    <w:link w:val="BodyTextIndent"/>
    <w:semiHidden/>
    <w:rsid w:val="00B9605A"/>
    <w:rPr>
      <w:rFonts w:ascii="Arial" w:eastAsia="Calibri" w:hAnsi="Arial" w:cs="Calibri"/>
      <w:lang w:eastAsia="ja-JP"/>
    </w:rPr>
  </w:style>
  <w:style w:type="character" w:customStyle="1" w:styleId="BodyTextFirstIndent2Char">
    <w:name w:val="Body Text First Indent 2 Char"/>
    <w:link w:val="BodyTextFirstIndent2"/>
    <w:semiHidden/>
    <w:rsid w:val="00B9605A"/>
    <w:rPr>
      <w:rFonts w:ascii="Arial" w:eastAsia="Calibri" w:hAnsi="Arial" w:cs="Calibri"/>
      <w:lang w:eastAsia="ja-JP"/>
    </w:rPr>
  </w:style>
  <w:style w:type="character" w:customStyle="1" w:styleId="BodyTextIndent2Char">
    <w:name w:val="Body Text Indent 2 Char"/>
    <w:link w:val="BodyTextIndent2"/>
    <w:semiHidden/>
    <w:rsid w:val="00B9605A"/>
    <w:rPr>
      <w:rFonts w:ascii="Arial" w:eastAsia="Calibri" w:hAnsi="Arial" w:cs="Calibri"/>
      <w:lang w:eastAsia="ja-JP"/>
    </w:rPr>
  </w:style>
  <w:style w:type="character" w:customStyle="1" w:styleId="BodyTextIndent3Char">
    <w:name w:val="Body Text Indent 3 Char"/>
    <w:link w:val="BodyTextIndent3"/>
    <w:semiHidden/>
    <w:rsid w:val="00B9605A"/>
    <w:rPr>
      <w:rFonts w:ascii="Arial" w:eastAsia="Calibri" w:hAnsi="Arial" w:cs="Calibri"/>
      <w:sz w:val="16"/>
      <w:szCs w:val="16"/>
      <w:lang w:eastAsia="ja-JP"/>
    </w:rPr>
  </w:style>
  <w:style w:type="character" w:customStyle="1" w:styleId="ClosingChar">
    <w:name w:val="Closing Char"/>
    <w:link w:val="Closing"/>
    <w:semiHidden/>
    <w:rsid w:val="00B9605A"/>
    <w:rPr>
      <w:rFonts w:ascii="Arial" w:eastAsia="Calibri" w:hAnsi="Arial" w:cs="Calibri"/>
      <w:lang w:eastAsia="ja-JP"/>
    </w:rPr>
  </w:style>
  <w:style w:type="character" w:customStyle="1" w:styleId="DateChar">
    <w:name w:val="Date Char"/>
    <w:link w:val="Date"/>
    <w:semiHidden/>
    <w:rsid w:val="00B9605A"/>
    <w:rPr>
      <w:rFonts w:ascii="Arial" w:eastAsia="Calibri" w:hAnsi="Arial" w:cs="Calibri"/>
      <w:lang w:eastAsia="ja-JP"/>
    </w:rPr>
  </w:style>
  <w:style w:type="character" w:customStyle="1" w:styleId="E-mailSignatureChar">
    <w:name w:val="E-mail Signature Char"/>
    <w:link w:val="E-mailSignature"/>
    <w:semiHidden/>
    <w:rsid w:val="00B9605A"/>
    <w:rPr>
      <w:rFonts w:ascii="Arial" w:eastAsia="Calibri" w:hAnsi="Arial" w:cs="Calibri"/>
      <w:lang w:eastAsia="ja-JP"/>
    </w:rPr>
  </w:style>
  <w:style w:type="character" w:customStyle="1" w:styleId="HTMLAddressChar">
    <w:name w:val="HTML Address Char"/>
    <w:link w:val="HTMLAddress"/>
    <w:semiHidden/>
    <w:rsid w:val="00B9605A"/>
    <w:rPr>
      <w:rFonts w:ascii="Arial" w:eastAsia="Calibri" w:hAnsi="Arial" w:cs="Calibri"/>
      <w:i/>
      <w:iCs/>
      <w:lang w:eastAsia="ja-JP"/>
    </w:rPr>
  </w:style>
  <w:style w:type="character" w:customStyle="1" w:styleId="HTMLPreformattedChar">
    <w:name w:val="HTML Preformatted Char"/>
    <w:link w:val="HTMLPreformatted"/>
    <w:semiHidden/>
    <w:rsid w:val="00B9605A"/>
    <w:rPr>
      <w:rFonts w:ascii="Courier New" w:eastAsia="Calibri" w:hAnsi="Courier New" w:cs="Courier New"/>
      <w:lang w:eastAsia="ja-JP"/>
    </w:rPr>
  </w:style>
  <w:style w:type="character" w:customStyle="1" w:styleId="MessageHeaderChar">
    <w:name w:val="Message Header Char"/>
    <w:link w:val="MessageHeader"/>
    <w:semiHidden/>
    <w:rsid w:val="00B9605A"/>
    <w:rPr>
      <w:rFonts w:ascii="Arial" w:eastAsia="Calibri" w:hAnsi="Arial" w:cs="Arial"/>
      <w:shd w:val="pct20" w:color="auto" w:fill="auto"/>
      <w:lang w:eastAsia="ja-JP"/>
    </w:rPr>
  </w:style>
  <w:style w:type="character" w:customStyle="1" w:styleId="NoteHeadingChar">
    <w:name w:val="Note Heading Char"/>
    <w:link w:val="NoteHeading"/>
    <w:semiHidden/>
    <w:rsid w:val="00B9605A"/>
    <w:rPr>
      <w:rFonts w:ascii="Arial" w:eastAsia="Calibri" w:hAnsi="Arial" w:cs="Calibri"/>
      <w:lang w:eastAsia="ja-JP"/>
    </w:rPr>
  </w:style>
  <w:style w:type="character" w:customStyle="1" w:styleId="PlainTextChar">
    <w:name w:val="Plain Text Char"/>
    <w:link w:val="PlainText"/>
    <w:semiHidden/>
    <w:rsid w:val="00B9605A"/>
    <w:rPr>
      <w:rFonts w:ascii="Courier New" w:eastAsia="Calibri" w:hAnsi="Courier New" w:cs="Courier New"/>
      <w:lang w:eastAsia="ja-JP"/>
    </w:rPr>
  </w:style>
  <w:style w:type="character" w:customStyle="1" w:styleId="SalutationChar">
    <w:name w:val="Salutation Char"/>
    <w:link w:val="Salutation"/>
    <w:semiHidden/>
    <w:rsid w:val="00B9605A"/>
    <w:rPr>
      <w:rFonts w:ascii="Arial" w:eastAsia="Calibri" w:hAnsi="Arial" w:cs="Calibri"/>
      <w:lang w:eastAsia="ja-JP"/>
    </w:rPr>
  </w:style>
  <w:style w:type="character" w:customStyle="1" w:styleId="SignatureChar">
    <w:name w:val="Signature Char"/>
    <w:link w:val="Signature"/>
    <w:semiHidden/>
    <w:rsid w:val="00B9605A"/>
    <w:rPr>
      <w:rFonts w:ascii="Arial" w:eastAsia="Calibri" w:hAnsi="Arial" w:cs="Calibri"/>
      <w:lang w:eastAsia="ja-JP"/>
    </w:rPr>
  </w:style>
  <w:style w:type="numbering" w:customStyle="1" w:styleId="BulletedList">
    <w:name w:val="Bulleted List"/>
    <w:uiPriority w:val="99"/>
    <w:locked/>
    <w:rsid w:val="00B9605A"/>
    <w:pPr>
      <w:numPr>
        <w:numId w:val="8"/>
      </w:numPr>
    </w:pPr>
  </w:style>
  <w:style w:type="numbering" w:customStyle="1" w:styleId="NumberedList">
    <w:name w:val="Numbered List"/>
    <w:uiPriority w:val="99"/>
    <w:locked/>
    <w:rsid w:val="00B9605A"/>
    <w:pPr>
      <w:numPr>
        <w:numId w:val="9"/>
      </w:numPr>
    </w:pPr>
  </w:style>
  <w:style w:type="paragraph" w:styleId="TOCHeading">
    <w:name w:val="TOC Heading"/>
    <w:basedOn w:val="Heading1"/>
    <w:next w:val="Normal"/>
    <w:uiPriority w:val="99"/>
    <w:semiHidden/>
    <w:qFormat/>
    <w:rsid w:val="00B9605A"/>
    <w:pPr>
      <w:numPr>
        <w:numId w:val="0"/>
      </w:numPr>
      <w:spacing w:before="480" w:after="0"/>
      <w:outlineLvl w:val="9"/>
    </w:pPr>
    <w:rPr>
      <w:bCs/>
      <w:color w:val="0B5294"/>
      <w:szCs w:val="28"/>
    </w:rPr>
  </w:style>
  <w:style w:type="table" w:styleId="LightShading-Accent2">
    <w:name w:val="Light Shading Accent 2"/>
    <w:basedOn w:val="TableNormal"/>
    <w:uiPriority w:val="60"/>
    <w:qFormat/>
    <w:rsid w:val="00B9605A"/>
    <w:rPr>
      <w:rFonts w:ascii="Calibri" w:eastAsia="Calibri" w:hAnsi="Calibri"/>
      <w:color w:val="0075A2"/>
    </w:rPr>
    <w:tblPr>
      <w:tblStyleRowBandSize w:val="1"/>
      <w:tblStyleColBandSize w:val="1"/>
      <w:tblBorders>
        <w:top w:val="single" w:sz="8" w:space="0" w:color="009DD9"/>
        <w:bottom w:val="single" w:sz="8" w:space="0" w:color="009DD9"/>
      </w:tblBorders>
    </w:tblPr>
    <w:tblStylePr w:type="fir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lastRow">
      <w:pPr>
        <w:spacing w:before="0" w:after="0" w:line="240" w:lineRule="auto"/>
      </w:pPr>
      <w:rPr>
        <w:b/>
        <w:bCs/>
      </w:rPr>
      <w:tblPr/>
      <w:tcPr>
        <w:tcBorders>
          <w:top w:val="single" w:sz="8" w:space="0" w:color="009DD9"/>
          <w:left w:val="nil"/>
          <w:bottom w:val="single" w:sz="8" w:space="0" w:color="009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cPr>
    </w:tblStylePr>
    <w:tblStylePr w:type="band1Horz">
      <w:tblPr/>
      <w:tcPr>
        <w:tcBorders>
          <w:left w:val="nil"/>
          <w:right w:val="nil"/>
          <w:insideH w:val="nil"/>
          <w:insideV w:val="nil"/>
        </w:tcBorders>
        <w:shd w:val="clear" w:color="auto" w:fill="B6EAFF"/>
      </w:tcPr>
    </w:tblStylePr>
  </w:style>
  <w:style w:type="table" w:customStyle="1" w:styleId="LightList-Accent11">
    <w:name w:val="Light List - Accent 11"/>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LightList-Accent2">
    <w:name w:val="Light List Accent 2"/>
    <w:basedOn w:val="TableNormal"/>
    <w:uiPriority w:val="61"/>
    <w:qFormat/>
    <w:rsid w:val="00B9605A"/>
    <w:rPr>
      <w:rFonts w:ascii="Calibri" w:eastAsia="Calibri" w:hAnsi="Calibri"/>
    </w:rPr>
    <w:tblPr>
      <w:tblStyleRowBandSize w:val="1"/>
      <w:tblStyleColBandSize w:val="1"/>
      <w:tblBorders>
        <w:top w:val="single" w:sz="8" w:space="0" w:color="009DD9"/>
        <w:left w:val="single" w:sz="8" w:space="0" w:color="009DD9"/>
        <w:bottom w:val="single" w:sz="8" w:space="0" w:color="009DD9"/>
        <w:right w:val="single" w:sz="8" w:space="0" w:color="009DD9"/>
      </w:tblBorders>
    </w:tblPr>
    <w:tblStylePr w:type="firstRow">
      <w:pPr>
        <w:spacing w:before="0" w:after="0" w:line="240" w:lineRule="auto"/>
      </w:pPr>
      <w:rPr>
        <w:b/>
        <w:bCs/>
        <w:color w:val="FFFFFF"/>
      </w:rPr>
      <w:tblPr/>
      <w:tcPr>
        <w:shd w:val="clear" w:color="auto" w:fill="009DD9"/>
      </w:tcPr>
    </w:tblStylePr>
    <w:tblStylePr w:type="lastRow">
      <w:pPr>
        <w:spacing w:before="0" w:after="0" w:line="240" w:lineRule="auto"/>
      </w:pPr>
      <w:rPr>
        <w:b/>
        <w:bCs/>
      </w:rPr>
      <w:tblPr/>
      <w:tcPr>
        <w:tcBorders>
          <w:top w:val="double" w:sz="6" w:space="0" w:color="009DD9"/>
          <w:left w:val="single" w:sz="8" w:space="0" w:color="009DD9"/>
          <w:bottom w:val="single" w:sz="8" w:space="0" w:color="009DD9"/>
          <w:right w:val="single" w:sz="8" w:space="0" w:color="009DD9"/>
        </w:tcBorders>
      </w:tcPr>
    </w:tblStylePr>
    <w:tblStylePr w:type="firstCol">
      <w:rPr>
        <w:b/>
        <w:bCs/>
      </w:rPr>
    </w:tblStylePr>
    <w:tblStylePr w:type="lastCol">
      <w:rPr>
        <w:b/>
        <w:bCs/>
      </w:rPr>
    </w:tblStylePr>
    <w:tblStylePr w:type="band1Vert">
      <w:tblPr/>
      <w:tcPr>
        <w:tcBorders>
          <w:top w:val="single" w:sz="8" w:space="0" w:color="009DD9"/>
          <w:left w:val="single" w:sz="8" w:space="0" w:color="009DD9"/>
          <w:bottom w:val="single" w:sz="8" w:space="0" w:color="009DD9"/>
          <w:right w:val="single" w:sz="8" w:space="0" w:color="009DD9"/>
        </w:tcBorders>
      </w:tcPr>
    </w:tblStylePr>
    <w:tblStylePr w:type="band1Horz">
      <w:tblPr/>
      <w:tcPr>
        <w:tcBorders>
          <w:top w:val="single" w:sz="8" w:space="0" w:color="009DD9"/>
          <w:left w:val="single" w:sz="8" w:space="0" w:color="009DD9"/>
          <w:bottom w:val="single" w:sz="8" w:space="0" w:color="009DD9"/>
          <w:right w:val="single" w:sz="8" w:space="0" w:color="009DD9"/>
        </w:tcBorders>
      </w:tcPr>
    </w:tblStylePr>
  </w:style>
  <w:style w:type="table" w:styleId="LightList-Accent3">
    <w:name w:val="Light List Accent 3"/>
    <w:basedOn w:val="TableNormal"/>
    <w:uiPriority w:val="61"/>
    <w:qFormat/>
    <w:rsid w:val="00B9605A"/>
    <w:rPr>
      <w:rFonts w:ascii="Calibri" w:eastAsia="Calibri" w:hAnsi="Calibri"/>
    </w:rPr>
    <w:tblPr>
      <w:tblStyleRowBandSize w:val="1"/>
      <w:tblStyleColBandSize w:val="1"/>
      <w:tblBorders>
        <w:top w:val="single" w:sz="8" w:space="0" w:color="0BD0D9"/>
        <w:left w:val="single" w:sz="8" w:space="0" w:color="0BD0D9"/>
        <w:bottom w:val="single" w:sz="8" w:space="0" w:color="0BD0D9"/>
        <w:right w:val="single" w:sz="8" w:space="0" w:color="0BD0D9"/>
      </w:tblBorders>
    </w:tblPr>
    <w:tblStylePr w:type="firstRow">
      <w:pPr>
        <w:spacing w:before="0" w:after="0" w:line="240" w:lineRule="auto"/>
      </w:pPr>
      <w:rPr>
        <w:b/>
        <w:bCs/>
        <w:color w:val="FFFFFF"/>
      </w:rPr>
      <w:tblPr/>
      <w:tcPr>
        <w:shd w:val="clear" w:color="auto" w:fill="0BD0D9"/>
      </w:tcPr>
    </w:tblStylePr>
    <w:tblStylePr w:type="lastRow">
      <w:pPr>
        <w:spacing w:before="0" w:after="0" w:line="240" w:lineRule="auto"/>
      </w:pPr>
      <w:rPr>
        <w:b/>
        <w:bCs/>
      </w:rPr>
      <w:tblPr/>
      <w:tcPr>
        <w:tcBorders>
          <w:top w:val="double" w:sz="6" w:space="0" w:color="0BD0D9"/>
          <w:left w:val="single" w:sz="8" w:space="0" w:color="0BD0D9"/>
          <w:bottom w:val="single" w:sz="8" w:space="0" w:color="0BD0D9"/>
          <w:right w:val="single" w:sz="8" w:space="0" w:color="0BD0D9"/>
        </w:tcBorders>
      </w:tcPr>
    </w:tblStylePr>
    <w:tblStylePr w:type="firstCol">
      <w:rPr>
        <w:b/>
        <w:bCs/>
      </w:rPr>
    </w:tblStylePr>
    <w:tblStylePr w:type="lastCol">
      <w:rPr>
        <w:b/>
        <w:bCs/>
      </w:rPr>
    </w:tblStylePr>
    <w:tblStylePr w:type="band1Vert">
      <w:tblPr/>
      <w:tcPr>
        <w:tcBorders>
          <w:top w:val="single" w:sz="8" w:space="0" w:color="0BD0D9"/>
          <w:left w:val="single" w:sz="8" w:space="0" w:color="0BD0D9"/>
          <w:bottom w:val="single" w:sz="8" w:space="0" w:color="0BD0D9"/>
          <w:right w:val="single" w:sz="8" w:space="0" w:color="0BD0D9"/>
        </w:tcBorders>
      </w:tcPr>
    </w:tblStylePr>
    <w:tblStylePr w:type="band1Horz">
      <w:tblPr/>
      <w:tcPr>
        <w:tcBorders>
          <w:top w:val="single" w:sz="8" w:space="0" w:color="0BD0D9"/>
          <w:left w:val="single" w:sz="8" w:space="0" w:color="0BD0D9"/>
          <w:bottom w:val="single" w:sz="8" w:space="0" w:color="0BD0D9"/>
          <w:right w:val="single" w:sz="8" w:space="0" w:color="0BD0D9"/>
        </w:tcBorders>
      </w:tcPr>
    </w:tblStylePr>
  </w:style>
  <w:style w:type="table" w:styleId="LightList-Accent4">
    <w:name w:val="Light List Accent 4"/>
    <w:basedOn w:val="TableNormal"/>
    <w:uiPriority w:val="61"/>
    <w:qFormat/>
    <w:rsid w:val="00B9605A"/>
    <w:rPr>
      <w:rFonts w:ascii="Calibri" w:eastAsia="Calibri" w:hAnsi="Calibri"/>
    </w:rPr>
    <w:tblPr>
      <w:tblStyleRowBandSize w:val="1"/>
      <w:tblStyleColBandSize w:val="1"/>
      <w:tblBorders>
        <w:top w:val="single" w:sz="8" w:space="0" w:color="10CF9B"/>
        <w:left w:val="single" w:sz="8" w:space="0" w:color="10CF9B"/>
        <w:bottom w:val="single" w:sz="8" w:space="0" w:color="10CF9B"/>
        <w:right w:val="single" w:sz="8" w:space="0" w:color="10CF9B"/>
      </w:tblBorders>
    </w:tblPr>
    <w:tblStylePr w:type="firstRow">
      <w:pPr>
        <w:spacing w:before="0" w:after="0" w:line="240" w:lineRule="auto"/>
      </w:pPr>
      <w:rPr>
        <w:b/>
        <w:bCs/>
        <w:color w:val="FFFFFF"/>
      </w:rPr>
      <w:tblPr/>
      <w:tcPr>
        <w:shd w:val="clear" w:color="auto" w:fill="10CF9B"/>
      </w:tcPr>
    </w:tblStylePr>
    <w:tblStylePr w:type="lastRow">
      <w:pPr>
        <w:spacing w:before="0" w:after="0" w:line="240" w:lineRule="auto"/>
      </w:pPr>
      <w:rPr>
        <w:b/>
        <w:bCs/>
      </w:rPr>
      <w:tblPr/>
      <w:tcPr>
        <w:tcBorders>
          <w:top w:val="double" w:sz="6" w:space="0" w:color="10CF9B"/>
          <w:left w:val="single" w:sz="8" w:space="0" w:color="10CF9B"/>
          <w:bottom w:val="single" w:sz="8" w:space="0" w:color="10CF9B"/>
          <w:right w:val="single" w:sz="8" w:space="0" w:color="10CF9B"/>
        </w:tcBorders>
      </w:tcPr>
    </w:tblStylePr>
    <w:tblStylePr w:type="firstCol">
      <w:rPr>
        <w:b/>
        <w:bCs/>
      </w:rPr>
    </w:tblStylePr>
    <w:tblStylePr w:type="lastCol">
      <w:rPr>
        <w:b/>
        <w:bCs/>
      </w:rPr>
    </w:tblStylePr>
    <w:tblStylePr w:type="band1Vert">
      <w:tblPr/>
      <w:tcPr>
        <w:tcBorders>
          <w:top w:val="single" w:sz="8" w:space="0" w:color="10CF9B"/>
          <w:left w:val="single" w:sz="8" w:space="0" w:color="10CF9B"/>
          <w:bottom w:val="single" w:sz="8" w:space="0" w:color="10CF9B"/>
          <w:right w:val="single" w:sz="8" w:space="0" w:color="10CF9B"/>
        </w:tcBorders>
      </w:tcPr>
    </w:tblStylePr>
    <w:tblStylePr w:type="band1Horz">
      <w:tblPr/>
      <w:tcPr>
        <w:tcBorders>
          <w:top w:val="single" w:sz="8" w:space="0" w:color="10CF9B"/>
          <w:left w:val="single" w:sz="8" w:space="0" w:color="10CF9B"/>
          <w:bottom w:val="single" w:sz="8" w:space="0" w:color="10CF9B"/>
          <w:right w:val="single" w:sz="8" w:space="0" w:color="10CF9B"/>
        </w:tcBorders>
      </w:tcPr>
    </w:tblStylePr>
  </w:style>
  <w:style w:type="table" w:styleId="LightList-Accent5">
    <w:name w:val="Light List Accent 5"/>
    <w:basedOn w:val="TableNormal"/>
    <w:uiPriority w:val="61"/>
    <w:qFormat/>
    <w:rsid w:val="00B9605A"/>
    <w:rPr>
      <w:rFonts w:ascii="Calibri" w:eastAsia="Calibri" w:hAnsi="Calibri"/>
      <w:color w:val="DAE6B6"/>
    </w:rPr>
    <w:tblPr>
      <w:tblStyleRowBandSize w:val="1"/>
      <w:tblStyleColBandSize w:val="1"/>
      <w:tblBorders>
        <w:top w:val="single" w:sz="8" w:space="0" w:color="7CCA62"/>
        <w:left w:val="single" w:sz="8" w:space="0" w:color="7CCA62"/>
        <w:bottom w:val="single" w:sz="8" w:space="0" w:color="7CCA62"/>
        <w:right w:val="single" w:sz="8" w:space="0" w:color="7CCA62"/>
      </w:tblBorders>
    </w:tblPr>
    <w:tcPr>
      <w:shd w:val="clear" w:color="auto" w:fill="auto"/>
    </w:tcPr>
    <w:tblStylePr w:type="firstRow">
      <w:pPr>
        <w:spacing w:before="0" w:after="0" w:line="240" w:lineRule="auto"/>
      </w:pPr>
      <w:rPr>
        <w:b/>
        <w:bCs/>
        <w:color w:val="FFFFFF"/>
      </w:rPr>
      <w:tblPr/>
      <w:tcPr>
        <w:shd w:val="clear" w:color="auto" w:fill="7CCA62"/>
      </w:tcPr>
    </w:tblStylePr>
    <w:tblStylePr w:type="lastRow">
      <w:pPr>
        <w:spacing w:before="0" w:after="0" w:line="240" w:lineRule="auto"/>
      </w:pPr>
      <w:rPr>
        <w:b/>
        <w:bCs/>
      </w:rPr>
      <w:tblPr/>
      <w:tcPr>
        <w:tcBorders>
          <w:top w:val="double" w:sz="6" w:space="0" w:color="7CCA62"/>
          <w:left w:val="single" w:sz="8" w:space="0" w:color="7CCA62"/>
          <w:bottom w:val="single" w:sz="8" w:space="0" w:color="7CCA62"/>
          <w:right w:val="single" w:sz="8" w:space="0" w:color="7CCA62"/>
        </w:tcBorders>
      </w:tcPr>
    </w:tblStylePr>
    <w:tblStylePr w:type="firstCol">
      <w:rPr>
        <w:b/>
        <w:bCs/>
      </w:rPr>
    </w:tblStylePr>
    <w:tblStylePr w:type="lastCol">
      <w:rPr>
        <w:b/>
        <w:bCs/>
      </w:rPr>
    </w:tblStylePr>
    <w:tblStylePr w:type="band1Vert">
      <w:tblPr/>
      <w:tcPr>
        <w:tcBorders>
          <w:top w:val="single" w:sz="8" w:space="0" w:color="7CCA62"/>
          <w:left w:val="single" w:sz="8" w:space="0" w:color="7CCA62"/>
          <w:bottom w:val="single" w:sz="8" w:space="0" w:color="7CCA62"/>
          <w:right w:val="single" w:sz="8" w:space="0" w:color="7CCA62"/>
        </w:tcBorders>
      </w:tcPr>
    </w:tblStylePr>
    <w:tblStylePr w:type="band1Horz">
      <w:tblPr/>
      <w:tcPr>
        <w:tcBorders>
          <w:top w:val="single" w:sz="8" w:space="0" w:color="7CCA62"/>
          <w:left w:val="single" w:sz="8" w:space="0" w:color="7CCA62"/>
          <w:bottom w:val="single" w:sz="8" w:space="0" w:color="7CCA62"/>
          <w:right w:val="single" w:sz="8" w:space="0" w:color="7CCA62"/>
        </w:tcBorders>
      </w:tcPr>
    </w:tblStylePr>
  </w:style>
  <w:style w:type="table" w:customStyle="1" w:styleId="LightList1">
    <w:name w:val="Light List1"/>
    <w:basedOn w:val="TableNormal"/>
    <w:uiPriority w:val="61"/>
    <w:qFormat/>
    <w:locked/>
    <w:rsid w:val="00B9605A"/>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Grid3-Accent3">
    <w:name w:val="Medium Grid 3 Accent 3"/>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CF8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BD0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BD0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BD0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BD0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9F2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9F2F8"/>
      </w:tcPr>
    </w:tblStylePr>
  </w:style>
  <w:style w:type="table" w:styleId="MediumGrid3-Accent5">
    <w:name w:val="Medium Grid 3 Accent 5"/>
    <w:basedOn w:val="TableNormal"/>
    <w:uiPriority w:val="69"/>
    <w:qFormat/>
    <w:rsid w:val="00B9605A"/>
    <w:rPr>
      <w:rFonts w:ascii="Calibri" w:eastAsia="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EF2D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CCA6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CCA6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CCA6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CCA6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DE4B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DE4B0"/>
      </w:tcPr>
    </w:tblStylePr>
  </w:style>
  <w:style w:type="paragraph" w:customStyle="1" w:styleId="Sidebar">
    <w:name w:val="Sidebar"/>
    <w:basedOn w:val="Normal"/>
    <w:semiHidden/>
    <w:rsid w:val="00B9605A"/>
    <w:pPr>
      <w:spacing w:line="300" w:lineRule="auto"/>
    </w:pPr>
    <w:rPr>
      <w:b/>
      <w:color w:val="0B5294"/>
      <w:sz w:val="16"/>
      <w:szCs w:val="16"/>
    </w:rPr>
  </w:style>
  <w:style w:type="paragraph" w:customStyle="1" w:styleId="subtlesidebar">
    <w:name w:val="subtle sidebar"/>
    <w:basedOn w:val="Normal"/>
    <w:semiHidden/>
    <w:qFormat/>
    <w:rsid w:val="00B9605A"/>
    <w:rPr>
      <w:b/>
      <w:color w:val="0B5294"/>
      <w:sz w:val="16"/>
      <w:szCs w:val="16"/>
    </w:rPr>
  </w:style>
  <w:style w:type="paragraph" w:styleId="NoSpacing">
    <w:name w:val="No Spacing"/>
    <w:basedOn w:val="Normal"/>
    <w:link w:val="NoSpacingChar"/>
    <w:uiPriority w:val="99"/>
    <w:qFormat/>
    <w:rsid w:val="00B9605A"/>
    <w:pPr>
      <w:spacing w:line="240" w:lineRule="auto"/>
    </w:pPr>
    <w:rPr>
      <w:rFonts w:eastAsia="Perpetua"/>
      <w:b/>
      <w:color w:val="537F56"/>
      <w:sz w:val="24"/>
    </w:rPr>
  </w:style>
  <w:style w:type="table" w:styleId="LightShading-Accent5">
    <w:name w:val="Light Shading Accent 5"/>
    <w:basedOn w:val="TableNormal"/>
    <w:uiPriority w:val="60"/>
    <w:qFormat/>
    <w:rsid w:val="00B9605A"/>
    <w:rPr>
      <w:rFonts w:ascii="Calibri" w:eastAsia="Calibri" w:hAnsi="Calibri"/>
      <w:color w:val="54A738"/>
    </w:rPr>
    <w:tblPr>
      <w:tblStyleRowBandSize w:val="1"/>
      <w:tblStyleColBandSize w:val="1"/>
      <w:tblBorders>
        <w:top w:val="single" w:sz="8" w:space="0" w:color="7CCA62"/>
        <w:bottom w:val="single" w:sz="8" w:space="0" w:color="7CCA62"/>
      </w:tblBorders>
    </w:tblPr>
    <w:tblStylePr w:type="fir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lastRow">
      <w:pPr>
        <w:spacing w:before="0" w:after="0" w:line="240" w:lineRule="auto"/>
      </w:pPr>
      <w:rPr>
        <w:b/>
        <w:bCs/>
      </w:rPr>
      <w:tblPr/>
      <w:tcPr>
        <w:tcBorders>
          <w:top w:val="single" w:sz="8" w:space="0" w:color="7CCA62"/>
          <w:left w:val="nil"/>
          <w:bottom w:val="single" w:sz="8" w:space="0" w:color="7CCA6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cPr>
    </w:tblStylePr>
    <w:tblStylePr w:type="band1Horz">
      <w:tblPr/>
      <w:tcPr>
        <w:tcBorders>
          <w:left w:val="nil"/>
          <w:right w:val="nil"/>
          <w:insideH w:val="nil"/>
          <w:insideV w:val="nil"/>
        </w:tcBorders>
        <w:shd w:val="clear" w:color="auto" w:fill="DEF2D8"/>
      </w:tcPr>
    </w:tblStylePr>
  </w:style>
  <w:style w:type="table" w:styleId="LightShading-Accent6">
    <w:name w:val="Light Shading Accent 6"/>
    <w:basedOn w:val="TableNormal"/>
    <w:uiPriority w:val="60"/>
    <w:qFormat/>
    <w:rsid w:val="00B9605A"/>
    <w:rPr>
      <w:rFonts w:ascii="Calibri" w:eastAsia="Calibri" w:hAnsi="Calibri"/>
      <w:color w:val="7D9532"/>
    </w:rPr>
    <w:tblPr>
      <w:tblStyleRowBandSize w:val="1"/>
      <w:tblStyleColBandSize w:val="1"/>
      <w:tblBorders>
        <w:top w:val="single" w:sz="8" w:space="0" w:color="A5C249"/>
        <w:bottom w:val="single" w:sz="8" w:space="0" w:color="A5C249"/>
      </w:tblBorders>
    </w:tblPr>
    <w:tblStylePr w:type="fir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lastRow">
      <w:pPr>
        <w:spacing w:before="0" w:after="0" w:line="240" w:lineRule="auto"/>
      </w:pPr>
      <w:rPr>
        <w:b/>
        <w:bCs/>
      </w:rPr>
      <w:tblPr/>
      <w:tcPr>
        <w:tcBorders>
          <w:top w:val="single" w:sz="8" w:space="0" w:color="A5C249"/>
          <w:left w:val="nil"/>
          <w:bottom w:val="single" w:sz="8" w:space="0" w:color="A5C24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cPr>
    </w:tblStylePr>
    <w:tblStylePr w:type="band1Horz">
      <w:tblPr/>
      <w:tcPr>
        <w:tcBorders>
          <w:left w:val="nil"/>
          <w:right w:val="nil"/>
          <w:insideH w:val="nil"/>
          <w:insideV w:val="nil"/>
        </w:tcBorders>
        <w:shd w:val="clear" w:color="auto" w:fill="E8F0D1"/>
      </w:tcPr>
    </w:tblStylePr>
  </w:style>
  <w:style w:type="table" w:customStyle="1" w:styleId="LightList-Accent12">
    <w:name w:val="Light List - Accent 12"/>
    <w:basedOn w:val="TableNormal"/>
    <w:uiPriority w:val="61"/>
    <w:qFormat/>
    <w:locked/>
    <w:rsid w:val="00B9605A"/>
    <w:rPr>
      <w:rFonts w:ascii="Calibri" w:eastAsia="Calibri" w:hAnsi="Calibri"/>
    </w:r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table" w:styleId="MediumShading1-Accent6">
    <w:name w:val="Medium Shading 1 Accent 6"/>
    <w:basedOn w:val="TableNormal"/>
    <w:uiPriority w:val="63"/>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tblBorders>
    </w:tblPr>
    <w:tblStylePr w:type="firstRow">
      <w:pPr>
        <w:spacing w:before="0" w:after="0" w:line="240" w:lineRule="auto"/>
      </w:pPr>
      <w:rPr>
        <w:b/>
        <w:bCs/>
        <w:color w:val="FFFFFF"/>
      </w:rPr>
      <w:tblPr/>
      <w:tcPr>
        <w:tcBorders>
          <w:top w:val="single" w:sz="8" w:space="0" w:color="BBD176"/>
          <w:left w:val="single" w:sz="8" w:space="0" w:color="BBD176"/>
          <w:bottom w:val="single" w:sz="8" w:space="0" w:color="BBD176"/>
          <w:right w:val="single" w:sz="8" w:space="0" w:color="BBD176"/>
          <w:insideH w:val="nil"/>
          <w:insideV w:val="nil"/>
        </w:tcBorders>
        <w:shd w:val="clear" w:color="auto" w:fill="A5C249"/>
      </w:tcPr>
    </w:tblStylePr>
    <w:tblStylePr w:type="lastRow">
      <w:pPr>
        <w:spacing w:before="0" w:after="0" w:line="240" w:lineRule="auto"/>
      </w:pPr>
      <w:rPr>
        <w:b/>
        <w:bCs/>
      </w:rPr>
      <w:tblPr/>
      <w:tcPr>
        <w:tcBorders>
          <w:top w:val="double" w:sz="6" w:space="0" w:color="BBD176"/>
          <w:left w:val="single" w:sz="8" w:space="0" w:color="BBD176"/>
          <w:bottom w:val="single" w:sz="8" w:space="0" w:color="BBD176"/>
          <w:right w:val="single" w:sz="8" w:space="0" w:color="BBD176"/>
          <w:insideH w:val="nil"/>
          <w:insideV w:val="nil"/>
        </w:tcBorders>
      </w:tcPr>
    </w:tblStylePr>
    <w:tblStylePr w:type="firstCol">
      <w:rPr>
        <w:b/>
        <w:bCs/>
      </w:rPr>
    </w:tblStylePr>
    <w:tblStylePr w:type="lastCol">
      <w:rPr>
        <w:b/>
        <w:bCs/>
      </w:rPr>
    </w:tblStylePr>
    <w:tblStylePr w:type="band1Vert">
      <w:tblPr/>
      <w:tcPr>
        <w:shd w:val="clear" w:color="auto" w:fill="E8F0D1"/>
      </w:tcPr>
    </w:tblStylePr>
    <w:tblStylePr w:type="band1Horz">
      <w:tblPr/>
      <w:tcPr>
        <w:tcBorders>
          <w:insideH w:val="nil"/>
          <w:insideV w:val="nil"/>
        </w:tcBorders>
        <w:shd w:val="clear" w:color="auto" w:fill="E8F0D1"/>
      </w:tcPr>
    </w:tblStylePr>
    <w:tblStylePr w:type="band2Horz">
      <w:tblPr/>
      <w:tcPr>
        <w:tcBorders>
          <w:insideH w:val="nil"/>
          <w:insideV w:val="nil"/>
        </w:tcBorders>
      </w:tcPr>
    </w:tblStylePr>
  </w:style>
  <w:style w:type="table" w:styleId="MediumList2-Accent6">
    <w:name w:val="Medium List 2 Accent 6"/>
    <w:basedOn w:val="TableNormal"/>
    <w:uiPriority w:val="66"/>
    <w:qFormat/>
    <w:rsid w:val="00B9605A"/>
    <w:rPr>
      <w:rFonts w:ascii="Cambria" w:hAnsi="Cambria"/>
      <w:color w:val="000000"/>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rPr>
        <w:sz w:val="24"/>
        <w:szCs w:val="24"/>
      </w:rPr>
      <w:tblPr/>
      <w:tcPr>
        <w:tcBorders>
          <w:top w:val="nil"/>
          <w:left w:val="nil"/>
          <w:bottom w:val="single" w:sz="24" w:space="0" w:color="A5C249"/>
          <w:right w:val="nil"/>
          <w:insideH w:val="nil"/>
          <w:insideV w:val="nil"/>
        </w:tcBorders>
        <w:shd w:val="clear" w:color="auto" w:fill="FFFFFF"/>
      </w:tcPr>
    </w:tblStylePr>
    <w:tblStylePr w:type="lastRow">
      <w:tblPr/>
      <w:tcPr>
        <w:tcBorders>
          <w:top w:val="single" w:sz="8" w:space="0" w:color="A5C249"/>
          <w:left w:val="nil"/>
          <w:bottom w:val="nil"/>
          <w:right w:val="nil"/>
          <w:insideH w:val="nil"/>
          <w:insideV w:val="nil"/>
        </w:tcBorders>
        <w:shd w:val="clear" w:color="auto" w:fill="FFFFFF"/>
      </w:tcPr>
    </w:tblStylePr>
    <w:tblStylePr w:type="firstCol">
      <w:tblPr/>
      <w:tcPr>
        <w:tcBorders>
          <w:top w:val="nil"/>
          <w:left w:val="nil"/>
          <w:bottom w:val="nil"/>
          <w:right w:val="single" w:sz="8" w:space="0" w:color="A5C249"/>
          <w:insideH w:val="nil"/>
          <w:insideV w:val="nil"/>
        </w:tcBorders>
        <w:shd w:val="clear" w:color="auto" w:fill="FFFFFF"/>
      </w:tcPr>
    </w:tblStylePr>
    <w:tblStylePr w:type="lastCol">
      <w:tblPr/>
      <w:tcPr>
        <w:tcBorders>
          <w:top w:val="nil"/>
          <w:left w:val="single" w:sz="8" w:space="0" w:color="A5C24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F0D1"/>
      </w:tcPr>
    </w:tblStylePr>
    <w:tblStylePr w:type="band1Horz">
      <w:tblPr/>
      <w:tcPr>
        <w:tcBorders>
          <w:top w:val="nil"/>
          <w:bottom w:val="nil"/>
          <w:insideH w:val="nil"/>
          <w:insideV w:val="nil"/>
        </w:tcBorders>
        <w:shd w:val="clear" w:color="auto" w:fill="E8F0D1"/>
      </w:tcPr>
    </w:tblStylePr>
    <w:tblStylePr w:type="nwCell">
      <w:tblPr/>
      <w:tcPr>
        <w:shd w:val="clear" w:color="auto" w:fill="FFFFFF"/>
      </w:tcPr>
    </w:tblStylePr>
    <w:tblStylePr w:type="swCell">
      <w:tblPr/>
      <w:tcPr>
        <w:tcBorders>
          <w:top w:val="nil"/>
        </w:tcBorders>
      </w:tcPr>
    </w:tblStylePr>
  </w:style>
  <w:style w:type="table" w:styleId="MediumGrid1-Accent6">
    <w:name w:val="Medium Grid 1 Accent 6"/>
    <w:basedOn w:val="TableNormal"/>
    <w:uiPriority w:val="67"/>
    <w:qFormat/>
    <w:rsid w:val="00B9605A"/>
    <w:rPr>
      <w:rFonts w:ascii="Calibri" w:eastAsia="Calibri" w:hAnsi="Calibri"/>
    </w:rPr>
    <w:tblPr>
      <w:tblStyleRowBandSize w:val="1"/>
      <w:tblStyleColBandSize w:val="1"/>
      <w:tblBorders>
        <w:top w:val="single" w:sz="8" w:space="0" w:color="BBD176"/>
        <w:left w:val="single" w:sz="8" w:space="0" w:color="BBD176"/>
        <w:bottom w:val="single" w:sz="8" w:space="0" w:color="BBD176"/>
        <w:right w:val="single" w:sz="8" w:space="0" w:color="BBD176"/>
        <w:insideH w:val="single" w:sz="8" w:space="0" w:color="BBD176"/>
        <w:insideV w:val="single" w:sz="8" w:space="0" w:color="BBD176"/>
      </w:tblBorders>
    </w:tblPr>
    <w:tcPr>
      <w:shd w:val="clear" w:color="auto" w:fill="E8F0D1"/>
    </w:tcPr>
    <w:tblStylePr w:type="firstRow">
      <w:rPr>
        <w:b/>
        <w:bCs/>
      </w:rPr>
    </w:tblStylePr>
    <w:tblStylePr w:type="lastRow">
      <w:rPr>
        <w:b/>
        <w:bCs/>
      </w:rPr>
      <w:tblPr/>
      <w:tcPr>
        <w:tcBorders>
          <w:top w:val="single" w:sz="18" w:space="0" w:color="BBD176"/>
        </w:tcBorders>
      </w:tcPr>
    </w:tblStylePr>
    <w:tblStylePr w:type="firstCol">
      <w:rPr>
        <w:b/>
        <w:bCs/>
      </w:rPr>
    </w:tblStylePr>
    <w:tblStylePr w:type="lastCol">
      <w:rPr>
        <w:b/>
        <w:bCs/>
      </w:rPr>
    </w:tblStylePr>
    <w:tblStylePr w:type="band1Vert">
      <w:tblPr/>
      <w:tcPr>
        <w:shd w:val="clear" w:color="auto" w:fill="D1E0A4"/>
      </w:tcPr>
    </w:tblStylePr>
    <w:tblStylePr w:type="band1Horz">
      <w:tblPr/>
      <w:tcPr>
        <w:shd w:val="clear" w:color="auto" w:fill="D1E0A4"/>
      </w:tcPr>
    </w:tblStylePr>
  </w:style>
  <w:style w:type="table" w:styleId="LightList-Accent6">
    <w:name w:val="Light List Accent 6"/>
    <w:basedOn w:val="TableNormal"/>
    <w:uiPriority w:val="61"/>
    <w:qFormat/>
    <w:rsid w:val="00B9605A"/>
    <w:rPr>
      <w:rFonts w:ascii="Calibri" w:eastAsia="Calibri" w:hAnsi="Calibri"/>
    </w:rPr>
    <w:tblPr>
      <w:tblStyleRowBandSize w:val="1"/>
      <w:tblStyleColBandSize w:val="1"/>
      <w:tblBorders>
        <w:top w:val="single" w:sz="8" w:space="0" w:color="A5C249"/>
        <w:left w:val="single" w:sz="8" w:space="0" w:color="A5C249"/>
        <w:bottom w:val="single" w:sz="8" w:space="0" w:color="A5C249"/>
        <w:right w:val="single" w:sz="8" w:space="0" w:color="A5C249"/>
      </w:tblBorders>
    </w:tblPr>
    <w:tblStylePr w:type="firstRow">
      <w:pPr>
        <w:spacing w:before="0" w:after="0" w:line="240" w:lineRule="auto"/>
      </w:pPr>
      <w:rPr>
        <w:b/>
        <w:bCs/>
        <w:color w:val="FFFFFF"/>
      </w:rPr>
      <w:tblPr/>
      <w:tcPr>
        <w:shd w:val="clear" w:color="auto" w:fill="A5C249"/>
      </w:tcPr>
    </w:tblStylePr>
    <w:tblStylePr w:type="lastRow">
      <w:pPr>
        <w:spacing w:before="0" w:after="0" w:line="240" w:lineRule="auto"/>
      </w:pPr>
      <w:rPr>
        <w:b/>
        <w:bCs/>
      </w:rPr>
      <w:tblPr/>
      <w:tcPr>
        <w:tcBorders>
          <w:top w:val="double" w:sz="6" w:space="0" w:color="A5C249"/>
          <w:left w:val="single" w:sz="8" w:space="0" w:color="A5C249"/>
          <w:bottom w:val="single" w:sz="8" w:space="0" w:color="A5C249"/>
          <w:right w:val="single" w:sz="8" w:space="0" w:color="A5C249"/>
        </w:tcBorders>
      </w:tcPr>
    </w:tblStylePr>
    <w:tblStylePr w:type="firstCol">
      <w:rPr>
        <w:b/>
        <w:bCs/>
      </w:rPr>
    </w:tblStylePr>
    <w:tblStylePr w:type="lastCol">
      <w:rPr>
        <w:b/>
        <w:bCs/>
      </w:rPr>
    </w:tblStylePr>
    <w:tblStylePr w:type="band1Vert">
      <w:tblPr/>
      <w:tcPr>
        <w:tcBorders>
          <w:top w:val="single" w:sz="8" w:space="0" w:color="A5C249"/>
          <w:left w:val="single" w:sz="8" w:space="0" w:color="A5C249"/>
          <w:bottom w:val="single" w:sz="8" w:space="0" w:color="A5C249"/>
          <w:right w:val="single" w:sz="8" w:space="0" w:color="A5C249"/>
        </w:tcBorders>
      </w:tcPr>
    </w:tblStylePr>
    <w:tblStylePr w:type="band1Horz">
      <w:tblPr/>
      <w:tcPr>
        <w:tcBorders>
          <w:top w:val="single" w:sz="8" w:space="0" w:color="A5C249"/>
          <w:left w:val="single" w:sz="8" w:space="0" w:color="A5C249"/>
          <w:bottom w:val="single" w:sz="8" w:space="0" w:color="A5C249"/>
          <w:right w:val="single" w:sz="8" w:space="0" w:color="A5C249"/>
        </w:tcBorders>
      </w:tcPr>
    </w:tblStylePr>
  </w:style>
  <w:style w:type="table" w:styleId="ColorfulList-Accent6">
    <w:name w:val="Colorful List Accent 6"/>
    <w:basedOn w:val="TableNormal"/>
    <w:uiPriority w:val="72"/>
    <w:qFormat/>
    <w:rsid w:val="00B9605A"/>
    <w:rPr>
      <w:rFonts w:ascii="Calibri" w:eastAsia="Calibri" w:hAnsi="Calibri"/>
      <w:color w:val="000000"/>
    </w:rPr>
    <w:tblPr>
      <w:tblStyleRowBandSize w:val="1"/>
      <w:tblStyleColBandSize w:val="1"/>
    </w:tblPr>
    <w:tcPr>
      <w:shd w:val="clear" w:color="auto" w:fill="F6F9ED"/>
    </w:tcPr>
    <w:tblStylePr w:type="firstRow">
      <w:rPr>
        <w:b/>
        <w:bCs/>
        <w:color w:val="FFFFFF"/>
      </w:rPr>
      <w:tblPr/>
      <w:tcPr>
        <w:tcBorders>
          <w:bottom w:val="single" w:sz="12" w:space="0" w:color="FFFFFF"/>
        </w:tcBorders>
        <w:shd w:val="clear" w:color="auto" w:fill="59B33C"/>
      </w:tcPr>
    </w:tblStylePr>
    <w:tblStylePr w:type="lastRow">
      <w:rPr>
        <w:b/>
        <w:bCs/>
        <w:color w:val="59B33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cPr>
    </w:tblStylePr>
    <w:tblStylePr w:type="band1Horz">
      <w:tblPr/>
      <w:tcPr>
        <w:shd w:val="clear" w:color="auto" w:fill="ECF2DA"/>
      </w:tcPr>
    </w:tblStylePr>
  </w:style>
  <w:style w:type="table" w:styleId="ColorfulList-Accent4">
    <w:name w:val="Colorful List Accent 4"/>
    <w:basedOn w:val="TableNormal"/>
    <w:uiPriority w:val="72"/>
    <w:qFormat/>
    <w:rsid w:val="00B9605A"/>
    <w:rPr>
      <w:rFonts w:ascii="Calibri" w:eastAsia="Calibri" w:hAnsi="Calibri"/>
      <w:color w:val="000000"/>
    </w:rPr>
    <w:tblPr>
      <w:tblStyleRowBandSize w:val="1"/>
      <w:tblStyleColBandSize w:val="1"/>
    </w:tblPr>
    <w:tcPr>
      <w:shd w:val="clear" w:color="auto" w:fill="E4FDF6"/>
    </w:tcPr>
    <w:tblStylePr w:type="firstRow">
      <w:rPr>
        <w:b/>
        <w:bCs/>
        <w:color w:val="FFFFFF"/>
      </w:rPr>
      <w:tblPr/>
      <w:tcPr>
        <w:tcBorders>
          <w:bottom w:val="single" w:sz="12" w:space="0" w:color="FFFFFF"/>
        </w:tcBorders>
        <w:shd w:val="clear" w:color="auto" w:fill="08A5AD"/>
      </w:tcPr>
    </w:tblStylePr>
    <w:tblStylePr w:type="lastRow">
      <w:rPr>
        <w:b/>
        <w:bCs/>
        <w:color w:val="08A5A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AE9"/>
      </w:tcPr>
    </w:tblStylePr>
    <w:tblStylePr w:type="band1Horz">
      <w:tblPr/>
      <w:tcPr>
        <w:shd w:val="clear" w:color="auto" w:fill="C9FBED"/>
      </w:tcPr>
    </w:tblStylePr>
  </w:style>
  <w:style w:type="character" w:customStyle="1" w:styleId="NoSpacingChar">
    <w:name w:val="No Spacing Char"/>
    <w:link w:val="NoSpacing"/>
    <w:uiPriority w:val="99"/>
    <w:rsid w:val="00B9605A"/>
    <w:rPr>
      <w:rFonts w:ascii="Arial" w:eastAsia="Perpetua" w:hAnsi="Arial" w:cs="Calibri"/>
      <w:b/>
      <w:color w:val="537F56"/>
      <w:sz w:val="24"/>
      <w:lang w:eastAsia="ja-JP"/>
    </w:rPr>
  </w:style>
  <w:style w:type="table" w:styleId="MediumList1-Accent6">
    <w:name w:val="Medium List 1 Accent 6"/>
    <w:basedOn w:val="TableNormal"/>
    <w:uiPriority w:val="65"/>
    <w:qFormat/>
    <w:rsid w:val="00B9605A"/>
    <w:rPr>
      <w:rFonts w:ascii="Calibri" w:eastAsia="Calibri" w:hAnsi="Calibri"/>
      <w:color w:val="000000"/>
    </w:rPr>
    <w:tblPr>
      <w:tblStyleRowBandSize w:val="1"/>
      <w:tblStyleColBandSize w:val="1"/>
      <w:tblBorders>
        <w:top w:val="single" w:sz="8" w:space="0" w:color="A5C249"/>
        <w:bottom w:val="single" w:sz="8" w:space="0" w:color="A5C249"/>
      </w:tblBorders>
    </w:tblPr>
    <w:tblStylePr w:type="firstRow">
      <w:rPr>
        <w:rFonts w:ascii="Cambria" w:eastAsia="Times New Roman" w:hAnsi="Cambria" w:cs="Times New Roman"/>
      </w:rPr>
      <w:tblPr/>
      <w:tcPr>
        <w:tcBorders>
          <w:top w:val="nil"/>
          <w:bottom w:val="single" w:sz="8" w:space="0" w:color="A5C249"/>
        </w:tcBorders>
      </w:tcPr>
    </w:tblStylePr>
    <w:tblStylePr w:type="lastRow">
      <w:rPr>
        <w:b/>
        <w:bCs/>
        <w:color w:val="04617B"/>
      </w:rPr>
      <w:tblPr/>
      <w:tcPr>
        <w:tcBorders>
          <w:top w:val="single" w:sz="8" w:space="0" w:color="A5C249"/>
          <w:bottom w:val="single" w:sz="8" w:space="0" w:color="A5C249"/>
        </w:tcBorders>
      </w:tcPr>
    </w:tblStylePr>
    <w:tblStylePr w:type="firstCol">
      <w:rPr>
        <w:b/>
        <w:bCs/>
      </w:rPr>
    </w:tblStylePr>
    <w:tblStylePr w:type="lastCol">
      <w:rPr>
        <w:b/>
        <w:bCs/>
      </w:rPr>
      <w:tblPr/>
      <w:tcPr>
        <w:tcBorders>
          <w:top w:val="single" w:sz="8" w:space="0" w:color="A5C249"/>
          <w:bottom w:val="single" w:sz="8" w:space="0" w:color="A5C249"/>
        </w:tcBorders>
      </w:tcPr>
    </w:tblStylePr>
    <w:tblStylePr w:type="band1Vert">
      <w:tblPr/>
      <w:tcPr>
        <w:shd w:val="clear" w:color="auto" w:fill="E8F0D1"/>
      </w:tcPr>
    </w:tblStylePr>
    <w:tblStylePr w:type="band1Horz">
      <w:tblPr/>
      <w:tcPr>
        <w:shd w:val="clear" w:color="auto" w:fill="E8F0D1"/>
      </w:tcPr>
    </w:tblStylePr>
  </w:style>
  <w:style w:type="table" w:customStyle="1" w:styleId="PonteVedra">
    <w:name w:val="PonteVedra"/>
    <w:basedOn w:val="TableNormal"/>
    <w:uiPriority w:val="99"/>
    <w:qFormat/>
    <w:locked/>
    <w:rsid w:val="00B9605A"/>
    <w:rPr>
      <w:rFonts w:ascii="Calibri" w:eastAsia="Calibri" w:hAnsi="Calibri"/>
    </w:rPr>
    <w:tblPr/>
  </w:style>
  <w:style w:type="character" w:customStyle="1" w:styleId="txtsmtxtgray">
    <w:name w:val="txtsm txtgray"/>
    <w:semiHidden/>
    <w:rsid w:val="00B9605A"/>
  </w:style>
  <w:style w:type="character" w:styleId="PlaceholderText">
    <w:name w:val="Placeholder Text"/>
    <w:uiPriority w:val="99"/>
    <w:semiHidden/>
    <w:rsid w:val="00B9605A"/>
    <w:rPr>
      <w:rFonts w:cs="Times New Roman"/>
      <w:color w:val="808080"/>
    </w:rPr>
  </w:style>
  <w:style w:type="paragraph" w:customStyle="1" w:styleId="Contents">
    <w:name w:val="Contents"/>
    <w:basedOn w:val="Normal"/>
    <w:uiPriority w:val="99"/>
    <w:semiHidden/>
    <w:rsid w:val="00B9605A"/>
    <w:pPr>
      <w:tabs>
        <w:tab w:val="left" w:pos="2304"/>
      </w:tabs>
      <w:spacing w:line="360" w:lineRule="auto"/>
      <w:contextualSpacing/>
    </w:pPr>
    <w:rPr>
      <w:rFonts w:ascii="Perpetua" w:eastAsia="Perpetua" w:hAnsi="Perpetua"/>
      <w:sz w:val="17"/>
      <w:szCs w:val="22"/>
    </w:rPr>
  </w:style>
  <w:style w:type="paragraph" w:customStyle="1" w:styleId="SideBarSubtitle">
    <w:name w:val="Side Bar Subtitle"/>
    <w:basedOn w:val="Normal"/>
    <w:uiPriority w:val="99"/>
    <w:semiHidden/>
    <w:rsid w:val="00B9605A"/>
    <w:pPr>
      <w:spacing w:after="120" w:line="240" w:lineRule="auto"/>
    </w:pPr>
    <w:rPr>
      <w:rFonts w:ascii="Franklin Gothic Book" w:eastAsia="Perpetua" w:hAnsi="Franklin Gothic Book"/>
    </w:rPr>
  </w:style>
  <w:style w:type="paragraph" w:customStyle="1" w:styleId="SidebarTitle">
    <w:name w:val="Sidebar Title"/>
    <w:basedOn w:val="Normal"/>
    <w:uiPriority w:val="99"/>
    <w:semiHidden/>
    <w:rsid w:val="00B9605A"/>
    <w:pPr>
      <w:pBdr>
        <w:bottom w:val="single" w:sz="4" w:space="1" w:color="A8CDD7"/>
      </w:pBdr>
    </w:pPr>
    <w:rPr>
      <w:rFonts w:ascii="Franklin Gothic Book" w:eastAsia="Perpetua" w:hAnsi="Franklin Gothic Book"/>
      <w:color w:val="66A6B8"/>
      <w:szCs w:val="22"/>
    </w:rPr>
  </w:style>
  <w:style w:type="table" w:styleId="LightShading-Accent3">
    <w:name w:val="Light Shading Accent 3"/>
    <w:basedOn w:val="TableNormal"/>
    <w:uiPriority w:val="60"/>
    <w:rsid w:val="00B9605A"/>
    <w:rPr>
      <w:rFonts w:ascii="Perpetua" w:eastAsia="Perpetua" w:hAnsi="Perpetua"/>
      <w:color w:val="089BA2"/>
    </w:rPr>
    <w:tblPr>
      <w:tblStyleRowBandSize w:val="1"/>
      <w:tblStyleColBandSize w:val="1"/>
      <w:tblBorders>
        <w:top w:val="single" w:sz="8" w:space="0" w:color="0BD0D9"/>
        <w:bottom w:val="single" w:sz="8" w:space="0" w:color="0BD0D9"/>
      </w:tblBorders>
    </w:tblPr>
    <w:tblStylePr w:type="fir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lastRow">
      <w:pPr>
        <w:spacing w:before="0" w:after="0" w:line="240" w:lineRule="auto"/>
      </w:pPr>
      <w:rPr>
        <w:b/>
        <w:bCs/>
      </w:rPr>
      <w:tblPr/>
      <w:tcPr>
        <w:tcBorders>
          <w:top w:val="single" w:sz="8" w:space="0" w:color="0BD0D9"/>
          <w:left w:val="nil"/>
          <w:bottom w:val="single" w:sz="8" w:space="0" w:color="0BD0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cPr>
    </w:tblStylePr>
    <w:tblStylePr w:type="band1Horz">
      <w:tblPr/>
      <w:tcPr>
        <w:tcBorders>
          <w:left w:val="nil"/>
          <w:right w:val="nil"/>
          <w:insideH w:val="nil"/>
          <w:insideV w:val="nil"/>
        </w:tcBorders>
        <w:shd w:val="clear" w:color="auto" w:fill="BCF8FB"/>
      </w:tcPr>
    </w:tblStylePr>
  </w:style>
  <w:style w:type="table" w:customStyle="1" w:styleId="BMPLibrary">
    <w:name w:val="BMP Library"/>
    <w:basedOn w:val="TableNormal"/>
    <w:uiPriority w:val="99"/>
    <w:qFormat/>
    <w:locked/>
    <w:rsid w:val="00B9605A"/>
    <w:rPr>
      <w:rFonts w:ascii="Swis721 BT" w:eastAsia="Perpetua" w:hAnsi="Swis721 BT"/>
    </w:rPr>
    <w:tblPr>
      <w:tblBorders>
        <w:top w:val="single" w:sz="8" w:space="0" w:color="92D050"/>
        <w:left w:val="single" w:sz="8" w:space="0" w:color="92D050"/>
        <w:bottom w:val="single" w:sz="8" w:space="0" w:color="92D050"/>
        <w:right w:val="single" w:sz="8" w:space="0" w:color="92D050"/>
        <w:insideH w:val="single" w:sz="8" w:space="0" w:color="92D050"/>
      </w:tblBorders>
    </w:tblPr>
    <w:tcPr>
      <w:shd w:val="clear" w:color="auto" w:fill="auto"/>
    </w:tcPr>
    <w:tblStylePr w:type="firstRow">
      <w:pPr>
        <w:jc w:val="left"/>
      </w:pPr>
      <w:rPr>
        <w:rFonts w:ascii="Perpetua" w:hAnsi="Perpetua"/>
        <w:b w:val="0"/>
        <w:sz w:val="20"/>
      </w:rPr>
      <w:tblPr/>
      <w:tcPr>
        <w:shd w:val="clear" w:color="auto" w:fill="C9F9FC"/>
      </w:tcPr>
    </w:tblStylePr>
    <w:tblStylePr w:type="lastRow">
      <w:pPr>
        <w:jc w:val="left"/>
      </w:pPr>
      <w:rPr>
        <w:rFonts w:ascii="Swis721 Lt BT" w:hAnsi="Swis721 Lt BT"/>
        <w:sz w:val="20"/>
      </w:rPr>
      <w:tblPr/>
      <w:tcPr>
        <w:vAlign w:val="center"/>
      </w:tcPr>
    </w:tblStylePr>
    <w:tblStylePr w:type="firstCol">
      <w:pPr>
        <w:wordWrap/>
        <w:jc w:val="left"/>
      </w:pPr>
      <w:rPr>
        <w:rFonts w:ascii="Perpetua" w:hAnsi="Perpetua"/>
        <w:sz w:val="20"/>
      </w:rPr>
      <w:tblPr/>
      <w:tcPr>
        <w:vAlign w:val="center"/>
      </w:tcPr>
    </w:tblStylePr>
  </w:style>
  <w:style w:type="paragraph" w:customStyle="1" w:styleId="font5">
    <w:name w:val="font5"/>
    <w:basedOn w:val="Normal"/>
    <w:semiHidden/>
    <w:rsid w:val="00B9605A"/>
    <w:pPr>
      <w:spacing w:before="100" w:beforeAutospacing="1" w:after="100" w:afterAutospacing="1" w:line="240" w:lineRule="auto"/>
    </w:pPr>
    <w:rPr>
      <w:rFonts w:ascii="Tahoma" w:eastAsia="Times New Roman" w:hAnsi="Tahoma" w:cs="Tahoma"/>
      <w:color w:val="800000"/>
      <w:sz w:val="16"/>
      <w:szCs w:val="16"/>
    </w:rPr>
  </w:style>
  <w:style w:type="paragraph" w:customStyle="1" w:styleId="font6">
    <w:name w:val="font6"/>
    <w:basedOn w:val="Normal"/>
    <w:semiHidden/>
    <w:rsid w:val="00B9605A"/>
    <w:pPr>
      <w:spacing w:before="100" w:beforeAutospacing="1" w:after="100" w:afterAutospacing="1" w:line="240" w:lineRule="auto"/>
    </w:pPr>
    <w:rPr>
      <w:rFonts w:ascii="Tahoma" w:eastAsia="Times New Roman" w:hAnsi="Tahoma" w:cs="Tahoma"/>
      <w:b/>
      <w:bCs/>
      <w:color w:val="800000"/>
      <w:sz w:val="16"/>
      <w:szCs w:val="16"/>
    </w:rPr>
  </w:style>
  <w:style w:type="paragraph" w:customStyle="1" w:styleId="xl67">
    <w:name w:val="xl67"/>
    <w:basedOn w:val="Normal"/>
    <w:semiHidden/>
    <w:rsid w:val="00B9605A"/>
    <w:pP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8">
    <w:name w:val="xl68"/>
    <w:basedOn w:val="Normal"/>
    <w:semiHidden/>
    <w:rsid w:val="00B9605A"/>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TableofContentsHeading">
    <w:name w:val="Table of Contents Heading"/>
    <w:basedOn w:val="Heading1"/>
    <w:qFormat/>
    <w:locked/>
    <w:rsid w:val="00B9605A"/>
    <w:pPr>
      <w:numPr>
        <w:numId w:val="0"/>
      </w:numPr>
    </w:pPr>
    <w:rPr>
      <w:sz w:val="40"/>
      <w:szCs w:val="40"/>
    </w:rPr>
  </w:style>
  <w:style w:type="paragraph" w:customStyle="1" w:styleId="StyleHeading4Italic">
    <w:name w:val="Style Heading 4 + Italic"/>
    <w:basedOn w:val="Heading4"/>
    <w:semiHidden/>
    <w:rsid w:val="00B9605A"/>
    <w:pPr>
      <w:numPr>
        <w:ilvl w:val="0"/>
        <w:numId w:val="0"/>
      </w:numPr>
    </w:pPr>
    <w:rPr>
      <w:i/>
      <w:iCs/>
    </w:rPr>
  </w:style>
  <w:style w:type="table" w:customStyle="1" w:styleId="LightShading-Accent11">
    <w:name w:val="Light Shading - Accent 11"/>
    <w:aliases w:val="Table Style"/>
    <w:basedOn w:val="TableNormal"/>
    <w:uiPriority w:val="60"/>
    <w:rsid w:val="00B9605A"/>
    <w:rPr>
      <w:rFonts w:ascii="Arial" w:hAnsi="Arial"/>
      <w:sz w:val="18"/>
    </w:rPr>
    <w:tblPr>
      <w:tblStyleRowBandSize w:val="1"/>
      <w:tblStyleColBandSize w:val="1"/>
      <w:tblBorders>
        <w:top w:val="single" w:sz="8" w:space="0" w:color="4F81BD"/>
        <w:bottom w:val="single" w:sz="8" w:space="0" w:color="4F81BD"/>
      </w:tblBorders>
    </w:tblPr>
    <w:tcPr>
      <w:shd w:val="clear" w:color="auto" w:fill="CCD5D9"/>
    </w:tcPr>
    <w:tblStylePr w:type="firstRow">
      <w:pPr>
        <w:spacing w:before="0" w:after="0" w:line="240" w:lineRule="auto"/>
      </w:pPr>
      <w:rPr>
        <w:b/>
        <w:bCs/>
        <w:color w:val="auto"/>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3DFEE"/>
      </w:tcPr>
    </w:tblStylePr>
    <w:tblStylePr w:type="band2Horz">
      <w:tblPr/>
      <w:tcPr>
        <w:shd w:val="clear" w:color="auto" w:fill="CCD5D9"/>
      </w:tcPr>
    </w:tblStylePr>
  </w:style>
  <w:style w:type="table" w:customStyle="1" w:styleId="TableTemplate">
    <w:name w:val="Table Template"/>
    <w:basedOn w:val="TableNormal"/>
    <w:uiPriority w:val="99"/>
    <w:qFormat/>
    <w:locked/>
    <w:rsid w:val="00B9605A"/>
    <w:rPr>
      <w:rFonts w:ascii="Arial" w:hAnsi="Arial"/>
      <w:sz w:val="18"/>
    </w:rPr>
    <w:tblPr/>
  </w:style>
  <w:style w:type="character" w:customStyle="1" w:styleId="data">
    <w:name w:val="data"/>
    <w:semiHidden/>
    <w:rsid w:val="00B9605A"/>
  </w:style>
  <w:style w:type="character" w:customStyle="1" w:styleId="author1">
    <w:name w:val="author1"/>
    <w:semiHidden/>
    <w:rsid w:val="00B9605A"/>
    <w:rPr>
      <w:rFonts w:ascii="Arial" w:hAnsi="Arial" w:cs="Arial" w:hint="default"/>
      <w:color w:val="777777"/>
      <w:sz w:val="20"/>
      <w:szCs w:val="20"/>
    </w:rPr>
  </w:style>
  <w:style w:type="paragraph" w:customStyle="1" w:styleId="epabodytext">
    <w:name w:val="epabodytext"/>
    <w:basedOn w:val="Normal"/>
    <w:semiHidden/>
    <w:rsid w:val="00B9605A"/>
    <w:pPr>
      <w:spacing w:before="100" w:beforeAutospacing="1" w:after="100" w:afterAutospacing="1"/>
    </w:pPr>
    <w:rPr>
      <w:rFonts w:cs="Arial"/>
    </w:rPr>
  </w:style>
  <w:style w:type="paragraph" w:customStyle="1" w:styleId="Bullet-ThirdLevel">
    <w:name w:val="Bullet-Third Level"/>
    <w:basedOn w:val="Bullet"/>
    <w:qFormat/>
    <w:rsid w:val="00B9605A"/>
    <w:pPr>
      <w:numPr>
        <w:ilvl w:val="3"/>
        <w:numId w:val="10"/>
      </w:numPr>
      <w:tabs>
        <w:tab w:val="clear" w:pos="2880"/>
        <w:tab w:val="left" w:pos="1080"/>
      </w:tabs>
      <w:ind w:left="1080"/>
    </w:pPr>
  </w:style>
  <w:style w:type="paragraph" w:customStyle="1" w:styleId="Photograph">
    <w:name w:val="Photograph"/>
    <w:basedOn w:val="Normal"/>
    <w:autoRedefine/>
    <w:semiHidden/>
    <w:qFormat/>
    <w:rsid w:val="00B9605A"/>
    <w:pPr>
      <w:jc w:val="center"/>
    </w:pPr>
  </w:style>
  <w:style w:type="character" w:customStyle="1" w:styleId="TOC1Char">
    <w:name w:val="TOC 1 Char"/>
    <w:link w:val="TOC1"/>
    <w:uiPriority w:val="39"/>
    <w:rsid w:val="00B9605A"/>
    <w:rPr>
      <w:rFonts w:ascii="Arial" w:eastAsia="Calibri" w:hAnsi="Arial" w:cs="Calibri"/>
      <w:b/>
      <w:noProof/>
      <w:lang w:eastAsia="ja-JP"/>
    </w:rPr>
  </w:style>
  <w:style w:type="table" w:customStyle="1" w:styleId="TableFormat">
    <w:name w:val="Table Format"/>
    <w:basedOn w:val="TableNormal"/>
    <w:uiPriority w:val="99"/>
    <w:qFormat/>
    <w:locked/>
    <w:rsid w:val="00B9605A"/>
    <w:rPr>
      <w:rFonts w:ascii="Arial" w:hAnsi="Arial"/>
    </w:rPr>
    <w:tblPr>
      <w:tblStyleRowBandSize w:val="1"/>
      <w:tblBorders>
        <w:top w:val="single" w:sz="4" w:space="0" w:color="auto"/>
        <w:bottom w:val="single" w:sz="4" w:space="0" w:color="auto"/>
      </w:tblBorders>
    </w:tblPr>
    <w:tcPr>
      <w:shd w:val="clear" w:color="auto" w:fill="auto"/>
      <w:vAlign w:val="center"/>
    </w:tcPr>
    <w:tblStylePr w:type="firstRow">
      <w:rPr>
        <w:rFonts w:ascii="Arial" w:hAnsi="Arial"/>
        <w:color w:val="auto"/>
        <w:sz w:val="20"/>
      </w:rPr>
      <w:tblPr/>
      <w:trPr>
        <w:cantSplit/>
        <w:tblHeader/>
      </w:trPr>
      <w:tcPr>
        <w:tcBorders>
          <w:bottom w:val="single" w:sz="4" w:space="0" w:color="auto"/>
        </w:tcBorders>
      </w:tcPr>
    </w:tblStylePr>
    <w:tblStylePr w:type="band1Horz">
      <w:rPr>
        <w:rFonts w:ascii="Arial" w:hAnsi="Arial"/>
        <w:sz w:val="20"/>
      </w:rPr>
      <w:tblPr/>
      <w:tcPr>
        <w:shd w:val="clear" w:color="auto" w:fill="BEC8D5"/>
      </w:tcPr>
    </w:tblStylePr>
    <w:tblStylePr w:type="band2Horz">
      <w:pPr>
        <w:wordWrap/>
        <w:spacing w:beforeLines="0" w:before="40" w:beforeAutospacing="0" w:afterLines="0" w:after="40" w:afterAutospacing="0" w:line="240" w:lineRule="auto"/>
      </w:pPr>
      <w:rPr>
        <w:rFonts w:ascii="Arial" w:hAnsi="Arial"/>
        <w:color w:val="auto"/>
        <w:sz w:val="20"/>
      </w:rPr>
    </w:tblStylePr>
  </w:style>
  <w:style w:type="paragraph" w:customStyle="1" w:styleId="StyleHeading6LatinArial">
    <w:name w:val="Style Heading 6 + (Latin) Arial"/>
    <w:basedOn w:val="Heading6"/>
    <w:semiHidden/>
    <w:rsid w:val="00B9605A"/>
    <w:pPr>
      <w:numPr>
        <w:numId w:val="0"/>
      </w:numPr>
    </w:pPr>
    <w:rPr>
      <w:b/>
      <w:bCs w:val="0"/>
    </w:rPr>
  </w:style>
  <w:style w:type="paragraph" w:customStyle="1" w:styleId="StyleHeading3Arial">
    <w:name w:val="Style Heading 3 + Arial"/>
    <w:basedOn w:val="Heading3"/>
    <w:autoRedefine/>
    <w:semiHidden/>
    <w:rsid w:val="00B9605A"/>
    <w:pPr>
      <w:numPr>
        <w:ilvl w:val="0"/>
        <w:numId w:val="0"/>
      </w:numPr>
    </w:pPr>
  </w:style>
  <w:style w:type="paragraph" w:customStyle="1" w:styleId="StyleHeading2Arial">
    <w:name w:val="Style Heading 2 + Arial"/>
    <w:basedOn w:val="Heading2"/>
    <w:autoRedefine/>
    <w:semiHidden/>
    <w:qFormat/>
    <w:rsid w:val="00B9605A"/>
    <w:pPr>
      <w:numPr>
        <w:ilvl w:val="0"/>
        <w:numId w:val="0"/>
      </w:numPr>
      <w:spacing w:after="120"/>
    </w:pPr>
    <w:rPr>
      <w:bCs/>
    </w:rPr>
  </w:style>
  <w:style w:type="paragraph" w:customStyle="1" w:styleId="Appendix">
    <w:name w:val="Appendix"/>
    <w:basedOn w:val="Normal"/>
    <w:qFormat/>
    <w:rsid w:val="00B9605A"/>
    <w:pPr>
      <w:jc w:val="center"/>
    </w:pPr>
    <w:rPr>
      <w:rFonts w:cs="Arial"/>
      <w:b/>
      <w:sz w:val="40"/>
      <w:szCs w:val="40"/>
    </w:rPr>
  </w:style>
  <w:style w:type="paragraph" w:customStyle="1" w:styleId="BoldStyle">
    <w:name w:val="Bold Style"/>
    <w:basedOn w:val="Normal"/>
    <w:semiHidden/>
    <w:qFormat/>
    <w:rsid w:val="00B9605A"/>
    <w:rPr>
      <w:rFonts w:eastAsia="Times New Roman"/>
      <w:b/>
      <w:i/>
      <w:color w:val="004264"/>
      <w:szCs w:val="22"/>
    </w:rPr>
  </w:style>
  <w:style w:type="paragraph" w:customStyle="1" w:styleId="CoverPageTitle">
    <w:name w:val="Cover Page Title"/>
    <w:basedOn w:val="Normal"/>
    <w:autoRedefine/>
    <w:qFormat/>
    <w:rsid w:val="00B9605A"/>
    <w:pPr>
      <w:spacing w:before="40" w:after="40"/>
      <w:jc w:val="right"/>
    </w:pPr>
    <w:rPr>
      <w:rFonts w:cs="Arial"/>
      <w:b/>
      <w:color w:val="004264"/>
      <w:sz w:val="32"/>
      <w:szCs w:val="32"/>
    </w:rPr>
  </w:style>
  <w:style w:type="paragraph" w:customStyle="1" w:styleId="CoverPageAgencyandDate">
    <w:name w:val="Cover Page Agency and Date"/>
    <w:basedOn w:val="Normal"/>
    <w:autoRedefine/>
    <w:qFormat/>
    <w:rsid w:val="00B9605A"/>
    <w:pPr>
      <w:spacing w:after="0"/>
      <w:jc w:val="right"/>
    </w:pPr>
    <w:rPr>
      <w:rFonts w:cs="Arial"/>
      <w:color w:val="404040"/>
      <w:sz w:val="24"/>
      <w:szCs w:val="24"/>
    </w:rPr>
  </w:style>
  <w:style w:type="paragraph" w:customStyle="1" w:styleId="TitlePageTitle">
    <w:name w:val="Title Page Title"/>
    <w:basedOn w:val="Normal"/>
    <w:uiPriority w:val="99"/>
    <w:qFormat/>
    <w:rsid w:val="00B9605A"/>
    <w:pPr>
      <w:spacing w:after="120"/>
      <w:jc w:val="center"/>
    </w:pPr>
    <w:rPr>
      <w:rFonts w:cs="Arial"/>
      <w:b/>
    </w:rPr>
  </w:style>
  <w:style w:type="paragraph" w:customStyle="1" w:styleId="TitlePage--Prepared">
    <w:name w:val="Title Page--Prepared"/>
    <w:basedOn w:val="TitlePageTitle"/>
    <w:uiPriority w:val="99"/>
    <w:qFormat/>
    <w:rsid w:val="00B9605A"/>
  </w:style>
  <w:style w:type="paragraph" w:customStyle="1" w:styleId="TitlePage--Regular">
    <w:name w:val="Title Page--Regular"/>
    <w:basedOn w:val="TitlePageTitle"/>
    <w:uiPriority w:val="99"/>
    <w:qFormat/>
    <w:rsid w:val="00B9605A"/>
    <w:rPr>
      <w:b w:val="0"/>
    </w:rPr>
  </w:style>
  <w:style w:type="paragraph" w:customStyle="1" w:styleId="StyleTableBodyCentered">
    <w:name w:val="Style Table Body + Centered"/>
    <w:basedOn w:val="TableBody"/>
    <w:locked/>
    <w:rsid w:val="00B9605A"/>
    <w:pPr>
      <w:jc w:val="center"/>
    </w:pPr>
    <w:rPr>
      <w:rFonts w:eastAsia="Times New Roman" w:cs="Times New Roman"/>
    </w:rPr>
  </w:style>
  <w:style w:type="paragraph" w:customStyle="1" w:styleId="TM-Heading">
    <w:name w:val="TM-Heading"/>
    <w:basedOn w:val="CoverPageTitle"/>
    <w:autoRedefine/>
    <w:qFormat/>
    <w:rsid w:val="00B9605A"/>
    <w:pPr>
      <w:jc w:val="left"/>
    </w:pPr>
  </w:style>
  <w:style w:type="paragraph" w:customStyle="1" w:styleId="TableNotes">
    <w:name w:val="Table Notes"/>
    <w:basedOn w:val="Normal"/>
    <w:qFormat/>
    <w:rsid w:val="00B9605A"/>
    <w:pPr>
      <w:spacing w:after="120" w:line="240" w:lineRule="auto"/>
    </w:pPr>
    <w:rPr>
      <w:sz w:val="18"/>
      <w:szCs w:val="18"/>
    </w:rPr>
  </w:style>
  <w:style w:type="paragraph" w:styleId="Bibliography">
    <w:name w:val="Bibliography"/>
    <w:basedOn w:val="Normal"/>
    <w:next w:val="Normal"/>
    <w:uiPriority w:val="37"/>
    <w:semiHidden/>
    <w:rsid w:val="00B9605A"/>
    <w:pPr>
      <w:ind w:left="720" w:hanging="720"/>
    </w:pPr>
  </w:style>
  <w:style w:type="paragraph" w:customStyle="1" w:styleId="ExecutiveSummary-Heading1">
    <w:name w:val="Executive Summary-Heading 1"/>
    <w:basedOn w:val="Heading1"/>
    <w:qFormat/>
    <w:rsid w:val="00B9605A"/>
    <w:pPr>
      <w:numPr>
        <w:numId w:val="0"/>
      </w:numPr>
    </w:pPr>
  </w:style>
  <w:style w:type="paragraph" w:customStyle="1" w:styleId="ExecutiveSummary-Heading3">
    <w:name w:val="Executive Summary-Heading 3"/>
    <w:basedOn w:val="Heading3"/>
    <w:qFormat/>
    <w:rsid w:val="00B9605A"/>
    <w:pPr>
      <w:numPr>
        <w:ilvl w:val="0"/>
        <w:numId w:val="0"/>
      </w:numPr>
    </w:pPr>
  </w:style>
  <w:style w:type="paragraph" w:customStyle="1" w:styleId="ESTable">
    <w:name w:val="ES Table"/>
    <w:basedOn w:val="Table"/>
    <w:qFormat/>
    <w:rsid w:val="00B9605A"/>
  </w:style>
  <w:style w:type="paragraph" w:customStyle="1" w:styleId="ESFigure">
    <w:name w:val="ES Figure"/>
    <w:basedOn w:val="Table"/>
    <w:qFormat/>
    <w:rsid w:val="00B9605A"/>
    <w:pPr>
      <w:keepNext w:val="0"/>
      <w:keepLines w:val="0"/>
      <w:tabs>
        <w:tab w:val="clear" w:pos="1080"/>
      </w:tabs>
      <w:snapToGrid w:val="0"/>
      <w:ind w:left="1440" w:hanging="1440"/>
    </w:pPr>
    <w:rPr>
      <w:rFonts w:cs="Calibri"/>
    </w:rPr>
  </w:style>
  <w:style w:type="paragraph" w:customStyle="1" w:styleId="Title-TM">
    <w:name w:val="Title-TM"/>
    <w:basedOn w:val="CoverPageTitle"/>
    <w:qFormat/>
    <w:rsid w:val="00B9605A"/>
    <w:pPr>
      <w:jc w:val="left"/>
    </w:pPr>
    <w:rPr>
      <w:color w:val="auto"/>
      <w:sz w:val="28"/>
    </w:rPr>
  </w:style>
  <w:style w:type="paragraph" w:customStyle="1" w:styleId="Reference">
    <w:name w:val="Reference"/>
    <w:basedOn w:val="Bibliography"/>
    <w:qFormat/>
    <w:rsid w:val="00B9605A"/>
    <w:pPr>
      <w:ind w:left="360" w:hanging="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72624">
      <w:bodyDiv w:val="1"/>
      <w:marLeft w:val="0"/>
      <w:marRight w:val="0"/>
      <w:marTop w:val="0"/>
      <w:marBottom w:val="0"/>
      <w:divBdr>
        <w:top w:val="none" w:sz="0" w:space="0" w:color="auto"/>
        <w:left w:val="none" w:sz="0" w:space="0" w:color="auto"/>
        <w:bottom w:val="none" w:sz="0" w:space="0" w:color="auto"/>
        <w:right w:val="none" w:sz="0" w:space="0" w:color="auto"/>
      </w:divBdr>
    </w:div>
    <w:div w:id="1548763930">
      <w:bodyDiv w:val="1"/>
      <w:marLeft w:val="0"/>
      <w:marRight w:val="0"/>
      <w:marTop w:val="0"/>
      <w:marBottom w:val="0"/>
      <w:divBdr>
        <w:top w:val="none" w:sz="0" w:space="0" w:color="auto"/>
        <w:left w:val="none" w:sz="0" w:space="0" w:color="auto"/>
        <w:bottom w:val="none" w:sz="0" w:space="0" w:color="auto"/>
        <w:right w:val="none" w:sz="0" w:space="0" w:color="auto"/>
      </w:divBdr>
    </w:div>
    <w:div w:id="1839080096">
      <w:bodyDiv w:val="1"/>
      <w:marLeft w:val="0"/>
      <w:marRight w:val="0"/>
      <w:marTop w:val="0"/>
      <w:marBottom w:val="0"/>
      <w:divBdr>
        <w:top w:val="none" w:sz="0" w:space="0" w:color="auto"/>
        <w:left w:val="none" w:sz="0" w:space="0" w:color="auto"/>
        <w:bottom w:val="none" w:sz="0" w:space="0" w:color="auto"/>
        <w:right w:val="none" w:sz="0" w:space="0" w:color="auto"/>
      </w:divBdr>
    </w:div>
    <w:div w:id="1937905829">
      <w:bodyDiv w:val="1"/>
      <w:marLeft w:val="0"/>
      <w:marRight w:val="0"/>
      <w:marTop w:val="0"/>
      <w:marBottom w:val="0"/>
      <w:divBdr>
        <w:top w:val="none" w:sz="0" w:space="0" w:color="auto"/>
        <w:left w:val="none" w:sz="0" w:space="0" w:color="auto"/>
        <w:bottom w:val="none" w:sz="0" w:space="0" w:color="auto"/>
        <w:right w:val="none" w:sz="0" w:space="0" w:color="auto"/>
      </w:divBdr>
      <w:divsChild>
        <w:div w:id="641620044">
          <w:marLeft w:val="105"/>
          <w:marRight w:val="105"/>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A63B0A305C844DB283FCF107124414" ma:contentTypeVersion="1" ma:contentTypeDescription="Create a new document." ma:contentTypeScope="" ma:versionID="329af7c629860cab2e6ee0ae01e16899">
  <xsd:schema xmlns:xsd="http://www.w3.org/2001/XMLSchema" xmlns:p="http://schemas.microsoft.com/office/2006/metadata/properties" xmlns:ns2="07b16765-a2ca-4b0f-9074-f010c7b444bd" targetNamespace="http://schemas.microsoft.com/office/2006/metadata/properties" ma:root="true" ma:fieldsID="947c07d4ab3cf12c32d83e590fc367a2" ns2:_="">
    <xsd:import namespace="07b16765-a2ca-4b0f-9074-f010c7b444bd"/>
    <xsd:element name="properties">
      <xsd:complexType>
        <xsd:sequence>
          <xsd:element name="documentManagement">
            <xsd:complexType>
              <xsd:all>
                <xsd:element ref="ns2:Description0"/>
              </xsd:all>
            </xsd:complexType>
          </xsd:element>
        </xsd:sequence>
      </xsd:complexType>
    </xsd:element>
  </xsd:schema>
  <xsd:schema xmlns:xsd="http://www.w3.org/2001/XMLSchema" xmlns:dms="http://schemas.microsoft.com/office/2006/documentManagement/types" targetNamespace="07b16765-a2ca-4b0f-9074-f010c7b444bd" elementFormDefault="qualified">
    <xsd:import namespace="http://schemas.microsoft.com/office/2006/documentManagement/types"/>
    <xsd:element name="Description0" ma:index="8"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escription0 xmlns="07b16765-a2ca-4b0f-9074-f010c7b444bd">This template should be used when you are creating a technical memorandum that contains technical information about a project.  Technical Memoranda are typcially sent to an external client.</Description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97D3F-336A-43EB-A56F-8524A6A25541}">
  <ds:schemaRefs>
    <ds:schemaRef ds:uri="http://schemas.microsoft.com/sharepoint/v3/contenttype/forms"/>
  </ds:schemaRefs>
</ds:datastoreItem>
</file>

<file path=customXml/itemProps2.xml><?xml version="1.0" encoding="utf-8"?>
<ds:datastoreItem xmlns:ds="http://schemas.openxmlformats.org/officeDocument/2006/customXml" ds:itemID="{6BF19E46-85C8-4043-AE1E-E0C32D082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16765-a2ca-4b0f-9074-f010c7b444b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1DB1A9C-E58B-422F-A7D9-93B0A377FDE1}">
  <ds:schemaRefs>
    <ds:schemaRef ds:uri="http://schemas.microsoft.com/office/2006/metadata/longProperties"/>
  </ds:schemaRefs>
</ds:datastoreItem>
</file>

<file path=customXml/itemProps4.xml><?xml version="1.0" encoding="utf-8"?>
<ds:datastoreItem xmlns:ds="http://schemas.openxmlformats.org/officeDocument/2006/customXml" ds:itemID="{8933CA2B-E7FE-407E-923F-D19343466683}">
  <ds:schemaRefs>
    <ds:schemaRef ds:uri="http://schemas.microsoft.com/office/2006/metadata/properties"/>
    <ds:schemaRef ds:uri="http://schemas.microsoft.com/office/infopath/2007/PartnerControls"/>
    <ds:schemaRef ds:uri="07b16765-a2ca-4b0f-9074-f010c7b444bd"/>
  </ds:schemaRefs>
</ds:datastoreItem>
</file>

<file path=customXml/itemProps5.xml><?xml version="1.0" encoding="utf-8"?>
<ds:datastoreItem xmlns:ds="http://schemas.openxmlformats.org/officeDocument/2006/customXml" ds:itemID="{064140D8-25AA-481D-8A86-4F33B4F1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AAA2C76D</Template>
  <TotalTime>1654</TotalTime>
  <Pages>7</Pages>
  <Words>3019</Words>
  <Characters>17212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Technical Memorandum Template</vt:lpstr>
    </vt:vector>
  </TitlesOfParts>
  <Company>JEA, Inc.</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Memorandum Template</dc:title>
  <dc:creator>THay</dc:creator>
  <cp:lastModifiedBy>Nancy Vaseen</cp:lastModifiedBy>
  <cp:revision>59</cp:revision>
  <cp:lastPrinted>2017-06-07T18:38:00Z</cp:lastPrinted>
  <dcterms:created xsi:type="dcterms:W3CDTF">2016-04-26T15:04:00Z</dcterms:created>
  <dcterms:modified xsi:type="dcterms:W3CDTF">2017-06-07T18:39:00Z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Level">
    <vt:lpwstr>Approved</vt:lpwstr>
  </property>
  <property fmtid="{D5CDD505-2E9C-101B-9397-08002B2CF9AE}" pid="3" name="Company0">
    <vt:lpwstr>Jones, Edmunds &amp; Associates, Inc.</vt:lpwstr>
  </property>
  <property fmtid="{D5CDD505-2E9C-101B-9397-08002B2CF9AE}" pid="4" name="Type or Group">
    <vt:lpwstr>Document Production</vt:lpwstr>
  </property>
  <property fmtid="{D5CDD505-2E9C-101B-9397-08002B2CF9AE}" pid="5" name="ContentType">
    <vt:lpwstr>Document</vt:lpwstr>
  </property>
</Properties>
</file>