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417DC" w14:textId="59632668" w:rsidR="004E7725" w:rsidRDefault="004E7725" w:rsidP="00194A5D">
      <w:pPr>
        <w:pStyle w:val="StyleBodyText20ptBoldCenteredLinespacingsingle"/>
        <w:spacing w:after="0"/>
        <w:jc w:val="both"/>
      </w:pPr>
      <w:bookmarkStart w:id="0" w:name="_GoBack"/>
      <w:bookmarkEnd w:id="0"/>
    </w:p>
    <w:p w14:paraId="4BC53B26" w14:textId="34957DAC" w:rsidR="00CE0239" w:rsidRDefault="00CE0239" w:rsidP="005D56EA">
      <w:pPr>
        <w:pStyle w:val="StyleBodyText20ptBoldCenteredLinespacingsingle"/>
        <w:spacing w:after="0"/>
      </w:pPr>
    </w:p>
    <w:p w14:paraId="66030E1E" w14:textId="1E417E8D" w:rsidR="003F210C" w:rsidRDefault="003F210C" w:rsidP="005D56EA">
      <w:pPr>
        <w:pStyle w:val="StyleBodyText20ptBoldCenteredLinespacingsingle"/>
        <w:spacing w:after="0"/>
      </w:pPr>
    </w:p>
    <w:p w14:paraId="51A09F0B" w14:textId="77777777" w:rsidR="003F210C" w:rsidRDefault="003F210C" w:rsidP="005D56EA">
      <w:pPr>
        <w:pStyle w:val="StyleBodyText20ptBoldCenteredLinespacingsingle"/>
        <w:spacing w:after="0"/>
      </w:pPr>
    </w:p>
    <w:p w14:paraId="551E7FA1" w14:textId="0CCD0200" w:rsidR="000958B9" w:rsidRDefault="000958B9" w:rsidP="005D56EA">
      <w:pPr>
        <w:pStyle w:val="StyleBodyText20ptBoldCenteredLinespacingsingle"/>
        <w:spacing w:after="0"/>
      </w:pPr>
    </w:p>
    <w:p w14:paraId="2FD26CBA" w14:textId="16C0FDEF" w:rsidR="000958B9" w:rsidRDefault="000958B9" w:rsidP="005D56EA">
      <w:pPr>
        <w:pStyle w:val="StyleBodyText20ptBoldCenteredLinespacingsingle"/>
        <w:spacing w:after="0"/>
      </w:pPr>
    </w:p>
    <w:p w14:paraId="04DA7326" w14:textId="77777777" w:rsidR="00014367" w:rsidRDefault="00014367" w:rsidP="005D56EA">
      <w:pPr>
        <w:pStyle w:val="StyleBodyText20ptBoldCenteredLinespacingsingle"/>
        <w:spacing w:after="0"/>
      </w:pPr>
    </w:p>
    <w:p w14:paraId="078917B4" w14:textId="77777777" w:rsidR="00EA6398" w:rsidRPr="00EA6398" w:rsidRDefault="00EA6398" w:rsidP="006D3995">
      <w:pPr>
        <w:pStyle w:val="Bodytextreduced"/>
      </w:pPr>
    </w:p>
    <w:p w14:paraId="35C07D59" w14:textId="0CD24D35" w:rsidR="003F210C" w:rsidRDefault="00AF3004" w:rsidP="00EA6398">
      <w:pPr>
        <w:pStyle w:val="StyleBodyText16ptCenteredLinespacingsingle"/>
        <w:spacing w:after="0"/>
        <w:rPr>
          <w:b/>
          <w:bCs/>
          <w:i/>
          <w:sz w:val="56"/>
          <w:szCs w:val="56"/>
        </w:rPr>
      </w:pPr>
      <w:r>
        <w:rPr>
          <w:b/>
          <w:bCs/>
          <w:i/>
          <w:sz w:val="56"/>
          <w:szCs w:val="56"/>
        </w:rPr>
        <w:t>Final</w:t>
      </w:r>
      <w:r w:rsidR="007D2FD9">
        <w:rPr>
          <w:b/>
          <w:bCs/>
          <w:i/>
          <w:sz w:val="56"/>
          <w:szCs w:val="56"/>
        </w:rPr>
        <w:t xml:space="preserve"> </w:t>
      </w:r>
    </w:p>
    <w:p w14:paraId="238FFA69" w14:textId="57A6FF26" w:rsidR="00EA6398" w:rsidRPr="00EA6398" w:rsidRDefault="000B5C89" w:rsidP="006D3995">
      <w:pPr>
        <w:pStyle w:val="StyleBodyText16ptCenteredLinespacingsingle"/>
        <w:spacing w:after="0"/>
        <w:rPr>
          <w:b/>
          <w:bCs/>
          <w:i/>
          <w:sz w:val="56"/>
          <w:szCs w:val="56"/>
        </w:rPr>
      </w:pPr>
      <w:r>
        <w:rPr>
          <w:b/>
          <w:bCs/>
          <w:i/>
          <w:sz w:val="56"/>
          <w:szCs w:val="56"/>
        </w:rPr>
        <w:t>Jackson Blue Spring and Merritts Mill Pond Basin Management Action Plan</w:t>
      </w:r>
    </w:p>
    <w:p w14:paraId="6DD6C54B" w14:textId="0E04162D" w:rsidR="007B105C" w:rsidRDefault="007B105C" w:rsidP="005D56EA">
      <w:pPr>
        <w:pStyle w:val="StyleBodyText16ptCenteredLinespacingsingle"/>
        <w:spacing w:after="0"/>
      </w:pPr>
    </w:p>
    <w:p w14:paraId="4DD365C8" w14:textId="77777777" w:rsidR="000958B9" w:rsidRPr="009D6B31" w:rsidRDefault="000958B9" w:rsidP="005D56EA">
      <w:pPr>
        <w:pStyle w:val="StyleBodyText16ptCenteredLinespacingsingle"/>
        <w:spacing w:after="0"/>
      </w:pPr>
    </w:p>
    <w:p w14:paraId="506B6D39" w14:textId="77777777" w:rsidR="00321920" w:rsidRPr="009D6B31" w:rsidRDefault="00321920" w:rsidP="00173ADA">
      <w:pPr>
        <w:pStyle w:val="BodyText"/>
        <w:spacing w:after="0" w:line="240" w:lineRule="auto"/>
        <w:jc w:val="center"/>
        <w:rPr>
          <w:b/>
          <w:sz w:val="32"/>
          <w:szCs w:val="28"/>
        </w:rPr>
      </w:pPr>
      <w:r w:rsidRPr="009D6B31">
        <w:rPr>
          <w:b/>
          <w:sz w:val="32"/>
          <w:szCs w:val="28"/>
        </w:rPr>
        <w:t>Division of Environmental Assessment and Restoration</w:t>
      </w:r>
    </w:p>
    <w:p w14:paraId="4449F17C" w14:textId="77777777" w:rsidR="00321920" w:rsidRPr="00653F5D" w:rsidRDefault="00321920" w:rsidP="005D56EA">
      <w:pPr>
        <w:pStyle w:val="StyleBodyText16ptCenteredLinespacingsingle"/>
        <w:spacing w:after="0"/>
        <w:rPr>
          <w:b/>
        </w:rPr>
      </w:pPr>
      <w:r w:rsidRPr="00653F5D">
        <w:rPr>
          <w:b/>
        </w:rPr>
        <w:t>Water</w:t>
      </w:r>
      <w:r w:rsidR="009D6247" w:rsidRPr="00653F5D">
        <w:rPr>
          <w:b/>
        </w:rPr>
        <w:t xml:space="preserve"> Quality</w:t>
      </w:r>
      <w:r w:rsidRPr="00653F5D">
        <w:rPr>
          <w:b/>
        </w:rPr>
        <w:t xml:space="preserve"> Restoration Program</w:t>
      </w:r>
    </w:p>
    <w:p w14:paraId="63C1EA5A" w14:textId="77777777" w:rsidR="00321920" w:rsidRPr="00653F5D" w:rsidRDefault="00321920" w:rsidP="005D56EA">
      <w:pPr>
        <w:pStyle w:val="StyleBodyText16ptCenteredLinespacingsingle"/>
        <w:spacing w:after="0"/>
        <w:rPr>
          <w:b/>
        </w:rPr>
      </w:pPr>
      <w:r w:rsidRPr="00653F5D">
        <w:rPr>
          <w:b/>
        </w:rPr>
        <w:t>Florida Department of Environmental Protection</w:t>
      </w:r>
    </w:p>
    <w:p w14:paraId="12182F97" w14:textId="77777777" w:rsidR="003E4A32" w:rsidRPr="009D6B31" w:rsidRDefault="003E4A32" w:rsidP="00173ADA">
      <w:pPr>
        <w:pStyle w:val="BodyText"/>
        <w:spacing w:after="0" w:line="240" w:lineRule="auto"/>
        <w:jc w:val="center"/>
        <w:rPr>
          <w:b/>
          <w:sz w:val="32"/>
          <w:szCs w:val="28"/>
        </w:rPr>
      </w:pPr>
    </w:p>
    <w:p w14:paraId="44E66BD4" w14:textId="77777777" w:rsidR="003E4A32" w:rsidRPr="009D6B31" w:rsidRDefault="002A3DC4" w:rsidP="005D56EA">
      <w:pPr>
        <w:pStyle w:val="StyleBodyText16ptCenteredLinespacingsingle"/>
        <w:spacing w:after="0"/>
      </w:pPr>
      <w:r>
        <w:t xml:space="preserve">with participation from </w:t>
      </w:r>
      <w:r w:rsidR="003E4A32" w:rsidRPr="009D6B31">
        <w:t>the</w:t>
      </w:r>
    </w:p>
    <w:p w14:paraId="56C371CA" w14:textId="6031A7C7" w:rsidR="00321920" w:rsidRPr="009D6B31" w:rsidRDefault="000B5C89" w:rsidP="00173ADA">
      <w:pPr>
        <w:pStyle w:val="BodyText"/>
        <w:spacing w:after="0" w:line="240" w:lineRule="auto"/>
        <w:jc w:val="center"/>
        <w:rPr>
          <w:sz w:val="32"/>
          <w:szCs w:val="28"/>
        </w:rPr>
      </w:pPr>
      <w:r>
        <w:rPr>
          <w:b/>
          <w:sz w:val="32"/>
          <w:szCs w:val="28"/>
        </w:rPr>
        <w:t>Jackson Blue</w:t>
      </w:r>
      <w:r w:rsidR="00EA6398">
        <w:rPr>
          <w:b/>
          <w:sz w:val="32"/>
          <w:szCs w:val="28"/>
        </w:rPr>
        <w:t xml:space="preserve"> </w:t>
      </w:r>
      <w:r w:rsidR="003F210C">
        <w:rPr>
          <w:b/>
          <w:sz w:val="32"/>
          <w:szCs w:val="28"/>
        </w:rPr>
        <w:t xml:space="preserve">Spring </w:t>
      </w:r>
      <w:r w:rsidR="00EA6398">
        <w:rPr>
          <w:b/>
          <w:sz w:val="32"/>
          <w:szCs w:val="28"/>
        </w:rPr>
        <w:t>Basin</w:t>
      </w:r>
      <w:r w:rsidR="008377A9" w:rsidRPr="009D6B31">
        <w:rPr>
          <w:b/>
          <w:sz w:val="32"/>
          <w:szCs w:val="28"/>
        </w:rPr>
        <w:t xml:space="preserve"> </w:t>
      </w:r>
      <w:r w:rsidR="00321920" w:rsidRPr="009D6B31">
        <w:rPr>
          <w:b/>
          <w:sz w:val="32"/>
          <w:szCs w:val="28"/>
        </w:rPr>
        <w:t>Stakeholders</w:t>
      </w:r>
    </w:p>
    <w:p w14:paraId="22F1410E" w14:textId="66D344BB" w:rsidR="00957124" w:rsidRDefault="00957124" w:rsidP="005D56EA">
      <w:pPr>
        <w:pStyle w:val="StyleBodyText16ptCenteredLinespacingsingle"/>
        <w:spacing w:after="0"/>
      </w:pPr>
    </w:p>
    <w:p w14:paraId="5200A12F" w14:textId="5B523D27" w:rsidR="006D3995" w:rsidRDefault="006D3995" w:rsidP="005D56EA">
      <w:pPr>
        <w:pStyle w:val="StyleBodyText16ptCenteredLinespacingsingle"/>
        <w:spacing w:after="0"/>
      </w:pPr>
    </w:p>
    <w:p w14:paraId="7D00E605" w14:textId="77777777" w:rsidR="006D3995" w:rsidRPr="009D6B31" w:rsidRDefault="006D3995" w:rsidP="005D56EA">
      <w:pPr>
        <w:pStyle w:val="StyleBodyText16ptCenteredLinespacingsingle"/>
        <w:spacing w:after="0"/>
      </w:pPr>
    </w:p>
    <w:p w14:paraId="0F3EF0B5" w14:textId="2FA994BE" w:rsidR="00972674" w:rsidRPr="00653F5D" w:rsidRDefault="00CC78A0" w:rsidP="00972674">
      <w:pPr>
        <w:pStyle w:val="StyleBodyText16ptCenteredLinespacingsingle"/>
        <w:spacing w:after="0"/>
        <w:rPr>
          <w:b/>
        </w:rPr>
      </w:pPr>
      <w:r>
        <w:rPr>
          <w:b/>
        </w:rPr>
        <w:t>May</w:t>
      </w:r>
      <w:r w:rsidR="00996EC3">
        <w:rPr>
          <w:b/>
        </w:rPr>
        <w:t xml:space="preserve"> 2018</w:t>
      </w:r>
    </w:p>
    <w:p w14:paraId="1C59746E" w14:textId="1A024F33" w:rsidR="00957124" w:rsidRDefault="00957124" w:rsidP="005D56EA">
      <w:pPr>
        <w:pStyle w:val="StyleBodyText16ptCenteredLinespacingsingle"/>
        <w:spacing w:after="0"/>
      </w:pPr>
    </w:p>
    <w:p w14:paraId="5B016B3C" w14:textId="607BC94B" w:rsidR="003F210C" w:rsidRPr="009D6B31" w:rsidRDefault="003F210C" w:rsidP="005D56EA">
      <w:pPr>
        <w:pStyle w:val="StyleBodyText16ptCenteredLinespacingsingle"/>
        <w:spacing w:after="0"/>
      </w:pPr>
    </w:p>
    <w:p w14:paraId="2ED4583C" w14:textId="0CAF7653" w:rsidR="004E7725" w:rsidRDefault="0045247B" w:rsidP="004E7725">
      <w:pPr>
        <w:rPr>
          <w:rFonts w:ascii="Times New Roman" w:hAnsi="Times New Roman"/>
          <w:sz w:val="24"/>
        </w:rPr>
      </w:pPr>
      <w:r>
        <w:rPr>
          <w:rFonts w:cstheme="minorBidi"/>
          <w:noProof/>
        </w:rPr>
        <w:drawing>
          <wp:anchor distT="0" distB="0" distL="114300" distR="114300" simplePos="0" relativeHeight="251659264" behindDoc="1" locked="0" layoutInCell="1" allowOverlap="1" wp14:anchorId="7121FCDD" wp14:editId="1DDD3F92">
            <wp:simplePos x="0" y="0"/>
            <wp:positionH relativeFrom="margin">
              <wp:posOffset>5067300</wp:posOffset>
            </wp:positionH>
            <wp:positionV relativeFrom="paragraph">
              <wp:posOffset>79375</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54444984" w14:textId="0C124636" w:rsidR="0045247B" w:rsidRDefault="0045247B" w:rsidP="004E7725"/>
    <w:p w14:paraId="4683B07D" w14:textId="1513F0A3" w:rsidR="0045247B" w:rsidRDefault="0045247B" w:rsidP="004E7725"/>
    <w:p w14:paraId="7D78A0E1" w14:textId="2FF20C7C" w:rsidR="00AB098B" w:rsidRDefault="00AB098B" w:rsidP="004E7725"/>
    <w:p w14:paraId="79E669C3" w14:textId="77777777" w:rsidR="004E7725" w:rsidRPr="00E5470E" w:rsidRDefault="004E7725" w:rsidP="004E7725">
      <w:pPr>
        <w:jc w:val="right"/>
        <w:rPr>
          <w:rFonts w:ascii="Times New Roman" w:hAnsi="Times New Roman"/>
          <w:b/>
          <w:sz w:val="24"/>
          <w:szCs w:val="24"/>
        </w:rPr>
      </w:pPr>
      <w:r w:rsidRPr="00E5470E">
        <w:rPr>
          <w:rFonts w:ascii="Times New Roman" w:hAnsi="Times New Roman"/>
          <w:b/>
          <w:sz w:val="24"/>
          <w:szCs w:val="24"/>
        </w:rPr>
        <w:t>2600 Blair Stone Rd.</w:t>
      </w:r>
    </w:p>
    <w:p w14:paraId="177454C1" w14:textId="77777777" w:rsidR="004E7725" w:rsidRPr="00E5470E" w:rsidRDefault="004E7725" w:rsidP="004E7725">
      <w:pPr>
        <w:jc w:val="right"/>
        <w:rPr>
          <w:rFonts w:ascii="Times New Roman" w:hAnsi="Times New Roman"/>
          <w:b/>
          <w:sz w:val="24"/>
          <w:szCs w:val="24"/>
        </w:rPr>
      </w:pPr>
      <w:r w:rsidRPr="00E5470E">
        <w:rPr>
          <w:rFonts w:ascii="Times New Roman" w:hAnsi="Times New Roman"/>
          <w:b/>
          <w:sz w:val="24"/>
          <w:szCs w:val="24"/>
        </w:rPr>
        <w:t>Tallahassee, FL 32399</w:t>
      </w:r>
    </w:p>
    <w:p w14:paraId="73CFD902" w14:textId="6DE73050" w:rsidR="0045247B" w:rsidRDefault="00996EC3" w:rsidP="00996EC3">
      <w:pPr>
        <w:jc w:val="right"/>
        <w:sectPr w:rsidR="0045247B" w:rsidSect="00276B08">
          <w:pgSz w:w="12240" w:h="15840" w:code="1"/>
          <w:pgMar w:top="1440" w:right="1440" w:bottom="1440" w:left="1440" w:header="720" w:footer="720" w:gutter="0"/>
          <w:cols w:space="720"/>
          <w:docGrid w:linePitch="360"/>
        </w:sectPr>
      </w:pPr>
      <w:r w:rsidRPr="00996EC3">
        <w:rPr>
          <w:rFonts w:ascii="Times New Roman" w:hAnsi="Times New Roman"/>
          <w:b/>
          <w:sz w:val="24"/>
          <w:szCs w:val="24"/>
        </w:rPr>
        <w:t>floridadep.gov</w:t>
      </w:r>
    </w:p>
    <w:p w14:paraId="114C3A91" w14:textId="6153B2C2" w:rsidR="00CF698B" w:rsidRPr="00D863C8" w:rsidRDefault="00CF698B" w:rsidP="003412FE">
      <w:pPr>
        <w:pStyle w:val="Heading1"/>
        <w:numPr>
          <w:ilvl w:val="0"/>
          <w:numId w:val="0"/>
        </w:numPr>
        <w:spacing w:before="0"/>
        <w:rPr>
          <w:sz w:val="24"/>
          <w:szCs w:val="24"/>
        </w:rPr>
      </w:pPr>
      <w:bookmarkStart w:id="1" w:name="_Toc475022055"/>
      <w:bookmarkStart w:id="2" w:name="_Toc514677643"/>
      <w:r w:rsidRPr="00D863C8">
        <w:lastRenderedPageBreak/>
        <w:t>Acknowledgments</w:t>
      </w:r>
      <w:bookmarkEnd w:id="1"/>
      <w:bookmarkEnd w:id="2"/>
    </w:p>
    <w:p w14:paraId="73E02BA2" w14:textId="70350E6A" w:rsidR="00EA6398" w:rsidRPr="00EA6398" w:rsidRDefault="00EA6398" w:rsidP="00EA6398">
      <w:pPr>
        <w:pStyle w:val="BodyText"/>
      </w:pPr>
      <w:r w:rsidRPr="00EA6398">
        <w:t>The Florida Department of Environmental Protection adopted the</w:t>
      </w:r>
      <w:r w:rsidRPr="00EA6398">
        <w:rPr>
          <w:i/>
        </w:rPr>
        <w:t xml:space="preserve"> </w:t>
      </w:r>
      <w:r w:rsidR="000B5C89">
        <w:rPr>
          <w:i/>
        </w:rPr>
        <w:t>Jackson Blue</w:t>
      </w:r>
      <w:r w:rsidRPr="00EA6398">
        <w:rPr>
          <w:i/>
        </w:rPr>
        <w:t xml:space="preserve"> Basin Management Action Plan </w:t>
      </w:r>
      <w:r w:rsidRPr="00EA6398">
        <w:t>by Secretarial Order as part of its statewide watershed management approach to restore and protect Florida</w:t>
      </w:r>
      <w:r w:rsidR="004C547B">
        <w:t>'</w:t>
      </w:r>
      <w:r w:rsidRPr="00EA6398">
        <w:t>s water quality. The plan was developed in coordination with stakeholders, identified below, with participation from affected local, regional, and state governmental interests; elected officials and citizens; and private interests.</w:t>
      </w:r>
    </w:p>
    <w:p w14:paraId="79F6CAC7" w14:textId="07927C5C" w:rsidR="00EA6398" w:rsidRPr="00EA6398" w:rsidRDefault="00EA6398" w:rsidP="00EA6398">
      <w:pPr>
        <w:pStyle w:val="BodyText"/>
        <w:spacing w:after="0"/>
        <w:rPr>
          <w:b/>
        </w:rPr>
      </w:pPr>
      <w:r w:rsidRPr="00EA6398">
        <w:rPr>
          <w:b/>
        </w:rPr>
        <w:t>Florida Department of Environmental Protection</w:t>
      </w:r>
    </w:p>
    <w:p w14:paraId="34B98829" w14:textId="0BCE27E9" w:rsidR="00FF6C40" w:rsidRPr="009D6B31" w:rsidRDefault="00EA6398" w:rsidP="00EA6398">
      <w:pPr>
        <w:pStyle w:val="BodyText"/>
        <w:rPr>
          <w:szCs w:val="24"/>
        </w:rPr>
      </w:pPr>
      <w:r w:rsidRPr="00EA6398">
        <w:t>Noah Valenstein, Secretary</w:t>
      </w:r>
    </w:p>
    <w:p w14:paraId="4CA95713" w14:textId="74A98A93" w:rsidR="00421E5A" w:rsidRDefault="00E32126" w:rsidP="00CA3154">
      <w:pPr>
        <w:pStyle w:val="Table"/>
      </w:pPr>
      <w:bookmarkStart w:id="3" w:name="_Ref488220829"/>
      <w:bookmarkStart w:id="4" w:name="_Toc511135110"/>
      <w:bookmarkStart w:id="5" w:name="_Toc511135138"/>
      <w:bookmarkStart w:id="6" w:name="_Toc514430940"/>
      <w:r>
        <w:t>Table A-</w:t>
      </w:r>
      <w:fldSimple w:instr=" SEQ Table_A- \* ARABIC ">
        <w:r w:rsidR="002A2E30">
          <w:rPr>
            <w:noProof/>
          </w:rPr>
          <w:t>1</w:t>
        </w:r>
      </w:fldSimple>
      <w:bookmarkEnd w:id="3"/>
      <w:r>
        <w:t xml:space="preserve">. </w:t>
      </w:r>
      <w:r w:rsidR="000B5C89">
        <w:t>Jackson Blue</w:t>
      </w:r>
      <w:r w:rsidR="00EA6398">
        <w:t xml:space="preserve"> Basin stakeholders</w:t>
      </w:r>
      <w:bookmarkEnd w:id="4"/>
      <w:bookmarkEnd w:id="5"/>
      <w:bookmarkEnd w:id="6"/>
    </w:p>
    <w:tbl>
      <w:tblPr>
        <w:tblStyle w:val="TableGrid"/>
        <w:tblW w:w="0" w:type="auto"/>
        <w:jc w:val="center"/>
        <w:tblLook w:val="04A0" w:firstRow="1" w:lastRow="0" w:firstColumn="1" w:lastColumn="0" w:noHBand="0" w:noVBand="1"/>
      </w:tblPr>
      <w:tblGrid>
        <w:gridCol w:w="3600"/>
        <w:gridCol w:w="5616"/>
      </w:tblGrid>
      <w:tr w:rsidR="00024F62" w:rsidRPr="00024F62" w14:paraId="3B03A62C" w14:textId="77777777" w:rsidTr="00D041EA">
        <w:trPr>
          <w:trHeight w:val="288"/>
          <w:tblHeader/>
          <w:jc w:val="center"/>
        </w:trPr>
        <w:tc>
          <w:tcPr>
            <w:tcW w:w="3600" w:type="dxa"/>
            <w:shd w:val="clear" w:color="auto" w:fill="DEEAF6" w:themeFill="accent1" w:themeFillTint="33"/>
            <w:vAlign w:val="center"/>
          </w:tcPr>
          <w:p w14:paraId="0B21818E" w14:textId="7EEC17E8" w:rsidR="00024F62" w:rsidRPr="00024F62" w:rsidRDefault="00024F62" w:rsidP="00024F62">
            <w:pPr>
              <w:pStyle w:val="BodyText"/>
              <w:spacing w:after="0" w:line="240" w:lineRule="auto"/>
              <w:jc w:val="center"/>
              <w:rPr>
                <w:sz w:val="20"/>
              </w:rPr>
            </w:pPr>
            <w:r>
              <w:rPr>
                <w:b/>
                <w:sz w:val="20"/>
              </w:rPr>
              <w:t>Type of Entity</w:t>
            </w:r>
          </w:p>
        </w:tc>
        <w:tc>
          <w:tcPr>
            <w:tcW w:w="5616" w:type="dxa"/>
            <w:shd w:val="clear" w:color="auto" w:fill="DEEAF6" w:themeFill="accent1" w:themeFillTint="33"/>
            <w:vAlign w:val="center"/>
          </w:tcPr>
          <w:p w14:paraId="1F73DD75" w14:textId="425E118C" w:rsidR="00024F62" w:rsidRPr="00024F62" w:rsidRDefault="00024F62" w:rsidP="00024F62">
            <w:pPr>
              <w:pStyle w:val="BodyText"/>
              <w:spacing w:after="0" w:line="240" w:lineRule="auto"/>
              <w:jc w:val="center"/>
              <w:rPr>
                <w:sz w:val="20"/>
              </w:rPr>
            </w:pPr>
            <w:r w:rsidRPr="003E7E44">
              <w:rPr>
                <w:b/>
                <w:sz w:val="20"/>
              </w:rPr>
              <w:t>Name</w:t>
            </w:r>
          </w:p>
        </w:tc>
      </w:tr>
      <w:tr w:rsidR="00024F62" w:rsidRPr="00024F62" w14:paraId="5112B654" w14:textId="77777777" w:rsidTr="00D041EA">
        <w:trPr>
          <w:jc w:val="center"/>
        </w:trPr>
        <w:tc>
          <w:tcPr>
            <w:tcW w:w="3600" w:type="dxa"/>
            <w:vAlign w:val="center"/>
          </w:tcPr>
          <w:p w14:paraId="160AC991" w14:textId="3FF63337" w:rsidR="00024F62" w:rsidRPr="00024F62" w:rsidRDefault="00024F62" w:rsidP="00024F62">
            <w:pPr>
              <w:pStyle w:val="BodyText"/>
              <w:spacing w:after="0" w:line="240" w:lineRule="auto"/>
              <w:jc w:val="center"/>
              <w:rPr>
                <w:sz w:val="20"/>
              </w:rPr>
            </w:pPr>
            <w:r w:rsidRPr="00C9763A">
              <w:rPr>
                <w:b/>
                <w:sz w:val="20"/>
              </w:rPr>
              <w:t>Responsible Stakeholders</w:t>
            </w:r>
          </w:p>
        </w:tc>
        <w:tc>
          <w:tcPr>
            <w:tcW w:w="5616" w:type="dxa"/>
            <w:vAlign w:val="center"/>
          </w:tcPr>
          <w:p w14:paraId="11832109" w14:textId="7147DCDE" w:rsidR="00024F62" w:rsidRDefault="00024F62" w:rsidP="00024F62">
            <w:pPr>
              <w:jc w:val="center"/>
              <w:rPr>
                <w:rFonts w:ascii="Times New Roman" w:hAnsi="Times New Roman"/>
                <w:sz w:val="20"/>
              </w:rPr>
            </w:pPr>
            <w:r w:rsidRPr="00EA6398">
              <w:rPr>
                <w:rFonts w:ascii="Times New Roman" w:hAnsi="Times New Roman"/>
                <w:sz w:val="20"/>
              </w:rPr>
              <w:t>Agricultural producers</w:t>
            </w:r>
          </w:p>
          <w:p w14:paraId="6CF11FB1" w14:textId="33349008" w:rsidR="000B5C89" w:rsidRDefault="000B5C89" w:rsidP="00024F62">
            <w:pPr>
              <w:jc w:val="center"/>
              <w:rPr>
                <w:rFonts w:ascii="Times New Roman" w:hAnsi="Times New Roman"/>
                <w:sz w:val="20"/>
              </w:rPr>
            </w:pPr>
            <w:r>
              <w:rPr>
                <w:rFonts w:ascii="Times New Roman" w:hAnsi="Times New Roman"/>
                <w:sz w:val="20"/>
              </w:rPr>
              <w:t>Jackson County</w:t>
            </w:r>
          </w:p>
          <w:p w14:paraId="02864A78" w14:textId="484D3B39" w:rsidR="000B5C89" w:rsidRDefault="000B5C89" w:rsidP="00024F62">
            <w:pPr>
              <w:jc w:val="center"/>
              <w:rPr>
                <w:rFonts w:ascii="Times New Roman" w:hAnsi="Times New Roman"/>
                <w:sz w:val="20"/>
              </w:rPr>
            </w:pPr>
            <w:r>
              <w:rPr>
                <w:rFonts w:ascii="Times New Roman" w:hAnsi="Times New Roman"/>
                <w:sz w:val="20"/>
              </w:rPr>
              <w:t>Town of Malone</w:t>
            </w:r>
          </w:p>
          <w:p w14:paraId="36E38283" w14:textId="701B3E9E" w:rsidR="00024F62" w:rsidRPr="00024F62" w:rsidRDefault="000B5C89" w:rsidP="000B5C89">
            <w:pPr>
              <w:jc w:val="center"/>
              <w:rPr>
                <w:sz w:val="20"/>
              </w:rPr>
            </w:pPr>
            <w:r>
              <w:rPr>
                <w:rFonts w:ascii="Times New Roman" w:hAnsi="Times New Roman"/>
                <w:sz w:val="20"/>
              </w:rPr>
              <w:t>Town of Bascom</w:t>
            </w:r>
          </w:p>
        </w:tc>
      </w:tr>
      <w:tr w:rsidR="00024F62" w:rsidRPr="00024F62" w14:paraId="6286792E" w14:textId="77777777" w:rsidTr="00D041EA">
        <w:trPr>
          <w:jc w:val="center"/>
        </w:trPr>
        <w:tc>
          <w:tcPr>
            <w:tcW w:w="3600" w:type="dxa"/>
            <w:vAlign w:val="center"/>
          </w:tcPr>
          <w:p w14:paraId="55E98D14" w14:textId="6317892A" w:rsidR="00024F62" w:rsidRPr="00024F62" w:rsidRDefault="00024F62" w:rsidP="00024F62">
            <w:pPr>
              <w:pStyle w:val="BodyText"/>
              <w:spacing w:after="0" w:line="240" w:lineRule="auto"/>
              <w:jc w:val="center"/>
              <w:rPr>
                <w:sz w:val="20"/>
              </w:rPr>
            </w:pPr>
            <w:r w:rsidRPr="00C9763A">
              <w:rPr>
                <w:b/>
                <w:sz w:val="20"/>
              </w:rPr>
              <w:t>Responsible Agencies</w:t>
            </w:r>
          </w:p>
        </w:tc>
        <w:tc>
          <w:tcPr>
            <w:tcW w:w="5616" w:type="dxa"/>
            <w:vAlign w:val="center"/>
          </w:tcPr>
          <w:p w14:paraId="324B28C0" w14:textId="77777777" w:rsidR="00024F62" w:rsidRPr="00EA6398" w:rsidRDefault="00024F62" w:rsidP="00024F62">
            <w:pPr>
              <w:jc w:val="center"/>
              <w:rPr>
                <w:rFonts w:ascii="Times New Roman" w:hAnsi="Times New Roman"/>
              </w:rPr>
            </w:pPr>
            <w:r w:rsidRPr="00EA6398">
              <w:rPr>
                <w:rFonts w:ascii="Times New Roman" w:hAnsi="Times New Roman"/>
                <w:sz w:val="20"/>
              </w:rPr>
              <w:t>Florida Department of Agriculture and Consumer Services</w:t>
            </w:r>
          </w:p>
          <w:p w14:paraId="08672917" w14:textId="77777777" w:rsidR="00024F62" w:rsidRPr="00EA6398" w:rsidRDefault="00024F62" w:rsidP="00024F62">
            <w:pPr>
              <w:jc w:val="center"/>
              <w:rPr>
                <w:rFonts w:ascii="Times New Roman" w:hAnsi="Times New Roman"/>
              </w:rPr>
            </w:pPr>
            <w:r w:rsidRPr="00EA6398">
              <w:rPr>
                <w:rFonts w:ascii="Times New Roman" w:hAnsi="Times New Roman"/>
                <w:sz w:val="20"/>
              </w:rPr>
              <w:t>Florida Department of Environmental Protection</w:t>
            </w:r>
          </w:p>
          <w:p w14:paraId="78A01AF0"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Department of Health</w:t>
            </w:r>
          </w:p>
          <w:p w14:paraId="5238C71E" w14:textId="77777777" w:rsidR="00024F62" w:rsidRDefault="00024F62" w:rsidP="00024F62">
            <w:pPr>
              <w:jc w:val="center"/>
              <w:rPr>
                <w:rFonts w:ascii="Times New Roman" w:hAnsi="Times New Roman"/>
                <w:sz w:val="20"/>
              </w:rPr>
            </w:pPr>
            <w:r w:rsidRPr="00EA6398">
              <w:rPr>
                <w:rFonts w:ascii="Times New Roman" w:hAnsi="Times New Roman"/>
                <w:sz w:val="20"/>
              </w:rPr>
              <w:t>Florida Fish and Wildlife Conservation Commission</w:t>
            </w:r>
          </w:p>
          <w:p w14:paraId="7BD62CED" w14:textId="1760A0A6" w:rsidR="000B5C89" w:rsidRPr="00024F62" w:rsidRDefault="000B5C89" w:rsidP="00024F62">
            <w:pPr>
              <w:jc w:val="center"/>
              <w:rPr>
                <w:sz w:val="20"/>
              </w:rPr>
            </w:pPr>
            <w:r>
              <w:rPr>
                <w:rFonts w:ascii="Times New Roman" w:hAnsi="Times New Roman"/>
                <w:sz w:val="20"/>
              </w:rPr>
              <w:t>Northwest Florida Water Management District</w:t>
            </w:r>
          </w:p>
        </w:tc>
      </w:tr>
      <w:tr w:rsidR="00024F62" w:rsidRPr="00024F62" w14:paraId="792F21D7" w14:textId="77777777" w:rsidTr="00D041EA">
        <w:trPr>
          <w:jc w:val="center"/>
        </w:trPr>
        <w:tc>
          <w:tcPr>
            <w:tcW w:w="3600" w:type="dxa"/>
            <w:vAlign w:val="center"/>
          </w:tcPr>
          <w:p w14:paraId="5BE3C7EE" w14:textId="18F5F557" w:rsidR="00024F62" w:rsidRPr="00024F62" w:rsidRDefault="00024F62" w:rsidP="00024F62">
            <w:pPr>
              <w:pStyle w:val="BodyText"/>
              <w:spacing w:after="0" w:line="240" w:lineRule="auto"/>
              <w:jc w:val="center"/>
              <w:rPr>
                <w:sz w:val="20"/>
              </w:rPr>
            </w:pPr>
            <w:r w:rsidRPr="00C9763A">
              <w:rPr>
                <w:b/>
                <w:sz w:val="20"/>
              </w:rPr>
              <w:t>Other Interested Stakeholders</w:t>
            </w:r>
          </w:p>
        </w:tc>
        <w:tc>
          <w:tcPr>
            <w:tcW w:w="5616" w:type="dxa"/>
            <w:vAlign w:val="center"/>
          </w:tcPr>
          <w:p w14:paraId="793E05BE"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Citizens</w:t>
            </w:r>
          </w:p>
          <w:p w14:paraId="57EF7FD9"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Farm Bureau Federation</w:t>
            </w:r>
          </w:p>
          <w:p w14:paraId="1A0887E5"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Onsite Wastewater Association</w:t>
            </w:r>
          </w:p>
          <w:p w14:paraId="54520A6C" w14:textId="77777777" w:rsidR="00024F62" w:rsidRPr="00EA6398" w:rsidRDefault="00024F62" w:rsidP="00024F62">
            <w:pPr>
              <w:jc w:val="center"/>
              <w:rPr>
                <w:rFonts w:ascii="Times New Roman" w:hAnsi="Times New Roman"/>
              </w:rPr>
            </w:pPr>
            <w:r w:rsidRPr="00EA6398">
              <w:rPr>
                <w:rFonts w:ascii="Times New Roman" w:hAnsi="Times New Roman"/>
                <w:sz w:val="20"/>
              </w:rPr>
              <w:t>Florida Springs Council</w:t>
            </w:r>
          </w:p>
          <w:p w14:paraId="6A66ADD8" w14:textId="77777777" w:rsidR="00024F62" w:rsidRPr="00EA6398" w:rsidRDefault="00024F62" w:rsidP="00024F62">
            <w:pPr>
              <w:jc w:val="center"/>
              <w:rPr>
                <w:rFonts w:ascii="Times New Roman" w:hAnsi="Times New Roman"/>
                <w:sz w:val="20"/>
              </w:rPr>
            </w:pPr>
            <w:r w:rsidRPr="00EA6398">
              <w:rPr>
                <w:rFonts w:ascii="Times New Roman" w:hAnsi="Times New Roman"/>
                <w:sz w:val="20"/>
              </w:rPr>
              <w:t>Florida Springs Institute</w:t>
            </w:r>
          </w:p>
          <w:p w14:paraId="002824CB" w14:textId="64B1F447" w:rsidR="00024F62" w:rsidRPr="00EA6398" w:rsidRDefault="000B5C89" w:rsidP="00024F62">
            <w:pPr>
              <w:jc w:val="center"/>
              <w:rPr>
                <w:rFonts w:ascii="Times New Roman" w:hAnsi="Times New Roman"/>
                <w:sz w:val="20"/>
              </w:rPr>
            </w:pPr>
            <w:r>
              <w:rPr>
                <w:rFonts w:ascii="Times New Roman" w:hAnsi="Times New Roman"/>
                <w:sz w:val="20"/>
              </w:rPr>
              <w:t>Jackson</w:t>
            </w:r>
            <w:r w:rsidR="00024F62" w:rsidRPr="00EA6398">
              <w:rPr>
                <w:rFonts w:ascii="Times New Roman" w:hAnsi="Times New Roman"/>
                <w:sz w:val="20"/>
              </w:rPr>
              <w:t xml:space="preserve"> County Soil and Water Conservation District</w:t>
            </w:r>
          </w:p>
          <w:p w14:paraId="4C79D6B8" w14:textId="7619CD3F" w:rsidR="00024F62" w:rsidRPr="00024F62" w:rsidRDefault="00024F62" w:rsidP="00024F62">
            <w:pPr>
              <w:pStyle w:val="BodyText"/>
              <w:spacing w:after="0" w:line="240" w:lineRule="auto"/>
              <w:jc w:val="center"/>
              <w:rPr>
                <w:sz w:val="20"/>
              </w:rPr>
            </w:pPr>
            <w:r w:rsidRPr="00EA6398">
              <w:rPr>
                <w:sz w:val="20"/>
              </w:rPr>
              <w:t>University of Florida Institute of Food and Agricultural Sciences</w:t>
            </w:r>
          </w:p>
        </w:tc>
      </w:tr>
    </w:tbl>
    <w:p w14:paraId="6F86CE69" w14:textId="7AE8A8BE" w:rsidR="00002D8F" w:rsidRDefault="00002D8F">
      <w:pPr>
        <w:jc w:val="left"/>
        <w:rPr>
          <w:rFonts w:ascii="Times New Roman" w:hAnsi="Times New Roman"/>
          <w:sz w:val="24"/>
        </w:rPr>
      </w:pPr>
    </w:p>
    <w:p w14:paraId="22F82003" w14:textId="32B7A573" w:rsidR="00EA6398" w:rsidRDefault="00EA6398" w:rsidP="00EA6398">
      <w:pPr>
        <w:pStyle w:val="BodyText"/>
      </w:pPr>
      <w:r w:rsidRPr="005A4E57">
        <w:rPr>
          <w:b/>
        </w:rPr>
        <w:t>Appendix A</w:t>
      </w:r>
      <w:r>
        <w:t xml:space="preserve"> </w:t>
      </w:r>
      <w:r w:rsidR="00002D8F">
        <w:t xml:space="preserve">contains </w:t>
      </w:r>
      <w:r>
        <w:t xml:space="preserve">links to important sources referenced in this document. </w:t>
      </w:r>
      <w:r w:rsidRPr="0047291A">
        <w:t xml:space="preserve">For additional information on </w:t>
      </w:r>
      <w:r w:rsidR="00774388">
        <w:t>the watershed management approach</w:t>
      </w:r>
      <w:r w:rsidRPr="0047291A">
        <w:t xml:space="preserve"> </w:t>
      </w:r>
      <w:r>
        <w:t>for</w:t>
      </w:r>
      <w:r w:rsidRPr="0047291A">
        <w:t xml:space="preserve"> </w:t>
      </w:r>
      <w:r>
        <w:t xml:space="preserve">the </w:t>
      </w:r>
      <w:r w:rsidR="000B5C89">
        <w:t>Jackson Blue Spring Basin</w:t>
      </w:r>
      <w:r w:rsidRPr="0047291A">
        <w:t>, contact:</w:t>
      </w:r>
    </w:p>
    <w:p w14:paraId="23F0CB23" w14:textId="360B1C24" w:rsidR="00EA6398" w:rsidRDefault="00EA6398" w:rsidP="006242C1">
      <w:pPr>
        <w:pStyle w:val="BodyText"/>
        <w:spacing w:after="0"/>
        <w:rPr>
          <w:snapToGrid w:val="0"/>
          <w:szCs w:val="24"/>
        </w:rPr>
      </w:pPr>
      <w:r>
        <w:rPr>
          <w:snapToGrid w:val="0"/>
          <w:szCs w:val="24"/>
        </w:rPr>
        <w:t>Terry Hansen, P.G.</w:t>
      </w:r>
      <w:r w:rsidRPr="0047291A">
        <w:rPr>
          <w:snapToGrid w:val="0"/>
          <w:szCs w:val="24"/>
        </w:rPr>
        <w:t xml:space="preserve">, </w:t>
      </w:r>
      <w:r w:rsidR="00F60125">
        <w:rPr>
          <w:snapToGrid w:val="0"/>
          <w:szCs w:val="24"/>
        </w:rPr>
        <w:t>FCCM</w:t>
      </w:r>
    </w:p>
    <w:p w14:paraId="0D67F5BA" w14:textId="77777777" w:rsidR="006242C1" w:rsidRDefault="00F60125" w:rsidP="006242C1">
      <w:pPr>
        <w:pStyle w:val="BodyText"/>
        <w:spacing w:after="0"/>
      </w:pPr>
      <w:r w:rsidRPr="00F60125">
        <w:t>Professional Geologist Administrator</w:t>
      </w:r>
    </w:p>
    <w:p w14:paraId="67ADD275" w14:textId="2E7303DD" w:rsidR="00EA6398" w:rsidRDefault="00EA6398" w:rsidP="006242C1">
      <w:pPr>
        <w:pStyle w:val="BodyText"/>
        <w:spacing w:after="0"/>
        <w:rPr>
          <w:snapToGrid w:val="0"/>
          <w:color w:val="000000"/>
          <w:szCs w:val="24"/>
        </w:rPr>
      </w:pPr>
      <w:r w:rsidRPr="0047291A">
        <w:rPr>
          <w:snapToGrid w:val="0"/>
          <w:color w:val="000000"/>
          <w:szCs w:val="24"/>
        </w:rPr>
        <w:t>Florida Department of Environmental Protection</w:t>
      </w:r>
    </w:p>
    <w:p w14:paraId="126FBD0E" w14:textId="77777777" w:rsidR="00EA6398" w:rsidRDefault="00EA6398" w:rsidP="006242C1">
      <w:pPr>
        <w:pStyle w:val="BodyText"/>
        <w:spacing w:after="0"/>
        <w:rPr>
          <w:snapToGrid w:val="0"/>
          <w:color w:val="000000"/>
          <w:szCs w:val="24"/>
        </w:rPr>
      </w:pPr>
      <w:r>
        <w:rPr>
          <w:snapToGrid w:val="0"/>
          <w:color w:val="000000"/>
          <w:szCs w:val="24"/>
        </w:rPr>
        <w:t>Water Quality</w:t>
      </w:r>
      <w:r w:rsidRPr="0047291A">
        <w:rPr>
          <w:snapToGrid w:val="0"/>
          <w:color w:val="000000"/>
          <w:szCs w:val="24"/>
        </w:rPr>
        <w:t xml:space="preserve"> Restoration</w:t>
      </w:r>
      <w:r>
        <w:rPr>
          <w:snapToGrid w:val="0"/>
          <w:color w:val="000000"/>
          <w:szCs w:val="24"/>
        </w:rPr>
        <w:t xml:space="preserve"> Program</w:t>
      </w:r>
      <w:r w:rsidRPr="0047291A">
        <w:rPr>
          <w:snapToGrid w:val="0"/>
          <w:color w:val="000000"/>
          <w:szCs w:val="24"/>
        </w:rPr>
        <w:t>, Watershed Planning and Coordination Section</w:t>
      </w:r>
    </w:p>
    <w:p w14:paraId="63B480CD" w14:textId="77777777" w:rsidR="00EA6398" w:rsidRDefault="00EA6398" w:rsidP="006242C1">
      <w:pPr>
        <w:pStyle w:val="BodyText"/>
        <w:spacing w:after="0"/>
        <w:rPr>
          <w:snapToGrid w:val="0"/>
          <w:color w:val="000000"/>
          <w:szCs w:val="24"/>
        </w:rPr>
      </w:pPr>
      <w:r w:rsidRPr="0047291A">
        <w:rPr>
          <w:snapToGrid w:val="0"/>
          <w:color w:val="000000"/>
          <w:szCs w:val="24"/>
        </w:rPr>
        <w:t>2600 Blair Stone Road, Mail Station 3565</w:t>
      </w:r>
    </w:p>
    <w:p w14:paraId="1EBE1396" w14:textId="77777777" w:rsidR="00EA6398" w:rsidRDefault="00EA6398" w:rsidP="006242C1">
      <w:pPr>
        <w:pStyle w:val="BodyText"/>
        <w:spacing w:after="0"/>
        <w:rPr>
          <w:snapToGrid w:val="0"/>
          <w:color w:val="000000"/>
          <w:szCs w:val="24"/>
        </w:rPr>
      </w:pPr>
      <w:r w:rsidRPr="0047291A">
        <w:rPr>
          <w:snapToGrid w:val="0"/>
          <w:color w:val="000000"/>
          <w:szCs w:val="24"/>
        </w:rPr>
        <w:t>Tallahassee, FL 32399-2400</w:t>
      </w:r>
    </w:p>
    <w:p w14:paraId="7D023688" w14:textId="53A87BE9" w:rsidR="00EA6398" w:rsidRDefault="00EA6398" w:rsidP="006242C1">
      <w:pPr>
        <w:pStyle w:val="BodyText"/>
        <w:spacing w:after="0"/>
        <w:rPr>
          <w:snapToGrid w:val="0"/>
          <w:szCs w:val="24"/>
        </w:rPr>
      </w:pPr>
      <w:r w:rsidRPr="0047291A">
        <w:rPr>
          <w:snapToGrid w:val="0"/>
          <w:szCs w:val="24"/>
        </w:rPr>
        <w:t xml:space="preserve">Email: </w:t>
      </w:r>
      <w:r w:rsidRPr="00EA6398">
        <w:rPr>
          <w:snapToGrid w:val="0"/>
          <w:szCs w:val="24"/>
        </w:rPr>
        <w:t>terry.hansen@dep.state.fl.us</w:t>
      </w:r>
    </w:p>
    <w:p w14:paraId="58F305D4" w14:textId="77777777" w:rsidR="00EA6398" w:rsidRDefault="00EA6398" w:rsidP="006242C1">
      <w:pPr>
        <w:pStyle w:val="BodyText"/>
        <w:spacing w:after="0"/>
        <w:rPr>
          <w:snapToGrid w:val="0"/>
          <w:szCs w:val="24"/>
        </w:rPr>
      </w:pPr>
      <w:r w:rsidRPr="0047291A">
        <w:rPr>
          <w:snapToGrid w:val="0"/>
          <w:szCs w:val="24"/>
        </w:rPr>
        <w:t>Phone: (850) 245–</w:t>
      </w:r>
      <w:r>
        <w:rPr>
          <w:snapToGrid w:val="0"/>
          <w:szCs w:val="24"/>
        </w:rPr>
        <w:t>8561</w:t>
      </w:r>
    </w:p>
    <w:p w14:paraId="1BE8B4C1" w14:textId="77777777" w:rsidR="0034635A" w:rsidRPr="001B7DAC" w:rsidRDefault="00CF698B" w:rsidP="00CC78A0">
      <w:pPr>
        <w:pStyle w:val="Heading1A0"/>
      </w:pPr>
      <w:r w:rsidRPr="009D6B31">
        <w:br w:type="page"/>
      </w:r>
      <w:bookmarkStart w:id="7" w:name="_Toc475022056"/>
      <w:bookmarkStart w:id="8" w:name="_Toc475022109"/>
      <w:bookmarkStart w:id="9" w:name="_Toc475086457"/>
      <w:bookmarkStart w:id="10" w:name="_Toc488245222"/>
      <w:bookmarkStart w:id="11" w:name="_Toc514677644"/>
      <w:r w:rsidR="0034635A" w:rsidRPr="001B7DAC">
        <w:lastRenderedPageBreak/>
        <w:t>Table of Contents</w:t>
      </w:r>
      <w:bookmarkEnd w:id="7"/>
      <w:bookmarkEnd w:id="8"/>
      <w:bookmarkEnd w:id="9"/>
      <w:bookmarkEnd w:id="10"/>
      <w:bookmarkEnd w:id="11"/>
    </w:p>
    <w:p w14:paraId="644D69D9" w14:textId="77777777" w:rsidR="00120E09" w:rsidRDefault="009D0762">
      <w:pPr>
        <w:pStyle w:val="TOC1"/>
        <w:rPr>
          <w:rFonts w:asciiTheme="minorHAnsi" w:eastAsiaTheme="minorEastAsia" w:hAnsiTheme="minorHAnsi" w:cstheme="minorBidi"/>
          <w:b w:val="0"/>
          <w:sz w:val="22"/>
          <w:szCs w:val="22"/>
        </w:rPr>
      </w:pPr>
      <w:r>
        <w:rPr>
          <w:smallCaps/>
          <w:szCs w:val="22"/>
        </w:rPr>
        <w:fldChar w:fldCharType="begin"/>
      </w:r>
      <w:r>
        <w:rPr>
          <w:smallCaps/>
          <w:szCs w:val="22"/>
        </w:rPr>
        <w:instrText xml:space="preserve"> TOC \o "1-2" \h \z \u </w:instrText>
      </w:r>
      <w:r>
        <w:rPr>
          <w:smallCaps/>
          <w:szCs w:val="22"/>
        </w:rPr>
        <w:fldChar w:fldCharType="separate"/>
      </w:r>
      <w:hyperlink w:anchor="_Toc514677643" w:history="1">
        <w:r w:rsidR="00120E09" w:rsidRPr="00821D43">
          <w:rPr>
            <w:rStyle w:val="Hyperlink"/>
          </w:rPr>
          <w:t>Acknowledgments</w:t>
        </w:r>
        <w:r w:rsidR="00120E09">
          <w:rPr>
            <w:webHidden/>
          </w:rPr>
          <w:tab/>
        </w:r>
        <w:r w:rsidR="00120E09">
          <w:rPr>
            <w:webHidden/>
          </w:rPr>
          <w:fldChar w:fldCharType="begin"/>
        </w:r>
        <w:r w:rsidR="00120E09">
          <w:rPr>
            <w:webHidden/>
          </w:rPr>
          <w:instrText xml:space="preserve"> PAGEREF _Toc514677643 \h </w:instrText>
        </w:r>
        <w:r w:rsidR="00120E09">
          <w:rPr>
            <w:webHidden/>
          </w:rPr>
        </w:r>
        <w:r w:rsidR="00120E09">
          <w:rPr>
            <w:webHidden/>
          </w:rPr>
          <w:fldChar w:fldCharType="separate"/>
        </w:r>
        <w:r w:rsidR="00120E09">
          <w:rPr>
            <w:webHidden/>
          </w:rPr>
          <w:t>2</w:t>
        </w:r>
        <w:r w:rsidR="00120E09">
          <w:rPr>
            <w:webHidden/>
          </w:rPr>
          <w:fldChar w:fldCharType="end"/>
        </w:r>
      </w:hyperlink>
    </w:p>
    <w:p w14:paraId="08E28A7E" w14:textId="77777777" w:rsidR="00120E09" w:rsidRDefault="00055E1E">
      <w:pPr>
        <w:pStyle w:val="TOC1"/>
        <w:rPr>
          <w:rFonts w:asciiTheme="minorHAnsi" w:eastAsiaTheme="minorEastAsia" w:hAnsiTheme="minorHAnsi" w:cstheme="minorBidi"/>
          <w:b w:val="0"/>
          <w:sz w:val="22"/>
          <w:szCs w:val="22"/>
        </w:rPr>
      </w:pPr>
      <w:hyperlink w:anchor="_Toc514677644" w:history="1">
        <w:r w:rsidR="00120E09" w:rsidRPr="00821D43">
          <w:rPr>
            <w:rStyle w:val="Hyperlink"/>
          </w:rPr>
          <w:t>Table of Contents</w:t>
        </w:r>
        <w:r w:rsidR="00120E09">
          <w:rPr>
            <w:webHidden/>
          </w:rPr>
          <w:tab/>
        </w:r>
        <w:r w:rsidR="00120E09">
          <w:rPr>
            <w:webHidden/>
          </w:rPr>
          <w:fldChar w:fldCharType="begin"/>
        </w:r>
        <w:r w:rsidR="00120E09">
          <w:rPr>
            <w:webHidden/>
          </w:rPr>
          <w:instrText xml:space="preserve"> PAGEREF _Toc514677644 \h </w:instrText>
        </w:r>
        <w:r w:rsidR="00120E09">
          <w:rPr>
            <w:webHidden/>
          </w:rPr>
        </w:r>
        <w:r w:rsidR="00120E09">
          <w:rPr>
            <w:webHidden/>
          </w:rPr>
          <w:fldChar w:fldCharType="separate"/>
        </w:r>
        <w:r w:rsidR="00120E09">
          <w:rPr>
            <w:webHidden/>
          </w:rPr>
          <w:t>3</w:t>
        </w:r>
        <w:r w:rsidR="00120E09">
          <w:rPr>
            <w:webHidden/>
          </w:rPr>
          <w:fldChar w:fldCharType="end"/>
        </w:r>
      </w:hyperlink>
    </w:p>
    <w:p w14:paraId="75E7C362" w14:textId="77777777" w:rsidR="00120E09" w:rsidRDefault="00055E1E">
      <w:pPr>
        <w:pStyle w:val="TOC1"/>
        <w:rPr>
          <w:rFonts w:asciiTheme="minorHAnsi" w:eastAsiaTheme="minorEastAsia" w:hAnsiTheme="minorHAnsi" w:cstheme="minorBidi"/>
          <w:b w:val="0"/>
          <w:sz w:val="22"/>
          <w:szCs w:val="22"/>
        </w:rPr>
      </w:pPr>
      <w:hyperlink w:anchor="_Toc514677645" w:history="1">
        <w:r w:rsidR="00120E09" w:rsidRPr="00821D43">
          <w:rPr>
            <w:rStyle w:val="Hyperlink"/>
          </w:rPr>
          <w:t>List of Figures</w:t>
        </w:r>
        <w:r w:rsidR="00120E09">
          <w:rPr>
            <w:webHidden/>
          </w:rPr>
          <w:tab/>
        </w:r>
        <w:r w:rsidR="00120E09">
          <w:rPr>
            <w:webHidden/>
          </w:rPr>
          <w:fldChar w:fldCharType="begin"/>
        </w:r>
        <w:r w:rsidR="00120E09">
          <w:rPr>
            <w:webHidden/>
          </w:rPr>
          <w:instrText xml:space="preserve"> PAGEREF _Toc514677645 \h </w:instrText>
        </w:r>
        <w:r w:rsidR="00120E09">
          <w:rPr>
            <w:webHidden/>
          </w:rPr>
        </w:r>
        <w:r w:rsidR="00120E09">
          <w:rPr>
            <w:webHidden/>
          </w:rPr>
          <w:fldChar w:fldCharType="separate"/>
        </w:r>
        <w:r w:rsidR="00120E09">
          <w:rPr>
            <w:webHidden/>
          </w:rPr>
          <w:t>5</w:t>
        </w:r>
        <w:r w:rsidR="00120E09">
          <w:rPr>
            <w:webHidden/>
          </w:rPr>
          <w:fldChar w:fldCharType="end"/>
        </w:r>
      </w:hyperlink>
    </w:p>
    <w:p w14:paraId="573F8EF8" w14:textId="77777777" w:rsidR="00120E09" w:rsidRDefault="00055E1E">
      <w:pPr>
        <w:pStyle w:val="TOC1"/>
        <w:rPr>
          <w:rFonts w:asciiTheme="minorHAnsi" w:eastAsiaTheme="minorEastAsia" w:hAnsiTheme="minorHAnsi" w:cstheme="minorBidi"/>
          <w:b w:val="0"/>
          <w:sz w:val="22"/>
          <w:szCs w:val="22"/>
        </w:rPr>
      </w:pPr>
      <w:hyperlink w:anchor="_Toc514677646" w:history="1">
        <w:r w:rsidR="00120E09" w:rsidRPr="00821D43">
          <w:rPr>
            <w:rStyle w:val="Hyperlink"/>
          </w:rPr>
          <w:t>List of Tables</w:t>
        </w:r>
        <w:r w:rsidR="00120E09">
          <w:rPr>
            <w:webHidden/>
          </w:rPr>
          <w:tab/>
        </w:r>
        <w:r w:rsidR="00120E09">
          <w:rPr>
            <w:webHidden/>
          </w:rPr>
          <w:fldChar w:fldCharType="begin"/>
        </w:r>
        <w:r w:rsidR="00120E09">
          <w:rPr>
            <w:webHidden/>
          </w:rPr>
          <w:instrText xml:space="preserve"> PAGEREF _Toc514677646 \h </w:instrText>
        </w:r>
        <w:r w:rsidR="00120E09">
          <w:rPr>
            <w:webHidden/>
          </w:rPr>
        </w:r>
        <w:r w:rsidR="00120E09">
          <w:rPr>
            <w:webHidden/>
          </w:rPr>
          <w:fldChar w:fldCharType="separate"/>
        </w:r>
        <w:r w:rsidR="00120E09">
          <w:rPr>
            <w:webHidden/>
          </w:rPr>
          <w:t>6</w:t>
        </w:r>
        <w:r w:rsidR="00120E09">
          <w:rPr>
            <w:webHidden/>
          </w:rPr>
          <w:fldChar w:fldCharType="end"/>
        </w:r>
      </w:hyperlink>
    </w:p>
    <w:p w14:paraId="3C5CB069" w14:textId="77777777" w:rsidR="00120E09" w:rsidRDefault="00055E1E">
      <w:pPr>
        <w:pStyle w:val="TOC1"/>
        <w:rPr>
          <w:rFonts w:asciiTheme="minorHAnsi" w:eastAsiaTheme="minorEastAsia" w:hAnsiTheme="minorHAnsi" w:cstheme="minorBidi"/>
          <w:b w:val="0"/>
          <w:sz w:val="22"/>
          <w:szCs w:val="22"/>
        </w:rPr>
      </w:pPr>
      <w:hyperlink w:anchor="_Toc514677647" w:history="1">
        <w:r w:rsidR="00120E09" w:rsidRPr="00821D43">
          <w:rPr>
            <w:rStyle w:val="Hyperlink"/>
          </w:rPr>
          <w:t>List of Acronyms and Abbreviations</w:t>
        </w:r>
        <w:r w:rsidR="00120E09">
          <w:rPr>
            <w:webHidden/>
          </w:rPr>
          <w:tab/>
        </w:r>
        <w:r w:rsidR="00120E09">
          <w:rPr>
            <w:webHidden/>
          </w:rPr>
          <w:fldChar w:fldCharType="begin"/>
        </w:r>
        <w:r w:rsidR="00120E09">
          <w:rPr>
            <w:webHidden/>
          </w:rPr>
          <w:instrText xml:space="preserve"> PAGEREF _Toc514677647 \h </w:instrText>
        </w:r>
        <w:r w:rsidR="00120E09">
          <w:rPr>
            <w:webHidden/>
          </w:rPr>
        </w:r>
        <w:r w:rsidR="00120E09">
          <w:rPr>
            <w:webHidden/>
          </w:rPr>
          <w:fldChar w:fldCharType="separate"/>
        </w:r>
        <w:r w:rsidR="00120E09">
          <w:rPr>
            <w:webHidden/>
          </w:rPr>
          <w:t>7</w:t>
        </w:r>
        <w:r w:rsidR="00120E09">
          <w:rPr>
            <w:webHidden/>
          </w:rPr>
          <w:fldChar w:fldCharType="end"/>
        </w:r>
      </w:hyperlink>
    </w:p>
    <w:p w14:paraId="4AE890B3" w14:textId="77777777" w:rsidR="00120E09" w:rsidRDefault="00055E1E">
      <w:pPr>
        <w:pStyle w:val="TOC1"/>
        <w:rPr>
          <w:rFonts w:asciiTheme="minorHAnsi" w:eastAsiaTheme="minorEastAsia" w:hAnsiTheme="minorHAnsi" w:cstheme="minorBidi"/>
          <w:b w:val="0"/>
          <w:sz w:val="22"/>
          <w:szCs w:val="22"/>
        </w:rPr>
      </w:pPr>
      <w:hyperlink w:anchor="_Toc514677648" w:history="1">
        <w:r w:rsidR="00120E09" w:rsidRPr="00821D43">
          <w:rPr>
            <w:rStyle w:val="Hyperlink"/>
          </w:rPr>
          <w:t>Executive Summary</w:t>
        </w:r>
        <w:r w:rsidR="00120E09">
          <w:rPr>
            <w:webHidden/>
          </w:rPr>
          <w:tab/>
        </w:r>
        <w:r w:rsidR="00120E09">
          <w:rPr>
            <w:webHidden/>
          </w:rPr>
          <w:fldChar w:fldCharType="begin"/>
        </w:r>
        <w:r w:rsidR="00120E09">
          <w:rPr>
            <w:webHidden/>
          </w:rPr>
          <w:instrText xml:space="preserve"> PAGEREF _Toc514677648 \h </w:instrText>
        </w:r>
        <w:r w:rsidR="00120E09">
          <w:rPr>
            <w:webHidden/>
          </w:rPr>
        </w:r>
        <w:r w:rsidR="00120E09">
          <w:rPr>
            <w:webHidden/>
          </w:rPr>
          <w:fldChar w:fldCharType="separate"/>
        </w:r>
        <w:r w:rsidR="00120E09">
          <w:rPr>
            <w:webHidden/>
          </w:rPr>
          <w:t>9</w:t>
        </w:r>
        <w:r w:rsidR="00120E09">
          <w:rPr>
            <w:webHidden/>
          </w:rPr>
          <w:fldChar w:fldCharType="end"/>
        </w:r>
      </w:hyperlink>
    </w:p>
    <w:p w14:paraId="5703F3B9" w14:textId="77777777" w:rsidR="00120E09" w:rsidRDefault="00055E1E">
      <w:pPr>
        <w:pStyle w:val="TOC1"/>
        <w:rPr>
          <w:rFonts w:asciiTheme="minorHAnsi" w:eastAsiaTheme="minorEastAsia" w:hAnsiTheme="minorHAnsi" w:cstheme="minorBidi"/>
          <w:b w:val="0"/>
          <w:sz w:val="22"/>
          <w:szCs w:val="22"/>
        </w:rPr>
      </w:pPr>
      <w:hyperlink w:anchor="_Toc514677649" w:history="1">
        <w:r w:rsidR="00120E09" w:rsidRPr="00821D43">
          <w:rPr>
            <w:rStyle w:val="Hyperlink"/>
          </w:rPr>
          <w:t>Section 1 : Background</w:t>
        </w:r>
        <w:r w:rsidR="00120E09">
          <w:rPr>
            <w:webHidden/>
          </w:rPr>
          <w:tab/>
        </w:r>
        <w:r w:rsidR="00120E09">
          <w:rPr>
            <w:webHidden/>
          </w:rPr>
          <w:fldChar w:fldCharType="begin"/>
        </w:r>
        <w:r w:rsidR="00120E09">
          <w:rPr>
            <w:webHidden/>
          </w:rPr>
          <w:instrText xml:space="preserve"> PAGEREF _Toc514677649 \h </w:instrText>
        </w:r>
        <w:r w:rsidR="00120E09">
          <w:rPr>
            <w:webHidden/>
          </w:rPr>
        </w:r>
        <w:r w:rsidR="00120E09">
          <w:rPr>
            <w:webHidden/>
          </w:rPr>
          <w:fldChar w:fldCharType="separate"/>
        </w:r>
        <w:r w:rsidR="00120E09">
          <w:rPr>
            <w:webHidden/>
          </w:rPr>
          <w:t>13</w:t>
        </w:r>
        <w:r w:rsidR="00120E09">
          <w:rPr>
            <w:webHidden/>
          </w:rPr>
          <w:fldChar w:fldCharType="end"/>
        </w:r>
      </w:hyperlink>
    </w:p>
    <w:p w14:paraId="4DA9F219" w14:textId="77777777" w:rsidR="00120E09" w:rsidRDefault="00055E1E">
      <w:pPr>
        <w:pStyle w:val="TOC2"/>
        <w:rPr>
          <w:rFonts w:asciiTheme="minorHAnsi" w:eastAsiaTheme="minorEastAsia" w:hAnsiTheme="minorHAnsi" w:cstheme="minorBidi"/>
          <w:b w:val="0"/>
          <w:sz w:val="22"/>
          <w:szCs w:val="22"/>
        </w:rPr>
      </w:pPr>
      <w:hyperlink w:anchor="_Toc514677650" w:history="1">
        <w:r w:rsidR="00120E09" w:rsidRPr="00821D43">
          <w:rPr>
            <w:rStyle w:val="Hyperlink"/>
          </w:rPr>
          <w:t>1.1</w:t>
        </w:r>
        <w:r w:rsidR="00120E09">
          <w:rPr>
            <w:rFonts w:asciiTheme="minorHAnsi" w:eastAsiaTheme="minorEastAsia" w:hAnsiTheme="minorHAnsi" w:cstheme="minorBidi"/>
            <w:b w:val="0"/>
            <w:sz w:val="22"/>
            <w:szCs w:val="22"/>
          </w:rPr>
          <w:tab/>
        </w:r>
        <w:r w:rsidR="00120E09" w:rsidRPr="00821D43">
          <w:rPr>
            <w:rStyle w:val="Hyperlink"/>
          </w:rPr>
          <w:t>Legislation</w:t>
        </w:r>
        <w:r w:rsidR="00120E09">
          <w:rPr>
            <w:webHidden/>
          </w:rPr>
          <w:tab/>
        </w:r>
        <w:r w:rsidR="00120E09">
          <w:rPr>
            <w:webHidden/>
          </w:rPr>
          <w:fldChar w:fldCharType="begin"/>
        </w:r>
        <w:r w:rsidR="00120E09">
          <w:rPr>
            <w:webHidden/>
          </w:rPr>
          <w:instrText xml:space="preserve"> PAGEREF _Toc514677650 \h </w:instrText>
        </w:r>
        <w:r w:rsidR="00120E09">
          <w:rPr>
            <w:webHidden/>
          </w:rPr>
        </w:r>
        <w:r w:rsidR="00120E09">
          <w:rPr>
            <w:webHidden/>
          </w:rPr>
          <w:fldChar w:fldCharType="separate"/>
        </w:r>
        <w:r w:rsidR="00120E09">
          <w:rPr>
            <w:webHidden/>
          </w:rPr>
          <w:t>13</w:t>
        </w:r>
        <w:r w:rsidR="00120E09">
          <w:rPr>
            <w:webHidden/>
          </w:rPr>
          <w:fldChar w:fldCharType="end"/>
        </w:r>
      </w:hyperlink>
    </w:p>
    <w:p w14:paraId="0BB98685" w14:textId="77777777" w:rsidR="00120E09" w:rsidRDefault="00055E1E">
      <w:pPr>
        <w:pStyle w:val="TOC2"/>
        <w:rPr>
          <w:rFonts w:asciiTheme="minorHAnsi" w:eastAsiaTheme="minorEastAsia" w:hAnsiTheme="minorHAnsi" w:cstheme="minorBidi"/>
          <w:b w:val="0"/>
          <w:sz w:val="22"/>
          <w:szCs w:val="22"/>
        </w:rPr>
      </w:pPr>
      <w:hyperlink w:anchor="_Toc514677651" w:history="1">
        <w:r w:rsidR="00120E09" w:rsidRPr="00821D43">
          <w:rPr>
            <w:rStyle w:val="Hyperlink"/>
          </w:rPr>
          <w:t>1.2</w:t>
        </w:r>
        <w:r w:rsidR="00120E09">
          <w:rPr>
            <w:rFonts w:asciiTheme="minorHAnsi" w:eastAsiaTheme="minorEastAsia" w:hAnsiTheme="minorHAnsi" w:cstheme="minorBidi"/>
            <w:b w:val="0"/>
            <w:sz w:val="22"/>
            <w:szCs w:val="22"/>
          </w:rPr>
          <w:tab/>
        </w:r>
        <w:r w:rsidR="00120E09" w:rsidRPr="00821D43">
          <w:rPr>
            <w:rStyle w:val="Hyperlink"/>
          </w:rPr>
          <w:t>Water Quality Standards and Total Maximum Daily Loads (TMDLs)</w:t>
        </w:r>
        <w:r w:rsidR="00120E09">
          <w:rPr>
            <w:webHidden/>
          </w:rPr>
          <w:tab/>
        </w:r>
        <w:r w:rsidR="00120E09">
          <w:rPr>
            <w:webHidden/>
          </w:rPr>
          <w:fldChar w:fldCharType="begin"/>
        </w:r>
        <w:r w:rsidR="00120E09">
          <w:rPr>
            <w:webHidden/>
          </w:rPr>
          <w:instrText xml:space="preserve"> PAGEREF _Toc514677651 \h </w:instrText>
        </w:r>
        <w:r w:rsidR="00120E09">
          <w:rPr>
            <w:webHidden/>
          </w:rPr>
        </w:r>
        <w:r w:rsidR="00120E09">
          <w:rPr>
            <w:webHidden/>
          </w:rPr>
          <w:fldChar w:fldCharType="separate"/>
        </w:r>
        <w:r w:rsidR="00120E09">
          <w:rPr>
            <w:webHidden/>
          </w:rPr>
          <w:t>13</w:t>
        </w:r>
        <w:r w:rsidR="00120E09">
          <w:rPr>
            <w:webHidden/>
          </w:rPr>
          <w:fldChar w:fldCharType="end"/>
        </w:r>
      </w:hyperlink>
    </w:p>
    <w:p w14:paraId="676A6332" w14:textId="77777777" w:rsidR="00120E09" w:rsidRDefault="00055E1E">
      <w:pPr>
        <w:pStyle w:val="TOC2"/>
        <w:rPr>
          <w:rFonts w:asciiTheme="minorHAnsi" w:eastAsiaTheme="minorEastAsia" w:hAnsiTheme="minorHAnsi" w:cstheme="minorBidi"/>
          <w:b w:val="0"/>
          <w:sz w:val="22"/>
          <w:szCs w:val="22"/>
        </w:rPr>
      </w:pPr>
      <w:hyperlink w:anchor="_Toc514677652" w:history="1">
        <w:r w:rsidR="00120E09" w:rsidRPr="00821D43">
          <w:rPr>
            <w:rStyle w:val="Hyperlink"/>
          </w:rPr>
          <w:t>1.3</w:t>
        </w:r>
        <w:r w:rsidR="00120E09">
          <w:rPr>
            <w:rFonts w:asciiTheme="minorHAnsi" w:eastAsiaTheme="minorEastAsia" w:hAnsiTheme="minorHAnsi" w:cstheme="minorBidi"/>
            <w:b w:val="0"/>
            <w:sz w:val="22"/>
            <w:szCs w:val="22"/>
          </w:rPr>
          <w:tab/>
        </w:r>
        <w:r w:rsidR="00120E09" w:rsidRPr="00821D43">
          <w:rPr>
            <w:rStyle w:val="Hyperlink"/>
          </w:rPr>
          <w:t>BMAP Requirements</w:t>
        </w:r>
        <w:r w:rsidR="00120E09">
          <w:rPr>
            <w:webHidden/>
          </w:rPr>
          <w:tab/>
        </w:r>
        <w:r w:rsidR="00120E09">
          <w:rPr>
            <w:webHidden/>
          </w:rPr>
          <w:fldChar w:fldCharType="begin"/>
        </w:r>
        <w:r w:rsidR="00120E09">
          <w:rPr>
            <w:webHidden/>
          </w:rPr>
          <w:instrText xml:space="preserve"> PAGEREF _Toc514677652 \h </w:instrText>
        </w:r>
        <w:r w:rsidR="00120E09">
          <w:rPr>
            <w:webHidden/>
          </w:rPr>
        </w:r>
        <w:r w:rsidR="00120E09">
          <w:rPr>
            <w:webHidden/>
          </w:rPr>
          <w:fldChar w:fldCharType="separate"/>
        </w:r>
        <w:r w:rsidR="00120E09">
          <w:rPr>
            <w:webHidden/>
          </w:rPr>
          <w:t>14</w:t>
        </w:r>
        <w:r w:rsidR="00120E09">
          <w:rPr>
            <w:webHidden/>
          </w:rPr>
          <w:fldChar w:fldCharType="end"/>
        </w:r>
      </w:hyperlink>
    </w:p>
    <w:p w14:paraId="776C6EEB" w14:textId="77777777" w:rsidR="00120E09" w:rsidRDefault="00055E1E">
      <w:pPr>
        <w:pStyle w:val="TOC2"/>
        <w:rPr>
          <w:rFonts w:asciiTheme="minorHAnsi" w:eastAsiaTheme="minorEastAsia" w:hAnsiTheme="minorHAnsi" w:cstheme="minorBidi"/>
          <w:b w:val="0"/>
          <w:sz w:val="22"/>
          <w:szCs w:val="22"/>
        </w:rPr>
      </w:pPr>
      <w:hyperlink w:anchor="_Toc514677653" w:history="1">
        <w:r w:rsidR="00120E09" w:rsidRPr="00821D43">
          <w:rPr>
            <w:rStyle w:val="Hyperlink"/>
          </w:rPr>
          <w:t>1.4</w:t>
        </w:r>
        <w:r w:rsidR="00120E09">
          <w:rPr>
            <w:rFonts w:asciiTheme="minorHAnsi" w:eastAsiaTheme="minorEastAsia" w:hAnsiTheme="minorHAnsi" w:cstheme="minorBidi"/>
            <w:b w:val="0"/>
            <w:sz w:val="22"/>
            <w:szCs w:val="22"/>
          </w:rPr>
          <w:tab/>
        </w:r>
        <w:r w:rsidR="00120E09" w:rsidRPr="00821D43">
          <w:rPr>
            <w:rStyle w:val="Hyperlink"/>
          </w:rPr>
          <w:t>BMAP Area</w:t>
        </w:r>
        <w:r w:rsidR="00120E09">
          <w:rPr>
            <w:webHidden/>
          </w:rPr>
          <w:tab/>
        </w:r>
        <w:r w:rsidR="00120E09">
          <w:rPr>
            <w:webHidden/>
          </w:rPr>
          <w:fldChar w:fldCharType="begin"/>
        </w:r>
        <w:r w:rsidR="00120E09">
          <w:rPr>
            <w:webHidden/>
          </w:rPr>
          <w:instrText xml:space="preserve"> PAGEREF _Toc514677653 \h </w:instrText>
        </w:r>
        <w:r w:rsidR="00120E09">
          <w:rPr>
            <w:webHidden/>
          </w:rPr>
        </w:r>
        <w:r w:rsidR="00120E09">
          <w:rPr>
            <w:webHidden/>
          </w:rPr>
          <w:fldChar w:fldCharType="separate"/>
        </w:r>
        <w:r w:rsidR="00120E09">
          <w:rPr>
            <w:webHidden/>
          </w:rPr>
          <w:t>14</w:t>
        </w:r>
        <w:r w:rsidR="00120E09">
          <w:rPr>
            <w:webHidden/>
          </w:rPr>
          <w:fldChar w:fldCharType="end"/>
        </w:r>
      </w:hyperlink>
    </w:p>
    <w:p w14:paraId="15E833F2" w14:textId="77777777" w:rsidR="00120E09" w:rsidRDefault="00055E1E">
      <w:pPr>
        <w:pStyle w:val="TOC2"/>
        <w:rPr>
          <w:rFonts w:asciiTheme="minorHAnsi" w:eastAsiaTheme="minorEastAsia" w:hAnsiTheme="minorHAnsi" w:cstheme="minorBidi"/>
          <w:b w:val="0"/>
          <w:sz w:val="22"/>
          <w:szCs w:val="22"/>
        </w:rPr>
      </w:pPr>
      <w:hyperlink w:anchor="_Toc514677654" w:history="1">
        <w:r w:rsidR="00120E09" w:rsidRPr="00821D43">
          <w:rPr>
            <w:rStyle w:val="Hyperlink"/>
          </w:rPr>
          <w:t>1.5</w:t>
        </w:r>
        <w:r w:rsidR="00120E09">
          <w:rPr>
            <w:rFonts w:asciiTheme="minorHAnsi" w:eastAsiaTheme="minorEastAsia" w:hAnsiTheme="minorHAnsi" w:cstheme="minorBidi"/>
            <w:b w:val="0"/>
            <w:sz w:val="22"/>
            <w:szCs w:val="22"/>
          </w:rPr>
          <w:tab/>
        </w:r>
        <w:r w:rsidR="00120E09" w:rsidRPr="00821D43">
          <w:rPr>
            <w:rStyle w:val="Hyperlink"/>
          </w:rPr>
          <w:t>PFAs</w:t>
        </w:r>
        <w:r w:rsidR="00120E09">
          <w:rPr>
            <w:webHidden/>
          </w:rPr>
          <w:tab/>
        </w:r>
        <w:r w:rsidR="00120E09">
          <w:rPr>
            <w:webHidden/>
          </w:rPr>
          <w:fldChar w:fldCharType="begin"/>
        </w:r>
        <w:r w:rsidR="00120E09">
          <w:rPr>
            <w:webHidden/>
          </w:rPr>
          <w:instrText xml:space="preserve"> PAGEREF _Toc514677654 \h </w:instrText>
        </w:r>
        <w:r w:rsidR="00120E09">
          <w:rPr>
            <w:webHidden/>
          </w:rPr>
        </w:r>
        <w:r w:rsidR="00120E09">
          <w:rPr>
            <w:webHidden/>
          </w:rPr>
          <w:fldChar w:fldCharType="separate"/>
        </w:r>
        <w:r w:rsidR="00120E09">
          <w:rPr>
            <w:webHidden/>
          </w:rPr>
          <w:t>14</w:t>
        </w:r>
        <w:r w:rsidR="00120E09">
          <w:rPr>
            <w:webHidden/>
          </w:rPr>
          <w:fldChar w:fldCharType="end"/>
        </w:r>
      </w:hyperlink>
    </w:p>
    <w:p w14:paraId="081D8716" w14:textId="77777777" w:rsidR="00120E09" w:rsidRDefault="00055E1E">
      <w:pPr>
        <w:pStyle w:val="TOC2"/>
        <w:rPr>
          <w:rFonts w:asciiTheme="minorHAnsi" w:eastAsiaTheme="minorEastAsia" w:hAnsiTheme="minorHAnsi" w:cstheme="minorBidi"/>
          <w:b w:val="0"/>
          <w:sz w:val="22"/>
          <w:szCs w:val="22"/>
        </w:rPr>
      </w:pPr>
      <w:hyperlink w:anchor="_Toc514677655" w:history="1">
        <w:r w:rsidR="00120E09" w:rsidRPr="00821D43">
          <w:rPr>
            <w:rStyle w:val="Hyperlink"/>
          </w:rPr>
          <w:t>1.6</w:t>
        </w:r>
        <w:r w:rsidR="00120E09">
          <w:rPr>
            <w:rFonts w:asciiTheme="minorHAnsi" w:eastAsiaTheme="minorEastAsia" w:hAnsiTheme="minorHAnsi" w:cstheme="minorBidi"/>
            <w:b w:val="0"/>
            <w:sz w:val="22"/>
            <w:szCs w:val="22"/>
          </w:rPr>
          <w:tab/>
        </w:r>
        <w:r w:rsidR="00120E09" w:rsidRPr="00821D43">
          <w:rPr>
            <w:rStyle w:val="Hyperlink"/>
          </w:rPr>
          <w:t>Other Scientific and Historical Information</w:t>
        </w:r>
        <w:r w:rsidR="00120E09">
          <w:rPr>
            <w:webHidden/>
          </w:rPr>
          <w:tab/>
        </w:r>
        <w:r w:rsidR="00120E09">
          <w:rPr>
            <w:webHidden/>
          </w:rPr>
          <w:fldChar w:fldCharType="begin"/>
        </w:r>
        <w:r w:rsidR="00120E09">
          <w:rPr>
            <w:webHidden/>
          </w:rPr>
          <w:instrText xml:space="preserve"> PAGEREF _Toc514677655 \h </w:instrText>
        </w:r>
        <w:r w:rsidR="00120E09">
          <w:rPr>
            <w:webHidden/>
          </w:rPr>
        </w:r>
        <w:r w:rsidR="00120E09">
          <w:rPr>
            <w:webHidden/>
          </w:rPr>
          <w:fldChar w:fldCharType="separate"/>
        </w:r>
        <w:r w:rsidR="00120E09">
          <w:rPr>
            <w:webHidden/>
          </w:rPr>
          <w:t>17</w:t>
        </w:r>
        <w:r w:rsidR="00120E09">
          <w:rPr>
            <w:webHidden/>
          </w:rPr>
          <w:fldChar w:fldCharType="end"/>
        </w:r>
      </w:hyperlink>
    </w:p>
    <w:p w14:paraId="6FD404FF" w14:textId="77777777" w:rsidR="00120E09" w:rsidRDefault="00055E1E">
      <w:pPr>
        <w:pStyle w:val="TOC2"/>
        <w:rPr>
          <w:rFonts w:asciiTheme="minorHAnsi" w:eastAsiaTheme="minorEastAsia" w:hAnsiTheme="minorHAnsi" w:cstheme="minorBidi"/>
          <w:b w:val="0"/>
          <w:sz w:val="22"/>
          <w:szCs w:val="22"/>
        </w:rPr>
      </w:pPr>
      <w:hyperlink w:anchor="_Toc514677656" w:history="1">
        <w:r w:rsidR="00120E09" w:rsidRPr="00821D43">
          <w:rPr>
            <w:rStyle w:val="Hyperlink"/>
          </w:rPr>
          <w:t>1.7</w:t>
        </w:r>
        <w:r w:rsidR="00120E09">
          <w:rPr>
            <w:rFonts w:asciiTheme="minorHAnsi" w:eastAsiaTheme="minorEastAsia" w:hAnsiTheme="minorHAnsi" w:cstheme="minorBidi"/>
            <w:b w:val="0"/>
            <w:sz w:val="22"/>
            <w:szCs w:val="22"/>
          </w:rPr>
          <w:tab/>
        </w:r>
        <w:r w:rsidR="00120E09" w:rsidRPr="00821D43">
          <w:rPr>
            <w:rStyle w:val="Hyperlink"/>
          </w:rPr>
          <w:t>Stakeholder Involvement</w:t>
        </w:r>
        <w:r w:rsidR="00120E09">
          <w:rPr>
            <w:webHidden/>
          </w:rPr>
          <w:tab/>
        </w:r>
        <w:r w:rsidR="00120E09">
          <w:rPr>
            <w:webHidden/>
          </w:rPr>
          <w:fldChar w:fldCharType="begin"/>
        </w:r>
        <w:r w:rsidR="00120E09">
          <w:rPr>
            <w:webHidden/>
          </w:rPr>
          <w:instrText xml:space="preserve"> PAGEREF _Toc514677656 \h </w:instrText>
        </w:r>
        <w:r w:rsidR="00120E09">
          <w:rPr>
            <w:webHidden/>
          </w:rPr>
        </w:r>
        <w:r w:rsidR="00120E09">
          <w:rPr>
            <w:webHidden/>
          </w:rPr>
          <w:fldChar w:fldCharType="separate"/>
        </w:r>
        <w:r w:rsidR="00120E09">
          <w:rPr>
            <w:webHidden/>
          </w:rPr>
          <w:t>17</w:t>
        </w:r>
        <w:r w:rsidR="00120E09">
          <w:rPr>
            <w:webHidden/>
          </w:rPr>
          <w:fldChar w:fldCharType="end"/>
        </w:r>
      </w:hyperlink>
    </w:p>
    <w:p w14:paraId="33D098B5" w14:textId="77777777" w:rsidR="00120E09" w:rsidRDefault="00055E1E">
      <w:pPr>
        <w:pStyle w:val="TOC2"/>
        <w:rPr>
          <w:rFonts w:asciiTheme="minorHAnsi" w:eastAsiaTheme="minorEastAsia" w:hAnsiTheme="minorHAnsi" w:cstheme="minorBidi"/>
          <w:b w:val="0"/>
          <w:sz w:val="22"/>
          <w:szCs w:val="22"/>
        </w:rPr>
      </w:pPr>
      <w:hyperlink w:anchor="_Toc514677657" w:history="1">
        <w:r w:rsidR="00120E09" w:rsidRPr="00821D43">
          <w:rPr>
            <w:rStyle w:val="Hyperlink"/>
          </w:rPr>
          <w:t>1.8</w:t>
        </w:r>
        <w:r w:rsidR="00120E09">
          <w:rPr>
            <w:rFonts w:asciiTheme="minorHAnsi" w:eastAsiaTheme="minorEastAsia" w:hAnsiTheme="minorHAnsi" w:cstheme="minorBidi"/>
            <w:b w:val="0"/>
            <w:sz w:val="22"/>
            <w:szCs w:val="22"/>
          </w:rPr>
          <w:tab/>
        </w:r>
        <w:r w:rsidR="00120E09" w:rsidRPr="00821D43">
          <w:rPr>
            <w:rStyle w:val="Hyperlink"/>
          </w:rPr>
          <w:t>Description of BMPs Adopted by Rule</w:t>
        </w:r>
        <w:r w:rsidR="00120E09">
          <w:rPr>
            <w:webHidden/>
          </w:rPr>
          <w:tab/>
        </w:r>
        <w:r w:rsidR="00120E09">
          <w:rPr>
            <w:webHidden/>
          </w:rPr>
          <w:fldChar w:fldCharType="begin"/>
        </w:r>
        <w:r w:rsidR="00120E09">
          <w:rPr>
            <w:webHidden/>
          </w:rPr>
          <w:instrText xml:space="preserve"> PAGEREF _Toc514677657 \h </w:instrText>
        </w:r>
        <w:r w:rsidR="00120E09">
          <w:rPr>
            <w:webHidden/>
          </w:rPr>
        </w:r>
        <w:r w:rsidR="00120E09">
          <w:rPr>
            <w:webHidden/>
          </w:rPr>
          <w:fldChar w:fldCharType="separate"/>
        </w:r>
        <w:r w:rsidR="00120E09">
          <w:rPr>
            <w:webHidden/>
          </w:rPr>
          <w:t>18</w:t>
        </w:r>
        <w:r w:rsidR="00120E09">
          <w:rPr>
            <w:webHidden/>
          </w:rPr>
          <w:fldChar w:fldCharType="end"/>
        </w:r>
      </w:hyperlink>
    </w:p>
    <w:p w14:paraId="647F2B26" w14:textId="77777777" w:rsidR="00120E09" w:rsidRDefault="00055E1E">
      <w:pPr>
        <w:pStyle w:val="TOC1"/>
        <w:rPr>
          <w:rFonts w:asciiTheme="minorHAnsi" w:eastAsiaTheme="minorEastAsia" w:hAnsiTheme="minorHAnsi" w:cstheme="minorBidi"/>
          <w:b w:val="0"/>
          <w:sz w:val="22"/>
          <w:szCs w:val="22"/>
        </w:rPr>
      </w:pPr>
      <w:hyperlink w:anchor="_Toc514677658" w:history="1">
        <w:r w:rsidR="00120E09" w:rsidRPr="00821D43">
          <w:rPr>
            <w:rStyle w:val="Hyperlink"/>
          </w:rPr>
          <w:t>Section 2 : Implementation to Achieve the TMDLs</w:t>
        </w:r>
        <w:r w:rsidR="00120E09">
          <w:rPr>
            <w:webHidden/>
          </w:rPr>
          <w:tab/>
        </w:r>
        <w:r w:rsidR="00120E09">
          <w:rPr>
            <w:webHidden/>
          </w:rPr>
          <w:fldChar w:fldCharType="begin"/>
        </w:r>
        <w:r w:rsidR="00120E09">
          <w:rPr>
            <w:webHidden/>
          </w:rPr>
          <w:instrText xml:space="preserve"> PAGEREF _Toc514677658 \h </w:instrText>
        </w:r>
        <w:r w:rsidR="00120E09">
          <w:rPr>
            <w:webHidden/>
          </w:rPr>
        </w:r>
        <w:r w:rsidR="00120E09">
          <w:rPr>
            <w:webHidden/>
          </w:rPr>
          <w:fldChar w:fldCharType="separate"/>
        </w:r>
        <w:r w:rsidR="00120E09">
          <w:rPr>
            <w:webHidden/>
          </w:rPr>
          <w:t>19</w:t>
        </w:r>
        <w:r w:rsidR="00120E09">
          <w:rPr>
            <w:webHidden/>
          </w:rPr>
          <w:fldChar w:fldCharType="end"/>
        </w:r>
      </w:hyperlink>
    </w:p>
    <w:p w14:paraId="7DA73102" w14:textId="77777777" w:rsidR="00120E09" w:rsidRDefault="00055E1E">
      <w:pPr>
        <w:pStyle w:val="TOC2"/>
        <w:rPr>
          <w:rFonts w:asciiTheme="minorHAnsi" w:eastAsiaTheme="minorEastAsia" w:hAnsiTheme="minorHAnsi" w:cstheme="minorBidi"/>
          <w:b w:val="0"/>
          <w:sz w:val="22"/>
          <w:szCs w:val="22"/>
        </w:rPr>
      </w:pPr>
      <w:hyperlink w:anchor="_Toc514677659" w:history="1">
        <w:r w:rsidR="00120E09" w:rsidRPr="00821D43">
          <w:rPr>
            <w:rStyle w:val="Hyperlink"/>
          </w:rPr>
          <w:t>2.1</w:t>
        </w:r>
        <w:r w:rsidR="00120E09">
          <w:rPr>
            <w:rFonts w:asciiTheme="minorHAnsi" w:eastAsiaTheme="minorEastAsia" w:hAnsiTheme="minorHAnsi" w:cstheme="minorBidi"/>
            <w:b w:val="0"/>
            <w:sz w:val="22"/>
            <w:szCs w:val="22"/>
          </w:rPr>
          <w:tab/>
        </w:r>
        <w:r w:rsidR="00120E09" w:rsidRPr="00821D43">
          <w:rPr>
            <w:rStyle w:val="Hyperlink"/>
          </w:rPr>
          <w:t>Allocation of Pollutant Loads</w:t>
        </w:r>
        <w:r w:rsidR="00120E09">
          <w:rPr>
            <w:webHidden/>
          </w:rPr>
          <w:tab/>
        </w:r>
        <w:r w:rsidR="00120E09">
          <w:rPr>
            <w:webHidden/>
          </w:rPr>
          <w:fldChar w:fldCharType="begin"/>
        </w:r>
        <w:r w:rsidR="00120E09">
          <w:rPr>
            <w:webHidden/>
          </w:rPr>
          <w:instrText xml:space="preserve"> PAGEREF _Toc514677659 \h </w:instrText>
        </w:r>
        <w:r w:rsidR="00120E09">
          <w:rPr>
            <w:webHidden/>
          </w:rPr>
        </w:r>
        <w:r w:rsidR="00120E09">
          <w:rPr>
            <w:webHidden/>
          </w:rPr>
          <w:fldChar w:fldCharType="separate"/>
        </w:r>
        <w:r w:rsidR="00120E09">
          <w:rPr>
            <w:webHidden/>
          </w:rPr>
          <w:t>19</w:t>
        </w:r>
        <w:r w:rsidR="00120E09">
          <w:rPr>
            <w:webHidden/>
          </w:rPr>
          <w:fldChar w:fldCharType="end"/>
        </w:r>
      </w:hyperlink>
    </w:p>
    <w:p w14:paraId="121022A0" w14:textId="77777777" w:rsidR="00120E09" w:rsidRDefault="00055E1E">
      <w:pPr>
        <w:pStyle w:val="TOC2"/>
        <w:rPr>
          <w:rFonts w:asciiTheme="minorHAnsi" w:eastAsiaTheme="minorEastAsia" w:hAnsiTheme="minorHAnsi" w:cstheme="minorBidi"/>
          <w:b w:val="0"/>
          <w:sz w:val="22"/>
          <w:szCs w:val="22"/>
        </w:rPr>
      </w:pPr>
      <w:hyperlink w:anchor="_Toc514677660" w:history="1">
        <w:r w:rsidR="00120E09" w:rsidRPr="00821D43">
          <w:rPr>
            <w:rStyle w:val="Hyperlink"/>
          </w:rPr>
          <w:t>2.2</w:t>
        </w:r>
        <w:r w:rsidR="00120E09">
          <w:rPr>
            <w:rFonts w:asciiTheme="minorHAnsi" w:eastAsiaTheme="minorEastAsia" w:hAnsiTheme="minorHAnsi" w:cstheme="minorBidi"/>
            <w:b w:val="0"/>
            <w:sz w:val="22"/>
            <w:szCs w:val="22"/>
          </w:rPr>
          <w:tab/>
        </w:r>
        <w:r w:rsidR="00120E09" w:rsidRPr="00821D43">
          <w:rPr>
            <w:rStyle w:val="Hyperlink"/>
          </w:rPr>
          <w:t>Prioritization of Management Strategies</w:t>
        </w:r>
        <w:r w:rsidR="00120E09">
          <w:rPr>
            <w:webHidden/>
          </w:rPr>
          <w:tab/>
        </w:r>
        <w:r w:rsidR="00120E09">
          <w:rPr>
            <w:webHidden/>
          </w:rPr>
          <w:fldChar w:fldCharType="begin"/>
        </w:r>
        <w:r w:rsidR="00120E09">
          <w:rPr>
            <w:webHidden/>
          </w:rPr>
          <w:instrText xml:space="preserve"> PAGEREF _Toc514677660 \h </w:instrText>
        </w:r>
        <w:r w:rsidR="00120E09">
          <w:rPr>
            <w:webHidden/>
          </w:rPr>
        </w:r>
        <w:r w:rsidR="00120E09">
          <w:rPr>
            <w:webHidden/>
          </w:rPr>
          <w:fldChar w:fldCharType="separate"/>
        </w:r>
        <w:r w:rsidR="00120E09">
          <w:rPr>
            <w:webHidden/>
          </w:rPr>
          <w:t>24</w:t>
        </w:r>
        <w:r w:rsidR="00120E09">
          <w:rPr>
            <w:webHidden/>
          </w:rPr>
          <w:fldChar w:fldCharType="end"/>
        </w:r>
      </w:hyperlink>
    </w:p>
    <w:p w14:paraId="100D0236" w14:textId="77777777" w:rsidR="00120E09" w:rsidRDefault="00055E1E">
      <w:pPr>
        <w:pStyle w:val="TOC2"/>
        <w:rPr>
          <w:rFonts w:asciiTheme="minorHAnsi" w:eastAsiaTheme="minorEastAsia" w:hAnsiTheme="minorHAnsi" w:cstheme="minorBidi"/>
          <w:b w:val="0"/>
          <w:sz w:val="22"/>
          <w:szCs w:val="22"/>
        </w:rPr>
      </w:pPr>
      <w:hyperlink w:anchor="_Toc514677661" w:history="1">
        <w:r w:rsidR="00120E09" w:rsidRPr="00821D43">
          <w:rPr>
            <w:rStyle w:val="Hyperlink"/>
            <w:rFonts w:eastAsiaTheme="majorEastAsia" w:cstheme="majorBidi"/>
          </w:rPr>
          <w:t>2.3</w:t>
        </w:r>
        <w:r w:rsidR="00120E09">
          <w:rPr>
            <w:rFonts w:asciiTheme="minorHAnsi" w:eastAsiaTheme="minorEastAsia" w:hAnsiTheme="minorHAnsi" w:cstheme="minorBidi"/>
            <w:b w:val="0"/>
            <w:sz w:val="22"/>
            <w:szCs w:val="22"/>
          </w:rPr>
          <w:tab/>
        </w:r>
        <w:r w:rsidR="00120E09" w:rsidRPr="00821D43">
          <w:rPr>
            <w:rStyle w:val="Hyperlink"/>
            <w:rFonts w:eastAsiaTheme="majorEastAsia" w:cstheme="majorBidi"/>
          </w:rPr>
          <w:t>Load Reduction Strategy</w:t>
        </w:r>
        <w:r w:rsidR="00120E09">
          <w:rPr>
            <w:webHidden/>
          </w:rPr>
          <w:tab/>
        </w:r>
        <w:r w:rsidR="00120E09">
          <w:rPr>
            <w:webHidden/>
          </w:rPr>
          <w:fldChar w:fldCharType="begin"/>
        </w:r>
        <w:r w:rsidR="00120E09">
          <w:rPr>
            <w:webHidden/>
          </w:rPr>
          <w:instrText xml:space="preserve"> PAGEREF _Toc514677661 \h </w:instrText>
        </w:r>
        <w:r w:rsidR="00120E09">
          <w:rPr>
            <w:webHidden/>
          </w:rPr>
        </w:r>
        <w:r w:rsidR="00120E09">
          <w:rPr>
            <w:webHidden/>
          </w:rPr>
          <w:fldChar w:fldCharType="separate"/>
        </w:r>
        <w:r w:rsidR="00120E09">
          <w:rPr>
            <w:webHidden/>
          </w:rPr>
          <w:t>25</w:t>
        </w:r>
        <w:r w:rsidR="00120E09">
          <w:rPr>
            <w:webHidden/>
          </w:rPr>
          <w:fldChar w:fldCharType="end"/>
        </w:r>
      </w:hyperlink>
    </w:p>
    <w:p w14:paraId="5E1A79ED" w14:textId="77777777" w:rsidR="00120E09" w:rsidRDefault="00055E1E">
      <w:pPr>
        <w:pStyle w:val="TOC2"/>
        <w:rPr>
          <w:rFonts w:asciiTheme="minorHAnsi" w:eastAsiaTheme="minorEastAsia" w:hAnsiTheme="minorHAnsi" w:cstheme="minorBidi"/>
          <w:b w:val="0"/>
          <w:sz w:val="22"/>
          <w:szCs w:val="22"/>
        </w:rPr>
      </w:pPr>
      <w:hyperlink w:anchor="_Toc514677662" w:history="1">
        <w:r w:rsidR="00120E09" w:rsidRPr="00821D43">
          <w:rPr>
            <w:rStyle w:val="Hyperlink"/>
          </w:rPr>
          <w:t>2.4</w:t>
        </w:r>
        <w:r w:rsidR="00120E09">
          <w:rPr>
            <w:rFonts w:asciiTheme="minorHAnsi" w:eastAsiaTheme="minorEastAsia" w:hAnsiTheme="minorHAnsi" w:cstheme="minorBidi"/>
            <w:b w:val="0"/>
            <w:sz w:val="22"/>
            <w:szCs w:val="22"/>
          </w:rPr>
          <w:tab/>
        </w:r>
        <w:r w:rsidR="00120E09" w:rsidRPr="00821D43">
          <w:rPr>
            <w:rStyle w:val="Hyperlink"/>
          </w:rPr>
          <w:t>OSTDS Management Strategies</w:t>
        </w:r>
        <w:r w:rsidR="00120E09">
          <w:rPr>
            <w:webHidden/>
          </w:rPr>
          <w:tab/>
        </w:r>
        <w:r w:rsidR="00120E09">
          <w:rPr>
            <w:webHidden/>
          </w:rPr>
          <w:fldChar w:fldCharType="begin"/>
        </w:r>
        <w:r w:rsidR="00120E09">
          <w:rPr>
            <w:webHidden/>
          </w:rPr>
          <w:instrText xml:space="preserve"> PAGEREF _Toc514677662 \h </w:instrText>
        </w:r>
        <w:r w:rsidR="00120E09">
          <w:rPr>
            <w:webHidden/>
          </w:rPr>
        </w:r>
        <w:r w:rsidR="00120E09">
          <w:rPr>
            <w:webHidden/>
          </w:rPr>
          <w:fldChar w:fldCharType="separate"/>
        </w:r>
        <w:r w:rsidR="00120E09">
          <w:rPr>
            <w:webHidden/>
          </w:rPr>
          <w:t>25</w:t>
        </w:r>
        <w:r w:rsidR="00120E09">
          <w:rPr>
            <w:webHidden/>
          </w:rPr>
          <w:fldChar w:fldCharType="end"/>
        </w:r>
      </w:hyperlink>
    </w:p>
    <w:p w14:paraId="38C46EA9" w14:textId="77777777" w:rsidR="00120E09" w:rsidRDefault="00055E1E">
      <w:pPr>
        <w:pStyle w:val="TOC2"/>
        <w:rPr>
          <w:rFonts w:asciiTheme="minorHAnsi" w:eastAsiaTheme="minorEastAsia" w:hAnsiTheme="minorHAnsi" w:cstheme="minorBidi"/>
          <w:b w:val="0"/>
          <w:sz w:val="22"/>
          <w:szCs w:val="22"/>
        </w:rPr>
      </w:pPr>
      <w:hyperlink w:anchor="_Toc514677663" w:history="1">
        <w:r w:rsidR="00120E09" w:rsidRPr="00821D43">
          <w:rPr>
            <w:rStyle w:val="Hyperlink"/>
          </w:rPr>
          <w:t>2.5</w:t>
        </w:r>
        <w:r w:rsidR="00120E09">
          <w:rPr>
            <w:rFonts w:asciiTheme="minorHAnsi" w:eastAsiaTheme="minorEastAsia" w:hAnsiTheme="minorHAnsi" w:cstheme="minorBidi"/>
            <w:b w:val="0"/>
            <w:sz w:val="22"/>
            <w:szCs w:val="22"/>
          </w:rPr>
          <w:tab/>
        </w:r>
        <w:r w:rsidR="00120E09" w:rsidRPr="00821D43">
          <w:rPr>
            <w:rStyle w:val="Hyperlink"/>
          </w:rPr>
          <w:t>UTF Management Strategies</w:t>
        </w:r>
        <w:r w:rsidR="00120E09">
          <w:rPr>
            <w:webHidden/>
          </w:rPr>
          <w:tab/>
        </w:r>
        <w:r w:rsidR="00120E09">
          <w:rPr>
            <w:webHidden/>
          </w:rPr>
          <w:fldChar w:fldCharType="begin"/>
        </w:r>
        <w:r w:rsidR="00120E09">
          <w:rPr>
            <w:webHidden/>
          </w:rPr>
          <w:instrText xml:space="preserve"> PAGEREF _Toc514677663 \h </w:instrText>
        </w:r>
        <w:r w:rsidR="00120E09">
          <w:rPr>
            <w:webHidden/>
          </w:rPr>
        </w:r>
        <w:r w:rsidR="00120E09">
          <w:rPr>
            <w:webHidden/>
          </w:rPr>
          <w:fldChar w:fldCharType="separate"/>
        </w:r>
        <w:r w:rsidR="00120E09">
          <w:rPr>
            <w:webHidden/>
          </w:rPr>
          <w:t>29</w:t>
        </w:r>
        <w:r w:rsidR="00120E09">
          <w:rPr>
            <w:webHidden/>
          </w:rPr>
          <w:fldChar w:fldCharType="end"/>
        </w:r>
      </w:hyperlink>
    </w:p>
    <w:p w14:paraId="62D62302" w14:textId="77777777" w:rsidR="00120E09" w:rsidRDefault="00055E1E">
      <w:pPr>
        <w:pStyle w:val="TOC2"/>
        <w:rPr>
          <w:rFonts w:asciiTheme="minorHAnsi" w:eastAsiaTheme="minorEastAsia" w:hAnsiTheme="minorHAnsi" w:cstheme="minorBidi"/>
          <w:b w:val="0"/>
          <w:sz w:val="22"/>
          <w:szCs w:val="22"/>
        </w:rPr>
      </w:pPr>
      <w:hyperlink w:anchor="_Toc514677664" w:history="1">
        <w:r w:rsidR="00120E09" w:rsidRPr="00821D43">
          <w:rPr>
            <w:rStyle w:val="Hyperlink"/>
          </w:rPr>
          <w:t>2.6</w:t>
        </w:r>
        <w:r w:rsidR="00120E09">
          <w:rPr>
            <w:rFonts w:asciiTheme="minorHAnsi" w:eastAsiaTheme="minorEastAsia" w:hAnsiTheme="minorHAnsi" w:cstheme="minorBidi"/>
            <w:b w:val="0"/>
            <w:sz w:val="22"/>
            <w:szCs w:val="22"/>
          </w:rPr>
          <w:tab/>
        </w:r>
        <w:r w:rsidR="00120E09" w:rsidRPr="00821D43">
          <w:rPr>
            <w:rStyle w:val="Hyperlink"/>
          </w:rPr>
          <w:t>STF Management Strategies</w:t>
        </w:r>
        <w:r w:rsidR="00120E09">
          <w:rPr>
            <w:webHidden/>
          </w:rPr>
          <w:tab/>
        </w:r>
        <w:r w:rsidR="00120E09">
          <w:rPr>
            <w:webHidden/>
          </w:rPr>
          <w:fldChar w:fldCharType="begin"/>
        </w:r>
        <w:r w:rsidR="00120E09">
          <w:rPr>
            <w:webHidden/>
          </w:rPr>
          <w:instrText xml:space="preserve"> PAGEREF _Toc514677664 \h </w:instrText>
        </w:r>
        <w:r w:rsidR="00120E09">
          <w:rPr>
            <w:webHidden/>
          </w:rPr>
        </w:r>
        <w:r w:rsidR="00120E09">
          <w:rPr>
            <w:webHidden/>
          </w:rPr>
          <w:fldChar w:fldCharType="separate"/>
        </w:r>
        <w:r w:rsidR="00120E09">
          <w:rPr>
            <w:webHidden/>
          </w:rPr>
          <w:t>30</w:t>
        </w:r>
        <w:r w:rsidR="00120E09">
          <w:rPr>
            <w:webHidden/>
          </w:rPr>
          <w:fldChar w:fldCharType="end"/>
        </w:r>
      </w:hyperlink>
    </w:p>
    <w:p w14:paraId="4C09E6DB" w14:textId="77777777" w:rsidR="00120E09" w:rsidRDefault="00055E1E">
      <w:pPr>
        <w:pStyle w:val="TOC2"/>
        <w:rPr>
          <w:rFonts w:asciiTheme="minorHAnsi" w:eastAsiaTheme="minorEastAsia" w:hAnsiTheme="minorHAnsi" w:cstheme="minorBidi"/>
          <w:b w:val="0"/>
          <w:sz w:val="22"/>
          <w:szCs w:val="22"/>
        </w:rPr>
      </w:pPr>
      <w:hyperlink w:anchor="_Toc514677665" w:history="1">
        <w:r w:rsidR="00120E09" w:rsidRPr="00821D43">
          <w:rPr>
            <w:rStyle w:val="Hyperlink"/>
          </w:rPr>
          <w:t>2.7</w:t>
        </w:r>
        <w:r w:rsidR="00120E09">
          <w:rPr>
            <w:rFonts w:asciiTheme="minorHAnsi" w:eastAsiaTheme="minorEastAsia" w:hAnsiTheme="minorHAnsi" w:cstheme="minorBidi"/>
            <w:b w:val="0"/>
            <w:sz w:val="22"/>
            <w:szCs w:val="22"/>
          </w:rPr>
          <w:tab/>
        </w:r>
        <w:r w:rsidR="00120E09" w:rsidRPr="00821D43">
          <w:rPr>
            <w:rStyle w:val="Hyperlink"/>
          </w:rPr>
          <w:t>Agricultural Sources Management Strategies</w:t>
        </w:r>
        <w:r w:rsidR="00120E09">
          <w:rPr>
            <w:webHidden/>
          </w:rPr>
          <w:tab/>
        </w:r>
        <w:r w:rsidR="00120E09">
          <w:rPr>
            <w:webHidden/>
          </w:rPr>
          <w:fldChar w:fldCharType="begin"/>
        </w:r>
        <w:r w:rsidR="00120E09">
          <w:rPr>
            <w:webHidden/>
          </w:rPr>
          <w:instrText xml:space="preserve"> PAGEREF _Toc514677665 \h </w:instrText>
        </w:r>
        <w:r w:rsidR="00120E09">
          <w:rPr>
            <w:webHidden/>
          </w:rPr>
        </w:r>
        <w:r w:rsidR="00120E09">
          <w:rPr>
            <w:webHidden/>
          </w:rPr>
          <w:fldChar w:fldCharType="separate"/>
        </w:r>
        <w:r w:rsidR="00120E09">
          <w:rPr>
            <w:webHidden/>
          </w:rPr>
          <w:t>30</w:t>
        </w:r>
        <w:r w:rsidR="00120E09">
          <w:rPr>
            <w:webHidden/>
          </w:rPr>
          <w:fldChar w:fldCharType="end"/>
        </w:r>
      </w:hyperlink>
    </w:p>
    <w:p w14:paraId="32EA4550" w14:textId="77777777" w:rsidR="00120E09" w:rsidRDefault="00055E1E">
      <w:pPr>
        <w:pStyle w:val="TOC2"/>
        <w:rPr>
          <w:rFonts w:asciiTheme="minorHAnsi" w:eastAsiaTheme="minorEastAsia" w:hAnsiTheme="minorHAnsi" w:cstheme="minorBidi"/>
          <w:b w:val="0"/>
          <w:sz w:val="22"/>
          <w:szCs w:val="22"/>
        </w:rPr>
      </w:pPr>
      <w:hyperlink w:anchor="_Toc514677666" w:history="1">
        <w:r w:rsidR="00120E09" w:rsidRPr="00821D43">
          <w:rPr>
            <w:rStyle w:val="Hyperlink"/>
          </w:rPr>
          <w:t>2.8</w:t>
        </w:r>
        <w:r w:rsidR="00120E09">
          <w:rPr>
            <w:rFonts w:asciiTheme="minorHAnsi" w:eastAsiaTheme="minorEastAsia" w:hAnsiTheme="minorHAnsi" w:cstheme="minorBidi"/>
            <w:b w:val="0"/>
            <w:sz w:val="22"/>
            <w:szCs w:val="22"/>
          </w:rPr>
          <w:tab/>
        </w:r>
        <w:r w:rsidR="00120E09" w:rsidRPr="00821D43">
          <w:rPr>
            <w:rStyle w:val="Hyperlink"/>
          </w:rPr>
          <w:t>WWTF Management Strategies</w:t>
        </w:r>
        <w:r w:rsidR="00120E09">
          <w:rPr>
            <w:webHidden/>
          </w:rPr>
          <w:tab/>
        </w:r>
        <w:r w:rsidR="00120E09">
          <w:rPr>
            <w:webHidden/>
          </w:rPr>
          <w:fldChar w:fldCharType="begin"/>
        </w:r>
        <w:r w:rsidR="00120E09">
          <w:rPr>
            <w:webHidden/>
          </w:rPr>
          <w:instrText xml:space="preserve"> PAGEREF _Toc514677666 \h </w:instrText>
        </w:r>
        <w:r w:rsidR="00120E09">
          <w:rPr>
            <w:webHidden/>
          </w:rPr>
        </w:r>
        <w:r w:rsidR="00120E09">
          <w:rPr>
            <w:webHidden/>
          </w:rPr>
          <w:fldChar w:fldCharType="separate"/>
        </w:r>
        <w:r w:rsidR="00120E09">
          <w:rPr>
            <w:webHidden/>
          </w:rPr>
          <w:t>33</w:t>
        </w:r>
        <w:r w:rsidR="00120E09">
          <w:rPr>
            <w:webHidden/>
          </w:rPr>
          <w:fldChar w:fldCharType="end"/>
        </w:r>
      </w:hyperlink>
    </w:p>
    <w:p w14:paraId="6071DB29" w14:textId="77777777" w:rsidR="00120E09" w:rsidRDefault="00055E1E">
      <w:pPr>
        <w:pStyle w:val="TOC2"/>
        <w:rPr>
          <w:rFonts w:asciiTheme="minorHAnsi" w:eastAsiaTheme="minorEastAsia" w:hAnsiTheme="minorHAnsi" w:cstheme="minorBidi"/>
          <w:b w:val="0"/>
          <w:sz w:val="22"/>
          <w:szCs w:val="22"/>
        </w:rPr>
      </w:pPr>
      <w:hyperlink w:anchor="_Toc514677667" w:history="1">
        <w:r w:rsidR="00120E09" w:rsidRPr="00821D43">
          <w:rPr>
            <w:rStyle w:val="Hyperlink"/>
          </w:rPr>
          <w:t>2.9</w:t>
        </w:r>
        <w:r w:rsidR="00120E09">
          <w:rPr>
            <w:rFonts w:asciiTheme="minorHAnsi" w:eastAsiaTheme="minorEastAsia" w:hAnsiTheme="minorHAnsi" w:cstheme="minorBidi"/>
            <w:b w:val="0"/>
            <w:sz w:val="22"/>
            <w:szCs w:val="22"/>
          </w:rPr>
          <w:tab/>
        </w:r>
        <w:r w:rsidR="00120E09" w:rsidRPr="00821D43">
          <w:rPr>
            <w:rStyle w:val="Hyperlink"/>
          </w:rPr>
          <w:t>Atmospheric Deposition Management Strategies</w:t>
        </w:r>
        <w:r w:rsidR="00120E09">
          <w:rPr>
            <w:webHidden/>
          </w:rPr>
          <w:tab/>
        </w:r>
        <w:r w:rsidR="00120E09">
          <w:rPr>
            <w:webHidden/>
          </w:rPr>
          <w:fldChar w:fldCharType="begin"/>
        </w:r>
        <w:r w:rsidR="00120E09">
          <w:rPr>
            <w:webHidden/>
          </w:rPr>
          <w:instrText xml:space="preserve"> PAGEREF _Toc514677667 \h </w:instrText>
        </w:r>
        <w:r w:rsidR="00120E09">
          <w:rPr>
            <w:webHidden/>
          </w:rPr>
        </w:r>
        <w:r w:rsidR="00120E09">
          <w:rPr>
            <w:webHidden/>
          </w:rPr>
          <w:fldChar w:fldCharType="separate"/>
        </w:r>
        <w:r w:rsidR="00120E09">
          <w:rPr>
            <w:webHidden/>
          </w:rPr>
          <w:t>34</w:t>
        </w:r>
        <w:r w:rsidR="00120E09">
          <w:rPr>
            <w:webHidden/>
          </w:rPr>
          <w:fldChar w:fldCharType="end"/>
        </w:r>
      </w:hyperlink>
    </w:p>
    <w:p w14:paraId="0AF1B094" w14:textId="77777777" w:rsidR="00120E09" w:rsidRDefault="00055E1E">
      <w:pPr>
        <w:pStyle w:val="TOC2"/>
        <w:rPr>
          <w:rFonts w:asciiTheme="minorHAnsi" w:eastAsiaTheme="minorEastAsia" w:hAnsiTheme="minorHAnsi" w:cstheme="minorBidi"/>
          <w:b w:val="0"/>
          <w:sz w:val="22"/>
          <w:szCs w:val="22"/>
        </w:rPr>
      </w:pPr>
      <w:hyperlink w:anchor="_Toc514677668" w:history="1">
        <w:r w:rsidR="00120E09" w:rsidRPr="00821D43">
          <w:rPr>
            <w:rStyle w:val="Hyperlink"/>
          </w:rPr>
          <w:t>2.10</w:t>
        </w:r>
        <w:r w:rsidR="00120E09">
          <w:rPr>
            <w:rFonts w:asciiTheme="minorHAnsi" w:eastAsiaTheme="minorEastAsia" w:hAnsiTheme="minorHAnsi" w:cstheme="minorBidi"/>
            <w:b w:val="0"/>
            <w:sz w:val="22"/>
            <w:szCs w:val="22"/>
          </w:rPr>
          <w:tab/>
        </w:r>
        <w:r w:rsidR="00120E09" w:rsidRPr="00821D43">
          <w:rPr>
            <w:rStyle w:val="Hyperlink"/>
          </w:rPr>
          <w:t>Future Growth Management Strategies</w:t>
        </w:r>
        <w:r w:rsidR="00120E09">
          <w:rPr>
            <w:webHidden/>
          </w:rPr>
          <w:tab/>
        </w:r>
        <w:r w:rsidR="00120E09">
          <w:rPr>
            <w:webHidden/>
          </w:rPr>
          <w:fldChar w:fldCharType="begin"/>
        </w:r>
        <w:r w:rsidR="00120E09">
          <w:rPr>
            <w:webHidden/>
          </w:rPr>
          <w:instrText xml:space="preserve"> PAGEREF _Toc514677668 \h </w:instrText>
        </w:r>
        <w:r w:rsidR="00120E09">
          <w:rPr>
            <w:webHidden/>
          </w:rPr>
        </w:r>
        <w:r w:rsidR="00120E09">
          <w:rPr>
            <w:webHidden/>
          </w:rPr>
          <w:fldChar w:fldCharType="separate"/>
        </w:r>
        <w:r w:rsidR="00120E09">
          <w:rPr>
            <w:webHidden/>
          </w:rPr>
          <w:t>35</w:t>
        </w:r>
        <w:r w:rsidR="00120E09">
          <w:rPr>
            <w:webHidden/>
          </w:rPr>
          <w:fldChar w:fldCharType="end"/>
        </w:r>
      </w:hyperlink>
    </w:p>
    <w:p w14:paraId="750FDAD4" w14:textId="77777777" w:rsidR="00120E09" w:rsidRDefault="00055E1E">
      <w:pPr>
        <w:pStyle w:val="TOC2"/>
        <w:rPr>
          <w:rFonts w:asciiTheme="minorHAnsi" w:eastAsiaTheme="minorEastAsia" w:hAnsiTheme="minorHAnsi" w:cstheme="minorBidi"/>
          <w:b w:val="0"/>
          <w:sz w:val="22"/>
          <w:szCs w:val="22"/>
        </w:rPr>
      </w:pPr>
      <w:hyperlink w:anchor="_Toc514677669" w:history="1">
        <w:r w:rsidR="00120E09" w:rsidRPr="00821D43">
          <w:rPr>
            <w:rStyle w:val="Hyperlink"/>
          </w:rPr>
          <w:t>2.11</w:t>
        </w:r>
        <w:r w:rsidR="00120E09">
          <w:rPr>
            <w:rFonts w:asciiTheme="minorHAnsi" w:eastAsiaTheme="minorEastAsia" w:hAnsiTheme="minorHAnsi" w:cstheme="minorBidi"/>
            <w:b w:val="0"/>
            <w:sz w:val="22"/>
            <w:szCs w:val="22"/>
          </w:rPr>
          <w:tab/>
        </w:r>
        <w:r w:rsidR="00120E09" w:rsidRPr="00821D43">
          <w:rPr>
            <w:rStyle w:val="Hyperlink"/>
          </w:rPr>
          <w:t>Protection of Surface Water and Groundwater Resources through Land Conservation</w:t>
        </w:r>
        <w:r w:rsidR="00120E09">
          <w:rPr>
            <w:webHidden/>
          </w:rPr>
          <w:tab/>
        </w:r>
        <w:r w:rsidR="00120E09">
          <w:rPr>
            <w:webHidden/>
          </w:rPr>
          <w:fldChar w:fldCharType="begin"/>
        </w:r>
        <w:r w:rsidR="00120E09">
          <w:rPr>
            <w:webHidden/>
          </w:rPr>
          <w:instrText xml:space="preserve"> PAGEREF _Toc514677669 \h </w:instrText>
        </w:r>
        <w:r w:rsidR="00120E09">
          <w:rPr>
            <w:webHidden/>
          </w:rPr>
        </w:r>
        <w:r w:rsidR="00120E09">
          <w:rPr>
            <w:webHidden/>
          </w:rPr>
          <w:fldChar w:fldCharType="separate"/>
        </w:r>
        <w:r w:rsidR="00120E09">
          <w:rPr>
            <w:webHidden/>
          </w:rPr>
          <w:t>35</w:t>
        </w:r>
        <w:r w:rsidR="00120E09">
          <w:rPr>
            <w:webHidden/>
          </w:rPr>
          <w:fldChar w:fldCharType="end"/>
        </w:r>
      </w:hyperlink>
    </w:p>
    <w:p w14:paraId="7C4AF8A3" w14:textId="77777777" w:rsidR="00120E09" w:rsidRDefault="00055E1E">
      <w:pPr>
        <w:pStyle w:val="TOC2"/>
        <w:rPr>
          <w:rFonts w:asciiTheme="minorHAnsi" w:eastAsiaTheme="minorEastAsia" w:hAnsiTheme="minorHAnsi" w:cstheme="minorBidi"/>
          <w:b w:val="0"/>
          <w:sz w:val="22"/>
          <w:szCs w:val="22"/>
        </w:rPr>
      </w:pPr>
      <w:hyperlink w:anchor="_Toc514677670" w:history="1">
        <w:r w:rsidR="00120E09" w:rsidRPr="00821D43">
          <w:rPr>
            <w:rStyle w:val="Hyperlink"/>
          </w:rPr>
          <w:t>2.12</w:t>
        </w:r>
        <w:r w:rsidR="00120E09">
          <w:rPr>
            <w:rFonts w:asciiTheme="minorHAnsi" w:eastAsiaTheme="minorEastAsia" w:hAnsiTheme="minorHAnsi" w:cstheme="minorBidi"/>
            <w:b w:val="0"/>
            <w:sz w:val="22"/>
            <w:szCs w:val="22"/>
          </w:rPr>
          <w:tab/>
        </w:r>
        <w:r w:rsidR="00120E09" w:rsidRPr="00821D43">
          <w:rPr>
            <w:rStyle w:val="Hyperlink"/>
          </w:rPr>
          <w:t>Commitment to Implementation</w:t>
        </w:r>
        <w:r w:rsidR="00120E09">
          <w:rPr>
            <w:webHidden/>
          </w:rPr>
          <w:tab/>
        </w:r>
        <w:r w:rsidR="00120E09">
          <w:rPr>
            <w:webHidden/>
          </w:rPr>
          <w:fldChar w:fldCharType="begin"/>
        </w:r>
        <w:r w:rsidR="00120E09">
          <w:rPr>
            <w:webHidden/>
          </w:rPr>
          <w:instrText xml:space="preserve"> PAGEREF _Toc514677670 \h </w:instrText>
        </w:r>
        <w:r w:rsidR="00120E09">
          <w:rPr>
            <w:webHidden/>
          </w:rPr>
        </w:r>
        <w:r w:rsidR="00120E09">
          <w:rPr>
            <w:webHidden/>
          </w:rPr>
          <w:fldChar w:fldCharType="separate"/>
        </w:r>
        <w:r w:rsidR="00120E09">
          <w:rPr>
            <w:webHidden/>
          </w:rPr>
          <w:t>36</w:t>
        </w:r>
        <w:r w:rsidR="00120E09">
          <w:rPr>
            <w:webHidden/>
          </w:rPr>
          <w:fldChar w:fldCharType="end"/>
        </w:r>
      </w:hyperlink>
    </w:p>
    <w:p w14:paraId="63318EB5" w14:textId="77777777" w:rsidR="00120E09" w:rsidRDefault="00055E1E">
      <w:pPr>
        <w:pStyle w:val="TOC1"/>
        <w:rPr>
          <w:rFonts w:asciiTheme="minorHAnsi" w:eastAsiaTheme="minorEastAsia" w:hAnsiTheme="minorHAnsi" w:cstheme="minorBidi"/>
          <w:b w:val="0"/>
          <w:sz w:val="22"/>
          <w:szCs w:val="22"/>
        </w:rPr>
      </w:pPr>
      <w:hyperlink w:anchor="_Toc514677671" w:history="1">
        <w:r w:rsidR="00120E09" w:rsidRPr="00821D43">
          <w:rPr>
            <w:rStyle w:val="Hyperlink"/>
          </w:rPr>
          <w:t>Section 3 : Monitoring and Reporting</w:t>
        </w:r>
        <w:r w:rsidR="00120E09">
          <w:rPr>
            <w:webHidden/>
          </w:rPr>
          <w:tab/>
        </w:r>
        <w:r w:rsidR="00120E09">
          <w:rPr>
            <w:webHidden/>
          </w:rPr>
          <w:fldChar w:fldCharType="begin"/>
        </w:r>
        <w:r w:rsidR="00120E09">
          <w:rPr>
            <w:webHidden/>
          </w:rPr>
          <w:instrText xml:space="preserve"> PAGEREF _Toc514677671 \h </w:instrText>
        </w:r>
        <w:r w:rsidR="00120E09">
          <w:rPr>
            <w:webHidden/>
          </w:rPr>
        </w:r>
        <w:r w:rsidR="00120E09">
          <w:rPr>
            <w:webHidden/>
          </w:rPr>
          <w:fldChar w:fldCharType="separate"/>
        </w:r>
        <w:r w:rsidR="00120E09">
          <w:rPr>
            <w:webHidden/>
          </w:rPr>
          <w:t>37</w:t>
        </w:r>
        <w:r w:rsidR="00120E09">
          <w:rPr>
            <w:webHidden/>
          </w:rPr>
          <w:fldChar w:fldCharType="end"/>
        </w:r>
      </w:hyperlink>
    </w:p>
    <w:p w14:paraId="7F3C9B94" w14:textId="77777777" w:rsidR="00120E09" w:rsidRDefault="00055E1E">
      <w:pPr>
        <w:pStyle w:val="TOC2"/>
        <w:rPr>
          <w:rFonts w:asciiTheme="minorHAnsi" w:eastAsiaTheme="minorEastAsia" w:hAnsiTheme="minorHAnsi" w:cstheme="minorBidi"/>
          <w:b w:val="0"/>
          <w:sz w:val="22"/>
          <w:szCs w:val="22"/>
        </w:rPr>
      </w:pPr>
      <w:hyperlink w:anchor="_Toc514677672" w:history="1">
        <w:r w:rsidR="00120E09" w:rsidRPr="00821D43">
          <w:rPr>
            <w:rStyle w:val="Hyperlink"/>
          </w:rPr>
          <w:t>3.1</w:t>
        </w:r>
        <w:r w:rsidR="00120E09">
          <w:rPr>
            <w:rFonts w:asciiTheme="minorHAnsi" w:eastAsiaTheme="minorEastAsia" w:hAnsiTheme="minorHAnsi" w:cstheme="minorBidi"/>
            <w:b w:val="0"/>
            <w:sz w:val="22"/>
            <w:szCs w:val="22"/>
          </w:rPr>
          <w:tab/>
        </w:r>
        <w:r w:rsidR="00120E09" w:rsidRPr="00821D43">
          <w:rPr>
            <w:rStyle w:val="Hyperlink"/>
          </w:rPr>
          <w:t>Methods for Evaluating Progress</w:t>
        </w:r>
        <w:r w:rsidR="00120E09">
          <w:rPr>
            <w:webHidden/>
          </w:rPr>
          <w:tab/>
        </w:r>
        <w:r w:rsidR="00120E09">
          <w:rPr>
            <w:webHidden/>
          </w:rPr>
          <w:fldChar w:fldCharType="begin"/>
        </w:r>
        <w:r w:rsidR="00120E09">
          <w:rPr>
            <w:webHidden/>
          </w:rPr>
          <w:instrText xml:space="preserve"> PAGEREF _Toc514677672 \h </w:instrText>
        </w:r>
        <w:r w:rsidR="00120E09">
          <w:rPr>
            <w:webHidden/>
          </w:rPr>
        </w:r>
        <w:r w:rsidR="00120E09">
          <w:rPr>
            <w:webHidden/>
          </w:rPr>
          <w:fldChar w:fldCharType="separate"/>
        </w:r>
        <w:r w:rsidR="00120E09">
          <w:rPr>
            <w:webHidden/>
          </w:rPr>
          <w:t>37</w:t>
        </w:r>
        <w:r w:rsidR="00120E09">
          <w:rPr>
            <w:webHidden/>
          </w:rPr>
          <w:fldChar w:fldCharType="end"/>
        </w:r>
      </w:hyperlink>
    </w:p>
    <w:p w14:paraId="53297733" w14:textId="77777777" w:rsidR="00120E09" w:rsidRDefault="00055E1E">
      <w:pPr>
        <w:pStyle w:val="TOC2"/>
        <w:rPr>
          <w:rFonts w:asciiTheme="minorHAnsi" w:eastAsiaTheme="minorEastAsia" w:hAnsiTheme="minorHAnsi" w:cstheme="minorBidi"/>
          <w:b w:val="0"/>
          <w:sz w:val="22"/>
          <w:szCs w:val="22"/>
        </w:rPr>
      </w:pPr>
      <w:hyperlink w:anchor="_Toc514677673" w:history="1">
        <w:r w:rsidR="00120E09" w:rsidRPr="00821D43">
          <w:rPr>
            <w:rStyle w:val="Hyperlink"/>
          </w:rPr>
          <w:t>3.2</w:t>
        </w:r>
        <w:r w:rsidR="00120E09">
          <w:rPr>
            <w:rFonts w:asciiTheme="minorHAnsi" w:eastAsiaTheme="minorEastAsia" w:hAnsiTheme="minorHAnsi" w:cstheme="minorBidi"/>
            <w:b w:val="0"/>
            <w:sz w:val="22"/>
            <w:szCs w:val="22"/>
          </w:rPr>
          <w:tab/>
        </w:r>
        <w:r w:rsidR="00120E09" w:rsidRPr="00821D43">
          <w:rPr>
            <w:rStyle w:val="Hyperlink"/>
          </w:rPr>
          <w:t>Adaptive Management Measures</w:t>
        </w:r>
        <w:r w:rsidR="00120E09">
          <w:rPr>
            <w:webHidden/>
          </w:rPr>
          <w:tab/>
        </w:r>
        <w:r w:rsidR="00120E09">
          <w:rPr>
            <w:webHidden/>
          </w:rPr>
          <w:fldChar w:fldCharType="begin"/>
        </w:r>
        <w:r w:rsidR="00120E09">
          <w:rPr>
            <w:webHidden/>
          </w:rPr>
          <w:instrText xml:space="preserve"> PAGEREF _Toc514677673 \h </w:instrText>
        </w:r>
        <w:r w:rsidR="00120E09">
          <w:rPr>
            <w:webHidden/>
          </w:rPr>
        </w:r>
        <w:r w:rsidR="00120E09">
          <w:rPr>
            <w:webHidden/>
          </w:rPr>
          <w:fldChar w:fldCharType="separate"/>
        </w:r>
        <w:r w:rsidR="00120E09">
          <w:rPr>
            <w:webHidden/>
          </w:rPr>
          <w:t>37</w:t>
        </w:r>
        <w:r w:rsidR="00120E09">
          <w:rPr>
            <w:webHidden/>
          </w:rPr>
          <w:fldChar w:fldCharType="end"/>
        </w:r>
      </w:hyperlink>
    </w:p>
    <w:p w14:paraId="78CEB1DF" w14:textId="77777777" w:rsidR="00120E09" w:rsidRDefault="00055E1E">
      <w:pPr>
        <w:pStyle w:val="TOC2"/>
        <w:rPr>
          <w:rFonts w:asciiTheme="minorHAnsi" w:eastAsiaTheme="minorEastAsia" w:hAnsiTheme="minorHAnsi" w:cstheme="minorBidi"/>
          <w:b w:val="0"/>
          <w:sz w:val="22"/>
          <w:szCs w:val="22"/>
        </w:rPr>
      </w:pPr>
      <w:hyperlink w:anchor="_Toc514677674" w:history="1">
        <w:r w:rsidR="00120E09" w:rsidRPr="00821D43">
          <w:rPr>
            <w:rStyle w:val="Hyperlink"/>
          </w:rPr>
          <w:t>3.3</w:t>
        </w:r>
        <w:r w:rsidR="00120E09">
          <w:rPr>
            <w:rFonts w:asciiTheme="minorHAnsi" w:eastAsiaTheme="minorEastAsia" w:hAnsiTheme="minorHAnsi" w:cstheme="minorBidi"/>
            <w:b w:val="0"/>
            <w:sz w:val="22"/>
            <w:szCs w:val="22"/>
          </w:rPr>
          <w:tab/>
        </w:r>
        <w:r w:rsidR="00120E09" w:rsidRPr="00821D43">
          <w:rPr>
            <w:rStyle w:val="Hyperlink"/>
          </w:rPr>
          <w:t>Water Quality and Biological Monitoring</w:t>
        </w:r>
        <w:r w:rsidR="00120E09">
          <w:rPr>
            <w:webHidden/>
          </w:rPr>
          <w:tab/>
        </w:r>
        <w:r w:rsidR="00120E09">
          <w:rPr>
            <w:webHidden/>
          </w:rPr>
          <w:fldChar w:fldCharType="begin"/>
        </w:r>
        <w:r w:rsidR="00120E09">
          <w:rPr>
            <w:webHidden/>
          </w:rPr>
          <w:instrText xml:space="preserve"> PAGEREF _Toc514677674 \h </w:instrText>
        </w:r>
        <w:r w:rsidR="00120E09">
          <w:rPr>
            <w:webHidden/>
          </w:rPr>
        </w:r>
        <w:r w:rsidR="00120E09">
          <w:rPr>
            <w:webHidden/>
          </w:rPr>
          <w:fldChar w:fldCharType="separate"/>
        </w:r>
        <w:r w:rsidR="00120E09">
          <w:rPr>
            <w:webHidden/>
          </w:rPr>
          <w:t>38</w:t>
        </w:r>
        <w:r w:rsidR="00120E09">
          <w:rPr>
            <w:webHidden/>
          </w:rPr>
          <w:fldChar w:fldCharType="end"/>
        </w:r>
      </w:hyperlink>
    </w:p>
    <w:p w14:paraId="2C8AA9C1" w14:textId="77777777" w:rsidR="00120E09" w:rsidRDefault="00055E1E">
      <w:pPr>
        <w:pStyle w:val="TOC1"/>
        <w:rPr>
          <w:rFonts w:asciiTheme="minorHAnsi" w:eastAsiaTheme="minorEastAsia" w:hAnsiTheme="minorHAnsi" w:cstheme="minorBidi"/>
          <w:b w:val="0"/>
          <w:sz w:val="22"/>
          <w:szCs w:val="22"/>
        </w:rPr>
      </w:pPr>
      <w:hyperlink w:anchor="_Toc514677675" w:history="1">
        <w:r w:rsidR="00120E09" w:rsidRPr="00821D43">
          <w:rPr>
            <w:rStyle w:val="Hyperlink"/>
          </w:rPr>
          <w:t>Appendices</w:t>
        </w:r>
        <w:r w:rsidR="00120E09">
          <w:rPr>
            <w:webHidden/>
          </w:rPr>
          <w:tab/>
        </w:r>
        <w:r w:rsidR="00120E09">
          <w:rPr>
            <w:webHidden/>
          </w:rPr>
          <w:fldChar w:fldCharType="begin"/>
        </w:r>
        <w:r w:rsidR="00120E09">
          <w:rPr>
            <w:webHidden/>
          </w:rPr>
          <w:instrText xml:space="preserve"> PAGEREF _Toc514677675 \h </w:instrText>
        </w:r>
        <w:r w:rsidR="00120E09">
          <w:rPr>
            <w:webHidden/>
          </w:rPr>
        </w:r>
        <w:r w:rsidR="00120E09">
          <w:rPr>
            <w:webHidden/>
          </w:rPr>
          <w:fldChar w:fldCharType="separate"/>
        </w:r>
        <w:r w:rsidR="00120E09">
          <w:rPr>
            <w:webHidden/>
          </w:rPr>
          <w:t>44</w:t>
        </w:r>
        <w:r w:rsidR="00120E09">
          <w:rPr>
            <w:webHidden/>
          </w:rPr>
          <w:fldChar w:fldCharType="end"/>
        </w:r>
      </w:hyperlink>
    </w:p>
    <w:p w14:paraId="5E9F20C3" w14:textId="77777777" w:rsidR="00120E09" w:rsidRDefault="00055E1E">
      <w:pPr>
        <w:pStyle w:val="TOC2"/>
        <w:rPr>
          <w:rFonts w:asciiTheme="minorHAnsi" w:eastAsiaTheme="minorEastAsia" w:hAnsiTheme="minorHAnsi" w:cstheme="minorBidi"/>
          <w:b w:val="0"/>
          <w:sz w:val="22"/>
          <w:szCs w:val="22"/>
        </w:rPr>
      </w:pPr>
      <w:hyperlink w:anchor="_Toc514677676" w:history="1">
        <w:r w:rsidR="00120E09" w:rsidRPr="00821D43">
          <w:rPr>
            <w:rStyle w:val="Hyperlink"/>
          </w:rPr>
          <w:t>Appendix A. Important Links</w:t>
        </w:r>
        <w:r w:rsidR="00120E09">
          <w:rPr>
            <w:webHidden/>
          </w:rPr>
          <w:tab/>
        </w:r>
        <w:r w:rsidR="00120E09">
          <w:rPr>
            <w:webHidden/>
          </w:rPr>
          <w:fldChar w:fldCharType="begin"/>
        </w:r>
        <w:r w:rsidR="00120E09">
          <w:rPr>
            <w:webHidden/>
          </w:rPr>
          <w:instrText xml:space="preserve"> PAGEREF _Toc514677676 \h </w:instrText>
        </w:r>
        <w:r w:rsidR="00120E09">
          <w:rPr>
            <w:webHidden/>
          </w:rPr>
        </w:r>
        <w:r w:rsidR="00120E09">
          <w:rPr>
            <w:webHidden/>
          </w:rPr>
          <w:fldChar w:fldCharType="separate"/>
        </w:r>
        <w:r w:rsidR="00120E09">
          <w:rPr>
            <w:webHidden/>
          </w:rPr>
          <w:t>44</w:t>
        </w:r>
        <w:r w:rsidR="00120E09">
          <w:rPr>
            <w:webHidden/>
          </w:rPr>
          <w:fldChar w:fldCharType="end"/>
        </w:r>
      </w:hyperlink>
    </w:p>
    <w:p w14:paraId="19B8B5E7" w14:textId="77777777" w:rsidR="00120E09" w:rsidRDefault="00055E1E">
      <w:pPr>
        <w:pStyle w:val="TOC2"/>
        <w:rPr>
          <w:rFonts w:asciiTheme="minorHAnsi" w:eastAsiaTheme="minorEastAsia" w:hAnsiTheme="minorHAnsi" w:cstheme="minorBidi"/>
          <w:b w:val="0"/>
          <w:sz w:val="22"/>
          <w:szCs w:val="22"/>
        </w:rPr>
      </w:pPr>
      <w:hyperlink w:anchor="_Toc514677677" w:history="1">
        <w:r w:rsidR="00120E09" w:rsidRPr="00821D43">
          <w:rPr>
            <w:rStyle w:val="Hyperlink"/>
          </w:rPr>
          <w:t>Appendix B. Projects to Reduce Nitrogen Sources</w:t>
        </w:r>
        <w:r w:rsidR="00120E09">
          <w:rPr>
            <w:webHidden/>
          </w:rPr>
          <w:tab/>
        </w:r>
        <w:r w:rsidR="00120E09">
          <w:rPr>
            <w:webHidden/>
          </w:rPr>
          <w:fldChar w:fldCharType="begin"/>
        </w:r>
        <w:r w:rsidR="00120E09">
          <w:rPr>
            <w:webHidden/>
          </w:rPr>
          <w:instrText xml:space="preserve"> PAGEREF _Toc514677677 \h </w:instrText>
        </w:r>
        <w:r w:rsidR="00120E09">
          <w:rPr>
            <w:webHidden/>
          </w:rPr>
        </w:r>
        <w:r w:rsidR="00120E09">
          <w:rPr>
            <w:webHidden/>
          </w:rPr>
          <w:fldChar w:fldCharType="separate"/>
        </w:r>
        <w:r w:rsidR="00120E09">
          <w:rPr>
            <w:webHidden/>
          </w:rPr>
          <w:t>45</w:t>
        </w:r>
        <w:r w:rsidR="00120E09">
          <w:rPr>
            <w:webHidden/>
          </w:rPr>
          <w:fldChar w:fldCharType="end"/>
        </w:r>
      </w:hyperlink>
    </w:p>
    <w:p w14:paraId="5E272952" w14:textId="77777777" w:rsidR="00120E09" w:rsidRDefault="00055E1E">
      <w:pPr>
        <w:pStyle w:val="TOC2"/>
        <w:rPr>
          <w:rFonts w:asciiTheme="minorHAnsi" w:eastAsiaTheme="minorEastAsia" w:hAnsiTheme="minorHAnsi" w:cstheme="minorBidi"/>
          <w:b w:val="0"/>
          <w:sz w:val="22"/>
          <w:szCs w:val="22"/>
        </w:rPr>
      </w:pPr>
      <w:hyperlink w:anchor="_Toc514677678" w:history="1">
        <w:r w:rsidR="00120E09" w:rsidRPr="00821D43">
          <w:rPr>
            <w:rStyle w:val="Hyperlink"/>
          </w:rPr>
          <w:t>Appendix C. PFA Report</w:t>
        </w:r>
        <w:r w:rsidR="00120E09">
          <w:rPr>
            <w:webHidden/>
          </w:rPr>
          <w:tab/>
        </w:r>
        <w:r w:rsidR="00120E09">
          <w:rPr>
            <w:webHidden/>
          </w:rPr>
          <w:fldChar w:fldCharType="begin"/>
        </w:r>
        <w:r w:rsidR="00120E09">
          <w:rPr>
            <w:webHidden/>
          </w:rPr>
          <w:instrText xml:space="preserve"> PAGEREF _Toc514677678 \h </w:instrText>
        </w:r>
        <w:r w:rsidR="00120E09">
          <w:rPr>
            <w:webHidden/>
          </w:rPr>
        </w:r>
        <w:r w:rsidR="00120E09">
          <w:rPr>
            <w:webHidden/>
          </w:rPr>
          <w:fldChar w:fldCharType="separate"/>
        </w:r>
        <w:r w:rsidR="00120E09">
          <w:rPr>
            <w:webHidden/>
          </w:rPr>
          <w:t>49</w:t>
        </w:r>
        <w:r w:rsidR="00120E09">
          <w:rPr>
            <w:webHidden/>
          </w:rPr>
          <w:fldChar w:fldCharType="end"/>
        </w:r>
      </w:hyperlink>
    </w:p>
    <w:p w14:paraId="1F6916CB" w14:textId="77777777" w:rsidR="00120E09" w:rsidRDefault="00055E1E">
      <w:pPr>
        <w:pStyle w:val="TOC2"/>
        <w:rPr>
          <w:rFonts w:asciiTheme="minorHAnsi" w:eastAsiaTheme="minorEastAsia" w:hAnsiTheme="minorHAnsi" w:cstheme="minorBidi"/>
          <w:b w:val="0"/>
          <w:sz w:val="22"/>
          <w:szCs w:val="22"/>
        </w:rPr>
      </w:pPr>
      <w:hyperlink w:anchor="_Toc514677679" w:history="1">
        <w:r w:rsidR="00120E09" w:rsidRPr="00821D43">
          <w:rPr>
            <w:rStyle w:val="Hyperlink"/>
          </w:rPr>
          <w:t>Appendix D. OSTDS Remediation Plan</w:t>
        </w:r>
        <w:r w:rsidR="00120E09">
          <w:rPr>
            <w:webHidden/>
          </w:rPr>
          <w:tab/>
        </w:r>
        <w:r w:rsidR="00120E09">
          <w:rPr>
            <w:webHidden/>
          </w:rPr>
          <w:fldChar w:fldCharType="begin"/>
        </w:r>
        <w:r w:rsidR="00120E09">
          <w:rPr>
            <w:webHidden/>
          </w:rPr>
          <w:instrText xml:space="preserve"> PAGEREF _Toc514677679 \h </w:instrText>
        </w:r>
        <w:r w:rsidR="00120E09">
          <w:rPr>
            <w:webHidden/>
          </w:rPr>
        </w:r>
        <w:r w:rsidR="00120E09">
          <w:rPr>
            <w:webHidden/>
          </w:rPr>
          <w:fldChar w:fldCharType="separate"/>
        </w:r>
        <w:r w:rsidR="00120E09">
          <w:rPr>
            <w:webHidden/>
          </w:rPr>
          <w:t>50</w:t>
        </w:r>
        <w:r w:rsidR="00120E09">
          <w:rPr>
            <w:webHidden/>
          </w:rPr>
          <w:fldChar w:fldCharType="end"/>
        </w:r>
      </w:hyperlink>
    </w:p>
    <w:p w14:paraId="1D9C21B8" w14:textId="77777777" w:rsidR="00120E09" w:rsidRDefault="00055E1E">
      <w:pPr>
        <w:pStyle w:val="TOC2"/>
        <w:rPr>
          <w:rFonts w:asciiTheme="minorHAnsi" w:eastAsiaTheme="minorEastAsia" w:hAnsiTheme="minorHAnsi" w:cstheme="minorBidi"/>
          <w:b w:val="0"/>
          <w:sz w:val="22"/>
          <w:szCs w:val="22"/>
        </w:rPr>
      </w:pPr>
      <w:hyperlink w:anchor="_Toc514677680" w:history="1">
        <w:r w:rsidR="00120E09" w:rsidRPr="00821D43">
          <w:rPr>
            <w:rStyle w:val="Hyperlink"/>
          </w:rPr>
          <w:t>Appendix E. NSILT Report</w:t>
        </w:r>
        <w:r w:rsidR="00120E09">
          <w:rPr>
            <w:webHidden/>
          </w:rPr>
          <w:tab/>
        </w:r>
        <w:r w:rsidR="00120E09">
          <w:rPr>
            <w:webHidden/>
          </w:rPr>
          <w:fldChar w:fldCharType="begin"/>
        </w:r>
        <w:r w:rsidR="00120E09">
          <w:rPr>
            <w:webHidden/>
          </w:rPr>
          <w:instrText xml:space="preserve"> PAGEREF _Toc514677680 \h </w:instrText>
        </w:r>
        <w:r w:rsidR="00120E09">
          <w:rPr>
            <w:webHidden/>
          </w:rPr>
        </w:r>
        <w:r w:rsidR="00120E09">
          <w:rPr>
            <w:webHidden/>
          </w:rPr>
          <w:fldChar w:fldCharType="separate"/>
        </w:r>
        <w:r w:rsidR="00120E09">
          <w:rPr>
            <w:webHidden/>
          </w:rPr>
          <w:t>58</w:t>
        </w:r>
        <w:r w:rsidR="00120E09">
          <w:rPr>
            <w:webHidden/>
          </w:rPr>
          <w:fldChar w:fldCharType="end"/>
        </w:r>
      </w:hyperlink>
    </w:p>
    <w:p w14:paraId="09C65D9F" w14:textId="77777777" w:rsidR="00120E09" w:rsidRDefault="00055E1E">
      <w:pPr>
        <w:pStyle w:val="TOC2"/>
        <w:rPr>
          <w:rFonts w:asciiTheme="minorHAnsi" w:eastAsiaTheme="minorEastAsia" w:hAnsiTheme="minorHAnsi" w:cstheme="minorBidi"/>
          <w:b w:val="0"/>
          <w:sz w:val="22"/>
          <w:szCs w:val="22"/>
        </w:rPr>
      </w:pPr>
      <w:hyperlink w:anchor="_Toc514677681" w:history="1">
        <w:r w:rsidR="00120E09" w:rsidRPr="00821D43">
          <w:rPr>
            <w:rStyle w:val="Hyperlink"/>
          </w:rPr>
          <w:t>Appendix F. FDACS BMPs</w:t>
        </w:r>
        <w:r w:rsidR="00120E09">
          <w:rPr>
            <w:webHidden/>
          </w:rPr>
          <w:tab/>
        </w:r>
        <w:r w:rsidR="00120E09">
          <w:rPr>
            <w:webHidden/>
          </w:rPr>
          <w:fldChar w:fldCharType="begin"/>
        </w:r>
        <w:r w:rsidR="00120E09">
          <w:rPr>
            <w:webHidden/>
          </w:rPr>
          <w:instrText xml:space="preserve"> PAGEREF _Toc514677681 \h </w:instrText>
        </w:r>
        <w:r w:rsidR="00120E09">
          <w:rPr>
            <w:webHidden/>
          </w:rPr>
        </w:r>
        <w:r w:rsidR="00120E09">
          <w:rPr>
            <w:webHidden/>
          </w:rPr>
          <w:fldChar w:fldCharType="separate"/>
        </w:r>
        <w:r w:rsidR="00120E09">
          <w:rPr>
            <w:webHidden/>
          </w:rPr>
          <w:t>62</w:t>
        </w:r>
        <w:r w:rsidR="00120E09">
          <w:rPr>
            <w:webHidden/>
          </w:rPr>
          <w:fldChar w:fldCharType="end"/>
        </w:r>
      </w:hyperlink>
    </w:p>
    <w:p w14:paraId="1A026512" w14:textId="77777777" w:rsidR="00120E09" w:rsidRDefault="00055E1E">
      <w:pPr>
        <w:pStyle w:val="TOC2"/>
        <w:rPr>
          <w:rFonts w:asciiTheme="minorHAnsi" w:eastAsiaTheme="minorEastAsia" w:hAnsiTheme="minorHAnsi" w:cstheme="minorBidi"/>
          <w:b w:val="0"/>
          <w:sz w:val="22"/>
          <w:szCs w:val="22"/>
        </w:rPr>
      </w:pPr>
      <w:hyperlink w:anchor="_Toc514677682" w:history="1">
        <w:r w:rsidR="00120E09" w:rsidRPr="00821D43">
          <w:rPr>
            <w:rStyle w:val="Hyperlink"/>
          </w:rPr>
          <w:t>Appendix G. Future Growth Strategies of Local Jurisdictions</w:t>
        </w:r>
        <w:r w:rsidR="00120E09">
          <w:rPr>
            <w:webHidden/>
          </w:rPr>
          <w:tab/>
        </w:r>
        <w:r w:rsidR="00120E09">
          <w:rPr>
            <w:webHidden/>
          </w:rPr>
          <w:fldChar w:fldCharType="begin"/>
        </w:r>
        <w:r w:rsidR="00120E09">
          <w:rPr>
            <w:webHidden/>
          </w:rPr>
          <w:instrText xml:space="preserve"> PAGEREF _Toc514677682 \h </w:instrText>
        </w:r>
        <w:r w:rsidR="00120E09">
          <w:rPr>
            <w:webHidden/>
          </w:rPr>
        </w:r>
        <w:r w:rsidR="00120E09">
          <w:rPr>
            <w:webHidden/>
          </w:rPr>
          <w:fldChar w:fldCharType="separate"/>
        </w:r>
        <w:r w:rsidR="00120E09">
          <w:rPr>
            <w:webHidden/>
          </w:rPr>
          <w:t>73</w:t>
        </w:r>
        <w:r w:rsidR="00120E09">
          <w:rPr>
            <w:webHidden/>
          </w:rPr>
          <w:fldChar w:fldCharType="end"/>
        </w:r>
      </w:hyperlink>
    </w:p>
    <w:p w14:paraId="2682FC9A" w14:textId="1628F676" w:rsidR="0078497D" w:rsidRPr="001B7DAC" w:rsidRDefault="009D0762">
      <w:pPr>
        <w:pStyle w:val="Bodytextreduced"/>
      </w:pPr>
      <w:r>
        <w:rPr>
          <w:rFonts w:ascii="Times New Roman Bold" w:hAnsi="Times New Roman Bold"/>
          <w:b/>
          <w:smallCaps/>
          <w:sz w:val="24"/>
          <w:szCs w:val="22"/>
        </w:rPr>
        <w:fldChar w:fldCharType="end"/>
      </w:r>
    </w:p>
    <w:p w14:paraId="453D54B9" w14:textId="4E915CE8" w:rsidR="00924991" w:rsidRPr="001B7DAC" w:rsidRDefault="00924991" w:rsidP="001B7DAC">
      <w:pPr>
        <w:pStyle w:val="Bodytextreduced"/>
      </w:pPr>
    </w:p>
    <w:p w14:paraId="0AE589B6" w14:textId="2AB1029E" w:rsidR="00A335E7" w:rsidRDefault="00A335E7">
      <w:pPr>
        <w:jc w:val="left"/>
        <w:rPr>
          <w:rFonts w:ascii="Times New Roman" w:hAnsi="Times New Roman"/>
          <w:b/>
          <w:sz w:val="28"/>
          <w:szCs w:val="28"/>
        </w:rPr>
      </w:pPr>
      <w:r>
        <w:rPr>
          <w:rFonts w:ascii="Times New Roman" w:hAnsi="Times New Roman"/>
          <w:b/>
          <w:sz w:val="28"/>
          <w:szCs w:val="28"/>
        </w:rPr>
        <w:br w:type="page"/>
      </w:r>
    </w:p>
    <w:p w14:paraId="06A356AA" w14:textId="17BB015A" w:rsidR="00A335E7" w:rsidRDefault="00A335E7" w:rsidP="00CC78A0">
      <w:pPr>
        <w:pStyle w:val="Heading1A0"/>
      </w:pPr>
      <w:bookmarkStart w:id="12" w:name="_Toc514677645"/>
      <w:r>
        <w:lastRenderedPageBreak/>
        <w:t>List of Figures</w:t>
      </w:r>
      <w:bookmarkEnd w:id="12"/>
    </w:p>
    <w:p w14:paraId="545A800B" w14:textId="7592F054" w:rsidR="002A2E30" w:rsidRDefault="00A335E7" w:rsidP="00A335E7">
      <w:pPr>
        <w:pStyle w:val="TableofFigures"/>
      </w:pPr>
      <w:r>
        <w:rPr>
          <w:b/>
          <w:sz w:val="28"/>
          <w:szCs w:val="28"/>
        </w:rPr>
        <w:fldChar w:fldCharType="begin"/>
      </w:r>
      <w:r>
        <w:rPr>
          <w:b/>
          <w:sz w:val="28"/>
          <w:szCs w:val="28"/>
        </w:rPr>
        <w:instrText xml:space="preserve"> TOC \h \z \c "Figure ES-" </w:instrText>
      </w:r>
      <w:r>
        <w:rPr>
          <w:b/>
          <w:sz w:val="28"/>
          <w:szCs w:val="28"/>
        </w:rPr>
        <w:fldChar w:fldCharType="separate"/>
      </w:r>
      <w:hyperlink w:anchor="_Toc514430688" w:history="1">
        <w:r w:rsidR="002A2E30" w:rsidRPr="007649EF">
          <w:rPr>
            <w:rStyle w:val="Hyperlink"/>
          </w:rPr>
          <w:t>Figure ES- 1. Jackson Blue BMAP and PFA boundaries</w:t>
        </w:r>
        <w:r w:rsidR="002A2E30">
          <w:rPr>
            <w:webHidden/>
          </w:rPr>
          <w:tab/>
        </w:r>
        <w:r w:rsidR="002A2E30">
          <w:rPr>
            <w:webHidden/>
          </w:rPr>
          <w:fldChar w:fldCharType="begin"/>
        </w:r>
        <w:r w:rsidR="002A2E30">
          <w:rPr>
            <w:webHidden/>
          </w:rPr>
          <w:instrText xml:space="preserve"> PAGEREF _Toc514430688 \h </w:instrText>
        </w:r>
        <w:r w:rsidR="002A2E30">
          <w:rPr>
            <w:webHidden/>
          </w:rPr>
        </w:r>
        <w:r w:rsidR="002A2E30">
          <w:rPr>
            <w:webHidden/>
          </w:rPr>
          <w:fldChar w:fldCharType="separate"/>
        </w:r>
        <w:r w:rsidR="002A2E30">
          <w:rPr>
            <w:webHidden/>
          </w:rPr>
          <w:t>11</w:t>
        </w:r>
        <w:r w:rsidR="002A2E30">
          <w:rPr>
            <w:webHidden/>
          </w:rPr>
          <w:fldChar w:fldCharType="end"/>
        </w:r>
      </w:hyperlink>
      <w:r>
        <w:rPr>
          <w:b/>
          <w:sz w:val="28"/>
          <w:szCs w:val="28"/>
        </w:rPr>
        <w:fldChar w:fldCharType="end"/>
      </w:r>
      <w:r>
        <w:rPr>
          <w:b/>
          <w:sz w:val="28"/>
          <w:szCs w:val="28"/>
        </w:rPr>
        <w:fldChar w:fldCharType="begin"/>
      </w:r>
      <w:r>
        <w:rPr>
          <w:b/>
          <w:sz w:val="28"/>
          <w:szCs w:val="28"/>
        </w:rPr>
        <w:instrText xml:space="preserve"> TOC \h \z \c "Figure" </w:instrText>
      </w:r>
      <w:r>
        <w:rPr>
          <w:b/>
          <w:sz w:val="28"/>
          <w:szCs w:val="28"/>
        </w:rPr>
        <w:fldChar w:fldCharType="separate"/>
      </w:r>
    </w:p>
    <w:p w14:paraId="2EEF17E3" w14:textId="77777777" w:rsidR="002A2E30" w:rsidRDefault="00055E1E">
      <w:pPr>
        <w:pStyle w:val="TableofFigures"/>
        <w:rPr>
          <w:rFonts w:asciiTheme="minorHAnsi" w:hAnsiTheme="minorHAnsi"/>
          <w:sz w:val="22"/>
        </w:rPr>
      </w:pPr>
      <w:hyperlink w:anchor="_Toc514430776" w:history="1">
        <w:r w:rsidR="002A2E30" w:rsidRPr="00EE2687">
          <w:rPr>
            <w:rStyle w:val="Hyperlink"/>
          </w:rPr>
          <w:t>Figure 1. Jackson Blue BMAP and PFA boundaries</w:t>
        </w:r>
        <w:r w:rsidR="002A2E30">
          <w:rPr>
            <w:webHidden/>
          </w:rPr>
          <w:tab/>
        </w:r>
        <w:r w:rsidR="002A2E30">
          <w:rPr>
            <w:webHidden/>
          </w:rPr>
          <w:fldChar w:fldCharType="begin"/>
        </w:r>
        <w:r w:rsidR="002A2E30">
          <w:rPr>
            <w:webHidden/>
          </w:rPr>
          <w:instrText xml:space="preserve"> PAGEREF _Toc514430776 \h </w:instrText>
        </w:r>
        <w:r w:rsidR="002A2E30">
          <w:rPr>
            <w:webHidden/>
          </w:rPr>
        </w:r>
        <w:r w:rsidR="002A2E30">
          <w:rPr>
            <w:webHidden/>
          </w:rPr>
          <w:fldChar w:fldCharType="separate"/>
        </w:r>
        <w:r w:rsidR="004B636C">
          <w:rPr>
            <w:webHidden/>
          </w:rPr>
          <w:t>15</w:t>
        </w:r>
        <w:r w:rsidR="002A2E30">
          <w:rPr>
            <w:webHidden/>
          </w:rPr>
          <w:fldChar w:fldCharType="end"/>
        </w:r>
      </w:hyperlink>
    </w:p>
    <w:p w14:paraId="25743CE7" w14:textId="77777777" w:rsidR="002A2E30" w:rsidRDefault="00055E1E">
      <w:pPr>
        <w:pStyle w:val="TableofFigures"/>
        <w:rPr>
          <w:rFonts w:asciiTheme="minorHAnsi" w:hAnsiTheme="minorHAnsi"/>
          <w:sz w:val="22"/>
        </w:rPr>
      </w:pPr>
      <w:hyperlink w:anchor="_Toc514430777" w:history="1">
        <w:r w:rsidR="002A2E30" w:rsidRPr="00EE2687">
          <w:rPr>
            <w:rStyle w:val="Hyperlink"/>
          </w:rPr>
          <w:t>Figure 2. Loading to groundwater by source in the BMAP area</w:t>
        </w:r>
        <w:r w:rsidR="002A2E30">
          <w:rPr>
            <w:webHidden/>
          </w:rPr>
          <w:tab/>
        </w:r>
        <w:r w:rsidR="002A2E30">
          <w:rPr>
            <w:webHidden/>
          </w:rPr>
          <w:fldChar w:fldCharType="begin"/>
        </w:r>
        <w:r w:rsidR="002A2E30">
          <w:rPr>
            <w:webHidden/>
          </w:rPr>
          <w:instrText xml:space="preserve"> PAGEREF _Toc514430777 \h </w:instrText>
        </w:r>
        <w:r w:rsidR="002A2E30">
          <w:rPr>
            <w:webHidden/>
          </w:rPr>
        </w:r>
        <w:r w:rsidR="002A2E30">
          <w:rPr>
            <w:webHidden/>
          </w:rPr>
          <w:fldChar w:fldCharType="separate"/>
        </w:r>
        <w:r w:rsidR="004B636C">
          <w:rPr>
            <w:webHidden/>
          </w:rPr>
          <w:t>23</w:t>
        </w:r>
        <w:r w:rsidR="002A2E30">
          <w:rPr>
            <w:webHidden/>
          </w:rPr>
          <w:fldChar w:fldCharType="end"/>
        </w:r>
      </w:hyperlink>
    </w:p>
    <w:p w14:paraId="775130CC" w14:textId="77777777" w:rsidR="002A2E30" w:rsidRDefault="00055E1E">
      <w:pPr>
        <w:pStyle w:val="TableofFigures"/>
        <w:rPr>
          <w:rFonts w:asciiTheme="minorHAnsi" w:hAnsiTheme="minorHAnsi"/>
          <w:sz w:val="22"/>
        </w:rPr>
      </w:pPr>
      <w:hyperlink w:anchor="_Toc514430778" w:history="1">
        <w:r w:rsidR="002A2E30" w:rsidRPr="00EE2687">
          <w:rPr>
            <w:rStyle w:val="Hyperlink"/>
          </w:rPr>
          <w:t>Figure 3. OSTDS locations in the BMAP area</w:t>
        </w:r>
        <w:r w:rsidR="002A2E30">
          <w:rPr>
            <w:webHidden/>
          </w:rPr>
          <w:tab/>
        </w:r>
        <w:r w:rsidR="002A2E30">
          <w:rPr>
            <w:webHidden/>
          </w:rPr>
          <w:fldChar w:fldCharType="begin"/>
        </w:r>
        <w:r w:rsidR="002A2E30">
          <w:rPr>
            <w:webHidden/>
          </w:rPr>
          <w:instrText xml:space="preserve"> PAGEREF _Toc514430778 \h </w:instrText>
        </w:r>
        <w:r w:rsidR="002A2E30">
          <w:rPr>
            <w:webHidden/>
          </w:rPr>
        </w:r>
        <w:r w:rsidR="002A2E30">
          <w:rPr>
            <w:webHidden/>
          </w:rPr>
          <w:fldChar w:fldCharType="separate"/>
        </w:r>
        <w:r w:rsidR="004B636C">
          <w:rPr>
            <w:webHidden/>
          </w:rPr>
          <w:t>27</w:t>
        </w:r>
        <w:r w:rsidR="002A2E30">
          <w:rPr>
            <w:webHidden/>
          </w:rPr>
          <w:fldChar w:fldCharType="end"/>
        </w:r>
      </w:hyperlink>
    </w:p>
    <w:p w14:paraId="5981FB45" w14:textId="211AAF91" w:rsidR="002A2E30" w:rsidRDefault="00055E1E" w:rsidP="003B3D6D">
      <w:pPr>
        <w:pStyle w:val="TableofFigures"/>
      </w:pPr>
      <w:hyperlink w:anchor="_Toc514430779" w:history="1">
        <w:r w:rsidR="002A2E30" w:rsidRPr="00EE2687">
          <w:rPr>
            <w:rStyle w:val="Hyperlink"/>
          </w:rPr>
          <w:t>Figure 4. Groundwater and surface water stations sampled in the Jackson Blue BMAP area</w:t>
        </w:r>
        <w:r w:rsidR="002A2E30">
          <w:rPr>
            <w:webHidden/>
          </w:rPr>
          <w:tab/>
        </w:r>
        <w:r w:rsidR="002A2E30">
          <w:rPr>
            <w:webHidden/>
          </w:rPr>
          <w:fldChar w:fldCharType="begin"/>
        </w:r>
        <w:r w:rsidR="002A2E30">
          <w:rPr>
            <w:webHidden/>
          </w:rPr>
          <w:instrText xml:space="preserve"> PAGEREF _Toc514430779 \h </w:instrText>
        </w:r>
        <w:r w:rsidR="002A2E30">
          <w:rPr>
            <w:webHidden/>
          </w:rPr>
        </w:r>
        <w:r w:rsidR="002A2E30">
          <w:rPr>
            <w:webHidden/>
          </w:rPr>
          <w:fldChar w:fldCharType="separate"/>
        </w:r>
        <w:r w:rsidR="004B636C">
          <w:rPr>
            <w:webHidden/>
          </w:rPr>
          <w:t>41</w:t>
        </w:r>
        <w:r w:rsidR="002A2E30">
          <w:rPr>
            <w:webHidden/>
          </w:rPr>
          <w:fldChar w:fldCharType="end"/>
        </w:r>
      </w:hyperlink>
      <w:r w:rsidR="00A335E7">
        <w:rPr>
          <w:b/>
          <w:sz w:val="28"/>
          <w:szCs w:val="28"/>
        </w:rPr>
        <w:fldChar w:fldCharType="end"/>
      </w:r>
      <w:r w:rsidR="003B3D6D">
        <w:rPr>
          <w:b/>
          <w:sz w:val="28"/>
          <w:szCs w:val="28"/>
        </w:rPr>
        <w:fldChar w:fldCharType="begin"/>
      </w:r>
      <w:r w:rsidR="003B3D6D">
        <w:rPr>
          <w:b/>
          <w:sz w:val="28"/>
          <w:szCs w:val="28"/>
        </w:rPr>
        <w:instrText xml:space="preserve"> TOC \h \z \c "Figure D-" </w:instrText>
      </w:r>
      <w:r w:rsidR="003B3D6D">
        <w:rPr>
          <w:b/>
          <w:sz w:val="28"/>
          <w:szCs w:val="28"/>
        </w:rPr>
        <w:fldChar w:fldCharType="separate"/>
      </w:r>
    </w:p>
    <w:p w14:paraId="1B5E9C2C" w14:textId="17CE1AA1" w:rsidR="002A2E30" w:rsidRDefault="00055E1E" w:rsidP="00790286">
      <w:pPr>
        <w:pStyle w:val="TableofFigures"/>
      </w:pPr>
      <w:hyperlink w:anchor="_Toc514430689" w:history="1">
        <w:r w:rsidR="002A2E30" w:rsidRPr="00E9789C">
          <w:rPr>
            <w:rStyle w:val="Hyperlink"/>
          </w:rPr>
          <w:t>Figure D-1. OSTDS locations in the BMAP area</w:t>
        </w:r>
        <w:r w:rsidR="002A2E30">
          <w:rPr>
            <w:webHidden/>
          </w:rPr>
          <w:tab/>
        </w:r>
        <w:r w:rsidR="002A2E30">
          <w:rPr>
            <w:webHidden/>
          </w:rPr>
          <w:fldChar w:fldCharType="begin"/>
        </w:r>
        <w:r w:rsidR="002A2E30">
          <w:rPr>
            <w:webHidden/>
          </w:rPr>
          <w:instrText xml:space="preserve"> PAGEREF _Toc514430689 \h </w:instrText>
        </w:r>
        <w:r w:rsidR="002A2E30">
          <w:rPr>
            <w:webHidden/>
          </w:rPr>
        </w:r>
        <w:r w:rsidR="002A2E30">
          <w:rPr>
            <w:webHidden/>
          </w:rPr>
          <w:fldChar w:fldCharType="separate"/>
        </w:r>
        <w:r w:rsidR="004B636C">
          <w:rPr>
            <w:webHidden/>
          </w:rPr>
          <w:t>54</w:t>
        </w:r>
        <w:r w:rsidR="002A2E30">
          <w:rPr>
            <w:webHidden/>
          </w:rPr>
          <w:fldChar w:fldCharType="end"/>
        </w:r>
      </w:hyperlink>
      <w:r w:rsidR="003B3D6D">
        <w:rPr>
          <w:b/>
          <w:sz w:val="28"/>
          <w:szCs w:val="28"/>
        </w:rPr>
        <w:fldChar w:fldCharType="end"/>
      </w:r>
      <w:r w:rsidR="00790286">
        <w:rPr>
          <w:b/>
          <w:sz w:val="28"/>
          <w:szCs w:val="28"/>
        </w:rPr>
        <w:fldChar w:fldCharType="begin"/>
      </w:r>
      <w:r w:rsidR="00790286">
        <w:rPr>
          <w:b/>
          <w:sz w:val="28"/>
          <w:szCs w:val="28"/>
        </w:rPr>
        <w:instrText xml:space="preserve"> TOC \h \z \c "Figure F-" </w:instrText>
      </w:r>
      <w:r w:rsidR="00790286">
        <w:rPr>
          <w:b/>
          <w:sz w:val="28"/>
          <w:szCs w:val="28"/>
        </w:rPr>
        <w:fldChar w:fldCharType="separate"/>
      </w:r>
    </w:p>
    <w:p w14:paraId="179A1549" w14:textId="77777777" w:rsidR="002A2E30" w:rsidRDefault="00055E1E">
      <w:pPr>
        <w:pStyle w:val="TableofFigures"/>
        <w:rPr>
          <w:rFonts w:asciiTheme="minorHAnsi" w:hAnsiTheme="minorHAnsi"/>
          <w:sz w:val="22"/>
        </w:rPr>
      </w:pPr>
      <w:hyperlink w:anchor="_Toc514430690" w:history="1">
        <w:r w:rsidR="002A2E30" w:rsidRPr="00612E04">
          <w:rPr>
            <w:rStyle w:val="Hyperlink"/>
          </w:rPr>
          <w:t>Figure F-1. Agricultural lands in the Jackson Blue Springshed and Merritts Mill Pond Basin</w:t>
        </w:r>
        <w:r w:rsidR="002A2E30">
          <w:rPr>
            <w:webHidden/>
          </w:rPr>
          <w:tab/>
        </w:r>
        <w:r w:rsidR="002A2E30">
          <w:rPr>
            <w:webHidden/>
          </w:rPr>
          <w:fldChar w:fldCharType="begin"/>
        </w:r>
        <w:r w:rsidR="002A2E30">
          <w:rPr>
            <w:webHidden/>
          </w:rPr>
          <w:instrText xml:space="preserve"> PAGEREF _Toc514430690 \h </w:instrText>
        </w:r>
        <w:r w:rsidR="002A2E30">
          <w:rPr>
            <w:webHidden/>
          </w:rPr>
        </w:r>
        <w:r w:rsidR="002A2E30">
          <w:rPr>
            <w:webHidden/>
          </w:rPr>
          <w:fldChar w:fldCharType="separate"/>
        </w:r>
        <w:r w:rsidR="004B636C">
          <w:rPr>
            <w:webHidden/>
          </w:rPr>
          <w:t>65</w:t>
        </w:r>
        <w:r w:rsidR="002A2E30">
          <w:rPr>
            <w:webHidden/>
          </w:rPr>
          <w:fldChar w:fldCharType="end"/>
        </w:r>
      </w:hyperlink>
    </w:p>
    <w:p w14:paraId="057CD03F" w14:textId="09B811E3" w:rsidR="002A2E30" w:rsidRDefault="00790286" w:rsidP="002A2E30">
      <w:pPr>
        <w:pStyle w:val="TableofFigures"/>
        <w:rPr>
          <w:b/>
          <w:sz w:val="28"/>
          <w:szCs w:val="28"/>
        </w:rPr>
      </w:pPr>
      <w:r>
        <w:rPr>
          <w:b/>
          <w:sz w:val="28"/>
          <w:szCs w:val="28"/>
        </w:rPr>
        <w:fldChar w:fldCharType="end"/>
      </w:r>
      <w:r w:rsidR="00002D8F">
        <w:rPr>
          <w:b/>
          <w:sz w:val="28"/>
          <w:szCs w:val="28"/>
        </w:rPr>
        <w:br w:type="page"/>
      </w:r>
    </w:p>
    <w:p w14:paraId="33515C4A" w14:textId="013ECF13" w:rsidR="00002D8F" w:rsidRDefault="00002D8F">
      <w:pPr>
        <w:jc w:val="left"/>
        <w:rPr>
          <w:rFonts w:ascii="Times New Roman" w:hAnsi="Times New Roman"/>
          <w:b/>
          <w:sz w:val="28"/>
          <w:szCs w:val="28"/>
        </w:rPr>
      </w:pPr>
    </w:p>
    <w:p w14:paraId="126F21E1" w14:textId="7B457974" w:rsidR="0084643F" w:rsidRPr="00693DEF" w:rsidRDefault="00841F96" w:rsidP="00CC78A0">
      <w:pPr>
        <w:pStyle w:val="Heading1A0"/>
      </w:pPr>
      <w:bookmarkStart w:id="13" w:name="_Toc514677646"/>
      <w:r w:rsidRPr="00693DEF">
        <w:t>List of Tables</w:t>
      </w:r>
      <w:bookmarkEnd w:id="13"/>
    </w:p>
    <w:bookmarkStart w:id="14" w:name="_Toc159831620"/>
    <w:p w14:paraId="760494F3" w14:textId="4AA163D8" w:rsidR="003B3D6D" w:rsidRDefault="00A335E7" w:rsidP="003B3D6D">
      <w:pPr>
        <w:pStyle w:val="TableofFigures"/>
      </w:pPr>
      <w:r>
        <w:fldChar w:fldCharType="begin"/>
      </w:r>
      <w:r>
        <w:instrText xml:space="preserve"> TOC \h \z \c "Table A-" </w:instrText>
      </w:r>
      <w:r>
        <w:fldChar w:fldCharType="separate"/>
      </w:r>
      <w:hyperlink w:anchor="_Toc514430940" w:history="1">
        <w:r w:rsidR="002A2E30" w:rsidRPr="00981FF7">
          <w:rPr>
            <w:rStyle w:val="Hyperlink"/>
          </w:rPr>
          <w:t>Table A-1. Jackson Blue Basin stakeholders</w:t>
        </w:r>
        <w:r w:rsidR="002A2E30">
          <w:rPr>
            <w:webHidden/>
          </w:rPr>
          <w:tab/>
        </w:r>
        <w:r w:rsidR="002A2E30">
          <w:rPr>
            <w:webHidden/>
          </w:rPr>
          <w:fldChar w:fldCharType="begin"/>
        </w:r>
        <w:r w:rsidR="002A2E30">
          <w:rPr>
            <w:webHidden/>
          </w:rPr>
          <w:instrText xml:space="preserve"> PAGEREF _Toc514430940 \h </w:instrText>
        </w:r>
        <w:r w:rsidR="002A2E30">
          <w:rPr>
            <w:webHidden/>
          </w:rPr>
        </w:r>
        <w:r w:rsidR="002A2E30">
          <w:rPr>
            <w:webHidden/>
          </w:rPr>
          <w:fldChar w:fldCharType="separate"/>
        </w:r>
        <w:r w:rsidR="004B636C">
          <w:rPr>
            <w:webHidden/>
          </w:rPr>
          <w:t>2</w:t>
        </w:r>
        <w:r w:rsidR="002A2E30">
          <w:rPr>
            <w:webHidden/>
          </w:rPr>
          <w:fldChar w:fldCharType="end"/>
        </w:r>
      </w:hyperlink>
      <w:r>
        <w:fldChar w:fldCharType="end"/>
      </w:r>
    </w:p>
    <w:p w14:paraId="0794CE0F" w14:textId="2C803468" w:rsidR="002A2E30" w:rsidRDefault="003B3D6D" w:rsidP="003B3D6D">
      <w:pPr>
        <w:pStyle w:val="TableofFigures"/>
      </w:pPr>
      <w:r>
        <w:fldChar w:fldCharType="begin"/>
      </w:r>
      <w:r>
        <w:instrText xml:space="preserve"> TOC \h \z \c "Table ES-" </w:instrText>
      </w:r>
      <w:r>
        <w:fldChar w:fldCharType="separate"/>
      </w:r>
      <w:hyperlink w:anchor="_Toc514430946" w:history="1">
        <w:r w:rsidR="002A2E30" w:rsidRPr="00355EA9">
          <w:rPr>
            <w:rStyle w:val="Hyperlink"/>
          </w:rPr>
          <w:t>Table ES-1. WWTF effluent standards</w:t>
        </w:r>
        <w:r w:rsidR="002A2E30">
          <w:rPr>
            <w:webHidden/>
          </w:rPr>
          <w:tab/>
        </w:r>
        <w:r w:rsidR="002A2E30">
          <w:rPr>
            <w:webHidden/>
          </w:rPr>
          <w:fldChar w:fldCharType="begin"/>
        </w:r>
        <w:r w:rsidR="002A2E30">
          <w:rPr>
            <w:webHidden/>
          </w:rPr>
          <w:instrText xml:space="preserve"> PAGEREF _Toc514430946 \h </w:instrText>
        </w:r>
        <w:r w:rsidR="002A2E30">
          <w:rPr>
            <w:webHidden/>
          </w:rPr>
        </w:r>
        <w:r w:rsidR="002A2E30">
          <w:rPr>
            <w:webHidden/>
          </w:rPr>
          <w:fldChar w:fldCharType="separate"/>
        </w:r>
        <w:r w:rsidR="00C061F3">
          <w:rPr>
            <w:webHidden/>
          </w:rPr>
          <w:t>11</w:t>
        </w:r>
        <w:r w:rsidR="002A2E30">
          <w:rPr>
            <w:webHidden/>
          </w:rPr>
          <w:fldChar w:fldCharType="end"/>
        </w:r>
      </w:hyperlink>
      <w:r>
        <w:fldChar w:fldCharType="end"/>
      </w:r>
      <w:r w:rsidR="00A335E7">
        <w:fldChar w:fldCharType="begin"/>
      </w:r>
      <w:r w:rsidR="00A335E7">
        <w:instrText xml:space="preserve"> TOC \h \z \c "Table" </w:instrText>
      </w:r>
      <w:r w:rsidR="00A335E7">
        <w:fldChar w:fldCharType="separate"/>
      </w:r>
    </w:p>
    <w:p w14:paraId="72B1CEC4" w14:textId="77777777" w:rsidR="002A2E30" w:rsidRDefault="00055E1E">
      <w:pPr>
        <w:pStyle w:val="TableofFigures"/>
        <w:rPr>
          <w:rFonts w:asciiTheme="minorHAnsi" w:hAnsiTheme="minorHAnsi"/>
          <w:sz w:val="22"/>
        </w:rPr>
      </w:pPr>
      <w:hyperlink w:anchor="_Toc514430951" w:history="1">
        <w:r w:rsidR="002A2E30" w:rsidRPr="00901FBF">
          <w:rPr>
            <w:rStyle w:val="Hyperlink"/>
          </w:rPr>
          <w:t>Table 1. Restoration targets for Jackson Blue Spring and Merritts Mill Pond</w:t>
        </w:r>
        <w:r w:rsidR="002A2E30">
          <w:rPr>
            <w:webHidden/>
          </w:rPr>
          <w:tab/>
        </w:r>
        <w:r w:rsidR="002A2E30">
          <w:rPr>
            <w:webHidden/>
          </w:rPr>
          <w:fldChar w:fldCharType="begin"/>
        </w:r>
        <w:r w:rsidR="002A2E30">
          <w:rPr>
            <w:webHidden/>
          </w:rPr>
          <w:instrText xml:space="preserve"> PAGEREF _Toc514430951 \h </w:instrText>
        </w:r>
        <w:r w:rsidR="002A2E30">
          <w:rPr>
            <w:webHidden/>
          </w:rPr>
        </w:r>
        <w:r w:rsidR="002A2E30">
          <w:rPr>
            <w:webHidden/>
          </w:rPr>
          <w:fldChar w:fldCharType="separate"/>
        </w:r>
        <w:r w:rsidR="00C061F3">
          <w:rPr>
            <w:webHidden/>
          </w:rPr>
          <w:t>13</w:t>
        </w:r>
        <w:r w:rsidR="002A2E30">
          <w:rPr>
            <w:webHidden/>
          </w:rPr>
          <w:fldChar w:fldCharType="end"/>
        </w:r>
      </w:hyperlink>
    </w:p>
    <w:p w14:paraId="2A5633AF" w14:textId="77777777" w:rsidR="002A2E30" w:rsidRDefault="00055E1E">
      <w:pPr>
        <w:pStyle w:val="TableofFigures"/>
        <w:rPr>
          <w:rFonts w:asciiTheme="minorHAnsi" w:hAnsiTheme="minorHAnsi"/>
          <w:sz w:val="22"/>
        </w:rPr>
      </w:pPr>
      <w:hyperlink w:anchor="_Toc514430952" w:history="1">
        <w:r w:rsidR="002A2E30" w:rsidRPr="00901FBF">
          <w:rPr>
            <w:rStyle w:val="Hyperlink"/>
          </w:rPr>
          <w:t>Table 2. BMPs and BMP manuals adopted by rule as of June 2017</w:t>
        </w:r>
        <w:r w:rsidR="002A2E30">
          <w:rPr>
            <w:webHidden/>
          </w:rPr>
          <w:tab/>
        </w:r>
        <w:r w:rsidR="002A2E30">
          <w:rPr>
            <w:webHidden/>
          </w:rPr>
          <w:fldChar w:fldCharType="begin"/>
        </w:r>
        <w:r w:rsidR="002A2E30">
          <w:rPr>
            <w:webHidden/>
          </w:rPr>
          <w:instrText xml:space="preserve"> PAGEREF _Toc514430952 \h </w:instrText>
        </w:r>
        <w:r w:rsidR="002A2E30">
          <w:rPr>
            <w:webHidden/>
          </w:rPr>
        </w:r>
        <w:r w:rsidR="002A2E30">
          <w:rPr>
            <w:webHidden/>
          </w:rPr>
          <w:fldChar w:fldCharType="separate"/>
        </w:r>
        <w:r w:rsidR="00C061F3">
          <w:rPr>
            <w:webHidden/>
          </w:rPr>
          <w:t>18</w:t>
        </w:r>
        <w:r w:rsidR="002A2E30">
          <w:rPr>
            <w:webHidden/>
          </w:rPr>
          <w:fldChar w:fldCharType="end"/>
        </w:r>
      </w:hyperlink>
    </w:p>
    <w:p w14:paraId="48098B6D" w14:textId="77777777" w:rsidR="002A2E30" w:rsidRDefault="00055E1E">
      <w:pPr>
        <w:pStyle w:val="TableofFigures"/>
        <w:rPr>
          <w:rFonts w:asciiTheme="minorHAnsi" w:hAnsiTheme="minorHAnsi"/>
          <w:sz w:val="22"/>
        </w:rPr>
      </w:pPr>
      <w:hyperlink w:anchor="_Toc514430953" w:history="1">
        <w:r w:rsidR="002A2E30" w:rsidRPr="00901FBF">
          <w:rPr>
            <w:rStyle w:val="Hyperlink"/>
          </w:rPr>
          <w:t>Table 3. Estimated nitrogen load to groundwater by source in the BMAP area</w:t>
        </w:r>
        <w:r w:rsidR="002A2E30">
          <w:rPr>
            <w:webHidden/>
          </w:rPr>
          <w:tab/>
        </w:r>
        <w:r w:rsidR="002A2E30">
          <w:rPr>
            <w:webHidden/>
          </w:rPr>
          <w:fldChar w:fldCharType="begin"/>
        </w:r>
        <w:r w:rsidR="002A2E30">
          <w:rPr>
            <w:webHidden/>
          </w:rPr>
          <w:instrText xml:space="preserve"> PAGEREF _Toc514430953 \h </w:instrText>
        </w:r>
        <w:r w:rsidR="002A2E30">
          <w:rPr>
            <w:webHidden/>
          </w:rPr>
        </w:r>
        <w:r w:rsidR="002A2E30">
          <w:rPr>
            <w:webHidden/>
          </w:rPr>
          <w:fldChar w:fldCharType="separate"/>
        </w:r>
        <w:r w:rsidR="00C061F3">
          <w:rPr>
            <w:webHidden/>
          </w:rPr>
          <w:t>20</w:t>
        </w:r>
        <w:r w:rsidR="002A2E30">
          <w:rPr>
            <w:webHidden/>
          </w:rPr>
          <w:fldChar w:fldCharType="end"/>
        </w:r>
      </w:hyperlink>
    </w:p>
    <w:p w14:paraId="3136C00C" w14:textId="77777777" w:rsidR="002A2E30" w:rsidRDefault="00055E1E">
      <w:pPr>
        <w:pStyle w:val="TableofFigures"/>
        <w:rPr>
          <w:rFonts w:asciiTheme="minorHAnsi" w:hAnsiTheme="minorHAnsi"/>
          <w:sz w:val="22"/>
        </w:rPr>
      </w:pPr>
      <w:hyperlink w:anchor="_Toc514430954" w:history="1">
        <w:r w:rsidR="002A2E30" w:rsidRPr="00901FBF">
          <w:rPr>
            <w:rStyle w:val="Hyperlink"/>
          </w:rPr>
          <w:t>Table 4. Total reductions to meet the TMDLs</w:t>
        </w:r>
        <w:r w:rsidR="002A2E30">
          <w:rPr>
            <w:webHidden/>
          </w:rPr>
          <w:tab/>
        </w:r>
        <w:r w:rsidR="002A2E30">
          <w:rPr>
            <w:webHidden/>
          </w:rPr>
          <w:fldChar w:fldCharType="begin"/>
        </w:r>
        <w:r w:rsidR="002A2E30">
          <w:rPr>
            <w:webHidden/>
          </w:rPr>
          <w:instrText xml:space="preserve"> PAGEREF _Toc514430954 \h </w:instrText>
        </w:r>
        <w:r w:rsidR="002A2E30">
          <w:rPr>
            <w:webHidden/>
          </w:rPr>
        </w:r>
        <w:r w:rsidR="002A2E30">
          <w:rPr>
            <w:webHidden/>
          </w:rPr>
          <w:fldChar w:fldCharType="separate"/>
        </w:r>
        <w:r w:rsidR="00C061F3">
          <w:rPr>
            <w:webHidden/>
          </w:rPr>
          <w:t>23</w:t>
        </w:r>
        <w:r w:rsidR="002A2E30">
          <w:rPr>
            <w:webHidden/>
          </w:rPr>
          <w:fldChar w:fldCharType="end"/>
        </w:r>
      </w:hyperlink>
    </w:p>
    <w:p w14:paraId="1C7251F8" w14:textId="77777777" w:rsidR="002A2E30" w:rsidRDefault="00055E1E">
      <w:pPr>
        <w:pStyle w:val="TableofFigures"/>
        <w:rPr>
          <w:rFonts w:asciiTheme="minorHAnsi" w:hAnsiTheme="minorHAnsi"/>
          <w:sz w:val="22"/>
        </w:rPr>
      </w:pPr>
      <w:hyperlink w:anchor="_Toc514430955" w:history="1">
        <w:r w:rsidR="002A2E30" w:rsidRPr="00901FBF">
          <w:rPr>
            <w:rStyle w:val="Hyperlink"/>
          </w:rPr>
          <w:t>Table 5. Nitrogen reduction schedule (lb-N/yr)</w:t>
        </w:r>
        <w:r w:rsidR="002A2E30">
          <w:rPr>
            <w:webHidden/>
          </w:rPr>
          <w:tab/>
        </w:r>
        <w:r w:rsidR="002A2E30">
          <w:rPr>
            <w:webHidden/>
          </w:rPr>
          <w:fldChar w:fldCharType="begin"/>
        </w:r>
        <w:r w:rsidR="002A2E30">
          <w:rPr>
            <w:webHidden/>
          </w:rPr>
          <w:instrText xml:space="preserve"> PAGEREF _Toc514430955 \h </w:instrText>
        </w:r>
        <w:r w:rsidR="002A2E30">
          <w:rPr>
            <w:webHidden/>
          </w:rPr>
        </w:r>
        <w:r w:rsidR="002A2E30">
          <w:rPr>
            <w:webHidden/>
          </w:rPr>
          <w:fldChar w:fldCharType="separate"/>
        </w:r>
        <w:r w:rsidR="00C061F3">
          <w:rPr>
            <w:webHidden/>
          </w:rPr>
          <w:t>24</w:t>
        </w:r>
        <w:r w:rsidR="002A2E30">
          <w:rPr>
            <w:webHidden/>
          </w:rPr>
          <w:fldChar w:fldCharType="end"/>
        </w:r>
      </w:hyperlink>
    </w:p>
    <w:p w14:paraId="68BF671D" w14:textId="77777777" w:rsidR="002A2E30" w:rsidRDefault="00055E1E">
      <w:pPr>
        <w:pStyle w:val="TableofFigures"/>
        <w:rPr>
          <w:rFonts w:asciiTheme="minorHAnsi" w:hAnsiTheme="minorHAnsi"/>
          <w:sz w:val="22"/>
        </w:rPr>
      </w:pPr>
      <w:hyperlink w:anchor="_Toc514430956" w:history="1">
        <w:r w:rsidR="002A2E30" w:rsidRPr="00901FBF">
          <w:rPr>
            <w:rStyle w:val="Hyperlink"/>
          </w:rPr>
          <w:t>Table 6. Summary of potential credits for Jackson Blue Spring Basin projects to meet the TMDLs</w:t>
        </w:r>
        <w:r w:rsidR="002A2E30">
          <w:rPr>
            <w:webHidden/>
          </w:rPr>
          <w:tab/>
        </w:r>
        <w:r w:rsidR="002A2E30">
          <w:rPr>
            <w:webHidden/>
          </w:rPr>
          <w:fldChar w:fldCharType="begin"/>
        </w:r>
        <w:r w:rsidR="002A2E30">
          <w:rPr>
            <w:webHidden/>
          </w:rPr>
          <w:instrText xml:space="preserve"> PAGEREF _Toc514430956 \h </w:instrText>
        </w:r>
        <w:r w:rsidR="002A2E30">
          <w:rPr>
            <w:webHidden/>
          </w:rPr>
        </w:r>
        <w:r w:rsidR="002A2E30">
          <w:rPr>
            <w:webHidden/>
          </w:rPr>
          <w:fldChar w:fldCharType="separate"/>
        </w:r>
        <w:r w:rsidR="00C061F3">
          <w:rPr>
            <w:webHidden/>
          </w:rPr>
          <w:t>25</w:t>
        </w:r>
        <w:r w:rsidR="002A2E30">
          <w:rPr>
            <w:webHidden/>
          </w:rPr>
          <w:fldChar w:fldCharType="end"/>
        </w:r>
      </w:hyperlink>
    </w:p>
    <w:p w14:paraId="11E3C371" w14:textId="77777777" w:rsidR="002A2E30" w:rsidRDefault="00055E1E">
      <w:pPr>
        <w:pStyle w:val="TableofFigures"/>
        <w:rPr>
          <w:rFonts w:asciiTheme="minorHAnsi" w:hAnsiTheme="minorHAnsi"/>
          <w:sz w:val="22"/>
        </w:rPr>
      </w:pPr>
      <w:hyperlink w:anchor="_Toc514430957" w:history="1">
        <w:r w:rsidR="002A2E30" w:rsidRPr="00901FBF">
          <w:rPr>
            <w:rStyle w:val="Hyperlink"/>
          </w:rPr>
          <w:t>Table 7. Estimated individual OSTDS improvements to groundwater</w:t>
        </w:r>
        <w:r w:rsidR="002A2E30">
          <w:rPr>
            <w:webHidden/>
          </w:rPr>
          <w:tab/>
        </w:r>
        <w:r w:rsidR="002A2E30">
          <w:rPr>
            <w:webHidden/>
          </w:rPr>
          <w:fldChar w:fldCharType="begin"/>
        </w:r>
        <w:r w:rsidR="002A2E30">
          <w:rPr>
            <w:webHidden/>
          </w:rPr>
          <w:instrText xml:space="preserve"> PAGEREF _Toc514430957 \h </w:instrText>
        </w:r>
        <w:r w:rsidR="002A2E30">
          <w:rPr>
            <w:webHidden/>
          </w:rPr>
        </w:r>
        <w:r w:rsidR="002A2E30">
          <w:rPr>
            <w:webHidden/>
          </w:rPr>
          <w:fldChar w:fldCharType="separate"/>
        </w:r>
        <w:r w:rsidR="00C061F3">
          <w:rPr>
            <w:webHidden/>
          </w:rPr>
          <w:t>28</w:t>
        </w:r>
        <w:r w:rsidR="002A2E30">
          <w:rPr>
            <w:webHidden/>
          </w:rPr>
          <w:fldChar w:fldCharType="end"/>
        </w:r>
      </w:hyperlink>
    </w:p>
    <w:p w14:paraId="69CD7BD9" w14:textId="77777777" w:rsidR="002A2E30" w:rsidRDefault="00055E1E">
      <w:pPr>
        <w:pStyle w:val="TableofFigures"/>
        <w:rPr>
          <w:rFonts w:asciiTheme="minorHAnsi" w:hAnsiTheme="minorHAnsi"/>
          <w:sz w:val="22"/>
        </w:rPr>
      </w:pPr>
      <w:hyperlink w:anchor="_Toc514430958" w:history="1">
        <w:r w:rsidR="002A2E30" w:rsidRPr="00901FBF">
          <w:rPr>
            <w:rStyle w:val="Hyperlink"/>
          </w:rPr>
          <w:t>Table 8.Estimated reduction credits for additional OSTDS enhancement or sewer *</w:t>
        </w:r>
        <w:r w:rsidR="002A2E30">
          <w:rPr>
            <w:webHidden/>
          </w:rPr>
          <w:tab/>
        </w:r>
        <w:r w:rsidR="002A2E30">
          <w:rPr>
            <w:webHidden/>
          </w:rPr>
          <w:fldChar w:fldCharType="begin"/>
        </w:r>
        <w:r w:rsidR="002A2E30">
          <w:rPr>
            <w:webHidden/>
          </w:rPr>
          <w:instrText xml:space="preserve"> PAGEREF _Toc514430958 \h </w:instrText>
        </w:r>
        <w:r w:rsidR="002A2E30">
          <w:rPr>
            <w:webHidden/>
          </w:rPr>
        </w:r>
        <w:r w:rsidR="002A2E30">
          <w:rPr>
            <w:webHidden/>
          </w:rPr>
          <w:fldChar w:fldCharType="separate"/>
        </w:r>
        <w:r w:rsidR="00C061F3">
          <w:rPr>
            <w:webHidden/>
          </w:rPr>
          <w:t>28</w:t>
        </w:r>
        <w:r w:rsidR="002A2E30">
          <w:rPr>
            <w:webHidden/>
          </w:rPr>
          <w:fldChar w:fldCharType="end"/>
        </w:r>
      </w:hyperlink>
    </w:p>
    <w:p w14:paraId="0B151DB6" w14:textId="77777777" w:rsidR="002A2E30" w:rsidRDefault="00055E1E">
      <w:pPr>
        <w:pStyle w:val="TableofFigures"/>
        <w:rPr>
          <w:rFonts w:asciiTheme="minorHAnsi" w:hAnsiTheme="minorHAnsi"/>
          <w:sz w:val="22"/>
        </w:rPr>
      </w:pPr>
      <w:hyperlink w:anchor="_Toc514430959" w:history="1">
        <w:r w:rsidR="002A2E30" w:rsidRPr="00901FBF">
          <w:rPr>
            <w:rStyle w:val="Hyperlink"/>
          </w:rPr>
          <w:t>Table 9. Current project credits to reduce UTF loading to groundwater</w:t>
        </w:r>
        <w:r w:rsidR="002A2E30">
          <w:rPr>
            <w:webHidden/>
          </w:rPr>
          <w:tab/>
        </w:r>
        <w:r w:rsidR="002A2E30">
          <w:rPr>
            <w:webHidden/>
          </w:rPr>
          <w:fldChar w:fldCharType="begin"/>
        </w:r>
        <w:r w:rsidR="002A2E30">
          <w:rPr>
            <w:webHidden/>
          </w:rPr>
          <w:instrText xml:space="preserve"> PAGEREF _Toc514430959 \h </w:instrText>
        </w:r>
        <w:r w:rsidR="002A2E30">
          <w:rPr>
            <w:webHidden/>
          </w:rPr>
        </w:r>
        <w:r w:rsidR="002A2E30">
          <w:rPr>
            <w:webHidden/>
          </w:rPr>
          <w:fldChar w:fldCharType="separate"/>
        </w:r>
        <w:r w:rsidR="00C061F3">
          <w:rPr>
            <w:webHidden/>
          </w:rPr>
          <w:t>29</w:t>
        </w:r>
        <w:r w:rsidR="002A2E30">
          <w:rPr>
            <w:webHidden/>
          </w:rPr>
          <w:fldChar w:fldCharType="end"/>
        </w:r>
      </w:hyperlink>
    </w:p>
    <w:p w14:paraId="4421757B" w14:textId="77777777" w:rsidR="002A2E30" w:rsidRDefault="00055E1E">
      <w:pPr>
        <w:pStyle w:val="TableofFigures"/>
        <w:rPr>
          <w:rFonts w:asciiTheme="minorHAnsi" w:hAnsiTheme="minorHAnsi"/>
          <w:sz w:val="22"/>
        </w:rPr>
      </w:pPr>
      <w:hyperlink w:anchor="_Toc514430960" w:history="1">
        <w:r w:rsidR="002A2E30" w:rsidRPr="00901FBF">
          <w:rPr>
            <w:rStyle w:val="Hyperlink"/>
          </w:rPr>
          <w:t>Table 10. Maximum UTF load reductions based on existing public education credit policies</w:t>
        </w:r>
        <w:r w:rsidR="002A2E30">
          <w:rPr>
            <w:webHidden/>
          </w:rPr>
          <w:tab/>
        </w:r>
        <w:r w:rsidR="002A2E30">
          <w:rPr>
            <w:webHidden/>
          </w:rPr>
          <w:fldChar w:fldCharType="begin"/>
        </w:r>
        <w:r w:rsidR="002A2E30">
          <w:rPr>
            <w:webHidden/>
          </w:rPr>
          <w:instrText xml:space="preserve"> PAGEREF _Toc514430960 \h </w:instrText>
        </w:r>
        <w:r w:rsidR="002A2E30">
          <w:rPr>
            <w:webHidden/>
          </w:rPr>
        </w:r>
        <w:r w:rsidR="002A2E30">
          <w:rPr>
            <w:webHidden/>
          </w:rPr>
          <w:fldChar w:fldCharType="separate"/>
        </w:r>
        <w:r w:rsidR="00C061F3">
          <w:rPr>
            <w:webHidden/>
          </w:rPr>
          <w:t>30</w:t>
        </w:r>
        <w:r w:rsidR="002A2E30">
          <w:rPr>
            <w:webHidden/>
          </w:rPr>
          <w:fldChar w:fldCharType="end"/>
        </w:r>
      </w:hyperlink>
    </w:p>
    <w:p w14:paraId="52A4C986" w14:textId="77777777" w:rsidR="002A2E30" w:rsidRDefault="00055E1E">
      <w:pPr>
        <w:pStyle w:val="TableofFigures"/>
        <w:rPr>
          <w:rFonts w:asciiTheme="minorHAnsi" w:hAnsiTheme="minorHAnsi"/>
          <w:sz w:val="22"/>
        </w:rPr>
      </w:pPr>
      <w:hyperlink w:anchor="_Toc514430961" w:history="1">
        <w:r w:rsidR="002A2E30" w:rsidRPr="00901FBF">
          <w:rPr>
            <w:rStyle w:val="Hyperlink"/>
          </w:rPr>
          <w:t>Table 11. Estimated reductions for additional agricultural projects and practices</w:t>
        </w:r>
        <w:r w:rsidR="002A2E30">
          <w:rPr>
            <w:webHidden/>
          </w:rPr>
          <w:tab/>
        </w:r>
        <w:r w:rsidR="002A2E30">
          <w:rPr>
            <w:webHidden/>
          </w:rPr>
          <w:fldChar w:fldCharType="begin"/>
        </w:r>
        <w:r w:rsidR="002A2E30">
          <w:rPr>
            <w:webHidden/>
          </w:rPr>
          <w:instrText xml:space="preserve"> PAGEREF _Toc514430961 \h </w:instrText>
        </w:r>
        <w:r w:rsidR="002A2E30">
          <w:rPr>
            <w:webHidden/>
          </w:rPr>
        </w:r>
        <w:r w:rsidR="002A2E30">
          <w:rPr>
            <w:webHidden/>
          </w:rPr>
          <w:fldChar w:fldCharType="separate"/>
        </w:r>
        <w:r w:rsidR="00C061F3">
          <w:rPr>
            <w:webHidden/>
          </w:rPr>
          <w:t>32</w:t>
        </w:r>
        <w:r w:rsidR="002A2E30">
          <w:rPr>
            <w:webHidden/>
          </w:rPr>
          <w:fldChar w:fldCharType="end"/>
        </w:r>
      </w:hyperlink>
    </w:p>
    <w:p w14:paraId="16D3EB5B" w14:textId="77777777" w:rsidR="002A2E30" w:rsidRDefault="00055E1E">
      <w:pPr>
        <w:pStyle w:val="TableofFigures"/>
        <w:rPr>
          <w:rFonts w:asciiTheme="minorHAnsi" w:hAnsiTheme="minorHAnsi"/>
          <w:sz w:val="22"/>
        </w:rPr>
      </w:pPr>
      <w:hyperlink w:anchor="_Toc514430962" w:history="1">
        <w:r w:rsidR="002A2E30" w:rsidRPr="00901FBF">
          <w:rPr>
            <w:rStyle w:val="Hyperlink"/>
          </w:rPr>
          <w:t>Table 12. Potential for additional load reductions to groundwater</w:t>
        </w:r>
        <w:r w:rsidR="002A2E30">
          <w:rPr>
            <w:webHidden/>
          </w:rPr>
          <w:tab/>
        </w:r>
        <w:r w:rsidR="002A2E30">
          <w:rPr>
            <w:webHidden/>
          </w:rPr>
          <w:fldChar w:fldCharType="begin"/>
        </w:r>
        <w:r w:rsidR="002A2E30">
          <w:rPr>
            <w:webHidden/>
          </w:rPr>
          <w:instrText xml:space="preserve"> PAGEREF _Toc514430962 \h </w:instrText>
        </w:r>
        <w:r w:rsidR="002A2E30">
          <w:rPr>
            <w:webHidden/>
          </w:rPr>
        </w:r>
        <w:r w:rsidR="002A2E30">
          <w:rPr>
            <w:webHidden/>
          </w:rPr>
          <w:fldChar w:fldCharType="separate"/>
        </w:r>
        <w:r w:rsidR="00C061F3">
          <w:rPr>
            <w:webHidden/>
          </w:rPr>
          <w:t>33</w:t>
        </w:r>
        <w:r w:rsidR="002A2E30">
          <w:rPr>
            <w:webHidden/>
          </w:rPr>
          <w:fldChar w:fldCharType="end"/>
        </w:r>
      </w:hyperlink>
    </w:p>
    <w:p w14:paraId="5AF8B515" w14:textId="77777777" w:rsidR="002A2E30" w:rsidRDefault="00055E1E">
      <w:pPr>
        <w:pStyle w:val="TableofFigures"/>
        <w:rPr>
          <w:rFonts w:asciiTheme="minorHAnsi" w:hAnsiTheme="minorHAnsi"/>
          <w:sz w:val="22"/>
        </w:rPr>
      </w:pPr>
      <w:hyperlink w:anchor="_Toc514430963" w:history="1">
        <w:r w:rsidR="002A2E30" w:rsidRPr="00901FBF">
          <w:rPr>
            <w:rStyle w:val="Hyperlink"/>
          </w:rPr>
          <w:t>Table 13. Wastewater effluent standards for the BMAP area</w:t>
        </w:r>
        <w:r w:rsidR="002A2E30">
          <w:rPr>
            <w:webHidden/>
          </w:rPr>
          <w:tab/>
        </w:r>
        <w:r w:rsidR="002A2E30">
          <w:rPr>
            <w:webHidden/>
          </w:rPr>
          <w:fldChar w:fldCharType="begin"/>
        </w:r>
        <w:r w:rsidR="002A2E30">
          <w:rPr>
            <w:webHidden/>
          </w:rPr>
          <w:instrText xml:space="preserve"> PAGEREF _Toc514430963 \h </w:instrText>
        </w:r>
        <w:r w:rsidR="002A2E30">
          <w:rPr>
            <w:webHidden/>
          </w:rPr>
        </w:r>
        <w:r w:rsidR="002A2E30">
          <w:rPr>
            <w:webHidden/>
          </w:rPr>
          <w:fldChar w:fldCharType="separate"/>
        </w:r>
        <w:r w:rsidR="00C061F3">
          <w:rPr>
            <w:webHidden/>
          </w:rPr>
          <w:t>34</w:t>
        </w:r>
        <w:r w:rsidR="002A2E30">
          <w:rPr>
            <w:webHidden/>
          </w:rPr>
          <w:fldChar w:fldCharType="end"/>
        </w:r>
      </w:hyperlink>
    </w:p>
    <w:p w14:paraId="1247DB38" w14:textId="77777777" w:rsidR="002A2E30" w:rsidRDefault="00055E1E">
      <w:pPr>
        <w:pStyle w:val="TableofFigures"/>
        <w:rPr>
          <w:rFonts w:asciiTheme="minorHAnsi" w:hAnsiTheme="minorHAnsi"/>
          <w:sz w:val="22"/>
        </w:rPr>
      </w:pPr>
      <w:hyperlink w:anchor="_Toc514430964" w:history="1">
        <w:r w:rsidR="002A2E30" w:rsidRPr="00901FBF">
          <w:rPr>
            <w:rStyle w:val="Hyperlink"/>
          </w:rPr>
          <w:t>Table 14. Stakeholder conservation land purchases in the BMAP area</w:t>
        </w:r>
        <w:r w:rsidR="002A2E30">
          <w:rPr>
            <w:webHidden/>
          </w:rPr>
          <w:tab/>
        </w:r>
        <w:r w:rsidR="002A2E30">
          <w:rPr>
            <w:webHidden/>
          </w:rPr>
          <w:fldChar w:fldCharType="begin"/>
        </w:r>
        <w:r w:rsidR="002A2E30">
          <w:rPr>
            <w:webHidden/>
          </w:rPr>
          <w:instrText xml:space="preserve"> PAGEREF _Toc514430964 \h </w:instrText>
        </w:r>
        <w:r w:rsidR="002A2E30">
          <w:rPr>
            <w:webHidden/>
          </w:rPr>
        </w:r>
        <w:r w:rsidR="002A2E30">
          <w:rPr>
            <w:webHidden/>
          </w:rPr>
          <w:fldChar w:fldCharType="separate"/>
        </w:r>
        <w:r w:rsidR="00C061F3">
          <w:rPr>
            <w:webHidden/>
          </w:rPr>
          <w:t>35</w:t>
        </w:r>
        <w:r w:rsidR="002A2E30">
          <w:rPr>
            <w:webHidden/>
          </w:rPr>
          <w:fldChar w:fldCharType="end"/>
        </w:r>
      </w:hyperlink>
    </w:p>
    <w:p w14:paraId="69B1BF18" w14:textId="77777777" w:rsidR="002A2E30" w:rsidRDefault="00055E1E">
      <w:pPr>
        <w:pStyle w:val="TableofFigures"/>
        <w:rPr>
          <w:rFonts w:asciiTheme="minorHAnsi" w:hAnsiTheme="minorHAnsi"/>
          <w:sz w:val="22"/>
        </w:rPr>
      </w:pPr>
      <w:hyperlink w:anchor="_Toc514430965" w:history="1">
        <w:r w:rsidR="002A2E30" w:rsidRPr="00901FBF">
          <w:rPr>
            <w:rStyle w:val="Hyperlink"/>
          </w:rPr>
          <w:t>Table 15. Core water quality indicators</w:t>
        </w:r>
        <w:r w:rsidR="002A2E30">
          <w:rPr>
            <w:webHidden/>
          </w:rPr>
          <w:tab/>
        </w:r>
        <w:r w:rsidR="002A2E30">
          <w:rPr>
            <w:webHidden/>
          </w:rPr>
          <w:fldChar w:fldCharType="begin"/>
        </w:r>
        <w:r w:rsidR="002A2E30">
          <w:rPr>
            <w:webHidden/>
          </w:rPr>
          <w:instrText xml:space="preserve"> PAGEREF _Toc514430965 \h </w:instrText>
        </w:r>
        <w:r w:rsidR="002A2E30">
          <w:rPr>
            <w:webHidden/>
          </w:rPr>
        </w:r>
        <w:r w:rsidR="002A2E30">
          <w:rPr>
            <w:webHidden/>
          </w:rPr>
          <w:fldChar w:fldCharType="separate"/>
        </w:r>
        <w:r w:rsidR="00C061F3">
          <w:rPr>
            <w:webHidden/>
          </w:rPr>
          <w:t>39</w:t>
        </w:r>
        <w:r w:rsidR="002A2E30">
          <w:rPr>
            <w:webHidden/>
          </w:rPr>
          <w:fldChar w:fldCharType="end"/>
        </w:r>
      </w:hyperlink>
    </w:p>
    <w:p w14:paraId="62FCEE0F" w14:textId="77777777" w:rsidR="002A2E30" w:rsidRDefault="00055E1E">
      <w:pPr>
        <w:pStyle w:val="TableofFigures"/>
        <w:rPr>
          <w:rFonts w:asciiTheme="minorHAnsi" w:hAnsiTheme="minorHAnsi"/>
          <w:sz w:val="22"/>
        </w:rPr>
      </w:pPr>
      <w:hyperlink w:anchor="_Toc514430966" w:history="1">
        <w:r w:rsidR="002A2E30" w:rsidRPr="00901FBF">
          <w:rPr>
            <w:rStyle w:val="Hyperlink"/>
          </w:rPr>
          <w:t>Table 16. Supplemental water quality indicators and field parameters</w:t>
        </w:r>
        <w:r w:rsidR="002A2E30">
          <w:rPr>
            <w:webHidden/>
          </w:rPr>
          <w:tab/>
        </w:r>
        <w:r w:rsidR="002A2E30">
          <w:rPr>
            <w:webHidden/>
          </w:rPr>
          <w:fldChar w:fldCharType="begin"/>
        </w:r>
        <w:r w:rsidR="002A2E30">
          <w:rPr>
            <w:webHidden/>
          </w:rPr>
          <w:instrText xml:space="preserve"> PAGEREF _Toc514430966 \h </w:instrText>
        </w:r>
        <w:r w:rsidR="002A2E30">
          <w:rPr>
            <w:webHidden/>
          </w:rPr>
        </w:r>
        <w:r w:rsidR="002A2E30">
          <w:rPr>
            <w:webHidden/>
          </w:rPr>
          <w:fldChar w:fldCharType="separate"/>
        </w:r>
        <w:r w:rsidR="00C061F3">
          <w:rPr>
            <w:webHidden/>
          </w:rPr>
          <w:t>39</w:t>
        </w:r>
        <w:r w:rsidR="002A2E30">
          <w:rPr>
            <w:webHidden/>
          </w:rPr>
          <w:fldChar w:fldCharType="end"/>
        </w:r>
      </w:hyperlink>
    </w:p>
    <w:p w14:paraId="56628A16" w14:textId="4D673294" w:rsidR="002A2E30" w:rsidRDefault="00055E1E" w:rsidP="00790286">
      <w:pPr>
        <w:pStyle w:val="TableofFigures"/>
      </w:pPr>
      <w:hyperlink w:anchor="_Toc514430967" w:history="1">
        <w:r w:rsidR="002A2E30" w:rsidRPr="00901FBF">
          <w:rPr>
            <w:rStyle w:val="Hyperlink"/>
          </w:rPr>
          <w:t>Table 17. Biological response measures</w:t>
        </w:r>
        <w:r w:rsidR="002A2E30">
          <w:rPr>
            <w:webHidden/>
          </w:rPr>
          <w:tab/>
        </w:r>
        <w:r w:rsidR="002A2E30">
          <w:rPr>
            <w:webHidden/>
          </w:rPr>
          <w:fldChar w:fldCharType="begin"/>
        </w:r>
        <w:r w:rsidR="002A2E30">
          <w:rPr>
            <w:webHidden/>
          </w:rPr>
          <w:instrText xml:space="preserve"> PAGEREF _Toc514430967 \h </w:instrText>
        </w:r>
        <w:r w:rsidR="002A2E30">
          <w:rPr>
            <w:webHidden/>
          </w:rPr>
        </w:r>
        <w:r w:rsidR="002A2E30">
          <w:rPr>
            <w:webHidden/>
          </w:rPr>
          <w:fldChar w:fldCharType="separate"/>
        </w:r>
        <w:r w:rsidR="00C061F3">
          <w:rPr>
            <w:webHidden/>
          </w:rPr>
          <w:t>42</w:t>
        </w:r>
        <w:r w:rsidR="002A2E30">
          <w:rPr>
            <w:webHidden/>
          </w:rPr>
          <w:fldChar w:fldCharType="end"/>
        </w:r>
      </w:hyperlink>
      <w:r w:rsidR="00A335E7">
        <w:fldChar w:fldCharType="end"/>
      </w:r>
      <w:r w:rsidR="00A335E7" w:rsidRPr="003B3D6D">
        <w:fldChar w:fldCharType="begin"/>
      </w:r>
      <w:r w:rsidR="00A335E7" w:rsidRPr="003B3D6D">
        <w:instrText xml:space="preserve"> TOC \h \z \c "Table B-" </w:instrText>
      </w:r>
      <w:r w:rsidR="00A335E7" w:rsidRPr="003B3D6D">
        <w:fldChar w:fldCharType="separate"/>
      </w:r>
    </w:p>
    <w:p w14:paraId="1D6A1447" w14:textId="0B0C2578" w:rsidR="002A2E30" w:rsidRDefault="00055E1E" w:rsidP="00790286">
      <w:pPr>
        <w:pStyle w:val="TableofFigures"/>
      </w:pPr>
      <w:hyperlink w:anchor="_Toc514430968" w:history="1">
        <w:r w:rsidR="002A2E30" w:rsidRPr="001075A5">
          <w:rPr>
            <w:rStyle w:val="Hyperlink"/>
          </w:rPr>
          <w:t>Table B-1. Stakeholder projects to reduce nitrogen sources</w:t>
        </w:r>
        <w:r w:rsidR="002A2E30">
          <w:rPr>
            <w:webHidden/>
          </w:rPr>
          <w:tab/>
        </w:r>
        <w:r w:rsidR="002A2E30">
          <w:rPr>
            <w:webHidden/>
          </w:rPr>
          <w:fldChar w:fldCharType="begin"/>
        </w:r>
        <w:r w:rsidR="002A2E30">
          <w:rPr>
            <w:webHidden/>
          </w:rPr>
          <w:instrText xml:space="preserve"> PAGEREF _Toc514430968 \h </w:instrText>
        </w:r>
        <w:r w:rsidR="002A2E30">
          <w:rPr>
            <w:webHidden/>
          </w:rPr>
        </w:r>
        <w:r w:rsidR="002A2E30">
          <w:rPr>
            <w:webHidden/>
          </w:rPr>
          <w:fldChar w:fldCharType="separate"/>
        </w:r>
        <w:r w:rsidR="004B636C">
          <w:rPr>
            <w:webHidden/>
          </w:rPr>
          <w:t>46</w:t>
        </w:r>
        <w:r w:rsidR="002A2E30">
          <w:rPr>
            <w:webHidden/>
          </w:rPr>
          <w:fldChar w:fldCharType="end"/>
        </w:r>
      </w:hyperlink>
      <w:r w:rsidR="00A335E7" w:rsidRPr="003B3D6D">
        <w:fldChar w:fldCharType="end"/>
      </w:r>
      <w:r w:rsidR="00A335E7">
        <w:fldChar w:fldCharType="begin"/>
      </w:r>
      <w:r w:rsidR="00A335E7">
        <w:instrText xml:space="preserve"> TOC \h \z \c "Table D-" </w:instrText>
      </w:r>
      <w:r w:rsidR="00A335E7">
        <w:fldChar w:fldCharType="separate"/>
      </w:r>
    </w:p>
    <w:p w14:paraId="364D6506" w14:textId="6C062DEE" w:rsidR="002A2E30" w:rsidRDefault="00055E1E" w:rsidP="003B3D6D">
      <w:pPr>
        <w:pStyle w:val="TableofFigures"/>
      </w:pPr>
      <w:hyperlink w:anchor="_Toc514430969" w:history="1">
        <w:r w:rsidR="002A2E30" w:rsidRPr="00F738C4">
          <w:rPr>
            <w:rStyle w:val="Hyperlink"/>
          </w:rPr>
          <w:t xml:space="preserve">Table D-1. </w:t>
        </w:r>
        <w:r w:rsidR="002A2E30" w:rsidRPr="00F738C4">
          <w:rPr>
            <w:rStyle w:val="Hyperlink"/>
            <w:rFonts w:eastAsiaTheme="minorHAnsi"/>
          </w:rPr>
          <w:t>Estimated reduction credits for OSTDS enhancement or sewer*</w:t>
        </w:r>
        <w:r w:rsidR="002A2E30">
          <w:rPr>
            <w:webHidden/>
          </w:rPr>
          <w:tab/>
        </w:r>
        <w:r w:rsidR="002A2E30">
          <w:rPr>
            <w:webHidden/>
          </w:rPr>
          <w:fldChar w:fldCharType="begin"/>
        </w:r>
        <w:r w:rsidR="002A2E30">
          <w:rPr>
            <w:webHidden/>
          </w:rPr>
          <w:instrText xml:space="preserve"> PAGEREF _Toc514430969 \h </w:instrText>
        </w:r>
        <w:r w:rsidR="002A2E30">
          <w:rPr>
            <w:webHidden/>
          </w:rPr>
        </w:r>
        <w:r w:rsidR="002A2E30">
          <w:rPr>
            <w:webHidden/>
          </w:rPr>
          <w:fldChar w:fldCharType="separate"/>
        </w:r>
        <w:r w:rsidR="004B636C">
          <w:rPr>
            <w:webHidden/>
          </w:rPr>
          <w:t>52</w:t>
        </w:r>
        <w:r w:rsidR="002A2E30">
          <w:rPr>
            <w:webHidden/>
          </w:rPr>
          <w:fldChar w:fldCharType="end"/>
        </w:r>
      </w:hyperlink>
      <w:r w:rsidR="00A335E7">
        <w:fldChar w:fldCharType="end"/>
      </w:r>
      <w:r w:rsidR="003B3D6D">
        <w:fldChar w:fldCharType="begin"/>
      </w:r>
      <w:r w:rsidR="003B3D6D">
        <w:instrText xml:space="preserve"> TOC \h \z \c "Table E-" </w:instrText>
      </w:r>
      <w:r w:rsidR="003B3D6D">
        <w:fldChar w:fldCharType="separate"/>
      </w:r>
    </w:p>
    <w:p w14:paraId="5350E704" w14:textId="441CEC49" w:rsidR="002A2E30" w:rsidRDefault="00055E1E" w:rsidP="003B3D6D">
      <w:pPr>
        <w:pStyle w:val="TableofFigures"/>
      </w:pPr>
      <w:hyperlink w:anchor="_Toc514430970" w:history="1">
        <w:r w:rsidR="002A2E30" w:rsidRPr="00E614FA">
          <w:rPr>
            <w:rStyle w:val="Hyperlink"/>
          </w:rPr>
          <w:t>Table E-1. Range of environmental attenuation of nitrogen from a detailed literature review</w:t>
        </w:r>
        <w:r w:rsidR="002A2E30">
          <w:rPr>
            <w:webHidden/>
          </w:rPr>
          <w:tab/>
        </w:r>
        <w:r w:rsidR="002A2E30">
          <w:rPr>
            <w:webHidden/>
          </w:rPr>
          <w:fldChar w:fldCharType="begin"/>
        </w:r>
        <w:r w:rsidR="002A2E30">
          <w:rPr>
            <w:webHidden/>
          </w:rPr>
          <w:instrText xml:space="preserve"> PAGEREF _Toc514430970 \h </w:instrText>
        </w:r>
        <w:r w:rsidR="002A2E30">
          <w:rPr>
            <w:webHidden/>
          </w:rPr>
        </w:r>
        <w:r w:rsidR="002A2E30">
          <w:rPr>
            <w:webHidden/>
          </w:rPr>
          <w:fldChar w:fldCharType="separate"/>
        </w:r>
        <w:r w:rsidR="004B636C">
          <w:rPr>
            <w:webHidden/>
          </w:rPr>
          <w:t>60</w:t>
        </w:r>
        <w:r w:rsidR="002A2E30">
          <w:rPr>
            <w:webHidden/>
          </w:rPr>
          <w:fldChar w:fldCharType="end"/>
        </w:r>
      </w:hyperlink>
      <w:r w:rsidR="003B3D6D">
        <w:fldChar w:fldCharType="end"/>
      </w:r>
      <w:r w:rsidR="00A335E7">
        <w:fldChar w:fldCharType="begin"/>
      </w:r>
      <w:r w:rsidR="00A335E7">
        <w:instrText xml:space="preserve"> TOC \h \z \c "Table F-" </w:instrText>
      </w:r>
      <w:r w:rsidR="00A335E7">
        <w:fldChar w:fldCharType="separate"/>
      </w:r>
    </w:p>
    <w:p w14:paraId="61BB57FF" w14:textId="77777777" w:rsidR="002A2E30" w:rsidRDefault="00055E1E">
      <w:pPr>
        <w:pStyle w:val="TableofFigures"/>
        <w:rPr>
          <w:rFonts w:asciiTheme="minorHAnsi" w:hAnsiTheme="minorHAnsi"/>
          <w:sz w:val="22"/>
        </w:rPr>
      </w:pPr>
      <w:hyperlink w:anchor="_Toc514430976" w:history="1">
        <w:r w:rsidR="002A2E30" w:rsidRPr="00F60B5F">
          <w:rPr>
            <w:rStyle w:val="Hyperlink"/>
          </w:rPr>
          <w:t>Table F-1. Agricultural land use within the Jackson Blue Springshed and</w:t>
        </w:r>
        <w:r w:rsidR="002A2E30">
          <w:rPr>
            <w:webHidden/>
          </w:rPr>
          <w:tab/>
        </w:r>
        <w:r w:rsidR="002A2E30">
          <w:rPr>
            <w:webHidden/>
          </w:rPr>
          <w:fldChar w:fldCharType="begin"/>
        </w:r>
        <w:r w:rsidR="002A2E30">
          <w:rPr>
            <w:webHidden/>
          </w:rPr>
          <w:instrText xml:space="preserve"> PAGEREF _Toc514430976 \h </w:instrText>
        </w:r>
        <w:r w:rsidR="002A2E30">
          <w:rPr>
            <w:webHidden/>
          </w:rPr>
        </w:r>
        <w:r w:rsidR="002A2E30">
          <w:rPr>
            <w:webHidden/>
          </w:rPr>
          <w:fldChar w:fldCharType="separate"/>
        </w:r>
        <w:r w:rsidR="004B636C">
          <w:rPr>
            <w:webHidden/>
          </w:rPr>
          <w:t>62</w:t>
        </w:r>
        <w:r w:rsidR="002A2E30">
          <w:rPr>
            <w:webHidden/>
          </w:rPr>
          <w:fldChar w:fldCharType="end"/>
        </w:r>
      </w:hyperlink>
    </w:p>
    <w:p w14:paraId="6B2BBFC7" w14:textId="77777777" w:rsidR="002A2E30" w:rsidRDefault="00055E1E">
      <w:pPr>
        <w:pStyle w:val="TableofFigures"/>
        <w:rPr>
          <w:rFonts w:asciiTheme="minorHAnsi" w:hAnsiTheme="minorHAnsi"/>
          <w:sz w:val="22"/>
        </w:rPr>
      </w:pPr>
      <w:hyperlink w:anchor="_Toc514430977" w:history="1">
        <w:r w:rsidR="002A2E30" w:rsidRPr="00F60B5F">
          <w:rPr>
            <w:rStyle w:val="Hyperlink"/>
          </w:rPr>
          <w:t>Table F-2 Fertilized crop lands within the Jackson Blue Springshed and</w:t>
        </w:r>
        <w:r w:rsidR="002A2E30">
          <w:rPr>
            <w:webHidden/>
          </w:rPr>
          <w:tab/>
        </w:r>
        <w:r w:rsidR="002A2E30">
          <w:rPr>
            <w:webHidden/>
          </w:rPr>
          <w:fldChar w:fldCharType="begin"/>
        </w:r>
        <w:r w:rsidR="002A2E30">
          <w:rPr>
            <w:webHidden/>
          </w:rPr>
          <w:instrText xml:space="preserve"> PAGEREF _Toc514430977 \h </w:instrText>
        </w:r>
        <w:r w:rsidR="002A2E30">
          <w:rPr>
            <w:webHidden/>
          </w:rPr>
        </w:r>
        <w:r w:rsidR="002A2E30">
          <w:rPr>
            <w:webHidden/>
          </w:rPr>
          <w:fldChar w:fldCharType="separate"/>
        </w:r>
        <w:r w:rsidR="004B636C">
          <w:rPr>
            <w:webHidden/>
          </w:rPr>
          <w:t>63</w:t>
        </w:r>
        <w:r w:rsidR="002A2E30">
          <w:rPr>
            <w:webHidden/>
          </w:rPr>
          <w:fldChar w:fldCharType="end"/>
        </w:r>
      </w:hyperlink>
    </w:p>
    <w:p w14:paraId="086935F3" w14:textId="77777777" w:rsidR="002A2E30" w:rsidRDefault="00055E1E">
      <w:pPr>
        <w:pStyle w:val="TableofFigures"/>
        <w:rPr>
          <w:rFonts w:asciiTheme="minorHAnsi" w:hAnsiTheme="minorHAnsi"/>
          <w:sz w:val="22"/>
        </w:rPr>
      </w:pPr>
      <w:hyperlink w:anchor="_Toc514430978" w:history="1">
        <w:r w:rsidR="002A2E30" w:rsidRPr="00F60B5F">
          <w:rPr>
            <w:rStyle w:val="Hyperlink"/>
          </w:rPr>
          <w:t>Table F-3. Livestock lands within the Jackson Blue Springshed and</w:t>
        </w:r>
        <w:r w:rsidR="002A2E30">
          <w:rPr>
            <w:webHidden/>
          </w:rPr>
          <w:tab/>
        </w:r>
        <w:r w:rsidR="002A2E30">
          <w:rPr>
            <w:webHidden/>
          </w:rPr>
          <w:fldChar w:fldCharType="begin"/>
        </w:r>
        <w:r w:rsidR="002A2E30">
          <w:rPr>
            <w:webHidden/>
          </w:rPr>
          <w:instrText xml:space="preserve"> PAGEREF _Toc514430978 \h </w:instrText>
        </w:r>
        <w:r w:rsidR="002A2E30">
          <w:rPr>
            <w:webHidden/>
          </w:rPr>
        </w:r>
        <w:r w:rsidR="002A2E30">
          <w:rPr>
            <w:webHidden/>
          </w:rPr>
          <w:fldChar w:fldCharType="separate"/>
        </w:r>
        <w:r w:rsidR="004B636C">
          <w:rPr>
            <w:webHidden/>
          </w:rPr>
          <w:t>63</w:t>
        </w:r>
        <w:r w:rsidR="002A2E30">
          <w:rPr>
            <w:webHidden/>
          </w:rPr>
          <w:fldChar w:fldCharType="end"/>
        </w:r>
      </w:hyperlink>
    </w:p>
    <w:p w14:paraId="47475A1B" w14:textId="77777777" w:rsidR="002A2E30" w:rsidRDefault="00055E1E">
      <w:pPr>
        <w:pStyle w:val="TableofFigures"/>
        <w:rPr>
          <w:rFonts w:asciiTheme="minorHAnsi" w:hAnsiTheme="minorHAnsi"/>
          <w:sz w:val="22"/>
        </w:rPr>
      </w:pPr>
      <w:hyperlink w:anchor="_Toc514430979" w:history="1">
        <w:r w:rsidR="002A2E30" w:rsidRPr="00F60B5F">
          <w:rPr>
            <w:rStyle w:val="Hyperlink"/>
          </w:rPr>
          <w:t>Table F-4. Key management and structural BMPs adopted by FDACS OAWP</w:t>
        </w:r>
        <w:r w:rsidR="002A2E30">
          <w:rPr>
            <w:webHidden/>
          </w:rPr>
          <w:tab/>
        </w:r>
        <w:r w:rsidR="002A2E30">
          <w:rPr>
            <w:webHidden/>
          </w:rPr>
          <w:fldChar w:fldCharType="begin"/>
        </w:r>
        <w:r w:rsidR="002A2E30">
          <w:rPr>
            <w:webHidden/>
          </w:rPr>
          <w:instrText xml:space="preserve"> PAGEREF _Toc514430979 \h </w:instrText>
        </w:r>
        <w:r w:rsidR="002A2E30">
          <w:rPr>
            <w:webHidden/>
          </w:rPr>
        </w:r>
        <w:r w:rsidR="002A2E30">
          <w:rPr>
            <w:webHidden/>
          </w:rPr>
          <w:fldChar w:fldCharType="separate"/>
        </w:r>
        <w:r w:rsidR="004B636C">
          <w:rPr>
            <w:webHidden/>
          </w:rPr>
          <w:t>66</w:t>
        </w:r>
        <w:r w:rsidR="002A2E30">
          <w:rPr>
            <w:webHidden/>
          </w:rPr>
          <w:fldChar w:fldCharType="end"/>
        </w:r>
      </w:hyperlink>
    </w:p>
    <w:p w14:paraId="1758ABCE" w14:textId="77777777" w:rsidR="002A2E30" w:rsidRDefault="00055E1E">
      <w:pPr>
        <w:pStyle w:val="TableofFigures"/>
        <w:rPr>
          <w:rFonts w:asciiTheme="minorHAnsi" w:hAnsiTheme="minorHAnsi"/>
          <w:sz w:val="22"/>
        </w:rPr>
      </w:pPr>
      <w:hyperlink w:anchor="_Toc514430980" w:history="1">
        <w:r w:rsidR="002A2E30" w:rsidRPr="00F60B5F">
          <w:rPr>
            <w:rStyle w:val="Hyperlink"/>
          </w:rPr>
          <w:t>Table F-5. BMP enrollment in the Jackson Blue Springshed and Merritts Mill Pond as of December 31, 2018</w:t>
        </w:r>
        <w:r w:rsidR="002A2E30">
          <w:rPr>
            <w:webHidden/>
          </w:rPr>
          <w:tab/>
        </w:r>
        <w:r w:rsidR="002A2E30">
          <w:rPr>
            <w:webHidden/>
          </w:rPr>
          <w:fldChar w:fldCharType="begin"/>
        </w:r>
        <w:r w:rsidR="002A2E30">
          <w:rPr>
            <w:webHidden/>
          </w:rPr>
          <w:instrText xml:space="preserve"> PAGEREF _Toc514430980 \h </w:instrText>
        </w:r>
        <w:r w:rsidR="002A2E30">
          <w:rPr>
            <w:webHidden/>
          </w:rPr>
        </w:r>
        <w:r w:rsidR="002A2E30">
          <w:rPr>
            <w:webHidden/>
          </w:rPr>
          <w:fldChar w:fldCharType="separate"/>
        </w:r>
        <w:r w:rsidR="004B636C">
          <w:rPr>
            <w:webHidden/>
          </w:rPr>
          <w:t>69</w:t>
        </w:r>
        <w:r w:rsidR="002A2E30">
          <w:rPr>
            <w:webHidden/>
          </w:rPr>
          <w:fldChar w:fldCharType="end"/>
        </w:r>
      </w:hyperlink>
    </w:p>
    <w:p w14:paraId="3FC3CA30" w14:textId="77777777" w:rsidR="002A2E30" w:rsidRDefault="00055E1E">
      <w:pPr>
        <w:pStyle w:val="TableofFigures"/>
        <w:rPr>
          <w:rFonts w:asciiTheme="minorHAnsi" w:hAnsiTheme="minorHAnsi"/>
          <w:sz w:val="22"/>
        </w:rPr>
      </w:pPr>
      <w:hyperlink w:anchor="_Toc514430981" w:history="1">
        <w:r w:rsidR="002A2E30" w:rsidRPr="00F60B5F">
          <w:rPr>
            <w:rStyle w:val="Hyperlink"/>
          </w:rPr>
          <w:t>Table F-6. Agricultural acreage and BMP enrollment in the Jackson Blue Springshed and Merritts Mill Pond Basin as of December 31, 2017</w:t>
        </w:r>
        <w:r w:rsidR="002A2E30">
          <w:rPr>
            <w:webHidden/>
          </w:rPr>
          <w:tab/>
        </w:r>
        <w:r w:rsidR="002A2E30">
          <w:rPr>
            <w:webHidden/>
          </w:rPr>
          <w:fldChar w:fldCharType="begin"/>
        </w:r>
        <w:r w:rsidR="002A2E30">
          <w:rPr>
            <w:webHidden/>
          </w:rPr>
          <w:instrText xml:space="preserve"> PAGEREF _Toc514430981 \h </w:instrText>
        </w:r>
        <w:r w:rsidR="002A2E30">
          <w:rPr>
            <w:webHidden/>
          </w:rPr>
        </w:r>
        <w:r w:rsidR="002A2E30">
          <w:rPr>
            <w:webHidden/>
          </w:rPr>
          <w:fldChar w:fldCharType="separate"/>
        </w:r>
        <w:r w:rsidR="004B636C">
          <w:rPr>
            <w:webHidden/>
          </w:rPr>
          <w:t>70</w:t>
        </w:r>
        <w:r w:rsidR="002A2E30">
          <w:rPr>
            <w:webHidden/>
          </w:rPr>
          <w:fldChar w:fldCharType="end"/>
        </w:r>
      </w:hyperlink>
    </w:p>
    <w:p w14:paraId="3169C597" w14:textId="24A18ADB" w:rsidR="002A2E30" w:rsidRDefault="00055E1E" w:rsidP="003B3D6D">
      <w:pPr>
        <w:pStyle w:val="TableofFigures"/>
      </w:pPr>
      <w:hyperlink w:anchor="_Toc514430982" w:history="1">
        <w:r w:rsidR="002A2E30" w:rsidRPr="00F60B5F">
          <w:rPr>
            <w:rStyle w:val="Hyperlink"/>
          </w:rPr>
          <w:t>Table F-7. Beyond BMP implementation</w:t>
        </w:r>
        <w:r w:rsidR="002A2E30">
          <w:rPr>
            <w:webHidden/>
          </w:rPr>
          <w:tab/>
        </w:r>
        <w:r w:rsidR="002A2E30">
          <w:rPr>
            <w:webHidden/>
          </w:rPr>
          <w:fldChar w:fldCharType="begin"/>
        </w:r>
        <w:r w:rsidR="002A2E30">
          <w:rPr>
            <w:webHidden/>
          </w:rPr>
          <w:instrText xml:space="preserve"> PAGEREF _Toc514430982 \h </w:instrText>
        </w:r>
        <w:r w:rsidR="002A2E30">
          <w:rPr>
            <w:webHidden/>
          </w:rPr>
        </w:r>
        <w:r w:rsidR="002A2E30">
          <w:rPr>
            <w:webHidden/>
          </w:rPr>
          <w:fldChar w:fldCharType="separate"/>
        </w:r>
        <w:r w:rsidR="004B636C">
          <w:rPr>
            <w:webHidden/>
          </w:rPr>
          <w:t>71</w:t>
        </w:r>
        <w:r w:rsidR="002A2E30">
          <w:rPr>
            <w:webHidden/>
          </w:rPr>
          <w:fldChar w:fldCharType="end"/>
        </w:r>
      </w:hyperlink>
      <w:r w:rsidR="00A335E7">
        <w:fldChar w:fldCharType="end"/>
      </w:r>
      <w:r w:rsidR="00A335E7">
        <w:fldChar w:fldCharType="begin"/>
      </w:r>
      <w:r w:rsidR="00A335E7">
        <w:instrText xml:space="preserve"> TOC \h \z \c "Table G-" </w:instrText>
      </w:r>
      <w:r w:rsidR="00A335E7">
        <w:fldChar w:fldCharType="separate"/>
      </w:r>
    </w:p>
    <w:p w14:paraId="41CE0FE4" w14:textId="77777777" w:rsidR="002A2E30" w:rsidRDefault="00055E1E">
      <w:pPr>
        <w:pStyle w:val="TableofFigures"/>
        <w:rPr>
          <w:rFonts w:asciiTheme="minorHAnsi" w:hAnsiTheme="minorHAnsi"/>
          <w:sz w:val="22"/>
        </w:rPr>
      </w:pPr>
      <w:hyperlink w:anchor="_Toc514430983" w:history="1">
        <w:r w:rsidR="002A2E30" w:rsidRPr="00C31113">
          <w:rPr>
            <w:rStyle w:val="Hyperlink"/>
          </w:rPr>
          <w:t>Table G-1. Future growth strategies of Jackson County</w:t>
        </w:r>
        <w:r w:rsidR="002A2E30">
          <w:rPr>
            <w:webHidden/>
          </w:rPr>
          <w:tab/>
        </w:r>
        <w:r w:rsidR="002A2E30">
          <w:rPr>
            <w:webHidden/>
          </w:rPr>
          <w:fldChar w:fldCharType="begin"/>
        </w:r>
        <w:r w:rsidR="002A2E30">
          <w:rPr>
            <w:webHidden/>
          </w:rPr>
          <w:instrText xml:space="preserve"> PAGEREF _Toc514430983 \h </w:instrText>
        </w:r>
        <w:r w:rsidR="002A2E30">
          <w:rPr>
            <w:webHidden/>
          </w:rPr>
        </w:r>
        <w:r w:rsidR="002A2E30">
          <w:rPr>
            <w:webHidden/>
          </w:rPr>
          <w:fldChar w:fldCharType="separate"/>
        </w:r>
        <w:r w:rsidR="004B636C">
          <w:rPr>
            <w:webHidden/>
          </w:rPr>
          <w:t>73</w:t>
        </w:r>
        <w:r w:rsidR="002A2E30">
          <w:rPr>
            <w:webHidden/>
          </w:rPr>
          <w:fldChar w:fldCharType="end"/>
        </w:r>
      </w:hyperlink>
    </w:p>
    <w:p w14:paraId="5F4838E1" w14:textId="2F649D37" w:rsidR="00A335E7" w:rsidRDefault="00A335E7" w:rsidP="00A335E7">
      <w:pPr>
        <w:pStyle w:val="Caption"/>
        <w:jc w:val="both"/>
      </w:pPr>
      <w:r>
        <w:fldChar w:fldCharType="end"/>
      </w:r>
    </w:p>
    <w:p w14:paraId="5F3DECA7" w14:textId="77777777" w:rsidR="001C18F3" w:rsidRPr="0034635A" w:rsidRDefault="00516AC3" w:rsidP="00ED72F3">
      <w:pPr>
        <w:pStyle w:val="Heading1A0"/>
      </w:pPr>
      <w:r w:rsidRPr="009D6B31">
        <w:rPr>
          <w:i/>
          <w:szCs w:val="22"/>
        </w:rPr>
        <w:br w:type="page"/>
      </w:r>
      <w:bookmarkStart w:id="15" w:name="_Toc421023733"/>
      <w:bookmarkStart w:id="16" w:name="_Toc421023936"/>
      <w:bookmarkStart w:id="17" w:name="_Toc475022057"/>
      <w:bookmarkStart w:id="18" w:name="_Toc475022110"/>
      <w:bookmarkStart w:id="19" w:name="_Toc514677647"/>
      <w:r w:rsidR="001C18F3" w:rsidRPr="0034635A">
        <w:lastRenderedPageBreak/>
        <w:t xml:space="preserve">List of </w:t>
      </w:r>
      <w:r w:rsidR="001C18F3">
        <w:t>Acronyms and Abbreviations</w:t>
      </w:r>
      <w:bookmarkEnd w:id="15"/>
      <w:bookmarkEnd w:id="16"/>
      <w:bookmarkEnd w:id="17"/>
      <w:bookmarkEnd w:id="18"/>
      <w:bookmarkEnd w:id="19"/>
    </w:p>
    <w:p w14:paraId="1C636364" w14:textId="67A41161" w:rsidR="002D35B6" w:rsidRDefault="002D35B6" w:rsidP="004D21FD">
      <w:pPr>
        <w:pStyle w:val="BodyText"/>
        <w:spacing w:after="0"/>
      </w:pPr>
      <w:bookmarkStart w:id="20" w:name="_Hlk481063788"/>
      <w:r>
        <w:t>ac</w:t>
      </w:r>
      <w:r>
        <w:tab/>
      </w:r>
      <w:r>
        <w:tab/>
        <w:t>Acre</w:t>
      </w:r>
    </w:p>
    <w:p w14:paraId="747D517A" w14:textId="04C88A04" w:rsidR="00080E05" w:rsidRDefault="00080E05" w:rsidP="004D21FD">
      <w:pPr>
        <w:pStyle w:val="BodyText"/>
        <w:spacing w:after="0"/>
      </w:pPr>
      <w:r>
        <w:t>AWT</w:t>
      </w:r>
      <w:r>
        <w:tab/>
      </w:r>
      <w:r>
        <w:tab/>
        <w:t>Advanced Wastewater Treatment</w:t>
      </w:r>
    </w:p>
    <w:p w14:paraId="50EAC688" w14:textId="2D4DAD72" w:rsidR="00403EE6" w:rsidRDefault="004D21FD" w:rsidP="004D21FD">
      <w:pPr>
        <w:pStyle w:val="BodyText"/>
        <w:spacing w:after="0"/>
      </w:pPr>
      <w:r>
        <w:t>ATU</w:t>
      </w:r>
      <w:r>
        <w:tab/>
      </w:r>
      <w:r>
        <w:tab/>
        <w:t>Aerobic Treatment Unit</w:t>
      </w:r>
    </w:p>
    <w:p w14:paraId="1803C69C" w14:textId="43EEF45B" w:rsidR="002D35B6" w:rsidRPr="002D35B6" w:rsidRDefault="002D35B6" w:rsidP="002D35B6">
      <w:pPr>
        <w:rPr>
          <w:rFonts w:ascii="Times New Roman" w:hAnsi="Times New Roman"/>
          <w:sz w:val="24"/>
          <w:szCs w:val="24"/>
        </w:rPr>
      </w:pPr>
      <w:r w:rsidRPr="002D35B6">
        <w:rPr>
          <w:rFonts w:ascii="Times New Roman" w:hAnsi="Times New Roman"/>
          <w:sz w:val="24"/>
          <w:szCs w:val="24"/>
        </w:rPr>
        <w:t>BAF</w:t>
      </w:r>
      <w:r w:rsidRPr="002D35B6">
        <w:rPr>
          <w:rFonts w:ascii="Times New Roman" w:hAnsi="Times New Roman"/>
          <w:sz w:val="24"/>
          <w:szCs w:val="24"/>
        </w:rPr>
        <w:tab/>
      </w:r>
      <w:r w:rsidRPr="002D35B6">
        <w:rPr>
          <w:rFonts w:ascii="Times New Roman" w:hAnsi="Times New Roman"/>
          <w:sz w:val="24"/>
          <w:szCs w:val="24"/>
        </w:rPr>
        <w:tab/>
        <w:t>Biochemical Attenuation Factor</w:t>
      </w:r>
    </w:p>
    <w:p w14:paraId="1AD30B02" w14:textId="7ECF5F05" w:rsidR="006A033B" w:rsidRDefault="006A033B" w:rsidP="004D21FD">
      <w:pPr>
        <w:pStyle w:val="BodyText"/>
        <w:spacing w:after="0"/>
      </w:pPr>
      <w:r>
        <w:t>BMAP</w:t>
      </w:r>
      <w:r>
        <w:tab/>
      </w:r>
      <w:r>
        <w:tab/>
        <w:t>Basin Management Action Plan</w:t>
      </w:r>
    </w:p>
    <w:p w14:paraId="2D5A183B" w14:textId="4182A33A" w:rsidR="006A033B" w:rsidRDefault="006A033B" w:rsidP="004D21FD">
      <w:pPr>
        <w:pStyle w:val="BodyText"/>
        <w:spacing w:after="0"/>
      </w:pPr>
      <w:r>
        <w:t>BMPs</w:t>
      </w:r>
      <w:r>
        <w:tab/>
      </w:r>
      <w:r>
        <w:tab/>
        <w:t>Best Management Practices</w:t>
      </w:r>
    </w:p>
    <w:p w14:paraId="4BBCAF54" w14:textId="15D710AD" w:rsidR="001F3675" w:rsidRPr="001F3675" w:rsidRDefault="001F3675" w:rsidP="007C7F1C">
      <w:pPr>
        <w:pStyle w:val="BodyText"/>
        <w:spacing w:after="0"/>
      </w:pPr>
      <w:r>
        <w:t>CAFO</w:t>
      </w:r>
      <w:r>
        <w:tab/>
      </w:r>
      <w:r>
        <w:tab/>
        <w:t>Concentrated Animal Feeding Operation</w:t>
      </w:r>
    </w:p>
    <w:p w14:paraId="7460545D" w14:textId="73100D21" w:rsidR="006A033B" w:rsidRDefault="006A033B" w:rsidP="007C7F1C">
      <w:pPr>
        <w:pStyle w:val="BodyText"/>
        <w:spacing w:after="0"/>
      </w:pPr>
      <w:r>
        <w:t>CASTNET</w:t>
      </w:r>
      <w:r>
        <w:tab/>
        <w:t>Clean Air Status and Trends Network</w:t>
      </w:r>
    </w:p>
    <w:p w14:paraId="49D49D1B" w14:textId="4C9ED67D" w:rsidR="004353C8" w:rsidRPr="004353C8" w:rsidRDefault="004353C8" w:rsidP="004353C8">
      <w:pPr>
        <w:pStyle w:val="BodyText"/>
        <w:spacing w:after="0"/>
      </w:pPr>
      <w:r w:rsidRPr="004353C8">
        <w:t>cfs</w:t>
      </w:r>
      <w:r w:rsidRPr="004353C8">
        <w:tab/>
      </w:r>
      <w:r w:rsidRPr="004353C8">
        <w:tab/>
        <w:t>Cubic Feet Per Second</w:t>
      </w:r>
    </w:p>
    <w:p w14:paraId="2E91782F" w14:textId="6234FFE4" w:rsidR="006A033B" w:rsidRDefault="006A033B" w:rsidP="007C7F1C">
      <w:pPr>
        <w:pStyle w:val="BodyText"/>
        <w:spacing w:after="0"/>
      </w:pPr>
      <w:r>
        <w:t>CMAQ</w:t>
      </w:r>
      <w:r>
        <w:tab/>
        <w:t>Community Multi</w:t>
      </w:r>
      <w:r w:rsidR="004C547B">
        <w:t>s</w:t>
      </w:r>
      <w:r>
        <w:t>cale Air Quality</w:t>
      </w:r>
    </w:p>
    <w:p w14:paraId="680312F7" w14:textId="224F66E8" w:rsidR="00163DDA" w:rsidRPr="00163DDA" w:rsidRDefault="00163DDA" w:rsidP="00163DDA">
      <w:pPr>
        <w:pStyle w:val="BodyText"/>
        <w:spacing w:after="0"/>
      </w:pPr>
      <w:r>
        <w:t>CRF</w:t>
      </w:r>
      <w:r>
        <w:tab/>
      </w:r>
      <w:r>
        <w:tab/>
        <w:t>Controlled Release Fertilizer</w:t>
      </w:r>
    </w:p>
    <w:p w14:paraId="6B66E13E" w14:textId="77777777" w:rsidR="00263D8B" w:rsidRDefault="00263D8B" w:rsidP="007C7F1C">
      <w:pPr>
        <w:pStyle w:val="BodyText"/>
        <w:spacing w:after="0"/>
      </w:pPr>
      <w:r>
        <w:t>CUFS</w:t>
      </w:r>
      <w:r>
        <w:tab/>
      </w:r>
      <w:r>
        <w:tab/>
        <w:t>Chamber Upflow Filter and Skimmer</w:t>
      </w:r>
    </w:p>
    <w:p w14:paraId="1DBC7B6B" w14:textId="579ADEEC" w:rsidR="006A033B" w:rsidRDefault="006A033B" w:rsidP="007C7F1C">
      <w:pPr>
        <w:pStyle w:val="BodyText"/>
        <w:spacing w:after="0"/>
      </w:pPr>
      <w:r>
        <w:t>DEP</w:t>
      </w:r>
      <w:r>
        <w:tab/>
      </w:r>
      <w:r>
        <w:tab/>
        <w:t>Florida Department of Environmental Protection</w:t>
      </w:r>
    </w:p>
    <w:p w14:paraId="7CD5F90F" w14:textId="77777777" w:rsidR="00CE0239" w:rsidRPr="007C7F1C" w:rsidRDefault="00CE0239" w:rsidP="00CE0239">
      <w:pPr>
        <w:pStyle w:val="BodyText"/>
        <w:spacing w:after="0"/>
      </w:pPr>
      <w:r>
        <w:t>DMR</w:t>
      </w:r>
      <w:r>
        <w:tab/>
      </w:r>
      <w:r>
        <w:tab/>
        <w:t>Discharge Monthly Report</w:t>
      </w:r>
    </w:p>
    <w:p w14:paraId="0798A801" w14:textId="77777777" w:rsidR="00CA761E" w:rsidRDefault="00CA761E" w:rsidP="007C7F1C">
      <w:pPr>
        <w:pStyle w:val="BodyText"/>
        <w:spacing w:after="0"/>
      </w:pPr>
      <w:r>
        <w:t>DO</w:t>
      </w:r>
      <w:r>
        <w:tab/>
      </w:r>
      <w:r>
        <w:tab/>
        <w:t>Dissolved Oxygen</w:t>
      </w:r>
    </w:p>
    <w:p w14:paraId="62D77144" w14:textId="379DA09B" w:rsidR="006A033B" w:rsidRDefault="006A033B" w:rsidP="007C7F1C">
      <w:pPr>
        <w:pStyle w:val="BodyText"/>
        <w:spacing w:after="0"/>
      </w:pPr>
      <w:r>
        <w:t>F.A.C.</w:t>
      </w:r>
      <w:r>
        <w:tab/>
      </w:r>
      <w:r>
        <w:tab/>
        <w:t>Florida Administrative Code</w:t>
      </w:r>
    </w:p>
    <w:p w14:paraId="7E211CC9" w14:textId="77777777" w:rsidR="006A033B" w:rsidRDefault="006A033B" w:rsidP="007C7F1C">
      <w:pPr>
        <w:pStyle w:val="BodyText"/>
        <w:spacing w:after="0"/>
      </w:pPr>
      <w:r>
        <w:t>F.A.R.</w:t>
      </w:r>
      <w:r>
        <w:tab/>
      </w:r>
      <w:r>
        <w:tab/>
        <w:t>Florida Administrative Register</w:t>
      </w:r>
    </w:p>
    <w:p w14:paraId="575A381D" w14:textId="77777777" w:rsidR="006A033B" w:rsidRDefault="006A033B" w:rsidP="007C7F1C">
      <w:pPr>
        <w:pStyle w:val="BodyText"/>
        <w:spacing w:after="0"/>
      </w:pPr>
      <w:r>
        <w:t>FDACS</w:t>
      </w:r>
      <w:r>
        <w:tab/>
        <w:t>Florida Department of Agriculture and Consumer Services</w:t>
      </w:r>
    </w:p>
    <w:p w14:paraId="3B279C5C" w14:textId="1B692121" w:rsidR="006A033B" w:rsidRDefault="006A033B" w:rsidP="007C7F1C">
      <w:pPr>
        <w:pStyle w:val="BodyText"/>
        <w:spacing w:after="0"/>
      </w:pPr>
      <w:r>
        <w:t>FDOH</w:t>
      </w:r>
      <w:r>
        <w:tab/>
      </w:r>
      <w:r>
        <w:tab/>
        <w:t>Florida Department of Health</w:t>
      </w:r>
    </w:p>
    <w:p w14:paraId="7C3FDD8B" w14:textId="77777777" w:rsidR="00263D8B" w:rsidRDefault="00263D8B" w:rsidP="00CA761E">
      <w:pPr>
        <w:pStyle w:val="BodyText"/>
        <w:spacing w:after="0"/>
      </w:pPr>
      <w:r>
        <w:t>FF</w:t>
      </w:r>
      <w:r>
        <w:tab/>
      </w:r>
      <w:r>
        <w:tab/>
        <w:t>Farm Fertilizer</w:t>
      </w:r>
    </w:p>
    <w:p w14:paraId="49FC5D6E" w14:textId="357A8C42" w:rsidR="00263D8B" w:rsidRDefault="00263D8B" w:rsidP="00CA761E">
      <w:pPr>
        <w:pStyle w:val="BodyText"/>
        <w:spacing w:after="0"/>
      </w:pPr>
      <w:r>
        <w:t>FGS</w:t>
      </w:r>
      <w:r>
        <w:tab/>
      </w:r>
      <w:r>
        <w:tab/>
        <w:t>Florida Geological Survey</w:t>
      </w:r>
    </w:p>
    <w:p w14:paraId="396396AB" w14:textId="4D5C6C04" w:rsidR="002D35B6" w:rsidRPr="002D35B6" w:rsidRDefault="002D35B6" w:rsidP="002D35B6">
      <w:pPr>
        <w:pStyle w:val="BodyText"/>
        <w:spacing w:after="0"/>
      </w:pPr>
      <w:r w:rsidRPr="002D35B6">
        <w:t>FLUCCS</w:t>
      </w:r>
      <w:r w:rsidRPr="002D35B6">
        <w:tab/>
        <w:t>Florida Land Use Cover and Forms Classification System</w:t>
      </w:r>
    </w:p>
    <w:p w14:paraId="75F307A8" w14:textId="16EAD50F" w:rsidR="00CA761E" w:rsidRDefault="00CA761E" w:rsidP="00CA761E">
      <w:pPr>
        <w:pStyle w:val="BodyText"/>
        <w:spacing w:after="0"/>
      </w:pPr>
      <w:r>
        <w:t>FOWA</w:t>
      </w:r>
      <w:r>
        <w:tab/>
      </w:r>
      <w:r>
        <w:tab/>
        <w:t>Florida Onsite Wastewater Association</w:t>
      </w:r>
    </w:p>
    <w:p w14:paraId="2B289F65" w14:textId="1E549E3D" w:rsidR="007C7F1C" w:rsidRPr="007C7F1C" w:rsidRDefault="007C7F1C" w:rsidP="007C7F1C">
      <w:pPr>
        <w:pStyle w:val="BodyText"/>
        <w:spacing w:after="0"/>
      </w:pPr>
      <w:r>
        <w:t>FSAID ILG</w:t>
      </w:r>
      <w:r>
        <w:tab/>
        <w:t>Florida Statewide Agricultur</w:t>
      </w:r>
      <w:r w:rsidR="00263D8B">
        <w:t xml:space="preserve">al </w:t>
      </w:r>
      <w:r>
        <w:t xml:space="preserve">Irrigation </w:t>
      </w:r>
      <w:r w:rsidR="00263D8B">
        <w:t xml:space="preserve">Demand </w:t>
      </w:r>
      <w:r>
        <w:t>Irrigat</w:t>
      </w:r>
      <w:r w:rsidR="00263D8B">
        <w:t>ed</w:t>
      </w:r>
      <w:r>
        <w:t xml:space="preserve"> Lands Geodatabase</w:t>
      </w:r>
    </w:p>
    <w:p w14:paraId="78AC5801" w14:textId="17CD91F5" w:rsidR="006A033B" w:rsidRDefault="006A033B" w:rsidP="007C7F1C">
      <w:pPr>
        <w:pStyle w:val="BodyText"/>
        <w:spacing w:after="0"/>
      </w:pPr>
      <w:r>
        <w:t>F.S.</w:t>
      </w:r>
      <w:r>
        <w:tab/>
      </w:r>
      <w:r>
        <w:tab/>
        <w:t>Florida Statutes</w:t>
      </w:r>
    </w:p>
    <w:p w14:paraId="0603BA07" w14:textId="77777777" w:rsidR="00263D8B" w:rsidRDefault="00263D8B" w:rsidP="00080E05">
      <w:pPr>
        <w:rPr>
          <w:rFonts w:ascii="Times New Roman" w:hAnsi="Times New Roman"/>
          <w:sz w:val="24"/>
          <w:szCs w:val="24"/>
        </w:rPr>
      </w:pPr>
      <w:r>
        <w:rPr>
          <w:rFonts w:ascii="Times New Roman" w:hAnsi="Times New Roman"/>
          <w:sz w:val="24"/>
          <w:szCs w:val="24"/>
        </w:rPr>
        <w:t>FY</w:t>
      </w:r>
      <w:r>
        <w:rPr>
          <w:rFonts w:ascii="Times New Roman" w:hAnsi="Times New Roman"/>
          <w:sz w:val="24"/>
          <w:szCs w:val="24"/>
        </w:rPr>
        <w:tab/>
      </w:r>
      <w:r>
        <w:rPr>
          <w:rFonts w:ascii="Times New Roman" w:hAnsi="Times New Roman"/>
          <w:sz w:val="24"/>
          <w:szCs w:val="24"/>
        </w:rPr>
        <w:tab/>
        <w:t>Fiscal Year</w:t>
      </w:r>
    </w:p>
    <w:p w14:paraId="44652F15" w14:textId="5EDE021B" w:rsidR="00080E05" w:rsidRPr="00080E05" w:rsidRDefault="00080E05" w:rsidP="00080E05">
      <w:pPr>
        <w:rPr>
          <w:rFonts w:ascii="Times New Roman" w:hAnsi="Times New Roman"/>
          <w:sz w:val="24"/>
          <w:szCs w:val="24"/>
        </w:rPr>
      </w:pPr>
      <w:r w:rsidRPr="00080E05">
        <w:rPr>
          <w:rFonts w:ascii="Times New Roman" w:hAnsi="Times New Roman"/>
          <w:sz w:val="24"/>
          <w:szCs w:val="24"/>
        </w:rPr>
        <w:t>FYN</w:t>
      </w:r>
      <w:r w:rsidRPr="00080E05">
        <w:rPr>
          <w:rFonts w:ascii="Times New Roman" w:hAnsi="Times New Roman"/>
          <w:sz w:val="24"/>
          <w:szCs w:val="24"/>
        </w:rPr>
        <w:tab/>
      </w:r>
      <w:r w:rsidRPr="00080E05">
        <w:rPr>
          <w:rFonts w:ascii="Times New Roman" w:hAnsi="Times New Roman"/>
          <w:sz w:val="24"/>
          <w:szCs w:val="24"/>
        </w:rPr>
        <w:tab/>
        <w:t>Florida Yards and Neighborhoods</w:t>
      </w:r>
    </w:p>
    <w:p w14:paraId="3A40C15C" w14:textId="77777777" w:rsidR="00263D8B" w:rsidRDefault="00263D8B" w:rsidP="00263D8B">
      <w:pPr>
        <w:pStyle w:val="BodyText"/>
        <w:spacing w:after="0"/>
      </w:pPr>
      <w:r>
        <w:t>GIS</w:t>
      </w:r>
      <w:r>
        <w:tab/>
      </w:r>
      <w:r>
        <w:tab/>
        <w:t>Geographic Information System</w:t>
      </w:r>
    </w:p>
    <w:p w14:paraId="06B92038" w14:textId="6B3A5A83" w:rsidR="006A033B" w:rsidRDefault="004C547B" w:rsidP="007C7F1C">
      <w:pPr>
        <w:pStyle w:val="BodyText"/>
        <w:spacing w:after="0"/>
      </w:pPr>
      <w:r>
        <w:t>gpd</w:t>
      </w:r>
      <w:r w:rsidR="006A033B">
        <w:tab/>
      </w:r>
      <w:r w:rsidR="006A033B">
        <w:tab/>
        <w:t xml:space="preserve">Gallons </w:t>
      </w:r>
      <w:r w:rsidR="001F3675">
        <w:t>P</w:t>
      </w:r>
      <w:r w:rsidR="006A033B">
        <w:t>er Day</w:t>
      </w:r>
    </w:p>
    <w:p w14:paraId="381F6BA2" w14:textId="02E4DB2B" w:rsidR="00AF3004" w:rsidRPr="00AF3004" w:rsidRDefault="00AF3004" w:rsidP="00AF3004">
      <w:pPr>
        <w:pStyle w:val="BodyText"/>
        <w:spacing w:after="0"/>
      </w:pPr>
      <w:r>
        <w:t>HA</w:t>
      </w:r>
      <w:r>
        <w:tab/>
      </w:r>
      <w:r>
        <w:tab/>
        <w:t>Habitat Assessment</w:t>
      </w:r>
    </w:p>
    <w:p w14:paraId="4DA050E0" w14:textId="07AECB17" w:rsidR="00263D8B" w:rsidRDefault="00263D8B" w:rsidP="00BD10C8">
      <w:pPr>
        <w:pStyle w:val="BodyText"/>
        <w:spacing w:after="0"/>
      </w:pPr>
      <w:r>
        <w:t>IA</w:t>
      </w:r>
      <w:r>
        <w:tab/>
      </w:r>
      <w:r>
        <w:tab/>
        <w:t>Implementation Assurance</w:t>
      </w:r>
    </w:p>
    <w:p w14:paraId="57B1F397" w14:textId="35799AC8" w:rsidR="00BD10C8" w:rsidRPr="00BD10C8" w:rsidRDefault="00BD10C8" w:rsidP="00BD10C8">
      <w:pPr>
        <w:pStyle w:val="BodyText"/>
        <w:spacing w:after="0"/>
      </w:pPr>
      <w:r>
        <w:t>IV</w:t>
      </w:r>
      <w:r>
        <w:tab/>
      </w:r>
      <w:r>
        <w:tab/>
        <w:t>Implementation Verification</w:t>
      </w:r>
    </w:p>
    <w:p w14:paraId="1FFE0A95" w14:textId="7C43BC6B" w:rsidR="007C7F1C" w:rsidRPr="007C7F1C" w:rsidRDefault="007C7F1C" w:rsidP="00BD10C8">
      <w:pPr>
        <w:pStyle w:val="BodyText"/>
        <w:spacing w:after="0"/>
      </w:pPr>
      <w:r>
        <w:t>in/yr</w:t>
      </w:r>
      <w:r>
        <w:tab/>
      </w:r>
      <w:r>
        <w:tab/>
        <w:t>Inch Per Year</w:t>
      </w:r>
    </w:p>
    <w:p w14:paraId="598B80E0" w14:textId="7068C111" w:rsidR="001F3675" w:rsidRPr="001F3675" w:rsidRDefault="009A4876" w:rsidP="007C7F1C">
      <w:pPr>
        <w:pStyle w:val="BodyText"/>
        <w:spacing w:after="0"/>
      </w:pPr>
      <w:r>
        <w:t>lb-N/yr</w:t>
      </w:r>
      <w:r>
        <w:tab/>
      </w:r>
      <w:r>
        <w:tab/>
        <w:t>Pounds o</w:t>
      </w:r>
      <w:r w:rsidR="001F3675">
        <w:t>f Nitrogen Per Year</w:t>
      </w:r>
    </w:p>
    <w:p w14:paraId="069D6BE9" w14:textId="77777777" w:rsidR="00263D8B" w:rsidRDefault="00263D8B" w:rsidP="007C7F1C">
      <w:pPr>
        <w:pStyle w:val="BodyText"/>
        <w:spacing w:after="0"/>
      </w:pPr>
      <w:r>
        <w:t>LVS</w:t>
      </w:r>
      <w:r>
        <w:tab/>
      </w:r>
      <w:r>
        <w:tab/>
        <w:t>Linear Vegetation Survey</w:t>
      </w:r>
    </w:p>
    <w:p w14:paraId="2DCE8B10" w14:textId="77777777" w:rsidR="00263D8B" w:rsidRDefault="00263D8B" w:rsidP="007C7F1C">
      <w:pPr>
        <w:pStyle w:val="BodyText"/>
        <w:spacing w:after="0"/>
      </w:pPr>
      <w:r>
        <w:t>LW</w:t>
      </w:r>
      <w:r>
        <w:tab/>
      </w:r>
      <w:r>
        <w:tab/>
        <w:t>Livestock Waste</w:t>
      </w:r>
    </w:p>
    <w:p w14:paraId="4C046AC9" w14:textId="0F1A8BB4" w:rsidR="006A033B" w:rsidRDefault="006A033B" w:rsidP="007C7F1C">
      <w:pPr>
        <w:pStyle w:val="BodyText"/>
        <w:spacing w:after="0"/>
      </w:pPr>
      <w:r>
        <w:t>MFL</w:t>
      </w:r>
      <w:r>
        <w:tab/>
      </w:r>
      <w:r>
        <w:tab/>
        <w:t>Minimum Flow and Level</w:t>
      </w:r>
    </w:p>
    <w:p w14:paraId="60816C65" w14:textId="651E9378" w:rsidR="006A033B" w:rsidRDefault="00FD6CAA" w:rsidP="007C7F1C">
      <w:pPr>
        <w:pStyle w:val="BodyText"/>
        <w:spacing w:after="0"/>
      </w:pPr>
      <w:r>
        <w:t>mgd</w:t>
      </w:r>
      <w:r w:rsidR="006A033B">
        <w:tab/>
      </w:r>
      <w:r w:rsidR="009A4876">
        <w:tab/>
      </w:r>
      <w:r w:rsidR="006A033B">
        <w:t xml:space="preserve">Million Gallons </w:t>
      </w:r>
      <w:r w:rsidR="001F3675">
        <w:t>P</w:t>
      </w:r>
      <w:r w:rsidR="006A033B">
        <w:t>er Day</w:t>
      </w:r>
    </w:p>
    <w:p w14:paraId="6028548D" w14:textId="62E8229B" w:rsidR="006A033B" w:rsidRDefault="006A033B" w:rsidP="007C7F1C">
      <w:pPr>
        <w:pStyle w:val="BodyText"/>
        <w:spacing w:after="0"/>
      </w:pPr>
      <w:r>
        <w:t>mg/L</w:t>
      </w:r>
      <w:r>
        <w:tab/>
      </w:r>
      <w:r>
        <w:tab/>
        <w:t xml:space="preserve">Milligrams </w:t>
      </w:r>
      <w:r w:rsidR="004C547B">
        <w:t xml:space="preserve">Per </w:t>
      </w:r>
      <w:r>
        <w:t>Liter</w:t>
      </w:r>
    </w:p>
    <w:p w14:paraId="7B58B452" w14:textId="77777777" w:rsidR="00EC302A" w:rsidRDefault="00EC302A" w:rsidP="00EC302A">
      <w:pPr>
        <w:pStyle w:val="BodyText"/>
        <w:spacing w:after="0"/>
      </w:pPr>
      <w:r>
        <w:t>MIL</w:t>
      </w:r>
      <w:r>
        <w:tab/>
      </w:r>
      <w:r>
        <w:tab/>
        <w:t>Mobile Irrigation Lab</w:t>
      </w:r>
    </w:p>
    <w:p w14:paraId="25F7A9BD" w14:textId="6EBD9DB9" w:rsidR="006A033B" w:rsidRDefault="006A033B" w:rsidP="00EC302A">
      <w:pPr>
        <w:pStyle w:val="BodyText"/>
        <w:spacing w:after="0"/>
      </w:pPr>
      <w:r>
        <w:t>N</w:t>
      </w:r>
      <w:r>
        <w:tab/>
      </w:r>
      <w:r>
        <w:tab/>
        <w:t>Nitrogen</w:t>
      </w:r>
    </w:p>
    <w:p w14:paraId="5B872042" w14:textId="77777777" w:rsidR="00BB7D72" w:rsidRDefault="00BB7D72" w:rsidP="00EC302A">
      <w:pPr>
        <w:pStyle w:val="BodyText"/>
        <w:spacing w:after="0"/>
      </w:pPr>
      <w:r>
        <w:lastRenderedPageBreak/>
        <w:t>NA</w:t>
      </w:r>
      <w:r>
        <w:tab/>
      </w:r>
      <w:r>
        <w:tab/>
        <w:t>Not Applicable</w:t>
      </w:r>
    </w:p>
    <w:p w14:paraId="29377AF3" w14:textId="04027796" w:rsidR="006A033B" w:rsidRDefault="006A033B" w:rsidP="00EC302A">
      <w:pPr>
        <w:pStyle w:val="BodyText"/>
        <w:spacing w:after="0"/>
      </w:pPr>
      <w:r>
        <w:t>NADP</w:t>
      </w:r>
      <w:r>
        <w:tab/>
      </w:r>
      <w:r>
        <w:tab/>
        <w:t>National Atmospheric Deposition Program</w:t>
      </w:r>
    </w:p>
    <w:p w14:paraId="6DB271BB" w14:textId="54F341C4" w:rsidR="005D51D0" w:rsidRPr="005D51D0" w:rsidRDefault="005D51D0" w:rsidP="005D51D0">
      <w:pPr>
        <w:rPr>
          <w:rFonts w:ascii="Times New Roman" w:hAnsi="Times New Roman"/>
          <w:sz w:val="24"/>
          <w:szCs w:val="24"/>
        </w:rPr>
      </w:pPr>
      <w:r w:rsidRPr="005D51D0">
        <w:rPr>
          <w:rFonts w:ascii="Times New Roman" w:hAnsi="Times New Roman"/>
          <w:sz w:val="24"/>
          <w:szCs w:val="24"/>
        </w:rPr>
        <w:t>NASS</w:t>
      </w:r>
      <w:r w:rsidRPr="005D51D0">
        <w:rPr>
          <w:rFonts w:ascii="Times New Roman" w:hAnsi="Times New Roman"/>
          <w:sz w:val="24"/>
          <w:szCs w:val="24"/>
        </w:rPr>
        <w:tab/>
      </w:r>
      <w:r w:rsidRPr="005D51D0">
        <w:rPr>
          <w:rFonts w:ascii="Times New Roman" w:hAnsi="Times New Roman"/>
          <w:sz w:val="24"/>
          <w:szCs w:val="24"/>
        </w:rPr>
        <w:tab/>
        <w:t>National Agricultural Statistics Service</w:t>
      </w:r>
    </w:p>
    <w:p w14:paraId="50747419" w14:textId="77777777" w:rsidR="006A033B" w:rsidRDefault="006A033B" w:rsidP="007C7F1C">
      <w:pPr>
        <w:pStyle w:val="BodyText"/>
        <w:spacing w:after="0"/>
      </w:pPr>
      <w:r>
        <w:t>NELAC</w:t>
      </w:r>
      <w:r>
        <w:tab/>
        <w:t>National Environmental Accreditation Conference</w:t>
      </w:r>
    </w:p>
    <w:p w14:paraId="1E96C949" w14:textId="77777777" w:rsidR="006A033B" w:rsidRDefault="006A033B" w:rsidP="007C7F1C">
      <w:pPr>
        <w:pStyle w:val="BodyText"/>
        <w:spacing w:after="0"/>
      </w:pPr>
      <w:r>
        <w:t>NELAP</w:t>
      </w:r>
      <w:r>
        <w:tab/>
        <w:t>National Environmental Accreditation Program</w:t>
      </w:r>
    </w:p>
    <w:p w14:paraId="471F5E21" w14:textId="77777777" w:rsidR="006A033B" w:rsidRDefault="006A033B" w:rsidP="007C7F1C">
      <w:pPr>
        <w:pStyle w:val="BodyText"/>
        <w:spacing w:after="0"/>
      </w:pPr>
      <w:r>
        <w:t>NNC</w:t>
      </w:r>
      <w:r>
        <w:tab/>
      </w:r>
      <w:r>
        <w:tab/>
        <w:t>Numeric Nutrient Criteria</w:t>
      </w:r>
    </w:p>
    <w:p w14:paraId="0D26745A" w14:textId="3E71A793" w:rsidR="007C7F1C" w:rsidRDefault="007C7F1C" w:rsidP="007C7F1C">
      <w:pPr>
        <w:pStyle w:val="BodyText"/>
        <w:spacing w:after="0"/>
      </w:pPr>
      <w:r>
        <w:t>NOI</w:t>
      </w:r>
      <w:r>
        <w:tab/>
      </w:r>
      <w:r>
        <w:tab/>
        <w:t>Notice of Intent</w:t>
      </w:r>
    </w:p>
    <w:p w14:paraId="29367BAF" w14:textId="2153EF58" w:rsidR="007C7F1C" w:rsidRDefault="007C7F1C" w:rsidP="004D21FD">
      <w:pPr>
        <w:pStyle w:val="BodyText"/>
        <w:spacing w:after="0"/>
      </w:pPr>
      <w:r>
        <w:t>NPDES</w:t>
      </w:r>
      <w:r>
        <w:tab/>
        <w:t>National Pollutant Discharge and Elimination System</w:t>
      </w:r>
    </w:p>
    <w:p w14:paraId="2C11C0F0" w14:textId="121E5403" w:rsidR="004D21FD" w:rsidRPr="004D21FD" w:rsidRDefault="004D21FD" w:rsidP="004D21FD">
      <w:pPr>
        <w:pStyle w:val="BodyText"/>
        <w:spacing w:after="0"/>
      </w:pPr>
      <w:r>
        <w:t>NSF</w:t>
      </w:r>
      <w:r>
        <w:tab/>
      </w:r>
      <w:r>
        <w:tab/>
      </w:r>
      <w:r w:rsidR="0039757D">
        <w:t xml:space="preserve">NSF International (formerly </w:t>
      </w:r>
      <w:r>
        <w:t>National Sanitation Foundation</w:t>
      </w:r>
      <w:r w:rsidR="0039757D">
        <w:t>)</w:t>
      </w:r>
    </w:p>
    <w:p w14:paraId="7D6090F9" w14:textId="420C47E9" w:rsidR="001F3675" w:rsidRDefault="001F3675" w:rsidP="004D21FD">
      <w:pPr>
        <w:pStyle w:val="BodyText"/>
        <w:spacing w:after="0"/>
      </w:pPr>
      <w:r>
        <w:t>NSILT</w:t>
      </w:r>
      <w:r>
        <w:tab/>
      </w:r>
      <w:r>
        <w:tab/>
        <w:t>Nitrogen Source Inventory Loading Tool</w:t>
      </w:r>
    </w:p>
    <w:p w14:paraId="33F74020" w14:textId="33FE6E2E" w:rsidR="001F3675" w:rsidRDefault="001F3675" w:rsidP="004D21FD">
      <w:pPr>
        <w:pStyle w:val="BodyText"/>
        <w:spacing w:after="0"/>
      </w:pPr>
      <w:r>
        <w:t>NTN</w:t>
      </w:r>
      <w:r>
        <w:tab/>
      </w:r>
      <w:r>
        <w:tab/>
        <w:t>National Trends Network</w:t>
      </w:r>
    </w:p>
    <w:p w14:paraId="42D5A557" w14:textId="52357FBE" w:rsidR="007A6B96" w:rsidRPr="007A6B96" w:rsidRDefault="007A6B96" w:rsidP="007A6B96">
      <w:pPr>
        <w:rPr>
          <w:rFonts w:ascii="Times New Roman" w:hAnsi="Times New Roman"/>
          <w:sz w:val="24"/>
          <w:szCs w:val="24"/>
        </w:rPr>
      </w:pPr>
      <w:r w:rsidRPr="007A6B96">
        <w:rPr>
          <w:rFonts w:ascii="Times New Roman" w:hAnsi="Times New Roman"/>
          <w:sz w:val="24"/>
          <w:szCs w:val="24"/>
        </w:rPr>
        <w:t>NWFWMD</w:t>
      </w:r>
      <w:r w:rsidRPr="007A6B96">
        <w:rPr>
          <w:rFonts w:ascii="Times New Roman" w:hAnsi="Times New Roman"/>
          <w:sz w:val="24"/>
          <w:szCs w:val="24"/>
        </w:rPr>
        <w:tab/>
        <w:t>Northwest Florida Water Management District</w:t>
      </w:r>
    </w:p>
    <w:p w14:paraId="7CA68B74" w14:textId="0FB67C95" w:rsidR="001F3675" w:rsidRDefault="001F3675" w:rsidP="004D21FD">
      <w:pPr>
        <w:pStyle w:val="BodyText"/>
        <w:spacing w:after="0"/>
      </w:pPr>
      <w:r>
        <w:t>OAWP</w:t>
      </w:r>
      <w:r>
        <w:tab/>
      </w:r>
      <w:r>
        <w:tab/>
        <w:t>Office of Agricultur</w:t>
      </w:r>
      <w:r w:rsidR="0062752E">
        <w:t>al</w:t>
      </w:r>
      <w:r>
        <w:t xml:space="preserve"> Water Policy</w:t>
      </w:r>
      <w:r w:rsidR="0062752E">
        <w:t xml:space="preserve"> (FDACS)</w:t>
      </w:r>
    </w:p>
    <w:p w14:paraId="1C40C9AB" w14:textId="77777777" w:rsidR="001F3675" w:rsidRDefault="001F3675" w:rsidP="004D21FD">
      <w:pPr>
        <w:pStyle w:val="BodyText"/>
        <w:spacing w:after="0"/>
      </w:pPr>
      <w:r>
        <w:t>OFS</w:t>
      </w:r>
      <w:r>
        <w:tab/>
      </w:r>
      <w:r>
        <w:tab/>
        <w:t>Outstanding Florida Spring</w:t>
      </w:r>
    </w:p>
    <w:p w14:paraId="5FF74B0D" w14:textId="3ED8BC86" w:rsidR="006A033B" w:rsidRDefault="006A033B" w:rsidP="004D21FD">
      <w:pPr>
        <w:pStyle w:val="BodyText"/>
        <w:spacing w:after="0"/>
      </w:pPr>
      <w:r>
        <w:t>OSTDS</w:t>
      </w:r>
      <w:r>
        <w:tab/>
        <w:t>Onsite Sewage Treatment and Disposal System</w:t>
      </w:r>
    </w:p>
    <w:p w14:paraId="1BC54683" w14:textId="6EA9FA0B" w:rsidR="004D21FD" w:rsidRPr="004D21FD" w:rsidRDefault="004D21FD" w:rsidP="004D21FD">
      <w:pPr>
        <w:pStyle w:val="BodyText"/>
        <w:spacing w:after="0"/>
      </w:pPr>
      <w:r>
        <w:t>PBTS</w:t>
      </w:r>
      <w:r>
        <w:tab/>
      </w:r>
      <w:r>
        <w:tab/>
        <w:t>Performance-based Treatment System</w:t>
      </w:r>
    </w:p>
    <w:p w14:paraId="2D0714C8" w14:textId="5064F59F" w:rsidR="006A033B" w:rsidRDefault="006A033B" w:rsidP="004D21FD">
      <w:pPr>
        <w:pStyle w:val="BodyText"/>
        <w:spacing w:after="0"/>
      </w:pPr>
      <w:r>
        <w:t>PFA</w:t>
      </w:r>
      <w:r>
        <w:tab/>
      </w:r>
      <w:r>
        <w:tab/>
        <w:t>Priority Focus Area</w:t>
      </w:r>
    </w:p>
    <w:p w14:paraId="0F996A3A" w14:textId="77777777" w:rsidR="00263D8B" w:rsidRDefault="00263D8B" w:rsidP="004D21FD">
      <w:pPr>
        <w:pStyle w:val="BodyText"/>
        <w:spacing w:after="0"/>
      </w:pPr>
      <w:r>
        <w:t>PNRS</w:t>
      </w:r>
      <w:r>
        <w:tab/>
      </w:r>
      <w:r>
        <w:tab/>
        <w:t>Passive Nitrogen Sedimentation System</w:t>
      </w:r>
    </w:p>
    <w:p w14:paraId="4C2FB27F" w14:textId="74A240B6" w:rsidR="007C7F1C" w:rsidRPr="007C7F1C" w:rsidRDefault="007C7F1C" w:rsidP="007C7F1C">
      <w:pPr>
        <w:pStyle w:val="BodyText"/>
        <w:spacing w:after="0"/>
      </w:pPr>
      <w:r>
        <w:t>PSA</w:t>
      </w:r>
      <w:r>
        <w:tab/>
      </w:r>
      <w:r>
        <w:tab/>
        <w:t>Public Service Announcement</w:t>
      </w:r>
    </w:p>
    <w:p w14:paraId="03B4F515" w14:textId="3039D989" w:rsidR="006A033B" w:rsidRDefault="006A033B" w:rsidP="007C7F1C">
      <w:pPr>
        <w:pStyle w:val="BodyText"/>
        <w:spacing w:after="0"/>
      </w:pPr>
      <w:r>
        <w:t>QA/QC</w:t>
      </w:r>
      <w:r>
        <w:tab/>
        <w:t>Quality Assurance/Quality Control</w:t>
      </w:r>
    </w:p>
    <w:p w14:paraId="18BD75EF" w14:textId="77777777" w:rsidR="00263D8B" w:rsidRPr="001F3675" w:rsidRDefault="00263D8B" w:rsidP="00263D8B">
      <w:pPr>
        <w:pStyle w:val="BodyText"/>
        <w:spacing w:after="0"/>
      </w:pPr>
      <w:r>
        <w:t>RIB</w:t>
      </w:r>
      <w:r>
        <w:tab/>
      </w:r>
      <w:r>
        <w:tab/>
        <w:t>Rapid Infiltration Basin</w:t>
      </w:r>
    </w:p>
    <w:p w14:paraId="5C9C8CA3" w14:textId="77777777" w:rsidR="00263D8B" w:rsidRDefault="00263D8B" w:rsidP="007C7F1C">
      <w:pPr>
        <w:pStyle w:val="BodyText"/>
        <w:spacing w:after="0"/>
      </w:pPr>
      <w:r>
        <w:t>RPS</w:t>
      </w:r>
      <w:r>
        <w:tab/>
      </w:r>
      <w:r>
        <w:tab/>
        <w:t>Rapid Periphyton Survey</w:t>
      </w:r>
    </w:p>
    <w:p w14:paraId="15B37E5B" w14:textId="56E2F9F8" w:rsidR="006A033B" w:rsidRDefault="006A033B" w:rsidP="007C7F1C">
      <w:pPr>
        <w:pStyle w:val="BodyText"/>
        <w:spacing w:after="0"/>
      </w:pPr>
      <w:r>
        <w:t>SBIO</w:t>
      </w:r>
      <w:r>
        <w:tab/>
      </w:r>
      <w:r>
        <w:tab/>
        <w:t>DEP Statewide Biological Database</w:t>
      </w:r>
    </w:p>
    <w:p w14:paraId="30ECC75E" w14:textId="77777777" w:rsidR="00263D8B" w:rsidRDefault="00263D8B" w:rsidP="007C7F1C">
      <w:pPr>
        <w:pStyle w:val="BodyText"/>
        <w:spacing w:after="0"/>
      </w:pPr>
      <w:r>
        <w:t>SCI</w:t>
      </w:r>
      <w:r>
        <w:tab/>
      </w:r>
      <w:r>
        <w:tab/>
        <w:t>Stream Condition Index</w:t>
      </w:r>
    </w:p>
    <w:p w14:paraId="220329A6" w14:textId="5AEE8E37" w:rsidR="006A033B" w:rsidRDefault="006A033B" w:rsidP="007C7F1C">
      <w:pPr>
        <w:pStyle w:val="BodyText"/>
        <w:spacing w:after="0"/>
      </w:pPr>
      <w:r>
        <w:t>SOP</w:t>
      </w:r>
      <w:r>
        <w:tab/>
      </w:r>
      <w:r>
        <w:tab/>
        <w:t>Standard Operating Procedure</w:t>
      </w:r>
    </w:p>
    <w:p w14:paraId="147CDFBF" w14:textId="59AC31A9" w:rsidR="004353C8" w:rsidRPr="004353C8" w:rsidRDefault="004353C8" w:rsidP="004353C8">
      <w:pPr>
        <w:rPr>
          <w:rFonts w:ascii="Times New Roman" w:hAnsi="Times New Roman"/>
          <w:sz w:val="24"/>
          <w:szCs w:val="24"/>
        </w:rPr>
      </w:pPr>
      <w:r w:rsidRPr="004353C8">
        <w:rPr>
          <w:rFonts w:ascii="Times New Roman" w:hAnsi="Times New Roman"/>
          <w:sz w:val="24"/>
          <w:szCs w:val="24"/>
        </w:rPr>
        <w:t>STF</w:t>
      </w:r>
      <w:r w:rsidRPr="004353C8">
        <w:rPr>
          <w:rFonts w:ascii="Times New Roman" w:hAnsi="Times New Roman"/>
          <w:sz w:val="24"/>
          <w:szCs w:val="24"/>
        </w:rPr>
        <w:tab/>
      </w:r>
      <w:r w:rsidRPr="004353C8">
        <w:rPr>
          <w:rFonts w:ascii="Times New Roman" w:hAnsi="Times New Roman"/>
          <w:sz w:val="24"/>
          <w:szCs w:val="24"/>
        </w:rPr>
        <w:tab/>
        <w:t>Sports Turfgrass Fertilizer</w:t>
      </w:r>
    </w:p>
    <w:p w14:paraId="3839E024" w14:textId="31262E83" w:rsidR="007C7F1C" w:rsidRPr="007C7F1C" w:rsidRDefault="007C7F1C" w:rsidP="007C7F1C">
      <w:pPr>
        <w:pStyle w:val="BodyText"/>
        <w:spacing w:after="0"/>
      </w:pPr>
      <w:r>
        <w:t>STORET</w:t>
      </w:r>
      <w:r>
        <w:tab/>
        <w:t>Florida Storage and Retrieval System</w:t>
      </w:r>
    </w:p>
    <w:p w14:paraId="0C4642DB" w14:textId="77777777" w:rsidR="00263D8B" w:rsidRDefault="00263D8B" w:rsidP="007C7F1C">
      <w:pPr>
        <w:pStyle w:val="BodyText"/>
        <w:spacing w:after="0"/>
      </w:pPr>
      <w:r>
        <w:t>SWFWMD</w:t>
      </w:r>
      <w:r>
        <w:tab/>
        <w:t>Southwest Florida Water Management District</w:t>
      </w:r>
    </w:p>
    <w:p w14:paraId="2FB07C4F" w14:textId="688D3565" w:rsidR="006A033B" w:rsidRDefault="006A033B" w:rsidP="007C7F1C">
      <w:pPr>
        <w:pStyle w:val="BodyText"/>
        <w:spacing w:after="0"/>
      </w:pPr>
      <w:r>
        <w:t>SWIM</w:t>
      </w:r>
      <w:r>
        <w:tab/>
      </w:r>
      <w:r>
        <w:tab/>
        <w:t>Surface Water Improvement and Management</w:t>
      </w:r>
    </w:p>
    <w:p w14:paraId="209DA5C3" w14:textId="77777777" w:rsidR="006A033B" w:rsidRDefault="006A033B" w:rsidP="007C7F1C">
      <w:pPr>
        <w:pStyle w:val="BodyText"/>
        <w:spacing w:after="0"/>
      </w:pPr>
      <w:r>
        <w:t>TDEP</w:t>
      </w:r>
      <w:r>
        <w:tab/>
      </w:r>
      <w:r>
        <w:tab/>
        <w:t>Total Atmospheric Deposition Model</w:t>
      </w:r>
    </w:p>
    <w:p w14:paraId="5AECF31E" w14:textId="77777777" w:rsidR="006A033B" w:rsidRDefault="006A033B" w:rsidP="007C7F1C">
      <w:pPr>
        <w:pStyle w:val="BodyText"/>
        <w:spacing w:after="0"/>
      </w:pPr>
      <w:r>
        <w:t>TMDL</w:t>
      </w:r>
      <w:r>
        <w:tab/>
      </w:r>
      <w:r>
        <w:tab/>
        <w:t>Total Maximum Daily Load</w:t>
      </w:r>
    </w:p>
    <w:p w14:paraId="4F37B877" w14:textId="78A2D7A4" w:rsidR="006A033B" w:rsidRDefault="006A033B" w:rsidP="007C7F1C">
      <w:pPr>
        <w:pStyle w:val="BodyText"/>
        <w:spacing w:after="0"/>
      </w:pPr>
      <w:r>
        <w:t>TN</w:t>
      </w:r>
      <w:r>
        <w:tab/>
      </w:r>
      <w:r>
        <w:tab/>
        <w:t>Total Nitrogen</w:t>
      </w:r>
    </w:p>
    <w:p w14:paraId="27AC7CA8" w14:textId="77777777" w:rsidR="006A033B" w:rsidRDefault="006A033B" w:rsidP="007C7F1C">
      <w:pPr>
        <w:pStyle w:val="BodyText"/>
        <w:spacing w:after="0"/>
      </w:pPr>
      <w:r>
        <w:t>TP</w:t>
      </w:r>
      <w:r>
        <w:tab/>
      </w:r>
      <w:r>
        <w:tab/>
        <w:t>T</w:t>
      </w:r>
      <w:r w:rsidRPr="0052043A">
        <w:t xml:space="preserve">otal </w:t>
      </w:r>
      <w:r>
        <w:t>P</w:t>
      </w:r>
      <w:r w:rsidRPr="0052043A">
        <w:t>hosphorus</w:t>
      </w:r>
    </w:p>
    <w:p w14:paraId="5DE19451" w14:textId="77777777" w:rsidR="00263D8B" w:rsidRDefault="00263D8B" w:rsidP="007C7F1C">
      <w:pPr>
        <w:pStyle w:val="BodyText"/>
        <w:spacing w:after="0"/>
      </w:pPr>
      <w:r>
        <w:t>TSS</w:t>
      </w:r>
      <w:r>
        <w:tab/>
      </w:r>
      <w:r>
        <w:tab/>
        <w:t>Total Suspended Solids</w:t>
      </w:r>
    </w:p>
    <w:p w14:paraId="1F370131" w14:textId="4E563FFC" w:rsidR="006A033B" w:rsidRDefault="006A033B" w:rsidP="007C7F1C">
      <w:pPr>
        <w:pStyle w:val="BodyText"/>
        <w:spacing w:after="0"/>
      </w:pPr>
      <w:r>
        <w:t>UFA</w:t>
      </w:r>
      <w:r>
        <w:tab/>
      </w:r>
      <w:r>
        <w:tab/>
        <w:t>Upper Floridan Aquifer</w:t>
      </w:r>
    </w:p>
    <w:p w14:paraId="1C356535" w14:textId="23DDB842" w:rsidR="006A033B" w:rsidRDefault="006A033B" w:rsidP="007C7F1C">
      <w:pPr>
        <w:pStyle w:val="BodyText"/>
        <w:spacing w:after="0"/>
      </w:pPr>
      <w:r>
        <w:t>UF</w:t>
      </w:r>
      <w:r w:rsidR="004C547B">
        <w:t>–</w:t>
      </w:r>
      <w:r>
        <w:t>IFAS</w:t>
      </w:r>
      <w:r>
        <w:tab/>
        <w:t>University of Florida</w:t>
      </w:r>
      <w:r w:rsidR="004C547B">
        <w:t xml:space="preserve"> </w:t>
      </w:r>
      <w:r>
        <w:t>Institute of Food and Agricultural Sciences</w:t>
      </w:r>
    </w:p>
    <w:p w14:paraId="0BF28F13" w14:textId="0BBCE6EA" w:rsidR="002D35B6" w:rsidRPr="002D35B6" w:rsidRDefault="002D35B6" w:rsidP="002D35B6">
      <w:pPr>
        <w:rPr>
          <w:rFonts w:ascii="Times New Roman" w:hAnsi="Times New Roman"/>
          <w:sz w:val="24"/>
          <w:szCs w:val="24"/>
        </w:rPr>
      </w:pPr>
      <w:r w:rsidRPr="002D35B6">
        <w:rPr>
          <w:rFonts w:ascii="Times New Roman" w:hAnsi="Times New Roman"/>
          <w:sz w:val="24"/>
          <w:szCs w:val="24"/>
        </w:rPr>
        <w:t>USDA</w:t>
      </w:r>
      <w:r w:rsidRPr="002D35B6">
        <w:rPr>
          <w:rFonts w:ascii="Times New Roman" w:hAnsi="Times New Roman"/>
          <w:sz w:val="24"/>
          <w:szCs w:val="24"/>
        </w:rPr>
        <w:tab/>
      </w:r>
      <w:r w:rsidRPr="002D35B6">
        <w:rPr>
          <w:rFonts w:ascii="Times New Roman" w:hAnsi="Times New Roman"/>
          <w:sz w:val="24"/>
          <w:szCs w:val="24"/>
        </w:rPr>
        <w:tab/>
        <w:t>U.S</w:t>
      </w:r>
      <w:r>
        <w:rPr>
          <w:rFonts w:ascii="Times New Roman" w:hAnsi="Times New Roman"/>
          <w:sz w:val="24"/>
          <w:szCs w:val="24"/>
        </w:rPr>
        <w:t>.</w:t>
      </w:r>
      <w:r w:rsidRPr="002D35B6">
        <w:rPr>
          <w:rFonts w:ascii="Times New Roman" w:hAnsi="Times New Roman"/>
          <w:sz w:val="24"/>
          <w:szCs w:val="24"/>
        </w:rPr>
        <w:t xml:space="preserve"> Department of Agriculture</w:t>
      </w:r>
    </w:p>
    <w:p w14:paraId="30FFB41E" w14:textId="6E1BF871" w:rsidR="00263D8B" w:rsidRDefault="00263D8B" w:rsidP="007C7F1C">
      <w:pPr>
        <w:pStyle w:val="BodyText"/>
        <w:spacing w:after="0"/>
      </w:pPr>
      <w:r>
        <w:t>UTF</w:t>
      </w:r>
      <w:r>
        <w:tab/>
      </w:r>
      <w:r>
        <w:tab/>
        <w:t>Urban Turfgrass Fertilizer</w:t>
      </w:r>
    </w:p>
    <w:p w14:paraId="4217000F" w14:textId="7A9CB3EA" w:rsidR="002D35B6" w:rsidRPr="002D35B6" w:rsidRDefault="002D35B6" w:rsidP="002D35B6">
      <w:pPr>
        <w:pStyle w:val="BodyText"/>
        <w:spacing w:after="0"/>
      </w:pPr>
      <w:r>
        <w:t>WAFR</w:t>
      </w:r>
      <w:r>
        <w:tab/>
      </w:r>
      <w:r>
        <w:tab/>
        <w:t>Wastewater Facility Regulation (Database)</w:t>
      </w:r>
    </w:p>
    <w:p w14:paraId="7071E21A" w14:textId="36B3F661" w:rsidR="006A033B" w:rsidRDefault="006A033B" w:rsidP="007C7F1C">
      <w:pPr>
        <w:pStyle w:val="BodyText"/>
        <w:spacing w:after="0"/>
      </w:pPr>
      <w:r>
        <w:t>WBID</w:t>
      </w:r>
      <w:r>
        <w:tab/>
      </w:r>
      <w:r>
        <w:tab/>
        <w:t>Waterbody Identification</w:t>
      </w:r>
      <w:r w:rsidR="007C52B7">
        <w:t xml:space="preserve"> </w:t>
      </w:r>
      <w:r w:rsidR="004C547B">
        <w:t>(</w:t>
      </w:r>
      <w:r w:rsidR="007C52B7">
        <w:t>Number</w:t>
      </w:r>
      <w:r w:rsidR="004C547B">
        <w:t>)</w:t>
      </w:r>
    </w:p>
    <w:p w14:paraId="5BFBE4AC" w14:textId="20C1C380" w:rsidR="006A033B" w:rsidRDefault="006A033B" w:rsidP="007C7F1C">
      <w:pPr>
        <w:pStyle w:val="BodyText"/>
        <w:spacing w:after="0"/>
      </w:pPr>
      <w:r>
        <w:t>WIN</w:t>
      </w:r>
      <w:r>
        <w:tab/>
      </w:r>
      <w:r>
        <w:tab/>
        <w:t xml:space="preserve">Florida Watershed Information Network </w:t>
      </w:r>
      <w:r w:rsidR="004C547B">
        <w:t>(</w:t>
      </w:r>
      <w:r>
        <w:t>Database</w:t>
      </w:r>
      <w:r w:rsidR="004C547B">
        <w:t>)</w:t>
      </w:r>
    </w:p>
    <w:p w14:paraId="4475C111" w14:textId="2C87AFF4" w:rsidR="00E5470E" w:rsidRPr="00E5470E" w:rsidRDefault="00E5470E" w:rsidP="00E5470E">
      <w:pPr>
        <w:rPr>
          <w:rFonts w:ascii="Times New Roman" w:hAnsi="Times New Roman"/>
          <w:sz w:val="24"/>
          <w:szCs w:val="24"/>
        </w:rPr>
      </w:pPr>
      <w:r w:rsidRPr="00E5470E">
        <w:rPr>
          <w:rFonts w:ascii="Times New Roman" w:hAnsi="Times New Roman"/>
          <w:sz w:val="24"/>
          <w:szCs w:val="24"/>
        </w:rPr>
        <w:t>WMD</w:t>
      </w:r>
      <w:r w:rsidRPr="00E5470E">
        <w:rPr>
          <w:rFonts w:ascii="Times New Roman" w:hAnsi="Times New Roman"/>
          <w:sz w:val="24"/>
          <w:szCs w:val="24"/>
        </w:rPr>
        <w:tab/>
      </w:r>
      <w:r w:rsidRPr="00E5470E">
        <w:rPr>
          <w:rFonts w:ascii="Times New Roman" w:hAnsi="Times New Roman"/>
          <w:sz w:val="24"/>
          <w:szCs w:val="24"/>
        </w:rPr>
        <w:tab/>
        <w:t>Water Management District</w:t>
      </w:r>
    </w:p>
    <w:p w14:paraId="0245CB72" w14:textId="2A273DAC" w:rsidR="006A033B" w:rsidRDefault="006A033B" w:rsidP="007C7F1C">
      <w:pPr>
        <w:pStyle w:val="BodyText"/>
        <w:spacing w:after="0"/>
      </w:pPr>
      <w:r>
        <w:t>WWTF</w:t>
      </w:r>
      <w:r>
        <w:tab/>
        <w:t>Wastewater Treatment Facility</w:t>
      </w:r>
    </w:p>
    <w:bookmarkEnd w:id="20"/>
    <w:p w14:paraId="012C0943" w14:textId="5C64E171" w:rsidR="00647D6A" w:rsidRPr="009D6B31" w:rsidRDefault="00995E7B" w:rsidP="008469B6">
      <w:pPr>
        <w:pStyle w:val="Heading1"/>
        <w:numPr>
          <w:ilvl w:val="0"/>
          <w:numId w:val="0"/>
        </w:numPr>
        <w:ind w:left="979" w:hanging="979"/>
      </w:pPr>
      <w:r w:rsidRPr="009D6B31">
        <w:br w:type="page"/>
      </w:r>
      <w:bookmarkStart w:id="21" w:name="_Toc514677648"/>
      <w:bookmarkEnd w:id="14"/>
      <w:r w:rsidR="006A033B" w:rsidRPr="00667D34">
        <w:lastRenderedPageBreak/>
        <w:t>Executive Summary</w:t>
      </w:r>
      <w:bookmarkEnd w:id="21"/>
    </w:p>
    <w:p w14:paraId="2A857F4B" w14:textId="6419BB33" w:rsidR="000B5502" w:rsidRPr="001B501C" w:rsidRDefault="00667D34" w:rsidP="00E07D82">
      <w:pPr>
        <w:pStyle w:val="BodyText"/>
        <w:spacing w:after="120"/>
        <w:rPr>
          <w:b/>
          <w:sz w:val="28"/>
          <w:szCs w:val="28"/>
        </w:rPr>
      </w:pPr>
      <w:r>
        <w:rPr>
          <w:b/>
          <w:sz w:val="28"/>
          <w:szCs w:val="28"/>
        </w:rPr>
        <w:t>Jackson Blue</w:t>
      </w:r>
      <w:r w:rsidR="00FC6D61">
        <w:rPr>
          <w:b/>
          <w:sz w:val="28"/>
          <w:szCs w:val="28"/>
        </w:rPr>
        <w:t xml:space="preserve"> Spring</w:t>
      </w:r>
      <w:r w:rsidR="000B5502" w:rsidRPr="001B501C">
        <w:rPr>
          <w:b/>
          <w:sz w:val="28"/>
          <w:szCs w:val="28"/>
        </w:rPr>
        <w:t xml:space="preserve"> Basin</w:t>
      </w:r>
    </w:p>
    <w:p w14:paraId="5E7121F5" w14:textId="0709D374" w:rsidR="000B5502" w:rsidRPr="00B41662" w:rsidRDefault="000B5502" w:rsidP="000B5502">
      <w:pPr>
        <w:pStyle w:val="BodyText"/>
      </w:pPr>
      <w:r w:rsidRPr="00B41662">
        <w:t xml:space="preserve">The Florida Springs and Aquifer Protection Act (Chapter 373, Part VIII, Florida Statutes [F.S.]), provides for the protection and restoration of Outstanding Florida Springs (OFS), which comprise 24 first magnitude springs, 6 additional named springs, and their associated spring </w:t>
      </w:r>
      <w:r w:rsidRPr="00806C2F">
        <w:t xml:space="preserve">runs. The Florida Department of Environmental Protection (DEP) has assessed water quality in each OFS and determined that 24 of the 30 OFS are impaired for the nitrate form of nitrogen. </w:t>
      </w:r>
      <w:r w:rsidR="006242C1">
        <w:t xml:space="preserve">Jackson Blue Spring is an </w:t>
      </w:r>
      <w:r w:rsidRPr="00806C2F">
        <w:t>impaired OFS</w:t>
      </w:r>
      <w:r w:rsidR="006242C1">
        <w:t>.</w:t>
      </w:r>
    </w:p>
    <w:p w14:paraId="3530994F" w14:textId="30472B1C" w:rsidR="000B5502" w:rsidRPr="00144B37" w:rsidRDefault="000B5502" w:rsidP="000B5502">
      <w:pPr>
        <w:pStyle w:val="BodyText"/>
      </w:pPr>
      <w:r w:rsidRPr="00144B37">
        <w:t>Th</w:t>
      </w:r>
      <w:r w:rsidR="00550F90">
        <w:t>e</w:t>
      </w:r>
      <w:r w:rsidRPr="00144B37">
        <w:t xml:space="preserve"> </w:t>
      </w:r>
      <w:r w:rsidR="006242C1">
        <w:t xml:space="preserve">Jackson Blue Spring and </w:t>
      </w:r>
      <w:r w:rsidR="00A81B1A">
        <w:t>Merritts Mill Pond (Jackson Blue</w:t>
      </w:r>
      <w:r w:rsidR="006242C1">
        <w:t>)</w:t>
      </w:r>
      <w:r w:rsidR="00BB7D72">
        <w:t xml:space="preserve"> B</w:t>
      </w:r>
      <w:r w:rsidRPr="00144B37">
        <w:t xml:space="preserve">asin </w:t>
      </w:r>
      <w:r w:rsidR="00BB7D72">
        <w:t>M</w:t>
      </w:r>
      <w:r w:rsidR="00BB7D72" w:rsidRPr="00144B37">
        <w:t xml:space="preserve">anagement </w:t>
      </w:r>
      <w:r w:rsidR="00BB7D72">
        <w:t>A</w:t>
      </w:r>
      <w:r w:rsidR="00BB7D72" w:rsidRPr="00144B37">
        <w:t xml:space="preserve">ction </w:t>
      </w:r>
      <w:r w:rsidR="00BB7D72">
        <w:t>P</w:t>
      </w:r>
      <w:r w:rsidR="00BB7D72" w:rsidRPr="00144B37">
        <w:t xml:space="preserve">lan </w:t>
      </w:r>
      <w:r w:rsidRPr="00144B37">
        <w:t xml:space="preserve">(BMAP) </w:t>
      </w:r>
      <w:r w:rsidR="00080E05">
        <w:t xml:space="preserve">area </w:t>
      </w:r>
      <w:r w:rsidRPr="00144B37">
        <w:t>comprise</w:t>
      </w:r>
      <w:r w:rsidR="006D3995">
        <w:t>s</w:t>
      </w:r>
      <w:r w:rsidRPr="00144B37">
        <w:t xml:space="preserve"> encompasses </w:t>
      </w:r>
      <w:r w:rsidR="00667D34">
        <w:t>141 square miles in Jackson</w:t>
      </w:r>
      <w:r w:rsidRPr="00144B37">
        <w:t xml:space="preserve"> County</w:t>
      </w:r>
      <w:r w:rsidR="009025B5">
        <w:t xml:space="preserve"> (</w:t>
      </w:r>
      <w:r w:rsidR="009025B5">
        <w:rPr>
          <w:b/>
        </w:rPr>
        <w:t>Figure ES-1)</w:t>
      </w:r>
      <w:r w:rsidR="0058176B">
        <w:rPr>
          <w:b/>
        </w:rPr>
        <w:t>,</w:t>
      </w:r>
      <w:r w:rsidR="0058176B">
        <w:t xml:space="preserve"> east of the City of Marianna</w:t>
      </w:r>
      <w:r w:rsidRPr="00144B37">
        <w:t>.</w:t>
      </w:r>
      <w:r w:rsidR="00667D34">
        <w:t xml:space="preserve"> </w:t>
      </w:r>
      <w:r w:rsidR="00667D34">
        <w:rPr>
          <w:iCs/>
        </w:rPr>
        <w:t xml:space="preserve">The </w:t>
      </w:r>
      <w:r w:rsidR="00AB04D5">
        <w:rPr>
          <w:iCs/>
        </w:rPr>
        <w:t xml:space="preserve">overall </w:t>
      </w:r>
      <w:r w:rsidR="00667D34">
        <w:rPr>
          <w:iCs/>
        </w:rPr>
        <w:t>contributing area is approximately 154 square miles with 8 % in Alabama and 92 % in Florida. The BMAP addresses the Florida portion only.</w:t>
      </w:r>
    </w:p>
    <w:p w14:paraId="65E9ACBD" w14:textId="6D4A9E95" w:rsidR="000B5502" w:rsidRPr="001B501C" w:rsidRDefault="00667D34" w:rsidP="00E07D82">
      <w:pPr>
        <w:pStyle w:val="BodyText"/>
        <w:spacing w:after="120"/>
        <w:rPr>
          <w:b/>
          <w:sz w:val="28"/>
          <w:szCs w:val="28"/>
        </w:rPr>
      </w:pPr>
      <w:r>
        <w:rPr>
          <w:b/>
          <w:sz w:val="28"/>
          <w:szCs w:val="28"/>
        </w:rPr>
        <w:t>Jackson Blue</w:t>
      </w:r>
      <w:r w:rsidR="00A81B1A">
        <w:rPr>
          <w:b/>
          <w:sz w:val="28"/>
          <w:szCs w:val="28"/>
        </w:rPr>
        <w:t xml:space="preserve"> </w:t>
      </w:r>
      <w:r w:rsidR="000B5502" w:rsidRPr="001B501C">
        <w:rPr>
          <w:b/>
          <w:sz w:val="28"/>
          <w:szCs w:val="28"/>
        </w:rPr>
        <w:t>Priority Focus Are</w:t>
      </w:r>
      <w:r>
        <w:rPr>
          <w:b/>
          <w:sz w:val="28"/>
          <w:szCs w:val="28"/>
        </w:rPr>
        <w:t>a (PFA</w:t>
      </w:r>
      <w:r w:rsidR="000B5502" w:rsidRPr="001B501C">
        <w:rPr>
          <w:b/>
          <w:sz w:val="28"/>
          <w:szCs w:val="28"/>
        </w:rPr>
        <w:t>)</w:t>
      </w:r>
    </w:p>
    <w:p w14:paraId="5094AFD7" w14:textId="0A7C6220" w:rsidR="000B5502" w:rsidRPr="00144B37" w:rsidRDefault="008469B6" w:rsidP="000B5502">
      <w:pPr>
        <w:pStyle w:val="BodyText"/>
      </w:pPr>
      <w:r>
        <w:t xml:space="preserve">The PFA </w:t>
      </w:r>
      <w:r w:rsidR="00AF3004">
        <w:t xml:space="preserve">(see </w:t>
      </w:r>
      <w:r w:rsidR="00AF3004" w:rsidRPr="00BE5A45">
        <w:rPr>
          <w:b/>
        </w:rPr>
        <w:t>Appendix C</w:t>
      </w:r>
      <w:r w:rsidR="00AF3004">
        <w:t xml:space="preserve">) </w:t>
      </w:r>
      <w:r>
        <w:t xml:space="preserve">comprises </w:t>
      </w:r>
      <w:r w:rsidR="007A6B96">
        <w:t>67,517</w:t>
      </w:r>
      <w:r>
        <w:t xml:space="preserve"> acres and </w:t>
      </w:r>
      <w:r>
        <w:rPr>
          <w:szCs w:val="24"/>
        </w:rPr>
        <w:t>includes much of the springshed for Jackson Blue and downstream springs in Florida where recharge and soil characteristics indicate vulnerability. It also includes an area in the springshed where groundwater travel to the springs h</w:t>
      </w:r>
      <w:r w:rsidR="00AB04D5">
        <w:rPr>
          <w:szCs w:val="24"/>
        </w:rPr>
        <w:t>a</w:t>
      </w:r>
      <w:r>
        <w:rPr>
          <w:szCs w:val="24"/>
        </w:rPr>
        <w:t>s been documented to occur rapidly or has the potential for rapid movement. In addition, the PFA includes areas of agricultural land use and urban development, where there is the potential for significant contributions of nitrogen to the aquifer and springs based on recharge and soil characteristics.</w:t>
      </w:r>
    </w:p>
    <w:p w14:paraId="25CBF847" w14:textId="3AE3C386" w:rsidR="00BB7D72" w:rsidRPr="00851173" w:rsidRDefault="00BB7D72" w:rsidP="00BB7D72">
      <w:pPr>
        <w:spacing w:after="120"/>
        <w:jc w:val="left"/>
        <w:rPr>
          <w:rFonts w:ascii="Times New Roman" w:hAnsi="Times New Roman"/>
          <w:b/>
          <w:sz w:val="28"/>
          <w:szCs w:val="28"/>
        </w:rPr>
      </w:pPr>
      <w:r w:rsidRPr="00851173">
        <w:rPr>
          <w:rFonts w:ascii="Times New Roman" w:hAnsi="Times New Roman"/>
          <w:b/>
          <w:sz w:val="28"/>
          <w:szCs w:val="28"/>
        </w:rPr>
        <w:t xml:space="preserve">Nitrogen Source Identification, Required Reductions, and Options </w:t>
      </w:r>
      <w:r w:rsidR="00C41D6F">
        <w:rPr>
          <w:rFonts w:ascii="Times New Roman" w:hAnsi="Times New Roman"/>
          <w:b/>
          <w:sz w:val="28"/>
          <w:szCs w:val="28"/>
        </w:rPr>
        <w:t>t</w:t>
      </w:r>
      <w:r w:rsidRPr="00851173">
        <w:rPr>
          <w:rFonts w:ascii="Times New Roman" w:hAnsi="Times New Roman"/>
          <w:b/>
          <w:sz w:val="28"/>
          <w:szCs w:val="28"/>
        </w:rPr>
        <w:t>o Achieve Reductions</w:t>
      </w:r>
    </w:p>
    <w:p w14:paraId="1D008D64" w14:textId="7625E136" w:rsidR="00BB7D72" w:rsidRPr="00144B37" w:rsidRDefault="00BB7D72" w:rsidP="00BB7D72">
      <w:pPr>
        <w:pStyle w:val="BodyText"/>
      </w:pPr>
      <w:r w:rsidRPr="00144B37">
        <w:t xml:space="preserve">DEP set nitrate water quality restoration targets of 0.35 milligrams per liter (mg/L) for </w:t>
      </w:r>
      <w:r w:rsidR="00AB04D5">
        <w:t>Jackson Blue Spring and Merritts Mill Pond in 2013</w:t>
      </w:r>
      <w:r w:rsidRPr="00144B37">
        <w:t>.</w:t>
      </w:r>
      <w:r>
        <w:t xml:space="preserve"> </w:t>
      </w:r>
    </w:p>
    <w:p w14:paraId="393D07C0" w14:textId="7D506EDD" w:rsidR="00BB7D72" w:rsidRPr="00144B37" w:rsidRDefault="006B5F26" w:rsidP="00BB7D72">
      <w:pPr>
        <w:pStyle w:val="BodyText"/>
      </w:pPr>
      <w:r>
        <w:t xml:space="preserve">In the </w:t>
      </w:r>
      <w:r w:rsidR="00AB04D5">
        <w:t>BMAP area,</w:t>
      </w:r>
      <w:r>
        <w:t xml:space="preserve"> </w:t>
      </w:r>
      <w:r w:rsidR="00A81B1A">
        <w:t xml:space="preserve">irrigated and non-irrigated </w:t>
      </w:r>
      <w:r w:rsidR="00151F6C">
        <w:t>f</w:t>
      </w:r>
      <w:r w:rsidR="00BB7D72" w:rsidRPr="00144B37">
        <w:t xml:space="preserve">arm fertilizer </w:t>
      </w:r>
      <w:r w:rsidR="00BB7D72">
        <w:t xml:space="preserve">(FF) </w:t>
      </w:r>
      <w:r w:rsidR="00A81B1A">
        <w:t>represent 45</w:t>
      </w:r>
      <w:r w:rsidR="00BB7D72" w:rsidRPr="00144B37">
        <w:t xml:space="preserve"> %</w:t>
      </w:r>
      <w:r w:rsidR="00A81B1A">
        <w:t xml:space="preserve"> and 40 %, respectively,</w:t>
      </w:r>
      <w:r w:rsidR="00BB7D72" w:rsidRPr="00144B37">
        <w:t xml:space="preserve"> of the total nitrogen loading to groundwater</w:t>
      </w:r>
      <w:r w:rsidR="00BB7D72">
        <w:t>,</w:t>
      </w:r>
      <w:r w:rsidR="00BB7D72" w:rsidRPr="00144B37">
        <w:t xml:space="preserve"> based on the </w:t>
      </w:r>
      <w:r w:rsidR="00BB7D72">
        <w:t xml:space="preserve">results of the </w:t>
      </w:r>
      <w:r w:rsidR="00BB7D72" w:rsidRPr="00144B37">
        <w:t xml:space="preserve">Nitrogen Source Inventory Loading Tool (NSILT) </w:t>
      </w:r>
      <w:r w:rsidR="00BB7D72">
        <w:t xml:space="preserve">developed </w:t>
      </w:r>
      <w:r w:rsidR="00BB7D72" w:rsidRPr="00144B37">
        <w:t>by DEP.</w:t>
      </w:r>
    </w:p>
    <w:p w14:paraId="12DCAC16" w14:textId="6F7374B5" w:rsidR="006D393F" w:rsidRDefault="006D393F">
      <w:pPr>
        <w:jc w:val="left"/>
        <w:rPr>
          <w:highlight w:val="yellow"/>
        </w:rPr>
      </w:pPr>
      <w:r>
        <w:rPr>
          <w:highlight w:val="yellow"/>
        </w:rPr>
        <w:br w:type="page"/>
      </w:r>
      <w:r w:rsidR="000B5502">
        <w:rPr>
          <w:b/>
          <w:noProof/>
          <w:szCs w:val="24"/>
        </w:rPr>
        <w:lastRenderedPageBreak/>
        <w:drawing>
          <wp:inline distT="0" distB="0" distL="0" distR="0" wp14:anchorId="1CB7867E" wp14:editId="2606CBCF">
            <wp:extent cx="5943600" cy="7691717"/>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R_BMAP_AREA_071217_3jp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17"/>
                    </a:xfrm>
                    <a:prstGeom prst="rect">
                      <a:avLst/>
                    </a:prstGeom>
                  </pic:spPr>
                </pic:pic>
              </a:graphicData>
            </a:graphic>
          </wp:inline>
        </w:drawing>
      </w:r>
    </w:p>
    <w:p w14:paraId="3B5135DF" w14:textId="48F64D9A" w:rsidR="000B5502" w:rsidRPr="00F638B8" w:rsidRDefault="00250EA7" w:rsidP="00250EA7">
      <w:pPr>
        <w:pStyle w:val="Caption"/>
        <w:rPr>
          <w:highlight w:val="yellow"/>
        </w:rPr>
      </w:pPr>
      <w:bookmarkStart w:id="22" w:name="_Toc511132592"/>
      <w:bookmarkStart w:id="23" w:name="_Toc511135236"/>
      <w:bookmarkStart w:id="24" w:name="_Toc514430688"/>
      <w:r>
        <w:t xml:space="preserve">Figure ES- </w:t>
      </w:r>
      <w:fldSimple w:instr=" SEQ Figure_ES- \* ARABIC ">
        <w:r w:rsidR="002A2E30">
          <w:rPr>
            <w:noProof/>
          </w:rPr>
          <w:t>1</w:t>
        </w:r>
      </w:fldSimple>
      <w:r>
        <w:t>.</w:t>
      </w:r>
      <w:r w:rsidR="00E32126" w:rsidRPr="00F638B8">
        <w:t xml:space="preserve"> </w:t>
      </w:r>
      <w:r w:rsidR="00667D34">
        <w:t>Jackson Blue</w:t>
      </w:r>
      <w:r w:rsidR="000B5502" w:rsidRPr="00F638B8">
        <w:t xml:space="preserve"> BMAP and PFA boundaries</w:t>
      </w:r>
      <w:bookmarkEnd w:id="22"/>
      <w:bookmarkEnd w:id="23"/>
      <w:bookmarkEnd w:id="24"/>
    </w:p>
    <w:p w14:paraId="153163BD" w14:textId="2E6F9CC9" w:rsidR="006D3995" w:rsidRDefault="006D3995">
      <w:pPr>
        <w:jc w:val="left"/>
        <w:rPr>
          <w:rFonts w:ascii="Times New Roman" w:hAnsi="Times New Roman"/>
          <w:sz w:val="16"/>
          <w:szCs w:val="24"/>
        </w:rPr>
      </w:pPr>
      <w:r>
        <w:br w:type="page"/>
      </w:r>
    </w:p>
    <w:p w14:paraId="1022EEF3" w14:textId="1FD4DC64" w:rsidR="000B5502" w:rsidRPr="006D3995" w:rsidRDefault="000B5502">
      <w:pPr>
        <w:pStyle w:val="BodyText"/>
      </w:pPr>
      <w:r w:rsidRPr="006D3995">
        <w:lastRenderedPageBreak/>
        <w:t xml:space="preserve">The total load reduction </w:t>
      </w:r>
      <w:r w:rsidR="006B5F26">
        <w:t xml:space="preserve">for the BMAP area </w:t>
      </w:r>
      <w:r w:rsidRPr="006D3995">
        <w:t xml:space="preserve">required to meet the </w:t>
      </w:r>
      <w:r w:rsidR="00993B86" w:rsidRPr="006D3995">
        <w:t>total maximum daily load</w:t>
      </w:r>
      <w:r w:rsidR="001E354C">
        <w:t>s</w:t>
      </w:r>
      <w:r w:rsidR="00993B86" w:rsidRPr="006D3995">
        <w:t xml:space="preserve"> (</w:t>
      </w:r>
      <w:r w:rsidR="00A81B1A">
        <w:t>TMDL</w:t>
      </w:r>
      <w:r w:rsidR="001E354C">
        <w:t>s</w:t>
      </w:r>
      <w:r w:rsidR="00993B86" w:rsidRPr="006D3995">
        <w:t>)</w:t>
      </w:r>
      <w:r w:rsidRPr="006D3995">
        <w:t xml:space="preserve"> </w:t>
      </w:r>
      <w:r w:rsidR="00AF3004">
        <w:t xml:space="preserve">at the spring vent </w:t>
      </w:r>
      <w:r w:rsidRPr="006D3995">
        <w:t xml:space="preserve">is </w:t>
      </w:r>
      <w:r w:rsidR="00A81B1A">
        <w:t>651,982</w:t>
      </w:r>
      <w:r w:rsidRPr="006D3995">
        <w:t xml:space="preserve"> pounds of nitrogen</w:t>
      </w:r>
      <w:r w:rsidR="00D22DF5" w:rsidRPr="006D3995">
        <w:t xml:space="preserve"> </w:t>
      </w:r>
      <w:r w:rsidRPr="006D3995">
        <w:t>per year</w:t>
      </w:r>
      <w:r w:rsidR="00BB7D72">
        <w:t xml:space="preserve"> </w:t>
      </w:r>
      <w:r w:rsidR="00BB7D72" w:rsidRPr="006D3995">
        <w:t>(lb-N/yr)</w:t>
      </w:r>
      <w:r w:rsidRPr="006D3995">
        <w:t xml:space="preserve">. To measure progress towards achieving the necessary load reduction, DEP </w:t>
      </w:r>
      <w:r w:rsidR="00BB7D72">
        <w:t>has</w:t>
      </w:r>
      <w:r w:rsidR="00BB7D72" w:rsidRPr="006D3995">
        <w:t xml:space="preserve"> </w:t>
      </w:r>
      <w:r w:rsidRPr="006D3995">
        <w:t>establish</w:t>
      </w:r>
      <w:r w:rsidR="00BB7D72">
        <w:t>ed</w:t>
      </w:r>
      <w:r w:rsidRPr="006D3995">
        <w:t xml:space="preserve"> the following milestones:</w:t>
      </w:r>
    </w:p>
    <w:p w14:paraId="27359FD2" w14:textId="7DED2151" w:rsidR="000B5502" w:rsidRPr="00144B37" w:rsidRDefault="00A81B1A" w:rsidP="0078261C">
      <w:pPr>
        <w:pStyle w:val="Bullet"/>
      </w:pPr>
      <w:r>
        <w:t>195,595</w:t>
      </w:r>
      <w:r w:rsidR="000B5502" w:rsidRPr="00144B37">
        <w:t xml:space="preserve"> lb-N/yr (30 %) within 5 years.</w:t>
      </w:r>
    </w:p>
    <w:p w14:paraId="4F4106F7" w14:textId="2CABEC30" w:rsidR="000B5502" w:rsidRPr="00144B37" w:rsidRDefault="00A81B1A" w:rsidP="0078261C">
      <w:pPr>
        <w:pStyle w:val="Bullet"/>
      </w:pPr>
      <w:r>
        <w:t>325,991</w:t>
      </w:r>
      <w:r w:rsidR="000B5502" w:rsidRPr="00144B37">
        <w:t xml:space="preserve"> lb-N/yr (50 %) within 10 years.</w:t>
      </w:r>
    </w:p>
    <w:p w14:paraId="0CB51D1B" w14:textId="04BEBBC3" w:rsidR="000B5502" w:rsidRPr="00144B37" w:rsidRDefault="00A81B1A" w:rsidP="0078261C">
      <w:pPr>
        <w:pStyle w:val="Bullet"/>
      </w:pPr>
      <w:r>
        <w:t>130,396</w:t>
      </w:r>
      <w:r w:rsidR="000B5502" w:rsidRPr="00144B37">
        <w:t xml:space="preserve"> lb-N/yr (20 %) within 15 years.</w:t>
      </w:r>
    </w:p>
    <w:p w14:paraId="1B2A5374" w14:textId="07390C22" w:rsidR="000B5502" w:rsidRPr="00144B37" w:rsidRDefault="00BB7D72" w:rsidP="0078261C">
      <w:pPr>
        <w:pStyle w:val="Bullet"/>
      </w:pPr>
      <w:r>
        <w:t>A t</w:t>
      </w:r>
      <w:r w:rsidRPr="00144B37">
        <w:t xml:space="preserve">otal </w:t>
      </w:r>
      <w:r w:rsidR="000B5502" w:rsidRPr="00144B37">
        <w:t xml:space="preserve">of </w:t>
      </w:r>
      <w:r w:rsidR="00A81B1A">
        <w:t>651,982</w:t>
      </w:r>
      <w:r w:rsidR="000B5502" w:rsidRPr="00144B37">
        <w:t xml:space="preserve"> lb-N/yr within 20 years.</w:t>
      </w:r>
    </w:p>
    <w:p w14:paraId="7794326E" w14:textId="451A3EE4" w:rsidR="00AF3004" w:rsidRPr="00144B37" w:rsidRDefault="00AF3004" w:rsidP="00BE5A45">
      <w:pPr>
        <w:pStyle w:val="Bullet"/>
        <w:numPr>
          <w:ilvl w:val="0"/>
          <w:numId w:val="0"/>
        </w:numPr>
      </w:pPr>
      <w:r>
        <w:t xml:space="preserve">The policies and submitted projects included within this BMAP are estimated to achieve a reduction of </w:t>
      </w:r>
      <w:r w:rsidR="00E6403F" w:rsidRPr="00E6403F">
        <w:t xml:space="preserve">330,287 to </w:t>
      </w:r>
      <w:r w:rsidR="00E6403F" w:rsidRPr="00BE5A45">
        <w:t>708,260</w:t>
      </w:r>
      <w:r>
        <w:t xml:space="preserve"> lb-N/yr. The BMAP is designed to achieve 80 % of the effort within 10 years of adoption and 100 % within 15 years. DEP will evaluate progress towards these milestones and will report to the Governor and Florida Legislature. DEP will adjust management strategies to ensure the target concentrations are achieved. </w:t>
      </w:r>
    </w:p>
    <w:p w14:paraId="41D036EC" w14:textId="1AEB96E2" w:rsidR="000B5502" w:rsidRPr="00144B37" w:rsidRDefault="00E5470E" w:rsidP="000B5502">
      <w:pPr>
        <w:pStyle w:val="BodyText"/>
      </w:pPr>
      <w:r>
        <w:t>There are currently</w:t>
      </w:r>
      <w:r w:rsidR="000B5502" w:rsidRPr="00144B37">
        <w:t xml:space="preserve"> </w:t>
      </w:r>
      <w:r w:rsidR="00245F56">
        <w:t>20</w:t>
      </w:r>
      <w:r w:rsidR="000B5502" w:rsidRPr="00144B37">
        <w:t xml:space="preserve"> projects to improve water quality (see </w:t>
      </w:r>
      <w:r w:rsidR="000B5502" w:rsidRPr="00D22DF5">
        <w:rPr>
          <w:b/>
        </w:rPr>
        <w:t>Appendix B</w:t>
      </w:r>
      <w:r w:rsidR="000B5502" w:rsidRPr="00144B37">
        <w:t xml:space="preserve">), of which </w:t>
      </w:r>
      <w:r w:rsidR="00245F56">
        <w:t>8</w:t>
      </w:r>
      <w:r w:rsidR="000B5502" w:rsidRPr="00144B37">
        <w:t xml:space="preserve"> projects have estimated load reductions. </w:t>
      </w:r>
      <w:r w:rsidR="007E03F9">
        <w:t>Possible load reductions include projects resulting from policies for</w:t>
      </w:r>
      <w:r w:rsidR="007E03F9" w:rsidRPr="00144B37">
        <w:t xml:space="preserve"> </w:t>
      </w:r>
      <w:r w:rsidR="00334A34">
        <w:t>owner-implemented</w:t>
      </w:r>
      <w:r w:rsidR="000B5502" w:rsidRPr="00144B37">
        <w:t xml:space="preserve"> best management practices (BMPs) for </w:t>
      </w:r>
      <w:r w:rsidR="006B5F26">
        <w:t>FF</w:t>
      </w:r>
      <w:r w:rsidR="000B5502" w:rsidRPr="00144B37">
        <w:t xml:space="preserve"> and </w:t>
      </w:r>
      <w:r w:rsidR="00245F56">
        <w:t>livestock waste (LW)</w:t>
      </w:r>
      <w:r w:rsidR="000B5502" w:rsidRPr="00144B37">
        <w:t xml:space="preserve">; and </w:t>
      </w:r>
      <w:r w:rsidR="00FD3AEE">
        <w:t xml:space="preserve">voluntary </w:t>
      </w:r>
      <w:r w:rsidR="000B5502" w:rsidRPr="00144B37">
        <w:t xml:space="preserve">onsite sewage treatment and disposal system (OSTDS) conversions </w:t>
      </w:r>
      <w:r w:rsidR="00FD3AEE">
        <w:t xml:space="preserve">enhancements or conversions </w:t>
      </w:r>
      <w:r w:rsidR="000B5502" w:rsidRPr="00144B37">
        <w:t>to sewer.</w:t>
      </w:r>
    </w:p>
    <w:p w14:paraId="5EBC4D84" w14:textId="77777777" w:rsidR="000B5502" w:rsidRPr="0030716D" w:rsidRDefault="000B5502" w:rsidP="0030716D">
      <w:pPr>
        <w:spacing w:after="120"/>
        <w:jc w:val="left"/>
        <w:rPr>
          <w:b/>
          <w:sz w:val="28"/>
          <w:szCs w:val="28"/>
        </w:rPr>
      </w:pPr>
      <w:r w:rsidRPr="0030716D">
        <w:rPr>
          <w:rFonts w:ascii="Times New Roman" w:hAnsi="Times New Roman"/>
          <w:b/>
          <w:sz w:val="28"/>
          <w:szCs w:val="28"/>
        </w:rPr>
        <w:t>Restoration Approaches</w:t>
      </w:r>
    </w:p>
    <w:p w14:paraId="71E9FBC0" w14:textId="77777777" w:rsidR="00E6403F" w:rsidRDefault="00E6403F" w:rsidP="00E6403F">
      <w:pPr>
        <w:pStyle w:val="Bullet"/>
      </w:pPr>
      <w:bookmarkStart w:id="25" w:name="_Hlk506197773"/>
      <w:r>
        <w:rPr>
          <w:b/>
        </w:rPr>
        <w:t xml:space="preserve">New </w:t>
      </w:r>
      <w:r w:rsidRPr="00ED2433">
        <w:rPr>
          <w:b/>
        </w:rPr>
        <w:t>OSTDS</w:t>
      </w:r>
      <w:r w:rsidRPr="00ED2433">
        <w:t xml:space="preserve"> –</w:t>
      </w:r>
      <w:r>
        <w:t xml:space="preserve"> Upon BMAP adoption, t</w:t>
      </w:r>
      <w:r w:rsidRPr="00ED2433">
        <w:t xml:space="preserve">he OSTDS remediation plan prohibits new systems on lots of less than 1 acre within the PFAs, unless the </w:t>
      </w:r>
      <w:r>
        <w:t>system</w:t>
      </w:r>
      <w:r w:rsidRPr="00ED2433">
        <w:t xml:space="preserve"> includes enhanced treatment of nitrogen as defined by the OSTDS remediation plan, or unless </w:t>
      </w:r>
      <w:r>
        <w:t xml:space="preserve">the OSTDS permit applicant demonstrates that </w:t>
      </w:r>
      <w:r w:rsidRPr="00ED2433">
        <w:t>sewer connections will be available</w:t>
      </w:r>
      <w:r w:rsidRPr="007D52BA">
        <w:t xml:space="preserve"> </w:t>
      </w:r>
      <w:r>
        <w:t>within 5 years</w:t>
      </w:r>
      <w:r w:rsidRPr="00ED2433">
        <w:t>.</w:t>
      </w:r>
      <w:r>
        <w:t xml:space="preserve"> Local governments and utilities are encouraged to develop master wastewater treatment feasibility plans to identify specific areas to be sewered within 20 years of BMAP adoption.</w:t>
      </w:r>
      <w:r w:rsidRPr="00ED2433">
        <w:t xml:space="preserve"> The OSTDS remediation plan is incorporated as </w:t>
      </w:r>
      <w:r w:rsidRPr="00ED2433">
        <w:rPr>
          <w:b/>
        </w:rPr>
        <w:t>Appendix D</w:t>
      </w:r>
      <w:r w:rsidRPr="00ED2433">
        <w:t>.</w:t>
      </w:r>
    </w:p>
    <w:bookmarkEnd w:id="25"/>
    <w:p w14:paraId="5DB369BA" w14:textId="199D3337" w:rsidR="000B5502" w:rsidRDefault="00245F56" w:rsidP="00245F56">
      <w:pPr>
        <w:pStyle w:val="Bullet"/>
      </w:pPr>
      <w:r>
        <w:rPr>
          <w:b/>
        </w:rPr>
        <w:t>Wastewater Treatment Facilities (</w:t>
      </w:r>
      <w:r w:rsidR="000B5502" w:rsidRPr="006333F6">
        <w:rPr>
          <w:b/>
        </w:rPr>
        <w:t>WWTFs</w:t>
      </w:r>
      <w:r>
        <w:rPr>
          <w:b/>
        </w:rPr>
        <w:t>)</w:t>
      </w:r>
      <w:r w:rsidR="000B5502" w:rsidRPr="00144B37">
        <w:t xml:space="preserve"> </w:t>
      </w:r>
      <w:r>
        <w:t>–</w:t>
      </w:r>
      <w:r w:rsidR="000B5502" w:rsidRPr="00144B37">
        <w:t xml:space="preserve"> </w:t>
      </w:r>
      <w:r>
        <w:t>Although there are no WWTFs currently in the BMAP area, for consistency with other springs-related BMAPs, t</w:t>
      </w:r>
      <w:r w:rsidR="000B5502" w:rsidRPr="00144B37">
        <w:t>he effluent standards</w:t>
      </w:r>
      <w:r w:rsidR="006333F6">
        <w:t xml:space="preserve"> listed in </w:t>
      </w:r>
      <w:r w:rsidR="006333F6">
        <w:rPr>
          <w:b/>
        </w:rPr>
        <w:t>Table ES-1</w:t>
      </w:r>
      <w:r w:rsidR="000B5502" w:rsidRPr="00144B37">
        <w:t xml:space="preserve"> will apply to</w:t>
      </w:r>
      <w:r>
        <w:t xml:space="preserve"> future </w:t>
      </w:r>
      <w:r w:rsidR="000B5502" w:rsidRPr="00144B37">
        <w:t>WWTFs in the BMAP</w:t>
      </w:r>
      <w:r>
        <w:t xml:space="preserve"> area</w:t>
      </w:r>
      <w:r w:rsidR="006333F6">
        <w:t>.</w:t>
      </w:r>
    </w:p>
    <w:p w14:paraId="3EC28A70" w14:textId="0C910373" w:rsidR="00D32B50" w:rsidRDefault="00D32B50" w:rsidP="00D32B50">
      <w:pPr>
        <w:pStyle w:val="Bullet"/>
        <w:numPr>
          <w:ilvl w:val="0"/>
          <w:numId w:val="0"/>
        </w:numPr>
        <w:ind w:left="720" w:hanging="360"/>
      </w:pPr>
    </w:p>
    <w:p w14:paraId="323E0ECC" w14:textId="77777777" w:rsidR="00D32B50" w:rsidRDefault="00D32B50" w:rsidP="00D32B50">
      <w:pPr>
        <w:pStyle w:val="Bullet"/>
        <w:numPr>
          <w:ilvl w:val="0"/>
          <w:numId w:val="0"/>
        </w:numPr>
        <w:ind w:left="720" w:hanging="360"/>
      </w:pPr>
    </w:p>
    <w:p w14:paraId="46EBFDCE" w14:textId="694718E7" w:rsidR="000B5502" w:rsidRDefault="00A335E7" w:rsidP="00A335E7">
      <w:pPr>
        <w:pStyle w:val="Caption"/>
      </w:pPr>
      <w:bookmarkStart w:id="26" w:name="_Toc511134793"/>
      <w:bookmarkStart w:id="27" w:name="_Toc514430691"/>
      <w:bookmarkStart w:id="28" w:name="_Toc514430946"/>
      <w:r>
        <w:lastRenderedPageBreak/>
        <w:t>Table ES-</w:t>
      </w:r>
      <w:fldSimple w:instr=" SEQ Table_ES- \* ARABIC ">
        <w:r w:rsidR="002A2E30">
          <w:rPr>
            <w:noProof/>
          </w:rPr>
          <w:t>1</w:t>
        </w:r>
      </w:fldSimple>
      <w:r w:rsidR="00E32126">
        <w:t xml:space="preserve">. </w:t>
      </w:r>
      <w:r w:rsidR="000B5502">
        <w:t>WWTF effluent standards</w:t>
      </w:r>
      <w:bookmarkEnd w:id="26"/>
      <w:bookmarkEnd w:id="27"/>
      <w:bookmarkEnd w:id="28"/>
    </w:p>
    <w:p w14:paraId="30DFCA38" w14:textId="544EFC9C" w:rsidR="00A84783" w:rsidRDefault="00024F62" w:rsidP="00E5470E">
      <w:pPr>
        <w:pStyle w:val="Bodytextreduced"/>
        <w:ind w:firstLine="360"/>
      </w:pPr>
      <w:r>
        <w:t>gpd = Gallons per day</w:t>
      </w:r>
    </w:p>
    <w:tbl>
      <w:tblPr>
        <w:tblStyle w:val="TableGrid"/>
        <w:tblW w:w="0" w:type="auto"/>
        <w:jc w:val="center"/>
        <w:tblLook w:val="04A0" w:firstRow="1" w:lastRow="0" w:firstColumn="1" w:lastColumn="0" w:noHBand="0" w:noVBand="1"/>
      </w:tblPr>
      <w:tblGrid>
        <w:gridCol w:w="2875"/>
        <w:gridCol w:w="2880"/>
        <w:gridCol w:w="2880"/>
      </w:tblGrid>
      <w:tr w:rsidR="000B5502" w:rsidRPr="00BE1A2F" w14:paraId="5513D9CC" w14:textId="77777777" w:rsidTr="0030716D">
        <w:trPr>
          <w:tblHeader/>
          <w:jc w:val="center"/>
        </w:trPr>
        <w:tc>
          <w:tcPr>
            <w:tcW w:w="2875" w:type="dxa"/>
            <w:shd w:val="clear" w:color="auto" w:fill="DEEAF6" w:themeFill="accent1" w:themeFillTint="33"/>
            <w:vAlign w:val="bottom"/>
          </w:tcPr>
          <w:p w14:paraId="4FA11106" w14:textId="26E1300D" w:rsidR="00101973" w:rsidRDefault="006854E0" w:rsidP="000B5502">
            <w:pPr>
              <w:pStyle w:val="BodyText"/>
              <w:spacing w:after="0"/>
              <w:jc w:val="center"/>
              <w:rPr>
                <w:b/>
                <w:sz w:val="20"/>
              </w:rPr>
            </w:pPr>
            <w:r>
              <w:rPr>
                <w:b/>
                <w:sz w:val="20"/>
              </w:rPr>
              <w:t xml:space="preserve">95% of the </w:t>
            </w:r>
            <w:r w:rsidR="000B5502" w:rsidRPr="000B5502">
              <w:rPr>
                <w:b/>
                <w:sz w:val="20"/>
              </w:rPr>
              <w:t xml:space="preserve">Permitted Capacity </w:t>
            </w:r>
          </w:p>
          <w:p w14:paraId="2041A108" w14:textId="0F44709E" w:rsidR="000B5502" w:rsidRPr="000B5502" w:rsidRDefault="000B5502" w:rsidP="000B5502">
            <w:pPr>
              <w:pStyle w:val="BodyText"/>
              <w:spacing w:after="0"/>
              <w:jc w:val="center"/>
              <w:rPr>
                <w:b/>
                <w:sz w:val="20"/>
              </w:rPr>
            </w:pPr>
            <w:r w:rsidRPr="000B5502">
              <w:rPr>
                <w:b/>
                <w:sz w:val="20"/>
              </w:rPr>
              <w:t>(gpd)</w:t>
            </w:r>
          </w:p>
        </w:tc>
        <w:tc>
          <w:tcPr>
            <w:tcW w:w="2880" w:type="dxa"/>
            <w:shd w:val="clear" w:color="auto" w:fill="DEEAF6" w:themeFill="accent1" w:themeFillTint="33"/>
            <w:vAlign w:val="bottom"/>
          </w:tcPr>
          <w:p w14:paraId="3679FC85" w14:textId="77777777" w:rsidR="00101973" w:rsidRDefault="000B5502" w:rsidP="000B5502">
            <w:pPr>
              <w:pStyle w:val="BodyText"/>
              <w:spacing w:after="0"/>
              <w:jc w:val="center"/>
              <w:rPr>
                <w:b/>
                <w:sz w:val="20"/>
              </w:rPr>
            </w:pPr>
            <w:r w:rsidRPr="000B5502">
              <w:rPr>
                <w:b/>
                <w:sz w:val="20"/>
              </w:rPr>
              <w:t xml:space="preserve">Nitrogen Concentration Limits for Rapid Infiltration Basins (RIBs) and Absorption Fields </w:t>
            </w:r>
          </w:p>
          <w:p w14:paraId="10CB7A03" w14:textId="7E4BA15A" w:rsidR="000B5502" w:rsidRPr="000B5502" w:rsidRDefault="000B5502" w:rsidP="000B5502">
            <w:pPr>
              <w:pStyle w:val="BodyText"/>
              <w:spacing w:after="0"/>
              <w:jc w:val="center"/>
              <w:rPr>
                <w:b/>
                <w:sz w:val="20"/>
              </w:rPr>
            </w:pPr>
            <w:r w:rsidRPr="000B5502">
              <w:rPr>
                <w:b/>
                <w:sz w:val="20"/>
              </w:rPr>
              <w:t>(mg/L)</w:t>
            </w:r>
          </w:p>
        </w:tc>
        <w:tc>
          <w:tcPr>
            <w:tcW w:w="2880" w:type="dxa"/>
            <w:shd w:val="clear" w:color="auto" w:fill="DEEAF6" w:themeFill="accent1" w:themeFillTint="33"/>
            <w:vAlign w:val="bottom"/>
          </w:tcPr>
          <w:p w14:paraId="0D8C19AB" w14:textId="7C7BFA75" w:rsidR="00101973" w:rsidRDefault="000B5502" w:rsidP="000B5502">
            <w:pPr>
              <w:pStyle w:val="BodyText"/>
              <w:spacing w:after="0"/>
              <w:jc w:val="center"/>
              <w:rPr>
                <w:b/>
                <w:sz w:val="20"/>
              </w:rPr>
            </w:pPr>
            <w:r w:rsidRPr="000B5502">
              <w:rPr>
                <w:b/>
                <w:sz w:val="20"/>
              </w:rPr>
              <w:t>Nitrogen Concentration Limits for All Other Land Disposal Methods</w:t>
            </w:r>
            <w:r w:rsidR="00A84783">
              <w:rPr>
                <w:b/>
                <w:sz w:val="20"/>
              </w:rPr>
              <w:t>, Including Reuse</w:t>
            </w:r>
            <w:r w:rsidRPr="000B5502">
              <w:rPr>
                <w:b/>
                <w:sz w:val="20"/>
              </w:rPr>
              <w:t xml:space="preserve"> </w:t>
            </w:r>
          </w:p>
          <w:p w14:paraId="69149137" w14:textId="3846C1F8" w:rsidR="000B5502" w:rsidRPr="000B5502" w:rsidRDefault="000B5502" w:rsidP="000B5502">
            <w:pPr>
              <w:pStyle w:val="BodyText"/>
              <w:spacing w:after="0"/>
              <w:jc w:val="center"/>
              <w:rPr>
                <w:b/>
                <w:sz w:val="20"/>
              </w:rPr>
            </w:pPr>
            <w:r w:rsidRPr="000B5502">
              <w:rPr>
                <w:b/>
                <w:sz w:val="20"/>
              </w:rPr>
              <w:t>(mg/L)</w:t>
            </w:r>
          </w:p>
        </w:tc>
      </w:tr>
      <w:tr w:rsidR="000B5502" w:rsidRPr="00BE1A2F" w14:paraId="7CD6EB54" w14:textId="77777777" w:rsidTr="0030716D">
        <w:trPr>
          <w:jc w:val="center"/>
        </w:trPr>
        <w:tc>
          <w:tcPr>
            <w:tcW w:w="2875" w:type="dxa"/>
          </w:tcPr>
          <w:p w14:paraId="759759BF" w14:textId="32044C09" w:rsidR="000B5502" w:rsidRPr="0030716D" w:rsidRDefault="000B5502" w:rsidP="000B5502">
            <w:pPr>
              <w:pStyle w:val="BodyText"/>
              <w:spacing w:after="0"/>
              <w:jc w:val="center"/>
              <w:rPr>
                <w:b/>
                <w:sz w:val="20"/>
              </w:rPr>
            </w:pPr>
            <w:r w:rsidRPr="0030716D">
              <w:rPr>
                <w:b/>
                <w:sz w:val="20"/>
              </w:rPr>
              <w:t xml:space="preserve">Greater </w:t>
            </w:r>
            <w:r w:rsidR="006333F6" w:rsidRPr="0030716D">
              <w:rPr>
                <w:b/>
                <w:sz w:val="20"/>
              </w:rPr>
              <w:t>t</w:t>
            </w:r>
            <w:r w:rsidRPr="0030716D">
              <w:rPr>
                <w:b/>
                <w:sz w:val="20"/>
              </w:rPr>
              <w:t>han 100,000</w:t>
            </w:r>
          </w:p>
        </w:tc>
        <w:tc>
          <w:tcPr>
            <w:tcW w:w="2880" w:type="dxa"/>
          </w:tcPr>
          <w:p w14:paraId="4A5AF124" w14:textId="77777777" w:rsidR="000B5502" w:rsidRPr="00BE1A2F" w:rsidRDefault="000B5502" w:rsidP="000B5502">
            <w:pPr>
              <w:pStyle w:val="BodyText"/>
              <w:spacing w:after="0"/>
              <w:jc w:val="center"/>
              <w:rPr>
                <w:sz w:val="20"/>
              </w:rPr>
            </w:pPr>
            <w:r w:rsidRPr="00BE1A2F">
              <w:rPr>
                <w:sz w:val="20"/>
              </w:rPr>
              <w:t>3</w:t>
            </w:r>
          </w:p>
        </w:tc>
        <w:tc>
          <w:tcPr>
            <w:tcW w:w="2880" w:type="dxa"/>
          </w:tcPr>
          <w:p w14:paraId="1DE1DC8E" w14:textId="77777777" w:rsidR="000B5502" w:rsidRPr="00BE1A2F" w:rsidRDefault="000B5502" w:rsidP="000B5502">
            <w:pPr>
              <w:pStyle w:val="BodyText"/>
              <w:spacing w:after="0"/>
              <w:jc w:val="center"/>
              <w:rPr>
                <w:sz w:val="20"/>
              </w:rPr>
            </w:pPr>
            <w:r w:rsidRPr="00BE1A2F">
              <w:rPr>
                <w:sz w:val="20"/>
              </w:rPr>
              <w:t>3</w:t>
            </w:r>
          </w:p>
        </w:tc>
      </w:tr>
      <w:tr w:rsidR="000B5502" w:rsidRPr="00BE1A2F" w14:paraId="54D4C0AF" w14:textId="77777777" w:rsidTr="0030716D">
        <w:trPr>
          <w:jc w:val="center"/>
        </w:trPr>
        <w:tc>
          <w:tcPr>
            <w:tcW w:w="2875" w:type="dxa"/>
          </w:tcPr>
          <w:p w14:paraId="5C0EFB1D" w14:textId="77777777" w:rsidR="000B5502" w:rsidRPr="0030716D" w:rsidRDefault="000B5502" w:rsidP="000B5502">
            <w:pPr>
              <w:pStyle w:val="BodyText"/>
              <w:spacing w:after="0"/>
              <w:jc w:val="center"/>
              <w:rPr>
                <w:b/>
                <w:sz w:val="20"/>
              </w:rPr>
            </w:pPr>
            <w:r w:rsidRPr="0030716D">
              <w:rPr>
                <w:b/>
                <w:sz w:val="20"/>
              </w:rPr>
              <w:t>20,000 to 100,000</w:t>
            </w:r>
          </w:p>
        </w:tc>
        <w:tc>
          <w:tcPr>
            <w:tcW w:w="2880" w:type="dxa"/>
          </w:tcPr>
          <w:p w14:paraId="45C45C47" w14:textId="77777777" w:rsidR="000B5502" w:rsidRPr="00BE1A2F" w:rsidRDefault="000B5502" w:rsidP="000B5502">
            <w:pPr>
              <w:pStyle w:val="BodyText"/>
              <w:spacing w:after="0"/>
              <w:jc w:val="center"/>
              <w:rPr>
                <w:sz w:val="20"/>
              </w:rPr>
            </w:pPr>
            <w:r w:rsidRPr="00BE1A2F">
              <w:rPr>
                <w:sz w:val="20"/>
              </w:rPr>
              <w:t>3</w:t>
            </w:r>
          </w:p>
        </w:tc>
        <w:tc>
          <w:tcPr>
            <w:tcW w:w="2880" w:type="dxa"/>
          </w:tcPr>
          <w:p w14:paraId="1914FA58" w14:textId="77777777" w:rsidR="000B5502" w:rsidRPr="00BE1A2F" w:rsidRDefault="000B5502" w:rsidP="000B5502">
            <w:pPr>
              <w:pStyle w:val="BodyText"/>
              <w:spacing w:after="0"/>
              <w:jc w:val="center"/>
              <w:rPr>
                <w:sz w:val="20"/>
              </w:rPr>
            </w:pPr>
            <w:r w:rsidRPr="00BE1A2F">
              <w:rPr>
                <w:sz w:val="20"/>
              </w:rPr>
              <w:t>6</w:t>
            </w:r>
          </w:p>
        </w:tc>
      </w:tr>
      <w:tr w:rsidR="000B5502" w:rsidRPr="00BE1A2F" w14:paraId="707B8B9E" w14:textId="77777777" w:rsidTr="0030716D">
        <w:trPr>
          <w:jc w:val="center"/>
        </w:trPr>
        <w:tc>
          <w:tcPr>
            <w:tcW w:w="2875" w:type="dxa"/>
          </w:tcPr>
          <w:p w14:paraId="00F0D4B1" w14:textId="362D479C" w:rsidR="000B5502" w:rsidRPr="0030716D" w:rsidRDefault="000B5502" w:rsidP="000B5502">
            <w:pPr>
              <w:pStyle w:val="BodyText"/>
              <w:spacing w:after="0"/>
              <w:jc w:val="center"/>
              <w:rPr>
                <w:b/>
                <w:sz w:val="20"/>
              </w:rPr>
            </w:pPr>
            <w:r w:rsidRPr="0030716D">
              <w:rPr>
                <w:b/>
                <w:sz w:val="20"/>
              </w:rPr>
              <w:t xml:space="preserve">Less </w:t>
            </w:r>
            <w:r w:rsidR="006333F6" w:rsidRPr="0030716D">
              <w:rPr>
                <w:b/>
                <w:sz w:val="20"/>
              </w:rPr>
              <w:t>t</w:t>
            </w:r>
            <w:r w:rsidRPr="0030716D">
              <w:rPr>
                <w:b/>
                <w:sz w:val="20"/>
              </w:rPr>
              <w:t>han 20,000</w:t>
            </w:r>
          </w:p>
        </w:tc>
        <w:tc>
          <w:tcPr>
            <w:tcW w:w="2880" w:type="dxa"/>
          </w:tcPr>
          <w:p w14:paraId="321C38FB" w14:textId="77777777" w:rsidR="000B5502" w:rsidRPr="00BE1A2F" w:rsidRDefault="000B5502" w:rsidP="000B5502">
            <w:pPr>
              <w:pStyle w:val="BodyText"/>
              <w:spacing w:after="0"/>
              <w:jc w:val="center"/>
              <w:rPr>
                <w:sz w:val="20"/>
              </w:rPr>
            </w:pPr>
            <w:r w:rsidRPr="00BE1A2F">
              <w:rPr>
                <w:sz w:val="20"/>
              </w:rPr>
              <w:t>6</w:t>
            </w:r>
          </w:p>
        </w:tc>
        <w:tc>
          <w:tcPr>
            <w:tcW w:w="2880" w:type="dxa"/>
          </w:tcPr>
          <w:p w14:paraId="7FC2D53D" w14:textId="77777777" w:rsidR="000B5502" w:rsidRPr="00BE1A2F" w:rsidRDefault="000B5502" w:rsidP="000B5502">
            <w:pPr>
              <w:pStyle w:val="BodyText"/>
              <w:spacing w:after="0"/>
              <w:jc w:val="center"/>
              <w:rPr>
                <w:sz w:val="20"/>
              </w:rPr>
            </w:pPr>
            <w:r w:rsidRPr="00BE1A2F">
              <w:rPr>
                <w:sz w:val="20"/>
              </w:rPr>
              <w:t>6</w:t>
            </w:r>
          </w:p>
        </w:tc>
      </w:tr>
    </w:tbl>
    <w:p w14:paraId="50E60028" w14:textId="16F2EE44" w:rsidR="00101973" w:rsidRDefault="00101973" w:rsidP="0030716D">
      <w:pPr>
        <w:pStyle w:val="Bodytextreduced"/>
      </w:pPr>
    </w:p>
    <w:p w14:paraId="5D0D4581" w14:textId="77777777" w:rsidR="00063F01" w:rsidRPr="00652FC6" w:rsidRDefault="00063F01" w:rsidP="00BA49AE">
      <w:pPr>
        <w:pStyle w:val="Bullet"/>
        <w:numPr>
          <w:ilvl w:val="0"/>
          <w:numId w:val="16"/>
        </w:numPr>
        <w:rPr>
          <w:rFonts w:ascii="Times New Roman Bold" w:hAnsi="Times New Roman Bold"/>
          <w:b/>
        </w:rPr>
      </w:pPr>
      <w:r w:rsidRPr="00B458DC">
        <w:rPr>
          <w:b/>
        </w:rPr>
        <w:t>Urban Turfgrass Fertilizer (UTF)</w:t>
      </w:r>
      <w:r w:rsidRPr="00B458DC">
        <w:rPr>
          <w:i/>
        </w:rPr>
        <w:t xml:space="preserve"> </w:t>
      </w:r>
      <w:r w:rsidRPr="00144B37">
        <w:t>– UTF sources can receive up to 6 % credit for</w:t>
      </w:r>
      <w:r>
        <w:t xml:space="preserve"> the </w:t>
      </w:r>
      <w:r w:rsidRPr="00144B37">
        <w:t>DEP</w:t>
      </w:r>
      <w:r>
        <w:t>-</w:t>
      </w:r>
      <w:r w:rsidRPr="00144B37">
        <w:t>approved suite of public education and source control ordinances. Sources have the option to collect and provide monitoring data to quantify reduction credits for additional measures.</w:t>
      </w:r>
    </w:p>
    <w:p w14:paraId="4D9C3102" w14:textId="4FB0A0C0" w:rsidR="00063F01" w:rsidRPr="00652FC6" w:rsidRDefault="00063F01" w:rsidP="00BA49AE">
      <w:pPr>
        <w:pStyle w:val="Bullet"/>
        <w:numPr>
          <w:ilvl w:val="0"/>
          <w:numId w:val="16"/>
        </w:numPr>
      </w:pPr>
      <w:r>
        <w:rPr>
          <w:b/>
        </w:rPr>
        <w:t xml:space="preserve">Sports Turfgrass Fertilizer (STF) </w:t>
      </w:r>
      <w:r>
        <w:rPr>
          <w:rFonts w:ascii="Times New Roman Bold" w:hAnsi="Times New Roman Bold"/>
          <w:b/>
        </w:rPr>
        <w:t xml:space="preserve">– </w:t>
      </w:r>
      <w:r w:rsidRPr="00652FC6">
        <w:t>STF</w:t>
      </w:r>
      <w:r>
        <w:t xml:space="preserve"> sources include golf courses and other sporting facilities. Golf courses can receive up to 10 % credit for im</w:t>
      </w:r>
      <w:r w:rsidR="006249B6">
        <w:t>plementing the Golf Course BMP M</w:t>
      </w:r>
      <w:r>
        <w:t xml:space="preserve">anual. Other sports fields can receive </w:t>
      </w:r>
      <w:r w:rsidR="006249B6">
        <w:t xml:space="preserve">up to </w:t>
      </w:r>
      <w:r>
        <w:t xml:space="preserve">6 % credit for managing </w:t>
      </w:r>
      <w:r w:rsidR="006249B6">
        <w:t>their fertilizer applications to minimize transport to groundwater.</w:t>
      </w:r>
    </w:p>
    <w:p w14:paraId="493F260E" w14:textId="0362536F" w:rsidR="000B5502" w:rsidRPr="00144B37" w:rsidRDefault="000B5502" w:rsidP="0030716D">
      <w:pPr>
        <w:pStyle w:val="Bullet"/>
      </w:pPr>
      <w:bookmarkStart w:id="29" w:name="_Hlk489348588"/>
      <w:r w:rsidRPr="006333F6">
        <w:rPr>
          <w:b/>
        </w:rPr>
        <w:t>FF</w:t>
      </w:r>
      <w:r w:rsidRPr="00144B37">
        <w:rPr>
          <w:i/>
        </w:rPr>
        <w:t xml:space="preserve"> </w:t>
      </w:r>
      <w:r w:rsidRPr="00144B37">
        <w:t>– All FF sources are required to implement BMPs or perform monitoring</w:t>
      </w:r>
      <w:r w:rsidR="00BA49AE">
        <w:t xml:space="preserve"> </w:t>
      </w:r>
      <w:bookmarkStart w:id="30" w:name="_Hlk512514796"/>
      <w:r w:rsidR="00BA49AE">
        <w:t>to demonstrate compliance with the TMDL</w:t>
      </w:r>
      <w:bookmarkEnd w:id="30"/>
      <w:r w:rsidRPr="00144B37">
        <w:t xml:space="preserve">. A 15 % reduction </w:t>
      </w:r>
      <w:r w:rsidR="00F1166C">
        <w:t xml:space="preserve">to groundwater </w:t>
      </w:r>
      <w:r w:rsidRPr="00144B37">
        <w:t xml:space="preserve">is estimated for owner-implemented BMPs. Additional credits could be achieved through better documentation of reductions achieved through BMP implementation or </w:t>
      </w:r>
      <w:r w:rsidR="00101973">
        <w:t xml:space="preserve">the </w:t>
      </w:r>
      <w:r w:rsidRPr="00144B37">
        <w:t xml:space="preserve">implementation of </w:t>
      </w:r>
      <w:r w:rsidR="007E100D">
        <w:t xml:space="preserve">additional agricultural </w:t>
      </w:r>
      <w:r w:rsidR="006277A5">
        <w:t xml:space="preserve">projects and </w:t>
      </w:r>
      <w:r w:rsidR="007E100D">
        <w:t>practices</w:t>
      </w:r>
      <w:r w:rsidRPr="00144B37">
        <w:t>, such as precision irrigation, soil moisture probes</w:t>
      </w:r>
      <w:r w:rsidR="007E100D">
        <w:t xml:space="preserve">, </w:t>
      </w:r>
      <w:r w:rsidR="00C83A42">
        <w:t>controlled</w:t>
      </w:r>
      <w:r w:rsidR="00C41D6F">
        <w:t xml:space="preserve"> </w:t>
      </w:r>
      <w:r w:rsidR="00C83A42">
        <w:t>release fertilizer</w:t>
      </w:r>
      <w:r w:rsidRPr="00144B37">
        <w:t>, and cover crops.</w:t>
      </w:r>
    </w:p>
    <w:bookmarkEnd w:id="29"/>
    <w:p w14:paraId="16A3BC22" w14:textId="2BC7A392" w:rsidR="000B5502" w:rsidRPr="00144B37" w:rsidRDefault="00BB7D72" w:rsidP="0030716D">
      <w:pPr>
        <w:pStyle w:val="Bullet"/>
      </w:pPr>
      <w:r>
        <w:rPr>
          <w:b/>
        </w:rPr>
        <w:t>L</w:t>
      </w:r>
      <w:r w:rsidR="000B5502" w:rsidRPr="006333F6">
        <w:rPr>
          <w:b/>
        </w:rPr>
        <w:t>W</w:t>
      </w:r>
      <w:r w:rsidR="000B5502" w:rsidRPr="00144B37">
        <w:rPr>
          <w:i/>
        </w:rPr>
        <w:t xml:space="preserve"> </w:t>
      </w:r>
      <w:r w:rsidR="000B5502" w:rsidRPr="00144B37">
        <w:t xml:space="preserve">– All LW sources are required to implement BMPs or perform monitoring. A 10 % reduction </w:t>
      </w:r>
      <w:r w:rsidR="00F1166C">
        <w:t xml:space="preserve">to groundwater </w:t>
      </w:r>
      <w:r w:rsidR="000B5502" w:rsidRPr="00144B37">
        <w:t xml:space="preserve">is estimated for owner-implemented BMPs. Additional credits could be achieved through </w:t>
      </w:r>
      <w:r w:rsidR="00334A34">
        <w:t>better documentation of reductions achieved through BMP implementation.</w:t>
      </w:r>
    </w:p>
    <w:p w14:paraId="43650498" w14:textId="79338079" w:rsidR="00E80D96" w:rsidRDefault="00E80D96" w:rsidP="001E354C">
      <w:pPr>
        <w:pStyle w:val="BodyText"/>
        <w:rPr>
          <w:rFonts w:ascii="Times New Roman Bold" w:hAnsi="Times New Roman Bold"/>
          <w:b/>
          <w:bCs/>
          <w:smallCaps/>
          <w:kern w:val="32"/>
          <w:sz w:val="32"/>
          <w:szCs w:val="32"/>
        </w:rPr>
      </w:pPr>
      <w:bookmarkStart w:id="31" w:name="_Toc159826191"/>
      <w:bookmarkStart w:id="32" w:name="_Toc159831621"/>
      <w:r>
        <w:br w:type="page"/>
      </w:r>
    </w:p>
    <w:p w14:paraId="156E1762" w14:textId="3221E4D9" w:rsidR="00647D6A" w:rsidRPr="009D6B31" w:rsidRDefault="00647D6A" w:rsidP="00B01D4E">
      <w:pPr>
        <w:pStyle w:val="Heading1"/>
        <w:numPr>
          <w:ilvl w:val="0"/>
          <w:numId w:val="6"/>
        </w:numPr>
      </w:pPr>
      <w:bookmarkStart w:id="33" w:name="_Toc475022059"/>
      <w:bookmarkStart w:id="34" w:name="_Toc514677649"/>
      <w:r w:rsidRPr="009D6B31">
        <w:lastRenderedPageBreak/>
        <w:t xml:space="preserve">: </w:t>
      </w:r>
      <w:bookmarkEnd w:id="31"/>
      <w:bookmarkEnd w:id="32"/>
      <w:r w:rsidR="00436833">
        <w:t>Background</w:t>
      </w:r>
      <w:bookmarkEnd w:id="33"/>
      <w:bookmarkEnd w:id="34"/>
    </w:p>
    <w:p w14:paraId="3B83CE1D" w14:textId="52678C44" w:rsidR="000017A7" w:rsidRPr="009D6B31" w:rsidRDefault="00AF0F01" w:rsidP="00687E5D">
      <w:pPr>
        <w:pStyle w:val="Heading2"/>
      </w:pPr>
      <w:bookmarkStart w:id="35" w:name="_Toc514677650"/>
      <w:r>
        <w:t>Legislation</w:t>
      </w:r>
      <w:bookmarkEnd w:id="35"/>
    </w:p>
    <w:p w14:paraId="31F605C6" w14:textId="56AFC69A" w:rsidR="00AF0F01" w:rsidRPr="00CF2E55" w:rsidRDefault="00AF0F01" w:rsidP="00AF0F01">
      <w:pPr>
        <w:pStyle w:val="BodyText"/>
        <w:rPr>
          <w:bCs/>
        </w:rPr>
      </w:pPr>
      <w:bookmarkStart w:id="36" w:name="_Toc475022061"/>
      <w:r w:rsidRPr="00056D61">
        <w:t xml:space="preserve">Chapter 373, Part VIII, </w:t>
      </w:r>
      <w:r w:rsidR="00271B12">
        <w:t>Florida Statutes (</w:t>
      </w:r>
      <w:r>
        <w:t>F.S.</w:t>
      </w:r>
      <w:r w:rsidR="00271B12">
        <w:t>)</w:t>
      </w:r>
      <w:r w:rsidRPr="00056D61">
        <w:t>, the</w:t>
      </w:r>
      <w:r>
        <w:t xml:space="preserve"> Florida Springs and Aquifer Protection Act</w:t>
      </w:r>
      <w:r w:rsidR="00F649B4">
        <w:t>,</w:t>
      </w:r>
      <w:r>
        <w:t xml:space="preserve"> provide</w:t>
      </w:r>
      <w:r w:rsidR="00F649B4">
        <w:t>s</w:t>
      </w:r>
      <w:r>
        <w:t xml:space="preserve"> for the protection and restoration of </w:t>
      </w:r>
      <w:r w:rsidR="00271B12">
        <w:t>Outstanding Florida Springs (</w:t>
      </w:r>
      <w:r>
        <w:t>OFS</w:t>
      </w:r>
      <w:r w:rsidR="00271B12">
        <w:t>)</w:t>
      </w:r>
      <w:r>
        <w:t xml:space="preserve">, which </w:t>
      </w:r>
      <w:r w:rsidR="00212258" w:rsidRPr="00B41662">
        <w:t xml:space="preserve">comprise 24 first magnitude springs, 6 additional named springs, and their associated spring </w:t>
      </w:r>
      <w:r w:rsidR="00212258" w:rsidRPr="00806C2F">
        <w:t>runs</w:t>
      </w:r>
      <w:r>
        <w:t xml:space="preserve">. </w:t>
      </w:r>
      <w:r w:rsidR="00271B12">
        <w:t>The Florida Department of Environmental Protection (</w:t>
      </w:r>
      <w:r w:rsidR="00212258" w:rsidRPr="00806C2F">
        <w:t>DEP</w:t>
      </w:r>
      <w:r w:rsidR="00271B12">
        <w:t>)</w:t>
      </w:r>
      <w:r w:rsidR="00212258" w:rsidRPr="00806C2F">
        <w:t xml:space="preserve"> has assessed water quality in each OFS and determined that 24 of the 30 OFS are impaired for the nitrate form of nitrogen. </w:t>
      </w:r>
      <w:r w:rsidR="001E354C">
        <w:t xml:space="preserve">Jackson Blue Spring is an </w:t>
      </w:r>
      <w:r w:rsidR="001E354C" w:rsidRPr="00806C2F">
        <w:t>impaired OFS</w:t>
      </w:r>
      <w:r w:rsidR="001E354C">
        <w:t>.</w:t>
      </w:r>
      <w:r w:rsidR="00BA49AE">
        <w:t xml:space="preserve"> </w:t>
      </w:r>
      <w:r w:rsidR="0072317F">
        <w:t xml:space="preserve">Development of the </w:t>
      </w:r>
      <w:r w:rsidR="00271B12">
        <w:t>basin management action plan (</w:t>
      </w:r>
      <w:r w:rsidR="0072317F">
        <w:t>BMAP</w:t>
      </w:r>
      <w:r w:rsidR="00271B12">
        <w:t>)</w:t>
      </w:r>
      <w:r w:rsidRPr="00F332D1">
        <w:t xml:space="preserve"> </w:t>
      </w:r>
      <w:r w:rsidRPr="005026F9">
        <w:t xml:space="preserve">to meet the new requirements of the Florida Springs and Aquifer Protection Act </w:t>
      </w:r>
      <w:r w:rsidRPr="00F332D1">
        <w:t xml:space="preserve">for the </w:t>
      </w:r>
      <w:r w:rsidR="001E354C">
        <w:t>Jackson Blue</w:t>
      </w:r>
      <w:r w:rsidR="00212258">
        <w:t xml:space="preserve"> </w:t>
      </w:r>
      <w:r w:rsidRPr="00F332D1">
        <w:t>Basin was initiated in 20</w:t>
      </w:r>
      <w:r w:rsidRPr="005026F9">
        <w:t>1</w:t>
      </w:r>
      <w:r w:rsidR="001E354C">
        <w:t>7</w:t>
      </w:r>
      <w:r w:rsidRPr="00F332D1">
        <w:t>.</w:t>
      </w:r>
    </w:p>
    <w:p w14:paraId="092CFBD0" w14:textId="1CE8B9CE" w:rsidR="00447B43" w:rsidRDefault="00447B43" w:rsidP="00447B43">
      <w:pPr>
        <w:pStyle w:val="Heading2"/>
      </w:pPr>
      <w:bookmarkStart w:id="37" w:name="_Toc514677651"/>
      <w:bookmarkEnd w:id="36"/>
      <w:r>
        <w:t xml:space="preserve">Water Quality Standards and </w:t>
      </w:r>
      <w:r w:rsidR="005176FD">
        <w:t>Total Maximum Daily Loads (</w:t>
      </w:r>
      <w:r w:rsidR="001E4625">
        <w:t>T</w:t>
      </w:r>
      <w:r>
        <w:t>MDLs</w:t>
      </w:r>
      <w:bookmarkStart w:id="38" w:name="_Toc475022062"/>
      <w:r w:rsidR="005176FD">
        <w:t>)</w:t>
      </w:r>
      <w:bookmarkEnd w:id="37"/>
    </w:p>
    <w:p w14:paraId="1DC51FB9" w14:textId="5B9C3F6E" w:rsidR="00447B43" w:rsidRDefault="00447B43" w:rsidP="00447B43">
      <w:pPr>
        <w:pStyle w:val="BodyText"/>
        <w:rPr>
          <w:szCs w:val="24"/>
        </w:rPr>
      </w:pPr>
      <w:r w:rsidRPr="008F13D0">
        <w:t xml:space="preserve">A TMDL represents the maximum amount of a given pollutant that a waterbody can assimilate and still meet water quality </w:t>
      </w:r>
      <w:r w:rsidR="00BA49AE">
        <w:t>criteria</w:t>
      </w:r>
      <w:r w:rsidRPr="008F13D0">
        <w:t>.</w:t>
      </w:r>
      <w:r>
        <w:t xml:space="preserve"> </w:t>
      </w:r>
      <w:r w:rsidR="001E354C">
        <w:rPr>
          <w:szCs w:val="24"/>
        </w:rPr>
        <w:t xml:space="preserve">Jackson Blue Spring and Merritts Mill Pond </w:t>
      </w:r>
      <w:r>
        <w:rPr>
          <w:szCs w:val="24"/>
        </w:rPr>
        <w:t xml:space="preserve">are </w:t>
      </w:r>
      <w:r w:rsidRPr="002441B0">
        <w:rPr>
          <w:szCs w:val="24"/>
        </w:rPr>
        <w:t xml:space="preserve">Class III waterbodies </w:t>
      </w:r>
      <w:r w:rsidR="003C4EC0">
        <w:rPr>
          <w:szCs w:val="24"/>
        </w:rPr>
        <w:t>with</w:t>
      </w:r>
      <w:r w:rsidRPr="002441B0">
        <w:rPr>
          <w:szCs w:val="24"/>
        </w:rPr>
        <w:t xml:space="preserve"> a designated use of recreation, propagation, and the maintenance of a healthy, well-balanced population of fish and wildlife. </w:t>
      </w:r>
      <w:r w:rsidR="0072317F">
        <w:rPr>
          <w:szCs w:val="24"/>
        </w:rPr>
        <w:t xml:space="preserve">These waters are impaired </w:t>
      </w:r>
      <w:r w:rsidR="0075544D">
        <w:rPr>
          <w:szCs w:val="24"/>
        </w:rPr>
        <w:t xml:space="preserve">by </w:t>
      </w:r>
      <w:r w:rsidR="0072317F">
        <w:rPr>
          <w:szCs w:val="24"/>
        </w:rPr>
        <w:t>nitrate nitrogen,</w:t>
      </w:r>
      <w:r w:rsidRPr="002441B0">
        <w:rPr>
          <w:szCs w:val="24"/>
        </w:rPr>
        <w:t xml:space="preserve"> which in excess </w:t>
      </w:r>
      <w:r w:rsidR="0072317F">
        <w:rPr>
          <w:szCs w:val="24"/>
        </w:rPr>
        <w:t>has</w:t>
      </w:r>
      <w:r w:rsidRPr="002441B0">
        <w:rPr>
          <w:szCs w:val="24"/>
        </w:rPr>
        <w:t xml:space="preserve"> been demonstrated to adversely affect flora or fauna</w:t>
      </w:r>
      <w:r w:rsidR="0072317F">
        <w:rPr>
          <w:szCs w:val="24"/>
        </w:rPr>
        <w:t xml:space="preserve"> through</w:t>
      </w:r>
      <w:r>
        <w:rPr>
          <w:szCs w:val="24"/>
        </w:rPr>
        <w:t xml:space="preserve"> t</w:t>
      </w:r>
      <w:r w:rsidRPr="00601AD0">
        <w:rPr>
          <w:szCs w:val="24"/>
        </w:rPr>
        <w:t>he excessive growth of algae</w:t>
      </w:r>
      <w:r w:rsidR="0072317F">
        <w:rPr>
          <w:szCs w:val="24"/>
        </w:rPr>
        <w:t>. Excessive algal growth results in ecological imbalances in the springs and river and</w:t>
      </w:r>
      <w:r w:rsidRPr="00601AD0">
        <w:rPr>
          <w:szCs w:val="24"/>
        </w:rPr>
        <w:t xml:space="preserve"> can produce human health problems, foul beaches, inhibit navigation, and reduce the aesthetic value of the</w:t>
      </w:r>
      <w:r w:rsidR="0072317F">
        <w:rPr>
          <w:szCs w:val="24"/>
        </w:rPr>
        <w:t xml:space="preserve"> resources.</w:t>
      </w:r>
    </w:p>
    <w:p w14:paraId="478FA60F" w14:textId="42F4451C" w:rsidR="000243EB" w:rsidRDefault="00397F1B" w:rsidP="00397F1B">
      <w:pPr>
        <w:pStyle w:val="BodyText"/>
      </w:pPr>
      <w:r w:rsidRPr="00397F1B">
        <w:t>Jackson Blue Spring forms the headwaters of the 270-acre Merritts Mill Pond</w:t>
      </w:r>
      <w:r>
        <w:t>, which forms the headwaters of Spring Creek, a tributary to the Chipola River (which is designated as an Outstanding Florida Water [OFW]). The Chipola River is the largest tributary in Florida to the Apalachicola River. Jackson Blue Spring and Merritts Mill Pond support a complex aquatic ecosystem and together are an important cultural and economic resource for the state.</w:t>
      </w:r>
    </w:p>
    <w:p w14:paraId="4EFFAE23" w14:textId="62825255" w:rsidR="00397F1B" w:rsidRPr="000243EB" w:rsidRDefault="00397F1B" w:rsidP="00F900FA">
      <w:pPr>
        <w:pStyle w:val="BodyText"/>
      </w:pPr>
      <w:r>
        <w:t>In addition to Jackson Blue Spring, 7 named springs contribute to Merritts Mill Pond. Jackson Blue Spring contributes approximately 69</w:t>
      </w:r>
      <w:r w:rsidR="000B26C9">
        <w:t xml:space="preserve"> </w:t>
      </w:r>
      <w:r>
        <w:t>% of the total flow of Merritts Mill Pond (as measured at the pond outfall), the 7 minor springs contribute 14</w:t>
      </w:r>
      <w:r w:rsidR="000B26C9">
        <w:t xml:space="preserve"> </w:t>
      </w:r>
      <w:r>
        <w:t>%, and the remaining 17</w:t>
      </w:r>
      <w:r w:rsidR="000B26C9">
        <w:t xml:space="preserve"> </w:t>
      </w:r>
      <w:r>
        <w:t>% is from other unmeasured sources.</w:t>
      </w:r>
    </w:p>
    <w:p w14:paraId="2E5EC8C9" w14:textId="5B221A4D" w:rsidR="00447B43" w:rsidRDefault="001E354C" w:rsidP="00447B43">
      <w:pPr>
        <w:pStyle w:val="BodyText"/>
      </w:pPr>
      <w:r>
        <w:t>DEP adopted nutrient TMDLs for Jackson Blue Spring and Merritts Mill Pond in 2013</w:t>
      </w:r>
      <w:r w:rsidR="00E32126">
        <w:t xml:space="preserve"> (</w:t>
      </w:r>
      <w:r w:rsidR="009025B5">
        <w:rPr>
          <w:b/>
        </w:rPr>
        <w:t>Table 1</w:t>
      </w:r>
      <w:r w:rsidR="00E32126">
        <w:t>)</w:t>
      </w:r>
      <w:r w:rsidR="00447B43">
        <w:t xml:space="preserve">. The TMDLs established a monthly average </w:t>
      </w:r>
      <w:r w:rsidR="00FD3AEE">
        <w:t xml:space="preserve">nitrate target </w:t>
      </w:r>
      <w:r w:rsidR="00447B43">
        <w:t xml:space="preserve">of 0.35 </w:t>
      </w:r>
      <w:r w:rsidR="0039757D" w:rsidRPr="00144B37">
        <w:t xml:space="preserve">milligrams per liter (mg/L) </w:t>
      </w:r>
      <w:r w:rsidR="00447B43">
        <w:t>of nitrate to be protective of the aquatic flora or fauna</w:t>
      </w:r>
      <w:r>
        <w:t xml:space="preserve">. </w:t>
      </w:r>
      <w:r w:rsidR="00447B43">
        <w:t>The period</w:t>
      </w:r>
      <w:r w:rsidR="00E5470E">
        <w:t xml:space="preserve"> of record</w:t>
      </w:r>
      <w:r w:rsidR="00447B43">
        <w:t xml:space="preserve"> for </w:t>
      </w:r>
      <w:r w:rsidR="0072317F">
        <w:t xml:space="preserve">water quality data evaluated for </w:t>
      </w:r>
      <w:r w:rsidR="00447B43">
        <w:t xml:space="preserve">the TMDLs was </w:t>
      </w:r>
      <w:r>
        <w:t>January 1, 2001 through June 30, 2007</w:t>
      </w:r>
      <w:r w:rsidR="00447B43">
        <w:t>.</w:t>
      </w:r>
    </w:p>
    <w:p w14:paraId="5298784E" w14:textId="19691513" w:rsidR="00447B43" w:rsidRPr="00447B43" w:rsidRDefault="008941E0" w:rsidP="008941E0">
      <w:pPr>
        <w:pStyle w:val="Caption"/>
        <w:rPr>
          <w:rFonts w:ascii="Times New Roman" w:hAnsi="Times New Roman"/>
          <w:sz w:val="16"/>
          <w:szCs w:val="16"/>
        </w:rPr>
      </w:pPr>
      <w:bookmarkStart w:id="39" w:name="_Toc514430951"/>
      <w:bookmarkEnd w:id="38"/>
      <w:r>
        <w:t xml:space="preserve">Table </w:t>
      </w:r>
      <w:fldSimple w:instr=" SEQ Table \* ARABIC ">
        <w:r w:rsidR="002A2E30">
          <w:rPr>
            <w:noProof/>
          </w:rPr>
          <w:t>1</w:t>
        </w:r>
      </w:fldSimple>
      <w:r>
        <w:t xml:space="preserve">. </w:t>
      </w:r>
      <w:r w:rsidR="00460ED8">
        <w:t>Restoration targets for Jackson Blue Spring and Merritts Mill Pond</w:t>
      </w:r>
      <w:bookmarkEnd w:id="39"/>
    </w:p>
    <w:tbl>
      <w:tblPr>
        <w:tblStyle w:val="TableGrid"/>
        <w:tblW w:w="6877" w:type="dxa"/>
        <w:jc w:val="center"/>
        <w:tblLook w:val="04A0" w:firstRow="1" w:lastRow="0" w:firstColumn="1" w:lastColumn="0" w:noHBand="0" w:noVBand="1"/>
      </w:tblPr>
      <w:tblGrid>
        <w:gridCol w:w="1705"/>
        <w:gridCol w:w="2483"/>
        <w:gridCol w:w="1347"/>
        <w:gridCol w:w="1342"/>
      </w:tblGrid>
      <w:tr w:rsidR="00460ED8" w:rsidRPr="00447B43" w14:paraId="30D724A7" w14:textId="77777777" w:rsidTr="00460ED8">
        <w:trPr>
          <w:tblHeader/>
          <w:jc w:val="center"/>
        </w:trPr>
        <w:tc>
          <w:tcPr>
            <w:tcW w:w="1705" w:type="dxa"/>
            <w:shd w:val="clear" w:color="auto" w:fill="DEEAF6" w:themeFill="accent1" w:themeFillTint="33"/>
            <w:vAlign w:val="bottom"/>
          </w:tcPr>
          <w:p w14:paraId="1C34D6B8" w14:textId="5AE9B870" w:rsidR="00460ED8" w:rsidRPr="00447B43" w:rsidRDefault="00460ED8" w:rsidP="00E86D79">
            <w:pPr>
              <w:jc w:val="center"/>
              <w:rPr>
                <w:rFonts w:ascii="Times New Roman" w:hAnsi="Times New Roman"/>
                <w:b/>
                <w:sz w:val="20"/>
              </w:rPr>
            </w:pPr>
            <w:r>
              <w:rPr>
                <w:rFonts w:ascii="Times New Roman" w:hAnsi="Times New Roman"/>
                <w:b/>
                <w:sz w:val="20"/>
              </w:rPr>
              <w:t xml:space="preserve">Waterbody or Spring </w:t>
            </w:r>
            <w:r w:rsidRPr="00447B43">
              <w:rPr>
                <w:rFonts w:ascii="Times New Roman" w:hAnsi="Times New Roman"/>
                <w:b/>
                <w:sz w:val="20"/>
              </w:rPr>
              <w:t>Name</w:t>
            </w:r>
          </w:p>
        </w:tc>
        <w:tc>
          <w:tcPr>
            <w:tcW w:w="2483" w:type="dxa"/>
            <w:shd w:val="clear" w:color="auto" w:fill="DEEAF6" w:themeFill="accent1" w:themeFillTint="33"/>
            <w:vAlign w:val="bottom"/>
          </w:tcPr>
          <w:p w14:paraId="4847650B" w14:textId="4568D604" w:rsidR="00460ED8" w:rsidRPr="00447B43" w:rsidRDefault="00460ED8" w:rsidP="00460ED8">
            <w:pPr>
              <w:jc w:val="center"/>
              <w:rPr>
                <w:rFonts w:ascii="Times New Roman" w:hAnsi="Times New Roman"/>
                <w:b/>
                <w:sz w:val="20"/>
              </w:rPr>
            </w:pPr>
            <w:r w:rsidRPr="00447B43">
              <w:rPr>
                <w:rFonts w:ascii="Times New Roman" w:hAnsi="Times New Roman"/>
                <w:b/>
                <w:sz w:val="20"/>
              </w:rPr>
              <w:t>Waterbody Identification (WBID)</w:t>
            </w:r>
            <w:r>
              <w:rPr>
                <w:rFonts w:ascii="Times New Roman" w:hAnsi="Times New Roman"/>
                <w:b/>
                <w:sz w:val="20"/>
              </w:rPr>
              <w:t xml:space="preserve"> Number</w:t>
            </w:r>
          </w:p>
        </w:tc>
        <w:tc>
          <w:tcPr>
            <w:tcW w:w="1347" w:type="dxa"/>
            <w:shd w:val="clear" w:color="auto" w:fill="DEEAF6" w:themeFill="accent1" w:themeFillTint="33"/>
            <w:vAlign w:val="bottom"/>
          </w:tcPr>
          <w:p w14:paraId="75FC2764" w14:textId="77777777" w:rsidR="00460ED8" w:rsidRPr="00447B43" w:rsidRDefault="00460ED8" w:rsidP="00CE6FA8">
            <w:pPr>
              <w:jc w:val="center"/>
              <w:rPr>
                <w:rFonts w:ascii="Times New Roman" w:hAnsi="Times New Roman"/>
                <w:b/>
                <w:sz w:val="20"/>
              </w:rPr>
            </w:pPr>
            <w:r w:rsidRPr="00447B43">
              <w:rPr>
                <w:rFonts w:ascii="Times New Roman" w:hAnsi="Times New Roman"/>
                <w:b/>
                <w:sz w:val="20"/>
              </w:rPr>
              <w:t>Parameter</w:t>
            </w:r>
          </w:p>
        </w:tc>
        <w:tc>
          <w:tcPr>
            <w:tcW w:w="1342" w:type="dxa"/>
            <w:shd w:val="clear" w:color="auto" w:fill="DEEAF6" w:themeFill="accent1" w:themeFillTint="33"/>
            <w:vAlign w:val="bottom"/>
          </w:tcPr>
          <w:p w14:paraId="7FE6C4AC" w14:textId="20F3711F" w:rsidR="00460ED8" w:rsidRPr="00447B43" w:rsidRDefault="00460ED8" w:rsidP="00CE6FA8">
            <w:pPr>
              <w:jc w:val="center"/>
              <w:rPr>
                <w:rFonts w:ascii="Times New Roman" w:hAnsi="Times New Roman"/>
                <w:b/>
                <w:sz w:val="20"/>
              </w:rPr>
            </w:pPr>
            <w:r w:rsidRPr="00447B43" w:rsidDel="00E5470E">
              <w:rPr>
                <w:rFonts w:ascii="Times New Roman" w:hAnsi="Times New Roman"/>
                <w:b/>
                <w:sz w:val="20"/>
              </w:rPr>
              <w:t xml:space="preserve"> </w:t>
            </w:r>
            <w:r>
              <w:rPr>
                <w:rFonts w:ascii="Times New Roman" w:hAnsi="Times New Roman"/>
                <w:b/>
                <w:sz w:val="20"/>
              </w:rPr>
              <w:t xml:space="preserve">TMDL </w:t>
            </w:r>
            <w:r w:rsidRPr="00447B43">
              <w:rPr>
                <w:rFonts w:ascii="Times New Roman" w:hAnsi="Times New Roman"/>
                <w:b/>
                <w:sz w:val="20"/>
              </w:rPr>
              <w:t>(mg/L)</w:t>
            </w:r>
          </w:p>
        </w:tc>
      </w:tr>
      <w:tr w:rsidR="00460ED8" w:rsidRPr="00447B43" w14:paraId="089CFA6D" w14:textId="77777777" w:rsidTr="00460ED8">
        <w:trPr>
          <w:jc w:val="center"/>
        </w:trPr>
        <w:tc>
          <w:tcPr>
            <w:tcW w:w="1705" w:type="dxa"/>
            <w:vAlign w:val="center"/>
          </w:tcPr>
          <w:p w14:paraId="48A5ED77" w14:textId="5793C205" w:rsidR="00460ED8" w:rsidRPr="003C4EC0" w:rsidRDefault="00460ED8" w:rsidP="00460ED8">
            <w:pPr>
              <w:jc w:val="center"/>
              <w:rPr>
                <w:rFonts w:ascii="Times New Roman" w:hAnsi="Times New Roman"/>
                <w:b/>
                <w:sz w:val="20"/>
              </w:rPr>
            </w:pPr>
            <w:r>
              <w:rPr>
                <w:rFonts w:ascii="Times New Roman" w:hAnsi="Times New Roman"/>
                <w:b/>
                <w:sz w:val="20"/>
              </w:rPr>
              <w:t>Jackson Blue Spring</w:t>
            </w:r>
          </w:p>
        </w:tc>
        <w:tc>
          <w:tcPr>
            <w:tcW w:w="2483" w:type="dxa"/>
            <w:vAlign w:val="center"/>
          </w:tcPr>
          <w:p w14:paraId="5EC89F38" w14:textId="04A76656" w:rsidR="00460ED8" w:rsidRPr="00447B43" w:rsidRDefault="00460ED8" w:rsidP="00460ED8">
            <w:pPr>
              <w:jc w:val="center"/>
              <w:rPr>
                <w:rFonts w:ascii="Times New Roman" w:hAnsi="Times New Roman"/>
                <w:sz w:val="20"/>
              </w:rPr>
            </w:pPr>
            <w:r>
              <w:rPr>
                <w:rFonts w:ascii="Times New Roman" w:hAnsi="Times New Roman"/>
                <w:sz w:val="20"/>
              </w:rPr>
              <w:t>180Z</w:t>
            </w:r>
          </w:p>
        </w:tc>
        <w:tc>
          <w:tcPr>
            <w:tcW w:w="1347" w:type="dxa"/>
            <w:vAlign w:val="center"/>
          </w:tcPr>
          <w:p w14:paraId="51911F14"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Nitrate, monthly average</w:t>
            </w:r>
          </w:p>
        </w:tc>
        <w:tc>
          <w:tcPr>
            <w:tcW w:w="1342" w:type="dxa"/>
            <w:vAlign w:val="center"/>
          </w:tcPr>
          <w:p w14:paraId="47622625"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0.35</w:t>
            </w:r>
          </w:p>
        </w:tc>
      </w:tr>
      <w:tr w:rsidR="00460ED8" w:rsidRPr="00447B43" w14:paraId="5B2C1D90" w14:textId="77777777" w:rsidTr="00460ED8">
        <w:trPr>
          <w:jc w:val="center"/>
        </w:trPr>
        <w:tc>
          <w:tcPr>
            <w:tcW w:w="1705" w:type="dxa"/>
            <w:vAlign w:val="center"/>
          </w:tcPr>
          <w:p w14:paraId="093FDB4D" w14:textId="417C5851" w:rsidR="00460ED8" w:rsidRPr="003C4EC0" w:rsidRDefault="00460ED8" w:rsidP="00460ED8">
            <w:pPr>
              <w:jc w:val="center"/>
              <w:rPr>
                <w:rFonts w:ascii="Times New Roman" w:hAnsi="Times New Roman"/>
                <w:b/>
                <w:sz w:val="20"/>
              </w:rPr>
            </w:pPr>
            <w:r>
              <w:rPr>
                <w:rFonts w:ascii="Times New Roman" w:hAnsi="Times New Roman"/>
                <w:b/>
                <w:sz w:val="20"/>
              </w:rPr>
              <w:t>Merritts Mill Pond</w:t>
            </w:r>
          </w:p>
        </w:tc>
        <w:tc>
          <w:tcPr>
            <w:tcW w:w="2483" w:type="dxa"/>
            <w:vAlign w:val="center"/>
          </w:tcPr>
          <w:p w14:paraId="5AB4D376" w14:textId="16BA20ED" w:rsidR="00460ED8" w:rsidRPr="00447B43" w:rsidRDefault="00460ED8" w:rsidP="00460ED8">
            <w:pPr>
              <w:jc w:val="center"/>
              <w:rPr>
                <w:rFonts w:ascii="Times New Roman" w:hAnsi="Times New Roman"/>
                <w:sz w:val="20"/>
              </w:rPr>
            </w:pPr>
            <w:r>
              <w:rPr>
                <w:rFonts w:ascii="Times New Roman" w:hAnsi="Times New Roman"/>
                <w:sz w:val="20"/>
              </w:rPr>
              <w:t>180A</w:t>
            </w:r>
          </w:p>
        </w:tc>
        <w:tc>
          <w:tcPr>
            <w:tcW w:w="1347" w:type="dxa"/>
            <w:vAlign w:val="center"/>
          </w:tcPr>
          <w:p w14:paraId="66214B94"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Nitrate, monthly average</w:t>
            </w:r>
          </w:p>
        </w:tc>
        <w:tc>
          <w:tcPr>
            <w:tcW w:w="1342" w:type="dxa"/>
            <w:vAlign w:val="center"/>
          </w:tcPr>
          <w:p w14:paraId="265D5452" w14:textId="77777777" w:rsidR="00460ED8" w:rsidRPr="00447B43" w:rsidRDefault="00460ED8" w:rsidP="00460ED8">
            <w:pPr>
              <w:jc w:val="center"/>
              <w:rPr>
                <w:rFonts w:ascii="Times New Roman" w:hAnsi="Times New Roman"/>
                <w:sz w:val="20"/>
              </w:rPr>
            </w:pPr>
            <w:r w:rsidRPr="00447B43">
              <w:rPr>
                <w:rFonts w:ascii="Times New Roman" w:hAnsi="Times New Roman"/>
                <w:sz w:val="20"/>
              </w:rPr>
              <w:t>0.35</w:t>
            </w:r>
          </w:p>
        </w:tc>
      </w:tr>
    </w:tbl>
    <w:p w14:paraId="33563E27" w14:textId="4ABC655F" w:rsidR="009479F1" w:rsidRDefault="009479F1" w:rsidP="00345FF8">
      <w:pPr>
        <w:pStyle w:val="Bodytextreduced"/>
      </w:pPr>
    </w:p>
    <w:p w14:paraId="3889BC1D" w14:textId="77777777" w:rsidR="005A4BA7" w:rsidRDefault="005A4BA7" w:rsidP="00345FF8">
      <w:pPr>
        <w:pStyle w:val="Bodytextreduced"/>
      </w:pPr>
    </w:p>
    <w:p w14:paraId="7A554975" w14:textId="73B5D4E4" w:rsidR="00E47EDA" w:rsidRPr="00E47EDA" w:rsidRDefault="00E47EDA" w:rsidP="00E47EDA">
      <w:pPr>
        <w:pStyle w:val="Heading2"/>
      </w:pPr>
      <w:bookmarkStart w:id="40" w:name="_Toc493523680"/>
      <w:bookmarkStart w:id="41" w:name="_Toc514677652"/>
      <w:bookmarkEnd w:id="40"/>
      <w:r>
        <w:t>BMAP Requirements</w:t>
      </w:r>
      <w:bookmarkEnd w:id="41"/>
    </w:p>
    <w:p w14:paraId="60FB7992" w14:textId="2989DE40" w:rsidR="00E47EDA" w:rsidRDefault="00E47EDA" w:rsidP="00E47EDA">
      <w:pPr>
        <w:pStyle w:val="BodyText"/>
      </w:pPr>
      <w:r w:rsidRPr="005026F9">
        <w:t>Section 403.067(7), F.S.</w:t>
      </w:r>
      <w:r>
        <w:t xml:space="preserve">, provides DEP the statutory authority for the BMAP </w:t>
      </w:r>
      <w:r w:rsidR="003C4EC0">
        <w:t>P</w:t>
      </w:r>
      <w:r>
        <w:t xml:space="preserve">rogram. A BMAP </w:t>
      </w:r>
      <w:r w:rsidRPr="00F60070">
        <w:t xml:space="preserve">is </w:t>
      </w:r>
      <w:r>
        <w:t xml:space="preserve">a comprehensive set of strategies </w:t>
      </w:r>
      <w:r w:rsidRPr="00F60070">
        <w:t xml:space="preserve">to </w:t>
      </w:r>
      <w:r>
        <w:t>achieve</w:t>
      </w:r>
      <w:r w:rsidRPr="00F60070">
        <w:t xml:space="preserve"> the </w:t>
      </w:r>
      <w:r w:rsidR="00924E90">
        <w:t xml:space="preserve">required </w:t>
      </w:r>
      <w:r w:rsidRPr="00F60070">
        <w:t xml:space="preserve">pollutant </w:t>
      </w:r>
      <w:r>
        <w:t xml:space="preserve">load </w:t>
      </w:r>
      <w:r w:rsidRPr="00F60070">
        <w:t>reductions</w:t>
      </w:r>
      <w:r>
        <w:t>.</w:t>
      </w:r>
      <w:r w:rsidRPr="00F60070">
        <w:t xml:space="preserve"> </w:t>
      </w:r>
      <w:r>
        <w:t xml:space="preserve">In addition to </w:t>
      </w:r>
      <w:r w:rsidR="00F649B4">
        <w:t xml:space="preserve">specifying </w:t>
      </w:r>
      <w:r>
        <w:t>BMAP statutory authorit</w:t>
      </w:r>
      <w:r w:rsidR="00924E90">
        <w:t>y</w:t>
      </w:r>
      <w:r>
        <w:t xml:space="preserve">, the Florida Springs and Aquifer Protection Act </w:t>
      </w:r>
      <w:r w:rsidR="00BA49AE">
        <w:t xml:space="preserve">(Part VIII of Chapter 373, F.S.) </w:t>
      </w:r>
      <w:r>
        <w:t>describes additional requirements for 30 springs</w:t>
      </w:r>
      <w:r w:rsidRPr="000E4B0E">
        <w:t>.</w:t>
      </w:r>
    </w:p>
    <w:p w14:paraId="6BF3A0AD" w14:textId="7373927D" w:rsidR="00E47EDA" w:rsidRPr="00E47EDA" w:rsidRDefault="00134A8E" w:rsidP="00E47EDA">
      <w:pPr>
        <w:pStyle w:val="Heading2"/>
      </w:pPr>
      <w:r>
        <w:t xml:space="preserve"> </w:t>
      </w:r>
      <w:bookmarkStart w:id="42" w:name="_Ref488245493"/>
      <w:bookmarkStart w:id="43" w:name="_Toc514677653"/>
      <w:r w:rsidR="00E47EDA">
        <w:t>BMAP Area</w:t>
      </w:r>
      <w:bookmarkEnd w:id="42"/>
      <w:bookmarkEnd w:id="43"/>
    </w:p>
    <w:p w14:paraId="1595006C" w14:textId="51F6D8D0" w:rsidR="00E47EDA" w:rsidRDefault="00E47EDA" w:rsidP="00E47EDA">
      <w:pPr>
        <w:pStyle w:val="BodyText"/>
        <w:rPr>
          <w:szCs w:val="24"/>
        </w:rPr>
      </w:pPr>
      <w:r w:rsidRPr="00844C59">
        <w:t xml:space="preserve">The </w:t>
      </w:r>
      <w:r>
        <w:t>BMAP</w:t>
      </w:r>
      <w:r w:rsidRPr="00844C59">
        <w:t xml:space="preserve"> area</w:t>
      </w:r>
      <w:r>
        <w:t xml:space="preserve"> </w:t>
      </w:r>
      <w:r w:rsidRPr="005026F9">
        <w:t>(</w:t>
      </w:r>
      <w:r w:rsidR="009025B5">
        <w:rPr>
          <w:b/>
        </w:rPr>
        <w:t>Figure 1</w:t>
      </w:r>
      <w:r w:rsidRPr="001B7DAC">
        <w:t>)</w:t>
      </w:r>
      <w:r w:rsidRPr="005026F9">
        <w:t xml:space="preserve"> </w:t>
      </w:r>
      <w:r>
        <w:t>comprise</w:t>
      </w:r>
      <w:r w:rsidR="00865225">
        <w:t>s</w:t>
      </w:r>
      <w:r>
        <w:t xml:space="preserve"> </w:t>
      </w:r>
      <w:r w:rsidR="00BA49AE">
        <w:t>88,934</w:t>
      </w:r>
      <w:r w:rsidR="00460ED8">
        <w:t xml:space="preserve"> </w:t>
      </w:r>
      <w:r w:rsidR="00BA49AE">
        <w:t>acres</w:t>
      </w:r>
      <w:r w:rsidR="00460ED8">
        <w:t xml:space="preserve"> in Jackson County, east of the City of Marianna. </w:t>
      </w:r>
      <w:r>
        <w:t xml:space="preserve">The BMAP area contains </w:t>
      </w:r>
      <w:r w:rsidR="00460ED8">
        <w:t xml:space="preserve">one </w:t>
      </w:r>
      <w:r>
        <w:t xml:space="preserve">OFS and </w:t>
      </w:r>
      <w:r w:rsidR="00460ED8">
        <w:t xml:space="preserve">several </w:t>
      </w:r>
      <w:r>
        <w:t xml:space="preserve">other springs. </w:t>
      </w:r>
      <w:r w:rsidRPr="006D3AA7">
        <w:t>Th</w:t>
      </w:r>
      <w:r>
        <w:t xml:space="preserve">is </w:t>
      </w:r>
      <w:r w:rsidRPr="006D3AA7">
        <w:t xml:space="preserve">area </w:t>
      </w:r>
      <w:r w:rsidR="006021D5">
        <w:t>includes the surface water basin as well as</w:t>
      </w:r>
      <w:r w:rsidRPr="006D3AA7">
        <w:t xml:space="preserve"> the groundwater contributing area</w:t>
      </w:r>
      <w:r>
        <w:t>s</w:t>
      </w:r>
      <w:r w:rsidR="006021D5">
        <w:t xml:space="preserve"> for the spring</w:t>
      </w:r>
      <w:r w:rsidRPr="006D3AA7">
        <w:t xml:space="preserve"> </w:t>
      </w:r>
      <w:r>
        <w:t>(</w:t>
      </w:r>
      <w:r w:rsidRPr="006D3AA7">
        <w:t>or springshed</w:t>
      </w:r>
      <w:r>
        <w:t>s)</w:t>
      </w:r>
      <w:r w:rsidR="006021D5">
        <w:t>. Springsheds for the OFS were</w:t>
      </w:r>
      <w:r w:rsidRPr="006D3AA7">
        <w:t xml:space="preserve"> delineated </w:t>
      </w:r>
      <w:r w:rsidR="006021D5">
        <w:t xml:space="preserve">or </w:t>
      </w:r>
      <w:r w:rsidR="00BA49AE">
        <w:t>reviewed</w:t>
      </w:r>
      <w:r w:rsidR="006021D5">
        <w:t xml:space="preserve"> by</w:t>
      </w:r>
      <w:r>
        <w:t xml:space="preserve"> </w:t>
      </w:r>
      <w:r w:rsidR="00460ED8">
        <w:t>Northwest Florida</w:t>
      </w:r>
      <w:r w:rsidR="00B14CFC">
        <w:t xml:space="preserve"> Water Management District (</w:t>
      </w:r>
      <w:r w:rsidR="00460ED8">
        <w:t>NWF</w:t>
      </w:r>
      <w:r w:rsidRPr="006D3AA7">
        <w:t>WMD</w:t>
      </w:r>
      <w:r w:rsidR="00B14CFC">
        <w:t>)</w:t>
      </w:r>
      <w:r>
        <w:t xml:space="preserve"> with input from the Florida Geological Survey</w:t>
      </w:r>
      <w:r w:rsidR="00865225">
        <w:t xml:space="preserve"> (FGS)</w:t>
      </w:r>
      <w:r w:rsidRPr="006D3AA7">
        <w:t xml:space="preserve">. </w:t>
      </w:r>
      <w:r w:rsidRPr="00715BC6">
        <w:rPr>
          <w:szCs w:val="24"/>
        </w:rPr>
        <w:t>A springshed is the area of land that contributes water to a spring or group of springs, mainly via groundwater flow.</w:t>
      </w:r>
      <w:r>
        <w:rPr>
          <w:szCs w:val="24"/>
        </w:rPr>
        <w:t xml:space="preserve"> </w:t>
      </w:r>
    </w:p>
    <w:p w14:paraId="75EC68E2" w14:textId="77777777" w:rsidR="00F649B4" w:rsidRPr="00E23DBF" w:rsidRDefault="00F649B4" w:rsidP="00F649B4">
      <w:pPr>
        <w:pStyle w:val="Heading2"/>
      </w:pPr>
      <w:bookmarkStart w:id="44" w:name="_Toc514677654"/>
      <w:r>
        <w:t>PFAs</w:t>
      </w:r>
      <w:bookmarkEnd w:id="44"/>
    </w:p>
    <w:p w14:paraId="0980A9FB" w14:textId="406A8D12" w:rsidR="00F649B4" w:rsidRPr="00D46E01" w:rsidRDefault="00F649B4" w:rsidP="00F649B4">
      <w:pPr>
        <w:pStyle w:val="BodyText"/>
        <w:rPr>
          <w:b/>
          <w:noProof/>
        </w:rPr>
      </w:pPr>
      <w:r>
        <w:t xml:space="preserve">In compliance with the Florida Springs and Aquifer Protection Act, this BMAP delineates </w:t>
      </w:r>
      <w:r w:rsidR="00460ED8">
        <w:t>a P</w:t>
      </w:r>
      <w:r>
        <w:t>FA</w:t>
      </w:r>
      <w:r w:rsidR="00460ED8">
        <w:t xml:space="preserve"> which is </w:t>
      </w:r>
      <w:r>
        <w:t xml:space="preserve">defined </w:t>
      </w:r>
      <w:r w:rsidRPr="009D0551">
        <w:t xml:space="preserve">as the area(s) of a basin where the Floridan </w:t>
      </w:r>
      <w:r>
        <w:t>a</w:t>
      </w:r>
      <w:r w:rsidRPr="009D0551">
        <w:t xml:space="preserve">quifer is generally most vulnerable to pollutant inputs </w:t>
      </w:r>
      <w:r>
        <w:t xml:space="preserve">and </w:t>
      </w:r>
      <w:r w:rsidRPr="009D0551">
        <w:t>where there is a known connectivity between groundwater pathways and an OFS.</w:t>
      </w:r>
      <w:r>
        <w:t xml:space="preserve"> The PFA provide</w:t>
      </w:r>
      <w:r w:rsidR="00460ED8">
        <w:t>s</w:t>
      </w:r>
      <w:r>
        <w:t xml:space="preserve"> a guide for focusing restoration strategies where science suggests these efforts will most benefit the springs. The documents that describe the delineation process for each PFA are on the </w:t>
      </w:r>
      <w:r w:rsidRPr="005026F9">
        <w:t>DEP website</w:t>
      </w:r>
      <w:r w:rsidR="001B0E82">
        <w:t xml:space="preserve">. </w:t>
      </w:r>
      <w:r w:rsidR="001B0E82" w:rsidRPr="008B7088">
        <w:t>The link to the PFA document is provided in</w:t>
      </w:r>
      <w:r w:rsidRPr="008B7088">
        <w:t xml:space="preserve"> </w:t>
      </w:r>
      <w:r w:rsidRPr="008B7088">
        <w:rPr>
          <w:b/>
        </w:rPr>
        <w:t>Appendix C.</w:t>
      </w:r>
    </w:p>
    <w:p w14:paraId="17215662" w14:textId="77777777" w:rsidR="00F649B4" w:rsidRPr="00CD2911" w:rsidRDefault="00F649B4" w:rsidP="001451E2">
      <w:pPr>
        <w:pStyle w:val="Heading3"/>
      </w:pPr>
      <w:r w:rsidRPr="00CD2911">
        <w:t>Description</w:t>
      </w:r>
    </w:p>
    <w:p w14:paraId="74FBAE69" w14:textId="4B409FB4" w:rsidR="00F649B4" w:rsidRDefault="00F649B4" w:rsidP="00F649B4">
      <w:pPr>
        <w:pStyle w:val="BodyText"/>
      </w:pPr>
      <w:r>
        <w:t xml:space="preserve">Nitrogen sources are more likely to </w:t>
      </w:r>
      <w:r w:rsidR="00711A2B">
        <w:t>influence</w:t>
      </w:r>
      <w:r>
        <w:t xml:space="preserve"> groundwater </w:t>
      </w:r>
      <w:r w:rsidR="00711A2B">
        <w:t>quality</w:t>
      </w:r>
      <w:r>
        <w:t xml:space="preserve"> under certain conditions. For example, where soils are sandy and well drained, less nitrogen is converted to gas and released into the atmosphere or taken up by plants, compared with other soil types. Therefore, local soil</w:t>
      </w:r>
      <w:r w:rsidR="00A96581">
        <w:t>s</w:t>
      </w:r>
      <w:r>
        <w:t xml:space="preserve"> play a role in how much nitrogen travels from the land surface to groundwater in a specific springshed. </w:t>
      </w:r>
      <w:bookmarkStart w:id="45" w:name="_Hlk501635916"/>
      <w:r>
        <w:t xml:space="preserve">Also, </w:t>
      </w:r>
      <w:r w:rsidR="00816E5E">
        <w:t xml:space="preserve">the underlying </w:t>
      </w:r>
      <w:r>
        <w:t xml:space="preserve">geologic </w:t>
      </w:r>
      <w:r w:rsidR="00816E5E">
        <w:t>material influences the vulnerability of the underlying</w:t>
      </w:r>
      <w:r>
        <w:t xml:space="preserve"> aquifers</w:t>
      </w:r>
      <w:r w:rsidR="00816E5E">
        <w:t xml:space="preserve"> and the rate of lateral movement within the Floridan aquifer toward the springs and river.</w:t>
      </w:r>
      <w:r>
        <w:t xml:space="preserve">  These </w:t>
      </w:r>
      <w:r w:rsidR="00816E5E">
        <w:t>conditions</w:t>
      </w:r>
      <w:r>
        <w:t xml:space="preserve">, and others, were considered in the delineation of the </w:t>
      </w:r>
      <w:bookmarkEnd w:id="45"/>
      <w:r>
        <w:t>PFA</w:t>
      </w:r>
      <w:r w:rsidR="00BA49AE">
        <w:t xml:space="preserve"> (</w:t>
      </w:r>
      <w:r w:rsidR="00BA49AE" w:rsidRPr="00BE5A45">
        <w:rPr>
          <w:b/>
        </w:rPr>
        <w:t>see Appendix C</w:t>
      </w:r>
      <w:r w:rsidR="00BA49AE">
        <w:t>)</w:t>
      </w:r>
      <w:r>
        <w:t>.</w:t>
      </w:r>
    </w:p>
    <w:p w14:paraId="6F3CA863" w14:textId="71671C0A" w:rsidR="00161062" w:rsidRPr="00EF78F9" w:rsidRDefault="0015052F" w:rsidP="00161062">
      <w:pPr>
        <w:pStyle w:val="BodyText"/>
      </w:pPr>
      <w:bookmarkStart w:id="46" w:name="_Hlk496872891"/>
      <w:r>
        <w:t>Following</w:t>
      </w:r>
      <w:r w:rsidR="00161062">
        <w:t xml:space="preserve"> BMAP adoption, DEP will ensure that the GIS files associated with the PFA boundary </w:t>
      </w:r>
      <w:r w:rsidR="00E56ACE">
        <w:t>are available</w:t>
      </w:r>
      <w:r w:rsidR="00161062">
        <w:t xml:space="preserve"> to the public on the DEP Map Direct webpage. </w:t>
      </w:r>
    </w:p>
    <w:bookmarkEnd w:id="46"/>
    <w:p w14:paraId="36E7A1F3" w14:textId="77777777" w:rsidR="00161062" w:rsidRPr="00161062" w:rsidRDefault="00161062" w:rsidP="00161062"/>
    <w:p w14:paraId="257E6FF9" w14:textId="6321B76E" w:rsidR="00F649B4" w:rsidRDefault="00F649B4" w:rsidP="00B87E0C">
      <w:pPr>
        <w:pStyle w:val="BodyText"/>
      </w:pPr>
      <w:r>
        <w:br w:type="page"/>
      </w:r>
    </w:p>
    <w:p w14:paraId="2A6FA029" w14:textId="46A97685" w:rsidR="00E47EDA" w:rsidRPr="00E47EDA" w:rsidRDefault="00E47EDA" w:rsidP="00B87E0C">
      <w:pPr>
        <w:pStyle w:val="Bodytextreduced"/>
      </w:pPr>
      <w:r w:rsidRPr="00141B47">
        <w:rPr>
          <w:noProof/>
        </w:rPr>
        <w:drawing>
          <wp:anchor distT="0" distB="0" distL="114300" distR="114300" simplePos="0" relativeHeight="251661312" behindDoc="0" locked="0" layoutInCell="1" allowOverlap="1" wp14:anchorId="6E34AEEB" wp14:editId="1F276CE7">
            <wp:simplePos x="0" y="0"/>
            <wp:positionH relativeFrom="margin">
              <wp:align>center</wp:align>
            </wp:positionH>
            <wp:positionV relativeFrom="paragraph">
              <wp:posOffset>28575</wp:posOffset>
            </wp:positionV>
            <wp:extent cx="5793105" cy="7497445"/>
            <wp:effectExtent l="19050" t="19050" r="17145" b="27305"/>
            <wp:wrapTopAndBottom/>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653" cy="749766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9B3D1B" w14:textId="781BF275" w:rsidR="00DD18A0" w:rsidRDefault="00250EA7" w:rsidP="00250EA7">
      <w:pPr>
        <w:pStyle w:val="Caption"/>
      </w:pPr>
      <w:bookmarkStart w:id="47" w:name="_Toc511132593"/>
      <w:bookmarkStart w:id="48" w:name="_Toc514430776"/>
      <w:r>
        <w:t xml:space="preserve">Figure </w:t>
      </w:r>
      <w:fldSimple w:instr=" SEQ Figure \* ARABIC ">
        <w:r w:rsidR="002A2E30">
          <w:rPr>
            <w:noProof/>
          </w:rPr>
          <w:t>1</w:t>
        </w:r>
      </w:fldSimple>
      <w:r>
        <w:t xml:space="preserve">. </w:t>
      </w:r>
      <w:r w:rsidR="00460ED8">
        <w:t>Jackson Blue</w:t>
      </w:r>
      <w:r w:rsidR="00E47EDA" w:rsidRPr="00141B47">
        <w:t xml:space="preserve"> BMAP</w:t>
      </w:r>
      <w:r w:rsidR="00460ED8">
        <w:t xml:space="preserve"> and PFA boundaries</w:t>
      </w:r>
      <w:bookmarkEnd w:id="47"/>
      <w:bookmarkEnd w:id="48"/>
      <w:r w:rsidR="00460ED8">
        <w:t xml:space="preserve"> </w:t>
      </w:r>
    </w:p>
    <w:p w14:paraId="5688F76F" w14:textId="309E0E44" w:rsidR="00651147" w:rsidRDefault="00865225">
      <w:pPr>
        <w:jc w:val="left"/>
        <w:rPr>
          <w:rFonts w:ascii="Times New Roman" w:hAnsi="Times New Roman"/>
          <w:sz w:val="24"/>
        </w:rPr>
      </w:pPr>
      <w:r>
        <w:br w:type="page"/>
      </w:r>
    </w:p>
    <w:p w14:paraId="3C47135C" w14:textId="4589B867" w:rsidR="0005231E" w:rsidRDefault="0005231E" w:rsidP="001451E2">
      <w:pPr>
        <w:pStyle w:val="Heading3"/>
      </w:pPr>
      <w:r>
        <w:t xml:space="preserve">Additional Requirements  </w:t>
      </w:r>
    </w:p>
    <w:p w14:paraId="678960BC" w14:textId="517E127E" w:rsidR="0005231E" w:rsidRDefault="0005231E" w:rsidP="0005231E">
      <w:pPr>
        <w:pStyle w:val="BodyText"/>
      </w:pPr>
      <w:r>
        <w:t xml:space="preserve">In accordance with </w:t>
      </w:r>
      <w:r w:rsidRPr="005026F9">
        <w:t>Section 373.811, F.S.</w:t>
      </w:r>
      <w:r>
        <w:t xml:space="preserve">, the following activities are prohibited in </w:t>
      </w:r>
      <w:r w:rsidR="002D304E">
        <w:t>the</w:t>
      </w:r>
      <w:r w:rsidR="00AF4643">
        <w:t xml:space="preserve"> PFA</w:t>
      </w:r>
      <w:r>
        <w:t xml:space="preserve"> </w:t>
      </w:r>
      <w:r w:rsidR="00C551FD">
        <w:t>in</w:t>
      </w:r>
      <w:r>
        <w:t xml:space="preserve"> the </w:t>
      </w:r>
      <w:r w:rsidR="002A1E27">
        <w:t>Jackson Blue</w:t>
      </w:r>
      <w:r w:rsidR="00C551FD">
        <w:t xml:space="preserve"> </w:t>
      </w:r>
      <w:r>
        <w:t>BMAP:</w:t>
      </w:r>
    </w:p>
    <w:p w14:paraId="1C50E863" w14:textId="3E7343C3" w:rsidR="0005231E" w:rsidRDefault="0005231E" w:rsidP="00B87E0C">
      <w:pPr>
        <w:pStyle w:val="Bullet"/>
      </w:pPr>
      <w:r>
        <w:t>New domestic wastewater disposal facilities, including rapid infiltration basins (RIBs), with permitted capacities of 100,000 gpd or more, except for those facilities that meet an advanced wastewater treatment</w:t>
      </w:r>
      <w:r w:rsidR="00A469B0">
        <w:t xml:space="preserve"> (AWT)</w:t>
      </w:r>
      <w:r>
        <w:t xml:space="preserve"> standard of no more than 3 mg/L </w:t>
      </w:r>
      <w:r w:rsidR="00A96581">
        <w:t>total nitrogen (</w:t>
      </w:r>
      <w:r>
        <w:t>TN</w:t>
      </w:r>
      <w:r w:rsidR="00A96581">
        <w:t>)</w:t>
      </w:r>
      <w:r>
        <w:t xml:space="preserve"> on an annual permitted basis.</w:t>
      </w:r>
    </w:p>
    <w:p w14:paraId="450F8E3C" w14:textId="77777777" w:rsidR="00BA49AE" w:rsidRDefault="00BA49AE" w:rsidP="00BA49AE">
      <w:pPr>
        <w:pStyle w:val="Bullet"/>
        <w:ind w:right="432"/>
      </w:pPr>
      <w:bookmarkStart w:id="49" w:name="_Hlk512515711"/>
      <w:r>
        <w:t xml:space="preserve">New OSTDS on lots of less than one acre inside the PFAs unless additional nitrogen treatment is provided, as specified in the OSTDS remediation plan (see </w:t>
      </w:r>
      <w:r w:rsidRPr="00913555">
        <w:rPr>
          <w:b/>
        </w:rPr>
        <w:t>Appendix</w:t>
      </w:r>
      <w:r w:rsidRPr="00C551FD">
        <w:t xml:space="preserve"> </w:t>
      </w:r>
      <w:r w:rsidRPr="00913555">
        <w:rPr>
          <w:b/>
        </w:rPr>
        <w:t xml:space="preserve">D </w:t>
      </w:r>
      <w:r w:rsidRPr="00AC65CD">
        <w:t>for details</w:t>
      </w:r>
      <w:r w:rsidRPr="00B1226E">
        <w:t>).</w:t>
      </w:r>
    </w:p>
    <w:bookmarkEnd w:id="49"/>
    <w:p w14:paraId="4D57785E" w14:textId="77777777" w:rsidR="0005231E" w:rsidRDefault="0005231E" w:rsidP="00B87E0C">
      <w:pPr>
        <w:pStyle w:val="Bullet"/>
      </w:pPr>
      <w:r>
        <w:t>New facilities for the disposal of hazardous waste.</w:t>
      </w:r>
    </w:p>
    <w:p w14:paraId="2FB18358" w14:textId="7901C100" w:rsidR="0005231E" w:rsidRDefault="0005231E" w:rsidP="00B87E0C">
      <w:pPr>
        <w:pStyle w:val="Bullet"/>
      </w:pPr>
      <w:r>
        <w:t>The land application of Class A or Class B domestic wastewater biosolids not in accordance with a DEP</w:t>
      </w:r>
      <w:r w:rsidR="00651147">
        <w:t>-</w:t>
      </w:r>
      <w:r>
        <w:t>approved nutrient management plan establishing the rate at which all biosolids, soil amendments, and sources of nutrients at the land application site can be applied to the land for crop production</w:t>
      </w:r>
      <w:r w:rsidR="00A96581">
        <w:t>,</w:t>
      </w:r>
      <w:r>
        <w:t xml:space="preserve"> while minimizing the amount of pollutants and nutrients discharged to groundwater or waters of the state.</w:t>
      </w:r>
    </w:p>
    <w:p w14:paraId="48088E9A" w14:textId="37A9B445" w:rsidR="0005231E" w:rsidRDefault="0005231E" w:rsidP="00B87E0C">
      <w:pPr>
        <w:pStyle w:val="Bullet"/>
      </w:pPr>
      <w:r>
        <w:t>New agricultur</w:t>
      </w:r>
      <w:r w:rsidR="00651147">
        <w:t>al</w:t>
      </w:r>
      <w:r>
        <w:t xml:space="preserve"> operations that do not implement BMPs, measures necessary to achieve pollution reduction levels established by DEP, or groundwater monitoring plans approved by a </w:t>
      </w:r>
      <w:r w:rsidR="00161062">
        <w:t>WMD</w:t>
      </w:r>
      <w:r>
        <w:t xml:space="preserve"> or DEP.</w:t>
      </w:r>
    </w:p>
    <w:p w14:paraId="29AAD44F" w14:textId="0518456F" w:rsidR="00867F06" w:rsidRPr="002A1E27" w:rsidRDefault="00577EF3" w:rsidP="007A06A3">
      <w:pPr>
        <w:pStyle w:val="Heading4"/>
      </w:pPr>
      <w:r w:rsidRPr="002A1E27">
        <w:t xml:space="preserve">Additional Requirements for </w:t>
      </w:r>
      <w:r w:rsidR="00867F06" w:rsidRPr="002A1E27">
        <w:t xml:space="preserve">Biosolids and Septage Application </w:t>
      </w:r>
      <w:r w:rsidRPr="002A1E27">
        <w:t>Sites</w:t>
      </w:r>
    </w:p>
    <w:p w14:paraId="1A24AFC1" w14:textId="792A4611" w:rsidR="00867F06" w:rsidRDefault="00867F06" w:rsidP="00867F06">
      <w:pPr>
        <w:pStyle w:val="BodyText"/>
      </w:pPr>
      <w:r>
        <w:t xml:space="preserve">In the PFA, the aquifer contributing to the spring is highly vulnerable to contamination by nitrogen sources and soils have a high to moderate tendency to leach applied nitrogen. DEP previously documented elevated nitrate concentrations in groundwater beneath septage application zones in spring areas. </w:t>
      </w:r>
      <w:bookmarkStart w:id="50" w:name="_Hlk497979941"/>
      <w:r>
        <w:t xml:space="preserve">To assure that nitrogen losses to groundwater </w:t>
      </w:r>
      <w:r w:rsidR="00EF49C8">
        <w:t xml:space="preserve">are minimized </w:t>
      </w:r>
      <w:r>
        <w:t>from permitted application of biosolids and septage in the PFA, the following requirements apply to newly-permitted application sites and existing application sites upon permit renewal.</w:t>
      </w:r>
    </w:p>
    <w:p w14:paraId="0C773152" w14:textId="14C5C1AC" w:rsidR="00867F06" w:rsidRPr="00A572E4" w:rsidRDefault="00867F06" w:rsidP="00BE5A45">
      <w:pPr>
        <w:pStyle w:val="BodyText"/>
      </w:pPr>
      <w:bookmarkStart w:id="51" w:name="_Hlk497914585"/>
      <w:bookmarkStart w:id="52" w:name="_Hlk497913357"/>
      <w:bookmarkEnd w:id="50"/>
      <w:r w:rsidRPr="00A572E4">
        <w:t>All permitted biosolid</w:t>
      </w:r>
      <w:r w:rsidR="00425F61">
        <w:t>s</w:t>
      </w:r>
      <w:r w:rsidRPr="00A572E4">
        <w:t xml:space="preserve"> application sites that are agricultural operations must be enrolled in the </w:t>
      </w:r>
      <w:r w:rsidR="00151F6C">
        <w:t>Florida Department of Agriculture and Consumer Services (</w:t>
      </w:r>
      <w:r w:rsidRPr="00A572E4">
        <w:t>FDACS</w:t>
      </w:r>
      <w:r w:rsidR="00151F6C">
        <w:t>)</w:t>
      </w:r>
      <w:r w:rsidRPr="00A572E4">
        <w:t xml:space="preserve"> BMP </w:t>
      </w:r>
      <w:r w:rsidR="00151F6C">
        <w:t>P</w:t>
      </w:r>
      <w:r w:rsidRPr="00A572E4">
        <w:t xml:space="preserve">rogram or be within an agricultural operation enrolled in the FDACS BMP </w:t>
      </w:r>
      <w:r w:rsidR="00151F6C">
        <w:t>P</w:t>
      </w:r>
      <w:r w:rsidRPr="00A572E4">
        <w:t xml:space="preserve">rogram for the applicable crop type.  Implementation of applicable BMPs will be verified by FDACS in accordance with </w:t>
      </w:r>
      <w:r w:rsidR="00425F61">
        <w:t>C</w:t>
      </w:r>
      <w:r w:rsidRPr="00A572E4">
        <w:t>hapter 5M-1</w:t>
      </w:r>
      <w:r w:rsidR="00852D64">
        <w:t xml:space="preserve">, </w:t>
      </w:r>
      <w:r w:rsidR="00852D64" w:rsidRPr="00AC239A">
        <w:t>Florida Administrative Code</w:t>
      </w:r>
      <w:r w:rsidR="00425F61">
        <w:t xml:space="preserve"> </w:t>
      </w:r>
      <w:r w:rsidR="00852D64">
        <w:t>(</w:t>
      </w:r>
      <w:r w:rsidR="00425F61">
        <w:t>F.A.C</w:t>
      </w:r>
      <w:r w:rsidR="00852D64">
        <w:t>.)</w:t>
      </w:r>
      <w:r w:rsidRPr="00A572E4">
        <w:t>.</w:t>
      </w:r>
      <w:bookmarkEnd w:id="51"/>
      <w:r w:rsidRPr="00A572E4">
        <w:t xml:space="preserve"> Permitted biosolid</w:t>
      </w:r>
      <w:r w:rsidR="00425F61">
        <w:t>s</w:t>
      </w:r>
      <w:r w:rsidRPr="00A572E4">
        <w:t xml:space="preserve"> application sites that are new agricultural operations must also comply with </w:t>
      </w:r>
      <w:r w:rsidR="00425F61">
        <w:t>Subs</w:t>
      </w:r>
      <w:r w:rsidRPr="00A572E4">
        <w:t>ection 373.811(5)</w:t>
      </w:r>
      <w:r w:rsidR="00425F61">
        <w:t>,</w:t>
      </w:r>
      <w:r w:rsidRPr="00A572E4">
        <w:t xml:space="preserve"> F.S.</w:t>
      </w:r>
      <w:bookmarkEnd w:id="52"/>
      <w:r w:rsidRPr="00A572E4">
        <w:t xml:space="preserve">  Biosolid</w:t>
      </w:r>
      <w:r w:rsidR="00425F61">
        <w:t>s</w:t>
      </w:r>
      <w:r w:rsidRPr="00A572E4">
        <w:t xml:space="preserve"> application sites must be certified as viable agricultural operations by an acknowledged agricultural professional such as an agricultural consultant or agricultural extension agent. Effective nutrient management practices must be ongoing at the application zones in the permit. Plant uptake and harvesting are vital components of the nutrient management plan to remove nitrogen and prevent it from leaching to groundwater. If </w:t>
      </w:r>
      <w:r w:rsidR="00425F61">
        <w:t>DEP</w:t>
      </w:r>
      <w:r w:rsidRPr="00A572E4">
        <w:t xml:space="preserve"> determines that the site is not a viable agricultural site implementing a nutrient management plan, corrective action will be required.</w:t>
      </w:r>
    </w:p>
    <w:p w14:paraId="18B10FC8" w14:textId="5CEEFF35" w:rsidR="00867F06" w:rsidRPr="00EC1889" w:rsidRDefault="00867F06" w:rsidP="00BE5A45">
      <w:pPr>
        <w:pStyle w:val="BodyText"/>
      </w:pPr>
      <w:r w:rsidRPr="00EC1889">
        <w:t xml:space="preserve">Groundwater monitoring for nitrate is required for all biosolids and septage land application sites in the PFA to assure compliance with nutrient management objectives in this BMAP. However, groundwater monitoring is not required if the site </w:t>
      </w:r>
      <w:r w:rsidR="00425F61" w:rsidRPr="00EC1889">
        <w:t>nutrient management plan</w:t>
      </w:r>
      <w:r w:rsidRPr="00EC1889">
        <w:t xml:space="preserve"> limits biosolids application rates </w:t>
      </w:r>
      <w:r w:rsidR="00065C68" w:rsidRPr="00EC1889">
        <w:t>of</w:t>
      </w:r>
      <w:r w:rsidRPr="00EC1889">
        <w:t xml:space="preserve"> TN with no adjustment for available nitrogen normally allowed by subsections 62-640.500(5) and (6), F.A.C. (e.g. for a recommended fertilizer rate of 160 pounds of nitrogen per acre, only 160 </w:t>
      </w:r>
      <w:r w:rsidR="00425F61" w:rsidRPr="00EC1889">
        <w:t>pounds</w:t>
      </w:r>
      <w:r w:rsidRPr="00EC1889">
        <w:t xml:space="preserve"> of TN per acre shall be applied).  For septage application, groundwater monitoring is not required if the site </w:t>
      </w:r>
      <w:r w:rsidR="00425F61" w:rsidRPr="00EC1889">
        <w:t>nutrient management plan</w:t>
      </w:r>
      <w:r w:rsidRPr="00EC1889">
        <w:t xml:space="preserve"> limits application rates to 30,000 gallons per acre for sites accepting mixtures of septage and grease (food establishment sludge) or to 40,000 gallons per acre for sites accepting septage without grease.</w:t>
      </w:r>
      <w:r w:rsidR="00425F61" w:rsidRPr="00EC1889">
        <w:t xml:space="preserve"> </w:t>
      </w:r>
      <w:r w:rsidRPr="00BA49AE">
        <w:t>The permit renewal application will include a trend analysis for nitrate in groundwater monitoring wells during the previous permit cycle, and an evaluation of the potential for the facility to cause or contribute to exceedance of the TMDL</w:t>
      </w:r>
      <w:r w:rsidRPr="00EC1889">
        <w:t xml:space="preserve">. </w:t>
      </w:r>
    </w:p>
    <w:p w14:paraId="58F57832" w14:textId="1B402F29" w:rsidR="00714FE9" w:rsidRPr="00A572E4" w:rsidRDefault="00714FE9" w:rsidP="00714FE9">
      <w:pPr>
        <w:pStyle w:val="BodyText"/>
      </w:pPr>
      <w:r>
        <w:t xml:space="preserve">Changes are proposed to the upcoming FDACS Cattle BMP Manual revision that will likely impact biosolid application. This will necessitate </w:t>
      </w:r>
      <w:r w:rsidR="00E65312">
        <w:t>coordination between FDACS and DEP permitting staff.</w:t>
      </w:r>
    </w:p>
    <w:p w14:paraId="554D22BD" w14:textId="340E3829" w:rsidR="0005231E" w:rsidRPr="0005231E" w:rsidRDefault="0005231E" w:rsidP="0005231E">
      <w:pPr>
        <w:pStyle w:val="Heading2"/>
      </w:pPr>
      <w:bookmarkStart w:id="53" w:name="_Toc514677655"/>
      <w:r>
        <w:t>Other Scientific and Historic</w:t>
      </w:r>
      <w:r w:rsidR="00A469B0">
        <w:t>al</w:t>
      </w:r>
      <w:r>
        <w:t xml:space="preserve"> Information</w:t>
      </w:r>
      <w:bookmarkEnd w:id="53"/>
    </w:p>
    <w:p w14:paraId="755CCC54" w14:textId="20AD6504" w:rsidR="00B66C7A" w:rsidRDefault="00B66C7A" w:rsidP="00B66C7A">
      <w:pPr>
        <w:pStyle w:val="BodyText"/>
      </w:pPr>
      <w:r>
        <w:t xml:space="preserve">In </w:t>
      </w:r>
      <w:r w:rsidR="00651147">
        <w:t>preparing</w:t>
      </w:r>
      <w:r>
        <w:t xml:space="preserve"> this BMAP, DEP c</w:t>
      </w:r>
      <w:r w:rsidRPr="008662AB">
        <w:t>ollected and evaluated credible scientific information on the effect of nutrients, particularly forms of nitrogen, on springs and springs systems.</w:t>
      </w:r>
      <w:r>
        <w:t xml:space="preserve"> Some of the information collected is specific to the </w:t>
      </w:r>
      <w:r w:rsidR="002A1E27">
        <w:t>Jackson Blue</w:t>
      </w:r>
      <w:r>
        <w:t xml:space="preserve"> </w:t>
      </w:r>
      <w:r w:rsidR="00FA7904">
        <w:t>Basin</w:t>
      </w:r>
      <w:r>
        <w:t xml:space="preserve">, while other references </w:t>
      </w:r>
      <w:r w:rsidR="00651147">
        <w:t>provided information on</w:t>
      </w:r>
      <w:r>
        <w:t xml:space="preserve"> related knowledge for restoring springs</w:t>
      </w:r>
      <w:r w:rsidR="00651147">
        <w:t>,</w:t>
      </w:r>
      <w:r>
        <w:t xml:space="preserve"> such as nitrogen-reducing technologies, </w:t>
      </w:r>
      <w:r w:rsidR="00053C3D">
        <w:t xml:space="preserve">the </w:t>
      </w:r>
      <w:r>
        <w:t>treatment performance of OSTDS, and runoff following fertilizer applications.</w:t>
      </w:r>
    </w:p>
    <w:p w14:paraId="53A0AAE0" w14:textId="74C6C39E" w:rsidR="0005231E" w:rsidRPr="0005231E" w:rsidRDefault="00B66C7A" w:rsidP="00B66C7A">
      <w:pPr>
        <w:pStyle w:val="Heading2"/>
      </w:pPr>
      <w:bookmarkStart w:id="54" w:name="_Toc514677656"/>
      <w:r>
        <w:t>Stakeholder Involvement</w:t>
      </w:r>
      <w:bookmarkEnd w:id="54"/>
    </w:p>
    <w:p w14:paraId="73748218" w14:textId="2196C9B7" w:rsidR="00B66C7A" w:rsidRDefault="00B66C7A" w:rsidP="00B66C7A">
      <w:pPr>
        <w:pStyle w:val="BodyText"/>
      </w:pPr>
      <w:r w:rsidRPr="004A1CF7">
        <w:t xml:space="preserve">Stakeholder involvement is critical to develop, gain support for, and secure commitments in a BMAP. The BMAP process engages stakeholders and promotes coordination and collaboration to address the </w:t>
      </w:r>
      <w:r>
        <w:t>pollutant load reductions necessary</w:t>
      </w:r>
      <w:r w:rsidRPr="004A1CF7">
        <w:t xml:space="preserve"> to achieve the TMDL</w:t>
      </w:r>
      <w:r>
        <w:t>s</w:t>
      </w:r>
      <w:r w:rsidRPr="004A1CF7">
        <w:t>. DEP invites stakeholders to participate in the BMAP development process and encourages public participation and consensus to the greatest practicable extent.</w:t>
      </w:r>
      <w:r>
        <w:t xml:space="preserve"> </w:t>
      </w:r>
      <w:r w:rsidR="00EA1B1F">
        <w:rPr>
          <w:b/>
        </w:rPr>
        <w:t xml:space="preserve">Table A-1 </w:t>
      </w:r>
      <w:r w:rsidR="00A96581">
        <w:t xml:space="preserve">lists </w:t>
      </w:r>
      <w:r>
        <w:t>the stakeholders who participated in the development of this BMAP.</w:t>
      </w:r>
    </w:p>
    <w:p w14:paraId="57AFCD60" w14:textId="339DEE9B" w:rsidR="00B66C7A" w:rsidRPr="004A1CF7" w:rsidRDefault="00B66C7A" w:rsidP="00B66C7A">
      <w:pPr>
        <w:pStyle w:val="BodyText"/>
      </w:pPr>
      <w:r>
        <w:t xml:space="preserve">During </w:t>
      </w:r>
      <w:r w:rsidR="00651147">
        <w:t xml:space="preserve">the </w:t>
      </w:r>
      <w:r>
        <w:t xml:space="preserve">development of the </w:t>
      </w:r>
      <w:r w:rsidR="00C6290B">
        <w:t>Jackson Blue</w:t>
      </w:r>
      <w:r>
        <w:t xml:space="preserve"> BMAP, DEP held a series of meetings involving stakeholders and the general public. The purpose of these meetings was to consult with stakeholders to gather information, evaluate the best available science, develop an OSTDS remediation plan (including a public education plan), define management strategies and milestones, and establish monitoring requirements. </w:t>
      </w:r>
      <w:r w:rsidRPr="004A1CF7">
        <w:t xml:space="preserve">All meetings were open to the public and noticed in the </w:t>
      </w:r>
      <w:r w:rsidRPr="00053C3D">
        <w:rPr>
          <w:i/>
        </w:rPr>
        <w:t>Florida Administrative Register</w:t>
      </w:r>
      <w:r w:rsidRPr="003919EA">
        <w:t xml:space="preserve"> (F</w:t>
      </w:r>
      <w:r>
        <w:t>.</w:t>
      </w:r>
      <w:r w:rsidRPr="003919EA">
        <w:t>A</w:t>
      </w:r>
      <w:r>
        <w:t>.</w:t>
      </w:r>
      <w:r w:rsidRPr="003919EA">
        <w:t>R</w:t>
      </w:r>
      <w:r>
        <w:t>.</w:t>
      </w:r>
      <w:r w:rsidRPr="003919EA">
        <w:t>).</w:t>
      </w:r>
      <w:r w:rsidRPr="004A1CF7">
        <w:t xml:space="preserve"> </w:t>
      </w:r>
      <w:r>
        <w:t xml:space="preserve">Additionally, a public meeting on the current draft BMAP was held on </w:t>
      </w:r>
      <w:r w:rsidR="007B188E">
        <w:t>March 28, 2018</w:t>
      </w:r>
      <w:r w:rsidR="00651147">
        <w:t>,</w:t>
      </w:r>
      <w:r>
        <w:t xml:space="preserve"> and was noticed in the F.A.R. and in local newspapers.</w:t>
      </w:r>
    </w:p>
    <w:p w14:paraId="687F022D" w14:textId="1C2A6E2F" w:rsidR="00651147" w:rsidRDefault="00B66C7A" w:rsidP="00B87E0C">
      <w:pPr>
        <w:pStyle w:val="BodyText"/>
      </w:pPr>
      <w:r>
        <w:t>Upon BMAP adoption, DEP intends to facilitate annual meetings with s</w:t>
      </w:r>
      <w:r w:rsidRPr="0089213C">
        <w:t>takeholders to review progress towards achieving the TMDL</w:t>
      </w:r>
      <w:r>
        <w:t>s.</w:t>
      </w:r>
    </w:p>
    <w:p w14:paraId="70250A4D" w14:textId="16160FC9" w:rsidR="00BD43DE" w:rsidRDefault="00B66C7A" w:rsidP="00B66C7A">
      <w:pPr>
        <w:pStyle w:val="Heading2"/>
      </w:pPr>
      <w:bookmarkStart w:id="55" w:name="_Toc493523686"/>
      <w:bookmarkStart w:id="56" w:name="_Toc514677657"/>
      <w:bookmarkEnd w:id="55"/>
      <w:r>
        <w:t>Description of BMPs Adopted by Rule</w:t>
      </w:r>
      <w:bookmarkEnd w:id="56"/>
    </w:p>
    <w:p w14:paraId="477D087A" w14:textId="621F5F08" w:rsidR="0023162A" w:rsidRDefault="009025B5" w:rsidP="00BE5A45">
      <w:pPr>
        <w:pStyle w:val="BodyText"/>
        <w:rPr>
          <w:rFonts w:ascii="Times New Roman Bold" w:hAnsi="Times New Roman Bold"/>
          <w:b/>
          <w:szCs w:val="22"/>
        </w:rPr>
      </w:pPr>
      <w:r>
        <w:rPr>
          <w:b/>
        </w:rPr>
        <w:t xml:space="preserve">Table </w:t>
      </w:r>
      <w:r w:rsidR="00F824AB">
        <w:rPr>
          <w:b/>
        </w:rPr>
        <w:t>2</w:t>
      </w:r>
      <w:r>
        <w:rPr>
          <w:b/>
        </w:rPr>
        <w:t xml:space="preserve"> </w:t>
      </w:r>
      <w:r w:rsidR="00A96581">
        <w:t xml:space="preserve">lists </w:t>
      </w:r>
      <w:r w:rsidR="00B66C7A">
        <w:t>the adopted BMPs</w:t>
      </w:r>
      <w:r w:rsidR="00BD10C8">
        <w:t xml:space="preserve"> and BMP manuals</w:t>
      </w:r>
      <w:r w:rsidR="00B66C7A">
        <w:t xml:space="preserve"> relevant to this BMAP.</w:t>
      </w:r>
      <w:bookmarkStart w:id="57" w:name="_Ref489864089"/>
    </w:p>
    <w:p w14:paraId="67684F4F" w14:textId="2DBE472A" w:rsidR="00B66C7A" w:rsidRDefault="008941E0" w:rsidP="008941E0">
      <w:pPr>
        <w:pStyle w:val="Caption"/>
      </w:pPr>
      <w:bookmarkStart w:id="58" w:name="_Toc514430952"/>
      <w:bookmarkEnd w:id="57"/>
      <w:r>
        <w:t xml:space="preserve">Table </w:t>
      </w:r>
      <w:fldSimple w:instr=" SEQ Table \* ARABIC ">
        <w:r w:rsidR="002A2E30">
          <w:rPr>
            <w:noProof/>
          </w:rPr>
          <w:t>2</w:t>
        </w:r>
      </w:fldSimple>
      <w:r>
        <w:t xml:space="preserve">. </w:t>
      </w:r>
      <w:r w:rsidR="00B66C7A">
        <w:t xml:space="preserve">BMPs </w:t>
      </w:r>
      <w:r w:rsidR="00BD10C8">
        <w:t xml:space="preserve">and BMP manuals </w:t>
      </w:r>
      <w:r w:rsidR="00B66C7A">
        <w:t>adopted by rule as of June 2017</w:t>
      </w:r>
      <w:bookmarkEnd w:id="58"/>
    </w:p>
    <w:tbl>
      <w:tblPr>
        <w:tblStyle w:val="TableGrid"/>
        <w:tblW w:w="0" w:type="auto"/>
        <w:jc w:val="center"/>
        <w:tblLook w:val="04A0" w:firstRow="1" w:lastRow="0" w:firstColumn="1" w:lastColumn="0" w:noHBand="0" w:noVBand="1"/>
      </w:tblPr>
      <w:tblGrid>
        <w:gridCol w:w="3367"/>
        <w:gridCol w:w="1505"/>
        <w:gridCol w:w="4478"/>
      </w:tblGrid>
      <w:tr w:rsidR="00B66C7A" w:rsidRPr="00B66C7A" w14:paraId="5C42BF24" w14:textId="77777777" w:rsidTr="00502EA0">
        <w:trPr>
          <w:tblHeader/>
          <w:jc w:val="center"/>
        </w:trPr>
        <w:tc>
          <w:tcPr>
            <w:tcW w:w="3367" w:type="dxa"/>
            <w:shd w:val="clear" w:color="auto" w:fill="DEEAF6" w:themeFill="accent1" w:themeFillTint="33"/>
            <w:vAlign w:val="bottom"/>
          </w:tcPr>
          <w:p w14:paraId="031943EE" w14:textId="77777777" w:rsidR="00B66C7A" w:rsidRPr="00B66C7A" w:rsidRDefault="00B66C7A" w:rsidP="00CE6FA8">
            <w:pPr>
              <w:jc w:val="center"/>
              <w:rPr>
                <w:rFonts w:ascii="Times New Roman" w:hAnsi="Times New Roman"/>
                <w:b/>
                <w:sz w:val="20"/>
              </w:rPr>
            </w:pPr>
            <w:r w:rsidRPr="00B66C7A">
              <w:rPr>
                <w:rFonts w:ascii="Times New Roman" w:hAnsi="Times New Roman"/>
                <w:b/>
                <w:sz w:val="20"/>
              </w:rPr>
              <w:t>Agency</w:t>
            </w:r>
          </w:p>
        </w:tc>
        <w:tc>
          <w:tcPr>
            <w:tcW w:w="1505" w:type="dxa"/>
            <w:shd w:val="clear" w:color="auto" w:fill="DEEAF6" w:themeFill="accent1" w:themeFillTint="33"/>
            <w:vAlign w:val="bottom"/>
          </w:tcPr>
          <w:p w14:paraId="7B4FB888" w14:textId="2618513F" w:rsidR="00B66C7A" w:rsidRPr="00B66C7A" w:rsidRDefault="00B66C7A" w:rsidP="00CE6FA8">
            <w:pPr>
              <w:jc w:val="center"/>
              <w:rPr>
                <w:rFonts w:ascii="Times New Roman" w:hAnsi="Times New Roman"/>
                <w:b/>
                <w:sz w:val="20"/>
              </w:rPr>
            </w:pPr>
            <w:r w:rsidRPr="00B66C7A">
              <w:rPr>
                <w:rFonts w:ascii="Times New Roman" w:hAnsi="Times New Roman"/>
                <w:b/>
                <w:sz w:val="20"/>
              </w:rPr>
              <w:t>F.A.C. Chapter</w:t>
            </w:r>
          </w:p>
        </w:tc>
        <w:tc>
          <w:tcPr>
            <w:tcW w:w="4478" w:type="dxa"/>
            <w:shd w:val="clear" w:color="auto" w:fill="DEEAF6" w:themeFill="accent1" w:themeFillTint="33"/>
            <w:vAlign w:val="bottom"/>
          </w:tcPr>
          <w:p w14:paraId="3C6726A8" w14:textId="77777777" w:rsidR="00B66C7A" w:rsidRPr="00B66C7A" w:rsidRDefault="00B66C7A" w:rsidP="00CE6FA8">
            <w:pPr>
              <w:jc w:val="center"/>
              <w:rPr>
                <w:rFonts w:ascii="Times New Roman" w:hAnsi="Times New Roman"/>
                <w:b/>
                <w:sz w:val="20"/>
              </w:rPr>
            </w:pPr>
            <w:r w:rsidRPr="00B66C7A">
              <w:rPr>
                <w:rFonts w:ascii="Times New Roman" w:hAnsi="Times New Roman"/>
                <w:b/>
                <w:sz w:val="20"/>
              </w:rPr>
              <w:t>Chapter Title</w:t>
            </w:r>
          </w:p>
        </w:tc>
      </w:tr>
      <w:tr w:rsidR="00B66C7A" w:rsidRPr="00B66C7A" w14:paraId="47B5D8BF" w14:textId="77777777" w:rsidTr="00502EA0">
        <w:trPr>
          <w:trHeight w:val="288"/>
          <w:jc w:val="center"/>
        </w:trPr>
        <w:tc>
          <w:tcPr>
            <w:tcW w:w="3367" w:type="dxa"/>
            <w:vAlign w:val="center"/>
          </w:tcPr>
          <w:p w14:paraId="07ABA631" w14:textId="2EDE99D6" w:rsidR="00B66C7A" w:rsidRPr="00053C3D" w:rsidRDefault="00B66C7A" w:rsidP="008B7BDA">
            <w:pPr>
              <w:jc w:val="center"/>
              <w:rPr>
                <w:rFonts w:ascii="Times New Roman" w:hAnsi="Times New Roman"/>
                <w:b/>
                <w:sz w:val="20"/>
              </w:rPr>
            </w:pPr>
            <w:r w:rsidRPr="00053C3D">
              <w:rPr>
                <w:rFonts w:ascii="Times New Roman" w:hAnsi="Times New Roman"/>
                <w:b/>
                <w:sz w:val="20"/>
              </w:rPr>
              <w:t>FDACS Office of Agricultural Water Policy (OAWP)</w:t>
            </w:r>
          </w:p>
        </w:tc>
        <w:tc>
          <w:tcPr>
            <w:tcW w:w="1505" w:type="dxa"/>
            <w:vAlign w:val="center"/>
          </w:tcPr>
          <w:p w14:paraId="5F135EA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5M-6</w:t>
            </w:r>
          </w:p>
        </w:tc>
        <w:tc>
          <w:tcPr>
            <w:tcW w:w="4478" w:type="dxa"/>
            <w:vAlign w:val="center"/>
          </w:tcPr>
          <w:p w14:paraId="0523C12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Florida Container Nursery BMP Guide</w:t>
            </w:r>
          </w:p>
        </w:tc>
      </w:tr>
      <w:tr w:rsidR="00B66C7A" w:rsidRPr="00B66C7A" w14:paraId="40F97B4D" w14:textId="77777777" w:rsidTr="00502EA0">
        <w:trPr>
          <w:trHeight w:val="288"/>
          <w:jc w:val="center"/>
        </w:trPr>
        <w:tc>
          <w:tcPr>
            <w:tcW w:w="3367" w:type="dxa"/>
            <w:vAlign w:val="center"/>
          </w:tcPr>
          <w:p w14:paraId="26490097"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59A8553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5M-8</w:t>
            </w:r>
          </w:p>
        </w:tc>
        <w:tc>
          <w:tcPr>
            <w:tcW w:w="4478" w:type="dxa"/>
            <w:vAlign w:val="center"/>
          </w:tcPr>
          <w:p w14:paraId="29DA9100"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Vegetable and Agronomic Crops</w:t>
            </w:r>
          </w:p>
        </w:tc>
      </w:tr>
      <w:tr w:rsidR="00B66C7A" w:rsidRPr="00B66C7A" w14:paraId="02EA5667" w14:textId="77777777" w:rsidTr="00502EA0">
        <w:trPr>
          <w:trHeight w:val="288"/>
          <w:jc w:val="center"/>
        </w:trPr>
        <w:tc>
          <w:tcPr>
            <w:tcW w:w="3367" w:type="dxa"/>
            <w:vAlign w:val="center"/>
          </w:tcPr>
          <w:p w14:paraId="3DFC0BB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09597386"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5M-9</w:t>
            </w:r>
          </w:p>
        </w:tc>
        <w:tc>
          <w:tcPr>
            <w:tcW w:w="4478" w:type="dxa"/>
            <w:vAlign w:val="center"/>
          </w:tcPr>
          <w:p w14:paraId="47B1969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Sod</w:t>
            </w:r>
          </w:p>
        </w:tc>
      </w:tr>
      <w:tr w:rsidR="00B66C7A" w:rsidRPr="00B66C7A" w14:paraId="1A0D3513" w14:textId="77777777" w:rsidTr="00502EA0">
        <w:trPr>
          <w:trHeight w:val="288"/>
          <w:jc w:val="center"/>
        </w:trPr>
        <w:tc>
          <w:tcPr>
            <w:tcW w:w="3367" w:type="dxa"/>
            <w:vAlign w:val="center"/>
          </w:tcPr>
          <w:p w14:paraId="73016E74"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8F74B76"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5M-11</w:t>
            </w:r>
          </w:p>
        </w:tc>
        <w:tc>
          <w:tcPr>
            <w:tcW w:w="4478" w:type="dxa"/>
            <w:vAlign w:val="center"/>
          </w:tcPr>
          <w:p w14:paraId="6216A6E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Cow/Calf Operations</w:t>
            </w:r>
          </w:p>
        </w:tc>
      </w:tr>
      <w:tr w:rsidR="00B66C7A" w:rsidRPr="00B66C7A" w14:paraId="3A2B4AA0" w14:textId="77777777" w:rsidTr="00502EA0">
        <w:trPr>
          <w:trHeight w:val="288"/>
          <w:jc w:val="center"/>
        </w:trPr>
        <w:tc>
          <w:tcPr>
            <w:tcW w:w="3367" w:type="dxa"/>
            <w:vAlign w:val="center"/>
          </w:tcPr>
          <w:p w14:paraId="07B9CEE1"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7E425152"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5M-12</w:t>
            </w:r>
          </w:p>
        </w:tc>
        <w:tc>
          <w:tcPr>
            <w:tcW w:w="4478" w:type="dxa"/>
            <w:vAlign w:val="center"/>
          </w:tcPr>
          <w:p w14:paraId="5136B0D9"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Conservation Plans for Specified Agricultural Operations</w:t>
            </w:r>
          </w:p>
        </w:tc>
      </w:tr>
      <w:tr w:rsidR="00B66C7A" w:rsidRPr="00B66C7A" w14:paraId="6FE94F31" w14:textId="77777777" w:rsidTr="00502EA0">
        <w:trPr>
          <w:trHeight w:val="288"/>
          <w:jc w:val="center"/>
        </w:trPr>
        <w:tc>
          <w:tcPr>
            <w:tcW w:w="3367" w:type="dxa"/>
            <w:vAlign w:val="center"/>
          </w:tcPr>
          <w:p w14:paraId="29DAB524"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4663F7D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5M-13</w:t>
            </w:r>
          </w:p>
        </w:tc>
        <w:tc>
          <w:tcPr>
            <w:tcW w:w="4478" w:type="dxa"/>
            <w:vAlign w:val="center"/>
          </w:tcPr>
          <w:p w14:paraId="04273A04"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Specialty Fruit and Nut Crop Operations</w:t>
            </w:r>
          </w:p>
        </w:tc>
      </w:tr>
      <w:tr w:rsidR="00B66C7A" w:rsidRPr="00B66C7A" w14:paraId="17DBE585" w14:textId="77777777" w:rsidTr="00502EA0">
        <w:trPr>
          <w:trHeight w:val="288"/>
          <w:jc w:val="center"/>
        </w:trPr>
        <w:tc>
          <w:tcPr>
            <w:tcW w:w="3367" w:type="dxa"/>
            <w:vAlign w:val="center"/>
          </w:tcPr>
          <w:p w14:paraId="648FFD4A"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02F4EEB5"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5M-14</w:t>
            </w:r>
          </w:p>
        </w:tc>
        <w:tc>
          <w:tcPr>
            <w:tcW w:w="4478" w:type="dxa"/>
            <w:vAlign w:val="center"/>
          </w:tcPr>
          <w:p w14:paraId="09763BA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Equine Operations</w:t>
            </w:r>
          </w:p>
        </w:tc>
      </w:tr>
      <w:tr w:rsidR="00B66C7A" w:rsidRPr="00B66C7A" w14:paraId="4056A7F5" w14:textId="77777777" w:rsidTr="00502EA0">
        <w:trPr>
          <w:trHeight w:val="288"/>
          <w:jc w:val="center"/>
        </w:trPr>
        <w:tc>
          <w:tcPr>
            <w:tcW w:w="3367" w:type="dxa"/>
            <w:vAlign w:val="center"/>
          </w:tcPr>
          <w:p w14:paraId="6A00D3FB"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3CD12960"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5M-16</w:t>
            </w:r>
          </w:p>
        </w:tc>
        <w:tc>
          <w:tcPr>
            <w:tcW w:w="4478" w:type="dxa"/>
            <w:vAlign w:val="center"/>
          </w:tcPr>
          <w:p w14:paraId="3F2D1A4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Citrus</w:t>
            </w:r>
          </w:p>
        </w:tc>
      </w:tr>
      <w:tr w:rsidR="00B66C7A" w:rsidRPr="00B66C7A" w14:paraId="60BCAFAF" w14:textId="77777777" w:rsidTr="00502EA0">
        <w:trPr>
          <w:trHeight w:val="288"/>
          <w:jc w:val="center"/>
        </w:trPr>
        <w:tc>
          <w:tcPr>
            <w:tcW w:w="3367" w:type="dxa"/>
            <w:vAlign w:val="center"/>
          </w:tcPr>
          <w:p w14:paraId="57762D61"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6BB7D819"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5M-17</w:t>
            </w:r>
          </w:p>
        </w:tc>
        <w:tc>
          <w:tcPr>
            <w:tcW w:w="4478" w:type="dxa"/>
            <w:vAlign w:val="center"/>
          </w:tcPr>
          <w:p w14:paraId="06EA2C93"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Dairies</w:t>
            </w:r>
          </w:p>
        </w:tc>
      </w:tr>
      <w:tr w:rsidR="00B66C7A" w:rsidRPr="00B66C7A" w14:paraId="70495FF7" w14:textId="77777777" w:rsidTr="00502EA0">
        <w:trPr>
          <w:trHeight w:val="288"/>
          <w:jc w:val="center"/>
        </w:trPr>
        <w:tc>
          <w:tcPr>
            <w:tcW w:w="3367" w:type="dxa"/>
            <w:vAlign w:val="center"/>
          </w:tcPr>
          <w:p w14:paraId="41ACB3D3"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97B8B0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5M-18</w:t>
            </w:r>
          </w:p>
        </w:tc>
        <w:tc>
          <w:tcPr>
            <w:tcW w:w="4478" w:type="dxa"/>
            <w:vAlign w:val="center"/>
          </w:tcPr>
          <w:p w14:paraId="3391828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Florida Agriculture Wildlife BMPs</w:t>
            </w:r>
          </w:p>
        </w:tc>
      </w:tr>
      <w:tr w:rsidR="00B66C7A" w:rsidRPr="00B66C7A" w14:paraId="0BF7471F" w14:textId="77777777" w:rsidTr="00502EA0">
        <w:trPr>
          <w:trHeight w:val="288"/>
          <w:jc w:val="center"/>
        </w:trPr>
        <w:tc>
          <w:tcPr>
            <w:tcW w:w="3367" w:type="dxa"/>
            <w:vAlign w:val="center"/>
          </w:tcPr>
          <w:p w14:paraId="49F36849"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OAWP</w:t>
            </w:r>
          </w:p>
        </w:tc>
        <w:tc>
          <w:tcPr>
            <w:tcW w:w="1505" w:type="dxa"/>
            <w:vAlign w:val="center"/>
          </w:tcPr>
          <w:p w14:paraId="19F4A58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5M-19</w:t>
            </w:r>
          </w:p>
        </w:tc>
        <w:tc>
          <w:tcPr>
            <w:tcW w:w="4478" w:type="dxa"/>
            <w:vAlign w:val="center"/>
          </w:tcPr>
          <w:p w14:paraId="597F83FC"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Florida Poultry</w:t>
            </w:r>
          </w:p>
        </w:tc>
      </w:tr>
      <w:tr w:rsidR="00B66C7A" w:rsidRPr="00B66C7A" w14:paraId="5A2C3AEB" w14:textId="77777777" w:rsidTr="00502EA0">
        <w:trPr>
          <w:trHeight w:val="288"/>
          <w:jc w:val="center"/>
        </w:trPr>
        <w:tc>
          <w:tcPr>
            <w:tcW w:w="3367" w:type="dxa"/>
            <w:vAlign w:val="center"/>
          </w:tcPr>
          <w:p w14:paraId="28702B4F"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Division of Agricultural Environmental Services</w:t>
            </w:r>
          </w:p>
        </w:tc>
        <w:tc>
          <w:tcPr>
            <w:tcW w:w="1505" w:type="dxa"/>
            <w:vAlign w:val="center"/>
          </w:tcPr>
          <w:p w14:paraId="723A2E44"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5E-1</w:t>
            </w:r>
          </w:p>
        </w:tc>
        <w:tc>
          <w:tcPr>
            <w:tcW w:w="4478" w:type="dxa"/>
            <w:vAlign w:val="center"/>
          </w:tcPr>
          <w:p w14:paraId="3D0DEC3A"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Fertilizer</w:t>
            </w:r>
          </w:p>
        </w:tc>
      </w:tr>
      <w:tr w:rsidR="00B66C7A" w:rsidRPr="00B66C7A" w14:paraId="141E36C1" w14:textId="77777777" w:rsidTr="00502EA0">
        <w:trPr>
          <w:trHeight w:val="288"/>
          <w:jc w:val="center"/>
        </w:trPr>
        <w:tc>
          <w:tcPr>
            <w:tcW w:w="3367" w:type="dxa"/>
            <w:vAlign w:val="center"/>
          </w:tcPr>
          <w:p w14:paraId="6DDD3F0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Division of Aquaculture</w:t>
            </w:r>
          </w:p>
        </w:tc>
        <w:tc>
          <w:tcPr>
            <w:tcW w:w="1505" w:type="dxa"/>
            <w:vAlign w:val="center"/>
          </w:tcPr>
          <w:p w14:paraId="5BC7104F"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5L-3</w:t>
            </w:r>
          </w:p>
        </w:tc>
        <w:tc>
          <w:tcPr>
            <w:tcW w:w="4478" w:type="dxa"/>
            <w:vAlign w:val="center"/>
          </w:tcPr>
          <w:p w14:paraId="7EC985C8"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Aquaculture BMPs</w:t>
            </w:r>
          </w:p>
        </w:tc>
      </w:tr>
      <w:tr w:rsidR="00B66C7A" w:rsidRPr="00B66C7A" w14:paraId="6C0F9836" w14:textId="77777777" w:rsidTr="00502EA0">
        <w:trPr>
          <w:trHeight w:val="288"/>
          <w:jc w:val="center"/>
        </w:trPr>
        <w:tc>
          <w:tcPr>
            <w:tcW w:w="3367" w:type="dxa"/>
            <w:vAlign w:val="center"/>
          </w:tcPr>
          <w:p w14:paraId="66274F92"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Florida Forest Service</w:t>
            </w:r>
          </w:p>
        </w:tc>
        <w:tc>
          <w:tcPr>
            <w:tcW w:w="1505" w:type="dxa"/>
            <w:vAlign w:val="center"/>
          </w:tcPr>
          <w:p w14:paraId="0D247C7E"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5I-6</w:t>
            </w:r>
          </w:p>
        </w:tc>
        <w:tc>
          <w:tcPr>
            <w:tcW w:w="4478" w:type="dxa"/>
            <w:vAlign w:val="center"/>
          </w:tcPr>
          <w:p w14:paraId="4BC8A931"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BMPs for Silviculture</w:t>
            </w:r>
          </w:p>
        </w:tc>
      </w:tr>
      <w:tr w:rsidR="00B66C7A" w:rsidRPr="00B66C7A" w14:paraId="1EA25B3B" w14:textId="77777777" w:rsidTr="00502EA0">
        <w:trPr>
          <w:trHeight w:val="288"/>
          <w:jc w:val="center"/>
        </w:trPr>
        <w:tc>
          <w:tcPr>
            <w:tcW w:w="3367" w:type="dxa"/>
            <w:vAlign w:val="center"/>
          </w:tcPr>
          <w:p w14:paraId="2D4F4089"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FDACS Florida Forest Service</w:t>
            </w:r>
          </w:p>
        </w:tc>
        <w:tc>
          <w:tcPr>
            <w:tcW w:w="1505" w:type="dxa"/>
            <w:vAlign w:val="center"/>
          </w:tcPr>
          <w:p w14:paraId="546B976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5I-8</w:t>
            </w:r>
          </w:p>
        </w:tc>
        <w:tc>
          <w:tcPr>
            <w:tcW w:w="4478" w:type="dxa"/>
            <w:vAlign w:val="center"/>
          </w:tcPr>
          <w:p w14:paraId="0AE89FAD" w14:textId="77777777" w:rsidR="007047DF" w:rsidRDefault="00B66C7A" w:rsidP="008B7BDA">
            <w:pPr>
              <w:jc w:val="center"/>
              <w:rPr>
                <w:rFonts w:ascii="Times New Roman" w:hAnsi="Times New Roman"/>
                <w:sz w:val="20"/>
              </w:rPr>
            </w:pPr>
            <w:r w:rsidRPr="00B66C7A">
              <w:rPr>
                <w:rFonts w:ascii="Times New Roman" w:hAnsi="Times New Roman"/>
                <w:sz w:val="20"/>
              </w:rPr>
              <w:t xml:space="preserve">Florida Forestry Wildlife BMPs for </w:t>
            </w:r>
          </w:p>
          <w:p w14:paraId="3E9CC0EF" w14:textId="23E1077A" w:rsidR="00B66C7A" w:rsidRPr="00B66C7A" w:rsidRDefault="00B66C7A" w:rsidP="008B7BDA">
            <w:pPr>
              <w:jc w:val="center"/>
              <w:rPr>
                <w:rFonts w:ascii="Times New Roman" w:hAnsi="Times New Roman"/>
                <w:sz w:val="20"/>
              </w:rPr>
            </w:pPr>
            <w:r w:rsidRPr="00B66C7A">
              <w:rPr>
                <w:rFonts w:ascii="Times New Roman" w:hAnsi="Times New Roman"/>
                <w:sz w:val="20"/>
              </w:rPr>
              <w:t>State Imperiled Species</w:t>
            </w:r>
          </w:p>
        </w:tc>
      </w:tr>
      <w:tr w:rsidR="00B66C7A" w:rsidRPr="00B66C7A" w14:paraId="2FC8E196" w14:textId="77777777" w:rsidTr="00502EA0">
        <w:trPr>
          <w:trHeight w:val="288"/>
          <w:jc w:val="center"/>
        </w:trPr>
        <w:tc>
          <w:tcPr>
            <w:tcW w:w="3367" w:type="dxa"/>
            <w:vAlign w:val="center"/>
          </w:tcPr>
          <w:p w14:paraId="377D5590" w14:textId="77777777" w:rsidR="00B66C7A" w:rsidRPr="00053C3D" w:rsidRDefault="00B66C7A" w:rsidP="008B7BDA">
            <w:pPr>
              <w:jc w:val="center"/>
              <w:rPr>
                <w:rFonts w:ascii="Times New Roman" w:hAnsi="Times New Roman"/>
                <w:b/>
                <w:sz w:val="20"/>
              </w:rPr>
            </w:pPr>
            <w:r w:rsidRPr="00053C3D">
              <w:rPr>
                <w:rFonts w:ascii="Times New Roman" w:hAnsi="Times New Roman"/>
                <w:b/>
                <w:sz w:val="20"/>
              </w:rPr>
              <w:t>DEP</w:t>
            </w:r>
          </w:p>
        </w:tc>
        <w:tc>
          <w:tcPr>
            <w:tcW w:w="1505" w:type="dxa"/>
            <w:vAlign w:val="center"/>
          </w:tcPr>
          <w:p w14:paraId="5E48499B"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62-330</w:t>
            </w:r>
          </w:p>
        </w:tc>
        <w:tc>
          <w:tcPr>
            <w:tcW w:w="4478" w:type="dxa"/>
            <w:vAlign w:val="center"/>
          </w:tcPr>
          <w:p w14:paraId="163CA66A" w14:textId="77777777" w:rsidR="00B66C7A" w:rsidRPr="00B66C7A" w:rsidRDefault="00B66C7A" w:rsidP="008B7BDA">
            <w:pPr>
              <w:jc w:val="center"/>
              <w:rPr>
                <w:rFonts w:ascii="Times New Roman" w:hAnsi="Times New Roman"/>
                <w:sz w:val="20"/>
              </w:rPr>
            </w:pPr>
            <w:r w:rsidRPr="00B66C7A">
              <w:rPr>
                <w:rFonts w:ascii="Times New Roman" w:hAnsi="Times New Roman"/>
                <w:sz w:val="20"/>
              </w:rPr>
              <w:t>Environmental Resource Permitting</w:t>
            </w:r>
          </w:p>
        </w:tc>
      </w:tr>
    </w:tbl>
    <w:p w14:paraId="17FB2FCE" w14:textId="76B4BBF6" w:rsidR="00A96581" w:rsidRDefault="00A96581" w:rsidP="00B66C7A"/>
    <w:p w14:paraId="0E9BBDBD" w14:textId="77777777" w:rsidR="00A96581" w:rsidRDefault="00A96581">
      <w:pPr>
        <w:jc w:val="left"/>
      </w:pPr>
      <w:r>
        <w:br w:type="page"/>
      </w:r>
    </w:p>
    <w:p w14:paraId="7483ED9A" w14:textId="1A79928C" w:rsidR="00AB5B44" w:rsidRPr="003F1249" w:rsidRDefault="005960A4" w:rsidP="00D863C8">
      <w:pPr>
        <w:pStyle w:val="Heading1"/>
        <w:ind w:hanging="979"/>
      </w:pPr>
      <w:bookmarkStart w:id="59" w:name="_Toc493523688"/>
      <w:bookmarkStart w:id="60" w:name="_Toc445731340"/>
      <w:bookmarkStart w:id="61" w:name="_Toc445732100"/>
      <w:bookmarkStart w:id="62" w:name="_Ref445748928"/>
      <w:bookmarkStart w:id="63" w:name="_Toc475022063"/>
      <w:bookmarkStart w:id="64" w:name="_Toc514677658"/>
      <w:bookmarkEnd w:id="59"/>
      <w:bookmarkEnd w:id="60"/>
      <w:bookmarkEnd w:id="61"/>
      <w:r>
        <w:t>:</w:t>
      </w:r>
      <w:r w:rsidR="008C3034">
        <w:t xml:space="preserve"> </w:t>
      </w:r>
      <w:r w:rsidR="00DC632C">
        <w:t xml:space="preserve">Implementation </w:t>
      </w:r>
      <w:r w:rsidR="004625C1">
        <w:t>t</w:t>
      </w:r>
      <w:r w:rsidR="00DC632C">
        <w:t xml:space="preserve">o Achieve </w:t>
      </w:r>
      <w:r w:rsidR="0023162A">
        <w:t xml:space="preserve">the </w:t>
      </w:r>
      <w:r w:rsidR="00DC632C">
        <w:t>TMDLs</w:t>
      </w:r>
      <w:bookmarkEnd w:id="62"/>
      <w:bookmarkEnd w:id="63"/>
      <w:bookmarkEnd w:id="64"/>
    </w:p>
    <w:p w14:paraId="04E23182" w14:textId="0E2A6EA5" w:rsidR="00E47930" w:rsidRDefault="00DC632C" w:rsidP="00E47930">
      <w:pPr>
        <w:pStyle w:val="Heading2"/>
      </w:pPr>
      <w:bookmarkStart w:id="65" w:name="_Toc514677659"/>
      <w:r>
        <w:t>Allocation of Pollutant Loads</w:t>
      </w:r>
      <w:bookmarkEnd w:id="65"/>
    </w:p>
    <w:p w14:paraId="4AB9C4B1" w14:textId="7DF38B3E" w:rsidR="007A06A3" w:rsidRPr="007A06A3" w:rsidRDefault="007A06A3" w:rsidP="00BE5A45">
      <w:pPr>
        <w:pStyle w:val="BodyText"/>
      </w:pPr>
      <w:r>
        <w:t>DEP</w:t>
      </w:r>
      <w:r w:rsidRPr="00BB5511">
        <w:t xml:space="preserve"> </w:t>
      </w:r>
      <w:r>
        <w:t>collected and evaluated credible scientific information on the effect of nutrients, particularly forms of nitrogen, on Jackson Blue Spring, described below.</w:t>
      </w:r>
    </w:p>
    <w:p w14:paraId="236024EE" w14:textId="28584351" w:rsidR="00DC632C" w:rsidRPr="0026471E" w:rsidRDefault="00DC632C" w:rsidP="00BE5A45">
      <w:pPr>
        <w:pStyle w:val="Heading3"/>
      </w:pPr>
      <w:r>
        <w:t>Nutrients in the Springs and Spring Systems</w:t>
      </w:r>
      <w:bookmarkStart w:id="66" w:name="_Toc445716598"/>
      <w:bookmarkStart w:id="67" w:name="_Toc445717650"/>
      <w:bookmarkStart w:id="68" w:name="_Toc445717695"/>
      <w:bookmarkStart w:id="69" w:name="_Toc445717746"/>
      <w:bookmarkStart w:id="70" w:name="_Toc445731344"/>
      <w:bookmarkStart w:id="71" w:name="_Toc445732104"/>
      <w:bookmarkStart w:id="72" w:name="_Toc408412577"/>
      <w:bookmarkStart w:id="73" w:name="_Toc408412601"/>
      <w:bookmarkStart w:id="74" w:name="_Toc475022066"/>
      <w:bookmarkEnd w:id="66"/>
      <w:bookmarkEnd w:id="67"/>
      <w:bookmarkEnd w:id="68"/>
      <w:bookmarkEnd w:id="69"/>
      <w:bookmarkEnd w:id="70"/>
      <w:bookmarkEnd w:id="71"/>
      <w:bookmarkEnd w:id="72"/>
      <w:bookmarkEnd w:id="73"/>
    </w:p>
    <w:p w14:paraId="4702B7B8" w14:textId="0A258E01" w:rsidR="00DC632C" w:rsidRDefault="00DC632C" w:rsidP="00DC632C">
      <w:pPr>
        <w:pStyle w:val="BodyText"/>
        <w:rPr>
          <w:iCs/>
        </w:rPr>
      </w:pPr>
      <w:r>
        <w:t xml:space="preserve">DEP </w:t>
      </w:r>
      <w:r w:rsidR="00C379D5">
        <w:t>developed</w:t>
      </w:r>
      <w:r w:rsidR="00A06EB6">
        <w:t xml:space="preserve"> the</w:t>
      </w:r>
      <w:r>
        <w:t xml:space="preserve"> </w:t>
      </w:r>
      <w:r w:rsidR="00DB6BB4">
        <w:t>N</w:t>
      </w:r>
      <w:r w:rsidR="00151F6C">
        <w:t xml:space="preserve">itrogen </w:t>
      </w:r>
      <w:r w:rsidR="00DB6BB4">
        <w:t>S</w:t>
      </w:r>
      <w:r w:rsidR="00151F6C">
        <w:t xml:space="preserve">ource </w:t>
      </w:r>
      <w:r w:rsidR="00DB6BB4">
        <w:t>I</w:t>
      </w:r>
      <w:r w:rsidR="00151F6C">
        <w:t xml:space="preserve">nventory </w:t>
      </w:r>
      <w:r w:rsidR="00DB6BB4">
        <w:t>L</w:t>
      </w:r>
      <w:r w:rsidR="00151F6C">
        <w:t xml:space="preserve">oading </w:t>
      </w:r>
      <w:r w:rsidR="00DB6BB4">
        <w:t>T</w:t>
      </w:r>
      <w:r w:rsidR="00151F6C">
        <w:t>ool (</w:t>
      </w:r>
      <w:r>
        <w:t>NSILT</w:t>
      </w:r>
      <w:r w:rsidR="00151F6C">
        <w:t>)</w:t>
      </w:r>
      <w:r w:rsidR="00A06EB6">
        <w:t xml:space="preserve"> to</w:t>
      </w:r>
      <w:r>
        <w:t xml:space="preserve"> </w:t>
      </w:r>
      <w:r w:rsidRPr="00F70F14">
        <w:t>provide information on the major sources of nitrogen in the groundwater contributing area</w:t>
      </w:r>
      <w:r w:rsidR="00A06EB6">
        <w:t xml:space="preserve"> for the OFS. In addition, this tool is used to estimate nitrogen loads to groundwater from these sources in the</w:t>
      </w:r>
      <w:r>
        <w:t xml:space="preserve"> spring contributing area</w:t>
      </w:r>
      <w:r w:rsidR="00A06EB6">
        <w:t>.</w:t>
      </w:r>
      <w:r w:rsidRPr="00F70F14">
        <w:t xml:space="preserve"> </w:t>
      </w:r>
      <w:r w:rsidR="00A06EB6">
        <w:t>The NSILT is a</w:t>
      </w:r>
      <w:r>
        <w:t xml:space="preserve"> GIS- </w:t>
      </w:r>
      <w:r>
        <w:rPr>
          <w:iCs/>
        </w:rPr>
        <w:t xml:space="preserve">and spreadsheet-based </w:t>
      </w:r>
      <w:r w:rsidR="00DD7AB9">
        <w:rPr>
          <w:iCs/>
        </w:rPr>
        <w:t>tool that</w:t>
      </w:r>
      <w:r>
        <w:rPr>
          <w:iCs/>
        </w:rPr>
        <w:t xml:space="preserve"> provides spatial estimates of the relative contribution of nitrogen from </w:t>
      </w:r>
      <w:r w:rsidR="00A06EB6">
        <w:rPr>
          <w:iCs/>
        </w:rPr>
        <w:t>major</w:t>
      </w:r>
      <w:r>
        <w:rPr>
          <w:iCs/>
        </w:rPr>
        <w:t xml:space="preserve"> </w:t>
      </w:r>
      <w:r w:rsidR="00A06EB6">
        <w:rPr>
          <w:iCs/>
        </w:rPr>
        <w:t xml:space="preserve">nitrogen </w:t>
      </w:r>
      <w:r>
        <w:rPr>
          <w:iCs/>
        </w:rPr>
        <w:t xml:space="preserve">sources </w:t>
      </w:r>
      <w:r w:rsidR="00A06EB6">
        <w:rPr>
          <w:iCs/>
        </w:rPr>
        <w:t>and accounts for</w:t>
      </w:r>
      <w:r>
        <w:rPr>
          <w:iCs/>
        </w:rPr>
        <w:t xml:space="preserve"> the transport pathways and processes affecting the various forms of nitrogen as they move </w:t>
      </w:r>
      <w:r w:rsidR="00A06EB6">
        <w:rPr>
          <w:iCs/>
        </w:rPr>
        <w:t>from</w:t>
      </w:r>
      <w:r>
        <w:rPr>
          <w:iCs/>
        </w:rPr>
        <w:t xml:space="preserve"> the land surface through </w:t>
      </w:r>
      <w:r w:rsidR="00A06EB6">
        <w:rPr>
          <w:iCs/>
        </w:rPr>
        <w:t xml:space="preserve">the </w:t>
      </w:r>
      <w:r>
        <w:rPr>
          <w:iCs/>
        </w:rPr>
        <w:t>soil and geologic strata</w:t>
      </w:r>
      <w:r w:rsidR="00A06EB6">
        <w:rPr>
          <w:iCs/>
        </w:rPr>
        <w:t>.</w:t>
      </w:r>
    </w:p>
    <w:p w14:paraId="20080CE1" w14:textId="411F771A" w:rsidR="00A06EB6" w:rsidRPr="00A06EB6" w:rsidRDefault="00A06EB6" w:rsidP="00DD4406">
      <w:pPr>
        <w:pStyle w:val="BodyText"/>
      </w:pPr>
      <w:bookmarkStart w:id="75" w:name="_Hlk501637045"/>
      <w:r>
        <w:rPr>
          <w:iCs/>
          <w:szCs w:val="22"/>
        </w:rPr>
        <w:t xml:space="preserve">The first </w:t>
      </w:r>
      <w:r w:rsidRPr="005026F9">
        <w:rPr>
          <w:iCs/>
          <w:szCs w:val="22"/>
        </w:rPr>
        <w:t>major factor</w:t>
      </w:r>
      <w:r>
        <w:rPr>
          <w:iCs/>
          <w:szCs w:val="22"/>
        </w:rPr>
        <w:t xml:space="preserve"> to consider in estimating the</w:t>
      </w:r>
      <w:r w:rsidRPr="005026F9">
        <w:rPr>
          <w:iCs/>
          <w:szCs w:val="22"/>
        </w:rPr>
        <w:t xml:space="preserve"> loading to groundwater in the NSILT is the attenuation of nitrogen as it moves from its source through the environment, before it reaches the </w:t>
      </w:r>
      <w:r w:rsidR="00151F6C">
        <w:rPr>
          <w:iCs/>
          <w:szCs w:val="22"/>
        </w:rPr>
        <w:t>Upper Floridan aquifer (</w:t>
      </w:r>
      <w:r>
        <w:rPr>
          <w:iCs/>
          <w:szCs w:val="22"/>
        </w:rPr>
        <w:t>UFA</w:t>
      </w:r>
      <w:r w:rsidR="00151F6C">
        <w:rPr>
          <w:iCs/>
          <w:szCs w:val="22"/>
        </w:rPr>
        <w:t>)</w:t>
      </w:r>
      <w:r w:rsidRPr="005026F9">
        <w:rPr>
          <w:iCs/>
          <w:szCs w:val="22"/>
        </w:rPr>
        <w:t>. The movement of nitrogen from the land surface to groundwater is controlled by biological and chemical processes that occur as part of the nitrogen cycle, as well as hydrogeological processes. Many of these processes attenuate (impede or remove) the amount of nitrogen transported to groundwater. An understanding of how water moves through the subsurface and the processes that transform the different forms of nitrogen is essential for estimating nitrogen loading to groundwater from various sources.</w:t>
      </w:r>
    </w:p>
    <w:p w14:paraId="4E4EE1D6" w14:textId="5DBAA35F" w:rsidR="00DC632C" w:rsidRPr="005026F9" w:rsidRDefault="00A06EB6" w:rsidP="00DC632C">
      <w:pPr>
        <w:pStyle w:val="BodyText"/>
        <w:rPr>
          <w:rFonts w:cstheme="minorBidi"/>
          <w:iCs/>
          <w:szCs w:val="22"/>
        </w:rPr>
      </w:pPr>
      <w:r>
        <w:rPr>
          <w:iCs/>
          <w:szCs w:val="22"/>
        </w:rPr>
        <w:t>A second major factor</w:t>
      </w:r>
      <w:r w:rsidR="00053C3D">
        <w:rPr>
          <w:iCs/>
          <w:szCs w:val="22"/>
        </w:rPr>
        <w:t xml:space="preserve"> to consider in estimating</w:t>
      </w:r>
      <w:r w:rsidR="00DC632C" w:rsidRPr="005026F9">
        <w:rPr>
          <w:iCs/>
          <w:szCs w:val="22"/>
        </w:rPr>
        <w:t xml:space="preserve"> </w:t>
      </w:r>
      <w:r w:rsidR="00053C3D">
        <w:rPr>
          <w:iCs/>
          <w:szCs w:val="22"/>
        </w:rPr>
        <w:t>the</w:t>
      </w:r>
      <w:r w:rsidR="00DC632C" w:rsidRPr="005026F9">
        <w:rPr>
          <w:iCs/>
          <w:szCs w:val="22"/>
        </w:rPr>
        <w:t xml:space="preserve"> loading to groundwater</w:t>
      </w:r>
      <w:r w:rsidR="00DD4406">
        <w:rPr>
          <w:iCs/>
          <w:szCs w:val="22"/>
        </w:rPr>
        <w:t xml:space="preserve"> is</w:t>
      </w:r>
      <w:r w:rsidR="00DC632C" w:rsidRPr="005026F9">
        <w:rPr>
          <w:iCs/>
          <w:szCs w:val="22"/>
        </w:rPr>
        <w:t xml:space="preserve"> the geologic features in the springshed and the related "recharge rate." Water movement between the shallow groundwater (surficial aquifer</w:t>
      </w:r>
      <w:r w:rsidR="00E57E25">
        <w:rPr>
          <w:iCs/>
          <w:szCs w:val="22"/>
        </w:rPr>
        <w:t>, where present</w:t>
      </w:r>
      <w:r w:rsidR="00DC632C" w:rsidRPr="005026F9">
        <w:rPr>
          <w:iCs/>
          <w:szCs w:val="22"/>
        </w:rPr>
        <w:t>) and the deeper aquifer (</w:t>
      </w:r>
      <w:r w:rsidR="008B7BDA">
        <w:rPr>
          <w:iCs/>
          <w:szCs w:val="22"/>
        </w:rPr>
        <w:t>UFA</w:t>
      </w:r>
      <w:r w:rsidR="00DC632C" w:rsidRPr="005026F9">
        <w:rPr>
          <w:iCs/>
          <w:szCs w:val="22"/>
        </w:rPr>
        <w:t>) is slowed by a low</w:t>
      </w:r>
      <w:r w:rsidR="00FB67F3">
        <w:rPr>
          <w:iCs/>
          <w:szCs w:val="22"/>
        </w:rPr>
        <w:t xml:space="preserve"> </w:t>
      </w:r>
      <w:r w:rsidR="00DC632C" w:rsidRPr="005026F9">
        <w:rPr>
          <w:iCs/>
          <w:szCs w:val="22"/>
        </w:rPr>
        <w:t xml:space="preserve">permeability layer of clay, silt, and fine sand that </w:t>
      </w:r>
      <w:r w:rsidR="00E57E25">
        <w:rPr>
          <w:iCs/>
          <w:szCs w:val="22"/>
        </w:rPr>
        <w:t>retards the vertical movement of infiltrating water from the surface. T</w:t>
      </w:r>
      <w:r w:rsidR="00FA7904">
        <w:rPr>
          <w:iCs/>
          <w:szCs w:val="22"/>
        </w:rPr>
        <w:t>he UFA</w:t>
      </w:r>
      <w:r w:rsidR="00E57E25">
        <w:rPr>
          <w:iCs/>
          <w:szCs w:val="22"/>
        </w:rPr>
        <w:t xml:space="preserve"> occurs in limestone that can be</w:t>
      </w:r>
      <w:r w:rsidR="00DC632C" w:rsidRPr="005026F9">
        <w:rPr>
          <w:iCs/>
          <w:szCs w:val="22"/>
        </w:rPr>
        <w:t xml:space="preserve"> prone to dissolving, and</w:t>
      </w:r>
      <w:r w:rsidR="0026471E">
        <w:rPr>
          <w:iCs/>
          <w:szCs w:val="22"/>
        </w:rPr>
        <w:t>,</w:t>
      </w:r>
      <w:r w:rsidR="00DC632C" w:rsidRPr="005026F9">
        <w:rPr>
          <w:iCs/>
          <w:szCs w:val="22"/>
        </w:rPr>
        <w:t xml:space="preserve"> over geologic time, the </w:t>
      </w:r>
      <w:r w:rsidR="00243424">
        <w:rPr>
          <w:iCs/>
          <w:szCs w:val="22"/>
        </w:rPr>
        <w:t>development of</w:t>
      </w:r>
      <w:r w:rsidR="00DC632C" w:rsidRPr="005026F9">
        <w:rPr>
          <w:iCs/>
          <w:szCs w:val="22"/>
        </w:rPr>
        <w:t xml:space="preserve"> numerous karst features (sinkholes, caves, and conduits). These features allow water from the land surface to move directly and relatively rapidly into the aquifer</w:t>
      </w:r>
      <w:r w:rsidR="00243424">
        <w:rPr>
          <w:iCs/>
          <w:szCs w:val="22"/>
        </w:rPr>
        <w:t xml:space="preserve"> and in some areas for groundwater in the aquifer to move rapidly to the springs.</w:t>
      </w:r>
    </w:p>
    <w:p w14:paraId="558F41AC" w14:textId="45CF24D9" w:rsidR="00AC6B64" w:rsidRPr="00AC6B64" w:rsidRDefault="00AC6B64" w:rsidP="00AC6B64">
      <w:pPr>
        <w:pStyle w:val="BodyText"/>
      </w:pPr>
      <w:r>
        <w:t>Potential recharge rates from the surface to the UFA are affected by variations in the geologic materials and the presence of karst features. DEP estimated the recharge rate ranges and grouped them into three rate categories, which were applied in the NSILT:</w:t>
      </w:r>
    </w:p>
    <w:p w14:paraId="7E553EC9" w14:textId="77777777" w:rsidR="00DC632C" w:rsidRPr="008662AB" w:rsidRDefault="00DC632C" w:rsidP="001E354C">
      <w:pPr>
        <w:pStyle w:val="BodyText"/>
        <w:numPr>
          <w:ilvl w:val="0"/>
          <w:numId w:val="10"/>
        </w:numPr>
      </w:pPr>
      <w:r w:rsidRPr="008662AB">
        <w:t>Low recharge (1 to 5 in</w:t>
      </w:r>
      <w:r>
        <w:t>ches per year [in</w:t>
      </w:r>
      <w:r w:rsidRPr="008662AB">
        <w:t>/yr</w:t>
      </w:r>
      <w:r>
        <w:t>]</w:t>
      </w:r>
      <w:r w:rsidRPr="008662AB">
        <w:t>).</w:t>
      </w:r>
    </w:p>
    <w:p w14:paraId="27569351" w14:textId="77777777" w:rsidR="00DC632C" w:rsidRPr="008662AB" w:rsidRDefault="00DC632C" w:rsidP="001E354C">
      <w:pPr>
        <w:pStyle w:val="BodyText"/>
        <w:numPr>
          <w:ilvl w:val="0"/>
          <w:numId w:val="10"/>
        </w:numPr>
      </w:pPr>
      <w:r w:rsidRPr="008662AB">
        <w:t>Medium recharge (5 to 15 in/yr).</w:t>
      </w:r>
    </w:p>
    <w:p w14:paraId="3F5E4C4A" w14:textId="77777777" w:rsidR="00DC632C" w:rsidRPr="008662AB" w:rsidRDefault="00DC632C" w:rsidP="001E354C">
      <w:pPr>
        <w:pStyle w:val="BodyText"/>
        <w:numPr>
          <w:ilvl w:val="0"/>
          <w:numId w:val="10"/>
        </w:numPr>
      </w:pPr>
      <w:r w:rsidRPr="008662AB">
        <w:t xml:space="preserve">High recharge (15 in/yr or greater). </w:t>
      </w:r>
    </w:p>
    <w:p w14:paraId="7B8E526F" w14:textId="7AF88ED5" w:rsidR="00FB6AE8" w:rsidRPr="0026471E" w:rsidRDefault="00DC632C" w:rsidP="00BE5A45">
      <w:pPr>
        <w:pStyle w:val="BodyText"/>
      </w:pPr>
      <w:r w:rsidRPr="005026F9">
        <w:rPr>
          <w:iCs/>
          <w:szCs w:val="22"/>
        </w:rPr>
        <w:t xml:space="preserve">In the NSILT, DEP applied different attenuation factors to different types of sources, so that various biological, chemical, and hydrogeological effects could be estimated. The attenuation that was applied means that the amount of nitrogen </w:t>
      </w:r>
      <w:r w:rsidR="0026471E">
        <w:rPr>
          <w:iCs/>
          <w:szCs w:val="22"/>
        </w:rPr>
        <w:t>leaving</w:t>
      </w:r>
      <w:r w:rsidRPr="005026F9">
        <w:rPr>
          <w:iCs/>
          <w:szCs w:val="22"/>
        </w:rPr>
        <w:t xml:space="preserve"> a source (such as a livestock operation or a </w:t>
      </w:r>
      <w:r w:rsidR="007047DF">
        <w:rPr>
          <w:iCs/>
          <w:szCs w:val="22"/>
        </w:rPr>
        <w:t xml:space="preserve">newly fertilized </w:t>
      </w:r>
      <w:r w:rsidRPr="005026F9">
        <w:rPr>
          <w:iCs/>
          <w:szCs w:val="22"/>
        </w:rPr>
        <w:t>yard) reduces the amount of nitrogen predicted to reach the aquifer. In the NSILT</w:t>
      </w:r>
      <w:r>
        <w:rPr>
          <w:iCs/>
        </w:rPr>
        <w:t xml:space="preserve"> estimates</w:t>
      </w:r>
      <w:r w:rsidRPr="005026F9">
        <w:rPr>
          <w:iCs/>
          <w:szCs w:val="22"/>
        </w:rPr>
        <w:t>, the attenuation rates range</w:t>
      </w:r>
      <w:r w:rsidR="0026471E">
        <w:rPr>
          <w:iCs/>
          <w:szCs w:val="22"/>
        </w:rPr>
        <w:t>d</w:t>
      </w:r>
      <w:r w:rsidRPr="005026F9">
        <w:rPr>
          <w:iCs/>
          <w:szCs w:val="22"/>
        </w:rPr>
        <w:t xml:space="preserve"> from </w:t>
      </w:r>
      <w:r w:rsidR="004F31EE">
        <w:rPr>
          <w:iCs/>
          <w:szCs w:val="22"/>
        </w:rPr>
        <w:t>90</w:t>
      </w:r>
      <w:r w:rsidRPr="005026F9">
        <w:rPr>
          <w:iCs/>
          <w:szCs w:val="22"/>
        </w:rPr>
        <w:t xml:space="preserve"> % (for atmospheric deposition) to </w:t>
      </w:r>
      <w:r w:rsidR="004F31EE">
        <w:rPr>
          <w:iCs/>
          <w:szCs w:val="22"/>
        </w:rPr>
        <w:t>25</w:t>
      </w:r>
      <w:r w:rsidRPr="005026F9">
        <w:rPr>
          <w:iCs/>
          <w:szCs w:val="22"/>
        </w:rPr>
        <w:t xml:space="preserve"> % (for wastewater disposal in a </w:t>
      </w:r>
      <w:r w:rsidR="00111C67">
        <w:rPr>
          <w:iCs/>
          <w:szCs w:val="22"/>
        </w:rPr>
        <w:t>RIB</w:t>
      </w:r>
      <w:r w:rsidRPr="005026F9">
        <w:rPr>
          <w:iCs/>
          <w:szCs w:val="22"/>
        </w:rPr>
        <w:t>). This means that, for these examples, only 1</w:t>
      </w:r>
      <w:r w:rsidR="004F31EE">
        <w:rPr>
          <w:iCs/>
          <w:szCs w:val="22"/>
        </w:rPr>
        <w:t>0</w:t>
      </w:r>
      <w:r w:rsidRPr="005026F9">
        <w:rPr>
          <w:iCs/>
          <w:szCs w:val="22"/>
        </w:rPr>
        <w:t xml:space="preserve"> % of nitrogen from atmospheric deposition </w:t>
      </w:r>
      <w:r w:rsidR="007047DF">
        <w:rPr>
          <w:iCs/>
          <w:szCs w:val="22"/>
        </w:rPr>
        <w:t xml:space="preserve">is expected to </w:t>
      </w:r>
      <w:r w:rsidRPr="005026F9">
        <w:rPr>
          <w:iCs/>
          <w:szCs w:val="22"/>
        </w:rPr>
        <w:t xml:space="preserve">reach the aquifer, while </w:t>
      </w:r>
      <w:r w:rsidR="004F31EE">
        <w:rPr>
          <w:iCs/>
          <w:szCs w:val="22"/>
        </w:rPr>
        <w:t>75</w:t>
      </w:r>
      <w:r w:rsidRPr="005026F9">
        <w:rPr>
          <w:iCs/>
          <w:szCs w:val="22"/>
        </w:rPr>
        <w:t xml:space="preserve"> % of nitrogen from a </w:t>
      </w:r>
      <w:r w:rsidR="00111C67">
        <w:rPr>
          <w:iCs/>
          <w:szCs w:val="22"/>
        </w:rPr>
        <w:t>RIB</w:t>
      </w:r>
      <w:r w:rsidRPr="005026F9">
        <w:rPr>
          <w:iCs/>
          <w:szCs w:val="22"/>
        </w:rPr>
        <w:t xml:space="preserve"> </w:t>
      </w:r>
      <w:r w:rsidR="007047DF">
        <w:rPr>
          <w:iCs/>
          <w:szCs w:val="22"/>
        </w:rPr>
        <w:t>is</w:t>
      </w:r>
      <w:r w:rsidRPr="005026F9">
        <w:rPr>
          <w:iCs/>
          <w:szCs w:val="22"/>
        </w:rPr>
        <w:t xml:space="preserve"> expected to reach groundwater, because the remainder is attenuated by various chemical and biological processes.</w:t>
      </w:r>
      <w:bookmarkEnd w:id="75"/>
    </w:p>
    <w:p w14:paraId="06EE5A04" w14:textId="77777777" w:rsidR="00F824AB" w:rsidRDefault="00F824AB" w:rsidP="00F824AB">
      <w:pPr>
        <w:pStyle w:val="BodyText"/>
        <w:rPr>
          <w:b/>
        </w:rPr>
      </w:pPr>
      <w:r>
        <w:t>Phosphorus is naturally abundant in the geologic material underlying much of Florida and is often present in high concentrations in surface water and groundwater. Monitoring and evaluation of phosphorus and influences on the springs continues as the nitrate TMDLs are implemented.</w:t>
      </w:r>
    </w:p>
    <w:p w14:paraId="1A0E4C0B" w14:textId="25DB787D" w:rsidR="00DC632C" w:rsidRDefault="00FB6AE8" w:rsidP="001451E2">
      <w:pPr>
        <w:pStyle w:val="Heading3"/>
      </w:pPr>
      <w:r>
        <w:t>Estimated Nit</w:t>
      </w:r>
      <w:r w:rsidR="00470328">
        <w:t>rogen</w:t>
      </w:r>
      <w:r>
        <w:t xml:space="preserve"> Loads</w:t>
      </w:r>
    </w:p>
    <w:p w14:paraId="34AF7932" w14:textId="5DFA0B0D" w:rsidR="007047DF" w:rsidRDefault="009025B5" w:rsidP="00BE5A45">
      <w:pPr>
        <w:pStyle w:val="BodyText"/>
        <w:rPr>
          <w:iCs/>
        </w:rPr>
      </w:pPr>
      <w:r>
        <w:rPr>
          <w:b/>
          <w:iCs/>
        </w:rPr>
        <w:t xml:space="preserve">Table </w:t>
      </w:r>
      <w:r w:rsidR="00F824AB">
        <w:rPr>
          <w:b/>
          <w:iCs/>
        </w:rPr>
        <w:t>3</w:t>
      </w:r>
      <w:r>
        <w:rPr>
          <w:b/>
          <w:iCs/>
        </w:rPr>
        <w:t xml:space="preserve"> </w:t>
      </w:r>
      <w:r w:rsidR="00FB6AE8">
        <w:rPr>
          <w:iCs/>
        </w:rPr>
        <w:t xml:space="preserve">lists the estimated nitrogen loads to groundwater by source. Note that urban stormwater loads are included in </w:t>
      </w:r>
      <w:r w:rsidR="00CA56F5">
        <w:rPr>
          <w:iCs/>
        </w:rPr>
        <w:t xml:space="preserve">UTF </w:t>
      </w:r>
      <w:r w:rsidR="00FB6AE8">
        <w:rPr>
          <w:iCs/>
        </w:rPr>
        <w:t>estimates</w:t>
      </w:r>
      <w:r w:rsidR="00C12FDE">
        <w:rPr>
          <w:iCs/>
        </w:rPr>
        <w:t>, while</w:t>
      </w:r>
      <w:r w:rsidR="00FB6AE8">
        <w:rPr>
          <w:iCs/>
        </w:rPr>
        <w:t xml:space="preserve"> agricultural stormwater loads are included in </w:t>
      </w:r>
      <w:r w:rsidR="00CA56F5">
        <w:rPr>
          <w:iCs/>
        </w:rPr>
        <w:t xml:space="preserve">FF </w:t>
      </w:r>
      <w:r w:rsidR="00FB6AE8">
        <w:rPr>
          <w:iCs/>
        </w:rPr>
        <w:t>and</w:t>
      </w:r>
      <w:r w:rsidR="00CA56F5">
        <w:rPr>
          <w:iCs/>
        </w:rPr>
        <w:t xml:space="preserve"> LW estimates.</w:t>
      </w:r>
      <w:r w:rsidR="00637701" w:rsidRPr="00637701">
        <w:t xml:space="preserve"> </w:t>
      </w:r>
      <w:r w:rsidR="00637701" w:rsidRPr="00697D8D">
        <w:t>N</w:t>
      </w:r>
      <w:r w:rsidR="00637701">
        <w:t>itrogen</w:t>
      </w:r>
      <w:r w:rsidR="00637701" w:rsidRPr="00697D8D">
        <w:t xml:space="preserve"> loading to surface water will be reduced through the activities and strategies for the source</w:t>
      </w:r>
      <w:r w:rsidR="00637701">
        <w:t>s</w:t>
      </w:r>
      <w:r w:rsidR="00637701" w:rsidRPr="00697D8D">
        <w:t xml:space="preserve"> identified in this chapter for groundwater loading.</w:t>
      </w:r>
    </w:p>
    <w:p w14:paraId="4BFFB286" w14:textId="6284E33E" w:rsidR="00FB6AE8" w:rsidRPr="00FB6AE8" w:rsidRDefault="008941E0" w:rsidP="008941E0">
      <w:pPr>
        <w:pStyle w:val="Caption"/>
      </w:pPr>
      <w:bookmarkStart w:id="76" w:name="_Toc514430953"/>
      <w:r>
        <w:t xml:space="preserve">Table </w:t>
      </w:r>
      <w:fldSimple w:instr=" SEQ Table \* ARABIC ">
        <w:r w:rsidR="002A2E30">
          <w:rPr>
            <w:noProof/>
          </w:rPr>
          <w:t>3</w:t>
        </w:r>
      </w:fldSimple>
      <w:r>
        <w:t xml:space="preserve">. </w:t>
      </w:r>
      <w:r w:rsidR="00D624ED">
        <w:t>Estimated n</w:t>
      </w:r>
      <w:r w:rsidR="00FB6AE8">
        <w:t>itrogen load to groundwater by source</w:t>
      </w:r>
      <w:r w:rsidR="00D624ED">
        <w:t xml:space="preserve"> in the </w:t>
      </w:r>
      <w:r w:rsidR="00F824AB">
        <w:t>BMAP area</w:t>
      </w:r>
      <w:bookmarkEnd w:id="76"/>
    </w:p>
    <w:tbl>
      <w:tblPr>
        <w:tblW w:w="6695" w:type="dxa"/>
        <w:jc w:val="center"/>
        <w:tblCellMar>
          <w:top w:w="15" w:type="dxa"/>
          <w:bottom w:w="15" w:type="dxa"/>
        </w:tblCellMar>
        <w:tblLook w:val="04A0" w:firstRow="1" w:lastRow="0" w:firstColumn="1" w:lastColumn="0" w:noHBand="0" w:noVBand="1"/>
      </w:tblPr>
      <w:tblGrid>
        <w:gridCol w:w="2880"/>
        <w:gridCol w:w="2448"/>
        <w:gridCol w:w="1367"/>
      </w:tblGrid>
      <w:tr w:rsidR="00FB6AE8" w:rsidRPr="00FB6AE8" w14:paraId="5647E988" w14:textId="77777777" w:rsidTr="00577F9C">
        <w:trPr>
          <w:trHeight w:val="527"/>
          <w:tblHeader/>
          <w:jc w:val="center"/>
        </w:trPr>
        <w:tc>
          <w:tcPr>
            <w:tcW w:w="288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7FB40B86" w14:textId="77777777" w:rsidR="00FB6AE8" w:rsidRPr="00FB6AE8" w:rsidRDefault="00FB6AE8" w:rsidP="00CE6FA8">
            <w:pPr>
              <w:jc w:val="center"/>
              <w:rPr>
                <w:rFonts w:ascii="Times New Roman" w:hAnsi="Times New Roman"/>
                <w:b/>
                <w:bCs/>
                <w:color w:val="000000"/>
                <w:sz w:val="20"/>
              </w:rPr>
            </w:pPr>
            <w:r w:rsidRPr="00FB6AE8">
              <w:rPr>
                <w:rFonts w:ascii="Times New Roman" w:hAnsi="Times New Roman"/>
                <w:b/>
                <w:bCs/>
                <w:color w:val="000000"/>
                <w:sz w:val="20"/>
              </w:rPr>
              <w:t xml:space="preserve">Nitrogen Source </w:t>
            </w:r>
          </w:p>
        </w:tc>
        <w:tc>
          <w:tcPr>
            <w:tcW w:w="24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92AFDA1" w14:textId="77777777" w:rsidR="00FB6AE8" w:rsidRPr="00FB6AE8" w:rsidRDefault="00FB6AE8" w:rsidP="00CE6FA8">
            <w:pPr>
              <w:jc w:val="center"/>
              <w:rPr>
                <w:rFonts w:ascii="Times New Roman" w:hAnsi="Times New Roman"/>
                <w:b/>
                <w:bCs/>
                <w:color w:val="000000"/>
                <w:sz w:val="20"/>
              </w:rPr>
            </w:pPr>
            <w:r w:rsidRPr="00FB6AE8">
              <w:rPr>
                <w:rFonts w:ascii="Times New Roman" w:hAnsi="Times New Roman"/>
                <w:b/>
                <w:bCs/>
                <w:color w:val="000000"/>
                <w:sz w:val="20"/>
              </w:rPr>
              <w:t xml:space="preserve">Estimated Total Nitrogen Load to Groundwater </w:t>
            </w:r>
            <w:r w:rsidRPr="00FB6AE8">
              <w:rPr>
                <w:rFonts w:ascii="Times New Roman" w:hAnsi="Times New Roman"/>
                <w:b/>
                <w:bCs/>
                <w:color w:val="000000"/>
                <w:sz w:val="20"/>
              </w:rPr>
              <w:br/>
              <w:t xml:space="preserve">(lb-N/yr) </w:t>
            </w:r>
          </w:p>
        </w:tc>
        <w:tc>
          <w:tcPr>
            <w:tcW w:w="136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150DD55" w14:textId="07703BC6" w:rsidR="00FB6AE8" w:rsidRPr="00FB6AE8" w:rsidRDefault="007047DF" w:rsidP="00CE6FA8">
            <w:pPr>
              <w:jc w:val="center"/>
              <w:rPr>
                <w:rFonts w:ascii="Times New Roman" w:hAnsi="Times New Roman"/>
                <w:b/>
                <w:bCs/>
                <w:color w:val="000000"/>
                <w:sz w:val="20"/>
              </w:rPr>
            </w:pPr>
            <w:r>
              <w:rPr>
                <w:rFonts w:ascii="Times New Roman" w:hAnsi="Times New Roman"/>
                <w:b/>
                <w:bCs/>
                <w:color w:val="000000"/>
                <w:sz w:val="20"/>
              </w:rPr>
              <w:t>%</w:t>
            </w:r>
            <w:r w:rsidRPr="00FB6AE8">
              <w:rPr>
                <w:rFonts w:ascii="Times New Roman" w:hAnsi="Times New Roman"/>
                <w:b/>
                <w:bCs/>
                <w:color w:val="000000"/>
                <w:sz w:val="20"/>
              </w:rPr>
              <w:t xml:space="preserve"> </w:t>
            </w:r>
            <w:r w:rsidR="00FB6AE8" w:rsidRPr="00FB6AE8">
              <w:rPr>
                <w:rFonts w:ascii="Times New Roman" w:hAnsi="Times New Roman"/>
                <w:b/>
                <w:bCs/>
                <w:color w:val="000000"/>
                <w:sz w:val="20"/>
              </w:rPr>
              <w:t xml:space="preserve">Contribution </w:t>
            </w:r>
          </w:p>
        </w:tc>
      </w:tr>
      <w:tr w:rsidR="00F824AB" w:rsidRPr="00FB6AE8" w14:paraId="73533141"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FD6F694" w14:textId="77777777" w:rsidR="00F824AB" w:rsidRPr="00C12FDE" w:rsidRDefault="00F824AB" w:rsidP="00F824AB">
            <w:pPr>
              <w:jc w:val="center"/>
              <w:rPr>
                <w:rFonts w:ascii="Times New Roman" w:hAnsi="Times New Roman"/>
                <w:b/>
                <w:color w:val="000000"/>
                <w:sz w:val="20"/>
              </w:rPr>
            </w:pPr>
            <w:r w:rsidRPr="00C12FDE">
              <w:rPr>
                <w:rFonts w:ascii="Times New Roman" w:hAnsi="Times New Roman"/>
                <w:b/>
                <w:color w:val="000000"/>
                <w:sz w:val="20"/>
              </w:rPr>
              <w:t>OSTDS</w:t>
            </w:r>
          </w:p>
        </w:tc>
        <w:tc>
          <w:tcPr>
            <w:tcW w:w="24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E3C06" w14:textId="7DAE86D8" w:rsidR="00F824AB" w:rsidRPr="00F824AB" w:rsidRDefault="00F824AB" w:rsidP="00F824AB">
            <w:pPr>
              <w:jc w:val="center"/>
              <w:rPr>
                <w:rFonts w:ascii="Times New Roman" w:hAnsi="Times New Roman"/>
                <w:sz w:val="20"/>
              </w:rPr>
            </w:pPr>
            <w:r w:rsidRPr="00F824AB">
              <w:rPr>
                <w:rFonts w:ascii="Times New Roman" w:hAnsi="Times New Roman"/>
                <w:sz w:val="20"/>
              </w:rPr>
              <w:t>19,109</w:t>
            </w:r>
          </w:p>
        </w:tc>
        <w:tc>
          <w:tcPr>
            <w:tcW w:w="13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164C1" w14:textId="5C86E58F" w:rsidR="00F824AB" w:rsidRPr="00F824AB" w:rsidRDefault="00637701" w:rsidP="00F824AB">
            <w:pPr>
              <w:jc w:val="center"/>
              <w:rPr>
                <w:rFonts w:ascii="Times New Roman" w:hAnsi="Times New Roman"/>
                <w:sz w:val="20"/>
              </w:rPr>
            </w:pPr>
            <w:r>
              <w:rPr>
                <w:rFonts w:ascii="Times New Roman" w:hAnsi="Times New Roman"/>
                <w:sz w:val="20"/>
              </w:rPr>
              <w:t>3</w:t>
            </w:r>
          </w:p>
        </w:tc>
      </w:tr>
      <w:tr w:rsidR="00F824AB" w:rsidRPr="00FB6AE8" w14:paraId="4AC9B88D" w14:textId="77777777" w:rsidTr="00101FF7">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59956F17" w14:textId="216032E7" w:rsidR="00F824AB" w:rsidRPr="00C12FDE" w:rsidRDefault="00F824AB" w:rsidP="004520CE">
            <w:pPr>
              <w:jc w:val="center"/>
              <w:rPr>
                <w:rFonts w:ascii="Times New Roman" w:hAnsi="Times New Roman"/>
                <w:b/>
                <w:color w:val="000000"/>
                <w:sz w:val="20"/>
              </w:rPr>
            </w:pPr>
            <w:r>
              <w:rPr>
                <w:rFonts w:ascii="Times New Roman" w:hAnsi="Times New Roman"/>
                <w:b/>
                <w:color w:val="000000"/>
                <w:sz w:val="20"/>
              </w:rPr>
              <w:t>UTF and STF</w:t>
            </w:r>
          </w:p>
        </w:tc>
        <w:tc>
          <w:tcPr>
            <w:tcW w:w="2448" w:type="dxa"/>
            <w:tcBorders>
              <w:top w:val="nil"/>
              <w:left w:val="single" w:sz="4" w:space="0" w:color="auto"/>
              <w:bottom w:val="single" w:sz="4" w:space="0" w:color="auto"/>
              <w:right w:val="single" w:sz="4" w:space="0" w:color="auto"/>
            </w:tcBorders>
            <w:shd w:val="clear" w:color="auto" w:fill="auto"/>
            <w:noWrap/>
            <w:vAlign w:val="center"/>
          </w:tcPr>
          <w:p w14:paraId="54D3B586" w14:textId="2B77F871" w:rsidR="00F824AB" w:rsidRPr="00F824AB" w:rsidRDefault="00F824AB" w:rsidP="00101FF7">
            <w:pPr>
              <w:jc w:val="center"/>
              <w:rPr>
                <w:rFonts w:ascii="Times New Roman" w:hAnsi="Times New Roman"/>
                <w:sz w:val="20"/>
              </w:rPr>
            </w:pPr>
            <w:r w:rsidRPr="00F824AB">
              <w:rPr>
                <w:rFonts w:ascii="Times New Roman" w:hAnsi="Times New Roman"/>
                <w:sz w:val="20"/>
              </w:rPr>
              <w:t>3,435</w:t>
            </w:r>
          </w:p>
        </w:tc>
        <w:tc>
          <w:tcPr>
            <w:tcW w:w="1367" w:type="dxa"/>
            <w:tcBorders>
              <w:top w:val="nil"/>
              <w:left w:val="single" w:sz="4" w:space="0" w:color="auto"/>
              <w:bottom w:val="single" w:sz="4" w:space="0" w:color="auto"/>
              <w:right w:val="single" w:sz="4" w:space="0" w:color="auto"/>
            </w:tcBorders>
            <w:shd w:val="clear" w:color="auto" w:fill="auto"/>
            <w:noWrap/>
            <w:vAlign w:val="center"/>
          </w:tcPr>
          <w:p w14:paraId="58E7AC4C" w14:textId="3E21981C" w:rsidR="00F824AB" w:rsidRPr="00F824AB" w:rsidRDefault="00637701" w:rsidP="00637701">
            <w:pPr>
              <w:jc w:val="center"/>
              <w:rPr>
                <w:rFonts w:ascii="Times New Roman" w:hAnsi="Times New Roman"/>
                <w:sz w:val="20"/>
              </w:rPr>
            </w:pPr>
            <w:r>
              <w:rPr>
                <w:rFonts w:ascii="Times New Roman" w:hAnsi="Times New Roman"/>
                <w:sz w:val="20"/>
              </w:rPr>
              <w:t>&lt;1</w:t>
            </w:r>
          </w:p>
        </w:tc>
      </w:tr>
      <w:tr w:rsidR="00F824AB" w:rsidRPr="00FB6AE8" w14:paraId="38F7E228"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7B9C400" w14:textId="77777777" w:rsidR="00F824AB" w:rsidRPr="00C12FDE" w:rsidRDefault="00F824AB" w:rsidP="00F824AB">
            <w:pPr>
              <w:jc w:val="center"/>
              <w:rPr>
                <w:rFonts w:ascii="Times New Roman" w:hAnsi="Times New Roman"/>
                <w:b/>
                <w:color w:val="000000"/>
                <w:sz w:val="20"/>
              </w:rPr>
            </w:pPr>
            <w:r w:rsidRPr="00C12FDE">
              <w:rPr>
                <w:rFonts w:ascii="Times New Roman" w:hAnsi="Times New Roman"/>
                <w:b/>
                <w:color w:val="000000"/>
                <w:sz w:val="20"/>
              </w:rPr>
              <w:t>Atmospheric Deposition</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6CA1187A" w14:textId="3482D726" w:rsidR="00F824AB" w:rsidRPr="00F824AB" w:rsidRDefault="00F824AB" w:rsidP="00F824AB">
            <w:pPr>
              <w:jc w:val="center"/>
              <w:rPr>
                <w:rFonts w:ascii="Times New Roman" w:hAnsi="Times New Roman"/>
                <w:sz w:val="20"/>
              </w:rPr>
            </w:pPr>
            <w:r w:rsidRPr="00F824AB">
              <w:rPr>
                <w:rFonts w:ascii="Times New Roman" w:hAnsi="Times New Roman"/>
                <w:sz w:val="20"/>
              </w:rPr>
              <w:t>35,484</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7B34F069" w14:textId="29D53900" w:rsidR="00F824AB" w:rsidRPr="00F824AB" w:rsidRDefault="00637701" w:rsidP="00F824AB">
            <w:pPr>
              <w:jc w:val="center"/>
              <w:rPr>
                <w:rFonts w:ascii="Times New Roman" w:hAnsi="Times New Roman"/>
                <w:sz w:val="20"/>
              </w:rPr>
            </w:pPr>
            <w:r>
              <w:rPr>
                <w:rFonts w:ascii="Times New Roman" w:hAnsi="Times New Roman"/>
                <w:sz w:val="20"/>
              </w:rPr>
              <w:t>5</w:t>
            </w:r>
          </w:p>
        </w:tc>
      </w:tr>
      <w:tr w:rsidR="00F824AB" w:rsidRPr="00FB6AE8" w14:paraId="704DF860"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18ABF5AB" w14:textId="221526D5"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Irrigated FF</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17FC727F" w14:textId="1A84AD51" w:rsidR="00F824AB" w:rsidRPr="00F824AB" w:rsidRDefault="00F824AB" w:rsidP="00F824AB">
            <w:pPr>
              <w:jc w:val="center"/>
              <w:rPr>
                <w:rFonts w:ascii="Times New Roman" w:hAnsi="Times New Roman"/>
                <w:sz w:val="20"/>
              </w:rPr>
            </w:pPr>
            <w:r w:rsidRPr="00F824AB">
              <w:rPr>
                <w:rFonts w:ascii="Times New Roman" w:hAnsi="Times New Roman"/>
                <w:sz w:val="20"/>
              </w:rPr>
              <w:t>333,763</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4AC12FA7" w14:textId="73F86BC5" w:rsidR="00F824AB" w:rsidRPr="00F824AB" w:rsidRDefault="00F824AB" w:rsidP="00F824AB">
            <w:pPr>
              <w:jc w:val="center"/>
              <w:rPr>
                <w:rFonts w:ascii="Times New Roman" w:hAnsi="Times New Roman"/>
                <w:sz w:val="20"/>
              </w:rPr>
            </w:pPr>
            <w:r w:rsidRPr="00F824AB">
              <w:rPr>
                <w:rFonts w:ascii="Times New Roman" w:hAnsi="Times New Roman"/>
                <w:sz w:val="20"/>
              </w:rPr>
              <w:t>45</w:t>
            </w:r>
          </w:p>
        </w:tc>
      </w:tr>
      <w:tr w:rsidR="00F824AB" w:rsidRPr="00FB6AE8" w14:paraId="2B516294"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7A3E6B7D" w14:textId="471A56C1"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Non-Irrigated FF</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47AE9AE9" w14:textId="6EF9AE1A" w:rsidR="00F824AB" w:rsidRPr="00F824AB" w:rsidRDefault="00F824AB" w:rsidP="00F824AB">
            <w:pPr>
              <w:jc w:val="center"/>
              <w:rPr>
                <w:rFonts w:ascii="Times New Roman" w:hAnsi="Times New Roman"/>
                <w:sz w:val="20"/>
              </w:rPr>
            </w:pPr>
            <w:r w:rsidRPr="00F824AB">
              <w:rPr>
                <w:rFonts w:ascii="Times New Roman" w:hAnsi="Times New Roman"/>
                <w:sz w:val="20"/>
              </w:rPr>
              <w:t>292,158</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1079CA45" w14:textId="1C4B5C4E" w:rsidR="00F824AB" w:rsidRPr="00F824AB" w:rsidRDefault="00637701" w:rsidP="00F824AB">
            <w:pPr>
              <w:jc w:val="center"/>
              <w:rPr>
                <w:rFonts w:ascii="Times New Roman" w:hAnsi="Times New Roman"/>
                <w:sz w:val="20"/>
              </w:rPr>
            </w:pPr>
            <w:r>
              <w:rPr>
                <w:rFonts w:ascii="Times New Roman" w:hAnsi="Times New Roman"/>
                <w:sz w:val="20"/>
              </w:rPr>
              <w:t>40</w:t>
            </w:r>
          </w:p>
        </w:tc>
      </w:tr>
      <w:tr w:rsidR="00F824AB" w:rsidRPr="00FB6AE8" w14:paraId="48E4ECBB" w14:textId="77777777" w:rsidTr="0033230E">
        <w:trPr>
          <w:trHeight w:val="300"/>
          <w:jc w:val="center"/>
        </w:trPr>
        <w:tc>
          <w:tcPr>
            <w:tcW w:w="2880" w:type="dxa"/>
            <w:tcBorders>
              <w:top w:val="single" w:sz="4" w:space="0" w:color="auto"/>
              <w:left w:val="single" w:sz="4" w:space="0" w:color="auto"/>
              <w:bottom w:val="single" w:sz="4" w:space="0" w:color="auto"/>
              <w:right w:val="single" w:sz="4" w:space="0" w:color="auto"/>
            </w:tcBorders>
            <w:noWrap/>
            <w:vAlign w:val="center"/>
            <w:hideMark/>
          </w:tcPr>
          <w:p w14:paraId="37CCC322" w14:textId="7FD4DBAE" w:rsidR="00F824AB" w:rsidRPr="00C12FDE" w:rsidRDefault="00F824AB" w:rsidP="00F824AB">
            <w:pPr>
              <w:jc w:val="center"/>
              <w:rPr>
                <w:rFonts w:ascii="Times New Roman" w:hAnsi="Times New Roman"/>
                <w:b/>
                <w:color w:val="000000"/>
                <w:sz w:val="20"/>
              </w:rPr>
            </w:pPr>
            <w:r>
              <w:rPr>
                <w:rFonts w:ascii="Times New Roman" w:hAnsi="Times New Roman"/>
                <w:b/>
                <w:color w:val="000000"/>
                <w:sz w:val="20"/>
              </w:rPr>
              <w:t>LW</w:t>
            </w:r>
          </w:p>
        </w:tc>
        <w:tc>
          <w:tcPr>
            <w:tcW w:w="2448" w:type="dxa"/>
            <w:tcBorders>
              <w:top w:val="nil"/>
              <w:left w:val="single" w:sz="4" w:space="0" w:color="auto"/>
              <w:bottom w:val="single" w:sz="4" w:space="0" w:color="auto"/>
              <w:right w:val="single" w:sz="4" w:space="0" w:color="auto"/>
            </w:tcBorders>
            <w:shd w:val="clear" w:color="auto" w:fill="auto"/>
            <w:noWrap/>
            <w:vAlign w:val="bottom"/>
          </w:tcPr>
          <w:p w14:paraId="4566BD47" w14:textId="7B9905B1" w:rsidR="00F824AB" w:rsidRPr="00F824AB" w:rsidRDefault="00F824AB" w:rsidP="00F824AB">
            <w:pPr>
              <w:jc w:val="center"/>
              <w:rPr>
                <w:rFonts w:ascii="Times New Roman" w:hAnsi="Times New Roman"/>
                <w:sz w:val="20"/>
              </w:rPr>
            </w:pPr>
            <w:r w:rsidRPr="00F824AB">
              <w:rPr>
                <w:rFonts w:ascii="Times New Roman" w:hAnsi="Times New Roman"/>
                <w:sz w:val="20"/>
              </w:rPr>
              <w:t>54,010</w:t>
            </w:r>
          </w:p>
        </w:tc>
        <w:tc>
          <w:tcPr>
            <w:tcW w:w="1367" w:type="dxa"/>
            <w:tcBorders>
              <w:top w:val="nil"/>
              <w:left w:val="single" w:sz="4" w:space="0" w:color="auto"/>
              <w:bottom w:val="single" w:sz="4" w:space="0" w:color="auto"/>
              <w:right w:val="single" w:sz="4" w:space="0" w:color="auto"/>
            </w:tcBorders>
            <w:shd w:val="clear" w:color="auto" w:fill="auto"/>
            <w:noWrap/>
            <w:vAlign w:val="bottom"/>
          </w:tcPr>
          <w:p w14:paraId="1178230A" w14:textId="1220DA01" w:rsidR="00F824AB" w:rsidRPr="00F824AB" w:rsidRDefault="00F824AB" w:rsidP="00F824AB">
            <w:pPr>
              <w:jc w:val="center"/>
              <w:rPr>
                <w:rFonts w:ascii="Times New Roman" w:hAnsi="Times New Roman"/>
                <w:sz w:val="20"/>
              </w:rPr>
            </w:pPr>
            <w:r w:rsidRPr="00F824AB">
              <w:rPr>
                <w:rFonts w:ascii="Times New Roman" w:hAnsi="Times New Roman"/>
                <w:sz w:val="20"/>
              </w:rPr>
              <w:t>7</w:t>
            </w:r>
          </w:p>
        </w:tc>
      </w:tr>
      <w:tr w:rsidR="00F824AB" w:rsidRPr="00FB6AE8" w14:paraId="07F90AF6" w14:textId="77777777" w:rsidTr="00F824AB">
        <w:trPr>
          <w:trHeight w:val="300"/>
          <w:jc w:val="center"/>
        </w:trPr>
        <w:tc>
          <w:tcPr>
            <w:tcW w:w="288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63866A8" w14:textId="77777777" w:rsidR="00F824AB" w:rsidRPr="00FB6AE8" w:rsidRDefault="00F824AB" w:rsidP="00F824AB">
            <w:pPr>
              <w:jc w:val="center"/>
              <w:rPr>
                <w:rFonts w:ascii="Times New Roman" w:hAnsi="Times New Roman"/>
                <w:b/>
                <w:color w:val="000000"/>
                <w:sz w:val="20"/>
              </w:rPr>
            </w:pPr>
            <w:r w:rsidRPr="00FB6AE8">
              <w:rPr>
                <w:rFonts w:ascii="Times New Roman" w:hAnsi="Times New Roman"/>
                <w:b/>
                <w:color w:val="000000"/>
                <w:sz w:val="20"/>
              </w:rPr>
              <w:t>Total</w:t>
            </w:r>
          </w:p>
        </w:tc>
        <w:tc>
          <w:tcPr>
            <w:tcW w:w="2448"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0CC6EA64" w14:textId="19B11013" w:rsidR="00F824AB" w:rsidRPr="00F824AB" w:rsidRDefault="00F824AB" w:rsidP="00F824AB">
            <w:pPr>
              <w:jc w:val="center"/>
              <w:rPr>
                <w:rFonts w:ascii="Times New Roman" w:hAnsi="Times New Roman"/>
                <w:b/>
                <w:bCs/>
                <w:sz w:val="20"/>
              </w:rPr>
            </w:pPr>
            <w:r>
              <w:rPr>
                <w:rFonts w:ascii="Times New Roman" w:hAnsi="Times New Roman"/>
                <w:b/>
                <w:bCs/>
                <w:sz w:val="20"/>
              </w:rPr>
              <w:t>737,959</w:t>
            </w:r>
          </w:p>
        </w:tc>
        <w:tc>
          <w:tcPr>
            <w:tcW w:w="1367"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461AAA03" w14:textId="73356EB5" w:rsidR="00F824AB" w:rsidRPr="00F824AB" w:rsidRDefault="00F824AB" w:rsidP="00F824AB">
            <w:pPr>
              <w:jc w:val="center"/>
              <w:rPr>
                <w:rFonts w:ascii="Times New Roman" w:hAnsi="Times New Roman"/>
                <w:b/>
                <w:bCs/>
                <w:sz w:val="20"/>
              </w:rPr>
            </w:pPr>
            <w:r>
              <w:rPr>
                <w:rFonts w:ascii="Times New Roman" w:hAnsi="Times New Roman"/>
                <w:b/>
                <w:bCs/>
                <w:sz w:val="20"/>
              </w:rPr>
              <w:t>100</w:t>
            </w:r>
          </w:p>
        </w:tc>
      </w:tr>
    </w:tbl>
    <w:p w14:paraId="00439E2F" w14:textId="77777777" w:rsidR="007047DF" w:rsidRDefault="007047DF" w:rsidP="00577F9C">
      <w:pPr>
        <w:pStyle w:val="Bodytextreduced"/>
      </w:pPr>
    </w:p>
    <w:p w14:paraId="13E6E285" w14:textId="77777777" w:rsidR="00A64F2C" w:rsidRDefault="00A64F2C" w:rsidP="001451E2">
      <w:pPr>
        <w:pStyle w:val="Heading3"/>
      </w:pPr>
      <w:r>
        <w:t>Assumptions and Considerations</w:t>
      </w:r>
    </w:p>
    <w:p w14:paraId="1B8CCA68" w14:textId="18010BF9" w:rsidR="00A64F2C" w:rsidRDefault="00A64F2C" w:rsidP="00A64F2C">
      <w:pPr>
        <w:pStyle w:val="BodyText"/>
      </w:pPr>
      <w:r>
        <w:t xml:space="preserve">The NSILT estimates are based on the following assumptions and considerations: </w:t>
      </w:r>
    </w:p>
    <w:p w14:paraId="033DB334" w14:textId="0760E435" w:rsidR="00A64F2C" w:rsidRDefault="00A64F2C" w:rsidP="00577F9C">
      <w:pPr>
        <w:pStyle w:val="Bullet"/>
      </w:pPr>
      <w:r w:rsidRPr="00C12FDE">
        <w:rPr>
          <w:b/>
        </w:rPr>
        <w:t>NSILT Nitrogen Inputs</w:t>
      </w:r>
      <w:r>
        <w:t xml:space="preserve"> </w:t>
      </w:r>
      <w:r w:rsidRPr="00591276">
        <w:t>–</w:t>
      </w:r>
      <w:r>
        <w:t xml:space="preserve"> The methods used to estimate nitrogen inputs for each pollutant source were based on a detailed synthesis of information, including direct water quality measurements, census data, surveys, </w:t>
      </w:r>
      <w:r w:rsidR="00E97A34">
        <w:t xml:space="preserve">WWTF </w:t>
      </w:r>
      <w:r>
        <w:t xml:space="preserve">permits, published scientific studies and reports, and information obtained in meetings with agricultural producers. For some pollutant source categories, nitrogen inputs </w:t>
      </w:r>
      <w:r w:rsidR="007A5AC6">
        <w:t xml:space="preserve">were </w:t>
      </w:r>
      <w:r w:rsidR="004A0EAE">
        <w:t>obtained</w:t>
      </w:r>
      <w:r>
        <w:t xml:space="preserve"> using assumptions and extrapolations, and as a result, </w:t>
      </w:r>
      <w:r w:rsidR="007A5AC6">
        <w:t xml:space="preserve">these </w:t>
      </w:r>
      <w:r>
        <w:t>inputs could be subject to further refinement if more detailed information becomes available.</w:t>
      </w:r>
    </w:p>
    <w:p w14:paraId="711086F0" w14:textId="7C9C8850" w:rsidR="00A64F2C" w:rsidRDefault="00A64F2C" w:rsidP="00577F9C">
      <w:pPr>
        <w:pStyle w:val="Bullet"/>
      </w:pPr>
      <w:r w:rsidRPr="00C12FDE">
        <w:rPr>
          <w:b/>
        </w:rPr>
        <w:t>OSTDS Load Contribution</w:t>
      </w:r>
      <w:r>
        <w:rPr>
          <w:b/>
        </w:rPr>
        <w:t xml:space="preserve"> </w:t>
      </w:r>
      <w:r w:rsidRPr="00591276">
        <w:t>–</w:t>
      </w:r>
      <w:r>
        <w:t xml:space="preserve"> A per capita contribution to an OSTDS of 9.012 lb-N/yr was used to calculate loading from OSTDS. The average household contribution was estimated based on 2010 U.S. Census </w:t>
      </w:r>
      <w:r w:rsidR="007A5AC6">
        <w:t xml:space="preserve">Bureau data </w:t>
      </w:r>
      <w:r>
        <w:t xml:space="preserve">on </w:t>
      </w:r>
      <w:r w:rsidR="007A5AC6">
        <w:t xml:space="preserve">the </w:t>
      </w:r>
      <w:r>
        <w:t xml:space="preserve">average </w:t>
      </w:r>
      <w:r w:rsidR="007A5AC6">
        <w:t>number of people</w:t>
      </w:r>
      <w:r>
        <w:t xml:space="preserve"> per household for </w:t>
      </w:r>
      <w:r w:rsidR="00E97A34">
        <w:t>Jackson County</w:t>
      </w:r>
      <w:r w:rsidR="00637701">
        <w:t xml:space="preserve"> of 2.86 persons</w:t>
      </w:r>
      <w:r>
        <w:t>.</w:t>
      </w:r>
    </w:p>
    <w:p w14:paraId="312C7063" w14:textId="64AF0ABD" w:rsidR="00A64F2C" w:rsidRDefault="00A64F2C" w:rsidP="000622A2">
      <w:pPr>
        <w:pStyle w:val="Bullet"/>
      </w:pPr>
      <w:r w:rsidRPr="00637701">
        <w:rPr>
          <w:b/>
        </w:rPr>
        <w:t>Nitrogen Attenuation Factors</w:t>
      </w:r>
      <w:r>
        <w:t xml:space="preserve"> </w:t>
      </w:r>
      <w:r w:rsidRPr="00591276">
        <w:t>–</w:t>
      </w:r>
      <w:bookmarkStart w:id="77" w:name="_Hlk501637965"/>
      <w:r w:rsidR="00AD7FF2">
        <w:t xml:space="preserve">To estimate the amount of nitrogen loading to the aquifer, DEP applied two nitrogen attenuation factors. </w:t>
      </w:r>
      <w:r w:rsidR="00D65AE8">
        <w:t>B</w:t>
      </w:r>
      <w:r>
        <w:t>iological and chemical processes that occur as part of the nitrogen cycle, as well as hydrogeological processes</w:t>
      </w:r>
      <w:r w:rsidR="00D65AE8">
        <w:t>, control the movement of nitrogen from the land surface to groundwater</w:t>
      </w:r>
      <w:r>
        <w:t xml:space="preserve">. </w:t>
      </w:r>
      <w:r w:rsidR="0026471E">
        <w:t>B</w:t>
      </w:r>
      <w:r>
        <w:t>iochemical attenuation account</w:t>
      </w:r>
      <w:r w:rsidR="007A5AC6">
        <w:t>s</w:t>
      </w:r>
      <w:r>
        <w:t xml:space="preserve"> for biochemical processes that convert or transform the different forms of nitrogen</w:t>
      </w:r>
      <w:r w:rsidR="007A5AC6">
        <w:t xml:space="preserve">, while </w:t>
      </w:r>
      <w:r>
        <w:t>hydrogeological attenuation account</w:t>
      </w:r>
      <w:r w:rsidR="007A5AC6">
        <w:t>s</w:t>
      </w:r>
      <w:r>
        <w:t xml:space="preserve"> for spatial variations that affect the rate of water infiltrating through geologic</w:t>
      </w:r>
      <w:r w:rsidR="00B805DC">
        <w:t>al</w:t>
      </w:r>
      <w:r>
        <w:t xml:space="preserve"> media to recharge the UFA</w:t>
      </w:r>
      <w:bookmarkEnd w:id="77"/>
      <w:r>
        <w:t>.</w:t>
      </w:r>
      <w:r w:rsidR="00637701">
        <w:t xml:space="preserve"> </w:t>
      </w:r>
      <w:r>
        <w:t xml:space="preserve">Given the relatively large range of literature-reported values of </w:t>
      </w:r>
      <w:r w:rsidR="00BA690F">
        <w:t xml:space="preserve">biochemical </w:t>
      </w:r>
      <w:r>
        <w:t>nitrogen attenuation for each source category, DEP use</w:t>
      </w:r>
      <w:r w:rsidR="00F92752">
        <w:t>d</w:t>
      </w:r>
      <w:r>
        <w:t xml:space="preserve"> an average </w:t>
      </w:r>
      <w:r w:rsidR="00BA690F">
        <w:t xml:space="preserve">biochemical </w:t>
      </w:r>
      <w:r>
        <w:t xml:space="preserve">attenuation factor for each source based on land use practices and hydrogeological conditions </w:t>
      </w:r>
      <w:r w:rsidR="00637701">
        <w:t xml:space="preserve">(i.e., recharge) </w:t>
      </w:r>
      <w:r>
        <w:t>in the contributing areas.</w:t>
      </w:r>
      <w:bookmarkStart w:id="78" w:name="_Hlk479840066"/>
    </w:p>
    <w:bookmarkEnd w:id="78"/>
    <w:p w14:paraId="10E052FF" w14:textId="55CA0AF5" w:rsidR="00A64F2C" w:rsidRDefault="00A64F2C" w:rsidP="00146148">
      <w:pPr>
        <w:pStyle w:val="BodyText"/>
      </w:pPr>
      <w:r w:rsidRPr="00AC2B3B">
        <w:t xml:space="preserve">Other assumptions and considerations </w:t>
      </w:r>
      <w:r>
        <w:t xml:space="preserve">for BMAP implementation </w:t>
      </w:r>
      <w:r w:rsidRPr="00AC2B3B">
        <w:t>include</w:t>
      </w:r>
      <w:r w:rsidR="00D65AE8">
        <w:t xml:space="preserve"> the following</w:t>
      </w:r>
      <w:r w:rsidRPr="00AC2B3B">
        <w:t>:</w:t>
      </w:r>
    </w:p>
    <w:p w14:paraId="26B06A90" w14:textId="50A6917A" w:rsidR="009657A0" w:rsidRDefault="00A64F2C" w:rsidP="00577F9C">
      <w:pPr>
        <w:pStyle w:val="Bullet"/>
      </w:pPr>
      <w:r w:rsidRPr="00FA7499">
        <w:rPr>
          <w:b/>
        </w:rPr>
        <w:t>Unquantified Project Benefits</w:t>
      </w:r>
      <w:r>
        <w:t xml:space="preserve"> – </w:t>
      </w:r>
      <w:r w:rsidR="00FA7499">
        <w:t>Nitrogen reductions for some of the projects and activities listed in this BMAP cannot currently be quantified. However, because of their positive impact, it is assumed that these actions will help reduce pollutant loads, and estimated loading reductions may be determined at a later date and assigned to these activities.</w:t>
      </w:r>
    </w:p>
    <w:p w14:paraId="14642051" w14:textId="2508609F" w:rsidR="00A64F2C" w:rsidRPr="00756205" w:rsidRDefault="00A64F2C" w:rsidP="00577F9C">
      <w:pPr>
        <w:pStyle w:val="Bullet"/>
      </w:pPr>
      <w:r w:rsidRPr="00FA7499">
        <w:rPr>
          <w:b/>
        </w:rPr>
        <w:t>Atmospheric Deposition</w:t>
      </w:r>
      <w:r w:rsidRPr="00756205">
        <w:t xml:space="preserve"> –</w:t>
      </w:r>
      <w:bookmarkStart w:id="79" w:name="_Hlk481068187"/>
      <w:r>
        <w:t xml:space="preserve"> </w:t>
      </w:r>
      <w:r w:rsidR="00065C68">
        <w:t>Atmospheric</w:t>
      </w:r>
      <w:r>
        <w:t xml:space="preserve"> sources of nitrogen are local, national, and international. Atmospheric sources are generally of low nitrogen concentration </w:t>
      </w:r>
      <w:r w:rsidR="00FA7499">
        <w:t>compared with</w:t>
      </w:r>
      <w:r>
        <w:t xml:space="preserve"> other sources and are further diminished through additional biological and chemical processes before they reach groundwater. </w:t>
      </w:r>
      <w:r w:rsidR="00FB1C2B">
        <w:t xml:space="preserve">Atmospheric deposition sources and trends will be reevaluated </w:t>
      </w:r>
      <w:r w:rsidR="00AD5D36">
        <w:t>periodically</w:t>
      </w:r>
      <w:r w:rsidR="00FB1C2B">
        <w:t>.</w:t>
      </w:r>
    </w:p>
    <w:bookmarkEnd w:id="79"/>
    <w:p w14:paraId="603877F3" w14:textId="6B782597" w:rsidR="00A64F2C" w:rsidRDefault="00A64F2C" w:rsidP="00577F9C">
      <w:pPr>
        <w:pStyle w:val="Bullet"/>
      </w:pPr>
      <w:r w:rsidRPr="00C12FDE">
        <w:rPr>
          <w:b/>
        </w:rPr>
        <w:t>OSTDS Inventory and Loading Calculations</w:t>
      </w:r>
      <w:r>
        <w:t xml:space="preserve"> –</w:t>
      </w:r>
      <w:r w:rsidRPr="008D2B19">
        <w:t xml:space="preserve"> </w:t>
      </w:r>
      <w:r>
        <w:t xml:space="preserve">The total number of OSTDS in the basin is estimated based on local information and </w:t>
      </w:r>
      <w:r w:rsidR="006E38E7">
        <w:t>Florida Department of Health (</w:t>
      </w:r>
      <w:r>
        <w:t>FDOH</w:t>
      </w:r>
      <w:r w:rsidR="006E38E7">
        <w:t>)</w:t>
      </w:r>
      <w:r>
        <w:t xml:space="preserve"> data. Future BMAPs and the associated OSTDS loading calculations may be adjusted based on improved data on the number and location of existing septic systems, </w:t>
      </w:r>
      <w:r w:rsidR="00351B9B">
        <w:t>and may</w:t>
      </w:r>
      <w:r>
        <w:t xml:space="preserve"> include additional OSTDS installed since BMAP adoption.</w:t>
      </w:r>
    </w:p>
    <w:p w14:paraId="42283F2D" w14:textId="4A05B0B9" w:rsidR="00451EAD" w:rsidRDefault="00451EAD" w:rsidP="00451EAD">
      <w:pPr>
        <w:pStyle w:val="Bullet"/>
      </w:pPr>
      <w:bookmarkStart w:id="80" w:name="_Hlk496873214"/>
      <w:r>
        <w:rPr>
          <w:b/>
        </w:rPr>
        <w:t>PFA</w:t>
      </w:r>
      <w:r>
        <w:t xml:space="preserve"> – The PFA provides a guide for focusing strategies where science suggests efforts will best benefit the springs. The PFA boundary </w:t>
      </w:r>
      <w:r w:rsidR="00AD5D36">
        <w:t xml:space="preserve">may be adjusted in the future if additional relevant information becomes available. </w:t>
      </w:r>
    </w:p>
    <w:bookmarkEnd w:id="80"/>
    <w:p w14:paraId="715E8BC7" w14:textId="30941651" w:rsidR="00A64F2C" w:rsidRDefault="00A64F2C" w:rsidP="00577F9C">
      <w:pPr>
        <w:pStyle w:val="Bullet"/>
      </w:pPr>
      <w:r w:rsidRPr="00C12FDE">
        <w:rPr>
          <w:b/>
        </w:rPr>
        <w:t>Project Collection Period</w:t>
      </w:r>
      <w:r>
        <w:rPr>
          <w:b/>
        </w:rPr>
        <w:t xml:space="preserve"> </w:t>
      </w:r>
      <w:r w:rsidRPr="00B755B0">
        <w:rPr>
          <w:b/>
        </w:rPr>
        <w:t>–</w:t>
      </w:r>
      <w:r>
        <w:rPr>
          <w:b/>
        </w:rPr>
        <w:t xml:space="preserve"> </w:t>
      </w:r>
      <w:r w:rsidR="00197E33">
        <w:t>The BMAP project collection period is limited to p</w:t>
      </w:r>
      <w:r w:rsidR="00197E33" w:rsidRPr="00562BBA">
        <w:t>rojec</w:t>
      </w:r>
      <w:r w:rsidR="00197E33">
        <w:t>ts after a certain date, based on the data used to calculate the reductions needed. Reductions from older projects are already accounted for in the baseline loading.</w:t>
      </w:r>
      <w:r w:rsidR="00197E33" w:rsidRPr="00562BBA">
        <w:t xml:space="preserve"> </w:t>
      </w:r>
      <w:r w:rsidRPr="00B755B0">
        <w:t>Project</w:t>
      </w:r>
      <w:r>
        <w:t>s completed in the springshed</w:t>
      </w:r>
      <w:r w:rsidRPr="00B755B0">
        <w:t xml:space="preserve"> </w:t>
      </w:r>
      <w:r w:rsidR="00B805DC">
        <w:t>a</w:t>
      </w:r>
      <w:r w:rsidR="00197E33">
        <w:t>fter</w:t>
      </w:r>
      <w:r w:rsidRPr="00B755B0">
        <w:t xml:space="preserve"> </w:t>
      </w:r>
      <w:r w:rsidR="00176D72">
        <w:t>J</w:t>
      </w:r>
      <w:r w:rsidR="00C10426">
        <w:t>uly</w:t>
      </w:r>
      <w:r w:rsidR="00176D72">
        <w:t xml:space="preserve"> 1, 2007</w:t>
      </w:r>
      <w:r w:rsidR="00B805DC">
        <w:t>,</w:t>
      </w:r>
      <w:r w:rsidRPr="00B755B0">
        <w:t xml:space="preserve"> w</w:t>
      </w:r>
      <w:r>
        <w:t>ere considered for inclusion in this</w:t>
      </w:r>
      <w:r w:rsidRPr="00B755B0">
        <w:t xml:space="preserve"> BMAP</w:t>
      </w:r>
      <w:r w:rsidR="00197E33">
        <w:t xml:space="preserve">. </w:t>
      </w:r>
    </w:p>
    <w:p w14:paraId="53253DB7" w14:textId="052C135B" w:rsidR="00A64F2C" w:rsidRDefault="00A64F2C" w:rsidP="00577F9C">
      <w:pPr>
        <w:pStyle w:val="Bullet"/>
      </w:pPr>
      <w:r w:rsidRPr="00C12FDE">
        <w:rPr>
          <w:b/>
        </w:rPr>
        <w:t>Legacy Sources</w:t>
      </w:r>
      <w:r>
        <w:t xml:space="preserve"> – Land uses or management practices not currently active in the basin may still be affecting the nitrate concentration of the springs. The movement of water from the land surface through the soil column to the UFA and through the UFA to the spring system varies both spatially and temporally and is influenced by local soil and aquifer conditions. </w:t>
      </w:r>
      <w:r w:rsidR="00B805DC">
        <w:t>As a result,</w:t>
      </w:r>
      <w:r>
        <w:t xml:space="preserve"> there may be a </w:t>
      </w:r>
      <w:r w:rsidR="007A5AC6">
        <w:t>delay</w:t>
      </w:r>
      <w:r>
        <w:t xml:space="preserve"> between when nitrogen input to the UFA occur</w:t>
      </w:r>
      <w:r w:rsidR="007A5AC6">
        <w:t>s</w:t>
      </w:r>
      <w:r>
        <w:t xml:space="preserve"> and when that load </w:t>
      </w:r>
      <w:r w:rsidR="0026471E">
        <w:t xml:space="preserve">ultimately </w:t>
      </w:r>
      <w:r>
        <w:t xml:space="preserve">arrives at </w:t>
      </w:r>
      <w:r w:rsidR="007A5AC6">
        <w:t>an</w:t>
      </w:r>
      <w:r>
        <w:t xml:space="preserve"> OFS. The impact of this delay is not fully understood</w:t>
      </w:r>
      <w:r w:rsidR="00197E33">
        <w:t xml:space="preserve"> known</w:t>
      </w:r>
      <w:r>
        <w:t>.</w:t>
      </w:r>
    </w:p>
    <w:p w14:paraId="56BD6906" w14:textId="2FAD4CD9" w:rsidR="00A64F2C" w:rsidRDefault="00A64F2C" w:rsidP="00577F9C">
      <w:pPr>
        <w:pStyle w:val="Bullet"/>
      </w:pPr>
      <w:r w:rsidRPr="00C12FDE">
        <w:rPr>
          <w:b/>
        </w:rPr>
        <w:t>Implementation Schedule</w:t>
      </w:r>
      <w:r w:rsidRPr="00141612">
        <w:t xml:space="preserve"> – BMAP implementation </w:t>
      </w:r>
      <w:r>
        <w:t xml:space="preserve">is </w:t>
      </w:r>
      <w:r w:rsidRPr="00141612">
        <w:t xml:space="preserve">a </w:t>
      </w:r>
      <w:r>
        <w:t>20-year</w:t>
      </w:r>
      <w:r w:rsidRPr="00141612">
        <w:t xml:space="preserve"> process. </w:t>
      </w:r>
      <w:r>
        <w:t xml:space="preserve">This plan defines nitrogen reduction milestones for 5-year (30 %), 10-year </w:t>
      </w:r>
      <w:r w:rsidR="0026471E">
        <w:br/>
      </w:r>
      <w:r>
        <w:t>(50 %)</w:t>
      </w:r>
      <w:r w:rsidR="00B805DC">
        <w:t>,</w:t>
      </w:r>
      <w:r>
        <w:t xml:space="preserve"> and 15-year (20</w:t>
      </w:r>
      <w:r w:rsidR="004625C1">
        <w:t xml:space="preserve"> </w:t>
      </w:r>
      <w:r>
        <w:t>%) implementation, so that the TMDL</w:t>
      </w:r>
      <w:r w:rsidR="008B7BDA">
        <w:t>s</w:t>
      </w:r>
      <w:r>
        <w:t xml:space="preserve"> will be met no later than the 20-year goal (see</w:t>
      </w:r>
      <w:r w:rsidR="001809F1">
        <w:t xml:space="preserve"> </w:t>
      </w:r>
      <w:r w:rsidR="001809F1" w:rsidRPr="001809F1">
        <w:rPr>
          <w:b/>
        </w:rPr>
        <w:t>Section</w:t>
      </w:r>
      <w:r w:rsidRPr="001809F1">
        <w:rPr>
          <w:b/>
        </w:rPr>
        <w:t xml:space="preserve"> </w:t>
      </w:r>
      <w:r w:rsidR="00EA1B1F">
        <w:rPr>
          <w:b/>
        </w:rPr>
        <w:t>2.1.6</w:t>
      </w:r>
      <w:r w:rsidR="00544E53">
        <w:rPr>
          <w:b/>
        </w:rPr>
        <w:t xml:space="preserve"> </w:t>
      </w:r>
      <w:r>
        <w:t>for further details). Further, the total reductions and project credits may be adjusted under t</w:t>
      </w:r>
      <w:r w:rsidRPr="00141612">
        <w:t xml:space="preserve">he adaptive management approach used for </w:t>
      </w:r>
      <w:r w:rsidR="00D15BC5">
        <w:t>the</w:t>
      </w:r>
      <w:r w:rsidRPr="00141612">
        <w:t xml:space="preserve"> BMAP</w:t>
      </w:r>
      <w:r>
        <w:t>. This approach</w:t>
      </w:r>
      <w:r w:rsidRPr="00141612">
        <w:t xml:space="preserve"> requires regular follow-up to ensure that management strategies are carried out and that their incremental effects are assessed. This </w:t>
      </w:r>
      <w:r>
        <w:t>process</w:t>
      </w:r>
      <w:r w:rsidRPr="00141612">
        <w:t xml:space="preserve"> acknowledges that there is some uncertainty associated with the outcomes of proposed management strategies</w:t>
      </w:r>
      <w:r>
        <w:t xml:space="preserve"> and the estimated response of concentration at the springs</w:t>
      </w:r>
      <w:r w:rsidRPr="00141612">
        <w:t>. As more information is gathered</w:t>
      </w:r>
      <w:r w:rsidR="00197E33" w:rsidRPr="00197E33">
        <w:t xml:space="preserve"> </w:t>
      </w:r>
      <w:r w:rsidR="00197E33">
        <w:t>and progress towards each 5-year milestone is reviewed</w:t>
      </w:r>
      <w:r w:rsidRPr="00141612">
        <w:t>, additional management strategies to achieve the TMDL</w:t>
      </w:r>
      <w:r>
        <w:t>s</w:t>
      </w:r>
      <w:r w:rsidRPr="00141612">
        <w:t xml:space="preserve"> will be developed or existing strategies refined to better address the</w:t>
      </w:r>
      <w:r>
        <w:t xml:space="preserve"> sources of nitrogen loading.</w:t>
      </w:r>
    </w:p>
    <w:p w14:paraId="628A8596" w14:textId="029C3155" w:rsidR="002C2B01" w:rsidRDefault="00A64F2C" w:rsidP="002C2B01">
      <w:pPr>
        <w:pStyle w:val="Bullet"/>
      </w:pPr>
      <w:r w:rsidRPr="00C12FDE">
        <w:rPr>
          <w:b/>
        </w:rPr>
        <w:t>Changes in Spring Flows</w:t>
      </w:r>
      <w:r w:rsidRPr="00141612">
        <w:t xml:space="preserve"> – The role of this BMAP is </w:t>
      </w:r>
      <w:r>
        <w:t xml:space="preserve">specifically </w:t>
      </w:r>
      <w:r w:rsidRPr="00141612">
        <w:t xml:space="preserve">to promote the implementation of </w:t>
      </w:r>
      <w:r w:rsidR="002C2B01">
        <w:t xml:space="preserve">projects that reduce </w:t>
      </w:r>
      <w:r w:rsidR="00065C68">
        <w:t xml:space="preserve">the </w:t>
      </w:r>
      <w:r w:rsidR="002C2B01">
        <w:t xml:space="preserve">nitrogen load to </w:t>
      </w:r>
      <w:r w:rsidR="00E56ACE">
        <w:t>groundwater,</w:t>
      </w:r>
      <w:r w:rsidRPr="00141612">
        <w:t xml:space="preserve"> while the minimum flow</w:t>
      </w:r>
      <w:r>
        <w:t>s</w:t>
      </w:r>
      <w:r w:rsidRPr="00141612">
        <w:t xml:space="preserve"> </w:t>
      </w:r>
      <w:r>
        <w:t xml:space="preserve">and </w:t>
      </w:r>
      <w:r w:rsidRPr="00141612">
        <w:t>level</w:t>
      </w:r>
      <w:r>
        <w:t>s</w:t>
      </w:r>
      <w:r w:rsidRPr="00141612">
        <w:t xml:space="preserve"> (MFL</w:t>
      </w:r>
      <w:r>
        <w:t>s</w:t>
      </w:r>
      <w:r w:rsidRPr="00141612">
        <w:t xml:space="preserve">) </w:t>
      </w:r>
      <w:r>
        <w:t xml:space="preserve">established for specific springs </w:t>
      </w:r>
      <w:r w:rsidRPr="00141612">
        <w:t>address water flows and levels.</w:t>
      </w:r>
      <w:r w:rsidR="002C2B01">
        <w:t xml:space="preserve"> To maximize efforts between the two programs, spring protection projects should provide both water quality and quantity benefits.</w:t>
      </w:r>
    </w:p>
    <w:bookmarkEnd w:id="74"/>
    <w:p w14:paraId="59833E56" w14:textId="7911D894" w:rsidR="00C83A70" w:rsidRPr="009D6B31" w:rsidRDefault="00563A90" w:rsidP="001451E2">
      <w:pPr>
        <w:pStyle w:val="Heading3"/>
      </w:pPr>
      <w:r>
        <w:t>Loading by Source</w:t>
      </w:r>
    </w:p>
    <w:p w14:paraId="2A61F823" w14:textId="2D88F2BB" w:rsidR="00CE6FA8" w:rsidRDefault="00563A90" w:rsidP="00E23D28">
      <w:pPr>
        <w:pStyle w:val="BodyText"/>
      </w:pPr>
      <w:bookmarkStart w:id="81" w:name="_Ref460401342"/>
      <w:bookmarkStart w:id="82" w:name="_Ref460401356"/>
      <w:bookmarkStart w:id="83" w:name="_Toc475022071"/>
      <w:bookmarkStart w:id="84" w:name="_Toc422152962"/>
      <w:bookmarkStart w:id="85" w:name="_Ref366663958"/>
      <w:bookmarkStart w:id="86" w:name="_Ref329608521"/>
      <w:r>
        <w:t xml:space="preserve">From the </w:t>
      </w:r>
      <w:r w:rsidR="00850E4C">
        <w:t>Jackson Blue</w:t>
      </w:r>
      <w:r w:rsidR="00176D72">
        <w:t xml:space="preserve"> </w:t>
      </w:r>
      <w:r>
        <w:t xml:space="preserve">NSILT estimates, the pie chart </w:t>
      </w:r>
      <w:r w:rsidR="00D15BC5">
        <w:t>in</w:t>
      </w:r>
      <w:r>
        <w:t xml:space="preserve"> </w:t>
      </w:r>
      <w:r w:rsidR="009025B5">
        <w:rPr>
          <w:b/>
        </w:rPr>
        <w:t xml:space="preserve">Figure </w:t>
      </w:r>
      <w:r w:rsidR="00850E4C">
        <w:rPr>
          <w:b/>
        </w:rPr>
        <w:t>2</w:t>
      </w:r>
      <w:r w:rsidR="00777633">
        <w:t xml:space="preserve"> </w:t>
      </w:r>
      <w:r>
        <w:t xml:space="preserve">depict the estimated percentage of nitrogen loading to groundwater by source in the </w:t>
      </w:r>
      <w:r w:rsidR="0036626C">
        <w:t>BMAP area</w:t>
      </w:r>
      <w:r w:rsidR="00850E4C">
        <w:t>. Irrigated and non-irrigated</w:t>
      </w:r>
      <w:r>
        <w:t xml:space="preserve"> F</w:t>
      </w:r>
      <w:r w:rsidR="00943A11">
        <w:t>F</w:t>
      </w:r>
      <w:r w:rsidR="001E1B0E">
        <w:t xml:space="preserve"> </w:t>
      </w:r>
      <w:r>
        <w:t xml:space="preserve">are responsible for 85 % of </w:t>
      </w:r>
      <w:r w:rsidRPr="008B7088">
        <w:t xml:space="preserve">the nitrogen sources in </w:t>
      </w:r>
      <w:r w:rsidR="00850E4C">
        <w:t>the BMAP area</w:t>
      </w:r>
      <w:r w:rsidRPr="008B7088">
        <w:t>. Stormwater loading to groundwater is incorporated in</w:t>
      </w:r>
      <w:r w:rsidR="007A5AC6" w:rsidRPr="008B7088">
        <w:t>to</w:t>
      </w:r>
      <w:r w:rsidRPr="008B7088">
        <w:t xml:space="preserve"> the </w:t>
      </w:r>
      <w:r w:rsidR="00821633" w:rsidRPr="008B7088">
        <w:t>various</w:t>
      </w:r>
      <w:r w:rsidRPr="008B7088">
        <w:t xml:space="preserve"> source</w:t>
      </w:r>
      <w:r>
        <w:t xml:space="preserve"> categories</w:t>
      </w:r>
      <w:r w:rsidR="006538F4">
        <w:t>.</w:t>
      </w:r>
      <w:bookmarkEnd w:id="81"/>
      <w:bookmarkEnd w:id="82"/>
      <w:bookmarkEnd w:id="83"/>
    </w:p>
    <w:p w14:paraId="79D4C2A7" w14:textId="7B19375F" w:rsidR="0036626C" w:rsidRPr="0036626C" w:rsidRDefault="00197E33" w:rsidP="00BE5A45">
      <w:pPr>
        <w:pStyle w:val="BodyText"/>
        <w:jc w:val="center"/>
      </w:pPr>
      <w:r>
        <w:rPr>
          <w:noProof/>
        </w:rPr>
        <w:drawing>
          <wp:inline distT="0" distB="0" distL="0" distR="0" wp14:anchorId="32BF8147" wp14:editId="7C82A168">
            <wp:extent cx="5614325" cy="470979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kson Blue Loading pie chart May 3ish 2018.jpg"/>
                    <pic:cNvPicPr/>
                  </pic:nvPicPr>
                  <pic:blipFill>
                    <a:blip r:embed="rId14">
                      <a:extLst>
                        <a:ext uri="{28A0092B-C50C-407E-A947-70E740481C1C}">
                          <a14:useLocalDpi xmlns:a14="http://schemas.microsoft.com/office/drawing/2010/main" val="0"/>
                        </a:ext>
                      </a:extLst>
                    </a:blip>
                    <a:stretch>
                      <a:fillRect/>
                    </a:stretch>
                  </pic:blipFill>
                  <pic:spPr>
                    <a:xfrm>
                      <a:off x="0" y="0"/>
                      <a:ext cx="5617842" cy="4712746"/>
                    </a:xfrm>
                    <a:prstGeom prst="rect">
                      <a:avLst/>
                    </a:prstGeom>
                  </pic:spPr>
                </pic:pic>
              </a:graphicData>
            </a:graphic>
          </wp:inline>
        </w:drawing>
      </w:r>
    </w:p>
    <w:p w14:paraId="6A80360B" w14:textId="16F225A7" w:rsidR="00777633" w:rsidRDefault="00777633" w:rsidP="001473CD">
      <w:pPr>
        <w:pStyle w:val="Bodytextreduced"/>
      </w:pPr>
      <w:bookmarkStart w:id="87" w:name="_Toc479941188"/>
    </w:p>
    <w:p w14:paraId="5DF53E57" w14:textId="50894A8D" w:rsidR="007A5AC6" w:rsidRDefault="00250EA7" w:rsidP="00250EA7">
      <w:pPr>
        <w:pStyle w:val="Caption"/>
      </w:pPr>
      <w:bookmarkStart w:id="88" w:name="_Toc511132594"/>
      <w:bookmarkStart w:id="89" w:name="_Toc514430777"/>
      <w:r>
        <w:t xml:space="preserve">Figure </w:t>
      </w:r>
      <w:fldSimple w:instr=" SEQ Figure \* ARABIC ">
        <w:r w:rsidR="002A2E30">
          <w:rPr>
            <w:noProof/>
          </w:rPr>
          <w:t>2</w:t>
        </w:r>
      </w:fldSimple>
      <w:r>
        <w:t xml:space="preserve">. </w:t>
      </w:r>
      <w:r w:rsidR="000F21BD">
        <w:t xml:space="preserve">Loading to groundwater by source in the </w:t>
      </w:r>
      <w:bookmarkEnd w:id="87"/>
      <w:r w:rsidR="0036626C">
        <w:t>BMAP area</w:t>
      </w:r>
      <w:bookmarkEnd w:id="88"/>
      <w:bookmarkEnd w:id="89"/>
    </w:p>
    <w:p w14:paraId="129B3C8D" w14:textId="77777777" w:rsidR="00101FF7" w:rsidRDefault="00101FF7" w:rsidP="00101FF7">
      <w:pPr>
        <w:pStyle w:val="BodyText"/>
      </w:pPr>
    </w:p>
    <w:p w14:paraId="13AC08ED" w14:textId="4DB80981" w:rsidR="002B6C7C" w:rsidRDefault="00197E33" w:rsidP="001451E2">
      <w:pPr>
        <w:pStyle w:val="Heading3"/>
      </w:pPr>
      <w:r>
        <w:t xml:space="preserve">Loading </w:t>
      </w:r>
      <w:r w:rsidR="00101FF7">
        <w:t>Al</w:t>
      </w:r>
      <w:r w:rsidR="009413B0">
        <w:t>location</w:t>
      </w:r>
    </w:p>
    <w:p w14:paraId="4E5C628C" w14:textId="6545440A" w:rsidR="00101FF7" w:rsidRDefault="009413B0" w:rsidP="00510289">
      <w:pPr>
        <w:pStyle w:val="BodyText"/>
      </w:pPr>
      <w:bookmarkStart w:id="90" w:name="_Hlk481067152"/>
      <w:r w:rsidRPr="008B7088">
        <w:t>The nitrogen source redu</w:t>
      </w:r>
      <w:r w:rsidR="00777633" w:rsidRPr="008B7088">
        <w:t xml:space="preserve">ctions are based on the </w:t>
      </w:r>
      <w:bookmarkEnd w:id="90"/>
      <w:r w:rsidR="00B126BE" w:rsidRPr="008B7088">
        <w:t>measured</w:t>
      </w:r>
      <w:r w:rsidRPr="008B7088">
        <w:t xml:space="preserve"> nitrate loads at the spring vent</w:t>
      </w:r>
      <w:r w:rsidR="00197E33">
        <w:t>, along with</w:t>
      </w:r>
      <w:r w:rsidRPr="008B7088">
        <w:t xml:space="preserve"> the TMDL </w:t>
      </w:r>
      <w:r>
        <w:t>target nitrate concentration</w:t>
      </w:r>
      <w:r w:rsidRPr="008662AB">
        <w:t xml:space="preserve">. </w:t>
      </w:r>
      <w:r w:rsidR="00197E33">
        <w:rPr>
          <w:b/>
        </w:rPr>
        <w:t xml:space="preserve">Table 4 </w:t>
      </w:r>
      <w:r w:rsidR="00197E33">
        <w:t>lists</w:t>
      </w:r>
      <w:r w:rsidR="00197E33" w:rsidRPr="008662AB">
        <w:t xml:space="preserve"> the </w:t>
      </w:r>
      <w:r w:rsidR="00197E33">
        <w:t>measured</w:t>
      </w:r>
      <w:r w:rsidR="00197E33" w:rsidRPr="008662AB">
        <w:t xml:space="preserve"> nitrate (as nitrogen) loads at the spring vent compared </w:t>
      </w:r>
      <w:r w:rsidR="00197E33">
        <w:t>with</w:t>
      </w:r>
      <w:r w:rsidR="00197E33" w:rsidRPr="008662AB">
        <w:t xml:space="preserve"> the TMDL loading based on </w:t>
      </w:r>
      <w:r w:rsidR="00197E33">
        <w:t>a target nitrate concentration of</w:t>
      </w:r>
      <w:r w:rsidR="00197E33" w:rsidRPr="008662AB">
        <w:t xml:space="preserve"> </w:t>
      </w:r>
      <w:r w:rsidR="00197E33" w:rsidRPr="00E7768B">
        <w:t>0.35</w:t>
      </w:r>
      <w:r w:rsidR="00197E33">
        <w:t xml:space="preserve"> </w:t>
      </w:r>
      <w:r w:rsidR="00197E33" w:rsidRPr="008662AB">
        <w:t xml:space="preserve">mg/L. </w:t>
      </w:r>
      <w:r w:rsidRPr="008662AB">
        <w:t>The difference between the spring vent loadin</w:t>
      </w:r>
      <w:r w:rsidR="00101FF7">
        <w:t>g and the TMDL loading estimate</w:t>
      </w:r>
      <w:r w:rsidRPr="008662AB">
        <w:t xml:space="preserve"> is the required reduction to meet the TMDLs.</w:t>
      </w:r>
      <w:r w:rsidR="00101FF7">
        <w:t xml:space="preserve"> </w:t>
      </w:r>
      <w:r w:rsidR="001C6653">
        <w:t>The total load that is required to be reduced in the basin is being allocated to the entire.</w:t>
      </w:r>
    </w:p>
    <w:p w14:paraId="29C388A6" w14:textId="77777777" w:rsidR="008941E0" w:rsidRPr="008941E0" w:rsidRDefault="008941E0" w:rsidP="008941E0"/>
    <w:p w14:paraId="20673FAE" w14:textId="373F51E0" w:rsidR="00510289" w:rsidRPr="00510289" w:rsidRDefault="00510289" w:rsidP="00510289">
      <w:pPr>
        <w:pStyle w:val="Caption"/>
      </w:pPr>
      <w:bookmarkStart w:id="91" w:name="_Toc514430954"/>
      <w:r>
        <w:t xml:space="preserve">Table </w:t>
      </w:r>
      <w:fldSimple w:instr=" SEQ Table \* ARABIC ">
        <w:r w:rsidR="002A2E30">
          <w:rPr>
            <w:noProof/>
          </w:rPr>
          <w:t>4</w:t>
        </w:r>
      </w:fldSimple>
      <w:r>
        <w:t>. Total reductions to meet the TMDLs</w:t>
      </w:r>
      <w:bookmarkEnd w:id="91"/>
    </w:p>
    <w:tbl>
      <w:tblPr>
        <w:tblW w:w="8190" w:type="dxa"/>
        <w:tblInd w:w="625" w:type="dxa"/>
        <w:tblCellMar>
          <w:top w:w="15" w:type="dxa"/>
          <w:bottom w:w="15" w:type="dxa"/>
        </w:tblCellMar>
        <w:tblLook w:val="04A0" w:firstRow="1" w:lastRow="0" w:firstColumn="1" w:lastColumn="0" w:noHBand="0" w:noVBand="1"/>
      </w:tblPr>
      <w:tblGrid>
        <w:gridCol w:w="2070"/>
        <w:gridCol w:w="1620"/>
        <w:gridCol w:w="4500"/>
      </w:tblGrid>
      <w:tr w:rsidR="00101FF7" w:rsidRPr="00101FF7" w14:paraId="61C2AE10" w14:textId="77777777" w:rsidTr="0033230E">
        <w:trPr>
          <w:trHeight w:val="452"/>
        </w:trPr>
        <w:tc>
          <w:tcPr>
            <w:tcW w:w="207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D106BD0" w14:textId="77777777" w:rsidR="00101FF7" w:rsidRPr="00101FF7" w:rsidRDefault="00101FF7" w:rsidP="0033230E">
            <w:pPr>
              <w:jc w:val="center"/>
              <w:rPr>
                <w:rFonts w:ascii="Times New Roman" w:hAnsi="Times New Roman"/>
                <w:b/>
                <w:bCs/>
                <w:color w:val="000000"/>
                <w:sz w:val="20"/>
              </w:rPr>
            </w:pPr>
            <w:bookmarkStart w:id="92" w:name="_Hlk501465098"/>
            <w:r w:rsidRPr="00101FF7">
              <w:rPr>
                <w:rFonts w:ascii="Times New Roman" w:hAnsi="Times New Roman"/>
                <w:b/>
                <w:bCs/>
                <w:color w:val="000000"/>
                <w:sz w:val="20"/>
              </w:rPr>
              <w:t>Description</w:t>
            </w:r>
          </w:p>
        </w:tc>
        <w:tc>
          <w:tcPr>
            <w:tcW w:w="16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4A04B4E6"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Nitrogen Loads (lb-N/yr)</w:t>
            </w:r>
          </w:p>
        </w:tc>
        <w:tc>
          <w:tcPr>
            <w:tcW w:w="45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319CA715"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 xml:space="preserve">Notes Regarding Data Used </w:t>
            </w:r>
          </w:p>
        </w:tc>
      </w:tr>
      <w:tr w:rsidR="00101FF7" w:rsidRPr="00101FF7" w14:paraId="4C002461" w14:textId="77777777" w:rsidTr="0033230E">
        <w:trPr>
          <w:trHeight w:val="500"/>
        </w:trPr>
        <w:tc>
          <w:tcPr>
            <w:tcW w:w="2070" w:type="dxa"/>
            <w:tcBorders>
              <w:top w:val="single" w:sz="4" w:space="0" w:color="auto"/>
              <w:left w:val="single" w:sz="4" w:space="0" w:color="auto"/>
              <w:bottom w:val="single" w:sz="4" w:space="0" w:color="auto"/>
              <w:right w:val="single" w:sz="4" w:space="0" w:color="auto"/>
            </w:tcBorders>
            <w:vAlign w:val="center"/>
            <w:hideMark/>
          </w:tcPr>
          <w:p w14:paraId="049C8910" w14:textId="0DAE2D40" w:rsidR="00101FF7" w:rsidRPr="00101FF7" w:rsidRDefault="00101FF7" w:rsidP="0033230E">
            <w:pPr>
              <w:jc w:val="center"/>
              <w:rPr>
                <w:rFonts w:ascii="Times New Roman" w:hAnsi="Times New Roman"/>
                <w:b/>
                <w:color w:val="000000"/>
                <w:sz w:val="20"/>
              </w:rPr>
            </w:pPr>
            <w:r w:rsidRPr="00101FF7">
              <w:rPr>
                <w:rFonts w:ascii="Times New Roman" w:hAnsi="Times New Roman"/>
                <w:b/>
                <w:color w:val="000000"/>
                <w:sz w:val="20"/>
              </w:rPr>
              <w:t>Total Load at Spring Vent</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0442D7D9" w14:textId="41D47DED" w:rsidR="00101FF7" w:rsidRPr="00101FF7" w:rsidRDefault="00101FF7" w:rsidP="0033230E">
            <w:pPr>
              <w:jc w:val="center"/>
              <w:rPr>
                <w:rFonts w:ascii="Times New Roman" w:hAnsi="Times New Roman"/>
                <w:color w:val="000000"/>
                <w:sz w:val="20"/>
              </w:rPr>
            </w:pPr>
            <w:r>
              <w:rPr>
                <w:rFonts w:ascii="Times New Roman" w:hAnsi="Times New Roman"/>
                <w:color w:val="000000"/>
                <w:sz w:val="20"/>
              </w:rPr>
              <w:t>719,234</w:t>
            </w:r>
          </w:p>
        </w:tc>
        <w:tc>
          <w:tcPr>
            <w:tcW w:w="4500" w:type="dxa"/>
            <w:tcBorders>
              <w:top w:val="single" w:sz="4" w:space="0" w:color="auto"/>
              <w:left w:val="single" w:sz="4" w:space="0" w:color="auto"/>
              <w:bottom w:val="single" w:sz="4" w:space="0" w:color="auto"/>
              <w:right w:val="single" w:sz="4" w:space="0" w:color="auto"/>
            </w:tcBorders>
            <w:vAlign w:val="center"/>
            <w:hideMark/>
          </w:tcPr>
          <w:p w14:paraId="135F59AE" w14:textId="08345E78" w:rsidR="00101FF7" w:rsidRPr="00101FF7" w:rsidRDefault="00101FF7" w:rsidP="0033230E">
            <w:pPr>
              <w:jc w:val="center"/>
              <w:rPr>
                <w:rFonts w:ascii="Times New Roman" w:hAnsi="Times New Roman"/>
                <w:color w:val="000000"/>
                <w:sz w:val="20"/>
              </w:rPr>
            </w:pPr>
            <w:r w:rsidRPr="00101FF7">
              <w:rPr>
                <w:rFonts w:ascii="Times New Roman" w:hAnsi="Times New Roman"/>
                <w:color w:val="000000"/>
                <w:sz w:val="20"/>
              </w:rPr>
              <w:t>Upper 95% confidence interval - nitrate data and flow data from 20</w:t>
            </w:r>
            <w:r>
              <w:rPr>
                <w:rFonts w:ascii="Times New Roman" w:hAnsi="Times New Roman"/>
                <w:color w:val="000000"/>
                <w:sz w:val="20"/>
              </w:rPr>
              <w:t>12</w:t>
            </w:r>
            <w:r w:rsidRPr="00101FF7">
              <w:rPr>
                <w:rFonts w:ascii="Times New Roman" w:hAnsi="Times New Roman"/>
                <w:color w:val="000000"/>
                <w:sz w:val="20"/>
              </w:rPr>
              <w:t xml:space="preserve"> to 2017 (</w:t>
            </w:r>
            <w:r>
              <w:rPr>
                <w:rFonts w:ascii="Times New Roman" w:hAnsi="Times New Roman"/>
                <w:color w:val="000000"/>
                <w:sz w:val="20"/>
              </w:rPr>
              <w:t>97.73</w:t>
            </w:r>
            <w:r w:rsidRPr="00101FF7">
              <w:rPr>
                <w:rFonts w:ascii="Times New Roman" w:hAnsi="Times New Roman"/>
                <w:color w:val="000000"/>
                <w:sz w:val="20"/>
              </w:rPr>
              <w:t xml:space="preserve"> </w:t>
            </w:r>
            <w:r w:rsidR="00B02FF5">
              <w:rPr>
                <w:rFonts w:ascii="Times New Roman" w:hAnsi="Times New Roman"/>
                <w:color w:val="000000"/>
                <w:sz w:val="20"/>
              </w:rPr>
              <w:t>cubic feet per second [</w:t>
            </w:r>
            <w:r w:rsidRPr="00101FF7">
              <w:rPr>
                <w:rFonts w:ascii="Times New Roman" w:hAnsi="Times New Roman"/>
                <w:color w:val="000000"/>
                <w:sz w:val="20"/>
              </w:rPr>
              <w:t>cfs</w:t>
            </w:r>
            <w:r w:rsidR="00B02FF5">
              <w:rPr>
                <w:rFonts w:ascii="Times New Roman" w:hAnsi="Times New Roman"/>
                <w:color w:val="000000"/>
                <w:sz w:val="20"/>
              </w:rPr>
              <w:t>]</w:t>
            </w:r>
            <w:r w:rsidRPr="00101FF7">
              <w:rPr>
                <w:rFonts w:ascii="Times New Roman" w:hAnsi="Times New Roman"/>
                <w:color w:val="000000"/>
                <w:sz w:val="20"/>
              </w:rPr>
              <w:t>)</w:t>
            </w:r>
          </w:p>
        </w:tc>
      </w:tr>
      <w:tr w:rsidR="00101FF7" w:rsidRPr="00101FF7" w14:paraId="06705031" w14:textId="77777777" w:rsidTr="0033230E">
        <w:trPr>
          <w:trHeight w:val="320"/>
        </w:trPr>
        <w:tc>
          <w:tcPr>
            <w:tcW w:w="2070" w:type="dxa"/>
            <w:tcBorders>
              <w:top w:val="single" w:sz="4" w:space="0" w:color="auto"/>
              <w:left w:val="single" w:sz="4" w:space="0" w:color="auto"/>
              <w:bottom w:val="single" w:sz="4" w:space="0" w:color="auto"/>
              <w:right w:val="single" w:sz="4" w:space="0" w:color="auto"/>
            </w:tcBorders>
            <w:vAlign w:val="center"/>
            <w:hideMark/>
          </w:tcPr>
          <w:p w14:paraId="3C80719C" w14:textId="77777777" w:rsidR="00101FF7" w:rsidRPr="00101FF7" w:rsidRDefault="00101FF7" w:rsidP="0033230E">
            <w:pPr>
              <w:jc w:val="center"/>
              <w:rPr>
                <w:rFonts w:ascii="Times New Roman" w:hAnsi="Times New Roman"/>
                <w:b/>
                <w:color w:val="000000"/>
                <w:sz w:val="20"/>
              </w:rPr>
            </w:pPr>
            <w:r w:rsidRPr="00101FF7">
              <w:rPr>
                <w:rFonts w:ascii="Times New Roman" w:hAnsi="Times New Roman"/>
                <w:b/>
                <w:color w:val="000000"/>
                <w:sz w:val="20"/>
              </w:rPr>
              <w:t>TMDL Load</w:t>
            </w:r>
          </w:p>
        </w:tc>
        <w:tc>
          <w:tcPr>
            <w:tcW w:w="1620" w:type="dxa"/>
            <w:tcBorders>
              <w:top w:val="single" w:sz="4" w:space="0" w:color="auto"/>
              <w:left w:val="single" w:sz="4" w:space="0" w:color="auto"/>
              <w:bottom w:val="single" w:sz="4" w:space="0" w:color="auto"/>
              <w:right w:val="single" w:sz="4" w:space="0" w:color="auto"/>
            </w:tcBorders>
            <w:noWrap/>
            <w:vAlign w:val="center"/>
            <w:hideMark/>
          </w:tcPr>
          <w:p w14:paraId="26933561" w14:textId="7150D782" w:rsidR="00101FF7" w:rsidRPr="00101FF7" w:rsidRDefault="00101FF7" w:rsidP="0033230E">
            <w:pPr>
              <w:jc w:val="center"/>
              <w:rPr>
                <w:rFonts w:ascii="Times New Roman" w:hAnsi="Times New Roman"/>
                <w:color w:val="000000"/>
                <w:sz w:val="20"/>
              </w:rPr>
            </w:pPr>
            <w:r>
              <w:rPr>
                <w:rFonts w:ascii="Times New Roman" w:hAnsi="Times New Roman"/>
                <w:color w:val="000000"/>
                <w:sz w:val="20"/>
              </w:rPr>
              <w:t>67,252</w:t>
            </w:r>
          </w:p>
        </w:tc>
        <w:tc>
          <w:tcPr>
            <w:tcW w:w="4500" w:type="dxa"/>
            <w:tcBorders>
              <w:top w:val="single" w:sz="4" w:space="0" w:color="auto"/>
              <w:left w:val="single" w:sz="4" w:space="0" w:color="auto"/>
              <w:bottom w:val="single" w:sz="4" w:space="0" w:color="auto"/>
              <w:right w:val="single" w:sz="4" w:space="0" w:color="auto"/>
            </w:tcBorders>
            <w:vAlign w:val="center"/>
            <w:hideMark/>
          </w:tcPr>
          <w:p w14:paraId="78739D8E" w14:textId="73346FBD" w:rsidR="00101FF7" w:rsidRPr="00101FF7" w:rsidRDefault="00101FF7" w:rsidP="0033230E">
            <w:pPr>
              <w:jc w:val="center"/>
              <w:rPr>
                <w:rFonts w:ascii="Times New Roman" w:hAnsi="Times New Roman"/>
                <w:color w:val="000000"/>
                <w:sz w:val="20"/>
              </w:rPr>
            </w:pPr>
            <w:r w:rsidRPr="00101FF7">
              <w:rPr>
                <w:rFonts w:ascii="Times New Roman" w:hAnsi="Times New Roman"/>
                <w:color w:val="000000"/>
                <w:sz w:val="20"/>
              </w:rPr>
              <w:t>TMDL target is 0.</w:t>
            </w:r>
            <w:r>
              <w:rPr>
                <w:rFonts w:ascii="Times New Roman" w:hAnsi="Times New Roman"/>
                <w:color w:val="000000"/>
                <w:sz w:val="20"/>
              </w:rPr>
              <w:t>35</w:t>
            </w:r>
            <w:r w:rsidRPr="00101FF7">
              <w:rPr>
                <w:rFonts w:ascii="Times New Roman" w:hAnsi="Times New Roman"/>
                <w:color w:val="000000"/>
                <w:sz w:val="20"/>
              </w:rPr>
              <w:t xml:space="preserve"> mg/L and using the same flow data from 20</w:t>
            </w:r>
            <w:r>
              <w:rPr>
                <w:rFonts w:ascii="Times New Roman" w:hAnsi="Times New Roman"/>
                <w:color w:val="000000"/>
                <w:sz w:val="20"/>
              </w:rPr>
              <w:t>12</w:t>
            </w:r>
            <w:r w:rsidRPr="00101FF7">
              <w:rPr>
                <w:rFonts w:ascii="Times New Roman" w:hAnsi="Times New Roman"/>
                <w:color w:val="000000"/>
                <w:sz w:val="20"/>
              </w:rPr>
              <w:t xml:space="preserve"> to 2017</w:t>
            </w:r>
          </w:p>
        </w:tc>
      </w:tr>
      <w:tr w:rsidR="00101FF7" w:rsidRPr="00101FF7" w14:paraId="4F0D1EDD" w14:textId="77777777" w:rsidTr="0033230E">
        <w:trPr>
          <w:trHeight w:val="320"/>
        </w:trPr>
        <w:tc>
          <w:tcPr>
            <w:tcW w:w="207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DC1282B" w14:textId="77777777" w:rsidR="00101FF7" w:rsidRPr="00101FF7" w:rsidRDefault="00101FF7" w:rsidP="0033230E">
            <w:pPr>
              <w:jc w:val="center"/>
              <w:rPr>
                <w:rFonts w:ascii="Times New Roman" w:hAnsi="Times New Roman"/>
                <w:b/>
                <w:bCs/>
                <w:color w:val="000000"/>
                <w:sz w:val="20"/>
              </w:rPr>
            </w:pPr>
            <w:r w:rsidRPr="00101FF7">
              <w:rPr>
                <w:rFonts w:ascii="Times New Roman" w:hAnsi="Times New Roman"/>
                <w:b/>
                <w:bCs/>
                <w:color w:val="000000"/>
                <w:sz w:val="20"/>
              </w:rPr>
              <w:t>Required Reduction</w:t>
            </w:r>
          </w:p>
        </w:tc>
        <w:tc>
          <w:tcPr>
            <w:tcW w:w="162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62EAE39" w14:textId="1D72406C" w:rsidR="00101FF7" w:rsidRPr="00101FF7" w:rsidRDefault="00101FF7" w:rsidP="0033230E">
            <w:pPr>
              <w:jc w:val="center"/>
              <w:rPr>
                <w:rFonts w:ascii="Times New Roman" w:hAnsi="Times New Roman"/>
                <w:b/>
                <w:bCs/>
                <w:color w:val="000000"/>
                <w:sz w:val="20"/>
              </w:rPr>
            </w:pPr>
            <w:r>
              <w:rPr>
                <w:rFonts w:ascii="Times New Roman" w:hAnsi="Times New Roman"/>
                <w:b/>
                <w:bCs/>
                <w:color w:val="000000"/>
                <w:sz w:val="20"/>
              </w:rPr>
              <w:t>651,982</w:t>
            </w:r>
          </w:p>
        </w:tc>
        <w:tc>
          <w:tcPr>
            <w:tcW w:w="4500" w:type="dxa"/>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7DE87D1" w14:textId="77777777" w:rsidR="00101FF7" w:rsidRPr="00101FF7" w:rsidRDefault="00101FF7" w:rsidP="0033230E">
            <w:pPr>
              <w:jc w:val="center"/>
              <w:rPr>
                <w:rFonts w:ascii="Times New Roman" w:hAnsi="Times New Roman"/>
                <w:b/>
                <w:bCs/>
                <w:color w:val="000000"/>
                <w:sz w:val="20"/>
              </w:rPr>
            </w:pPr>
          </w:p>
        </w:tc>
      </w:tr>
    </w:tbl>
    <w:p w14:paraId="37100E6C" w14:textId="46BE138A" w:rsidR="00B126BE" w:rsidRPr="00B126BE" w:rsidRDefault="00B126BE" w:rsidP="00B126BE">
      <w:pPr>
        <w:pStyle w:val="BodyText"/>
      </w:pPr>
      <w:bookmarkStart w:id="93" w:name="_Hlk500422503"/>
      <w:bookmarkEnd w:id="92"/>
    </w:p>
    <w:p w14:paraId="53999F88" w14:textId="14429A0E" w:rsidR="00781BF0" w:rsidRPr="00781BF0" w:rsidRDefault="00781BF0" w:rsidP="001451E2">
      <w:pPr>
        <w:pStyle w:val="Heading3"/>
      </w:pPr>
      <w:bookmarkStart w:id="94" w:name="_Ref488221047"/>
      <w:bookmarkEnd w:id="93"/>
      <w:r>
        <w:t>Description of 5-, 10-, and 15-year Milestones/Reduction Schedule</w:t>
      </w:r>
      <w:bookmarkEnd w:id="94"/>
    </w:p>
    <w:p w14:paraId="1F1359C1" w14:textId="0A43493C" w:rsidR="00A6005F" w:rsidRDefault="00781BF0" w:rsidP="00A6005F">
      <w:pPr>
        <w:pStyle w:val="BodyText"/>
        <w:rPr>
          <w:iCs/>
        </w:rPr>
      </w:pPr>
      <w:r>
        <w:rPr>
          <w:iCs/>
        </w:rPr>
        <w:t xml:space="preserve">The overall load reduction targets are 30 % of the total within </w:t>
      </w:r>
      <w:r w:rsidR="00C713D6">
        <w:rPr>
          <w:iCs/>
        </w:rPr>
        <w:t>5</w:t>
      </w:r>
      <w:r>
        <w:rPr>
          <w:iCs/>
        </w:rPr>
        <w:t xml:space="preserve"> years</w:t>
      </w:r>
      <w:r w:rsidR="00D76AC7">
        <w:rPr>
          <w:iCs/>
        </w:rPr>
        <w:t xml:space="preserve">, </w:t>
      </w:r>
      <w:r>
        <w:rPr>
          <w:iCs/>
        </w:rPr>
        <w:t xml:space="preserve">80 % of the total within </w:t>
      </w:r>
      <w:r w:rsidR="00C713D6">
        <w:rPr>
          <w:iCs/>
        </w:rPr>
        <w:t>10</w:t>
      </w:r>
      <w:r>
        <w:rPr>
          <w:iCs/>
        </w:rPr>
        <w:t xml:space="preserve"> years</w:t>
      </w:r>
      <w:r w:rsidR="00D76AC7">
        <w:rPr>
          <w:iCs/>
        </w:rPr>
        <w:t xml:space="preserve">, </w:t>
      </w:r>
      <w:r>
        <w:rPr>
          <w:iCs/>
        </w:rPr>
        <w:t xml:space="preserve">and 100 % of the total within 15 years. </w:t>
      </w:r>
      <w:r w:rsidR="00E263BE">
        <w:t>DEP will evaluate progress towards these milestones and will report to the Governor and Florida Legislature. DEP will adjust management strategies to ensure the target concentrations are achieved.</w:t>
      </w:r>
    </w:p>
    <w:p w14:paraId="40D78926" w14:textId="525D2B08" w:rsidR="00781BF0" w:rsidRDefault="00F41E49" w:rsidP="00781BF0">
      <w:pPr>
        <w:pStyle w:val="BodyText"/>
        <w:rPr>
          <w:iCs/>
        </w:rPr>
      </w:pPr>
      <w:r>
        <w:rPr>
          <w:b/>
          <w:iCs/>
        </w:rPr>
        <w:t>Table 5</w:t>
      </w:r>
      <w:r w:rsidR="00F24DFC">
        <w:rPr>
          <w:b/>
          <w:iCs/>
        </w:rPr>
        <w:t xml:space="preserve"> </w:t>
      </w:r>
      <w:r w:rsidR="004A0EAE">
        <w:rPr>
          <w:iCs/>
        </w:rPr>
        <w:t xml:space="preserve">lists </w:t>
      </w:r>
      <w:r w:rsidR="00781BF0">
        <w:rPr>
          <w:iCs/>
        </w:rPr>
        <w:t>the estimated nitrogen reduction</w:t>
      </w:r>
      <w:r w:rsidR="000811AC">
        <w:rPr>
          <w:iCs/>
        </w:rPr>
        <w:t xml:space="preserve"> </w:t>
      </w:r>
      <w:r w:rsidR="00781BF0">
        <w:rPr>
          <w:iCs/>
        </w:rPr>
        <w:t>s</w:t>
      </w:r>
      <w:r w:rsidR="000811AC">
        <w:rPr>
          <w:iCs/>
        </w:rPr>
        <w:t>chedule</w:t>
      </w:r>
      <w:r w:rsidR="00781BF0">
        <w:rPr>
          <w:iCs/>
        </w:rPr>
        <w:t>, by milestone.</w:t>
      </w:r>
      <w:r w:rsidR="00A6005F">
        <w:rPr>
          <w:iCs/>
        </w:rPr>
        <w:t xml:space="preserve"> P</w:t>
      </w:r>
      <w:r w:rsidR="00A6005F">
        <w:t xml:space="preserve">rogress will be tracked yearly and adjustments made as needed. At the </w:t>
      </w:r>
      <w:r w:rsidR="006E38E7">
        <w:t>5</w:t>
      </w:r>
      <w:r w:rsidR="00A6005F">
        <w:t xml:space="preserve">-year milestone, progress will be assessed and load reductions adjusted as necessary. Entities have flexibility in the types and locations of projects as long as they achieve the overall required load reductions. The monitoring of existing groundwater and springs sampling locations is essential. </w:t>
      </w:r>
      <w:r w:rsidR="00A6005F" w:rsidRPr="00777633">
        <w:rPr>
          <w:b/>
        </w:rPr>
        <w:t>Section</w:t>
      </w:r>
      <w:r w:rsidR="00A6005F">
        <w:rPr>
          <w:b/>
        </w:rPr>
        <w:t xml:space="preserve"> 2.</w:t>
      </w:r>
      <w:r w:rsidR="00A56DDB">
        <w:rPr>
          <w:b/>
        </w:rPr>
        <w:t>3</w:t>
      </w:r>
      <w:r w:rsidR="00A6005F">
        <w:t xml:space="preserve"> describes detailed source reduction strategies.</w:t>
      </w:r>
    </w:p>
    <w:p w14:paraId="29B1DE6C" w14:textId="4C73A687" w:rsidR="00781BF0" w:rsidRPr="00781BF0" w:rsidRDefault="00A335E7" w:rsidP="00A335E7">
      <w:pPr>
        <w:pStyle w:val="Caption"/>
      </w:pPr>
      <w:bookmarkStart w:id="95" w:name="_Toc511135111"/>
      <w:bookmarkStart w:id="96" w:name="_Toc511135139"/>
      <w:bookmarkStart w:id="97" w:name="_Toc514430955"/>
      <w:r>
        <w:t xml:space="preserve">Table </w:t>
      </w:r>
      <w:fldSimple w:instr=" SEQ Table \* ARABIC ">
        <w:r w:rsidR="002A2E30">
          <w:rPr>
            <w:noProof/>
          </w:rPr>
          <w:t>5</w:t>
        </w:r>
      </w:fldSimple>
      <w:r>
        <w:t xml:space="preserve">. </w:t>
      </w:r>
      <w:r w:rsidR="00781BF0">
        <w:t>Nitrogen reduction schedule (lb-N/yr)</w:t>
      </w:r>
      <w:bookmarkEnd w:id="95"/>
      <w:bookmarkEnd w:id="96"/>
      <w:bookmarkEnd w:id="97"/>
    </w:p>
    <w:tbl>
      <w:tblPr>
        <w:tblStyle w:val="TableGrid"/>
        <w:tblW w:w="0" w:type="auto"/>
        <w:jc w:val="center"/>
        <w:tblLook w:val="04A0" w:firstRow="1" w:lastRow="0" w:firstColumn="1" w:lastColumn="0" w:noHBand="0" w:noVBand="1"/>
      </w:tblPr>
      <w:tblGrid>
        <w:gridCol w:w="1705"/>
        <w:gridCol w:w="1677"/>
        <w:gridCol w:w="1743"/>
        <w:gridCol w:w="1710"/>
      </w:tblGrid>
      <w:tr w:rsidR="00781BF0" w:rsidRPr="00781BF0" w14:paraId="3A4F3A30" w14:textId="77777777" w:rsidTr="00F41E49">
        <w:trPr>
          <w:tblHeader/>
          <w:jc w:val="center"/>
        </w:trPr>
        <w:tc>
          <w:tcPr>
            <w:tcW w:w="1705" w:type="dxa"/>
            <w:shd w:val="clear" w:color="auto" w:fill="DEEAF6" w:themeFill="accent1" w:themeFillTint="33"/>
            <w:vAlign w:val="bottom"/>
          </w:tcPr>
          <w:p w14:paraId="0A6B806D" w14:textId="77777777" w:rsidR="00D76AC7" w:rsidRDefault="00781BF0" w:rsidP="00246BDF">
            <w:pPr>
              <w:jc w:val="center"/>
              <w:rPr>
                <w:rFonts w:ascii="Times New Roman" w:hAnsi="Times New Roman"/>
                <w:b/>
                <w:sz w:val="20"/>
              </w:rPr>
            </w:pPr>
            <w:r w:rsidRPr="00781BF0">
              <w:rPr>
                <w:rFonts w:ascii="Times New Roman" w:hAnsi="Times New Roman"/>
                <w:b/>
                <w:sz w:val="20"/>
              </w:rPr>
              <w:t xml:space="preserve">5-Year </w:t>
            </w:r>
          </w:p>
          <w:p w14:paraId="7AD8C226" w14:textId="22149381" w:rsidR="00781BF0" w:rsidRPr="00781BF0" w:rsidRDefault="00781BF0" w:rsidP="00246BDF">
            <w:pPr>
              <w:jc w:val="center"/>
              <w:rPr>
                <w:rFonts w:ascii="Times New Roman" w:hAnsi="Times New Roman"/>
                <w:b/>
                <w:sz w:val="20"/>
              </w:rPr>
            </w:pPr>
            <w:r w:rsidRPr="00781BF0">
              <w:rPr>
                <w:rFonts w:ascii="Times New Roman" w:hAnsi="Times New Roman"/>
                <w:b/>
                <w:sz w:val="20"/>
              </w:rPr>
              <w:t>Milestone</w:t>
            </w:r>
          </w:p>
          <w:p w14:paraId="689D2F74" w14:textId="5C18DF8F" w:rsidR="00781BF0" w:rsidRPr="00781BF0" w:rsidRDefault="00781BF0" w:rsidP="00246BDF">
            <w:pPr>
              <w:jc w:val="center"/>
              <w:rPr>
                <w:rFonts w:ascii="Times New Roman" w:hAnsi="Times New Roman"/>
                <w:b/>
                <w:sz w:val="20"/>
              </w:rPr>
            </w:pPr>
            <w:r w:rsidRPr="00781BF0">
              <w:rPr>
                <w:rFonts w:ascii="Times New Roman" w:hAnsi="Times New Roman"/>
                <w:b/>
                <w:sz w:val="20"/>
              </w:rPr>
              <w:t>(30</w:t>
            </w:r>
            <w:r w:rsidR="00B02FF5">
              <w:rPr>
                <w:rFonts w:ascii="Times New Roman" w:hAnsi="Times New Roman"/>
                <w:b/>
                <w:sz w:val="20"/>
              </w:rPr>
              <w:t xml:space="preserve"> </w:t>
            </w:r>
            <w:r w:rsidRPr="00781BF0">
              <w:rPr>
                <w:rFonts w:ascii="Times New Roman" w:hAnsi="Times New Roman"/>
                <w:b/>
                <w:sz w:val="20"/>
              </w:rPr>
              <w:t>% of Total)</w:t>
            </w:r>
          </w:p>
        </w:tc>
        <w:tc>
          <w:tcPr>
            <w:tcW w:w="1677" w:type="dxa"/>
            <w:shd w:val="clear" w:color="auto" w:fill="DEEAF6" w:themeFill="accent1" w:themeFillTint="33"/>
            <w:vAlign w:val="bottom"/>
          </w:tcPr>
          <w:p w14:paraId="71325486"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10-Year Milestone</w:t>
            </w:r>
          </w:p>
          <w:p w14:paraId="32E17B49" w14:textId="4145531B" w:rsidR="00781BF0" w:rsidRPr="00781BF0" w:rsidRDefault="00781BF0" w:rsidP="00246BDF">
            <w:pPr>
              <w:jc w:val="center"/>
              <w:rPr>
                <w:rFonts w:ascii="Times New Roman" w:hAnsi="Times New Roman"/>
                <w:b/>
                <w:sz w:val="20"/>
              </w:rPr>
            </w:pPr>
            <w:r w:rsidRPr="00781BF0">
              <w:rPr>
                <w:rFonts w:ascii="Times New Roman" w:hAnsi="Times New Roman"/>
                <w:b/>
                <w:sz w:val="20"/>
              </w:rPr>
              <w:t>(50</w:t>
            </w:r>
            <w:r w:rsidR="00B02FF5">
              <w:rPr>
                <w:rFonts w:ascii="Times New Roman" w:hAnsi="Times New Roman"/>
                <w:b/>
                <w:sz w:val="20"/>
              </w:rPr>
              <w:t xml:space="preserve"> </w:t>
            </w:r>
            <w:r w:rsidRPr="00781BF0">
              <w:rPr>
                <w:rFonts w:ascii="Times New Roman" w:hAnsi="Times New Roman"/>
                <w:b/>
                <w:sz w:val="20"/>
              </w:rPr>
              <w:t>% of Total)</w:t>
            </w:r>
          </w:p>
        </w:tc>
        <w:tc>
          <w:tcPr>
            <w:tcW w:w="1743" w:type="dxa"/>
            <w:shd w:val="clear" w:color="auto" w:fill="DEEAF6" w:themeFill="accent1" w:themeFillTint="33"/>
            <w:vAlign w:val="bottom"/>
          </w:tcPr>
          <w:p w14:paraId="0F437ADC"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15-Year Milestone</w:t>
            </w:r>
          </w:p>
          <w:p w14:paraId="2ACD0D82" w14:textId="1B920AB4" w:rsidR="00781BF0" w:rsidRPr="00781BF0" w:rsidRDefault="00781BF0" w:rsidP="00246BDF">
            <w:pPr>
              <w:jc w:val="center"/>
              <w:rPr>
                <w:rFonts w:ascii="Times New Roman" w:hAnsi="Times New Roman"/>
                <w:b/>
                <w:sz w:val="20"/>
              </w:rPr>
            </w:pPr>
            <w:r w:rsidRPr="00781BF0">
              <w:rPr>
                <w:rFonts w:ascii="Times New Roman" w:hAnsi="Times New Roman"/>
                <w:b/>
                <w:sz w:val="20"/>
              </w:rPr>
              <w:t>(20</w:t>
            </w:r>
            <w:r w:rsidR="00B02FF5">
              <w:rPr>
                <w:rFonts w:ascii="Times New Roman" w:hAnsi="Times New Roman"/>
                <w:b/>
                <w:sz w:val="20"/>
              </w:rPr>
              <w:t xml:space="preserve"> </w:t>
            </w:r>
            <w:r w:rsidRPr="00781BF0">
              <w:rPr>
                <w:rFonts w:ascii="Times New Roman" w:hAnsi="Times New Roman"/>
                <w:b/>
                <w:sz w:val="20"/>
              </w:rPr>
              <w:t>% of Total)</w:t>
            </w:r>
          </w:p>
        </w:tc>
        <w:tc>
          <w:tcPr>
            <w:tcW w:w="1710" w:type="dxa"/>
            <w:shd w:val="clear" w:color="auto" w:fill="DEEAF6" w:themeFill="accent1" w:themeFillTint="33"/>
            <w:vAlign w:val="bottom"/>
          </w:tcPr>
          <w:p w14:paraId="178C07ED" w14:textId="77777777" w:rsidR="00781BF0" w:rsidRPr="00781BF0" w:rsidRDefault="00781BF0" w:rsidP="00246BDF">
            <w:pPr>
              <w:jc w:val="center"/>
              <w:rPr>
                <w:rFonts w:ascii="Times New Roman" w:hAnsi="Times New Roman"/>
                <w:b/>
                <w:sz w:val="20"/>
              </w:rPr>
            </w:pPr>
            <w:r w:rsidRPr="00781BF0">
              <w:rPr>
                <w:rFonts w:ascii="Times New Roman" w:hAnsi="Times New Roman"/>
                <w:b/>
                <w:sz w:val="20"/>
              </w:rPr>
              <w:t>Total Nitrogen Reduction</w:t>
            </w:r>
          </w:p>
          <w:p w14:paraId="7218BE73" w14:textId="4CB15157" w:rsidR="00781BF0" w:rsidRPr="00781BF0" w:rsidRDefault="00781BF0" w:rsidP="00246BDF">
            <w:pPr>
              <w:jc w:val="center"/>
              <w:rPr>
                <w:rFonts w:ascii="Times New Roman" w:hAnsi="Times New Roman"/>
                <w:b/>
                <w:sz w:val="20"/>
              </w:rPr>
            </w:pPr>
            <w:r w:rsidRPr="00781BF0">
              <w:rPr>
                <w:rFonts w:ascii="Times New Roman" w:hAnsi="Times New Roman"/>
                <w:b/>
                <w:sz w:val="20"/>
              </w:rPr>
              <w:t>(100</w:t>
            </w:r>
            <w:r w:rsidR="00B02FF5">
              <w:rPr>
                <w:rFonts w:ascii="Times New Roman" w:hAnsi="Times New Roman"/>
                <w:b/>
                <w:sz w:val="20"/>
              </w:rPr>
              <w:t xml:space="preserve"> </w:t>
            </w:r>
            <w:r w:rsidRPr="00781BF0">
              <w:rPr>
                <w:rFonts w:ascii="Times New Roman" w:hAnsi="Times New Roman"/>
                <w:b/>
                <w:sz w:val="20"/>
              </w:rPr>
              <w:t>%)</w:t>
            </w:r>
          </w:p>
        </w:tc>
      </w:tr>
      <w:tr w:rsidR="00F41E49" w:rsidRPr="00F41E49" w14:paraId="5C9904CE" w14:textId="77777777" w:rsidTr="00F41E49">
        <w:tblPrEx>
          <w:jc w:val="left"/>
        </w:tblPrEx>
        <w:trPr>
          <w:trHeight w:val="300"/>
        </w:trPr>
        <w:tc>
          <w:tcPr>
            <w:tcW w:w="1705" w:type="dxa"/>
            <w:noWrap/>
            <w:vAlign w:val="center"/>
            <w:hideMark/>
          </w:tcPr>
          <w:p w14:paraId="75535EA6"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195,595</w:t>
            </w:r>
          </w:p>
        </w:tc>
        <w:tc>
          <w:tcPr>
            <w:tcW w:w="1677" w:type="dxa"/>
            <w:noWrap/>
            <w:vAlign w:val="center"/>
            <w:hideMark/>
          </w:tcPr>
          <w:p w14:paraId="1A630E3A"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325,991</w:t>
            </w:r>
          </w:p>
        </w:tc>
        <w:tc>
          <w:tcPr>
            <w:tcW w:w="1743" w:type="dxa"/>
            <w:noWrap/>
            <w:vAlign w:val="center"/>
            <w:hideMark/>
          </w:tcPr>
          <w:p w14:paraId="65258DBA" w14:textId="77777777" w:rsidR="00F41E49" w:rsidRPr="00F41E49" w:rsidRDefault="00F41E49" w:rsidP="00F41E49">
            <w:pPr>
              <w:jc w:val="center"/>
              <w:rPr>
                <w:rFonts w:ascii="Times New Roman" w:hAnsi="Times New Roman"/>
                <w:color w:val="000000"/>
                <w:sz w:val="20"/>
              </w:rPr>
            </w:pPr>
            <w:r w:rsidRPr="00F41E49">
              <w:rPr>
                <w:rFonts w:ascii="Times New Roman" w:hAnsi="Times New Roman"/>
                <w:color w:val="000000"/>
                <w:sz w:val="20"/>
              </w:rPr>
              <w:t>130,396</w:t>
            </w:r>
          </w:p>
        </w:tc>
        <w:tc>
          <w:tcPr>
            <w:tcW w:w="1710" w:type="dxa"/>
            <w:noWrap/>
            <w:vAlign w:val="center"/>
            <w:hideMark/>
          </w:tcPr>
          <w:p w14:paraId="6CBAFD6C" w14:textId="77777777" w:rsidR="00F41E49" w:rsidRPr="00F41E49" w:rsidRDefault="00F41E49" w:rsidP="00F41E49">
            <w:pPr>
              <w:jc w:val="center"/>
              <w:rPr>
                <w:rFonts w:ascii="Times New Roman" w:hAnsi="Times New Roman"/>
                <w:b/>
                <w:color w:val="000000"/>
                <w:sz w:val="20"/>
              </w:rPr>
            </w:pPr>
            <w:r w:rsidRPr="00F41E49">
              <w:rPr>
                <w:rFonts w:ascii="Times New Roman" w:hAnsi="Times New Roman"/>
                <w:b/>
                <w:color w:val="000000"/>
                <w:sz w:val="20"/>
              </w:rPr>
              <w:t>651,982</w:t>
            </w:r>
          </w:p>
        </w:tc>
      </w:tr>
    </w:tbl>
    <w:p w14:paraId="3B904AFA" w14:textId="65BF51E9" w:rsidR="00781BF0" w:rsidRDefault="00781BF0" w:rsidP="00DE254F">
      <w:pPr>
        <w:pStyle w:val="Bodytextreduced"/>
      </w:pPr>
    </w:p>
    <w:p w14:paraId="77B651A0" w14:textId="77777777" w:rsidR="00D76AC7" w:rsidRPr="00781BF0" w:rsidRDefault="00D76AC7" w:rsidP="00DE254F">
      <w:pPr>
        <w:pStyle w:val="Bodytextreduced"/>
      </w:pPr>
    </w:p>
    <w:p w14:paraId="0CFFA957" w14:textId="1758F67F" w:rsidR="00C2366B" w:rsidRPr="00F41E49" w:rsidRDefault="00C2366B" w:rsidP="00F41E49">
      <w:pPr>
        <w:pStyle w:val="Heading2"/>
      </w:pPr>
      <w:bookmarkStart w:id="98" w:name="_Toc480372118"/>
      <w:bookmarkStart w:id="99" w:name="_Ref488221526"/>
      <w:bookmarkStart w:id="100" w:name="_Toc514677660"/>
      <w:bookmarkStart w:id="101" w:name="_Ref289163884"/>
      <w:bookmarkEnd w:id="84"/>
      <w:bookmarkEnd w:id="85"/>
      <w:bookmarkEnd w:id="86"/>
      <w:r w:rsidRPr="00F41E49">
        <w:t>Prioritization of Management Strategies</w:t>
      </w:r>
      <w:bookmarkEnd w:id="98"/>
      <w:bookmarkEnd w:id="99"/>
      <w:bookmarkEnd w:id="100"/>
    </w:p>
    <w:p w14:paraId="00521942" w14:textId="3EA47036" w:rsidR="00623698" w:rsidRPr="00D91457" w:rsidRDefault="00623698" w:rsidP="00623698">
      <w:pPr>
        <w:pStyle w:val="BodyText"/>
        <w:rPr>
          <w:szCs w:val="24"/>
        </w:rPr>
      </w:pPr>
      <w:bookmarkStart w:id="102" w:name="_Hlk500320005"/>
      <w:r w:rsidRPr="00D91457">
        <w:t xml:space="preserve">The management strategies listed in </w:t>
      </w:r>
      <w:r w:rsidRPr="00D91457">
        <w:rPr>
          <w:b/>
        </w:rPr>
        <w:t xml:space="preserve">Appendix B </w:t>
      </w:r>
      <w:r w:rsidRPr="00D91457">
        <w:t xml:space="preserve">are ranked with a priority of high, medium, or low. In 2016, the Florida </w:t>
      </w:r>
      <w:r w:rsidRPr="00D91457">
        <w:rPr>
          <w:szCs w:val="24"/>
        </w:rPr>
        <w:t xml:space="preserve">Legislature amended the Watershed Restoration Act (Section 403.067, F.S.), creating additional requirements for all new or revised BMAPs. BMAPs must now include planning-level details for each listed project, along with their priority ranking. </w:t>
      </w:r>
    </w:p>
    <w:p w14:paraId="4D54D618" w14:textId="42023091" w:rsidR="00623698" w:rsidRPr="002A68EF" w:rsidRDefault="00493449" w:rsidP="00493449">
      <w:pPr>
        <w:pStyle w:val="BodyText"/>
        <w:rPr>
          <w:szCs w:val="24"/>
        </w:rPr>
      </w:pPr>
      <w:r w:rsidRPr="00652FC6">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rsidR="00B40AB0" w:rsidRPr="00B40AB0">
        <w:rPr>
          <w:szCs w:val="24"/>
        </w:rPr>
        <w:t>listed with the project status "</w:t>
      </w:r>
      <w:r w:rsidRPr="00652FC6">
        <w:rPr>
          <w:szCs w:val="24"/>
        </w:rPr>
        <w:t>planned" as well a</w:t>
      </w:r>
      <w:r w:rsidR="00B40AB0" w:rsidRPr="00B40AB0">
        <w:rPr>
          <w:szCs w:val="24"/>
        </w:rPr>
        <w:t>s certain "</w:t>
      </w:r>
      <w:r w:rsidRPr="00652FC6">
        <w:rPr>
          <w:szCs w:val="24"/>
        </w:rPr>
        <w:t>completed</w:t>
      </w:r>
      <w:r w:rsidR="00B40AB0">
        <w:rPr>
          <w:szCs w:val="24"/>
        </w:rPr>
        <w:t>"</w:t>
      </w:r>
      <w:r w:rsidRPr="00652FC6">
        <w:rPr>
          <w:szCs w:val="24"/>
        </w:rPr>
        <w:t xml:space="preserve"> projects that are ongoing each year (any project wi</w:t>
      </w:r>
      <w:r w:rsidR="00B40AB0" w:rsidRPr="00B40AB0">
        <w:rPr>
          <w:szCs w:val="24"/>
        </w:rPr>
        <w:t>th one of these project types: "street sweeping," "</w:t>
      </w:r>
      <w:r w:rsidRPr="00652FC6">
        <w:rPr>
          <w:szCs w:val="24"/>
        </w:rPr>
        <w:t>catch basin</w:t>
      </w:r>
      <w:r w:rsidR="00B40AB0" w:rsidRPr="00B40AB0">
        <w:rPr>
          <w:szCs w:val="24"/>
        </w:rPr>
        <w:t xml:space="preserve"> inserts/inlet filter cleanout,"</w:t>
      </w:r>
      <w:r w:rsidRPr="00652FC6">
        <w:rPr>
          <w:szCs w:val="24"/>
        </w:rPr>
        <w:t xml:space="preserve"> </w:t>
      </w:r>
      <w:r w:rsidR="00B40AB0" w:rsidRPr="00B40AB0">
        <w:rPr>
          <w:szCs w:val="24"/>
        </w:rPr>
        <w:t xml:space="preserve"> "</w:t>
      </w:r>
      <w:r w:rsidRPr="00652FC6">
        <w:rPr>
          <w:szCs w:val="24"/>
        </w:rPr>
        <w:t>public education efforts</w:t>
      </w:r>
      <w:r>
        <w:rPr>
          <w:szCs w:val="24"/>
        </w:rPr>
        <w:t>,</w:t>
      </w:r>
      <w:r w:rsidR="00B40AB0" w:rsidRPr="00B40AB0">
        <w:rPr>
          <w:szCs w:val="24"/>
        </w:rPr>
        <w:t xml:space="preserve">" </w:t>
      </w:r>
      <w:r>
        <w:rPr>
          <w:szCs w:val="24"/>
        </w:rPr>
        <w:t>"fertilizer cessation</w:t>
      </w:r>
      <w:r w:rsidR="00A40AEC">
        <w:rPr>
          <w:szCs w:val="24"/>
        </w:rPr>
        <w:t xml:space="preserve">," "fertilizer </w:t>
      </w:r>
      <w:r>
        <w:rPr>
          <w:szCs w:val="24"/>
        </w:rPr>
        <w:t>reduction,</w:t>
      </w:r>
      <w:r w:rsidR="00B40AB0">
        <w:rPr>
          <w:szCs w:val="24"/>
        </w:rPr>
        <w:t>"</w:t>
      </w:r>
      <w:r>
        <w:rPr>
          <w:szCs w:val="24"/>
        </w:rPr>
        <w:t xml:space="preserve"> or "</w:t>
      </w:r>
      <w:r w:rsidR="00A40AEC">
        <w:rPr>
          <w:szCs w:val="24"/>
        </w:rPr>
        <w:t xml:space="preserve">aquatic </w:t>
      </w:r>
      <w:r>
        <w:rPr>
          <w:szCs w:val="24"/>
        </w:rPr>
        <w:t>vegetation harvesting"</w:t>
      </w:r>
      <w:r w:rsidRPr="00652FC6">
        <w:rPr>
          <w:szCs w:val="24"/>
        </w:rPr>
        <w:t>), and select projects that are elevated because substantial, subsequent project(s) are reliant on their completion.</w:t>
      </w:r>
      <w:r w:rsidR="00623698">
        <w:rPr>
          <w:szCs w:val="24"/>
        </w:rPr>
        <w:t xml:space="preserve">  </w:t>
      </w:r>
    </w:p>
    <w:p w14:paraId="4CC97746" w14:textId="110DCC3D" w:rsidR="000622A2" w:rsidRPr="005026F9" w:rsidRDefault="000622A2" w:rsidP="000622A2">
      <w:pPr>
        <w:pStyle w:val="Heading2"/>
        <w:rPr>
          <w:rFonts w:ascii="Times New Roman" w:eastAsiaTheme="majorEastAsia" w:hAnsi="Times New Roman" w:cstheme="majorBidi"/>
          <w:szCs w:val="26"/>
        </w:rPr>
      </w:pPr>
      <w:bookmarkStart w:id="103" w:name="_Toc514677661"/>
      <w:bookmarkEnd w:id="102"/>
      <w:r>
        <w:rPr>
          <w:rFonts w:ascii="Times New Roman" w:eastAsiaTheme="majorEastAsia" w:hAnsi="Times New Roman" w:cstheme="majorBidi"/>
          <w:szCs w:val="26"/>
        </w:rPr>
        <w:t>Load Reduction Strategy</w:t>
      </w:r>
      <w:bookmarkEnd w:id="103"/>
    </w:p>
    <w:p w14:paraId="1642053A" w14:textId="5960FC8D" w:rsidR="000622A2" w:rsidRDefault="000622A2" w:rsidP="000622A2">
      <w:pPr>
        <w:pStyle w:val="BodyText"/>
        <w:rPr>
          <w:b/>
        </w:rPr>
      </w:pPr>
      <w:r>
        <w:t>The total load reduction to groundwater needed to meet the TMDLs is 651,982 lb-N/yr. Based on the totals of all the credits from BMAP actions and policies, the range of total reductions to groundwater is between 330,287 to 708,260</w:t>
      </w:r>
      <w:r w:rsidRPr="00783989">
        <w:t xml:space="preserve"> lb-N/yr</w:t>
      </w:r>
      <w:r>
        <w:t xml:space="preserve"> (see </w:t>
      </w:r>
      <w:r>
        <w:rPr>
          <w:b/>
        </w:rPr>
        <w:t>Table 6).</w:t>
      </w:r>
    </w:p>
    <w:p w14:paraId="67F18B39" w14:textId="4F2B67D8" w:rsidR="000622A2" w:rsidRPr="00545C5F" w:rsidRDefault="000622A2" w:rsidP="000622A2">
      <w:pPr>
        <w:pStyle w:val="BodyText"/>
      </w:pPr>
      <w:r>
        <w:t>To achieve reductions outside the scope of the policies listed, additional project options are available to local entities but have not been planned. Other efforts could be pursued to further reduce the nitrogen load to groundwater in the Jackson Blue springshed.</w:t>
      </w:r>
      <w:r>
        <w:rPr>
          <w:b/>
        </w:rPr>
        <w:t xml:space="preserve"> </w:t>
      </w:r>
      <w:r w:rsidR="00A56DDB" w:rsidRPr="002F271F">
        <w:t>I</w:t>
      </w:r>
      <w:r w:rsidRPr="002F271F">
        <w:t>ncluding both BMAP projects and practices and additional agricultural projects and practices.</w:t>
      </w:r>
      <w:r>
        <w:rPr>
          <w:b/>
        </w:rPr>
        <w:t xml:space="preserve"> </w:t>
      </w:r>
    </w:p>
    <w:p w14:paraId="3876FEE5" w14:textId="77777777" w:rsidR="000622A2" w:rsidRPr="0098625E" w:rsidRDefault="000622A2" w:rsidP="000622A2">
      <w:pPr>
        <w:pStyle w:val="Caption"/>
      </w:pPr>
      <w:bookmarkStart w:id="104" w:name="_Toc514430956"/>
      <w:r>
        <w:t xml:space="preserve">Table </w:t>
      </w:r>
      <w:fldSimple w:instr=" SEQ Table \* ARABIC ">
        <w:r w:rsidR="002A2E30">
          <w:rPr>
            <w:noProof/>
          </w:rPr>
          <w:t>6</w:t>
        </w:r>
      </w:fldSimple>
      <w:r>
        <w:t>. Summary of potential credits for Jackson Blue Spring Basin projects to meet the TMDLs</w:t>
      </w:r>
      <w:bookmarkEnd w:id="104"/>
    </w:p>
    <w:tbl>
      <w:tblPr>
        <w:tblW w:w="9360" w:type="dxa"/>
        <w:jc w:val="center"/>
        <w:tblCellMar>
          <w:top w:w="15" w:type="dxa"/>
          <w:bottom w:w="15" w:type="dxa"/>
        </w:tblCellMar>
        <w:tblLook w:val="04A0" w:firstRow="1" w:lastRow="0" w:firstColumn="1" w:lastColumn="0" w:noHBand="0" w:noVBand="1"/>
      </w:tblPr>
      <w:tblGrid>
        <w:gridCol w:w="1980"/>
        <w:gridCol w:w="2155"/>
        <w:gridCol w:w="5225"/>
      </w:tblGrid>
      <w:tr w:rsidR="000622A2" w:rsidRPr="0098625E" w14:paraId="59C479AD" w14:textId="77777777" w:rsidTr="000622A2">
        <w:trPr>
          <w:trHeight w:val="635"/>
          <w:tblHeader/>
          <w:jc w:val="center"/>
        </w:trPr>
        <w:tc>
          <w:tcPr>
            <w:tcW w:w="198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481D7454" w14:textId="77777777" w:rsidR="000622A2" w:rsidRPr="0098625E" w:rsidRDefault="000622A2" w:rsidP="000622A2">
            <w:pPr>
              <w:jc w:val="center"/>
              <w:rPr>
                <w:rFonts w:ascii="Times New Roman" w:hAnsi="Times New Roman"/>
                <w:b/>
                <w:bCs/>
                <w:color w:val="000000"/>
                <w:sz w:val="20"/>
              </w:rPr>
            </w:pPr>
            <w:r w:rsidRPr="0098625E">
              <w:rPr>
                <w:rFonts w:ascii="Times New Roman" w:hAnsi="Times New Roman"/>
                <w:b/>
                <w:bCs/>
                <w:color w:val="000000"/>
                <w:sz w:val="20"/>
              </w:rPr>
              <w:t>Nitrogen Source</w:t>
            </w:r>
          </w:p>
        </w:tc>
        <w:tc>
          <w:tcPr>
            <w:tcW w:w="215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D048BE4" w14:textId="77777777" w:rsidR="000622A2" w:rsidRPr="0098625E" w:rsidRDefault="000622A2" w:rsidP="000622A2">
            <w:pPr>
              <w:jc w:val="center"/>
              <w:rPr>
                <w:rFonts w:ascii="Times New Roman" w:hAnsi="Times New Roman"/>
                <w:b/>
                <w:bCs/>
                <w:color w:val="000000"/>
                <w:sz w:val="20"/>
              </w:rPr>
            </w:pPr>
            <w:r w:rsidRPr="0098625E">
              <w:rPr>
                <w:rFonts w:ascii="Times New Roman" w:hAnsi="Times New Roman"/>
                <w:b/>
                <w:bCs/>
                <w:color w:val="000000"/>
                <w:sz w:val="20"/>
              </w:rPr>
              <w:t xml:space="preserve">Credits </w:t>
            </w:r>
            <w:r>
              <w:rPr>
                <w:rFonts w:ascii="Times New Roman" w:hAnsi="Times New Roman"/>
                <w:b/>
                <w:bCs/>
                <w:color w:val="000000"/>
                <w:sz w:val="20"/>
              </w:rPr>
              <w:t xml:space="preserve">to Load to Groundwater </w:t>
            </w:r>
            <w:r w:rsidRPr="0098625E">
              <w:rPr>
                <w:rFonts w:ascii="Times New Roman" w:hAnsi="Times New Roman"/>
                <w:b/>
                <w:bCs/>
                <w:color w:val="000000"/>
                <w:sz w:val="20"/>
              </w:rPr>
              <w:t>Based on Project Tables (lb-N/yr)</w:t>
            </w:r>
          </w:p>
        </w:tc>
        <w:tc>
          <w:tcPr>
            <w:tcW w:w="5225"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22776759" w14:textId="77777777" w:rsidR="000622A2" w:rsidRPr="0098625E" w:rsidRDefault="000622A2" w:rsidP="000622A2">
            <w:pPr>
              <w:jc w:val="center"/>
              <w:rPr>
                <w:rFonts w:ascii="Times New Roman" w:hAnsi="Times New Roman"/>
                <w:b/>
                <w:bCs/>
                <w:color w:val="000000"/>
                <w:sz w:val="20"/>
              </w:rPr>
            </w:pPr>
            <w:r w:rsidRPr="0098625E">
              <w:rPr>
                <w:rFonts w:ascii="Times New Roman" w:hAnsi="Times New Roman"/>
                <w:b/>
                <w:bCs/>
                <w:color w:val="000000"/>
                <w:sz w:val="20"/>
              </w:rPr>
              <w:t>Description</w:t>
            </w:r>
          </w:p>
        </w:tc>
      </w:tr>
      <w:tr w:rsidR="000622A2" w:rsidRPr="0098625E" w14:paraId="13AD1990" w14:textId="77777777" w:rsidTr="000622A2">
        <w:trPr>
          <w:trHeight w:val="383"/>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617CD277" w14:textId="77777777" w:rsidR="000622A2" w:rsidRPr="00C12FDE" w:rsidRDefault="000622A2" w:rsidP="000622A2">
            <w:pPr>
              <w:jc w:val="center"/>
              <w:rPr>
                <w:rFonts w:ascii="Times New Roman" w:hAnsi="Times New Roman"/>
                <w:b/>
                <w:color w:val="000000"/>
                <w:sz w:val="20"/>
              </w:rPr>
            </w:pPr>
            <w:r w:rsidRPr="00C12FDE">
              <w:rPr>
                <w:rFonts w:ascii="Times New Roman" w:hAnsi="Times New Roman"/>
                <w:b/>
                <w:color w:val="000000"/>
                <w:sz w:val="20"/>
              </w:rPr>
              <w:t>OSTDS</w:t>
            </w:r>
          </w:p>
        </w:tc>
        <w:tc>
          <w:tcPr>
            <w:tcW w:w="2155" w:type="dxa"/>
            <w:tcBorders>
              <w:top w:val="single" w:sz="4" w:space="0" w:color="auto"/>
              <w:left w:val="single" w:sz="4" w:space="0" w:color="auto"/>
              <w:bottom w:val="single" w:sz="4" w:space="0" w:color="auto"/>
              <w:right w:val="single" w:sz="4" w:space="0" w:color="auto"/>
            </w:tcBorders>
            <w:noWrap/>
            <w:vAlign w:val="center"/>
          </w:tcPr>
          <w:p w14:paraId="0CA2F94C" w14:textId="77777777" w:rsidR="000622A2" w:rsidRPr="0098625E" w:rsidRDefault="000622A2" w:rsidP="000622A2">
            <w:pPr>
              <w:jc w:val="center"/>
              <w:rPr>
                <w:rFonts w:ascii="Times New Roman" w:hAnsi="Times New Roman"/>
                <w:color w:val="000000"/>
                <w:sz w:val="20"/>
              </w:rPr>
            </w:pPr>
            <w:r>
              <w:rPr>
                <w:rFonts w:ascii="Times New Roman" w:hAnsi="Times New Roman"/>
                <w:color w:val="000000"/>
                <w:sz w:val="20"/>
              </w:rPr>
              <w:t>3,294</w:t>
            </w:r>
          </w:p>
        </w:tc>
        <w:tc>
          <w:tcPr>
            <w:tcW w:w="5225" w:type="dxa"/>
            <w:tcBorders>
              <w:top w:val="single" w:sz="4" w:space="0" w:color="auto"/>
              <w:left w:val="single" w:sz="4" w:space="0" w:color="auto"/>
              <w:bottom w:val="single" w:sz="4" w:space="0" w:color="auto"/>
              <w:right w:val="single" w:sz="4" w:space="0" w:color="auto"/>
            </w:tcBorders>
            <w:vAlign w:val="center"/>
            <w:hideMark/>
          </w:tcPr>
          <w:p w14:paraId="634298D2"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Credits identified for stakeholder OSTDS projects </w:t>
            </w:r>
          </w:p>
          <w:p w14:paraId="0CEDA3AF"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(enhancement or sewer)</w:t>
            </w:r>
          </w:p>
        </w:tc>
      </w:tr>
      <w:tr w:rsidR="000622A2" w:rsidRPr="0098625E" w14:paraId="5F5293E6" w14:textId="77777777" w:rsidTr="000622A2">
        <w:trPr>
          <w:trHeight w:val="455"/>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2BA6A7F" w14:textId="77777777" w:rsidR="000622A2" w:rsidRPr="00C12FDE" w:rsidRDefault="000622A2" w:rsidP="000622A2">
            <w:pPr>
              <w:jc w:val="center"/>
              <w:rPr>
                <w:rFonts w:ascii="Times New Roman" w:hAnsi="Times New Roman"/>
                <w:b/>
                <w:color w:val="000000"/>
                <w:sz w:val="20"/>
              </w:rPr>
            </w:pPr>
            <w:r>
              <w:rPr>
                <w:rFonts w:ascii="Times New Roman" w:hAnsi="Times New Roman"/>
                <w:b/>
                <w:color w:val="000000"/>
                <w:sz w:val="20"/>
              </w:rPr>
              <w:t>UTF</w:t>
            </w:r>
          </w:p>
        </w:tc>
        <w:tc>
          <w:tcPr>
            <w:tcW w:w="2155" w:type="dxa"/>
            <w:tcBorders>
              <w:top w:val="single" w:sz="4" w:space="0" w:color="auto"/>
              <w:left w:val="single" w:sz="4" w:space="0" w:color="auto"/>
              <w:bottom w:val="single" w:sz="4" w:space="0" w:color="auto"/>
              <w:right w:val="single" w:sz="4" w:space="0" w:color="auto"/>
            </w:tcBorders>
            <w:noWrap/>
            <w:vAlign w:val="center"/>
          </w:tcPr>
          <w:p w14:paraId="74948B63" w14:textId="77777777" w:rsidR="000622A2" w:rsidRPr="0098625E" w:rsidRDefault="000622A2" w:rsidP="000622A2">
            <w:pPr>
              <w:jc w:val="center"/>
              <w:rPr>
                <w:rFonts w:ascii="Times New Roman" w:hAnsi="Times New Roman"/>
                <w:color w:val="000000"/>
                <w:sz w:val="20"/>
              </w:rPr>
            </w:pPr>
            <w:r>
              <w:rPr>
                <w:rFonts w:ascii="Times New Roman" w:hAnsi="Times New Roman"/>
                <w:color w:val="000000"/>
                <w:sz w:val="20"/>
              </w:rPr>
              <w:t>206</w:t>
            </w:r>
          </w:p>
        </w:tc>
        <w:tc>
          <w:tcPr>
            <w:tcW w:w="5225" w:type="dxa"/>
            <w:tcBorders>
              <w:top w:val="single" w:sz="4" w:space="0" w:color="auto"/>
              <w:left w:val="single" w:sz="4" w:space="0" w:color="auto"/>
              <w:bottom w:val="single" w:sz="4" w:space="0" w:color="auto"/>
              <w:right w:val="single" w:sz="4" w:space="0" w:color="auto"/>
            </w:tcBorders>
            <w:vAlign w:val="center"/>
            <w:hideMark/>
          </w:tcPr>
          <w:p w14:paraId="01B43B8C"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DEP approved credits (6%) for public education activities </w:t>
            </w:r>
          </w:p>
          <w:p w14:paraId="7A5D1098"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as well as credits identified for stakeholder stormwater projects</w:t>
            </w:r>
          </w:p>
        </w:tc>
      </w:tr>
      <w:tr w:rsidR="000622A2" w:rsidRPr="0098625E" w14:paraId="317D15B9" w14:textId="77777777" w:rsidTr="000622A2">
        <w:trPr>
          <w:trHeight w:val="30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E00D90F" w14:textId="77777777" w:rsidR="000622A2" w:rsidRPr="00C12FDE" w:rsidRDefault="000622A2" w:rsidP="000622A2">
            <w:pPr>
              <w:jc w:val="center"/>
              <w:rPr>
                <w:rFonts w:ascii="Times New Roman" w:hAnsi="Times New Roman"/>
                <w:b/>
                <w:color w:val="000000"/>
                <w:sz w:val="20"/>
              </w:rPr>
            </w:pPr>
            <w:r w:rsidRPr="00C12FDE">
              <w:rPr>
                <w:rFonts w:ascii="Times New Roman" w:hAnsi="Times New Roman"/>
                <w:b/>
                <w:color w:val="000000"/>
                <w:sz w:val="20"/>
              </w:rPr>
              <w:t>Atmospheric Deposition</w:t>
            </w:r>
          </w:p>
        </w:tc>
        <w:tc>
          <w:tcPr>
            <w:tcW w:w="2155" w:type="dxa"/>
            <w:tcBorders>
              <w:top w:val="single" w:sz="4" w:space="0" w:color="auto"/>
              <w:left w:val="single" w:sz="4" w:space="0" w:color="auto"/>
              <w:bottom w:val="single" w:sz="4" w:space="0" w:color="auto"/>
              <w:right w:val="single" w:sz="4" w:space="0" w:color="auto"/>
            </w:tcBorders>
            <w:noWrap/>
            <w:vAlign w:val="center"/>
            <w:hideMark/>
          </w:tcPr>
          <w:p w14:paraId="019413FB" w14:textId="77777777" w:rsidR="000622A2" w:rsidRPr="0098625E" w:rsidRDefault="000622A2" w:rsidP="000622A2">
            <w:pPr>
              <w:jc w:val="center"/>
              <w:rPr>
                <w:rFonts w:ascii="Times New Roman" w:hAnsi="Times New Roman"/>
                <w:color w:val="000000"/>
                <w:sz w:val="20"/>
              </w:rPr>
            </w:pPr>
            <w:r w:rsidRPr="00013132">
              <w:rPr>
                <w:rFonts w:ascii="Times New Roman" w:hAnsi="Times New Roman"/>
                <w:color w:val="000000"/>
                <w:sz w:val="20"/>
              </w:rPr>
              <w:t>‒</w:t>
            </w:r>
          </w:p>
        </w:tc>
        <w:tc>
          <w:tcPr>
            <w:tcW w:w="5225" w:type="dxa"/>
            <w:tcBorders>
              <w:top w:val="single" w:sz="4" w:space="0" w:color="auto"/>
              <w:left w:val="single" w:sz="4" w:space="0" w:color="auto"/>
              <w:bottom w:val="single" w:sz="4" w:space="0" w:color="auto"/>
              <w:right w:val="single" w:sz="4" w:space="0" w:color="auto"/>
            </w:tcBorders>
            <w:vAlign w:val="center"/>
            <w:hideMark/>
          </w:tcPr>
          <w:p w14:paraId="28CF3DA8"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No reduction</w:t>
            </w:r>
          </w:p>
        </w:tc>
      </w:tr>
      <w:tr w:rsidR="000622A2" w:rsidRPr="0098625E" w14:paraId="6A279823" w14:textId="77777777" w:rsidTr="000622A2">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26B72852" w14:textId="77777777" w:rsidR="000622A2" w:rsidRPr="00C12FDE" w:rsidRDefault="000622A2" w:rsidP="000622A2">
            <w:pPr>
              <w:jc w:val="center"/>
              <w:rPr>
                <w:rFonts w:ascii="Times New Roman" w:hAnsi="Times New Roman"/>
                <w:b/>
                <w:color w:val="000000"/>
                <w:sz w:val="20"/>
              </w:rPr>
            </w:pPr>
            <w:r>
              <w:rPr>
                <w:rFonts w:ascii="Times New Roman" w:hAnsi="Times New Roman"/>
                <w:b/>
                <w:color w:val="000000"/>
                <w:sz w:val="20"/>
              </w:rPr>
              <w:t>FF Projects</w:t>
            </w:r>
          </w:p>
        </w:tc>
        <w:tc>
          <w:tcPr>
            <w:tcW w:w="2155" w:type="dxa"/>
            <w:tcBorders>
              <w:top w:val="single" w:sz="4" w:space="0" w:color="auto"/>
              <w:left w:val="single" w:sz="4" w:space="0" w:color="auto"/>
              <w:bottom w:val="single" w:sz="4" w:space="0" w:color="auto"/>
              <w:right w:val="single" w:sz="4" w:space="0" w:color="auto"/>
            </w:tcBorders>
            <w:noWrap/>
            <w:vAlign w:val="center"/>
          </w:tcPr>
          <w:p w14:paraId="5B92A645" w14:textId="77777777" w:rsidR="000622A2" w:rsidRPr="0098625E" w:rsidRDefault="000622A2" w:rsidP="000622A2">
            <w:pPr>
              <w:jc w:val="center"/>
              <w:rPr>
                <w:rFonts w:ascii="Times New Roman" w:hAnsi="Times New Roman"/>
                <w:color w:val="000000"/>
                <w:sz w:val="20"/>
              </w:rPr>
            </w:pPr>
            <w:r>
              <w:rPr>
                <w:rFonts w:ascii="Times New Roman" w:hAnsi="Times New Roman"/>
                <w:color w:val="000000"/>
                <w:sz w:val="20"/>
              </w:rPr>
              <w:t>5,400</w:t>
            </w:r>
          </w:p>
        </w:tc>
        <w:tc>
          <w:tcPr>
            <w:tcW w:w="5225" w:type="dxa"/>
            <w:tcBorders>
              <w:top w:val="single" w:sz="4" w:space="0" w:color="auto"/>
              <w:left w:val="single" w:sz="4" w:space="0" w:color="auto"/>
              <w:bottom w:val="single" w:sz="4" w:space="0" w:color="auto"/>
              <w:right w:val="single" w:sz="4" w:space="0" w:color="auto"/>
            </w:tcBorders>
            <w:vAlign w:val="center"/>
          </w:tcPr>
          <w:p w14:paraId="24018A69"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Credits identified for stakeholder </w:t>
            </w:r>
            <w:r>
              <w:rPr>
                <w:rFonts w:ascii="Times New Roman" w:hAnsi="Times New Roman"/>
                <w:color w:val="000000"/>
                <w:sz w:val="20"/>
              </w:rPr>
              <w:t>farm fertilizer</w:t>
            </w:r>
            <w:r w:rsidRPr="0098625E">
              <w:rPr>
                <w:rFonts w:ascii="Times New Roman" w:hAnsi="Times New Roman"/>
                <w:color w:val="000000"/>
                <w:sz w:val="20"/>
              </w:rPr>
              <w:t xml:space="preserve"> projects</w:t>
            </w:r>
          </w:p>
        </w:tc>
      </w:tr>
      <w:tr w:rsidR="000622A2" w:rsidRPr="0098625E" w14:paraId="5FAF7DF3" w14:textId="77777777" w:rsidTr="000622A2">
        <w:trPr>
          <w:trHeight w:val="338"/>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0C046730" w14:textId="77777777" w:rsidR="000622A2" w:rsidRPr="00C12FDE" w:rsidRDefault="000622A2" w:rsidP="000622A2">
            <w:pPr>
              <w:jc w:val="center"/>
              <w:rPr>
                <w:rFonts w:ascii="Times New Roman" w:hAnsi="Times New Roman"/>
                <w:b/>
                <w:color w:val="000000"/>
                <w:sz w:val="20"/>
              </w:rPr>
            </w:pPr>
            <w:r>
              <w:rPr>
                <w:rFonts w:ascii="Times New Roman" w:hAnsi="Times New Roman"/>
                <w:b/>
                <w:color w:val="000000"/>
                <w:sz w:val="20"/>
              </w:rPr>
              <w:t>FF</w:t>
            </w:r>
          </w:p>
        </w:tc>
        <w:tc>
          <w:tcPr>
            <w:tcW w:w="2155" w:type="dxa"/>
            <w:tcBorders>
              <w:top w:val="single" w:sz="4" w:space="0" w:color="auto"/>
              <w:left w:val="single" w:sz="4" w:space="0" w:color="auto"/>
              <w:bottom w:val="single" w:sz="4" w:space="0" w:color="auto"/>
              <w:right w:val="single" w:sz="4" w:space="0" w:color="auto"/>
            </w:tcBorders>
            <w:noWrap/>
            <w:vAlign w:val="center"/>
          </w:tcPr>
          <w:p w14:paraId="1FF74234" w14:textId="77777777" w:rsidR="000622A2" w:rsidRPr="0098625E" w:rsidRDefault="000622A2" w:rsidP="000622A2">
            <w:pPr>
              <w:jc w:val="center"/>
              <w:rPr>
                <w:rFonts w:ascii="Times New Roman" w:hAnsi="Times New Roman"/>
                <w:color w:val="000000"/>
                <w:sz w:val="20"/>
              </w:rPr>
            </w:pPr>
            <w:r>
              <w:rPr>
                <w:rFonts w:ascii="Times New Roman" w:hAnsi="Times New Roman"/>
                <w:color w:val="000000"/>
                <w:sz w:val="20"/>
              </w:rPr>
              <w:t>93,888</w:t>
            </w:r>
          </w:p>
        </w:tc>
        <w:tc>
          <w:tcPr>
            <w:tcW w:w="5225" w:type="dxa"/>
            <w:tcBorders>
              <w:top w:val="single" w:sz="4" w:space="0" w:color="auto"/>
              <w:left w:val="single" w:sz="4" w:space="0" w:color="auto"/>
              <w:bottom w:val="single" w:sz="4" w:space="0" w:color="auto"/>
              <w:right w:val="single" w:sz="4" w:space="0" w:color="auto"/>
            </w:tcBorders>
            <w:vAlign w:val="center"/>
            <w:hideMark/>
          </w:tcPr>
          <w:p w14:paraId="6BB38D58"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15% BMP credit on </w:t>
            </w:r>
            <w:r>
              <w:rPr>
                <w:rFonts w:ascii="Times New Roman" w:hAnsi="Times New Roman"/>
                <w:color w:val="000000"/>
                <w:sz w:val="20"/>
              </w:rPr>
              <w:t>farm fertilizer</w:t>
            </w:r>
            <w:r w:rsidRPr="0098625E">
              <w:rPr>
                <w:rFonts w:ascii="Times New Roman" w:hAnsi="Times New Roman"/>
                <w:color w:val="000000"/>
                <w:sz w:val="20"/>
              </w:rPr>
              <w:t xml:space="preserve"> load to groundwater, </w:t>
            </w:r>
          </w:p>
          <w:p w14:paraId="62425B9B"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assuming 100% owner-implemented BMPs on </w:t>
            </w:r>
          </w:p>
          <w:p w14:paraId="26C14637"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all fertilized lands</w:t>
            </w:r>
          </w:p>
        </w:tc>
      </w:tr>
      <w:tr w:rsidR="000622A2" w:rsidRPr="0098625E" w14:paraId="6DEB9F3D" w14:textId="77777777" w:rsidTr="000622A2">
        <w:trPr>
          <w:trHeight w:val="320"/>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6A7FC88A" w14:textId="77777777" w:rsidR="000622A2" w:rsidRPr="00C12FDE" w:rsidRDefault="000622A2" w:rsidP="000622A2">
            <w:pPr>
              <w:jc w:val="center"/>
              <w:rPr>
                <w:rFonts w:ascii="Times New Roman" w:hAnsi="Times New Roman"/>
                <w:b/>
                <w:color w:val="000000"/>
                <w:sz w:val="20"/>
              </w:rPr>
            </w:pPr>
            <w:r>
              <w:rPr>
                <w:rFonts w:ascii="Times New Roman" w:hAnsi="Times New Roman"/>
                <w:b/>
                <w:color w:val="000000"/>
                <w:sz w:val="20"/>
              </w:rPr>
              <w:t>LW</w:t>
            </w:r>
          </w:p>
        </w:tc>
        <w:tc>
          <w:tcPr>
            <w:tcW w:w="2155" w:type="dxa"/>
            <w:tcBorders>
              <w:top w:val="single" w:sz="4" w:space="0" w:color="auto"/>
              <w:left w:val="single" w:sz="4" w:space="0" w:color="auto"/>
              <w:bottom w:val="single" w:sz="4" w:space="0" w:color="auto"/>
              <w:right w:val="single" w:sz="4" w:space="0" w:color="auto"/>
            </w:tcBorders>
            <w:noWrap/>
            <w:vAlign w:val="center"/>
          </w:tcPr>
          <w:p w14:paraId="433D3A3D" w14:textId="77777777" w:rsidR="000622A2" w:rsidRPr="0098625E" w:rsidRDefault="000622A2" w:rsidP="000622A2">
            <w:pPr>
              <w:jc w:val="center"/>
              <w:rPr>
                <w:rFonts w:ascii="Times New Roman" w:hAnsi="Times New Roman"/>
                <w:color w:val="000000"/>
                <w:sz w:val="20"/>
              </w:rPr>
            </w:pPr>
            <w:r>
              <w:rPr>
                <w:rFonts w:ascii="Times New Roman" w:hAnsi="Times New Roman"/>
                <w:color w:val="000000"/>
                <w:sz w:val="20"/>
              </w:rPr>
              <w:t>5,401</w:t>
            </w:r>
          </w:p>
        </w:tc>
        <w:tc>
          <w:tcPr>
            <w:tcW w:w="5225" w:type="dxa"/>
            <w:tcBorders>
              <w:top w:val="single" w:sz="4" w:space="0" w:color="auto"/>
              <w:left w:val="single" w:sz="4" w:space="0" w:color="auto"/>
              <w:bottom w:val="single" w:sz="4" w:space="0" w:color="auto"/>
              <w:right w:val="single" w:sz="4" w:space="0" w:color="auto"/>
            </w:tcBorders>
            <w:vAlign w:val="center"/>
            <w:hideMark/>
          </w:tcPr>
          <w:p w14:paraId="1EF0036A"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10% BMP credit on load to groundwater, assuming 100% </w:t>
            </w:r>
          </w:p>
          <w:p w14:paraId="78BFB765"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owner-implemented BMPs at all livestock facilities</w:t>
            </w:r>
          </w:p>
        </w:tc>
      </w:tr>
      <w:tr w:rsidR="000622A2" w:rsidRPr="0098625E" w14:paraId="3A394F65" w14:textId="77777777" w:rsidTr="000622A2">
        <w:trPr>
          <w:trHeight w:val="347"/>
          <w:jc w:val="center"/>
        </w:trPr>
        <w:tc>
          <w:tcPr>
            <w:tcW w:w="1980" w:type="dxa"/>
            <w:tcBorders>
              <w:top w:val="single" w:sz="4" w:space="0" w:color="auto"/>
              <w:left w:val="single" w:sz="4" w:space="0" w:color="auto"/>
              <w:bottom w:val="single" w:sz="4" w:space="0" w:color="auto"/>
              <w:right w:val="single" w:sz="4" w:space="0" w:color="auto"/>
            </w:tcBorders>
            <w:noWrap/>
            <w:vAlign w:val="center"/>
          </w:tcPr>
          <w:p w14:paraId="0348E99D" w14:textId="77777777" w:rsidR="000622A2" w:rsidRPr="00C12FDE" w:rsidRDefault="000622A2" w:rsidP="000622A2">
            <w:pPr>
              <w:jc w:val="center"/>
              <w:rPr>
                <w:rFonts w:ascii="Times New Roman" w:hAnsi="Times New Roman"/>
                <w:b/>
                <w:color w:val="000000"/>
                <w:sz w:val="20"/>
              </w:rPr>
            </w:pPr>
            <w:r>
              <w:rPr>
                <w:rFonts w:ascii="Times New Roman" w:hAnsi="Times New Roman"/>
                <w:b/>
                <w:color w:val="000000"/>
                <w:sz w:val="20"/>
              </w:rPr>
              <w:t>STF</w:t>
            </w:r>
          </w:p>
        </w:tc>
        <w:tc>
          <w:tcPr>
            <w:tcW w:w="2155" w:type="dxa"/>
            <w:tcBorders>
              <w:top w:val="single" w:sz="4" w:space="0" w:color="auto"/>
              <w:left w:val="single" w:sz="4" w:space="0" w:color="auto"/>
              <w:bottom w:val="single" w:sz="4" w:space="0" w:color="auto"/>
              <w:right w:val="single" w:sz="4" w:space="0" w:color="auto"/>
            </w:tcBorders>
            <w:noWrap/>
            <w:vAlign w:val="center"/>
          </w:tcPr>
          <w:p w14:paraId="1F36E8A8" w14:textId="77777777" w:rsidR="000622A2" w:rsidRDefault="000622A2" w:rsidP="000622A2">
            <w:pPr>
              <w:jc w:val="center"/>
              <w:rPr>
                <w:rFonts w:ascii="Times New Roman" w:hAnsi="Times New Roman"/>
                <w:color w:val="000000"/>
                <w:sz w:val="20"/>
              </w:rPr>
            </w:pPr>
            <w:r w:rsidRPr="00013132">
              <w:rPr>
                <w:rFonts w:ascii="Times New Roman" w:hAnsi="Times New Roman"/>
                <w:color w:val="000000"/>
                <w:sz w:val="20"/>
              </w:rPr>
              <w:t>‒</w:t>
            </w:r>
          </w:p>
        </w:tc>
        <w:tc>
          <w:tcPr>
            <w:tcW w:w="5225" w:type="dxa"/>
            <w:tcBorders>
              <w:top w:val="single" w:sz="4" w:space="0" w:color="auto"/>
              <w:left w:val="single" w:sz="4" w:space="0" w:color="auto"/>
              <w:bottom w:val="single" w:sz="4" w:space="0" w:color="auto"/>
              <w:right w:val="single" w:sz="4" w:space="0" w:color="auto"/>
            </w:tcBorders>
            <w:vAlign w:val="center"/>
          </w:tcPr>
          <w:p w14:paraId="1888267D"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6% BMP credit for sports fields and 10% BMP credit for golf courses on STF load to groundwater, assuming 100% BMP implementation on golf courses and sports fields</w:t>
            </w:r>
          </w:p>
        </w:tc>
      </w:tr>
      <w:tr w:rsidR="000622A2" w:rsidRPr="0098625E" w14:paraId="2D04950D" w14:textId="77777777" w:rsidTr="000622A2">
        <w:trPr>
          <w:trHeight w:val="347"/>
          <w:jc w:val="center"/>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3A7A231" w14:textId="77777777" w:rsidR="000622A2" w:rsidRPr="00C12FDE" w:rsidRDefault="000622A2" w:rsidP="000622A2">
            <w:pPr>
              <w:jc w:val="center"/>
              <w:rPr>
                <w:rFonts w:ascii="Times New Roman" w:hAnsi="Times New Roman"/>
                <w:b/>
                <w:color w:val="000000"/>
                <w:sz w:val="20"/>
              </w:rPr>
            </w:pPr>
            <w:r w:rsidRPr="00C12FDE">
              <w:rPr>
                <w:rFonts w:ascii="Times New Roman" w:hAnsi="Times New Roman"/>
                <w:b/>
                <w:color w:val="000000"/>
                <w:sz w:val="20"/>
              </w:rPr>
              <w:t>WWTF</w:t>
            </w:r>
          </w:p>
        </w:tc>
        <w:tc>
          <w:tcPr>
            <w:tcW w:w="2155" w:type="dxa"/>
            <w:tcBorders>
              <w:top w:val="single" w:sz="4" w:space="0" w:color="auto"/>
              <w:left w:val="single" w:sz="4" w:space="0" w:color="auto"/>
              <w:bottom w:val="single" w:sz="4" w:space="0" w:color="auto"/>
              <w:right w:val="single" w:sz="4" w:space="0" w:color="auto"/>
            </w:tcBorders>
            <w:noWrap/>
            <w:vAlign w:val="center"/>
          </w:tcPr>
          <w:p w14:paraId="11061D1A" w14:textId="77777777" w:rsidR="000622A2" w:rsidRPr="0098625E" w:rsidRDefault="000622A2" w:rsidP="000622A2">
            <w:pPr>
              <w:jc w:val="center"/>
              <w:rPr>
                <w:rFonts w:ascii="Times New Roman" w:hAnsi="Times New Roman"/>
                <w:color w:val="000000"/>
                <w:sz w:val="20"/>
              </w:rPr>
            </w:pPr>
            <w:r w:rsidRPr="00013132">
              <w:rPr>
                <w:rFonts w:ascii="Times New Roman" w:hAnsi="Times New Roman"/>
                <w:color w:val="000000"/>
                <w:sz w:val="20"/>
              </w:rPr>
              <w:t>‒</w:t>
            </w:r>
          </w:p>
        </w:tc>
        <w:tc>
          <w:tcPr>
            <w:tcW w:w="5225" w:type="dxa"/>
            <w:tcBorders>
              <w:top w:val="single" w:sz="4" w:space="0" w:color="auto"/>
              <w:left w:val="single" w:sz="4" w:space="0" w:color="auto"/>
              <w:bottom w:val="single" w:sz="4" w:space="0" w:color="auto"/>
              <w:right w:val="single" w:sz="4" w:space="0" w:color="auto"/>
            </w:tcBorders>
            <w:vAlign w:val="center"/>
            <w:hideMark/>
          </w:tcPr>
          <w:p w14:paraId="3297261E" w14:textId="77777777" w:rsidR="000622A2" w:rsidRDefault="000622A2" w:rsidP="000622A2">
            <w:pPr>
              <w:jc w:val="center"/>
              <w:rPr>
                <w:rFonts w:ascii="Times New Roman" w:hAnsi="Times New Roman"/>
                <w:color w:val="000000"/>
                <w:sz w:val="20"/>
              </w:rPr>
            </w:pPr>
            <w:r w:rsidRPr="0098625E">
              <w:rPr>
                <w:rFonts w:ascii="Times New Roman" w:hAnsi="Times New Roman"/>
                <w:color w:val="000000"/>
                <w:sz w:val="20"/>
              </w:rPr>
              <w:t xml:space="preserve">Achieved by BMAP WWTF policy if BMAP-wide </w:t>
            </w:r>
          </w:p>
          <w:p w14:paraId="6B9E2529" w14:textId="77777777" w:rsidR="000622A2" w:rsidRPr="0098625E" w:rsidRDefault="000622A2" w:rsidP="000622A2">
            <w:pPr>
              <w:jc w:val="center"/>
              <w:rPr>
                <w:rFonts w:ascii="Times New Roman" w:hAnsi="Times New Roman"/>
                <w:color w:val="000000"/>
                <w:sz w:val="20"/>
              </w:rPr>
            </w:pPr>
            <w:r w:rsidRPr="0098625E">
              <w:rPr>
                <w:rFonts w:ascii="Times New Roman" w:hAnsi="Times New Roman"/>
                <w:color w:val="000000"/>
                <w:sz w:val="20"/>
              </w:rPr>
              <w:t>(achieving 3 or 6 mg/L)</w:t>
            </w:r>
          </w:p>
        </w:tc>
      </w:tr>
      <w:tr w:rsidR="000622A2" w:rsidRPr="0098625E" w14:paraId="07977127" w14:textId="77777777" w:rsidTr="000622A2">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6D0A4" w14:textId="77777777" w:rsidR="000622A2" w:rsidRPr="0098625E" w:rsidRDefault="000622A2" w:rsidP="000622A2">
            <w:pPr>
              <w:jc w:val="center"/>
              <w:rPr>
                <w:rFonts w:ascii="Times New Roman" w:hAnsi="Times New Roman"/>
                <w:b/>
                <w:bCs/>
                <w:color w:val="000000"/>
                <w:sz w:val="20"/>
              </w:rPr>
            </w:pPr>
            <w:r w:rsidRPr="0098625E">
              <w:rPr>
                <w:rFonts w:ascii="Times New Roman" w:hAnsi="Times New Roman"/>
                <w:b/>
                <w:bCs/>
                <w:color w:val="000000"/>
                <w:sz w:val="20"/>
              </w:rPr>
              <w:t>Total Credits</w:t>
            </w:r>
            <w:r>
              <w:rPr>
                <w:rFonts w:ascii="Times New Roman" w:hAnsi="Times New Roman"/>
                <w:b/>
                <w:bCs/>
                <w:color w:val="000000"/>
                <w:sz w:val="20"/>
              </w:rPr>
              <w:t xml:space="preserve"> from BMAP Policies and Submitted Projects</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EF0E8" w14:textId="77777777" w:rsidR="000622A2" w:rsidRPr="0098625E" w:rsidRDefault="000622A2" w:rsidP="000622A2">
            <w:pPr>
              <w:jc w:val="center"/>
              <w:rPr>
                <w:rFonts w:ascii="Times New Roman" w:hAnsi="Times New Roman"/>
                <w:b/>
                <w:bCs/>
                <w:color w:val="000000"/>
                <w:sz w:val="20"/>
              </w:rPr>
            </w:pPr>
            <w:r>
              <w:rPr>
                <w:rFonts w:ascii="Times New Roman" w:hAnsi="Times New Roman"/>
                <w:b/>
                <w:bCs/>
                <w:color w:val="000000"/>
                <w:sz w:val="20"/>
              </w:rPr>
              <w:t>108,198</w:t>
            </w:r>
          </w:p>
        </w:tc>
        <w:tc>
          <w:tcPr>
            <w:tcW w:w="52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3CB923" w14:textId="77777777" w:rsidR="000622A2" w:rsidRPr="0098625E" w:rsidRDefault="000622A2" w:rsidP="000622A2">
            <w:pPr>
              <w:jc w:val="center"/>
              <w:rPr>
                <w:rFonts w:ascii="Times New Roman" w:hAnsi="Times New Roman"/>
                <w:b/>
                <w:bCs/>
                <w:color w:val="000000"/>
                <w:sz w:val="20"/>
              </w:rPr>
            </w:pPr>
          </w:p>
        </w:tc>
      </w:tr>
      <w:tr w:rsidR="000622A2" w:rsidRPr="0098625E" w14:paraId="400EDC5A" w14:textId="77777777" w:rsidTr="000622A2">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C8BE8" w14:textId="77777777" w:rsidR="000622A2" w:rsidRPr="002F271F" w:rsidRDefault="000622A2" w:rsidP="000622A2">
            <w:pPr>
              <w:jc w:val="center"/>
              <w:rPr>
                <w:rFonts w:ascii="Times New Roman" w:hAnsi="Times New Roman"/>
                <w:b/>
                <w:bCs/>
                <w:color w:val="000000"/>
                <w:sz w:val="20"/>
              </w:rPr>
            </w:pPr>
            <w:r w:rsidRPr="002F271F">
              <w:rPr>
                <w:rFonts w:ascii="Times New Roman" w:hAnsi="Times New Roman"/>
                <w:b/>
                <w:bCs/>
                <w:color w:val="000000"/>
                <w:sz w:val="20"/>
              </w:rPr>
              <w:t>Additional Agricultural Projects and Practices</w:t>
            </w:r>
          </w:p>
        </w:tc>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01999" w14:textId="77777777" w:rsidR="000622A2" w:rsidRPr="00A537BA" w:rsidRDefault="000622A2" w:rsidP="000622A2">
            <w:pPr>
              <w:jc w:val="center"/>
              <w:rPr>
                <w:rFonts w:ascii="Times New Roman" w:hAnsi="Times New Roman"/>
                <w:bCs/>
                <w:color w:val="000000"/>
                <w:sz w:val="20"/>
              </w:rPr>
            </w:pPr>
            <w:r w:rsidRPr="00A537BA">
              <w:rPr>
                <w:rFonts w:ascii="Times New Roman" w:hAnsi="Times New Roman"/>
                <w:bCs/>
                <w:color w:val="000000"/>
                <w:sz w:val="20"/>
              </w:rPr>
              <w:t>222,098 – 600,071</w:t>
            </w:r>
          </w:p>
        </w:tc>
        <w:tc>
          <w:tcPr>
            <w:tcW w:w="5225" w:type="dxa"/>
            <w:tcBorders>
              <w:top w:val="single" w:sz="4" w:space="0" w:color="auto"/>
              <w:left w:val="single" w:sz="4" w:space="0" w:color="auto"/>
              <w:bottom w:val="single" w:sz="4" w:space="0" w:color="auto"/>
              <w:right w:val="single" w:sz="4" w:space="0" w:color="auto"/>
            </w:tcBorders>
            <w:shd w:val="clear" w:color="auto" w:fill="auto"/>
            <w:vAlign w:val="center"/>
          </w:tcPr>
          <w:p w14:paraId="1012E604" w14:textId="77777777" w:rsidR="000622A2" w:rsidRPr="0098625E" w:rsidRDefault="000622A2" w:rsidP="000622A2">
            <w:pPr>
              <w:jc w:val="center"/>
              <w:rPr>
                <w:rFonts w:ascii="Times New Roman" w:hAnsi="Times New Roman"/>
                <w:b/>
                <w:bCs/>
                <w:color w:val="000000"/>
                <w:sz w:val="20"/>
              </w:rPr>
            </w:pPr>
            <w:r w:rsidRPr="00537309">
              <w:rPr>
                <w:rFonts w:ascii="Times New Roman" w:hAnsi="Times New Roman"/>
                <w:bCs/>
                <w:color w:val="000000"/>
                <w:sz w:val="20"/>
              </w:rPr>
              <w:t>Pursue additional practices over next 20 years. Conti</w:t>
            </w:r>
            <w:r>
              <w:rPr>
                <w:rFonts w:ascii="Times New Roman" w:hAnsi="Times New Roman"/>
                <w:bCs/>
                <w:color w:val="000000"/>
                <w:sz w:val="20"/>
              </w:rPr>
              <w:t>n</w:t>
            </w:r>
            <w:r w:rsidRPr="00537309">
              <w:rPr>
                <w:rFonts w:ascii="Times New Roman" w:hAnsi="Times New Roman"/>
                <w:bCs/>
                <w:color w:val="000000"/>
                <w:sz w:val="20"/>
              </w:rPr>
              <w:t>gent upon funding. Includes 10%-50% reduction from 100% of fertilized acres with a change in practice</w:t>
            </w:r>
          </w:p>
        </w:tc>
      </w:tr>
      <w:tr w:rsidR="000622A2" w:rsidRPr="0098625E" w14:paraId="093AC904" w14:textId="77777777" w:rsidTr="000622A2">
        <w:trPr>
          <w:trHeight w:val="300"/>
          <w:jc w:val="center"/>
        </w:trPr>
        <w:tc>
          <w:tcPr>
            <w:tcW w:w="1980"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15284BAE" w14:textId="77777777" w:rsidR="000622A2" w:rsidRPr="0098625E" w:rsidRDefault="000622A2" w:rsidP="000622A2">
            <w:pPr>
              <w:jc w:val="center"/>
              <w:rPr>
                <w:rFonts w:ascii="Times New Roman" w:hAnsi="Times New Roman"/>
                <w:b/>
                <w:bCs/>
                <w:color w:val="000000"/>
                <w:sz w:val="20"/>
              </w:rPr>
            </w:pPr>
            <w:r>
              <w:rPr>
                <w:rFonts w:ascii="Times New Roman" w:hAnsi="Times New Roman"/>
                <w:b/>
                <w:bCs/>
                <w:color w:val="000000"/>
                <w:sz w:val="20"/>
              </w:rPr>
              <w:t>Total Credits</w:t>
            </w:r>
          </w:p>
        </w:tc>
        <w:tc>
          <w:tcPr>
            <w:tcW w:w="2155" w:type="dxa"/>
            <w:tcBorders>
              <w:top w:val="single" w:sz="4" w:space="0" w:color="auto"/>
              <w:left w:val="single" w:sz="4" w:space="0" w:color="auto"/>
              <w:bottom w:val="single" w:sz="4" w:space="0" w:color="auto"/>
              <w:right w:val="single" w:sz="4" w:space="0" w:color="auto"/>
            </w:tcBorders>
            <w:shd w:val="clear" w:color="auto" w:fill="FFF2CC"/>
            <w:noWrap/>
            <w:vAlign w:val="center"/>
          </w:tcPr>
          <w:p w14:paraId="45EC03AA" w14:textId="77777777" w:rsidR="000622A2" w:rsidRPr="0098625E" w:rsidRDefault="000622A2" w:rsidP="000622A2">
            <w:pPr>
              <w:jc w:val="center"/>
              <w:rPr>
                <w:rFonts w:ascii="Times New Roman" w:hAnsi="Times New Roman"/>
                <w:b/>
                <w:bCs/>
                <w:color w:val="000000"/>
                <w:sz w:val="20"/>
              </w:rPr>
            </w:pPr>
            <w:r>
              <w:rPr>
                <w:rFonts w:ascii="Times New Roman" w:hAnsi="Times New Roman"/>
                <w:b/>
                <w:bCs/>
                <w:color w:val="000000"/>
                <w:sz w:val="20"/>
              </w:rPr>
              <w:t>330,287 -708,260</w:t>
            </w:r>
          </w:p>
        </w:tc>
        <w:tc>
          <w:tcPr>
            <w:tcW w:w="5225" w:type="dxa"/>
            <w:tcBorders>
              <w:top w:val="single" w:sz="4" w:space="0" w:color="auto"/>
              <w:left w:val="single" w:sz="4" w:space="0" w:color="auto"/>
              <w:bottom w:val="single" w:sz="4" w:space="0" w:color="auto"/>
              <w:right w:val="single" w:sz="4" w:space="0" w:color="auto"/>
            </w:tcBorders>
            <w:shd w:val="clear" w:color="auto" w:fill="FFF2CC"/>
            <w:vAlign w:val="center"/>
          </w:tcPr>
          <w:p w14:paraId="0A55661B" w14:textId="77777777" w:rsidR="000622A2" w:rsidRPr="00BE5A45" w:rsidRDefault="000622A2" w:rsidP="000622A2">
            <w:pPr>
              <w:jc w:val="center"/>
              <w:rPr>
                <w:rFonts w:ascii="Times New Roman" w:hAnsi="Times New Roman"/>
                <w:b/>
                <w:bCs/>
                <w:color w:val="000000"/>
                <w:sz w:val="20"/>
              </w:rPr>
            </w:pPr>
            <w:r w:rsidRPr="00BE5A45">
              <w:rPr>
                <w:rFonts w:ascii="Times New Roman" w:hAnsi="Times New Roman"/>
                <w:b/>
                <w:bCs/>
                <w:color w:val="000000"/>
                <w:sz w:val="20"/>
              </w:rPr>
              <w:t>Estimated load reduction to meet the TMDLs is 651,982 lb-N/yr</w:t>
            </w:r>
          </w:p>
        </w:tc>
      </w:tr>
    </w:tbl>
    <w:p w14:paraId="2F3E6290" w14:textId="77777777" w:rsidR="000622A2" w:rsidRPr="004B3E82" w:rsidRDefault="000622A2" w:rsidP="000622A2">
      <w:pPr>
        <w:pStyle w:val="Bodytextreduced"/>
      </w:pPr>
    </w:p>
    <w:p w14:paraId="47FB4654" w14:textId="6B49C528" w:rsidR="00C2366B" w:rsidRPr="00C2366B" w:rsidRDefault="0014472C" w:rsidP="0014472C">
      <w:pPr>
        <w:pStyle w:val="Heading2"/>
      </w:pPr>
      <w:bookmarkStart w:id="105" w:name="_Toc514677662"/>
      <w:r>
        <w:t xml:space="preserve">OSTDS </w:t>
      </w:r>
      <w:r w:rsidRPr="00485D08">
        <w:t>Management</w:t>
      </w:r>
      <w:r>
        <w:t xml:space="preserve"> Strategies</w:t>
      </w:r>
      <w:bookmarkEnd w:id="105"/>
    </w:p>
    <w:p w14:paraId="3A1996BC" w14:textId="28EDA988" w:rsidR="00DB0F6B" w:rsidRDefault="00DB0F6B" w:rsidP="00DB0F6B">
      <w:pPr>
        <w:pStyle w:val="BodyText"/>
      </w:pPr>
      <w:r>
        <w:t xml:space="preserve">Overall, there </w:t>
      </w:r>
      <w:r w:rsidRPr="00A61033">
        <w:t xml:space="preserve">are </w:t>
      </w:r>
      <w:r>
        <w:t xml:space="preserve">currently </w:t>
      </w:r>
      <w:r w:rsidR="00F41E49">
        <w:t>an estimated 479 O</w:t>
      </w:r>
      <w:r w:rsidRPr="00A61033">
        <w:t xml:space="preserve">STDS in the PFA on lots less than </w:t>
      </w:r>
      <w:r w:rsidR="00C6351A">
        <w:t>one</w:t>
      </w:r>
      <w:r>
        <w:t xml:space="preserve"> acre</w:t>
      </w:r>
      <w:r w:rsidRPr="00A61033">
        <w:t xml:space="preserve">, based on FDOH estimates. This BMAP </w:t>
      </w:r>
      <w:r>
        <w:t xml:space="preserve">lists </w:t>
      </w:r>
      <w:r w:rsidR="00F41E49">
        <w:t>three</w:t>
      </w:r>
      <w:r w:rsidRPr="00A61033">
        <w:t xml:space="preserve"> specific projects (</w:t>
      </w:r>
      <w:r w:rsidRPr="00A61033">
        <w:rPr>
          <w:b/>
        </w:rPr>
        <w:t>Appendix B</w:t>
      </w:r>
      <w:r w:rsidRPr="00A61033">
        <w:t xml:space="preserve">) that reduce </w:t>
      </w:r>
      <w:r>
        <w:t>nitrogen</w:t>
      </w:r>
      <w:r w:rsidRPr="00A61033">
        <w:t xml:space="preserve"> loading </w:t>
      </w:r>
      <w:r>
        <w:t xml:space="preserve">from existing OSTDS on variably sized parcels </w:t>
      </w:r>
      <w:r w:rsidRPr="00A61033">
        <w:t xml:space="preserve">by </w:t>
      </w:r>
      <w:r>
        <w:t xml:space="preserve">a total of </w:t>
      </w:r>
      <w:r w:rsidR="00F41E49">
        <w:t>3,294</w:t>
      </w:r>
      <w:r w:rsidRPr="00A61033">
        <w:t xml:space="preserve"> lb-N/yr.</w:t>
      </w:r>
      <w:r>
        <w:t xml:space="preserve"> </w:t>
      </w:r>
      <w:r w:rsidRPr="00A61033">
        <w:rPr>
          <w:b/>
        </w:rPr>
        <w:t xml:space="preserve">Figure </w:t>
      </w:r>
      <w:r w:rsidR="00F41E49">
        <w:rPr>
          <w:b/>
        </w:rPr>
        <w:t>3</w:t>
      </w:r>
      <w:r w:rsidRPr="00A61033">
        <w:t xml:space="preserve"> show</w:t>
      </w:r>
      <w:r w:rsidR="00F41E49">
        <w:t>s</w:t>
      </w:r>
      <w:r w:rsidRPr="00A61033">
        <w:rPr>
          <w:b/>
        </w:rPr>
        <w:t xml:space="preserve"> </w:t>
      </w:r>
      <w:r w:rsidRPr="00A61033">
        <w:t xml:space="preserve">the locations </w:t>
      </w:r>
      <w:r>
        <w:t xml:space="preserve">of all OSTDS </w:t>
      </w:r>
      <w:r w:rsidRPr="00A61033">
        <w:t xml:space="preserve">in </w:t>
      </w:r>
      <w:r w:rsidR="00F41E49">
        <w:t>the BMAP area, including the PFA</w:t>
      </w:r>
      <w:r w:rsidRPr="00A61033">
        <w:t>.</w:t>
      </w:r>
      <w:r>
        <w:t xml:space="preserve"> </w:t>
      </w:r>
    </w:p>
    <w:p w14:paraId="336D5FDD" w14:textId="0A2C8659" w:rsidR="00C6351A" w:rsidRDefault="001878BC" w:rsidP="001878BC">
      <w:pPr>
        <w:pStyle w:val="BodyText"/>
      </w:pPr>
      <w:r>
        <w:t xml:space="preserve">In </w:t>
      </w:r>
      <w:r w:rsidR="00DB0F6B">
        <w:t xml:space="preserve">addition to the </w:t>
      </w:r>
      <w:r w:rsidR="00F41E49">
        <w:t>three</w:t>
      </w:r>
      <w:r w:rsidR="00DB0F6B">
        <w:t xml:space="preserve"> listed projects</w:t>
      </w:r>
      <w:r>
        <w:t xml:space="preserve">, DEP </w:t>
      </w:r>
      <w:r w:rsidR="001703AF">
        <w:t xml:space="preserve">assessed the </w:t>
      </w:r>
      <w:r w:rsidR="00DB0F6B">
        <w:t xml:space="preserve">overall </w:t>
      </w:r>
      <w:r w:rsidR="001703AF">
        <w:t xml:space="preserve">OSTDS loading </w:t>
      </w:r>
      <w:r w:rsidR="00E60E85">
        <w:t>compared with</w:t>
      </w:r>
      <w:r w:rsidR="001703AF">
        <w:t xml:space="preserve"> other nitrogen sources in the PFA</w:t>
      </w:r>
      <w:r w:rsidR="00E60E85">
        <w:t>, as well as</w:t>
      </w:r>
      <w:r w:rsidR="001703AF">
        <w:t xml:space="preserve"> the relative loading in the </w:t>
      </w:r>
      <w:r w:rsidR="00DB0F6B">
        <w:t xml:space="preserve">wider </w:t>
      </w:r>
      <w:r w:rsidR="001703AF">
        <w:t xml:space="preserve">BMAP area. Based on these assessments, DEP </w:t>
      </w:r>
      <w:r>
        <w:t xml:space="preserve">has determined that for the </w:t>
      </w:r>
      <w:r w:rsidR="00F41E49">
        <w:t>Jackson Blue</w:t>
      </w:r>
      <w:r>
        <w:t xml:space="preserve"> BMAP area, OSTDS </w:t>
      </w:r>
      <w:r w:rsidR="007A564E">
        <w:t>contribute less than</w:t>
      </w:r>
      <w:r>
        <w:t xml:space="preserve"> 20 % of nonpoint source nitrogen pollution </w:t>
      </w:r>
      <w:r w:rsidR="007A564E">
        <w:t>to</w:t>
      </w:r>
      <w:r>
        <w:t xml:space="preserve"> </w:t>
      </w:r>
      <w:r w:rsidR="00355627">
        <w:t>the</w:t>
      </w:r>
      <w:r>
        <w:t xml:space="preserve"> </w:t>
      </w:r>
      <w:r w:rsidR="007A564E">
        <w:t>OFS</w:t>
      </w:r>
      <w:r>
        <w:t xml:space="preserve">. </w:t>
      </w:r>
      <w:r w:rsidR="00DB0F6B">
        <w:t>Per</w:t>
      </w:r>
      <w:r w:rsidR="00E60E85">
        <w:t xml:space="preserve"> the </w:t>
      </w:r>
      <w:r w:rsidR="00F41E49">
        <w:t>Jackson Blue</w:t>
      </w:r>
      <w:r>
        <w:t xml:space="preserve"> NSILT</w:t>
      </w:r>
      <w:r w:rsidR="007A363D">
        <w:t>,</w:t>
      </w:r>
      <w:r>
        <w:t xml:space="preserve"> septic systems contribute 3 % pollutant loading in the springshed area</w:t>
      </w:r>
      <w:r w:rsidR="007A564E">
        <w:t>s</w:t>
      </w:r>
      <w:r>
        <w:t xml:space="preserve"> and </w:t>
      </w:r>
      <w:r w:rsidR="00682E86" w:rsidRPr="00682E86">
        <w:t>3</w:t>
      </w:r>
      <w:r w:rsidRPr="00682E86">
        <w:t xml:space="preserve"> %</w:t>
      </w:r>
      <w:r>
        <w:t xml:space="preserve"> of the nitrogen loading in the PFA. </w:t>
      </w:r>
      <w:r w:rsidR="00275A4A">
        <w:t xml:space="preserve">Irrespective of the percent contribution, nitrogen loading from OSTDS contribute to the significant degradation of the groundwater, and DEP has determined that an OSTDS remediation plan is necessary to achieve the TMDLs and to limit the increase in nitrogen loads from future growth. </w:t>
      </w:r>
      <w:r w:rsidR="00275A4A" w:rsidRPr="00A17E37">
        <w:t>Accordingly, the</w:t>
      </w:r>
      <w:r w:rsidR="00275A4A">
        <w:t xml:space="preserve"> OSTDS </w:t>
      </w:r>
      <w:r w:rsidR="00275A4A" w:rsidRPr="00A17E37">
        <w:t>remediation plan prohibits</w:t>
      </w:r>
      <w:r w:rsidR="00275A4A">
        <w:t xml:space="preserve"> the installation of</w:t>
      </w:r>
      <w:r w:rsidR="00275A4A" w:rsidRPr="00A17E37">
        <w:t xml:space="preserve"> new </w:t>
      </w:r>
      <w:r w:rsidR="00275A4A">
        <w:t>conventional systems on lots less than 1 acre within the PFA.</w:t>
      </w:r>
      <w:r w:rsidR="00275A4A" w:rsidRPr="00603157">
        <w:t xml:space="preserve"> </w:t>
      </w:r>
      <w:r w:rsidR="00275A4A" w:rsidRPr="00ED2433">
        <w:t xml:space="preserve">The OSTDS remediation plan is incorporated as </w:t>
      </w:r>
      <w:r w:rsidR="00275A4A" w:rsidRPr="00ED2433">
        <w:rPr>
          <w:b/>
        </w:rPr>
        <w:t>Appendix D</w:t>
      </w:r>
      <w:r w:rsidR="00275A4A" w:rsidRPr="00ED2433">
        <w:t>.</w:t>
      </w:r>
    </w:p>
    <w:p w14:paraId="1C081E38" w14:textId="77777777" w:rsidR="00D76AC7" w:rsidRDefault="00D76AC7">
      <w:pPr>
        <w:jc w:val="left"/>
        <w:rPr>
          <w:rFonts w:ascii="Times New Roman" w:hAnsi="Times New Roman"/>
          <w:sz w:val="24"/>
        </w:rPr>
      </w:pPr>
      <w:r>
        <w:br w:type="page"/>
      </w:r>
    </w:p>
    <w:p w14:paraId="49B550EB" w14:textId="22438D9E" w:rsidR="00A65398" w:rsidRDefault="009E3E14" w:rsidP="00781BF0">
      <w:pPr>
        <w:pStyle w:val="BodyText"/>
      </w:pPr>
      <w:r w:rsidRPr="00EB2A30">
        <w:rPr>
          <w:noProof/>
        </w:rPr>
        <w:drawing>
          <wp:inline distT="0" distB="0" distL="0" distR="0" wp14:anchorId="79F472DF" wp14:editId="7875CF43">
            <wp:extent cx="5943138" cy="7691120"/>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ileServer Data\FDEP Suwannee River\2017 BMAP\BMAP\Maps\SR_071217_LWR_OSTDS.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138" cy="7691120"/>
                    </a:xfrm>
                    <a:prstGeom prst="rect">
                      <a:avLst/>
                    </a:prstGeom>
                    <a:noFill/>
                    <a:ln>
                      <a:noFill/>
                    </a:ln>
                  </pic:spPr>
                </pic:pic>
              </a:graphicData>
            </a:graphic>
          </wp:inline>
        </w:drawing>
      </w:r>
    </w:p>
    <w:p w14:paraId="149C9FCC" w14:textId="5448C97A" w:rsidR="009E3E14" w:rsidRPr="009E3E14" w:rsidRDefault="00250EA7" w:rsidP="00250EA7">
      <w:pPr>
        <w:pStyle w:val="Caption"/>
      </w:pPr>
      <w:bookmarkStart w:id="106" w:name="_Toc511132595"/>
      <w:bookmarkStart w:id="107" w:name="_Toc514430778"/>
      <w:r>
        <w:t xml:space="preserve">Figure </w:t>
      </w:r>
      <w:fldSimple w:instr=" SEQ Figure \* ARABIC ">
        <w:r w:rsidR="002A2E30">
          <w:rPr>
            <w:noProof/>
          </w:rPr>
          <w:t>3</w:t>
        </w:r>
      </w:fldSimple>
      <w:r>
        <w:t xml:space="preserve">. </w:t>
      </w:r>
      <w:r w:rsidR="009E3E14">
        <w:t xml:space="preserve">OSTDS locations in the </w:t>
      </w:r>
      <w:r w:rsidR="00F41E49">
        <w:t>BMAP area</w:t>
      </w:r>
      <w:bookmarkEnd w:id="106"/>
      <w:bookmarkEnd w:id="107"/>
    </w:p>
    <w:p w14:paraId="3AF98040" w14:textId="692AC30B" w:rsidR="00E31E0C" w:rsidRDefault="00E60E85" w:rsidP="00A808E1">
      <w:pPr>
        <w:pStyle w:val="BodyText"/>
        <w:rPr>
          <w:b/>
        </w:rPr>
      </w:pPr>
      <w:r>
        <w:br w:type="page"/>
      </w:r>
      <w:r w:rsidR="00A808E1">
        <w:rPr>
          <w:bCs/>
        </w:rPr>
        <w:t>In addition to the actions outlined in the OSTDS remediation p</w:t>
      </w:r>
      <w:r w:rsidR="00A808E1" w:rsidRPr="00A61033">
        <w:rPr>
          <w:bCs/>
        </w:rPr>
        <w:t>lan (</w:t>
      </w:r>
      <w:r w:rsidR="00A808E1">
        <w:rPr>
          <w:bCs/>
        </w:rPr>
        <w:t xml:space="preserve">incorporated into this BMAP as </w:t>
      </w:r>
      <w:r w:rsidR="00A808E1">
        <w:rPr>
          <w:b/>
          <w:bCs/>
        </w:rPr>
        <w:t>Appendix D</w:t>
      </w:r>
      <w:r w:rsidR="00A808E1" w:rsidRPr="009C3242">
        <w:rPr>
          <w:b/>
        </w:rPr>
        <w:t>)</w:t>
      </w:r>
      <w:r w:rsidR="00A808E1">
        <w:rPr>
          <w:bCs/>
        </w:rPr>
        <w:t>, remedial efforts on existing conventional OSTDS could achieve nitrogen reductions.</w:t>
      </w:r>
      <w:r w:rsidR="00A808E1" w:rsidRPr="009C3242">
        <w:rPr>
          <w:b/>
        </w:rPr>
        <w:t xml:space="preserve"> </w:t>
      </w:r>
    </w:p>
    <w:p w14:paraId="2CAE63CA" w14:textId="0956EB7B" w:rsidR="00A808E1" w:rsidRDefault="00A808E1" w:rsidP="00A808E1">
      <w:pPr>
        <w:pStyle w:val="BodyText"/>
      </w:pPr>
      <w:r w:rsidRPr="00FA5D9F">
        <w:rPr>
          <w:b/>
          <w:bCs/>
        </w:rPr>
        <w:t>Table</w:t>
      </w:r>
      <w:r>
        <w:rPr>
          <w:b/>
          <w:bCs/>
        </w:rPr>
        <w:t xml:space="preserve"> 7 </w:t>
      </w:r>
      <w:r>
        <w:t>summarizes the nitrogen inputs, attenuation and recharge factors, and loads to groundwater for a conventional OSTDS. The conventional OSTDS nitrogen input is based on a per capita contribution of 9.012 lb-N/yr. This value is multiplied by the estimated number of people using the system</w:t>
      </w:r>
      <w:r w:rsidR="00A56DDB">
        <w:t xml:space="preserve"> (i.e., 2.86 persons per household in Jackson County)</w:t>
      </w:r>
      <w:r>
        <w:t xml:space="preserve">. </w:t>
      </w:r>
      <w:r w:rsidR="00A56DDB">
        <w:t xml:space="preserve">Percent reductions for enhanced or replaced systems are applied to the conventional OSTDS nitrogen groundwater loads to valuate possible improvements to groundwater. </w:t>
      </w:r>
      <w:bookmarkStart w:id="108" w:name="_Hlk514257578"/>
      <w:r w:rsidR="00A56DDB" w:rsidRPr="00552C0E">
        <w:t xml:space="preserve">Enhanced OSTDS </w:t>
      </w:r>
      <w:r w:rsidR="00A56DDB">
        <w:t xml:space="preserve">can achieve an estimated 65 % improvement in the load to groundwater compared to a conventional system. </w:t>
      </w:r>
      <w:bookmarkEnd w:id="108"/>
      <w:r w:rsidR="00A56DDB">
        <w:t>OSTDS replaced by sewer</w:t>
      </w:r>
      <w:r w:rsidR="00A56DDB" w:rsidRPr="00552C0E">
        <w:t xml:space="preserve"> reduce the conventional nitrogen inputs by</w:t>
      </w:r>
      <w:r w:rsidR="00A56DDB">
        <w:t xml:space="preserve"> an estimated</w:t>
      </w:r>
      <w:r w:rsidR="00A56DDB" w:rsidRPr="00552C0E">
        <w:t xml:space="preserve"> 95 %</w:t>
      </w:r>
      <w:r w:rsidR="00A56DDB">
        <w:t xml:space="preserve">, assuming a sewer connection to a WWTF meeting AWT levels. </w:t>
      </w:r>
      <w:r>
        <w:t>The results show an estimated nitrogen reduction (i.e., credit) of 7.5 in high recharge areas, 4.2 in medium recharge areas, and 0.8 in low recharge areas for each enhanced OSTDS and an estimated nitrogen reduction of 11.0 in high recharge areas, 6.1 in medium recharge areas, and 1.2 in low recharge areas for each replaced OSTDS.</w:t>
      </w:r>
    </w:p>
    <w:p w14:paraId="39370BCF" w14:textId="045334EA" w:rsidR="00A808E1" w:rsidRDefault="00E31E0C" w:rsidP="00E31E0C">
      <w:pPr>
        <w:pStyle w:val="Caption"/>
        <w:rPr>
          <w:sz w:val="20"/>
        </w:rPr>
      </w:pPr>
      <w:bookmarkStart w:id="109" w:name="_Toc514430957"/>
      <w:r>
        <w:t xml:space="preserve">Table </w:t>
      </w:r>
      <w:fldSimple w:instr=" SEQ Table \* ARABIC ">
        <w:r w:rsidR="002A2E30">
          <w:rPr>
            <w:noProof/>
          </w:rPr>
          <w:t>7</w:t>
        </w:r>
      </w:fldSimple>
      <w:r w:rsidR="00A808E1">
        <w:t>. Estimated individual OSTDS improvements to groundwater</w:t>
      </w:r>
      <w:bookmarkEnd w:id="109"/>
      <w:r w:rsidR="00A808E1">
        <w:t xml:space="preserve">  </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5"/>
        <w:gridCol w:w="2315"/>
        <w:gridCol w:w="1980"/>
        <w:gridCol w:w="1800"/>
      </w:tblGrid>
      <w:tr w:rsidR="00A808E1" w:rsidRPr="00013132" w14:paraId="0DE50FC8" w14:textId="77777777" w:rsidTr="00EE6C95">
        <w:trPr>
          <w:trHeight w:val="503"/>
          <w:jc w:val="center"/>
        </w:trPr>
        <w:tc>
          <w:tcPr>
            <w:tcW w:w="2275" w:type="dxa"/>
            <w:vMerge w:val="restart"/>
            <w:shd w:val="clear" w:color="auto" w:fill="DEEAF6" w:themeFill="accent1" w:themeFillTint="33"/>
            <w:noWrap/>
            <w:tcMar>
              <w:top w:w="0" w:type="dxa"/>
              <w:left w:w="108" w:type="dxa"/>
              <w:bottom w:w="0" w:type="dxa"/>
              <w:right w:w="108" w:type="dxa"/>
            </w:tcMar>
            <w:vAlign w:val="bottom"/>
            <w:hideMark/>
          </w:tcPr>
          <w:p w14:paraId="0FCCCC5C" w14:textId="77777777" w:rsidR="00A808E1" w:rsidRPr="00013132" w:rsidRDefault="00A808E1" w:rsidP="00EE6C95">
            <w:pPr>
              <w:jc w:val="center"/>
              <w:rPr>
                <w:rFonts w:ascii="Times New Roman" w:hAnsi="Times New Roman"/>
                <w:b/>
                <w:bCs/>
                <w:color w:val="000000"/>
                <w:sz w:val="20"/>
              </w:rPr>
            </w:pPr>
            <w:r w:rsidRPr="00013132">
              <w:rPr>
                <w:rFonts w:ascii="Times New Roman" w:hAnsi="Times New Roman"/>
                <w:b/>
                <w:bCs/>
                <w:color w:val="000000"/>
                <w:sz w:val="20"/>
              </w:rPr>
              <w:t>Recharge Category</w:t>
            </w:r>
          </w:p>
        </w:tc>
        <w:tc>
          <w:tcPr>
            <w:tcW w:w="2315" w:type="dxa"/>
            <w:vMerge w:val="restart"/>
            <w:shd w:val="clear" w:color="auto" w:fill="DEEAF6" w:themeFill="accent1" w:themeFillTint="33"/>
            <w:tcMar>
              <w:top w:w="0" w:type="dxa"/>
              <w:left w:w="108" w:type="dxa"/>
              <w:bottom w:w="0" w:type="dxa"/>
              <w:right w:w="108" w:type="dxa"/>
            </w:tcMar>
            <w:vAlign w:val="bottom"/>
            <w:hideMark/>
          </w:tcPr>
          <w:p w14:paraId="3EC895D3" w14:textId="77777777" w:rsidR="00A808E1" w:rsidRPr="00013132" w:rsidRDefault="00A808E1" w:rsidP="00EE6C95">
            <w:pPr>
              <w:jc w:val="center"/>
              <w:rPr>
                <w:rFonts w:ascii="Times New Roman" w:hAnsi="Times New Roman"/>
                <w:b/>
                <w:bCs/>
                <w:color w:val="000000"/>
                <w:sz w:val="20"/>
              </w:rPr>
            </w:pPr>
            <w:r w:rsidRPr="00013132">
              <w:rPr>
                <w:rFonts w:ascii="Times New Roman" w:hAnsi="Times New Roman"/>
                <w:b/>
                <w:bCs/>
                <w:color w:val="000000"/>
                <w:sz w:val="20"/>
              </w:rPr>
              <w:t>Conventional OSTDS Load To Groundwater (lb-N/yr/OSTDS)</w:t>
            </w:r>
          </w:p>
        </w:tc>
        <w:tc>
          <w:tcPr>
            <w:tcW w:w="3780" w:type="dxa"/>
            <w:gridSpan w:val="2"/>
            <w:shd w:val="clear" w:color="auto" w:fill="DEEAF6" w:themeFill="accent1" w:themeFillTint="33"/>
            <w:tcMar>
              <w:top w:w="0" w:type="dxa"/>
              <w:left w:w="108" w:type="dxa"/>
              <w:bottom w:w="0" w:type="dxa"/>
              <w:right w:w="108" w:type="dxa"/>
            </w:tcMar>
            <w:vAlign w:val="bottom"/>
            <w:hideMark/>
          </w:tcPr>
          <w:p w14:paraId="3028A688" w14:textId="77777777" w:rsidR="00A808E1" w:rsidRPr="00013132" w:rsidRDefault="00A808E1" w:rsidP="00EE6C95">
            <w:pPr>
              <w:jc w:val="center"/>
              <w:rPr>
                <w:rFonts w:ascii="Times New Roman" w:hAnsi="Times New Roman"/>
                <w:b/>
                <w:bCs/>
                <w:sz w:val="20"/>
              </w:rPr>
            </w:pPr>
            <w:r w:rsidRPr="00013132">
              <w:rPr>
                <w:rFonts w:ascii="Times New Roman" w:hAnsi="Times New Roman"/>
                <w:b/>
                <w:bCs/>
                <w:sz w:val="20"/>
              </w:rPr>
              <w:t xml:space="preserve">Reduction to Groundwater </w:t>
            </w:r>
          </w:p>
          <w:p w14:paraId="228971F2" w14:textId="77777777" w:rsidR="00A808E1" w:rsidRPr="00013132" w:rsidRDefault="00A808E1" w:rsidP="00EE6C95">
            <w:pPr>
              <w:jc w:val="center"/>
              <w:rPr>
                <w:rFonts w:ascii="Times New Roman" w:hAnsi="Times New Roman"/>
                <w:b/>
                <w:bCs/>
                <w:sz w:val="20"/>
              </w:rPr>
            </w:pPr>
            <w:r w:rsidRPr="00013132">
              <w:rPr>
                <w:rFonts w:ascii="Times New Roman" w:hAnsi="Times New Roman"/>
                <w:b/>
                <w:bCs/>
                <w:sz w:val="20"/>
              </w:rPr>
              <w:t>(lb-N/yr/OSTDS)</w:t>
            </w:r>
          </w:p>
        </w:tc>
      </w:tr>
      <w:tr w:rsidR="00A808E1" w:rsidRPr="00013132" w14:paraId="464A2F5D" w14:textId="77777777" w:rsidTr="00EE6C95">
        <w:trPr>
          <w:trHeight w:val="260"/>
          <w:jc w:val="center"/>
        </w:trPr>
        <w:tc>
          <w:tcPr>
            <w:tcW w:w="2275" w:type="dxa"/>
            <w:vMerge/>
            <w:shd w:val="clear" w:color="auto" w:fill="DEEAF6" w:themeFill="accent1" w:themeFillTint="33"/>
            <w:vAlign w:val="center"/>
            <w:hideMark/>
          </w:tcPr>
          <w:p w14:paraId="279B2E58" w14:textId="77777777" w:rsidR="00A808E1" w:rsidRPr="00013132" w:rsidRDefault="00A808E1" w:rsidP="00EE6C95">
            <w:pPr>
              <w:rPr>
                <w:rFonts w:ascii="Times New Roman" w:eastAsiaTheme="minorHAnsi" w:hAnsi="Times New Roman"/>
                <w:b/>
                <w:bCs/>
                <w:color w:val="000000"/>
                <w:sz w:val="20"/>
              </w:rPr>
            </w:pPr>
          </w:p>
        </w:tc>
        <w:tc>
          <w:tcPr>
            <w:tcW w:w="0" w:type="auto"/>
            <w:vMerge/>
            <w:shd w:val="clear" w:color="auto" w:fill="DEEAF6" w:themeFill="accent1" w:themeFillTint="33"/>
            <w:vAlign w:val="center"/>
            <w:hideMark/>
          </w:tcPr>
          <w:p w14:paraId="074DB2C6" w14:textId="77777777" w:rsidR="00A808E1" w:rsidRPr="00013132" w:rsidRDefault="00A808E1" w:rsidP="00EE6C95">
            <w:pPr>
              <w:rPr>
                <w:rFonts w:ascii="Times New Roman" w:eastAsiaTheme="minorHAnsi" w:hAnsi="Times New Roman"/>
                <w:b/>
                <w:bCs/>
                <w:color w:val="000000"/>
                <w:sz w:val="20"/>
              </w:rPr>
            </w:pPr>
          </w:p>
        </w:tc>
        <w:tc>
          <w:tcPr>
            <w:tcW w:w="1980" w:type="dxa"/>
            <w:shd w:val="clear" w:color="auto" w:fill="DEEAF6" w:themeFill="accent1" w:themeFillTint="33"/>
            <w:tcMar>
              <w:top w:w="0" w:type="dxa"/>
              <w:left w:w="108" w:type="dxa"/>
              <w:bottom w:w="0" w:type="dxa"/>
              <w:right w:w="108" w:type="dxa"/>
            </w:tcMar>
            <w:vAlign w:val="bottom"/>
            <w:hideMark/>
          </w:tcPr>
          <w:p w14:paraId="4AD01060" w14:textId="77777777" w:rsidR="00A808E1" w:rsidRPr="00013132" w:rsidRDefault="00A808E1" w:rsidP="00EE6C95">
            <w:pPr>
              <w:jc w:val="center"/>
              <w:rPr>
                <w:rFonts w:ascii="Times New Roman" w:hAnsi="Times New Roman"/>
                <w:b/>
                <w:bCs/>
                <w:color w:val="000000"/>
                <w:sz w:val="20"/>
              </w:rPr>
            </w:pPr>
            <w:r w:rsidRPr="00013132">
              <w:rPr>
                <w:rFonts w:ascii="Times New Roman" w:hAnsi="Times New Roman"/>
                <w:b/>
                <w:bCs/>
                <w:color w:val="000000"/>
                <w:sz w:val="20"/>
              </w:rPr>
              <w:t xml:space="preserve">Enhanced OSTDS </w:t>
            </w:r>
          </w:p>
        </w:tc>
        <w:tc>
          <w:tcPr>
            <w:tcW w:w="1800" w:type="dxa"/>
            <w:shd w:val="clear" w:color="auto" w:fill="DEEAF6" w:themeFill="accent1" w:themeFillTint="33"/>
            <w:tcMar>
              <w:top w:w="0" w:type="dxa"/>
              <w:left w:w="108" w:type="dxa"/>
              <w:bottom w:w="0" w:type="dxa"/>
              <w:right w:w="108" w:type="dxa"/>
            </w:tcMar>
            <w:vAlign w:val="bottom"/>
            <w:hideMark/>
          </w:tcPr>
          <w:p w14:paraId="2B11006D" w14:textId="77777777" w:rsidR="00A808E1" w:rsidRPr="00013132" w:rsidRDefault="00A808E1" w:rsidP="00EE6C95">
            <w:pPr>
              <w:jc w:val="center"/>
              <w:rPr>
                <w:rFonts w:ascii="Times New Roman" w:hAnsi="Times New Roman"/>
                <w:b/>
                <w:bCs/>
                <w:color w:val="000000"/>
                <w:sz w:val="20"/>
              </w:rPr>
            </w:pPr>
            <w:r w:rsidRPr="00013132">
              <w:rPr>
                <w:rFonts w:ascii="Times New Roman" w:hAnsi="Times New Roman"/>
                <w:b/>
                <w:bCs/>
                <w:color w:val="000000"/>
                <w:sz w:val="20"/>
              </w:rPr>
              <w:t>Replaced OSTDS</w:t>
            </w:r>
          </w:p>
        </w:tc>
      </w:tr>
      <w:tr w:rsidR="00A808E1" w:rsidRPr="00013132" w14:paraId="509CBCA8" w14:textId="77777777" w:rsidTr="00EE6C95">
        <w:trPr>
          <w:trHeight w:val="300"/>
          <w:jc w:val="center"/>
        </w:trPr>
        <w:tc>
          <w:tcPr>
            <w:tcW w:w="2275" w:type="dxa"/>
            <w:noWrap/>
            <w:tcMar>
              <w:top w:w="0" w:type="dxa"/>
              <w:left w:w="108" w:type="dxa"/>
              <w:bottom w:w="0" w:type="dxa"/>
              <w:right w:w="108" w:type="dxa"/>
            </w:tcMar>
            <w:vAlign w:val="bottom"/>
            <w:hideMark/>
          </w:tcPr>
          <w:p w14:paraId="2707CD7E" w14:textId="77777777" w:rsidR="00A808E1" w:rsidRPr="00D36E73" w:rsidRDefault="00A808E1" w:rsidP="00EE6C95">
            <w:pPr>
              <w:jc w:val="center"/>
              <w:rPr>
                <w:rFonts w:ascii="Times New Roman" w:hAnsi="Times New Roman"/>
                <w:b/>
                <w:color w:val="000000"/>
                <w:sz w:val="20"/>
              </w:rPr>
            </w:pPr>
            <w:r w:rsidRPr="00D36E73">
              <w:rPr>
                <w:rFonts w:ascii="Times New Roman" w:hAnsi="Times New Roman"/>
                <w:b/>
                <w:color w:val="000000"/>
                <w:sz w:val="20"/>
              </w:rPr>
              <w:t xml:space="preserve">Nitrogen Input </w:t>
            </w:r>
          </w:p>
        </w:tc>
        <w:tc>
          <w:tcPr>
            <w:tcW w:w="2315" w:type="dxa"/>
            <w:noWrap/>
            <w:tcMar>
              <w:top w:w="0" w:type="dxa"/>
              <w:left w:w="108" w:type="dxa"/>
              <w:bottom w:w="0" w:type="dxa"/>
              <w:right w:w="108" w:type="dxa"/>
            </w:tcMar>
            <w:vAlign w:val="bottom"/>
            <w:hideMark/>
          </w:tcPr>
          <w:p w14:paraId="716311EB" w14:textId="669488CD" w:rsidR="00A808E1" w:rsidRPr="00013132" w:rsidRDefault="00A808E1" w:rsidP="00EE6C95">
            <w:pPr>
              <w:jc w:val="center"/>
              <w:rPr>
                <w:rFonts w:ascii="Times New Roman" w:hAnsi="Times New Roman"/>
                <w:color w:val="000000"/>
                <w:sz w:val="20"/>
              </w:rPr>
            </w:pPr>
            <w:r>
              <w:rPr>
                <w:rFonts w:ascii="Times New Roman" w:hAnsi="Times New Roman"/>
                <w:color w:val="000000"/>
                <w:sz w:val="20"/>
              </w:rPr>
              <w:t>26</w:t>
            </w:r>
          </w:p>
        </w:tc>
        <w:tc>
          <w:tcPr>
            <w:tcW w:w="1980" w:type="dxa"/>
            <w:noWrap/>
            <w:tcMar>
              <w:top w:w="0" w:type="dxa"/>
              <w:left w:w="108" w:type="dxa"/>
              <w:bottom w:w="0" w:type="dxa"/>
              <w:right w:w="108" w:type="dxa"/>
            </w:tcMar>
            <w:vAlign w:val="bottom"/>
            <w:hideMark/>
          </w:tcPr>
          <w:p w14:paraId="00B35897" w14:textId="77777777" w:rsidR="00A808E1" w:rsidRPr="00013132" w:rsidRDefault="00A808E1" w:rsidP="00EE6C95">
            <w:pPr>
              <w:jc w:val="center"/>
              <w:rPr>
                <w:rFonts w:ascii="Times New Roman" w:hAnsi="Times New Roman"/>
                <w:color w:val="000000"/>
                <w:sz w:val="20"/>
              </w:rPr>
            </w:pPr>
            <w:r w:rsidRPr="00013132">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7B5A41D7" w14:textId="77777777" w:rsidR="00A808E1" w:rsidRPr="00013132" w:rsidRDefault="00A808E1" w:rsidP="00EE6C95">
            <w:pPr>
              <w:jc w:val="center"/>
              <w:rPr>
                <w:rFonts w:ascii="Times New Roman" w:hAnsi="Times New Roman"/>
                <w:color w:val="000000"/>
                <w:sz w:val="20"/>
              </w:rPr>
            </w:pPr>
            <w:r w:rsidRPr="00013132">
              <w:rPr>
                <w:rFonts w:ascii="Times New Roman" w:hAnsi="Times New Roman"/>
                <w:color w:val="000000"/>
                <w:sz w:val="20"/>
              </w:rPr>
              <w:t>‒</w:t>
            </w:r>
          </w:p>
        </w:tc>
      </w:tr>
      <w:tr w:rsidR="00A808E1" w:rsidRPr="00013132" w14:paraId="273B05C0" w14:textId="77777777" w:rsidTr="00EE6C95">
        <w:trPr>
          <w:trHeight w:val="300"/>
          <w:jc w:val="center"/>
        </w:trPr>
        <w:tc>
          <w:tcPr>
            <w:tcW w:w="2275" w:type="dxa"/>
            <w:tcMar>
              <w:top w:w="0" w:type="dxa"/>
              <w:left w:w="108" w:type="dxa"/>
              <w:bottom w:w="0" w:type="dxa"/>
              <w:right w:w="108" w:type="dxa"/>
            </w:tcMar>
            <w:vAlign w:val="bottom"/>
            <w:hideMark/>
          </w:tcPr>
          <w:p w14:paraId="27FE5F76" w14:textId="77777777" w:rsidR="00A808E1" w:rsidRPr="00D36E73" w:rsidRDefault="00A808E1" w:rsidP="00EE6C95">
            <w:pPr>
              <w:jc w:val="center"/>
              <w:rPr>
                <w:rFonts w:ascii="Times New Roman" w:hAnsi="Times New Roman"/>
                <w:b/>
                <w:color w:val="000000"/>
                <w:sz w:val="20"/>
              </w:rPr>
            </w:pPr>
            <w:r w:rsidRPr="00D36E73">
              <w:rPr>
                <w:rFonts w:ascii="Times New Roman" w:hAnsi="Times New Roman"/>
                <w:b/>
                <w:color w:val="000000"/>
                <w:sz w:val="20"/>
              </w:rPr>
              <w:t>Attenuation (0.5)</w:t>
            </w:r>
          </w:p>
        </w:tc>
        <w:tc>
          <w:tcPr>
            <w:tcW w:w="2315" w:type="dxa"/>
            <w:noWrap/>
            <w:tcMar>
              <w:top w:w="0" w:type="dxa"/>
              <w:left w:w="108" w:type="dxa"/>
              <w:bottom w:w="0" w:type="dxa"/>
              <w:right w:w="108" w:type="dxa"/>
            </w:tcMar>
            <w:vAlign w:val="bottom"/>
            <w:hideMark/>
          </w:tcPr>
          <w:p w14:paraId="64A0F0F4" w14:textId="6B51065F" w:rsidR="00A808E1" w:rsidRPr="00013132" w:rsidRDefault="00A808E1" w:rsidP="00EE6C95">
            <w:pPr>
              <w:jc w:val="center"/>
              <w:rPr>
                <w:rFonts w:ascii="Times New Roman" w:hAnsi="Times New Roman"/>
                <w:color w:val="000000"/>
                <w:sz w:val="20"/>
              </w:rPr>
            </w:pPr>
            <w:r>
              <w:rPr>
                <w:rFonts w:ascii="Times New Roman" w:hAnsi="Times New Roman"/>
                <w:color w:val="000000"/>
                <w:sz w:val="20"/>
              </w:rPr>
              <w:t>12.9</w:t>
            </w:r>
          </w:p>
        </w:tc>
        <w:tc>
          <w:tcPr>
            <w:tcW w:w="1980" w:type="dxa"/>
            <w:noWrap/>
            <w:tcMar>
              <w:top w:w="0" w:type="dxa"/>
              <w:left w:w="108" w:type="dxa"/>
              <w:bottom w:w="0" w:type="dxa"/>
              <w:right w:w="108" w:type="dxa"/>
            </w:tcMar>
            <w:vAlign w:val="bottom"/>
            <w:hideMark/>
          </w:tcPr>
          <w:p w14:paraId="0D48BE99" w14:textId="77777777" w:rsidR="00A808E1" w:rsidRPr="00013132" w:rsidRDefault="00A808E1" w:rsidP="00EE6C95">
            <w:pPr>
              <w:jc w:val="center"/>
              <w:rPr>
                <w:rFonts w:ascii="Times New Roman" w:hAnsi="Times New Roman"/>
                <w:color w:val="000000"/>
                <w:sz w:val="20"/>
              </w:rPr>
            </w:pPr>
            <w:r w:rsidRPr="00013132">
              <w:rPr>
                <w:rFonts w:ascii="Times New Roman" w:hAnsi="Times New Roman"/>
                <w:color w:val="000000"/>
                <w:sz w:val="20"/>
              </w:rPr>
              <w:t>‒</w:t>
            </w:r>
          </w:p>
        </w:tc>
        <w:tc>
          <w:tcPr>
            <w:tcW w:w="1800" w:type="dxa"/>
            <w:noWrap/>
            <w:tcMar>
              <w:top w:w="0" w:type="dxa"/>
              <w:left w:w="108" w:type="dxa"/>
              <w:bottom w:w="0" w:type="dxa"/>
              <w:right w:w="108" w:type="dxa"/>
            </w:tcMar>
            <w:vAlign w:val="bottom"/>
            <w:hideMark/>
          </w:tcPr>
          <w:p w14:paraId="3AC4B405" w14:textId="77777777" w:rsidR="00A808E1" w:rsidRPr="00013132" w:rsidRDefault="00A808E1" w:rsidP="00EE6C95">
            <w:pPr>
              <w:jc w:val="center"/>
              <w:rPr>
                <w:rFonts w:ascii="Times New Roman" w:hAnsi="Times New Roman"/>
                <w:color w:val="000000"/>
                <w:sz w:val="20"/>
              </w:rPr>
            </w:pPr>
            <w:r w:rsidRPr="00013132">
              <w:rPr>
                <w:rFonts w:ascii="Times New Roman" w:hAnsi="Times New Roman"/>
                <w:color w:val="000000"/>
                <w:sz w:val="20"/>
              </w:rPr>
              <w:t>‒</w:t>
            </w:r>
          </w:p>
        </w:tc>
      </w:tr>
      <w:tr w:rsidR="00A808E1" w:rsidRPr="00013132" w14:paraId="1C94636F" w14:textId="77777777" w:rsidTr="00EE6C95">
        <w:trPr>
          <w:trHeight w:val="300"/>
          <w:jc w:val="center"/>
        </w:trPr>
        <w:tc>
          <w:tcPr>
            <w:tcW w:w="2275" w:type="dxa"/>
            <w:tcMar>
              <w:top w:w="0" w:type="dxa"/>
              <w:left w:w="108" w:type="dxa"/>
              <w:bottom w:w="0" w:type="dxa"/>
              <w:right w:w="108" w:type="dxa"/>
            </w:tcMar>
            <w:vAlign w:val="bottom"/>
            <w:hideMark/>
          </w:tcPr>
          <w:p w14:paraId="1E5859BD" w14:textId="77777777" w:rsidR="00A808E1" w:rsidRPr="00D36E73" w:rsidRDefault="00A808E1" w:rsidP="00EE6C95">
            <w:pPr>
              <w:jc w:val="center"/>
              <w:rPr>
                <w:rFonts w:ascii="Times New Roman" w:hAnsi="Times New Roman"/>
                <w:b/>
                <w:color w:val="000000"/>
                <w:sz w:val="20"/>
              </w:rPr>
            </w:pPr>
            <w:r w:rsidRPr="00D36E73">
              <w:rPr>
                <w:rFonts w:ascii="Times New Roman" w:hAnsi="Times New Roman"/>
                <w:b/>
                <w:color w:val="000000"/>
                <w:sz w:val="20"/>
              </w:rPr>
              <w:t>Low Recharge (0.1)</w:t>
            </w:r>
          </w:p>
        </w:tc>
        <w:tc>
          <w:tcPr>
            <w:tcW w:w="2315" w:type="dxa"/>
            <w:noWrap/>
            <w:tcMar>
              <w:top w:w="0" w:type="dxa"/>
              <w:left w:w="108" w:type="dxa"/>
              <w:bottom w:w="0" w:type="dxa"/>
              <w:right w:w="108" w:type="dxa"/>
            </w:tcMar>
            <w:vAlign w:val="bottom"/>
            <w:hideMark/>
          </w:tcPr>
          <w:p w14:paraId="3E7769F9" w14:textId="1E6E6BEA" w:rsidR="00A808E1" w:rsidRPr="00013132" w:rsidRDefault="00A808E1" w:rsidP="00EE6C95">
            <w:pPr>
              <w:jc w:val="center"/>
              <w:rPr>
                <w:rFonts w:ascii="Times New Roman" w:hAnsi="Times New Roman"/>
                <w:color w:val="000000"/>
                <w:sz w:val="20"/>
              </w:rPr>
            </w:pPr>
            <w:r>
              <w:rPr>
                <w:rFonts w:ascii="Times New Roman" w:hAnsi="Times New Roman"/>
                <w:color w:val="000000"/>
                <w:sz w:val="20"/>
              </w:rPr>
              <w:t>1.3</w:t>
            </w:r>
          </w:p>
        </w:tc>
        <w:tc>
          <w:tcPr>
            <w:tcW w:w="1980" w:type="dxa"/>
            <w:noWrap/>
            <w:tcMar>
              <w:top w:w="0" w:type="dxa"/>
              <w:left w:w="108" w:type="dxa"/>
              <w:bottom w:w="0" w:type="dxa"/>
              <w:right w:w="108" w:type="dxa"/>
            </w:tcMar>
            <w:vAlign w:val="bottom"/>
            <w:hideMark/>
          </w:tcPr>
          <w:p w14:paraId="062945C9" w14:textId="0D2EBE29" w:rsidR="00A808E1" w:rsidRPr="00D36E73" w:rsidRDefault="00A808E1" w:rsidP="00EE6C95">
            <w:pPr>
              <w:jc w:val="center"/>
              <w:rPr>
                <w:rFonts w:ascii="Times New Roman" w:hAnsi="Times New Roman"/>
                <w:bCs/>
                <w:color w:val="000000"/>
                <w:sz w:val="20"/>
              </w:rPr>
            </w:pPr>
            <w:r>
              <w:rPr>
                <w:rFonts w:ascii="Times New Roman" w:hAnsi="Times New Roman"/>
                <w:bCs/>
                <w:color w:val="000000"/>
                <w:sz w:val="20"/>
              </w:rPr>
              <w:t>0.8</w:t>
            </w:r>
          </w:p>
        </w:tc>
        <w:tc>
          <w:tcPr>
            <w:tcW w:w="1800" w:type="dxa"/>
            <w:noWrap/>
            <w:tcMar>
              <w:top w:w="0" w:type="dxa"/>
              <w:left w:w="108" w:type="dxa"/>
              <w:bottom w:w="0" w:type="dxa"/>
              <w:right w:w="108" w:type="dxa"/>
            </w:tcMar>
            <w:vAlign w:val="bottom"/>
            <w:hideMark/>
          </w:tcPr>
          <w:p w14:paraId="7866D8B4" w14:textId="5541EFAD" w:rsidR="00A808E1" w:rsidRPr="00D36E73" w:rsidRDefault="00A808E1" w:rsidP="00EE6C95">
            <w:pPr>
              <w:jc w:val="center"/>
              <w:rPr>
                <w:rFonts w:ascii="Times New Roman" w:hAnsi="Times New Roman"/>
                <w:bCs/>
                <w:color w:val="000000"/>
                <w:sz w:val="20"/>
              </w:rPr>
            </w:pPr>
            <w:r>
              <w:rPr>
                <w:rFonts w:ascii="Times New Roman" w:hAnsi="Times New Roman"/>
                <w:bCs/>
                <w:color w:val="000000"/>
                <w:sz w:val="20"/>
              </w:rPr>
              <w:t>1.2</w:t>
            </w:r>
          </w:p>
        </w:tc>
      </w:tr>
      <w:tr w:rsidR="00A808E1" w:rsidRPr="00013132" w14:paraId="3D470825" w14:textId="77777777" w:rsidTr="00BE5A45">
        <w:trPr>
          <w:trHeight w:val="300"/>
          <w:jc w:val="center"/>
        </w:trPr>
        <w:tc>
          <w:tcPr>
            <w:tcW w:w="2275" w:type="dxa"/>
            <w:tcMar>
              <w:top w:w="0" w:type="dxa"/>
              <w:left w:w="108" w:type="dxa"/>
              <w:bottom w:w="0" w:type="dxa"/>
              <w:right w:w="108" w:type="dxa"/>
            </w:tcMar>
            <w:vAlign w:val="bottom"/>
            <w:hideMark/>
          </w:tcPr>
          <w:p w14:paraId="03B75E7D" w14:textId="77777777" w:rsidR="00A808E1" w:rsidRPr="00D36E73" w:rsidRDefault="00A808E1" w:rsidP="00EE6C95">
            <w:pPr>
              <w:jc w:val="center"/>
              <w:rPr>
                <w:rFonts w:ascii="Times New Roman" w:hAnsi="Times New Roman"/>
                <w:b/>
                <w:color w:val="000000"/>
                <w:sz w:val="20"/>
              </w:rPr>
            </w:pPr>
            <w:r w:rsidRPr="00D36E73">
              <w:rPr>
                <w:rFonts w:ascii="Times New Roman" w:hAnsi="Times New Roman"/>
                <w:b/>
                <w:color w:val="000000"/>
                <w:sz w:val="20"/>
              </w:rPr>
              <w:t>Medium Recharge (0.5)</w:t>
            </w:r>
          </w:p>
        </w:tc>
        <w:tc>
          <w:tcPr>
            <w:tcW w:w="2315" w:type="dxa"/>
            <w:noWrap/>
            <w:tcMar>
              <w:top w:w="0" w:type="dxa"/>
              <w:left w:w="108" w:type="dxa"/>
              <w:bottom w:w="0" w:type="dxa"/>
              <w:right w:w="108" w:type="dxa"/>
            </w:tcMar>
            <w:vAlign w:val="bottom"/>
            <w:hideMark/>
          </w:tcPr>
          <w:p w14:paraId="2CB087A0" w14:textId="5D94B64F" w:rsidR="00A808E1" w:rsidRPr="00013132" w:rsidRDefault="00A808E1" w:rsidP="00EE6C95">
            <w:pPr>
              <w:jc w:val="center"/>
              <w:rPr>
                <w:rFonts w:ascii="Times New Roman" w:hAnsi="Times New Roman"/>
                <w:color w:val="000000"/>
                <w:sz w:val="20"/>
              </w:rPr>
            </w:pPr>
            <w:r>
              <w:rPr>
                <w:rFonts w:ascii="Times New Roman" w:hAnsi="Times New Roman"/>
                <w:color w:val="000000"/>
                <w:sz w:val="20"/>
              </w:rPr>
              <w:t>6.4</w:t>
            </w:r>
          </w:p>
        </w:tc>
        <w:tc>
          <w:tcPr>
            <w:tcW w:w="1980" w:type="dxa"/>
            <w:noWrap/>
            <w:tcMar>
              <w:top w:w="0" w:type="dxa"/>
              <w:left w:w="108" w:type="dxa"/>
              <w:bottom w:w="0" w:type="dxa"/>
              <w:right w:w="108" w:type="dxa"/>
            </w:tcMar>
            <w:vAlign w:val="bottom"/>
            <w:hideMark/>
          </w:tcPr>
          <w:p w14:paraId="0B4FD108" w14:textId="2D22D535" w:rsidR="00A808E1" w:rsidRPr="00D36E73" w:rsidRDefault="00A808E1" w:rsidP="00EE6C95">
            <w:pPr>
              <w:jc w:val="center"/>
              <w:rPr>
                <w:rFonts w:ascii="Times New Roman" w:hAnsi="Times New Roman"/>
                <w:bCs/>
                <w:color w:val="000000"/>
                <w:sz w:val="20"/>
              </w:rPr>
            </w:pPr>
            <w:r>
              <w:rPr>
                <w:rFonts w:ascii="Times New Roman" w:hAnsi="Times New Roman"/>
                <w:bCs/>
                <w:color w:val="000000"/>
                <w:sz w:val="20"/>
              </w:rPr>
              <w:t>4.2</w:t>
            </w:r>
          </w:p>
        </w:tc>
        <w:tc>
          <w:tcPr>
            <w:tcW w:w="1800" w:type="dxa"/>
            <w:noWrap/>
            <w:tcMar>
              <w:top w:w="0" w:type="dxa"/>
              <w:left w:w="108" w:type="dxa"/>
              <w:bottom w:w="0" w:type="dxa"/>
              <w:right w:w="108" w:type="dxa"/>
            </w:tcMar>
            <w:vAlign w:val="bottom"/>
            <w:hideMark/>
          </w:tcPr>
          <w:p w14:paraId="1012D376" w14:textId="2C5A2A4C" w:rsidR="00A808E1" w:rsidRPr="00D36E73" w:rsidRDefault="00A808E1" w:rsidP="00A808E1">
            <w:pPr>
              <w:jc w:val="center"/>
              <w:rPr>
                <w:rFonts w:ascii="Times New Roman" w:hAnsi="Times New Roman"/>
                <w:bCs/>
                <w:color w:val="000000"/>
                <w:sz w:val="20"/>
              </w:rPr>
            </w:pPr>
            <w:r>
              <w:rPr>
                <w:rFonts w:ascii="Times New Roman" w:hAnsi="Times New Roman"/>
                <w:bCs/>
                <w:color w:val="000000"/>
                <w:sz w:val="20"/>
              </w:rPr>
              <w:t>6.1</w:t>
            </w:r>
          </w:p>
        </w:tc>
      </w:tr>
      <w:tr w:rsidR="00A808E1" w:rsidRPr="00013132" w14:paraId="6E680CF8" w14:textId="77777777" w:rsidTr="00EE6C95">
        <w:trPr>
          <w:trHeight w:val="300"/>
          <w:jc w:val="center"/>
        </w:trPr>
        <w:tc>
          <w:tcPr>
            <w:tcW w:w="2275" w:type="dxa"/>
            <w:tcMar>
              <w:top w:w="0" w:type="dxa"/>
              <w:left w:w="108" w:type="dxa"/>
              <w:bottom w:w="0" w:type="dxa"/>
              <w:right w:w="108" w:type="dxa"/>
            </w:tcMar>
            <w:vAlign w:val="bottom"/>
            <w:hideMark/>
          </w:tcPr>
          <w:p w14:paraId="691048B5" w14:textId="77777777" w:rsidR="00A808E1" w:rsidRPr="00D36E73" w:rsidRDefault="00A808E1" w:rsidP="00EE6C95">
            <w:pPr>
              <w:jc w:val="center"/>
              <w:rPr>
                <w:rFonts w:ascii="Times New Roman" w:hAnsi="Times New Roman"/>
                <w:b/>
                <w:color w:val="000000"/>
                <w:sz w:val="20"/>
              </w:rPr>
            </w:pPr>
            <w:r w:rsidRPr="00D36E73">
              <w:rPr>
                <w:rFonts w:ascii="Times New Roman" w:hAnsi="Times New Roman"/>
                <w:b/>
                <w:color w:val="000000"/>
                <w:sz w:val="20"/>
              </w:rPr>
              <w:t>High Recharge (0.9)</w:t>
            </w:r>
          </w:p>
        </w:tc>
        <w:tc>
          <w:tcPr>
            <w:tcW w:w="2315" w:type="dxa"/>
            <w:noWrap/>
            <w:tcMar>
              <w:top w:w="0" w:type="dxa"/>
              <w:left w:w="108" w:type="dxa"/>
              <w:bottom w:w="0" w:type="dxa"/>
              <w:right w:w="108" w:type="dxa"/>
            </w:tcMar>
            <w:vAlign w:val="bottom"/>
            <w:hideMark/>
          </w:tcPr>
          <w:p w14:paraId="30C23CB8" w14:textId="1A15697F" w:rsidR="00A808E1" w:rsidRPr="00013132" w:rsidRDefault="00A808E1" w:rsidP="00EE6C95">
            <w:pPr>
              <w:jc w:val="center"/>
              <w:rPr>
                <w:rFonts w:ascii="Times New Roman" w:hAnsi="Times New Roman"/>
                <w:color w:val="000000"/>
                <w:sz w:val="20"/>
              </w:rPr>
            </w:pPr>
            <w:r>
              <w:rPr>
                <w:rFonts w:ascii="Times New Roman" w:hAnsi="Times New Roman"/>
                <w:color w:val="000000"/>
                <w:sz w:val="20"/>
              </w:rPr>
              <w:t>11.6</w:t>
            </w:r>
          </w:p>
        </w:tc>
        <w:tc>
          <w:tcPr>
            <w:tcW w:w="1980" w:type="dxa"/>
            <w:noWrap/>
            <w:tcMar>
              <w:top w:w="0" w:type="dxa"/>
              <w:left w:w="108" w:type="dxa"/>
              <w:bottom w:w="0" w:type="dxa"/>
              <w:right w:w="108" w:type="dxa"/>
            </w:tcMar>
            <w:vAlign w:val="bottom"/>
            <w:hideMark/>
          </w:tcPr>
          <w:p w14:paraId="26A02714" w14:textId="427CF658" w:rsidR="00A808E1" w:rsidRPr="00D36E73" w:rsidRDefault="00A808E1" w:rsidP="00EE6C95">
            <w:pPr>
              <w:jc w:val="center"/>
              <w:rPr>
                <w:rFonts w:ascii="Times New Roman" w:hAnsi="Times New Roman"/>
                <w:bCs/>
                <w:color w:val="000000"/>
                <w:sz w:val="20"/>
              </w:rPr>
            </w:pPr>
            <w:r>
              <w:rPr>
                <w:rFonts w:ascii="Times New Roman" w:hAnsi="Times New Roman"/>
                <w:bCs/>
                <w:color w:val="000000"/>
                <w:sz w:val="20"/>
              </w:rPr>
              <w:t>7.5</w:t>
            </w:r>
          </w:p>
        </w:tc>
        <w:tc>
          <w:tcPr>
            <w:tcW w:w="1800" w:type="dxa"/>
            <w:noWrap/>
            <w:tcMar>
              <w:top w:w="0" w:type="dxa"/>
              <w:left w:w="108" w:type="dxa"/>
              <w:bottom w:w="0" w:type="dxa"/>
              <w:right w:w="108" w:type="dxa"/>
            </w:tcMar>
            <w:vAlign w:val="bottom"/>
            <w:hideMark/>
          </w:tcPr>
          <w:p w14:paraId="6907E1A3" w14:textId="4F035334" w:rsidR="00A808E1" w:rsidRPr="00D36E73" w:rsidRDefault="00A808E1" w:rsidP="00EE6C95">
            <w:pPr>
              <w:jc w:val="center"/>
              <w:rPr>
                <w:rFonts w:ascii="Times New Roman" w:hAnsi="Times New Roman"/>
                <w:bCs/>
                <w:color w:val="000000"/>
                <w:sz w:val="20"/>
              </w:rPr>
            </w:pPr>
            <w:r>
              <w:rPr>
                <w:rFonts w:ascii="Times New Roman" w:hAnsi="Times New Roman"/>
                <w:bCs/>
                <w:color w:val="000000"/>
                <w:sz w:val="20"/>
              </w:rPr>
              <w:t>11.0</w:t>
            </w:r>
          </w:p>
        </w:tc>
      </w:tr>
    </w:tbl>
    <w:p w14:paraId="28C66F5F" w14:textId="77777777" w:rsidR="00A808E1" w:rsidRDefault="00A808E1" w:rsidP="00A808E1">
      <w:pPr>
        <w:pStyle w:val="BodyText"/>
        <w:rPr>
          <w:b/>
        </w:rPr>
      </w:pPr>
    </w:p>
    <w:p w14:paraId="5FAB4AEE" w14:textId="29EBC712" w:rsidR="00A808E1" w:rsidRDefault="004C184C" w:rsidP="00A808E1">
      <w:pPr>
        <w:pStyle w:val="BodyText"/>
      </w:pPr>
      <w:r>
        <w:rPr>
          <w:b/>
        </w:rPr>
        <w:t>Table 8</w:t>
      </w:r>
      <w:r w:rsidR="00A808E1">
        <w:rPr>
          <w:b/>
        </w:rPr>
        <w:t xml:space="preserve"> </w:t>
      </w:r>
      <w:r w:rsidR="00A808E1">
        <w:t>lists the potential reductions associated with OSTDS enhancement and replacement for OSTDS on lots less than one acre and greater than one acre in the PFA. Using these "credits," reductions associated with OSTDS projects may be determined.</w:t>
      </w:r>
    </w:p>
    <w:p w14:paraId="496667E0" w14:textId="77777777" w:rsidR="00A808E1" w:rsidRPr="00A544E7" w:rsidRDefault="00A808E1" w:rsidP="00A808E1">
      <w:pPr>
        <w:pStyle w:val="BodyText"/>
        <w:spacing w:before="120"/>
      </w:pPr>
      <w:r>
        <w:t xml:space="preserve">The estimates in the table indicate that nitrogen loading could be substantially reduced if all OSTDS sources are addressed. However, OSTDS are a relatively minor source in comparison to other sources in the basin. Estimated costs for retrofitting (onsite treatment improvements) or removing (sewering) OSTDS range from $10,000 to $20,000 per system, which would be anticipated to be offset somewhat by cost-share from state funds. These costs can be refined as projects are completed and detailed cost data are available. The overall reduction goal is </w:t>
      </w:r>
      <w:r w:rsidRPr="00EB284B">
        <w:t>651,982</w:t>
      </w:r>
      <w:r>
        <w:t>; thus, the targets cannot be achieved through OSTDS alone.</w:t>
      </w:r>
    </w:p>
    <w:p w14:paraId="78ABC6ED" w14:textId="77777777" w:rsidR="00A808E1" w:rsidRPr="00AB2475" w:rsidRDefault="00A808E1" w:rsidP="00A808E1">
      <w:pPr>
        <w:pStyle w:val="Caption"/>
      </w:pPr>
      <w:bookmarkStart w:id="110" w:name="_Toc514430958"/>
      <w:r>
        <w:t xml:space="preserve">Table </w:t>
      </w:r>
      <w:fldSimple w:instr=" SEQ Table \* ARABIC ">
        <w:r w:rsidR="002A2E30">
          <w:rPr>
            <w:noProof/>
          </w:rPr>
          <w:t>8</w:t>
        </w:r>
      </w:fldSimple>
      <w:r>
        <w:t>.</w:t>
      </w:r>
      <w:r w:rsidRPr="00485D08">
        <w:t xml:space="preserve">Estimated reduction credits for additional OSTDS </w:t>
      </w:r>
      <w:r w:rsidRPr="00A81244">
        <w:t>e</w:t>
      </w:r>
      <w:r w:rsidRPr="000E2319">
        <w:t xml:space="preserve">nhancement </w:t>
      </w:r>
      <w:r w:rsidRPr="00A81244">
        <w:rPr>
          <w:u w:val="single"/>
        </w:rPr>
        <w:t>or</w:t>
      </w:r>
      <w:r w:rsidRPr="00A81244">
        <w:t xml:space="preserve"> s</w:t>
      </w:r>
      <w:r w:rsidRPr="000E2319">
        <w:t>ewer</w:t>
      </w:r>
      <w:r>
        <w:t xml:space="preserve"> *</w:t>
      </w:r>
      <w:bookmarkEnd w:id="110"/>
    </w:p>
    <w:p w14:paraId="70FB6808" w14:textId="77777777" w:rsidR="00A808E1" w:rsidRPr="00735AB0" w:rsidRDefault="00A808E1" w:rsidP="00A808E1">
      <w:pPr>
        <w:rPr>
          <w:rFonts w:ascii="Times New Roman" w:hAnsi="Times New Roman"/>
          <w:b/>
          <w:sz w:val="16"/>
          <w:szCs w:val="16"/>
        </w:rPr>
      </w:pPr>
      <w:r w:rsidRPr="00735AB0">
        <w:rPr>
          <w:rFonts w:ascii="Times New Roman" w:hAnsi="Times New Roman"/>
          <w:b/>
          <w:bCs/>
          <w:sz w:val="16"/>
          <w:szCs w:val="16"/>
        </w:rPr>
        <w:t>*</w:t>
      </w:r>
      <w:r w:rsidRPr="00735AB0">
        <w:rPr>
          <w:rFonts w:ascii="Times New Roman" w:hAnsi="Times New Roman"/>
          <w:iCs/>
          <w:sz w:val="16"/>
          <w:szCs w:val="16"/>
        </w:rPr>
        <w:t xml:space="preserve">Estimated reductions </w:t>
      </w:r>
      <w:r>
        <w:rPr>
          <w:rFonts w:ascii="Times New Roman" w:hAnsi="Times New Roman"/>
          <w:iCs/>
          <w:sz w:val="16"/>
          <w:szCs w:val="16"/>
        </w:rPr>
        <w:t xml:space="preserve">listed in the table </w:t>
      </w:r>
      <w:r w:rsidRPr="00735AB0">
        <w:rPr>
          <w:rFonts w:ascii="Times New Roman" w:hAnsi="Times New Roman"/>
          <w:iCs/>
          <w:sz w:val="16"/>
          <w:szCs w:val="16"/>
        </w:rPr>
        <w:t xml:space="preserve">are for either enhancement </w:t>
      </w:r>
      <w:r w:rsidRPr="00735AB0">
        <w:rPr>
          <w:rFonts w:ascii="Times New Roman" w:hAnsi="Times New Roman"/>
          <w:iCs/>
          <w:sz w:val="16"/>
          <w:szCs w:val="16"/>
          <w:u w:val="single"/>
        </w:rPr>
        <w:t>or</w:t>
      </w:r>
      <w:r w:rsidRPr="00735AB0">
        <w:rPr>
          <w:rFonts w:ascii="Times New Roman" w:hAnsi="Times New Roman"/>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55" w:type="dxa"/>
        <w:tblInd w:w="-5" w:type="dxa"/>
        <w:tblCellMar>
          <w:top w:w="15" w:type="dxa"/>
          <w:bottom w:w="15" w:type="dxa"/>
        </w:tblCellMar>
        <w:tblLook w:val="04A0" w:firstRow="1" w:lastRow="0" w:firstColumn="1" w:lastColumn="0" w:noHBand="0" w:noVBand="1"/>
      </w:tblPr>
      <w:tblGrid>
        <w:gridCol w:w="1711"/>
        <w:gridCol w:w="1529"/>
        <w:gridCol w:w="990"/>
        <w:gridCol w:w="1394"/>
        <w:gridCol w:w="1312"/>
        <w:gridCol w:w="1025"/>
        <w:gridCol w:w="1394"/>
      </w:tblGrid>
      <w:tr w:rsidR="00A808E1" w:rsidRPr="0033230E" w14:paraId="0AE7D8D4" w14:textId="77777777" w:rsidTr="00EE6C95">
        <w:trPr>
          <w:trHeight w:val="770"/>
          <w:tblHeader/>
        </w:trPr>
        <w:tc>
          <w:tcPr>
            <w:tcW w:w="17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7D2F782"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Recharge Area</w:t>
            </w:r>
          </w:p>
        </w:tc>
        <w:tc>
          <w:tcPr>
            <w:tcW w:w="15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36E3920"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OSTDS Parcels Less Than One Acre in PFA</w:t>
            </w: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692670D"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12" w:space="0" w:color="auto"/>
            </w:tcBorders>
            <w:shd w:val="clear" w:color="auto" w:fill="DEEAF6" w:themeFill="accent1" w:themeFillTint="33"/>
            <w:vAlign w:val="bottom"/>
            <w:hideMark/>
          </w:tcPr>
          <w:p w14:paraId="19884341"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c>
          <w:tcPr>
            <w:tcW w:w="1312"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bottom"/>
          </w:tcPr>
          <w:p w14:paraId="1B88CCD0"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 xml:space="preserve">OSTDS Parcels One Acre and Greater in PFA </w:t>
            </w:r>
          </w:p>
        </w:tc>
        <w:tc>
          <w:tcPr>
            <w:tcW w:w="10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A2603E1"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6FB10B"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r>
      <w:tr w:rsidR="00A808E1" w:rsidRPr="0033230E" w14:paraId="0826C0D0" w14:textId="77777777" w:rsidTr="00EE6C95">
        <w:trPr>
          <w:trHeight w:val="300"/>
        </w:trPr>
        <w:tc>
          <w:tcPr>
            <w:tcW w:w="1711" w:type="dxa"/>
            <w:tcBorders>
              <w:top w:val="single" w:sz="4" w:space="0" w:color="auto"/>
              <w:left w:val="single" w:sz="4" w:space="0" w:color="auto"/>
              <w:bottom w:val="single" w:sz="4" w:space="0" w:color="auto"/>
              <w:right w:val="single" w:sz="4" w:space="0" w:color="auto"/>
            </w:tcBorders>
            <w:vAlign w:val="center"/>
            <w:hideMark/>
          </w:tcPr>
          <w:p w14:paraId="7B75EAB8" w14:textId="77777777" w:rsidR="00A808E1" w:rsidRPr="0033230E" w:rsidRDefault="00A808E1" w:rsidP="00EE6C95">
            <w:pPr>
              <w:jc w:val="center"/>
              <w:rPr>
                <w:rFonts w:ascii="Times New Roman" w:hAnsi="Times New Roman"/>
                <w:b/>
                <w:color w:val="000000"/>
                <w:sz w:val="20"/>
              </w:rPr>
            </w:pPr>
            <w:r w:rsidRPr="0033230E">
              <w:rPr>
                <w:rFonts w:ascii="Times New Roman" w:hAnsi="Times New Roman"/>
                <w:b/>
                <w:color w:val="000000"/>
                <w:sz w:val="20"/>
              </w:rPr>
              <w:t>High</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75BA8D67" w14:textId="77777777" w:rsidR="00A808E1" w:rsidRPr="0033230E" w:rsidRDefault="00A808E1" w:rsidP="00EE6C95">
            <w:pPr>
              <w:jc w:val="center"/>
              <w:rPr>
                <w:rFonts w:ascii="Times New Roman" w:hAnsi="Times New Roman"/>
                <w:color w:val="000000"/>
                <w:sz w:val="20"/>
              </w:rPr>
            </w:pPr>
            <w:r w:rsidRPr="0033230E">
              <w:rPr>
                <w:rFonts w:ascii="Times New Roman" w:hAnsi="Times New Roman"/>
                <w:color w:val="000000"/>
                <w:sz w:val="20"/>
              </w:rPr>
              <w:t>460</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0CF8C4D" w14:textId="4D9BC56F"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5,069</w:t>
            </w:r>
          </w:p>
        </w:tc>
        <w:tc>
          <w:tcPr>
            <w:tcW w:w="1394" w:type="dxa"/>
            <w:tcBorders>
              <w:top w:val="single" w:sz="4" w:space="0" w:color="auto"/>
              <w:left w:val="single" w:sz="4" w:space="0" w:color="auto"/>
              <w:bottom w:val="single" w:sz="4" w:space="0" w:color="auto"/>
              <w:right w:val="single" w:sz="12" w:space="0" w:color="auto"/>
            </w:tcBorders>
            <w:noWrap/>
            <w:vAlign w:val="center"/>
            <w:hideMark/>
          </w:tcPr>
          <w:p w14:paraId="05461E66" w14:textId="6BF22177"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3,468</w:t>
            </w:r>
          </w:p>
        </w:tc>
        <w:tc>
          <w:tcPr>
            <w:tcW w:w="1312" w:type="dxa"/>
            <w:tcBorders>
              <w:top w:val="single" w:sz="4" w:space="0" w:color="auto"/>
              <w:left w:val="single" w:sz="12" w:space="0" w:color="auto"/>
              <w:bottom w:val="single" w:sz="4" w:space="0" w:color="auto"/>
              <w:right w:val="single" w:sz="4" w:space="0" w:color="auto"/>
            </w:tcBorders>
            <w:vAlign w:val="center"/>
          </w:tcPr>
          <w:p w14:paraId="6E08D9E9" w14:textId="77777777" w:rsidR="00A808E1" w:rsidRPr="0033230E" w:rsidRDefault="00A808E1" w:rsidP="00EE6C95">
            <w:pPr>
              <w:jc w:val="center"/>
              <w:rPr>
                <w:rFonts w:ascii="Times New Roman" w:hAnsi="Times New Roman"/>
                <w:color w:val="000000"/>
                <w:sz w:val="20"/>
              </w:rPr>
            </w:pPr>
            <w:r w:rsidRPr="0033230E">
              <w:rPr>
                <w:rFonts w:ascii="Times New Roman" w:hAnsi="Times New Roman"/>
                <w:color w:val="000000"/>
                <w:sz w:val="20"/>
              </w:rPr>
              <w:t>1,504</w:t>
            </w:r>
          </w:p>
        </w:tc>
        <w:tc>
          <w:tcPr>
            <w:tcW w:w="1025" w:type="dxa"/>
            <w:tcBorders>
              <w:top w:val="single" w:sz="4" w:space="0" w:color="auto"/>
              <w:left w:val="single" w:sz="4" w:space="0" w:color="auto"/>
              <w:bottom w:val="single" w:sz="4" w:space="0" w:color="auto"/>
              <w:right w:val="single" w:sz="4" w:space="0" w:color="auto"/>
            </w:tcBorders>
            <w:vAlign w:val="center"/>
          </w:tcPr>
          <w:p w14:paraId="649CBBF3" w14:textId="42FAD2E2"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16,572</w:t>
            </w:r>
          </w:p>
        </w:tc>
        <w:tc>
          <w:tcPr>
            <w:tcW w:w="1394" w:type="dxa"/>
            <w:tcBorders>
              <w:top w:val="single" w:sz="4" w:space="0" w:color="auto"/>
              <w:left w:val="single" w:sz="4" w:space="0" w:color="auto"/>
              <w:bottom w:val="single" w:sz="4" w:space="0" w:color="auto"/>
              <w:right w:val="single" w:sz="4" w:space="0" w:color="auto"/>
            </w:tcBorders>
            <w:vAlign w:val="center"/>
          </w:tcPr>
          <w:p w14:paraId="6BE3404D" w14:textId="2B78FD4C"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11,339</w:t>
            </w:r>
          </w:p>
        </w:tc>
      </w:tr>
      <w:tr w:rsidR="00A808E1" w:rsidRPr="0033230E" w14:paraId="3673C796" w14:textId="77777777" w:rsidTr="00EE6C95">
        <w:trPr>
          <w:trHeight w:val="302"/>
        </w:trPr>
        <w:tc>
          <w:tcPr>
            <w:tcW w:w="1711" w:type="dxa"/>
            <w:tcBorders>
              <w:top w:val="single" w:sz="4" w:space="0" w:color="auto"/>
              <w:left w:val="single" w:sz="4" w:space="0" w:color="auto"/>
              <w:bottom w:val="single" w:sz="4" w:space="0" w:color="auto"/>
              <w:right w:val="single" w:sz="4" w:space="0" w:color="auto"/>
            </w:tcBorders>
            <w:vAlign w:val="center"/>
            <w:hideMark/>
          </w:tcPr>
          <w:p w14:paraId="51BFA256" w14:textId="77777777" w:rsidR="00A808E1" w:rsidRPr="0033230E" w:rsidRDefault="00A808E1" w:rsidP="00EE6C95">
            <w:pPr>
              <w:jc w:val="center"/>
              <w:rPr>
                <w:rFonts w:ascii="Times New Roman" w:hAnsi="Times New Roman"/>
                <w:b/>
                <w:color w:val="000000"/>
                <w:sz w:val="20"/>
              </w:rPr>
            </w:pPr>
            <w:r w:rsidRPr="0033230E">
              <w:rPr>
                <w:rFonts w:ascii="Times New Roman" w:hAnsi="Times New Roman"/>
                <w:b/>
                <w:color w:val="000000"/>
                <w:sz w:val="20"/>
              </w:rPr>
              <w:t>Medium</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3FC38E9D" w14:textId="77777777" w:rsidR="00A808E1" w:rsidRPr="0033230E" w:rsidRDefault="00A808E1" w:rsidP="00EE6C95">
            <w:pPr>
              <w:jc w:val="center"/>
              <w:rPr>
                <w:rFonts w:ascii="Times New Roman" w:hAnsi="Times New Roman"/>
                <w:color w:val="000000"/>
                <w:sz w:val="20"/>
              </w:rPr>
            </w:pPr>
            <w:r w:rsidRPr="0033230E">
              <w:rPr>
                <w:rFonts w:ascii="Times New Roman" w:hAnsi="Times New Roman"/>
                <w:color w:val="000000"/>
                <w:sz w:val="20"/>
              </w:rPr>
              <w:t>19</w:t>
            </w:r>
          </w:p>
        </w:tc>
        <w:tc>
          <w:tcPr>
            <w:tcW w:w="990" w:type="dxa"/>
            <w:tcBorders>
              <w:top w:val="single" w:sz="4" w:space="0" w:color="auto"/>
              <w:left w:val="single" w:sz="4" w:space="0" w:color="auto"/>
              <w:bottom w:val="single" w:sz="4" w:space="0" w:color="auto"/>
              <w:right w:val="single" w:sz="4" w:space="0" w:color="auto"/>
            </w:tcBorders>
            <w:noWrap/>
            <w:vAlign w:val="center"/>
          </w:tcPr>
          <w:p w14:paraId="4C4300EA" w14:textId="5B9A143D"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116</w:t>
            </w:r>
          </w:p>
        </w:tc>
        <w:tc>
          <w:tcPr>
            <w:tcW w:w="1394" w:type="dxa"/>
            <w:tcBorders>
              <w:top w:val="single" w:sz="4" w:space="0" w:color="auto"/>
              <w:left w:val="single" w:sz="4" w:space="0" w:color="auto"/>
              <w:bottom w:val="single" w:sz="4" w:space="0" w:color="auto"/>
              <w:right w:val="single" w:sz="12" w:space="0" w:color="auto"/>
            </w:tcBorders>
            <w:noWrap/>
            <w:vAlign w:val="center"/>
          </w:tcPr>
          <w:p w14:paraId="4186EFB8" w14:textId="41075AE0"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116</w:t>
            </w:r>
          </w:p>
        </w:tc>
        <w:tc>
          <w:tcPr>
            <w:tcW w:w="1312" w:type="dxa"/>
            <w:tcBorders>
              <w:top w:val="single" w:sz="4" w:space="0" w:color="auto"/>
              <w:left w:val="single" w:sz="12" w:space="0" w:color="auto"/>
              <w:bottom w:val="single" w:sz="4" w:space="0" w:color="auto"/>
              <w:right w:val="single" w:sz="4" w:space="0" w:color="auto"/>
            </w:tcBorders>
            <w:vAlign w:val="center"/>
          </w:tcPr>
          <w:p w14:paraId="70A73018" w14:textId="77777777" w:rsidR="00A808E1" w:rsidRPr="0033230E" w:rsidRDefault="00A808E1" w:rsidP="00EE6C95">
            <w:pPr>
              <w:jc w:val="center"/>
              <w:rPr>
                <w:rFonts w:ascii="Times New Roman" w:hAnsi="Times New Roman"/>
                <w:color w:val="000000"/>
                <w:sz w:val="20"/>
              </w:rPr>
            </w:pPr>
            <w:r w:rsidRPr="0033230E">
              <w:rPr>
                <w:rFonts w:ascii="Times New Roman" w:hAnsi="Times New Roman"/>
                <w:color w:val="000000"/>
                <w:sz w:val="20"/>
              </w:rPr>
              <w:t>44</w:t>
            </w:r>
          </w:p>
        </w:tc>
        <w:tc>
          <w:tcPr>
            <w:tcW w:w="1025" w:type="dxa"/>
            <w:tcBorders>
              <w:top w:val="single" w:sz="4" w:space="0" w:color="auto"/>
              <w:left w:val="single" w:sz="4" w:space="0" w:color="auto"/>
              <w:bottom w:val="single" w:sz="4" w:space="0" w:color="auto"/>
              <w:right w:val="single" w:sz="4" w:space="0" w:color="auto"/>
            </w:tcBorders>
            <w:vAlign w:val="center"/>
          </w:tcPr>
          <w:p w14:paraId="58ED0925" w14:textId="523620BC"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269</w:t>
            </w:r>
          </w:p>
        </w:tc>
        <w:tc>
          <w:tcPr>
            <w:tcW w:w="1394" w:type="dxa"/>
            <w:tcBorders>
              <w:top w:val="single" w:sz="4" w:space="0" w:color="auto"/>
              <w:left w:val="single" w:sz="4" w:space="0" w:color="auto"/>
              <w:bottom w:val="single" w:sz="4" w:space="0" w:color="auto"/>
              <w:right w:val="single" w:sz="4" w:space="0" w:color="auto"/>
            </w:tcBorders>
            <w:vAlign w:val="center"/>
          </w:tcPr>
          <w:p w14:paraId="1884B72C" w14:textId="0192B294" w:rsidR="00A808E1" w:rsidRPr="0033230E" w:rsidRDefault="00A808E1" w:rsidP="00EE6C95">
            <w:pPr>
              <w:jc w:val="center"/>
              <w:rPr>
                <w:rFonts w:ascii="Times New Roman" w:hAnsi="Times New Roman"/>
                <w:color w:val="000000"/>
                <w:sz w:val="20"/>
              </w:rPr>
            </w:pPr>
            <w:r>
              <w:rPr>
                <w:rFonts w:ascii="Times New Roman" w:hAnsi="Times New Roman"/>
                <w:color w:val="000000"/>
                <w:sz w:val="20"/>
              </w:rPr>
              <w:t>184</w:t>
            </w:r>
          </w:p>
        </w:tc>
      </w:tr>
      <w:tr w:rsidR="00A808E1" w:rsidRPr="0033230E" w14:paraId="12C59B9B" w14:textId="77777777" w:rsidTr="00EE6C95">
        <w:trPr>
          <w:trHeight w:val="300"/>
        </w:trPr>
        <w:tc>
          <w:tcPr>
            <w:tcW w:w="1711" w:type="dxa"/>
            <w:tcBorders>
              <w:top w:val="single" w:sz="4" w:space="0" w:color="auto"/>
              <w:left w:val="single" w:sz="4" w:space="0" w:color="auto"/>
              <w:bottom w:val="single" w:sz="4" w:space="0" w:color="auto"/>
              <w:right w:val="nil"/>
            </w:tcBorders>
            <w:shd w:val="clear" w:color="auto" w:fill="FFF2CC" w:themeFill="accent4" w:themeFillTint="33"/>
            <w:noWrap/>
            <w:vAlign w:val="center"/>
            <w:hideMark/>
          </w:tcPr>
          <w:p w14:paraId="12BC8C9A"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Total</w:t>
            </w:r>
          </w:p>
        </w:tc>
        <w:tc>
          <w:tcPr>
            <w:tcW w:w="1529" w:type="dxa"/>
            <w:tcBorders>
              <w:top w:val="single" w:sz="4" w:space="0" w:color="auto"/>
              <w:left w:val="single" w:sz="4" w:space="0" w:color="auto"/>
              <w:bottom w:val="single" w:sz="4" w:space="0" w:color="auto"/>
              <w:right w:val="nil"/>
            </w:tcBorders>
            <w:shd w:val="clear" w:color="auto" w:fill="FFF2CC" w:themeFill="accent4" w:themeFillTint="33"/>
            <w:vAlign w:val="center"/>
          </w:tcPr>
          <w:p w14:paraId="666AB1E1"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479</w:t>
            </w:r>
          </w:p>
        </w:tc>
        <w:tc>
          <w:tcPr>
            <w:tcW w:w="99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636FEF3" w14:textId="73D988EA" w:rsidR="00A808E1" w:rsidRPr="0033230E" w:rsidRDefault="00A808E1" w:rsidP="00EE6C95">
            <w:pPr>
              <w:jc w:val="center"/>
              <w:rPr>
                <w:rFonts w:ascii="Times New Roman" w:hAnsi="Times New Roman"/>
                <w:b/>
                <w:bCs/>
                <w:color w:val="000000"/>
                <w:sz w:val="20"/>
              </w:rPr>
            </w:pPr>
            <w:r>
              <w:rPr>
                <w:rFonts w:ascii="Times New Roman" w:hAnsi="Times New Roman"/>
                <w:b/>
                <w:bCs/>
                <w:color w:val="000000"/>
                <w:sz w:val="20"/>
              </w:rPr>
              <w:t>5,185</w:t>
            </w:r>
          </w:p>
        </w:tc>
        <w:tc>
          <w:tcPr>
            <w:tcW w:w="1394" w:type="dxa"/>
            <w:tcBorders>
              <w:top w:val="single" w:sz="4" w:space="0" w:color="auto"/>
              <w:left w:val="single" w:sz="4" w:space="0" w:color="auto"/>
              <w:bottom w:val="single" w:sz="4" w:space="0" w:color="auto"/>
              <w:right w:val="single" w:sz="12" w:space="0" w:color="auto"/>
            </w:tcBorders>
            <w:shd w:val="clear" w:color="auto" w:fill="FFF2CC" w:themeFill="accent4" w:themeFillTint="33"/>
            <w:noWrap/>
            <w:vAlign w:val="center"/>
            <w:hideMark/>
          </w:tcPr>
          <w:p w14:paraId="26DF6D92" w14:textId="7B667F34" w:rsidR="00A808E1" w:rsidRPr="0033230E" w:rsidRDefault="00A808E1" w:rsidP="00EE6C95">
            <w:pPr>
              <w:jc w:val="center"/>
              <w:rPr>
                <w:rFonts w:ascii="Times New Roman" w:hAnsi="Times New Roman"/>
                <w:b/>
                <w:bCs/>
                <w:color w:val="000000"/>
                <w:sz w:val="20"/>
              </w:rPr>
            </w:pPr>
            <w:r>
              <w:rPr>
                <w:rFonts w:ascii="Times New Roman" w:hAnsi="Times New Roman"/>
                <w:b/>
                <w:bCs/>
                <w:color w:val="000000"/>
                <w:sz w:val="20"/>
              </w:rPr>
              <w:t>3,548</w:t>
            </w:r>
          </w:p>
        </w:tc>
        <w:tc>
          <w:tcPr>
            <w:tcW w:w="13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tcPr>
          <w:p w14:paraId="647B43D7" w14:textId="77777777" w:rsidR="00A808E1" w:rsidRPr="0033230E" w:rsidRDefault="00A808E1" w:rsidP="00EE6C95">
            <w:pPr>
              <w:jc w:val="center"/>
              <w:rPr>
                <w:rFonts w:ascii="Times New Roman" w:hAnsi="Times New Roman"/>
                <w:b/>
                <w:bCs/>
                <w:color w:val="000000"/>
                <w:sz w:val="20"/>
              </w:rPr>
            </w:pPr>
            <w:r w:rsidRPr="0033230E">
              <w:rPr>
                <w:rFonts w:ascii="Times New Roman" w:hAnsi="Times New Roman"/>
                <w:b/>
                <w:bCs/>
                <w:color w:val="000000"/>
                <w:sz w:val="20"/>
              </w:rPr>
              <w:t>1,548</w:t>
            </w:r>
          </w:p>
        </w:tc>
        <w:tc>
          <w:tcPr>
            <w:tcW w:w="102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E68C15" w14:textId="262ADF8F" w:rsidR="00A808E1" w:rsidRPr="0033230E" w:rsidRDefault="00A808E1" w:rsidP="00EE6C95">
            <w:pPr>
              <w:jc w:val="center"/>
              <w:rPr>
                <w:rFonts w:ascii="Times New Roman" w:hAnsi="Times New Roman"/>
                <w:b/>
                <w:bCs/>
                <w:color w:val="000000"/>
                <w:sz w:val="20"/>
              </w:rPr>
            </w:pPr>
            <w:r>
              <w:rPr>
                <w:rFonts w:ascii="Times New Roman" w:hAnsi="Times New Roman"/>
                <w:b/>
                <w:bCs/>
                <w:color w:val="000000"/>
                <w:sz w:val="20"/>
              </w:rPr>
              <w:t>16,841</w:t>
            </w:r>
          </w:p>
        </w:tc>
        <w:tc>
          <w:tcPr>
            <w:tcW w:w="139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29900EF" w14:textId="55CF398E" w:rsidR="00A808E1" w:rsidRPr="0033230E" w:rsidRDefault="00A808E1" w:rsidP="00EE6C95">
            <w:pPr>
              <w:jc w:val="center"/>
              <w:rPr>
                <w:rFonts w:ascii="Times New Roman" w:hAnsi="Times New Roman"/>
                <w:b/>
                <w:bCs/>
                <w:color w:val="000000"/>
                <w:sz w:val="20"/>
              </w:rPr>
            </w:pPr>
            <w:r>
              <w:rPr>
                <w:rFonts w:ascii="Times New Roman" w:hAnsi="Times New Roman"/>
                <w:b/>
                <w:bCs/>
                <w:color w:val="000000"/>
                <w:sz w:val="20"/>
              </w:rPr>
              <w:t>11,523</w:t>
            </w:r>
          </w:p>
        </w:tc>
      </w:tr>
    </w:tbl>
    <w:p w14:paraId="2EDC15B5" w14:textId="6DF1C12B" w:rsidR="00E60E85" w:rsidRDefault="00E60E85">
      <w:pPr>
        <w:jc w:val="left"/>
        <w:rPr>
          <w:rFonts w:ascii="Times New Roman" w:hAnsi="Times New Roman"/>
          <w:sz w:val="16"/>
          <w:szCs w:val="24"/>
        </w:rPr>
      </w:pPr>
    </w:p>
    <w:p w14:paraId="43A62273" w14:textId="7E36610D" w:rsidR="009E3E14" w:rsidRPr="009E3E14" w:rsidRDefault="00582EB5" w:rsidP="009E3E14">
      <w:pPr>
        <w:pStyle w:val="Heading2"/>
      </w:pPr>
      <w:bookmarkStart w:id="111" w:name="_Toc493523693"/>
      <w:bookmarkStart w:id="112" w:name="_Toc493523694"/>
      <w:bookmarkStart w:id="113" w:name="_Toc493523695"/>
      <w:bookmarkStart w:id="114" w:name="_Toc514677663"/>
      <w:bookmarkEnd w:id="111"/>
      <w:bookmarkEnd w:id="112"/>
      <w:bookmarkEnd w:id="113"/>
      <w:r>
        <w:t>UTF</w:t>
      </w:r>
      <w:r w:rsidR="009E3E14">
        <w:t xml:space="preserve"> Management Strategies</w:t>
      </w:r>
      <w:bookmarkEnd w:id="114"/>
    </w:p>
    <w:p w14:paraId="03AC1632" w14:textId="67E55057" w:rsidR="009E3E14" w:rsidRDefault="0099477E" w:rsidP="009E3E14">
      <w:pPr>
        <w:pStyle w:val="BodyText"/>
      </w:pPr>
      <w:r>
        <w:t xml:space="preserve">UTF </w:t>
      </w:r>
      <w:r w:rsidR="00550F90">
        <w:t>consists of</w:t>
      </w:r>
      <w:r>
        <w:t xml:space="preserve"> f</w:t>
      </w:r>
      <w:r w:rsidR="009E3E14" w:rsidRPr="00604935">
        <w:t>ertilizers applied to the turfgrass typically found in residential and urban areas (including residential lawns and public green spaces)</w:t>
      </w:r>
      <w:r w:rsidR="009E3E14">
        <w:t>.</w:t>
      </w:r>
      <w:r w:rsidR="009E3E14" w:rsidRPr="00604935">
        <w:t xml:space="preserve"> </w:t>
      </w:r>
      <w:r>
        <w:t>It is</w:t>
      </w:r>
      <w:r w:rsidR="009E3E14" w:rsidRPr="00604935">
        <w:t xml:space="preserve"> applied by either the homeowner or a lawn service company on residential properties, </w:t>
      </w:r>
      <w:r w:rsidR="00811E5E">
        <w:t>while</w:t>
      </w:r>
      <w:r w:rsidR="009E3E14" w:rsidRPr="00604935">
        <w:t xml:space="preserve"> on nonresidential properties</w:t>
      </w:r>
      <w:r w:rsidR="000811AC">
        <w:t>,</w:t>
      </w:r>
      <w:r w:rsidR="009E3E14" w:rsidRPr="00604935">
        <w:t xml:space="preserve"> </w:t>
      </w:r>
      <w:r>
        <w:t>it</w:t>
      </w:r>
      <w:r w:rsidRPr="00604935">
        <w:t xml:space="preserve"> </w:t>
      </w:r>
      <w:r w:rsidR="009E3E14" w:rsidRPr="00604935">
        <w:t>may be applied by contractors or maintenance staff.</w:t>
      </w:r>
    </w:p>
    <w:p w14:paraId="790F9CD1" w14:textId="000BC278" w:rsidR="009E3E14" w:rsidRDefault="009E3E14" w:rsidP="001451E2">
      <w:pPr>
        <w:pStyle w:val="Heading3"/>
      </w:pPr>
      <w:r>
        <w:t>Fertilizer Ordinance Adoption</w:t>
      </w:r>
    </w:p>
    <w:p w14:paraId="5E301F8D" w14:textId="1CA22D46" w:rsidR="009E3E14" w:rsidRDefault="009E3E14" w:rsidP="009E3E14">
      <w:pPr>
        <w:pStyle w:val="BodyText"/>
      </w:pPr>
      <w:r>
        <w:t xml:space="preserve">As required by the Florida Legislature, as described in </w:t>
      </w:r>
      <w:r w:rsidR="00811E5E">
        <w:t xml:space="preserve">Subsection </w:t>
      </w:r>
      <w:r>
        <w:t>373.807(</w:t>
      </w:r>
      <w:r w:rsidR="00275A4A">
        <w:t>2</w:t>
      </w:r>
      <w:r>
        <w:t xml:space="preserve">), F.S., </w:t>
      </w:r>
      <w:r w:rsidRPr="00BE3175">
        <w:t>local government</w:t>
      </w:r>
      <w:r>
        <w:t xml:space="preserve">s with jurisdictional boundaries that include an OFS or any part of a springshed or </w:t>
      </w:r>
      <w:r w:rsidR="0099477E">
        <w:t xml:space="preserve">the </w:t>
      </w:r>
      <w:r>
        <w:t xml:space="preserve">delineated PFA of an OFS, are required to develop, enact, and implement a fertilizer ordinance by </w:t>
      </w:r>
      <w:r w:rsidRPr="00BE3175">
        <w:t>July 1, 2017</w:t>
      </w:r>
      <w:r>
        <w:t xml:space="preserve">. The statutes require any ordinance to be based, </w:t>
      </w:r>
      <w:r w:rsidRPr="0098088B">
        <w:t xml:space="preserve">at a minimum, </w:t>
      </w:r>
      <w:r>
        <w:t xml:space="preserve">on </w:t>
      </w:r>
      <w:r w:rsidRPr="0098088B">
        <w:t xml:space="preserve">the </w:t>
      </w:r>
      <w:r w:rsidRPr="005026F9">
        <w:t>DEP model ordinance</w:t>
      </w:r>
      <w:r w:rsidRPr="0098088B">
        <w:t xml:space="preserve"> for </w:t>
      </w:r>
      <w:r>
        <w:t>Florida-f</w:t>
      </w:r>
      <w:r w:rsidRPr="0098088B">
        <w:t xml:space="preserve">riendly </w:t>
      </w:r>
      <w:r>
        <w:t>f</w:t>
      </w:r>
      <w:r w:rsidRPr="0098088B">
        <w:t xml:space="preserve">ertilizer </w:t>
      </w:r>
      <w:r>
        <w:t>use on u</w:t>
      </w:r>
      <w:r w:rsidRPr="0098088B">
        <w:t xml:space="preserve">rban </w:t>
      </w:r>
      <w:r>
        <w:t>l</w:t>
      </w:r>
      <w:r w:rsidRPr="0098088B">
        <w:t>andscapes</w:t>
      </w:r>
      <w:r>
        <w:t xml:space="preserve">. </w:t>
      </w:r>
    </w:p>
    <w:p w14:paraId="22F2FDB3" w14:textId="20613E4F" w:rsidR="009E3E14" w:rsidRDefault="009E3E14" w:rsidP="001451E2">
      <w:pPr>
        <w:pStyle w:val="Heading3"/>
      </w:pPr>
      <w:r>
        <w:t>Prioritized Management Strategies and Milestones</w:t>
      </w:r>
    </w:p>
    <w:p w14:paraId="0E6E7A2D" w14:textId="4A3E99C7" w:rsidR="009E3E14" w:rsidRDefault="009E3E14" w:rsidP="009E3E14">
      <w:pPr>
        <w:pStyle w:val="BodyText"/>
        <w:rPr>
          <w:b/>
        </w:rPr>
      </w:pPr>
      <w:r>
        <w:t>Based on the</w:t>
      </w:r>
      <w:r w:rsidR="00814797">
        <w:t xml:space="preserve"> Jackson County</w:t>
      </w:r>
      <w:r>
        <w:t xml:space="preserve"> </w:t>
      </w:r>
      <w:r w:rsidR="00814797">
        <w:t>landscape</w:t>
      </w:r>
      <w:r>
        <w:t xml:space="preserve"> ordinance in place at the time of BMAP adoption</w:t>
      </w:r>
      <w:r w:rsidR="00814797">
        <w:t xml:space="preserve"> and implementation of the Florida Yard</w:t>
      </w:r>
      <w:r w:rsidR="00014367">
        <w:t>s</w:t>
      </w:r>
      <w:r w:rsidR="00814797">
        <w:t xml:space="preserve"> and Neighborhood</w:t>
      </w:r>
      <w:r w:rsidR="00014367">
        <w:t>s</w:t>
      </w:r>
      <w:r w:rsidR="00814797">
        <w:t xml:space="preserve"> (FYN) Program</w:t>
      </w:r>
      <w:r>
        <w:t xml:space="preserve">, the </w:t>
      </w:r>
      <w:r w:rsidR="008B7BDA">
        <w:t>associated</w:t>
      </w:r>
      <w:r>
        <w:t xml:space="preserve"> credits for </w:t>
      </w:r>
      <w:r w:rsidR="00582EB5">
        <w:t>UTF</w:t>
      </w:r>
      <w:r>
        <w:t xml:space="preserve"> reductions</w:t>
      </w:r>
      <w:r w:rsidR="002C2B01">
        <w:t xml:space="preserve"> to groundwater</w:t>
      </w:r>
      <w:r>
        <w:t xml:space="preserve"> are </w:t>
      </w:r>
      <w:r w:rsidR="00814797">
        <w:t>120</w:t>
      </w:r>
      <w:r w:rsidR="00FD6301">
        <w:t xml:space="preserve"> lb-N/yr</w:t>
      </w:r>
      <w:r w:rsidR="001A4D84">
        <w:t xml:space="preserve"> (see</w:t>
      </w:r>
      <w:r w:rsidR="00F24DFC">
        <w:t xml:space="preserve"> </w:t>
      </w:r>
      <w:r w:rsidR="00F24DFC">
        <w:rPr>
          <w:b/>
        </w:rPr>
        <w:t xml:space="preserve">Table </w:t>
      </w:r>
      <w:r w:rsidR="00275A4A">
        <w:rPr>
          <w:b/>
        </w:rPr>
        <w:t>9</w:t>
      </w:r>
      <w:r w:rsidR="009143E6">
        <w:t>)</w:t>
      </w:r>
      <w:r>
        <w:t xml:space="preserve">. Additional environmental benefits could be credited if the counties and municipalities </w:t>
      </w:r>
      <w:r w:rsidR="00447DF2">
        <w:t>implement</w:t>
      </w:r>
      <w:r>
        <w:t xml:space="preserve"> other public education efforts and source control ordinances, as described </w:t>
      </w:r>
      <w:r w:rsidR="00A56DDB">
        <w:t>below</w:t>
      </w:r>
      <w:r w:rsidR="00544E53">
        <w:rPr>
          <w:b/>
        </w:rPr>
        <w:t>.</w:t>
      </w:r>
    </w:p>
    <w:p w14:paraId="54025452" w14:textId="0F069310" w:rsidR="00447DF2" w:rsidRDefault="00447DF2" w:rsidP="00447DF2">
      <w:pPr>
        <w:pStyle w:val="BodyText"/>
        <w:spacing w:before="120"/>
      </w:pPr>
      <w:r>
        <w:t>Local stormwater projects that treat urban runoff, including nitrogen from urban fertilizer</w:t>
      </w:r>
      <w:r w:rsidR="0099477E">
        <w:t>,</w:t>
      </w:r>
      <w:r>
        <w:t xml:space="preserve"> are also in place (</w:t>
      </w:r>
      <w:r w:rsidRPr="00391092">
        <w:t xml:space="preserve">see </w:t>
      </w:r>
      <w:r w:rsidRPr="00391092">
        <w:rPr>
          <w:b/>
        </w:rPr>
        <w:t>Appendix B</w:t>
      </w:r>
      <w:r>
        <w:t>)</w:t>
      </w:r>
      <w:r w:rsidR="0099477E">
        <w:t>,</w:t>
      </w:r>
      <w:r>
        <w:t xml:space="preserve"> </w:t>
      </w:r>
      <w:r w:rsidR="00814797">
        <w:t>with the</w:t>
      </w:r>
      <w:r>
        <w:t xml:space="preserve"> estimated reduction</w:t>
      </w:r>
      <w:r w:rsidR="002C2B01">
        <w:t xml:space="preserve"> to groundwater</w:t>
      </w:r>
      <w:r>
        <w:t xml:space="preserve"> </w:t>
      </w:r>
      <w:r w:rsidR="00814797">
        <w:t>to be determined</w:t>
      </w:r>
      <w:r>
        <w:t>.</w:t>
      </w:r>
    </w:p>
    <w:p w14:paraId="3908F18F" w14:textId="73C8F518" w:rsidR="00E46E3C" w:rsidRPr="00E46E3C" w:rsidRDefault="008941E0" w:rsidP="008941E0">
      <w:pPr>
        <w:pStyle w:val="Caption"/>
      </w:pPr>
      <w:bookmarkStart w:id="115" w:name="_Toc514430959"/>
      <w:r>
        <w:t xml:space="preserve">Table </w:t>
      </w:r>
      <w:fldSimple w:instr=" SEQ Table \* ARABIC ">
        <w:r w:rsidR="002A2E30">
          <w:rPr>
            <w:noProof/>
          </w:rPr>
          <w:t>9</w:t>
        </w:r>
      </w:fldSimple>
      <w:r>
        <w:t xml:space="preserve">. </w:t>
      </w:r>
      <w:r w:rsidR="009E3E14">
        <w:t xml:space="preserve">Current project </w:t>
      </w:r>
      <w:r w:rsidR="00CB1BAB">
        <w:t>credits</w:t>
      </w:r>
      <w:r w:rsidR="009E3E14">
        <w:t xml:space="preserve"> to reduce </w:t>
      </w:r>
      <w:r w:rsidR="00582EB5">
        <w:t>UTF</w:t>
      </w:r>
      <w:r w:rsidR="009E3E14">
        <w:t xml:space="preserve"> loading</w:t>
      </w:r>
      <w:r w:rsidR="002C2B01">
        <w:t xml:space="preserve"> to groundwater</w:t>
      </w:r>
      <w:bookmarkEnd w:id="115"/>
    </w:p>
    <w:tbl>
      <w:tblPr>
        <w:tblW w:w="5583" w:type="dxa"/>
        <w:jc w:val="center"/>
        <w:tblLook w:val="04A0" w:firstRow="1" w:lastRow="0" w:firstColumn="1" w:lastColumn="0" w:noHBand="0" w:noVBand="1"/>
      </w:tblPr>
      <w:tblGrid>
        <w:gridCol w:w="3168"/>
        <w:gridCol w:w="2415"/>
      </w:tblGrid>
      <w:tr w:rsidR="009E3E14" w:rsidRPr="009D0762" w14:paraId="05815D36" w14:textId="77777777" w:rsidTr="00581E8E">
        <w:trPr>
          <w:trHeight w:val="728"/>
          <w:tblHeader/>
          <w:jc w:val="center"/>
        </w:trPr>
        <w:tc>
          <w:tcPr>
            <w:tcW w:w="31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5F33878D" w14:textId="77777777" w:rsidR="009E3E14" w:rsidRPr="009D0762" w:rsidRDefault="009E3E14">
            <w:pPr>
              <w:pStyle w:val="BodyText"/>
              <w:spacing w:after="0" w:line="240" w:lineRule="auto"/>
              <w:jc w:val="center"/>
              <w:rPr>
                <w:b/>
                <w:sz w:val="20"/>
              </w:rPr>
            </w:pPr>
            <w:r w:rsidRPr="009D0762">
              <w:rPr>
                <w:b/>
                <w:sz w:val="20"/>
              </w:rPr>
              <w:t>Project Category</w:t>
            </w:r>
          </w:p>
        </w:tc>
        <w:tc>
          <w:tcPr>
            <w:tcW w:w="2415" w:type="dxa"/>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F06D29D" w14:textId="45651C1B" w:rsidR="009E3E14" w:rsidRPr="00581E8E" w:rsidRDefault="009E3E14" w:rsidP="00581E8E">
            <w:pPr>
              <w:pStyle w:val="TableText"/>
              <w:jc w:val="center"/>
              <w:rPr>
                <w:b/>
              </w:rPr>
            </w:pPr>
            <w:r w:rsidRPr="00581E8E">
              <w:rPr>
                <w:b/>
              </w:rPr>
              <w:t>Project Credits</w:t>
            </w:r>
            <w:r w:rsidR="00FD6301" w:rsidRPr="00581E8E">
              <w:rPr>
                <w:b/>
              </w:rPr>
              <w:t xml:space="preserve"> </w:t>
            </w:r>
            <w:r w:rsidRPr="00581E8E">
              <w:rPr>
                <w:b/>
              </w:rPr>
              <w:t>Based on Management Actions in Appendix B</w:t>
            </w:r>
          </w:p>
          <w:p w14:paraId="56E40ADB" w14:textId="0CED91AC" w:rsidR="0099477E" w:rsidRPr="00581E8E" w:rsidRDefault="0099477E" w:rsidP="00581E8E">
            <w:pPr>
              <w:pStyle w:val="TableText"/>
              <w:jc w:val="center"/>
              <w:rPr>
                <w:b/>
                <w:sz w:val="22"/>
              </w:rPr>
            </w:pPr>
            <w:r w:rsidRPr="00581E8E">
              <w:rPr>
                <w:b/>
              </w:rPr>
              <w:t>(lb-N/yr)</w:t>
            </w:r>
          </w:p>
        </w:tc>
      </w:tr>
      <w:tr w:rsidR="009E3E14" w:rsidRPr="009D0762" w14:paraId="41238960" w14:textId="77777777" w:rsidTr="00581E8E">
        <w:trPr>
          <w:trHeight w:val="288"/>
          <w:jc w:val="center"/>
        </w:trPr>
        <w:tc>
          <w:tcPr>
            <w:tcW w:w="3168" w:type="dxa"/>
            <w:tcBorders>
              <w:top w:val="nil"/>
              <w:left w:val="single" w:sz="4" w:space="0" w:color="auto"/>
              <w:bottom w:val="single" w:sz="4" w:space="0" w:color="auto"/>
              <w:right w:val="single" w:sz="4" w:space="0" w:color="auto"/>
            </w:tcBorders>
            <w:shd w:val="clear" w:color="auto" w:fill="auto"/>
            <w:vAlign w:val="center"/>
            <w:hideMark/>
          </w:tcPr>
          <w:p w14:paraId="4EE19870" w14:textId="1622BC93" w:rsidR="009E3E14" w:rsidRPr="00C12FDE" w:rsidRDefault="00814797" w:rsidP="009D0762">
            <w:pPr>
              <w:pStyle w:val="BodyText"/>
              <w:spacing w:after="0" w:line="240" w:lineRule="auto"/>
              <w:jc w:val="center"/>
              <w:rPr>
                <w:b/>
                <w:sz w:val="20"/>
              </w:rPr>
            </w:pPr>
            <w:r>
              <w:rPr>
                <w:b/>
                <w:sz w:val="20"/>
              </w:rPr>
              <w:t>Landscape</w:t>
            </w:r>
            <w:r w:rsidR="00FD6301" w:rsidRPr="00C12FDE">
              <w:rPr>
                <w:b/>
                <w:sz w:val="20"/>
              </w:rPr>
              <w:t xml:space="preserve"> </w:t>
            </w:r>
            <w:r w:rsidR="009E3E14" w:rsidRPr="00C12FDE">
              <w:rPr>
                <w:b/>
                <w:sz w:val="20"/>
              </w:rPr>
              <w:t>Ordinance</w:t>
            </w:r>
          </w:p>
        </w:tc>
        <w:tc>
          <w:tcPr>
            <w:tcW w:w="2415" w:type="dxa"/>
            <w:tcBorders>
              <w:top w:val="nil"/>
              <w:left w:val="nil"/>
              <w:bottom w:val="single" w:sz="4" w:space="0" w:color="auto"/>
              <w:right w:val="single" w:sz="4" w:space="0" w:color="auto"/>
            </w:tcBorders>
            <w:shd w:val="clear" w:color="auto" w:fill="auto"/>
            <w:vAlign w:val="center"/>
            <w:hideMark/>
          </w:tcPr>
          <w:p w14:paraId="3FA1E6E4" w14:textId="6AC45AB6" w:rsidR="009E3E14" w:rsidRPr="00FD6301" w:rsidRDefault="00814797" w:rsidP="009D0762">
            <w:pPr>
              <w:pStyle w:val="BodyText"/>
              <w:spacing w:after="0" w:line="240" w:lineRule="auto"/>
              <w:jc w:val="center"/>
              <w:rPr>
                <w:sz w:val="20"/>
              </w:rPr>
            </w:pPr>
            <w:r>
              <w:rPr>
                <w:sz w:val="20"/>
              </w:rPr>
              <w:t>17</w:t>
            </w:r>
          </w:p>
        </w:tc>
      </w:tr>
      <w:tr w:rsidR="009E3E14" w:rsidRPr="009D0762" w14:paraId="346ED7CC" w14:textId="77777777" w:rsidTr="00581E8E">
        <w:trPr>
          <w:trHeight w:val="288"/>
          <w:jc w:val="center"/>
        </w:trPr>
        <w:tc>
          <w:tcPr>
            <w:tcW w:w="3168" w:type="dxa"/>
            <w:tcBorders>
              <w:top w:val="nil"/>
              <w:left w:val="single" w:sz="4" w:space="0" w:color="auto"/>
              <w:bottom w:val="single" w:sz="4" w:space="0" w:color="auto"/>
              <w:right w:val="single" w:sz="4" w:space="0" w:color="auto"/>
            </w:tcBorders>
            <w:shd w:val="clear" w:color="auto" w:fill="auto"/>
            <w:vAlign w:val="center"/>
          </w:tcPr>
          <w:p w14:paraId="0B5A0BD5" w14:textId="203C99B9" w:rsidR="009E3E14" w:rsidRPr="00C12FDE" w:rsidRDefault="00814797" w:rsidP="009D0762">
            <w:pPr>
              <w:pStyle w:val="BodyText"/>
              <w:spacing w:after="0" w:line="240" w:lineRule="auto"/>
              <w:jc w:val="center"/>
              <w:rPr>
                <w:b/>
                <w:sz w:val="20"/>
              </w:rPr>
            </w:pPr>
            <w:r>
              <w:rPr>
                <w:b/>
                <w:sz w:val="20"/>
              </w:rPr>
              <w:t>FYN Program</w:t>
            </w:r>
          </w:p>
        </w:tc>
        <w:tc>
          <w:tcPr>
            <w:tcW w:w="2415" w:type="dxa"/>
            <w:tcBorders>
              <w:top w:val="nil"/>
              <w:left w:val="nil"/>
              <w:bottom w:val="single" w:sz="4" w:space="0" w:color="auto"/>
              <w:right w:val="single" w:sz="4" w:space="0" w:color="auto"/>
            </w:tcBorders>
            <w:shd w:val="clear" w:color="auto" w:fill="auto"/>
            <w:vAlign w:val="center"/>
            <w:hideMark/>
          </w:tcPr>
          <w:p w14:paraId="1884A9B2" w14:textId="135369C0" w:rsidR="009E3E14" w:rsidRPr="00FD6301" w:rsidRDefault="00814797" w:rsidP="009D0762">
            <w:pPr>
              <w:pStyle w:val="BodyText"/>
              <w:spacing w:after="0" w:line="240" w:lineRule="auto"/>
              <w:jc w:val="center"/>
              <w:rPr>
                <w:sz w:val="20"/>
              </w:rPr>
            </w:pPr>
            <w:r>
              <w:rPr>
                <w:sz w:val="20"/>
              </w:rPr>
              <w:t>103</w:t>
            </w:r>
          </w:p>
        </w:tc>
      </w:tr>
      <w:tr w:rsidR="009E3E14" w:rsidRPr="009D0762" w14:paraId="484137CB" w14:textId="77777777" w:rsidTr="00581E8E">
        <w:trPr>
          <w:trHeight w:val="300"/>
          <w:jc w:val="center"/>
        </w:trPr>
        <w:tc>
          <w:tcPr>
            <w:tcW w:w="3168" w:type="dxa"/>
            <w:tcBorders>
              <w:top w:val="nil"/>
              <w:left w:val="single" w:sz="4" w:space="0" w:color="auto"/>
              <w:bottom w:val="single" w:sz="4" w:space="0" w:color="auto"/>
              <w:right w:val="single" w:sz="4" w:space="0" w:color="auto"/>
            </w:tcBorders>
            <w:shd w:val="clear" w:color="auto" w:fill="FFF2CC"/>
            <w:vAlign w:val="center"/>
            <w:hideMark/>
          </w:tcPr>
          <w:p w14:paraId="1B59878D" w14:textId="77777777" w:rsidR="009E3E14" w:rsidRPr="009D0762" w:rsidRDefault="009E3E14" w:rsidP="009D0762">
            <w:pPr>
              <w:pStyle w:val="BodyText"/>
              <w:spacing w:after="0" w:line="240" w:lineRule="auto"/>
              <w:jc w:val="center"/>
              <w:rPr>
                <w:b/>
                <w:sz w:val="20"/>
              </w:rPr>
            </w:pPr>
            <w:r w:rsidRPr="009D0762">
              <w:rPr>
                <w:b/>
                <w:sz w:val="20"/>
              </w:rPr>
              <w:t>Total Project Credits</w:t>
            </w:r>
          </w:p>
        </w:tc>
        <w:tc>
          <w:tcPr>
            <w:tcW w:w="2415" w:type="dxa"/>
            <w:tcBorders>
              <w:top w:val="nil"/>
              <w:left w:val="nil"/>
              <w:bottom w:val="single" w:sz="4" w:space="0" w:color="auto"/>
              <w:right w:val="single" w:sz="4" w:space="0" w:color="auto"/>
            </w:tcBorders>
            <w:shd w:val="clear" w:color="auto" w:fill="FFF2CC"/>
            <w:vAlign w:val="center"/>
            <w:hideMark/>
          </w:tcPr>
          <w:p w14:paraId="54B1E8EA" w14:textId="41F35607" w:rsidR="009E3E14" w:rsidRPr="009D0762" w:rsidRDefault="00814797" w:rsidP="009D0762">
            <w:pPr>
              <w:pStyle w:val="BodyText"/>
              <w:spacing w:after="0" w:line="240" w:lineRule="auto"/>
              <w:jc w:val="center"/>
              <w:rPr>
                <w:b/>
                <w:sz w:val="20"/>
              </w:rPr>
            </w:pPr>
            <w:r>
              <w:rPr>
                <w:b/>
                <w:sz w:val="20"/>
              </w:rPr>
              <w:t>120</w:t>
            </w:r>
          </w:p>
        </w:tc>
      </w:tr>
    </w:tbl>
    <w:p w14:paraId="48D958C1" w14:textId="5C40BF09" w:rsidR="00447DF2" w:rsidRDefault="00447DF2" w:rsidP="00581E8E">
      <w:pPr>
        <w:pStyle w:val="Bodytextreduced"/>
      </w:pPr>
    </w:p>
    <w:p w14:paraId="66141518" w14:textId="13622AED" w:rsidR="006538F4" w:rsidRPr="006538F4" w:rsidRDefault="006538F4" w:rsidP="006538F4">
      <w:pPr>
        <w:pStyle w:val="BodyText"/>
      </w:pPr>
      <w:r>
        <w:t xml:space="preserve">Since there is uncertainty </w:t>
      </w:r>
      <w:r w:rsidR="000811AC">
        <w:t>about the</w:t>
      </w:r>
      <w:r>
        <w:t xml:space="preserve"> data used in the NSILT</w:t>
      </w:r>
      <w:r w:rsidR="002C2B01">
        <w:t xml:space="preserve"> estimate</w:t>
      </w:r>
      <w:r>
        <w:t xml:space="preserve">s to calculate the </w:t>
      </w:r>
      <w:r w:rsidR="0099477E">
        <w:t xml:space="preserve">UTF </w:t>
      </w:r>
      <w:r>
        <w:t xml:space="preserve">loading to groundwater, DEP will work toward </w:t>
      </w:r>
      <w:r w:rsidR="00447DF2">
        <w:t xml:space="preserve">collecting </w:t>
      </w:r>
      <w:r>
        <w:t xml:space="preserve">better data by documenting reductions with the stakeholders. Also, DEP will work with </w:t>
      </w:r>
      <w:r w:rsidR="000811AC">
        <w:t xml:space="preserve">the </w:t>
      </w:r>
      <w:r>
        <w:t xml:space="preserve">stakeholders to develop additional measures </w:t>
      </w:r>
      <w:r w:rsidR="00447DF2">
        <w:t>to</w:t>
      </w:r>
      <w:r>
        <w:t xml:space="preserve"> reduce fertilizer application.</w:t>
      </w:r>
    </w:p>
    <w:p w14:paraId="572C5E64" w14:textId="77777777" w:rsidR="00275A4A" w:rsidRPr="00246BDF" w:rsidRDefault="00275A4A" w:rsidP="001451E2">
      <w:pPr>
        <w:pStyle w:val="Heading3"/>
      </w:pPr>
      <w:r>
        <w:t>Additional UTF Reduction Options</w:t>
      </w:r>
    </w:p>
    <w:p w14:paraId="6F9326A3" w14:textId="261BC022" w:rsidR="00D819B1" w:rsidRDefault="00D819B1" w:rsidP="00D819B1">
      <w:pPr>
        <w:pStyle w:val="BodyText"/>
      </w:pPr>
      <w:r>
        <w:t>The anticipated reduction from UTF sources is currently limited to 6 % of the estimated load to groundwater. This reduction can be achieved through a 6 % total credit if Jackson County has an applicable fertilizer ordinance, landscape ordinance, irrigation ordinance, and pet waste ordinance; carries out public education activities; and implements the FYN Program (</w:t>
      </w:r>
      <w:r>
        <w:rPr>
          <w:b/>
        </w:rPr>
        <w:t>Table 10</w:t>
      </w:r>
      <w:r>
        <w:t>). Currently, Jackson County has an adopted landscape ordinance and implements the FYN Program for a total credit of 120 lb-N/yr. An additional 86 lb-N/yr reduction could be achieved through public education and source control efforts.</w:t>
      </w:r>
    </w:p>
    <w:p w14:paraId="7B3E3D83" w14:textId="77777777" w:rsidR="00D819B1" w:rsidRDefault="00D819B1" w:rsidP="00D819B1">
      <w:pPr>
        <w:pStyle w:val="Caption"/>
      </w:pPr>
      <w:bookmarkStart w:id="116" w:name="_Toc514430960"/>
      <w:r>
        <w:t xml:space="preserve">Table </w:t>
      </w:r>
      <w:fldSimple w:instr=" SEQ Table \* ARABIC ">
        <w:r w:rsidR="002A2E30">
          <w:rPr>
            <w:noProof/>
          </w:rPr>
          <w:t>10</w:t>
        </w:r>
      </w:fldSimple>
      <w:r>
        <w:t>. Maximum UTF load reductions based on existing public education credit policies</w:t>
      </w:r>
      <w:bookmarkEnd w:id="116"/>
    </w:p>
    <w:tbl>
      <w:tblPr>
        <w:tblW w:w="7220" w:type="dxa"/>
        <w:jc w:val="center"/>
        <w:tblLook w:val="04A0" w:firstRow="1" w:lastRow="0" w:firstColumn="1" w:lastColumn="0" w:noHBand="0" w:noVBand="1"/>
      </w:tblPr>
      <w:tblGrid>
        <w:gridCol w:w="3024"/>
        <w:gridCol w:w="2016"/>
        <w:gridCol w:w="2180"/>
      </w:tblGrid>
      <w:tr w:rsidR="00D819B1" w:rsidRPr="008C72F4" w14:paraId="7C12FF16" w14:textId="77777777" w:rsidTr="00EE6C95">
        <w:trPr>
          <w:trHeight w:val="773"/>
          <w:tblHeader/>
          <w:jc w:val="center"/>
        </w:trPr>
        <w:tc>
          <w:tcPr>
            <w:tcW w:w="3024" w:type="dxa"/>
            <w:tcBorders>
              <w:top w:val="single" w:sz="4" w:space="0" w:color="auto"/>
              <w:left w:val="single" w:sz="4" w:space="0" w:color="auto"/>
              <w:bottom w:val="single" w:sz="4" w:space="0" w:color="auto"/>
              <w:right w:val="single" w:sz="4" w:space="0" w:color="auto"/>
            </w:tcBorders>
            <w:shd w:val="clear" w:color="000000" w:fill="DDEBF7"/>
            <w:vAlign w:val="bottom"/>
            <w:hideMark/>
          </w:tcPr>
          <w:p w14:paraId="1DCAC600" w14:textId="77777777" w:rsidR="00D819B1" w:rsidRDefault="00D819B1" w:rsidP="00EE6C95">
            <w:pPr>
              <w:pStyle w:val="BodyText"/>
              <w:spacing w:after="0" w:line="240" w:lineRule="auto"/>
              <w:jc w:val="center"/>
              <w:rPr>
                <w:b/>
                <w:sz w:val="20"/>
              </w:rPr>
            </w:pPr>
            <w:r>
              <w:rPr>
                <w:b/>
                <w:sz w:val="20"/>
              </w:rPr>
              <w:t>UTF</w:t>
            </w:r>
            <w:r w:rsidRPr="008C72F4">
              <w:rPr>
                <w:b/>
                <w:sz w:val="20"/>
              </w:rPr>
              <w:t xml:space="preserve"> </w:t>
            </w:r>
          </w:p>
          <w:p w14:paraId="071AA7C6" w14:textId="77777777" w:rsidR="00D819B1" w:rsidRPr="008C72F4" w:rsidRDefault="00D819B1" w:rsidP="00EE6C95">
            <w:pPr>
              <w:pStyle w:val="BodyText"/>
              <w:spacing w:after="0" w:line="240" w:lineRule="auto"/>
              <w:jc w:val="center"/>
              <w:rPr>
                <w:b/>
                <w:sz w:val="20"/>
              </w:rPr>
            </w:pPr>
            <w:r w:rsidRPr="008C72F4">
              <w:rPr>
                <w:b/>
                <w:sz w:val="20"/>
              </w:rPr>
              <w:t>Source Control Measures</w:t>
            </w:r>
          </w:p>
        </w:tc>
        <w:tc>
          <w:tcPr>
            <w:tcW w:w="2016" w:type="dxa"/>
            <w:tcBorders>
              <w:top w:val="single" w:sz="4" w:space="0" w:color="auto"/>
              <w:left w:val="nil"/>
              <w:bottom w:val="single" w:sz="4" w:space="0" w:color="auto"/>
              <w:right w:val="single" w:sz="4" w:space="0" w:color="auto"/>
            </w:tcBorders>
            <w:shd w:val="clear" w:color="000000" w:fill="DDEBF7"/>
            <w:vAlign w:val="bottom"/>
            <w:hideMark/>
          </w:tcPr>
          <w:p w14:paraId="24A30C21" w14:textId="77777777" w:rsidR="00D819B1" w:rsidRDefault="00D819B1" w:rsidP="00EE6C95">
            <w:pPr>
              <w:pStyle w:val="BodyText"/>
              <w:spacing w:after="0" w:line="240" w:lineRule="auto"/>
              <w:jc w:val="center"/>
              <w:rPr>
                <w:b/>
                <w:sz w:val="20"/>
              </w:rPr>
            </w:pPr>
            <w:r w:rsidRPr="008C72F4">
              <w:rPr>
                <w:b/>
                <w:sz w:val="20"/>
              </w:rPr>
              <w:t>Credit, Based on Estimated Load to Groundwater</w:t>
            </w:r>
          </w:p>
          <w:p w14:paraId="1E15267B" w14:textId="77777777" w:rsidR="00D819B1" w:rsidRPr="00D062B6" w:rsidRDefault="00D819B1" w:rsidP="00EE6C95">
            <w:pPr>
              <w:jc w:val="center"/>
            </w:pPr>
            <w:r>
              <w:t>(%)</w:t>
            </w:r>
          </w:p>
        </w:tc>
        <w:tc>
          <w:tcPr>
            <w:tcW w:w="2180" w:type="dxa"/>
            <w:tcBorders>
              <w:top w:val="single" w:sz="4" w:space="0" w:color="auto"/>
              <w:left w:val="nil"/>
              <w:bottom w:val="single" w:sz="4" w:space="0" w:color="auto"/>
              <w:right w:val="single" w:sz="4" w:space="0" w:color="auto"/>
            </w:tcBorders>
            <w:shd w:val="clear" w:color="000000" w:fill="DDEBF7"/>
            <w:vAlign w:val="bottom"/>
            <w:hideMark/>
          </w:tcPr>
          <w:p w14:paraId="2C720404" w14:textId="77777777" w:rsidR="00D819B1" w:rsidRDefault="00D819B1" w:rsidP="00EE6C95">
            <w:pPr>
              <w:pStyle w:val="BodyText"/>
              <w:spacing w:after="0" w:line="240" w:lineRule="auto"/>
              <w:jc w:val="center"/>
              <w:rPr>
                <w:b/>
                <w:sz w:val="20"/>
              </w:rPr>
            </w:pPr>
            <w:r w:rsidRPr="008C72F4">
              <w:rPr>
                <w:b/>
                <w:sz w:val="20"/>
              </w:rPr>
              <w:t xml:space="preserve">Possible Nitrogen Credits </w:t>
            </w:r>
          </w:p>
          <w:p w14:paraId="2D10E44C" w14:textId="77777777" w:rsidR="00D819B1" w:rsidRPr="008C72F4" w:rsidRDefault="00D819B1" w:rsidP="00EE6C95">
            <w:pPr>
              <w:pStyle w:val="BodyText"/>
              <w:spacing w:after="0" w:line="240" w:lineRule="auto"/>
              <w:jc w:val="center"/>
              <w:rPr>
                <w:b/>
                <w:sz w:val="20"/>
              </w:rPr>
            </w:pPr>
            <w:r w:rsidRPr="008C72F4">
              <w:rPr>
                <w:b/>
                <w:sz w:val="20"/>
              </w:rPr>
              <w:t>(lb-N/yr)</w:t>
            </w:r>
          </w:p>
        </w:tc>
      </w:tr>
      <w:tr w:rsidR="00D819B1" w:rsidRPr="008C72F4" w14:paraId="5E25FEF1"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7FD0FA21" w14:textId="77777777" w:rsidR="00D819B1" w:rsidRPr="00C12FDE" w:rsidRDefault="00D819B1" w:rsidP="00EE6C95">
            <w:pPr>
              <w:pStyle w:val="BodyText"/>
              <w:spacing w:after="0" w:line="240" w:lineRule="auto"/>
              <w:jc w:val="center"/>
              <w:rPr>
                <w:b/>
                <w:sz w:val="20"/>
              </w:rPr>
            </w:pPr>
            <w:r w:rsidRPr="00C12FDE">
              <w:rPr>
                <w:b/>
                <w:sz w:val="20"/>
              </w:rPr>
              <w:t>Fertilizer Ordinance</w:t>
            </w:r>
          </w:p>
        </w:tc>
        <w:tc>
          <w:tcPr>
            <w:tcW w:w="2016" w:type="dxa"/>
            <w:tcBorders>
              <w:top w:val="nil"/>
              <w:left w:val="nil"/>
              <w:bottom w:val="single" w:sz="4" w:space="0" w:color="auto"/>
              <w:right w:val="single" w:sz="4" w:space="0" w:color="auto"/>
            </w:tcBorders>
            <w:shd w:val="clear" w:color="auto" w:fill="auto"/>
            <w:vAlign w:val="center"/>
            <w:hideMark/>
          </w:tcPr>
          <w:p w14:paraId="0F18D008" w14:textId="77777777" w:rsidR="00D819B1" w:rsidRPr="008C72F4" w:rsidRDefault="00D819B1" w:rsidP="00EE6C95">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45F1891D" w14:textId="77777777" w:rsidR="00D819B1" w:rsidRPr="004D4DB5" w:rsidRDefault="00D819B1" w:rsidP="00EE6C95">
            <w:pPr>
              <w:pStyle w:val="BodyText"/>
              <w:spacing w:after="0" w:line="240" w:lineRule="auto"/>
              <w:jc w:val="center"/>
              <w:rPr>
                <w:b/>
                <w:sz w:val="20"/>
              </w:rPr>
            </w:pPr>
            <w:r w:rsidRPr="004D4DB5">
              <w:rPr>
                <w:color w:val="000000"/>
                <w:sz w:val="20"/>
              </w:rPr>
              <w:t>17</w:t>
            </w:r>
          </w:p>
        </w:tc>
      </w:tr>
      <w:tr w:rsidR="00D819B1" w:rsidRPr="008C72F4" w14:paraId="7D559C14"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72B2427B" w14:textId="77777777" w:rsidR="00D819B1" w:rsidRPr="00C12FDE" w:rsidRDefault="00D819B1" w:rsidP="00EE6C95">
            <w:pPr>
              <w:pStyle w:val="BodyText"/>
              <w:spacing w:after="0" w:line="240" w:lineRule="auto"/>
              <w:jc w:val="center"/>
              <w:rPr>
                <w:b/>
                <w:sz w:val="20"/>
              </w:rPr>
            </w:pPr>
            <w:r w:rsidRPr="00C12FDE">
              <w:rPr>
                <w:b/>
                <w:sz w:val="20"/>
              </w:rPr>
              <w:t>Pet Waste Ordinance</w:t>
            </w:r>
          </w:p>
        </w:tc>
        <w:tc>
          <w:tcPr>
            <w:tcW w:w="2016" w:type="dxa"/>
            <w:tcBorders>
              <w:top w:val="nil"/>
              <w:left w:val="nil"/>
              <w:bottom w:val="single" w:sz="4" w:space="0" w:color="auto"/>
              <w:right w:val="single" w:sz="4" w:space="0" w:color="auto"/>
            </w:tcBorders>
            <w:shd w:val="clear" w:color="auto" w:fill="auto"/>
            <w:vAlign w:val="center"/>
            <w:hideMark/>
          </w:tcPr>
          <w:p w14:paraId="3BAD6E35" w14:textId="77777777" w:rsidR="00D819B1" w:rsidRPr="008C72F4" w:rsidRDefault="00D819B1" w:rsidP="00EE6C95">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0769B51C" w14:textId="77777777" w:rsidR="00D819B1" w:rsidRPr="004D4DB5" w:rsidRDefault="00D819B1" w:rsidP="00EE6C95">
            <w:pPr>
              <w:pStyle w:val="BodyText"/>
              <w:spacing w:after="0" w:line="240" w:lineRule="auto"/>
              <w:jc w:val="center"/>
              <w:rPr>
                <w:b/>
                <w:sz w:val="20"/>
              </w:rPr>
            </w:pPr>
            <w:r w:rsidRPr="004D4DB5">
              <w:rPr>
                <w:color w:val="000000"/>
                <w:sz w:val="20"/>
              </w:rPr>
              <w:t>17</w:t>
            </w:r>
          </w:p>
        </w:tc>
      </w:tr>
      <w:tr w:rsidR="00D819B1" w:rsidRPr="008C72F4" w14:paraId="68BDF115"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5851B236" w14:textId="77777777" w:rsidR="00D819B1" w:rsidRPr="00C12FDE" w:rsidRDefault="00D819B1" w:rsidP="00EE6C95">
            <w:pPr>
              <w:pStyle w:val="BodyText"/>
              <w:spacing w:after="0" w:line="240" w:lineRule="auto"/>
              <w:jc w:val="center"/>
              <w:rPr>
                <w:b/>
                <w:sz w:val="20"/>
              </w:rPr>
            </w:pPr>
            <w:r w:rsidRPr="00C12FDE">
              <w:rPr>
                <w:b/>
                <w:sz w:val="20"/>
              </w:rPr>
              <w:t>Landscape Ordinance</w:t>
            </w:r>
          </w:p>
        </w:tc>
        <w:tc>
          <w:tcPr>
            <w:tcW w:w="2016" w:type="dxa"/>
            <w:tcBorders>
              <w:top w:val="nil"/>
              <w:left w:val="nil"/>
              <w:bottom w:val="single" w:sz="4" w:space="0" w:color="auto"/>
              <w:right w:val="single" w:sz="4" w:space="0" w:color="auto"/>
            </w:tcBorders>
            <w:shd w:val="clear" w:color="auto" w:fill="auto"/>
            <w:vAlign w:val="center"/>
            <w:hideMark/>
          </w:tcPr>
          <w:p w14:paraId="512EA0B3" w14:textId="77777777" w:rsidR="00D819B1" w:rsidRPr="008C72F4" w:rsidRDefault="00D819B1" w:rsidP="00EE6C95">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04D7E020" w14:textId="77777777" w:rsidR="00D819B1" w:rsidRPr="004D4DB5" w:rsidRDefault="00D819B1" w:rsidP="00EE6C95">
            <w:pPr>
              <w:pStyle w:val="BodyText"/>
              <w:spacing w:after="0" w:line="240" w:lineRule="auto"/>
              <w:jc w:val="center"/>
              <w:rPr>
                <w:b/>
                <w:sz w:val="20"/>
              </w:rPr>
            </w:pPr>
            <w:r w:rsidRPr="004D4DB5">
              <w:rPr>
                <w:color w:val="000000"/>
                <w:sz w:val="20"/>
              </w:rPr>
              <w:t>17</w:t>
            </w:r>
          </w:p>
        </w:tc>
      </w:tr>
      <w:tr w:rsidR="00D819B1" w:rsidRPr="008C72F4" w14:paraId="1F24D17C"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59D69B14" w14:textId="77777777" w:rsidR="00D819B1" w:rsidRPr="00C12FDE" w:rsidRDefault="00D819B1" w:rsidP="00EE6C95">
            <w:pPr>
              <w:pStyle w:val="BodyText"/>
              <w:spacing w:after="0" w:line="240" w:lineRule="auto"/>
              <w:jc w:val="center"/>
              <w:rPr>
                <w:b/>
                <w:sz w:val="20"/>
              </w:rPr>
            </w:pPr>
            <w:r w:rsidRPr="00C12FDE">
              <w:rPr>
                <w:b/>
                <w:sz w:val="20"/>
              </w:rPr>
              <w:t>Irrigation Ordinance</w:t>
            </w:r>
          </w:p>
        </w:tc>
        <w:tc>
          <w:tcPr>
            <w:tcW w:w="2016" w:type="dxa"/>
            <w:tcBorders>
              <w:top w:val="nil"/>
              <w:left w:val="nil"/>
              <w:bottom w:val="single" w:sz="4" w:space="0" w:color="auto"/>
              <w:right w:val="single" w:sz="4" w:space="0" w:color="auto"/>
            </w:tcBorders>
            <w:shd w:val="clear" w:color="auto" w:fill="auto"/>
            <w:vAlign w:val="center"/>
            <w:hideMark/>
          </w:tcPr>
          <w:p w14:paraId="1908300D" w14:textId="77777777" w:rsidR="00D819B1" w:rsidRPr="008C72F4" w:rsidRDefault="00D819B1" w:rsidP="00EE6C95">
            <w:pPr>
              <w:pStyle w:val="BodyText"/>
              <w:spacing w:after="0" w:line="240" w:lineRule="auto"/>
              <w:jc w:val="center"/>
              <w:rPr>
                <w:b/>
                <w:sz w:val="20"/>
              </w:rPr>
            </w:pPr>
            <w:r w:rsidRPr="008C72F4">
              <w:rPr>
                <w:sz w:val="20"/>
              </w:rPr>
              <w:t>0.50</w:t>
            </w:r>
          </w:p>
        </w:tc>
        <w:tc>
          <w:tcPr>
            <w:tcW w:w="2180" w:type="dxa"/>
            <w:tcBorders>
              <w:top w:val="nil"/>
              <w:left w:val="nil"/>
              <w:bottom w:val="single" w:sz="4" w:space="0" w:color="auto"/>
              <w:right w:val="single" w:sz="4" w:space="0" w:color="auto"/>
            </w:tcBorders>
            <w:shd w:val="clear" w:color="auto" w:fill="auto"/>
            <w:vAlign w:val="bottom"/>
            <w:hideMark/>
          </w:tcPr>
          <w:p w14:paraId="6A2817C5" w14:textId="77777777" w:rsidR="00D819B1" w:rsidRPr="004D4DB5" w:rsidRDefault="00D819B1" w:rsidP="00EE6C95">
            <w:pPr>
              <w:pStyle w:val="BodyText"/>
              <w:spacing w:after="0" w:line="240" w:lineRule="auto"/>
              <w:jc w:val="center"/>
              <w:rPr>
                <w:b/>
                <w:sz w:val="20"/>
              </w:rPr>
            </w:pPr>
            <w:r w:rsidRPr="004D4DB5">
              <w:rPr>
                <w:color w:val="000000"/>
                <w:sz w:val="20"/>
              </w:rPr>
              <w:t>17</w:t>
            </w:r>
          </w:p>
        </w:tc>
      </w:tr>
      <w:tr w:rsidR="00D819B1" w:rsidRPr="008C72F4" w14:paraId="0ED37342"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6285519E" w14:textId="77777777" w:rsidR="00D819B1" w:rsidRPr="00C12FDE" w:rsidRDefault="00D819B1" w:rsidP="00EE6C95">
            <w:pPr>
              <w:pStyle w:val="BodyText"/>
              <w:spacing w:after="0" w:line="240" w:lineRule="auto"/>
              <w:jc w:val="center"/>
              <w:rPr>
                <w:b/>
                <w:sz w:val="20"/>
              </w:rPr>
            </w:pPr>
            <w:r>
              <w:rPr>
                <w:b/>
                <w:sz w:val="20"/>
              </w:rPr>
              <w:t xml:space="preserve">FYN </w:t>
            </w:r>
            <w:r w:rsidRPr="00C12FDE">
              <w:rPr>
                <w:b/>
                <w:sz w:val="20"/>
              </w:rPr>
              <w:t>Program</w:t>
            </w:r>
          </w:p>
        </w:tc>
        <w:tc>
          <w:tcPr>
            <w:tcW w:w="2016" w:type="dxa"/>
            <w:tcBorders>
              <w:top w:val="nil"/>
              <w:left w:val="nil"/>
              <w:bottom w:val="single" w:sz="4" w:space="0" w:color="auto"/>
              <w:right w:val="single" w:sz="4" w:space="0" w:color="auto"/>
            </w:tcBorders>
            <w:shd w:val="clear" w:color="auto" w:fill="auto"/>
            <w:vAlign w:val="center"/>
            <w:hideMark/>
          </w:tcPr>
          <w:p w14:paraId="2F9916DB" w14:textId="77777777" w:rsidR="00D819B1" w:rsidRPr="008C72F4" w:rsidRDefault="00D819B1" w:rsidP="00EE6C95">
            <w:pPr>
              <w:pStyle w:val="BodyText"/>
              <w:spacing w:after="0" w:line="240" w:lineRule="auto"/>
              <w:jc w:val="center"/>
              <w:rPr>
                <w:b/>
                <w:sz w:val="20"/>
              </w:rPr>
            </w:pPr>
            <w:r w:rsidRPr="008C72F4">
              <w:rPr>
                <w:sz w:val="20"/>
              </w:rPr>
              <w:t>3.00</w:t>
            </w:r>
          </w:p>
        </w:tc>
        <w:tc>
          <w:tcPr>
            <w:tcW w:w="2180" w:type="dxa"/>
            <w:tcBorders>
              <w:top w:val="nil"/>
              <w:left w:val="nil"/>
              <w:bottom w:val="single" w:sz="4" w:space="0" w:color="auto"/>
              <w:right w:val="single" w:sz="4" w:space="0" w:color="auto"/>
            </w:tcBorders>
            <w:shd w:val="clear" w:color="auto" w:fill="auto"/>
            <w:vAlign w:val="bottom"/>
            <w:hideMark/>
          </w:tcPr>
          <w:p w14:paraId="1F0E9E16" w14:textId="77777777" w:rsidR="00D819B1" w:rsidRPr="004D4DB5" w:rsidRDefault="00D819B1" w:rsidP="00EE6C95">
            <w:pPr>
              <w:pStyle w:val="BodyText"/>
              <w:spacing w:after="0" w:line="240" w:lineRule="auto"/>
              <w:jc w:val="center"/>
              <w:rPr>
                <w:b/>
                <w:sz w:val="20"/>
              </w:rPr>
            </w:pPr>
            <w:r w:rsidRPr="004D4DB5">
              <w:rPr>
                <w:color w:val="000000"/>
                <w:sz w:val="20"/>
              </w:rPr>
              <w:t>103</w:t>
            </w:r>
          </w:p>
        </w:tc>
      </w:tr>
      <w:tr w:rsidR="00D819B1" w:rsidRPr="008C72F4" w14:paraId="37583990"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auto"/>
            <w:vAlign w:val="center"/>
            <w:hideMark/>
          </w:tcPr>
          <w:p w14:paraId="60F96678" w14:textId="77777777" w:rsidR="00D819B1" w:rsidRPr="00C12FDE" w:rsidRDefault="00D819B1" w:rsidP="00EE6C95">
            <w:pPr>
              <w:pStyle w:val="BodyText"/>
              <w:spacing w:after="0" w:line="240" w:lineRule="auto"/>
              <w:jc w:val="center"/>
              <w:rPr>
                <w:b/>
                <w:sz w:val="20"/>
              </w:rPr>
            </w:pPr>
            <w:r w:rsidRPr="00C12FDE">
              <w:rPr>
                <w:b/>
                <w:sz w:val="20"/>
              </w:rPr>
              <w:t>Public Education Program</w:t>
            </w:r>
          </w:p>
        </w:tc>
        <w:tc>
          <w:tcPr>
            <w:tcW w:w="2016" w:type="dxa"/>
            <w:tcBorders>
              <w:top w:val="nil"/>
              <w:left w:val="nil"/>
              <w:bottom w:val="single" w:sz="4" w:space="0" w:color="auto"/>
              <w:right w:val="single" w:sz="4" w:space="0" w:color="auto"/>
            </w:tcBorders>
            <w:shd w:val="clear" w:color="auto" w:fill="auto"/>
            <w:vAlign w:val="center"/>
            <w:hideMark/>
          </w:tcPr>
          <w:p w14:paraId="5ADCEBF9" w14:textId="77777777" w:rsidR="00D819B1" w:rsidRPr="008C72F4" w:rsidRDefault="00D819B1" w:rsidP="00EE6C95">
            <w:pPr>
              <w:pStyle w:val="BodyText"/>
              <w:spacing w:after="0" w:line="240" w:lineRule="auto"/>
              <w:jc w:val="center"/>
              <w:rPr>
                <w:b/>
                <w:sz w:val="20"/>
              </w:rPr>
            </w:pPr>
            <w:r w:rsidRPr="008C72F4">
              <w:rPr>
                <w:sz w:val="20"/>
              </w:rPr>
              <w:t>1.00</w:t>
            </w:r>
          </w:p>
        </w:tc>
        <w:tc>
          <w:tcPr>
            <w:tcW w:w="2180" w:type="dxa"/>
            <w:tcBorders>
              <w:top w:val="nil"/>
              <w:left w:val="nil"/>
              <w:bottom w:val="single" w:sz="4" w:space="0" w:color="auto"/>
              <w:right w:val="single" w:sz="4" w:space="0" w:color="auto"/>
            </w:tcBorders>
            <w:shd w:val="clear" w:color="auto" w:fill="auto"/>
            <w:vAlign w:val="bottom"/>
            <w:hideMark/>
          </w:tcPr>
          <w:p w14:paraId="68559C40" w14:textId="77777777" w:rsidR="00D819B1" w:rsidRPr="004D4DB5" w:rsidRDefault="00D819B1" w:rsidP="00EE6C95">
            <w:pPr>
              <w:pStyle w:val="BodyText"/>
              <w:spacing w:after="0" w:line="240" w:lineRule="auto"/>
              <w:jc w:val="center"/>
              <w:rPr>
                <w:b/>
                <w:sz w:val="20"/>
              </w:rPr>
            </w:pPr>
            <w:r w:rsidRPr="004D4DB5">
              <w:rPr>
                <w:color w:val="000000"/>
                <w:sz w:val="20"/>
              </w:rPr>
              <w:t>34</w:t>
            </w:r>
          </w:p>
        </w:tc>
      </w:tr>
      <w:tr w:rsidR="00D819B1" w:rsidRPr="008C72F4" w14:paraId="7017FFB1" w14:textId="77777777" w:rsidTr="00EE6C95">
        <w:trPr>
          <w:trHeight w:val="288"/>
          <w:jc w:val="center"/>
        </w:trPr>
        <w:tc>
          <w:tcPr>
            <w:tcW w:w="3024"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EA51BE2" w14:textId="77777777" w:rsidR="00D819B1" w:rsidRPr="008C72F4" w:rsidRDefault="00D819B1" w:rsidP="00EE6C95">
            <w:pPr>
              <w:pStyle w:val="BodyText"/>
              <w:spacing w:after="0" w:line="240" w:lineRule="auto"/>
              <w:jc w:val="center"/>
              <w:rPr>
                <w:b/>
                <w:sz w:val="20"/>
              </w:rPr>
            </w:pPr>
            <w:r w:rsidRPr="008C72F4">
              <w:rPr>
                <w:b/>
                <w:sz w:val="20"/>
              </w:rPr>
              <w:t>Total Possible Credits</w:t>
            </w:r>
          </w:p>
        </w:tc>
        <w:tc>
          <w:tcPr>
            <w:tcW w:w="2016" w:type="dxa"/>
            <w:tcBorders>
              <w:top w:val="nil"/>
              <w:left w:val="nil"/>
              <w:bottom w:val="single" w:sz="4" w:space="0" w:color="auto"/>
              <w:right w:val="single" w:sz="4" w:space="0" w:color="auto"/>
            </w:tcBorders>
            <w:shd w:val="clear" w:color="auto" w:fill="FFF2CC" w:themeFill="accent4" w:themeFillTint="33"/>
            <w:vAlign w:val="center"/>
            <w:hideMark/>
          </w:tcPr>
          <w:p w14:paraId="2F2B8D63" w14:textId="77777777" w:rsidR="00D819B1" w:rsidRPr="008C72F4" w:rsidRDefault="00D819B1" w:rsidP="00EE6C95">
            <w:pPr>
              <w:pStyle w:val="BodyText"/>
              <w:spacing w:after="0" w:line="240" w:lineRule="auto"/>
              <w:jc w:val="center"/>
              <w:rPr>
                <w:b/>
                <w:sz w:val="20"/>
              </w:rPr>
            </w:pPr>
            <w:r w:rsidRPr="008C72F4">
              <w:rPr>
                <w:b/>
                <w:sz w:val="20"/>
              </w:rPr>
              <w:t>6.00</w:t>
            </w:r>
          </w:p>
        </w:tc>
        <w:tc>
          <w:tcPr>
            <w:tcW w:w="2180" w:type="dxa"/>
            <w:tcBorders>
              <w:top w:val="nil"/>
              <w:left w:val="nil"/>
              <w:bottom w:val="single" w:sz="4" w:space="0" w:color="auto"/>
              <w:right w:val="single" w:sz="4" w:space="0" w:color="auto"/>
            </w:tcBorders>
            <w:shd w:val="clear" w:color="auto" w:fill="FFF2CC" w:themeFill="accent4" w:themeFillTint="33"/>
            <w:vAlign w:val="bottom"/>
            <w:hideMark/>
          </w:tcPr>
          <w:p w14:paraId="34DBD21A" w14:textId="77777777" w:rsidR="00D819B1" w:rsidRPr="004D4DB5" w:rsidRDefault="00D819B1" w:rsidP="00EE6C95">
            <w:pPr>
              <w:pStyle w:val="BodyText"/>
              <w:spacing w:after="0" w:line="240" w:lineRule="auto"/>
              <w:jc w:val="center"/>
              <w:rPr>
                <w:b/>
                <w:sz w:val="20"/>
              </w:rPr>
            </w:pPr>
            <w:r w:rsidRPr="004D4DB5">
              <w:rPr>
                <w:b/>
                <w:bCs/>
                <w:color w:val="000000"/>
                <w:sz w:val="20"/>
              </w:rPr>
              <w:t>206</w:t>
            </w:r>
          </w:p>
        </w:tc>
      </w:tr>
    </w:tbl>
    <w:p w14:paraId="7F0572FA" w14:textId="7172BC9D" w:rsidR="00E46E3C" w:rsidRDefault="00E46E3C" w:rsidP="00E46E3C">
      <w:pPr>
        <w:pStyle w:val="BodyText"/>
      </w:pPr>
    </w:p>
    <w:p w14:paraId="602D40B0" w14:textId="77EBF8EE" w:rsidR="00D819B1" w:rsidRPr="00D819B1" w:rsidRDefault="00D819B1" w:rsidP="00D819B1">
      <w:pPr>
        <w:rPr>
          <w:rFonts w:ascii="Times New Roman" w:hAnsi="Times New Roman"/>
          <w:sz w:val="24"/>
        </w:rPr>
      </w:pPr>
      <w:r w:rsidRPr="00D819B1">
        <w:rPr>
          <w:rFonts w:ascii="Times New Roman" w:hAnsi="Times New Roman"/>
          <w:b/>
          <w:sz w:val="24"/>
        </w:rPr>
        <w:t>Appendix E</w:t>
      </w:r>
      <w:r w:rsidRPr="00D819B1">
        <w:rPr>
          <w:rFonts w:ascii="Times New Roman" w:hAnsi="Times New Roman"/>
          <w:sz w:val="24"/>
        </w:rPr>
        <w:t xml:space="preserve"> contains technical support information that further explains the concepts presented in this section, including nitrogen loading by source category, reduction obligations, and management strategies.</w:t>
      </w:r>
    </w:p>
    <w:p w14:paraId="09CA15AE" w14:textId="7C950202" w:rsidR="00E46E3C" w:rsidRPr="00E46E3C" w:rsidRDefault="00582EB5" w:rsidP="00E46E3C">
      <w:pPr>
        <w:pStyle w:val="Heading2"/>
      </w:pPr>
      <w:bookmarkStart w:id="117" w:name="_Toc514677664"/>
      <w:r>
        <w:t>STF</w:t>
      </w:r>
      <w:r w:rsidR="00E46E3C">
        <w:t xml:space="preserve"> Management Strategies</w:t>
      </w:r>
      <w:bookmarkEnd w:id="117"/>
    </w:p>
    <w:p w14:paraId="5F240FD4" w14:textId="302FF680" w:rsidR="00E46E3C" w:rsidRDefault="000811AC" w:rsidP="00E46E3C">
      <w:pPr>
        <w:pStyle w:val="BodyText"/>
      </w:pPr>
      <w:r>
        <w:t>STF</w:t>
      </w:r>
      <w:r w:rsidR="00E46E3C" w:rsidRPr="005B4EBC">
        <w:t xml:space="preserve"> areas fall into two main categories </w:t>
      </w:r>
      <w:r w:rsidR="003E5954">
        <w:t>that</w:t>
      </w:r>
      <w:r w:rsidR="00E46E3C" w:rsidRPr="005B4EBC">
        <w:t xml:space="preserve"> </w:t>
      </w:r>
      <w:r w:rsidR="00E46E3C">
        <w:t>ar</w:t>
      </w:r>
      <w:r w:rsidR="00E46E3C" w:rsidRPr="005B4EBC">
        <w:t>e evaluated separately: golf courses and sporting facilities such as baseball, football, soccer</w:t>
      </w:r>
      <w:r w:rsidR="00E46E3C">
        <w:t>,</w:t>
      </w:r>
      <w:r w:rsidR="00E46E3C" w:rsidRPr="005B4EBC">
        <w:t xml:space="preserve"> and other fields</w:t>
      </w:r>
      <w:r w:rsidR="00E46E3C">
        <w:t xml:space="preserve">. </w:t>
      </w:r>
      <w:r w:rsidR="00131814">
        <w:t xml:space="preserve">There are no </w:t>
      </w:r>
      <w:r w:rsidR="002D2C65">
        <w:t xml:space="preserve">identified </w:t>
      </w:r>
      <w:r w:rsidR="00131814">
        <w:t>golf courses or sporting facilities located within the BMAP area.</w:t>
      </w:r>
    </w:p>
    <w:p w14:paraId="3A10E983" w14:textId="77777777" w:rsidR="00D819B1" w:rsidRPr="00D819B1" w:rsidRDefault="00D819B1" w:rsidP="00D819B1"/>
    <w:p w14:paraId="52B36C7C" w14:textId="6844E539" w:rsidR="005411DA" w:rsidRPr="005411DA" w:rsidRDefault="005411DA" w:rsidP="005411DA">
      <w:pPr>
        <w:pStyle w:val="Heading2"/>
      </w:pPr>
      <w:bookmarkStart w:id="118" w:name="_Ref488222106"/>
      <w:bookmarkStart w:id="119" w:name="_Toc514677665"/>
      <w:r>
        <w:t>Agricultural Sources Management Strategies</w:t>
      </w:r>
      <w:bookmarkEnd w:id="118"/>
      <w:bookmarkEnd w:id="119"/>
    </w:p>
    <w:p w14:paraId="6321A78C" w14:textId="6F4E205D" w:rsidR="005411DA" w:rsidRDefault="005411DA" w:rsidP="005411DA">
      <w:pPr>
        <w:pStyle w:val="BodyText"/>
      </w:pPr>
      <w:r>
        <w:t xml:space="preserve">Based on data provided by FDACS, there are </w:t>
      </w:r>
      <w:r w:rsidR="003455B9">
        <w:t>41,559</w:t>
      </w:r>
      <w:r>
        <w:t xml:space="preserve"> </w:t>
      </w:r>
      <w:r w:rsidR="00A20F14">
        <w:t xml:space="preserve">agricultural </w:t>
      </w:r>
      <w:r>
        <w:t>acres in the basin</w:t>
      </w:r>
      <w:r w:rsidR="00A0466E">
        <w:t>:</w:t>
      </w:r>
      <w:r>
        <w:t xml:space="preserve"> </w:t>
      </w:r>
      <w:r w:rsidR="003455B9">
        <w:t>16,854</w:t>
      </w:r>
      <w:r>
        <w:t xml:space="preserve"> acres are fertilized croplands, </w:t>
      </w:r>
      <w:r w:rsidR="003455B9">
        <w:t>2,135</w:t>
      </w:r>
      <w:r>
        <w:t xml:space="preserve"> acres are livestock lands, and </w:t>
      </w:r>
      <w:r w:rsidR="003455B9">
        <w:t>9,145</w:t>
      </w:r>
      <w:r>
        <w:t xml:space="preserve"> acres </w:t>
      </w:r>
      <w:r w:rsidR="00A0466E">
        <w:t xml:space="preserve">are </w:t>
      </w:r>
      <w:r>
        <w:t xml:space="preserve">classified as both fertilized croplands and livestock lands. </w:t>
      </w:r>
    </w:p>
    <w:p w14:paraId="7C2F592E" w14:textId="50F4AF2F" w:rsidR="005411DA" w:rsidRPr="005411DA" w:rsidRDefault="00FE270D" w:rsidP="001451E2">
      <w:pPr>
        <w:pStyle w:val="Heading3"/>
      </w:pPr>
      <w:r>
        <w:t>FF</w:t>
      </w:r>
      <w:r w:rsidR="00EE7AC7">
        <w:t xml:space="preserve"> Loading</w:t>
      </w:r>
    </w:p>
    <w:p w14:paraId="4B5A2551" w14:textId="61387CC2" w:rsidR="005411DA" w:rsidRDefault="005411DA" w:rsidP="005411DA">
      <w:pPr>
        <w:pStyle w:val="BodyText"/>
      </w:pPr>
      <w:r w:rsidRPr="00BE3175">
        <w:t>Nitrogen in agricultural fertilizer is applied at varying rates, depending on the crop and individual farm practices.</w:t>
      </w:r>
      <w:r>
        <w:t xml:space="preserve"> </w:t>
      </w:r>
      <w:r w:rsidRPr="006334C0">
        <w:t xml:space="preserve">The </w:t>
      </w:r>
      <w:r w:rsidR="004E7FED">
        <w:t xml:space="preserve">NSILT </w:t>
      </w:r>
      <w:r w:rsidRPr="006334C0">
        <w:t>estimated total nitrogen load</w:t>
      </w:r>
      <w:r w:rsidR="002C2B01">
        <w:t xml:space="preserve"> to groundwater</w:t>
      </w:r>
      <w:r w:rsidRPr="006334C0">
        <w:t xml:space="preserve"> from </w:t>
      </w:r>
      <w:r w:rsidR="00131814">
        <w:t xml:space="preserve">irrigated </w:t>
      </w:r>
      <w:r w:rsidR="00FE270D">
        <w:t>FF</w:t>
      </w:r>
      <w:r w:rsidRPr="006334C0">
        <w:t xml:space="preserve"> is </w:t>
      </w:r>
      <w:r w:rsidR="00131814" w:rsidRPr="00131814">
        <w:t>333</w:t>
      </w:r>
      <w:r w:rsidR="00131814">
        <w:t>,</w:t>
      </w:r>
      <w:r w:rsidR="00131814" w:rsidRPr="00131814">
        <w:t>763</w:t>
      </w:r>
      <w:r w:rsidRPr="006334C0">
        <w:t xml:space="preserve"> lb-N/year</w:t>
      </w:r>
      <w:r w:rsidR="00131814">
        <w:t xml:space="preserve"> and </w:t>
      </w:r>
      <w:r w:rsidR="00131814" w:rsidRPr="00131814">
        <w:t>292</w:t>
      </w:r>
      <w:r w:rsidR="00131814">
        <w:t>,</w:t>
      </w:r>
      <w:r w:rsidR="00131814" w:rsidRPr="00131814">
        <w:t>158</w:t>
      </w:r>
      <w:r w:rsidR="00131814">
        <w:t xml:space="preserve"> lb-N/yr from non-irrigated FF</w:t>
      </w:r>
      <w:r w:rsidRPr="006334C0">
        <w:t xml:space="preserve">, approximately </w:t>
      </w:r>
      <w:r w:rsidR="00131814">
        <w:t>85</w:t>
      </w:r>
      <w:r w:rsidRPr="006334C0">
        <w:t xml:space="preserve"> % o</w:t>
      </w:r>
      <w:r w:rsidR="006334C0" w:rsidRPr="006334C0">
        <w:t>f</w:t>
      </w:r>
      <w:r w:rsidRPr="006334C0">
        <w:t xml:space="preserve"> the total nitrogen load to groundwater in the BMAP area</w:t>
      </w:r>
      <w:r w:rsidRPr="00FE270D">
        <w:t>.</w:t>
      </w:r>
      <w:r w:rsidR="00550A35">
        <w:t xml:space="preserve"> FF includes commercial inorganic fertilizer applied to row crops, field crops, pasture, and hay fields. </w:t>
      </w:r>
    </w:p>
    <w:p w14:paraId="1C201D78" w14:textId="55F1888C" w:rsidR="00E46E3C" w:rsidRDefault="00FE270D" w:rsidP="001451E2">
      <w:pPr>
        <w:pStyle w:val="Heading3"/>
      </w:pPr>
      <w:r>
        <w:t>LW</w:t>
      </w:r>
      <w:r w:rsidR="00EE7AC7">
        <w:t xml:space="preserve"> Loading</w:t>
      </w:r>
    </w:p>
    <w:p w14:paraId="70CA7D16" w14:textId="784230F8" w:rsidR="00887B38" w:rsidRDefault="00887B38" w:rsidP="00887B38">
      <w:pPr>
        <w:pStyle w:val="BodyText"/>
        <w:rPr>
          <w:b/>
        </w:rPr>
      </w:pPr>
      <w:r w:rsidRPr="00BE3175">
        <w:t xml:space="preserve">Agricultural practices specific to </w:t>
      </w:r>
      <w:r w:rsidR="00FE270D">
        <w:t>LW</w:t>
      </w:r>
      <w:r w:rsidR="0021364C">
        <w:t xml:space="preserve"> </w:t>
      </w:r>
      <w:r w:rsidRPr="00BE3175">
        <w:t xml:space="preserve">management were obtained through meetings with </w:t>
      </w:r>
      <w:r w:rsidR="006E38E7" w:rsidRPr="006E38E7">
        <w:t xml:space="preserve">University of Florida Institute of Food and Agricultural Sciences </w:t>
      </w:r>
      <w:r w:rsidR="006E38E7">
        <w:t>(</w:t>
      </w:r>
      <w:r w:rsidR="006233EE">
        <w:t>UF-IFAS</w:t>
      </w:r>
      <w:r w:rsidR="006E38E7">
        <w:t>)</w:t>
      </w:r>
      <w:r w:rsidR="006233EE">
        <w:t xml:space="preserve"> extension staff, FDACS field representatives, </w:t>
      </w:r>
      <w:r w:rsidRPr="00BE3175">
        <w:t>agricultural producers</w:t>
      </w:r>
      <w:r w:rsidR="006233EE">
        <w:t>,</w:t>
      </w:r>
      <w:r w:rsidRPr="00BE3175">
        <w:t xml:space="preserve"> and stakeholders.</w:t>
      </w:r>
      <w:r>
        <w:t xml:space="preserve"> </w:t>
      </w:r>
      <w:r w:rsidRPr="006334C0">
        <w:t xml:space="preserve">The </w:t>
      </w:r>
      <w:r w:rsidR="004E7FED">
        <w:t xml:space="preserve">NSILT </w:t>
      </w:r>
      <w:r w:rsidRPr="006334C0">
        <w:t>estimated total nitrogen load</w:t>
      </w:r>
      <w:r w:rsidR="002C2B01">
        <w:t xml:space="preserve"> to groundwater</w:t>
      </w:r>
      <w:r w:rsidRPr="006334C0">
        <w:t xml:space="preserve"> from </w:t>
      </w:r>
      <w:r w:rsidR="002C2B01">
        <w:t>LW</w:t>
      </w:r>
      <w:r w:rsidRPr="006334C0">
        <w:t xml:space="preserve"> is </w:t>
      </w:r>
      <w:r w:rsidR="00131814" w:rsidRPr="00131814">
        <w:t>54</w:t>
      </w:r>
      <w:r w:rsidR="00131814">
        <w:t>,</w:t>
      </w:r>
      <w:r w:rsidR="00131814" w:rsidRPr="00131814">
        <w:t>010</w:t>
      </w:r>
      <w:r w:rsidRPr="006334C0">
        <w:t xml:space="preserve"> lb-N/year, </w:t>
      </w:r>
      <w:r w:rsidR="007A5AC6">
        <w:t xml:space="preserve">or </w:t>
      </w:r>
      <w:r w:rsidR="00131814">
        <w:t>7</w:t>
      </w:r>
      <w:r w:rsidRPr="006334C0">
        <w:t xml:space="preserve"> % of the total nitrogen load to groundwater</w:t>
      </w:r>
      <w:r w:rsidR="00A0466E">
        <w:t>.</w:t>
      </w:r>
    </w:p>
    <w:p w14:paraId="14367C5F" w14:textId="77777777" w:rsidR="00887B38" w:rsidRDefault="00887B38" w:rsidP="001451E2">
      <w:pPr>
        <w:pStyle w:val="Heading3"/>
      </w:pPr>
      <w:r>
        <w:t>Prioritized Management Strategies and Milestones</w:t>
      </w:r>
    </w:p>
    <w:p w14:paraId="663F7BB3" w14:textId="1CFDDD31" w:rsidR="00887B38" w:rsidRDefault="00887B38" w:rsidP="00887B38">
      <w:pPr>
        <w:pStyle w:val="BodyText"/>
      </w:pPr>
      <w:r>
        <w:t xml:space="preserve">Subsection 403.067, F.S., requires agricultural nonpoint sources in a BMAP area either to submit to FDACS a </w:t>
      </w:r>
      <w:r w:rsidR="00A0466E">
        <w:t>n</w:t>
      </w:r>
      <w:r>
        <w:t xml:space="preserve">otice of </w:t>
      </w:r>
      <w:r w:rsidR="00A0466E">
        <w:t>i</w:t>
      </w:r>
      <w:r>
        <w:t xml:space="preserve">ntent (NOI) and implement the applicable FDACS-adopted BMPs, which provides a presumption of compliance with water quality standards, or conduct water quality monitoring prescribed by DEP or </w:t>
      </w:r>
      <w:r w:rsidR="00A622DD">
        <w:t>NWF</w:t>
      </w:r>
      <w:r>
        <w:t xml:space="preserve">WMD that demonstrates compliance with water quality standards. Further, based on the Florida Springs and Aquifer Protection Act, Subsection 373.811(5), </w:t>
      </w:r>
      <w:r w:rsidR="00123983">
        <w:t xml:space="preserve">F.S., </w:t>
      </w:r>
      <w:r>
        <w:t xml:space="preserve">prohibits any new agricultural operations in BMAP areas that do not implement applicable FDACS BMPs upon </w:t>
      </w:r>
      <w:r w:rsidR="00A0466E">
        <w:t xml:space="preserve">the </w:t>
      </w:r>
      <w:r>
        <w:t xml:space="preserve">commencement of those operations, </w:t>
      </w:r>
      <w:r w:rsidR="005A0198">
        <w:t xml:space="preserve">implement </w:t>
      </w:r>
      <w:r w:rsidRPr="006E6148">
        <w:t>measures necessary to achieve pollution reduction levels established</w:t>
      </w:r>
      <w:r>
        <w:t xml:space="preserve"> </w:t>
      </w:r>
      <w:r w:rsidRPr="00790675">
        <w:t>by DEP,</w:t>
      </w:r>
      <w:r>
        <w:t xml:space="preserve"> or follow a water management district</w:t>
      </w:r>
      <w:r w:rsidR="0021364C">
        <w:t xml:space="preserve">– </w:t>
      </w:r>
      <w:r>
        <w:t xml:space="preserve">or DEP-approved monitoring plan to demonstrate compliance </w:t>
      </w:r>
      <w:r w:rsidR="0021364C">
        <w:t xml:space="preserve">with </w:t>
      </w:r>
      <w:r>
        <w:t>water quality standards. Failure to submit to FDACS an NOI and implement BMPs or conduct monitoring that demonstrates compliance may result in enforcement action by DEP</w:t>
      </w:r>
      <w:r w:rsidR="006A6673">
        <w:t>.</w:t>
      </w:r>
    </w:p>
    <w:p w14:paraId="4AF37536" w14:textId="3DC00814" w:rsidR="00887B38" w:rsidRDefault="00887B38" w:rsidP="00887B38">
      <w:pPr>
        <w:pStyle w:val="BodyText"/>
        <w:rPr>
          <w:b/>
        </w:rPr>
      </w:pPr>
      <w:r>
        <w:t xml:space="preserve">FDACS will </w:t>
      </w:r>
      <w:r w:rsidR="00EE7AC7">
        <w:t xml:space="preserve">work with applicable producers within the BMAP area to ensure enrollment and, within the first five-year period, verify implementation of BMPs. In addition, FDACS </w:t>
      </w:r>
      <w:r>
        <w:t xml:space="preserve">will undertake projects involving precision irrigation, soil moisture probes, and </w:t>
      </w:r>
      <w:r w:rsidR="0021364C">
        <w:t>cover crop planting</w:t>
      </w:r>
      <w:r w:rsidR="004D24CB">
        <w:t xml:space="preserve">, contingent on the </w:t>
      </w:r>
      <w:r w:rsidR="004D24CB" w:rsidRPr="00546440">
        <w:t>availability of funds for cost share</w:t>
      </w:r>
      <w:r w:rsidR="00A622DD" w:rsidRPr="00546440">
        <w:t>. As of December 31, 2017</w:t>
      </w:r>
      <w:r w:rsidRPr="00546440">
        <w:t xml:space="preserve">, there </w:t>
      </w:r>
      <w:r w:rsidR="005A0198" w:rsidRPr="00546440">
        <w:t xml:space="preserve">were </w:t>
      </w:r>
      <w:r w:rsidRPr="00546440">
        <w:t xml:space="preserve">NOIs </w:t>
      </w:r>
      <w:r w:rsidR="00546440">
        <w:t>on 36</w:t>
      </w:r>
      <w:r w:rsidR="00C42DBE">
        <w:t xml:space="preserve"> </w:t>
      </w:r>
      <w:r w:rsidR="00546440">
        <w:t xml:space="preserve">% of the agricultural acreage </w:t>
      </w:r>
      <w:r w:rsidR="00546440" w:rsidRPr="00546440">
        <w:t>in the Jackson Blue BMAP area</w:t>
      </w:r>
      <w:r w:rsidR="00546440">
        <w:t xml:space="preserve"> (</w:t>
      </w:r>
      <w:r w:rsidR="00546440" w:rsidRPr="00546440">
        <w:t>23,162</w:t>
      </w:r>
      <w:r w:rsidRPr="00546440">
        <w:t xml:space="preserve"> </w:t>
      </w:r>
      <w:r w:rsidR="00546440">
        <w:t xml:space="preserve">of 41,559 </w:t>
      </w:r>
      <w:r w:rsidR="004D24CB" w:rsidRPr="00546440">
        <w:t xml:space="preserve">agricultural </w:t>
      </w:r>
      <w:r w:rsidRPr="00546440">
        <w:t>acres</w:t>
      </w:r>
      <w:r w:rsidR="00546440">
        <w:t>)</w:t>
      </w:r>
      <w:r w:rsidRPr="00546440">
        <w:t>. No producers are</w:t>
      </w:r>
      <w:r>
        <w:t xml:space="preserve"> conducting water quality monitoring in lieu of implementing BMPs at this time. </w:t>
      </w:r>
      <w:r w:rsidR="00A0466E">
        <w:rPr>
          <w:b/>
        </w:rPr>
        <w:t>Appendix B</w:t>
      </w:r>
      <w:r w:rsidR="00A0466E">
        <w:t xml:space="preserve"> lists p</w:t>
      </w:r>
      <w:r>
        <w:t>roject information</w:t>
      </w:r>
      <w:r w:rsidR="00A0466E">
        <w:t>.</w:t>
      </w:r>
      <w:r w:rsidRPr="00123983">
        <w:rPr>
          <w:b/>
        </w:rPr>
        <w:t xml:space="preserve"> </w:t>
      </w:r>
      <w:r w:rsidR="00A0466E">
        <w:rPr>
          <w:b/>
        </w:rPr>
        <w:t xml:space="preserve">Appendix </w:t>
      </w:r>
      <w:r w:rsidR="008E533E">
        <w:rPr>
          <w:b/>
        </w:rPr>
        <w:t>F</w:t>
      </w:r>
      <w:r w:rsidR="00A0466E">
        <w:t xml:space="preserve"> provides d</w:t>
      </w:r>
      <w:r w:rsidRPr="00A0466E">
        <w:t>etailed</w:t>
      </w:r>
      <w:r w:rsidRPr="00123983">
        <w:t xml:space="preserve"> information on BMPs and agricultural practices in the BMAP area</w:t>
      </w:r>
      <w:r w:rsidR="00A0466E">
        <w:t>.</w:t>
      </w:r>
    </w:p>
    <w:p w14:paraId="78E47381" w14:textId="569BF0FC" w:rsidR="00887B38" w:rsidRDefault="00887B38" w:rsidP="00887B38">
      <w:pPr>
        <w:pStyle w:val="BodyText"/>
      </w:pPr>
      <w:r>
        <w:t xml:space="preserve">With crop-specific BMP enrollment or monitoring for </w:t>
      </w:r>
      <w:r w:rsidR="00B12741">
        <w:t xml:space="preserve">FF </w:t>
      </w:r>
      <w:r>
        <w:t xml:space="preserve">areas, an estimated </w:t>
      </w:r>
      <w:r w:rsidR="00273757">
        <w:t>93,888</w:t>
      </w:r>
      <w:r w:rsidRPr="00123983">
        <w:t xml:space="preserve"> lb-N/yr reduction to groundwater can be achieved, based on an average reduction of 15</w:t>
      </w:r>
      <w:r>
        <w:t xml:space="preserve"> % in the nitrogen load to groundwater. While DEP has listed larger percent</w:t>
      </w:r>
      <w:r w:rsidR="00C8519C">
        <w:t>age</w:t>
      </w:r>
      <w:r>
        <w:t xml:space="preserve"> reductions in nitrogen from agricultural BMPs in estimating benefits to surface waters, the best data available on benefits to groundwater from BMPs indicate a 15 % reduction in the load to groundwater where owner-implemented BMPs are in place. In addition to groundwater reductions from owner-implemented BMPs on fertilized lands, an </w:t>
      </w:r>
      <w:r w:rsidRPr="00123983">
        <w:t xml:space="preserve">additional </w:t>
      </w:r>
      <w:r w:rsidR="00CE5BE6">
        <w:t>5,400</w:t>
      </w:r>
      <w:r w:rsidRPr="00123983">
        <w:t xml:space="preserve"> lb-N/yr </w:t>
      </w:r>
      <w:r w:rsidR="0021364C">
        <w:t xml:space="preserve">in </w:t>
      </w:r>
      <w:r w:rsidRPr="00123983">
        <w:t>reductions are</w:t>
      </w:r>
      <w:r>
        <w:t xml:space="preserve"> estimated from specific stakeholder projects on fertilized lands. </w:t>
      </w:r>
      <w:r w:rsidR="006538F4">
        <w:t>This number could increase as more data are collected on the impact of BMPs to groundwater.</w:t>
      </w:r>
    </w:p>
    <w:p w14:paraId="1FD79635" w14:textId="1E409E04" w:rsidR="00887B38" w:rsidRDefault="00887B38" w:rsidP="00887B38">
      <w:pPr>
        <w:pStyle w:val="BodyText"/>
      </w:pPr>
      <w:r>
        <w:t xml:space="preserve">For all livestock </w:t>
      </w:r>
      <w:r w:rsidRPr="001C54BB">
        <w:t xml:space="preserve">operations, owner-implemented BMPs are expected to achieve </w:t>
      </w:r>
      <w:r w:rsidR="00125638">
        <w:t xml:space="preserve">a reduction of </w:t>
      </w:r>
      <w:r w:rsidR="003A0CEB">
        <w:t>5,401</w:t>
      </w:r>
      <w:r w:rsidRPr="001C54BB">
        <w:t xml:space="preserve"> lb-N/yr, using an estimated 10 % reduction </w:t>
      </w:r>
      <w:r w:rsidR="009C560A">
        <w:t xml:space="preserve">in the load to groundwater </w:t>
      </w:r>
      <w:r w:rsidRPr="001C54BB">
        <w:t>from owner-implemented BMP</w:t>
      </w:r>
      <w:r w:rsidR="0021364C">
        <w:t>s</w:t>
      </w:r>
      <w:r w:rsidRPr="001C54BB">
        <w:t xml:space="preserve"> at livestock operations.</w:t>
      </w:r>
    </w:p>
    <w:p w14:paraId="6F68DA90" w14:textId="7B1219A8" w:rsidR="00887B38" w:rsidRDefault="00887B38" w:rsidP="00887B38">
      <w:pPr>
        <w:pStyle w:val="BodyText"/>
      </w:pPr>
      <w:r>
        <w:t xml:space="preserve">Summarizing the reductions discussed above, the total reduction from </w:t>
      </w:r>
      <w:r w:rsidR="00C015DF">
        <w:t xml:space="preserve">BMP implementation </w:t>
      </w:r>
      <w:r w:rsidR="003A0CEB">
        <w:t>of</w:t>
      </w:r>
      <w:r w:rsidR="00C015DF">
        <w:t xml:space="preserve"> </w:t>
      </w:r>
      <w:r>
        <w:t xml:space="preserve">all agricultural sources is </w:t>
      </w:r>
      <w:r w:rsidR="003A0CEB">
        <w:t>104,689</w:t>
      </w:r>
      <w:r w:rsidRPr="001C54BB">
        <w:t xml:space="preserve"> lb-N/yr. </w:t>
      </w:r>
    </w:p>
    <w:p w14:paraId="6E303D8A" w14:textId="77777777" w:rsidR="00EE7AC7" w:rsidRDefault="00EE7AC7" w:rsidP="001451E2">
      <w:pPr>
        <w:pStyle w:val="Heading3"/>
      </w:pPr>
      <w:r>
        <w:t>Additional Agricultural Reduction Options</w:t>
      </w:r>
    </w:p>
    <w:p w14:paraId="2512A509" w14:textId="76557C32" w:rsidR="00887012" w:rsidRDefault="00887012" w:rsidP="00887012">
      <w:pPr>
        <w:pStyle w:val="BodyText"/>
      </w:pPr>
      <w:bookmarkStart w:id="120" w:name="_Hlk489515636"/>
      <w:r>
        <w:t>Further reductions can be achieved through implementing additional agricultural projects or practices, including land acquisition and conservation easements. NW</w:t>
      </w:r>
      <w:r w:rsidR="00E85C83">
        <w:t>F</w:t>
      </w:r>
      <w:r>
        <w:t xml:space="preserve">WMD is implementing projects to encourage low input agriculture and water quality improvement technologies. Examples of these projects include providing incentives for producers to transition to less intensive cropping systems, changing land use to fallow or native landscape, or changing the type of cropping system. Other reductions associated with the implementation and modification of BMPs may be realized through ongoing studies and data collection. Basin-specific studies are underway to evaluate and demonstrate the effectiveness of BMPs on a site-specific basis. </w:t>
      </w:r>
    </w:p>
    <w:p w14:paraId="57520217" w14:textId="06D0FE4A" w:rsidR="00887012" w:rsidRDefault="00887012" w:rsidP="00887012">
      <w:pPr>
        <w:pStyle w:val="BodyText"/>
      </w:pPr>
      <w:r>
        <w:t xml:space="preserve">Additional reductions may also be achieved through implementing additional agricultural projects and practices. </w:t>
      </w:r>
      <w:r>
        <w:rPr>
          <w:b/>
        </w:rPr>
        <w:t>Table 11</w:t>
      </w:r>
      <w:r w:rsidRPr="00D26FBF">
        <w:t xml:space="preserve"> lists </w:t>
      </w:r>
      <w:r>
        <w:t xml:space="preserve">these projects and practices with their </w:t>
      </w:r>
      <w:r w:rsidRPr="00D26FBF">
        <w:t>estimated load reductions</w:t>
      </w:r>
      <w:r>
        <w:t>,</w:t>
      </w:r>
      <w:r w:rsidRPr="00D26FBF">
        <w:t xml:space="preserve"> </w:t>
      </w:r>
      <w:r>
        <w:t xml:space="preserve">based on existing crop types. FDACS supplied the acreages, load reductions associated with applicable practices, and estimated the costs of implementation. </w:t>
      </w:r>
    </w:p>
    <w:p w14:paraId="2DE2575E" w14:textId="439896C1" w:rsidR="00EE7AC7" w:rsidRDefault="00EE7AC7" w:rsidP="00EE7AC7">
      <w:pPr>
        <w:pStyle w:val="Caption"/>
      </w:pPr>
      <w:bookmarkStart w:id="121" w:name="_Toc514430961"/>
      <w:bookmarkStart w:id="122" w:name="_Hlk494274337"/>
      <w:bookmarkEnd w:id="120"/>
      <w:r>
        <w:t xml:space="preserve">Table </w:t>
      </w:r>
      <w:fldSimple w:instr=" SEQ Table \* ARABIC ">
        <w:r w:rsidR="002A2E30">
          <w:rPr>
            <w:noProof/>
          </w:rPr>
          <w:t>11</w:t>
        </w:r>
      </w:fldSimple>
      <w:r>
        <w:t>. Estimated reductions for additional agricultural projects and practices</w:t>
      </w:r>
      <w:bookmarkEnd w:id="121"/>
    </w:p>
    <w:tbl>
      <w:tblPr>
        <w:tblW w:w="72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bottom w:w="15" w:type="dxa"/>
        </w:tblCellMar>
        <w:tblLook w:val="04A0" w:firstRow="1" w:lastRow="0" w:firstColumn="1" w:lastColumn="0" w:noHBand="0" w:noVBand="1"/>
      </w:tblPr>
      <w:tblGrid>
        <w:gridCol w:w="3024"/>
        <w:gridCol w:w="1170"/>
        <w:gridCol w:w="1523"/>
        <w:gridCol w:w="1537"/>
      </w:tblGrid>
      <w:tr w:rsidR="00EE7AC7" w:rsidRPr="00761F3F" w14:paraId="3D6B4B68" w14:textId="77777777" w:rsidTr="00EE6C95">
        <w:trPr>
          <w:trHeight w:val="353"/>
          <w:tblHeader/>
          <w:jc w:val="center"/>
        </w:trPr>
        <w:tc>
          <w:tcPr>
            <w:tcW w:w="3024" w:type="dxa"/>
            <w:shd w:val="clear" w:color="auto" w:fill="DEEAF6" w:themeFill="accent1" w:themeFillTint="33"/>
            <w:vAlign w:val="bottom"/>
          </w:tcPr>
          <w:p w14:paraId="5F3E7E8C" w14:textId="77777777" w:rsidR="00EE7AC7" w:rsidRPr="00761F3F" w:rsidRDefault="00EE7AC7" w:rsidP="00EE6C95">
            <w:pPr>
              <w:pStyle w:val="TableText"/>
              <w:jc w:val="center"/>
              <w:rPr>
                <w:b/>
              </w:rPr>
            </w:pPr>
            <w:r w:rsidRPr="00761F3F">
              <w:rPr>
                <w:b/>
              </w:rPr>
              <w:t>Action</w:t>
            </w:r>
          </w:p>
        </w:tc>
        <w:tc>
          <w:tcPr>
            <w:tcW w:w="1170" w:type="dxa"/>
            <w:shd w:val="clear" w:color="auto" w:fill="DEEAF6" w:themeFill="accent1" w:themeFillTint="33"/>
            <w:vAlign w:val="bottom"/>
          </w:tcPr>
          <w:p w14:paraId="7B89B30C" w14:textId="77777777" w:rsidR="00EE7AC7" w:rsidRPr="00761F3F" w:rsidRDefault="00EE7AC7" w:rsidP="00EE6C95">
            <w:pPr>
              <w:pStyle w:val="TableText"/>
              <w:jc w:val="center"/>
              <w:rPr>
                <w:b/>
              </w:rPr>
            </w:pPr>
            <w:r w:rsidRPr="00761F3F">
              <w:rPr>
                <w:b/>
              </w:rPr>
              <w:t>Acreage</w:t>
            </w:r>
          </w:p>
        </w:tc>
        <w:tc>
          <w:tcPr>
            <w:tcW w:w="1523" w:type="dxa"/>
            <w:shd w:val="clear" w:color="auto" w:fill="DEEAF6" w:themeFill="accent1" w:themeFillTint="33"/>
            <w:vAlign w:val="bottom"/>
          </w:tcPr>
          <w:p w14:paraId="6CA6CCAA" w14:textId="77777777" w:rsidR="00EE7AC7" w:rsidRPr="00761F3F" w:rsidRDefault="00EE7AC7" w:rsidP="00EE6C95">
            <w:pPr>
              <w:pStyle w:val="TableText"/>
              <w:jc w:val="center"/>
              <w:rPr>
                <w:b/>
              </w:rPr>
            </w:pPr>
            <w:r>
              <w:rPr>
                <w:b/>
              </w:rPr>
              <w:t xml:space="preserve">High Estimated </w:t>
            </w:r>
            <w:r w:rsidRPr="00761F3F">
              <w:rPr>
                <w:b/>
              </w:rPr>
              <w:t>Reduction Credit</w:t>
            </w:r>
          </w:p>
          <w:p w14:paraId="560698F5" w14:textId="77777777" w:rsidR="00EE7AC7" w:rsidRPr="00761F3F" w:rsidRDefault="00EE7AC7" w:rsidP="00EE6C95">
            <w:pPr>
              <w:pStyle w:val="TableText"/>
              <w:jc w:val="center"/>
              <w:rPr>
                <w:b/>
              </w:rPr>
            </w:pPr>
            <w:r w:rsidRPr="00761F3F">
              <w:rPr>
                <w:b/>
              </w:rPr>
              <w:t>(lb-N/yr)</w:t>
            </w:r>
          </w:p>
        </w:tc>
        <w:tc>
          <w:tcPr>
            <w:tcW w:w="1537" w:type="dxa"/>
            <w:shd w:val="clear" w:color="auto" w:fill="DEEAF6" w:themeFill="accent1" w:themeFillTint="33"/>
            <w:noWrap/>
            <w:vAlign w:val="bottom"/>
          </w:tcPr>
          <w:p w14:paraId="5626CAF1" w14:textId="77777777" w:rsidR="00EE7AC7" w:rsidRPr="00761F3F" w:rsidRDefault="00EE7AC7" w:rsidP="00EE6C95">
            <w:pPr>
              <w:pStyle w:val="TableText"/>
              <w:jc w:val="center"/>
              <w:rPr>
                <w:b/>
              </w:rPr>
            </w:pPr>
            <w:r>
              <w:rPr>
                <w:b/>
              </w:rPr>
              <w:t>Medium Estimated Reduction Credit</w:t>
            </w:r>
          </w:p>
          <w:p w14:paraId="29445485" w14:textId="77777777" w:rsidR="00EE7AC7" w:rsidRPr="00761F3F" w:rsidRDefault="00EE7AC7" w:rsidP="00EE6C95">
            <w:pPr>
              <w:pStyle w:val="TableText"/>
              <w:jc w:val="center"/>
              <w:rPr>
                <w:b/>
              </w:rPr>
            </w:pPr>
            <w:r w:rsidRPr="00761F3F">
              <w:rPr>
                <w:b/>
              </w:rPr>
              <w:t>(lb-N/yr)</w:t>
            </w:r>
          </w:p>
        </w:tc>
      </w:tr>
      <w:tr w:rsidR="00EE7AC7" w:rsidRPr="00761F3F" w14:paraId="1CD038F9" w14:textId="77777777" w:rsidTr="00EE6C95">
        <w:trPr>
          <w:trHeight w:val="288"/>
          <w:jc w:val="center"/>
        </w:trPr>
        <w:tc>
          <w:tcPr>
            <w:tcW w:w="3024" w:type="dxa"/>
            <w:vAlign w:val="center"/>
          </w:tcPr>
          <w:p w14:paraId="5838AD7F" w14:textId="77777777" w:rsidR="00EE7AC7" w:rsidRPr="00761F3F" w:rsidRDefault="00EE7AC7" w:rsidP="00EE6C95">
            <w:pPr>
              <w:pStyle w:val="BodyText"/>
              <w:spacing w:after="0" w:line="240" w:lineRule="auto"/>
              <w:jc w:val="center"/>
              <w:rPr>
                <w:b/>
                <w:sz w:val="20"/>
              </w:rPr>
            </w:pPr>
            <w:r w:rsidRPr="00761F3F">
              <w:rPr>
                <w:color w:val="000000"/>
                <w:sz w:val="20"/>
              </w:rPr>
              <w:t>Rotational Production</w:t>
            </w:r>
          </w:p>
        </w:tc>
        <w:tc>
          <w:tcPr>
            <w:tcW w:w="1170" w:type="dxa"/>
            <w:vAlign w:val="center"/>
          </w:tcPr>
          <w:p w14:paraId="1164BD60" w14:textId="77777777" w:rsidR="00EE7AC7" w:rsidRPr="00761F3F" w:rsidRDefault="00EE7AC7" w:rsidP="00EE6C95">
            <w:pPr>
              <w:pStyle w:val="BodyText"/>
              <w:spacing w:after="0" w:line="240" w:lineRule="auto"/>
              <w:jc w:val="center"/>
              <w:rPr>
                <w:sz w:val="20"/>
              </w:rPr>
            </w:pPr>
            <w:r w:rsidRPr="00761F3F">
              <w:rPr>
                <w:color w:val="000000"/>
                <w:sz w:val="20"/>
              </w:rPr>
              <w:t>12,366</w:t>
            </w:r>
          </w:p>
        </w:tc>
        <w:tc>
          <w:tcPr>
            <w:tcW w:w="1523" w:type="dxa"/>
            <w:vAlign w:val="center"/>
          </w:tcPr>
          <w:p w14:paraId="60C1D65A" w14:textId="77777777" w:rsidR="00EE7AC7" w:rsidRPr="00761F3F" w:rsidRDefault="00EE7AC7" w:rsidP="00EE6C95">
            <w:pPr>
              <w:pStyle w:val="BodyText"/>
              <w:spacing w:after="0" w:line="240" w:lineRule="auto"/>
              <w:jc w:val="center"/>
              <w:rPr>
                <w:sz w:val="20"/>
              </w:rPr>
            </w:pPr>
            <w:r w:rsidRPr="00761F3F">
              <w:rPr>
                <w:color w:val="000000"/>
                <w:sz w:val="20"/>
              </w:rPr>
              <w:t>88,807</w:t>
            </w:r>
          </w:p>
        </w:tc>
        <w:tc>
          <w:tcPr>
            <w:tcW w:w="1537" w:type="dxa"/>
            <w:noWrap/>
            <w:vAlign w:val="center"/>
          </w:tcPr>
          <w:p w14:paraId="074929AB" w14:textId="77777777" w:rsidR="00EE7AC7" w:rsidRPr="00761F3F" w:rsidRDefault="00EE7AC7" w:rsidP="00EE6C95">
            <w:pPr>
              <w:pStyle w:val="BodyText"/>
              <w:spacing w:after="0" w:line="240" w:lineRule="auto"/>
              <w:jc w:val="center"/>
              <w:rPr>
                <w:sz w:val="20"/>
              </w:rPr>
            </w:pPr>
            <w:r w:rsidRPr="00761F3F">
              <w:rPr>
                <w:color w:val="000000"/>
                <w:sz w:val="20"/>
              </w:rPr>
              <w:t>49,337</w:t>
            </w:r>
          </w:p>
        </w:tc>
      </w:tr>
      <w:tr w:rsidR="00EE7AC7" w:rsidRPr="00761F3F" w14:paraId="0B3AD91E" w14:textId="77777777" w:rsidTr="00EE6C95">
        <w:trPr>
          <w:trHeight w:val="288"/>
          <w:jc w:val="center"/>
        </w:trPr>
        <w:tc>
          <w:tcPr>
            <w:tcW w:w="3024" w:type="dxa"/>
            <w:vAlign w:val="center"/>
          </w:tcPr>
          <w:p w14:paraId="7B26769B" w14:textId="77777777" w:rsidR="00EE7AC7" w:rsidRPr="00761F3F" w:rsidRDefault="00EE7AC7" w:rsidP="00EE6C95">
            <w:pPr>
              <w:pStyle w:val="BodyText"/>
              <w:spacing w:after="0" w:line="240" w:lineRule="auto"/>
              <w:jc w:val="center"/>
              <w:rPr>
                <w:b/>
                <w:sz w:val="20"/>
              </w:rPr>
            </w:pPr>
            <w:r w:rsidRPr="00761F3F">
              <w:rPr>
                <w:color w:val="000000"/>
                <w:sz w:val="20"/>
              </w:rPr>
              <w:t>Precision Irrigation</w:t>
            </w:r>
          </w:p>
        </w:tc>
        <w:tc>
          <w:tcPr>
            <w:tcW w:w="1170" w:type="dxa"/>
            <w:vAlign w:val="center"/>
          </w:tcPr>
          <w:p w14:paraId="0DA10376" w14:textId="77777777" w:rsidR="00EE7AC7" w:rsidRPr="00761F3F" w:rsidRDefault="00EE7AC7" w:rsidP="00EE6C95">
            <w:pPr>
              <w:pStyle w:val="BodyText"/>
              <w:spacing w:after="0" w:line="240" w:lineRule="auto"/>
              <w:jc w:val="center"/>
              <w:rPr>
                <w:sz w:val="20"/>
              </w:rPr>
            </w:pPr>
            <w:r w:rsidRPr="00761F3F">
              <w:rPr>
                <w:color w:val="000000"/>
                <w:sz w:val="20"/>
              </w:rPr>
              <w:t>12,0</w:t>
            </w:r>
            <w:r>
              <w:rPr>
                <w:color w:val="000000"/>
                <w:sz w:val="20"/>
              </w:rPr>
              <w:t>11</w:t>
            </w:r>
          </w:p>
        </w:tc>
        <w:tc>
          <w:tcPr>
            <w:tcW w:w="1523" w:type="dxa"/>
            <w:vAlign w:val="center"/>
          </w:tcPr>
          <w:p w14:paraId="750E6FC0" w14:textId="77777777" w:rsidR="00EE7AC7" w:rsidRPr="00761F3F" w:rsidRDefault="00EE7AC7" w:rsidP="00EE6C95">
            <w:pPr>
              <w:pStyle w:val="BodyText"/>
              <w:spacing w:after="0" w:line="240" w:lineRule="auto"/>
              <w:jc w:val="center"/>
              <w:rPr>
                <w:sz w:val="20"/>
              </w:rPr>
            </w:pPr>
            <w:r>
              <w:rPr>
                <w:color w:val="000000"/>
                <w:sz w:val="20"/>
              </w:rPr>
              <w:t>3,360</w:t>
            </w:r>
          </w:p>
        </w:tc>
        <w:tc>
          <w:tcPr>
            <w:tcW w:w="1537" w:type="dxa"/>
            <w:noWrap/>
            <w:vAlign w:val="center"/>
          </w:tcPr>
          <w:p w14:paraId="45E20732" w14:textId="77777777" w:rsidR="00EE7AC7" w:rsidRPr="00761F3F" w:rsidRDefault="00EE7AC7" w:rsidP="00EE6C95">
            <w:pPr>
              <w:pStyle w:val="BodyText"/>
              <w:spacing w:after="0" w:line="240" w:lineRule="auto"/>
              <w:jc w:val="center"/>
              <w:rPr>
                <w:sz w:val="20"/>
              </w:rPr>
            </w:pPr>
            <w:r>
              <w:rPr>
                <w:color w:val="000000"/>
                <w:sz w:val="20"/>
              </w:rPr>
              <w:t>1,866</w:t>
            </w:r>
          </w:p>
        </w:tc>
      </w:tr>
      <w:tr w:rsidR="00EE7AC7" w:rsidRPr="00761F3F" w14:paraId="26CEC32D" w14:textId="77777777" w:rsidTr="00EE6C95">
        <w:trPr>
          <w:trHeight w:val="288"/>
          <w:jc w:val="center"/>
        </w:trPr>
        <w:tc>
          <w:tcPr>
            <w:tcW w:w="3024" w:type="dxa"/>
            <w:vAlign w:val="center"/>
          </w:tcPr>
          <w:p w14:paraId="6BA8001B" w14:textId="77777777" w:rsidR="00EE7AC7" w:rsidRPr="00761F3F" w:rsidRDefault="00EE7AC7" w:rsidP="00EE6C95">
            <w:pPr>
              <w:pStyle w:val="BodyText"/>
              <w:spacing w:after="0" w:line="240" w:lineRule="auto"/>
              <w:jc w:val="center"/>
              <w:rPr>
                <w:b/>
                <w:sz w:val="20"/>
              </w:rPr>
            </w:pPr>
            <w:r w:rsidRPr="00761F3F">
              <w:rPr>
                <w:color w:val="000000"/>
                <w:sz w:val="20"/>
              </w:rPr>
              <w:t>Soil Moisture Probes (95)</w:t>
            </w:r>
          </w:p>
        </w:tc>
        <w:tc>
          <w:tcPr>
            <w:tcW w:w="1170" w:type="dxa"/>
            <w:vAlign w:val="center"/>
          </w:tcPr>
          <w:p w14:paraId="2718EC18" w14:textId="77777777" w:rsidR="00EE7AC7" w:rsidRPr="00761F3F" w:rsidRDefault="00EE7AC7" w:rsidP="00EE6C95">
            <w:pPr>
              <w:pStyle w:val="BodyText"/>
              <w:spacing w:after="0" w:line="240" w:lineRule="auto"/>
              <w:jc w:val="center"/>
              <w:rPr>
                <w:sz w:val="20"/>
              </w:rPr>
            </w:pPr>
            <w:r w:rsidRPr="00761F3F">
              <w:rPr>
                <w:color w:val="000000"/>
                <w:sz w:val="20"/>
              </w:rPr>
              <w:t>12,555</w:t>
            </w:r>
          </w:p>
        </w:tc>
        <w:tc>
          <w:tcPr>
            <w:tcW w:w="1523" w:type="dxa"/>
            <w:vAlign w:val="center"/>
          </w:tcPr>
          <w:p w14:paraId="022617EF" w14:textId="77777777" w:rsidR="00EE7AC7" w:rsidRPr="00761F3F" w:rsidRDefault="00EE7AC7" w:rsidP="00EE6C95">
            <w:pPr>
              <w:pStyle w:val="BodyText"/>
              <w:spacing w:after="0" w:line="240" w:lineRule="auto"/>
              <w:jc w:val="center"/>
              <w:rPr>
                <w:sz w:val="20"/>
              </w:rPr>
            </w:pPr>
            <w:r w:rsidRPr="00761F3F">
              <w:rPr>
                <w:color w:val="000000"/>
                <w:sz w:val="20"/>
              </w:rPr>
              <w:t>4</w:t>
            </w:r>
            <w:r>
              <w:rPr>
                <w:color w:val="000000"/>
                <w:sz w:val="20"/>
              </w:rPr>
              <w:t>0</w:t>
            </w:r>
            <w:r w:rsidRPr="00761F3F">
              <w:rPr>
                <w:color w:val="000000"/>
                <w:sz w:val="20"/>
              </w:rPr>
              <w:t>,</w:t>
            </w:r>
            <w:r>
              <w:rPr>
                <w:color w:val="000000"/>
                <w:sz w:val="20"/>
              </w:rPr>
              <w:t>727</w:t>
            </w:r>
          </w:p>
        </w:tc>
        <w:tc>
          <w:tcPr>
            <w:tcW w:w="1537" w:type="dxa"/>
            <w:noWrap/>
            <w:vAlign w:val="center"/>
          </w:tcPr>
          <w:p w14:paraId="0A70DCAE" w14:textId="77777777" w:rsidR="00EE7AC7" w:rsidRPr="00761F3F" w:rsidRDefault="00EE7AC7" w:rsidP="00EE6C95">
            <w:pPr>
              <w:pStyle w:val="BodyText"/>
              <w:spacing w:after="0" w:line="240" w:lineRule="auto"/>
              <w:jc w:val="center"/>
              <w:rPr>
                <w:sz w:val="20"/>
              </w:rPr>
            </w:pPr>
            <w:r>
              <w:rPr>
                <w:color w:val="000000"/>
                <w:sz w:val="20"/>
              </w:rPr>
              <w:t>22,626</w:t>
            </w:r>
          </w:p>
        </w:tc>
      </w:tr>
      <w:tr w:rsidR="00EE7AC7" w:rsidRPr="00761F3F" w14:paraId="0B12CB6F" w14:textId="77777777" w:rsidTr="00EE6C95">
        <w:trPr>
          <w:trHeight w:val="288"/>
          <w:jc w:val="center"/>
        </w:trPr>
        <w:tc>
          <w:tcPr>
            <w:tcW w:w="3024" w:type="dxa"/>
            <w:vAlign w:val="center"/>
          </w:tcPr>
          <w:p w14:paraId="65225626" w14:textId="77777777" w:rsidR="00EE7AC7" w:rsidRPr="00761F3F" w:rsidRDefault="00EE7AC7" w:rsidP="00EE6C95">
            <w:pPr>
              <w:pStyle w:val="BodyText"/>
              <w:spacing w:after="0" w:line="240" w:lineRule="auto"/>
              <w:jc w:val="center"/>
              <w:rPr>
                <w:b/>
                <w:sz w:val="20"/>
              </w:rPr>
            </w:pPr>
            <w:r w:rsidRPr="00761F3F">
              <w:rPr>
                <w:color w:val="000000"/>
                <w:sz w:val="20"/>
              </w:rPr>
              <w:t>Precision Fertilization</w:t>
            </w:r>
          </w:p>
        </w:tc>
        <w:tc>
          <w:tcPr>
            <w:tcW w:w="1170" w:type="dxa"/>
            <w:vAlign w:val="center"/>
          </w:tcPr>
          <w:p w14:paraId="714FE554" w14:textId="77777777" w:rsidR="00EE7AC7" w:rsidRPr="00761F3F" w:rsidRDefault="00EE7AC7" w:rsidP="00EE6C95">
            <w:pPr>
              <w:pStyle w:val="BodyText"/>
              <w:spacing w:after="0" w:line="240" w:lineRule="auto"/>
              <w:jc w:val="center"/>
              <w:rPr>
                <w:sz w:val="20"/>
              </w:rPr>
            </w:pPr>
            <w:r w:rsidRPr="00761F3F">
              <w:rPr>
                <w:color w:val="000000"/>
                <w:sz w:val="20"/>
              </w:rPr>
              <w:t>12,</w:t>
            </w:r>
            <w:r>
              <w:rPr>
                <w:color w:val="000000"/>
                <w:sz w:val="20"/>
              </w:rPr>
              <w:t>011</w:t>
            </w:r>
          </w:p>
        </w:tc>
        <w:tc>
          <w:tcPr>
            <w:tcW w:w="1523" w:type="dxa"/>
            <w:vAlign w:val="center"/>
          </w:tcPr>
          <w:p w14:paraId="211DB0DE" w14:textId="77777777" w:rsidR="00EE7AC7" w:rsidRPr="00761F3F" w:rsidRDefault="00EE7AC7" w:rsidP="00EE6C95">
            <w:pPr>
              <w:pStyle w:val="BodyText"/>
              <w:spacing w:after="0" w:line="240" w:lineRule="auto"/>
              <w:jc w:val="center"/>
              <w:rPr>
                <w:sz w:val="20"/>
              </w:rPr>
            </w:pPr>
            <w:r>
              <w:rPr>
                <w:color w:val="000000"/>
                <w:sz w:val="20"/>
              </w:rPr>
              <w:t>37,328</w:t>
            </w:r>
          </w:p>
        </w:tc>
        <w:tc>
          <w:tcPr>
            <w:tcW w:w="1537" w:type="dxa"/>
            <w:noWrap/>
            <w:vAlign w:val="center"/>
          </w:tcPr>
          <w:p w14:paraId="0B16F71D" w14:textId="77777777" w:rsidR="00EE7AC7" w:rsidRPr="00761F3F" w:rsidRDefault="00EE7AC7" w:rsidP="00EE6C95">
            <w:pPr>
              <w:pStyle w:val="BodyText"/>
              <w:spacing w:after="0" w:line="240" w:lineRule="auto"/>
              <w:jc w:val="center"/>
              <w:rPr>
                <w:sz w:val="20"/>
              </w:rPr>
            </w:pPr>
            <w:r w:rsidRPr="00761F3F">
              <w:rPr>
                <w:color w:val="000000"/>
                <w:sz w:val="20"/>
              </w:rPr>
              <w:t>2</w:t>
            </w:r>
            <w:r>
              <w:rPr>
                <w:color w:val="000000"/>
                <w:sz w:val="20"/>
              </w:rPr>
              <w:t>0</w:t>
            </w:r>
            <w:r w:rsidRPr="00761F3F">
              <w:rPr>
                <w:color w:val="000000"/>
                <w:sz w:val="20"/>
              </w:rPr>
              <w:t>,</w:t>
            </w:r>
            <w:r>
              <w:rPr>
                <w:color w:val="000000"/>
                <w:sz w:val="20"/>
              </w:rPr>
              <w:t>738</w:t>
            </w:r>
          </w:p>
        </w:tc>
      </w:tr>
      <w:tr w:rsidR="00EE7AC7" w:rsidRPr="00761F3F" w14:paraId="1E7FD244" w14:textId="77777777" w:rsidTr="00EE6C95">
        <w:trPr>
          <w:trHeight w:val="288"/>
          <w:jc w:val="center"/>
        </w:trPr>
        <w:tc>
          <w:tcPr>
            <w:tcW w:w="3024" w:type="dxa"/>
            <w:vAlign w:val="center"/>
          </w:tcPr>
          <w:p w14:paraId="6B132821" w14:textId="77777777" w:rsidR="00EE7AC7" w:rsidRPr="00761F3F" w:rsidRDefault="00EE7AC7" w:rsidP="00EE6C95">
            <w:pPr>
              <w:pStyle w:val="BodyText"/>
              <w:spacing w:after="0" w:line="240" w:lineRule="auto"/>
              <w:jc w:val="center"/>
              <w:rPr>
                <w:b/>
                <w:sz w:val="20"/>
              </w:rPr>
            </w:pPr>
            <w:r w:rsidRPr="00761F3F">
              <w:rPr>
                <w:color w:val="000000"/>
                <w:sz w:val="20"/>
              </w:rPr>
              <w:t>Controlled Release Fertilizer</w:t>
            </w:r>
          </w:p>
        </w:tc>
        <w:tc>
          <w:tcPr>
            <w:tcW w:w="1170" w:type="dxa"/>
            <w:vAlign w:val="center"/>
          </w:tcPr>
          <w:p w14:paraId="58F76CC7" w14:textId="77777777" w:rsidR="00EE7AC7" w:rsidRPr="00761F3F" w:rsidRDefault="00EE7AC7" w:rsidP="00EE6C95">
            <w:pPr>
              <w:pStyle w:val="BodyText"/>
              <w:spacing w:after="0" w:line="240" w:lineRule="auto"/>
              <w:jc w:val="center"/>
              <w:rPr>
                <w:sz w:val="20"/>
              </w:rPr>
            </w:pPr>
            <w:r w:rsidRPr="00761F3F">
              <w:rPr>
                <w:color w:val="000000"/>
                <w:sz w:val="20"/>
              </w:rPr>
              <w:t>1,363</w:t>
            </w:r>
          </w:p>
        </w:tc>
        <w:tc>
          <w:tcPr>
            <w:tcW w:w="1523" w:type="dxa"/>
            <w:vAlign w:val="center"/>
          </w:tcPr>
          <w:p w14:paraId="2714F2A0" w14:textId="77777777" w:rsidR="00EE7AC7" w:rsidRPr="00761F3F" w:rsidRDefault="00EE7AC7" w:rsidP="00EE6C95">
            <w:pPr>
              <w:pStyle w:val="BodyText"/>
              <w:spacing w:after="0" w:line="240" w:lineRule="auto"/>
              <w:jc w:val="center"/>
              <w:rPr>
                <w:sz w:val="20"/>
              </w:rPr>
            </w:pPr>
            <w:r w:rsidRPr="00761F3F">
              <w:rPr>
                <w:color w:val="000000"/>
                <w:sz w:val="20"/>
              </w:rPr>
              <w:t>3,680</w:t>
            </w:r>
          </w:p>
        </w:tc>
        <w:tc>
          <w:tcPr>
            <w:tcW w:w="1537" w:type="dxa"/>
            <w:noWrap/>
            <w:vAlign w:val="center"/>
          </w:tcPr>
          <w:p w14:paraId="69AC9FEA" w14:textId="77777777" w:rsidR="00EE7AC7" w:rsidRPr="00761F3F" w:rsidRDefault="00EE7AC7" w:rsidP="00EE6C95">
            <w:pPr>
              <w:pStyle w:val="BodyText"/>
              <w:spacing w:after="0" w:line="240" w:lineRule="auto"/>
              <w:jc w:val="center"/>
              <w:rPr>
                <w:sz w:val="20"/>
              </w:rPr>
            </w:pPr>
            <w:r w:rsidRPr="00761F3F">
              <w:rPr>
                <w:color w:val="000000"/>
                <w:sz w:val="20"/>
              </w:rPr>
              <w:t>2,044</w:t>
            </w:r>
          </w:p>
        </w:tc>
      </w:tr>
      <w:tr w:rsidR="00EE7AC7" w:rsidRPr="00761F3F" w14:paraId="11DC476F" w14:textId="77777777" w:rsidTr="00EE6C95">
        <w:trPr>
          <w:trHeight w:val="288"/>
          <w:jc w:val="center"/>
        </w:trPr>
        <w:tc>
          <w:tcPr>
            <w:tcW w:w="3024" w:type="dxa"/>
            <w:vAlign w:val="center"/>
          </w:tcPr>
          <w:p w14:paraId="28B230A7" w14:textId="77777777" w:rsidR="00EE7AC7" w:rsidRPr="00761F3F" w:rsidRDefault="00EE7AC7" w:rsidP="00EE6C95">
            <w:pPr>
              <w:pStyle w:val="BodyText"/>
              <w:spacing w:after="0" w:line="240" w:lineRule="auto"/>
              <w:jc w:val="center"/>
              <w:rPr>
                <w:b/>
                <w:sz w:val="20"/>
              </w:rPr>
            </w:pPr>
            <w:r w:rsidRPr="00761F3F">
              <w:rPr>
                <w:color w:val="000000"/>
                <w:sz w:val="20"/>
              </w:rPr>
              <w:t>Cover Crops</w:t>
            </w:r>
          </w:p>
        </w:tc>
        <w:tc>
          <w:tcPr>
            <w:tcW w:w="1170" w:type="dxa"/>
            <w:vAlign w:val="center"/>
          </w:tcPr>
          <w:p w14:paraId="5701481D" w14:textId="77777777" w:rsidR="00EE7AC7" w:rsidRPr="00761F3F" w:rsidRDefault="00EE7AC7" w:rsidP="00EE6C95">
            <w:pPr>
              <w:pStyle w:val="BodyText"/>
              <w:spacing w:after="0" w:line="240" w:lineRule="auto"/>
              <w:jc w:val="center"/>
              <w:rPr>
                <w:sz w:val="20"/>
              </w:rPr>
            </w:pPr>
            <w:r w:rsidRPr="00761F3F">
              <w:rPr>
                <w:color w:val="000000"/>
                <w:sz w:val="20"/>
              </w:rPr>
              <w:t>12,538</w:t>
            </w:r>
          </w:p>
        </w:tc>
        <w:tc>
          <w:tcPr>
            <w:tcW w:w="1523" w:type="dxa"/>
            <w:vAlign w:val="center"/>
          </w:tcPr>
          <w:p w14:paraId="67386B61" w14:textId="77777777" w:rsidR="00EE7AC7" w:rsidRPr="00761F3F" w:rsidRDefault="00EE7AC7" w:rsidP="00EE6C95">
            <w:pPr>
              <w:pStyle w:val="BodyText"/>
              <w:spacing w:after="0" w:line="240" w:lineRule="auto"/>
              <w:jc w:val="center"/>
              <w:rPr>
                <w:sz w:val="20"/>
              </w:rPr>
            </w:pPr>
            <w:r w:rsidRPr="00761F3F">
              <w:rPr>
                <w:color w:val="000000"/>
                <w:sz w:val="20"/>
              </w:rPr>
              <w:t>101,560</w:t>
            </w:r>
          </w:p>
        </w:tc>
        <w:tc>
          <w:tcPr>
            <w:tcW w:w="1537" w:type="dxa"/>
            <w:noWrap/>
            <w:vAlign w:val="center"/>
          </w:tcPr>
          <w:p w14:paraId="7A7C6930" w14:textId="77777777" w:rsidR="00EE7AC7" w:rsidRPr="00761F3F" w:rsidRDefault="00EE7AC7" w:rsidP="00EE6C95">
            <w:pPr>
              <w:pStyle w:val="BodyText"/>
              <w:spacing w:after="0" w:line="240" w:lineRule="auto"/>
              <w:jc w:val="center"/>
              <w:rPr>
                <w:sz w:val="20"/>
              </w:rPr>
            </w:pPr>
            <w:r w:rsidRPr="00761F3F">
              <w:rPr>
                <w:color w:val="000000"/>
                <w:sz w:val="20"/>
              </w:rPr>
              <w:t>56,422</w:t>
            </w:r>
          </w:p>
        </w:tc>
      </w:tr>
      <w:tr w:rsidR="00EE7AC7" w:rsidRPr="00761F3F" w14:paraId="545C6CB2" w14:textId="77777777" w:rsidTr="00EE6C95">
        <w:trPr>
          <w:trHeight w:val="288"/>
          <w:jc w:val="center"/>
        </w:trPr>
        <w:tc>
          <w:tcPr>
            <w:tcW w:w="3024" w:type="dxa"/>
            <w:shd w:val="clear" w:color="auto" w:fill="FFF2CC" w:themeFill="accent4" w:themeFillTint="33"/>
            <w:noWrap/>
            <w:vAlign w:val="center"/>
            <w:hideMark/>
          </w:tcPr>
          <w:p w14:paraId="4AAD1D81" w14:textId="77777777" w:rsidR="00EE7AC7" w:rsidRPr="00761F3F" w:rsidRDefault="00EE7AC7" w:rsidP="00EE6C95">
            <w:pPr>
              <w:pStyle w:val="BodyText"/>
              <w:spacing w:after="0" w:line="240" w:lineRule="auto"/>
              <w:jc w:val="center"/>
              <w:rPr>
                <w:b/>
                <w:bCs/>
                <w:sz w:val="20"/>
              </w:rPr>
            </w:pPr>
            <w:r w:rsidRPr="00761F3F">
              <w:rPr>
                <w:b/>
                <w:bCs/>
                <w:color w:val="000000"/>
                <w:sz w:val="20"/>
              </w:rPr>
              <w:t>Total</w:t>
            </w:r>
          </w:p>
        </w:tc>
        <w:tc>
          <w:tcPr>
            <w:tcW w:w="1170" w:type="dxa"/>
            <w:shd w:val="clear" w:color="auto" w:fill="FFF2CC" w:themeFill="accent4" w:themeFillTint="33"/>
            <w:vAlign w:val="center"/>
          </w:tcPr>
          <w:p w14:paraId="6E51AFD5" w14:textId="77777777" w:rsidR="00EE7AC7" w:rsidRPr="00761F3F" w:rsidRDefault="00EE7AC7" w:rsidP="00EE6C95">
            <w:pPr>
              <w:pStyle w:val="BodyText"/>
              <w:spacing w:after="0" w:line="240" w:lineRule="auto"/>
              <w:jc w:val="center"/>
              <w:rPr>
                <w:b/>
                <w:bCs/>
                <w:sz w:val="20"/>
              </w:rPr>
            </w:pPr>
            <w:r w:rsidRPr="00761F3F">
              <w:rPr>
                <w:b/>
                <w:bCs/>
                <w:sz w:val="20"/>
              </w:rPr>
              <w:t>63,048</w:t>
            </w:r>
          </w:p>
        </w:tc>
        <w:tc>
          <w:tcPr>
            <w:tcW w:w="1523" w:type="dxa"/>
            <w:shd w:val="clear" w:color="auto" w:fill="FFF2CC" w:themeFill="accent4" w:themeFillTint="33"/>
            <w:vAlign w:val="center"/>
          </w:tcPr>
          <w:p w14:paraId="4ED373A4" w14:textId="77777777" w:rsidR="00EE7AC7" w:rsidRPr="00761F3F" w:rsidRDefault="00EE7AC7" w:rsidP="00EE6C95">
            <w:pPr>
              <w:pStyle w:val="BodyText"/>
              <w:spacing w:after="0" w:line="240" w:lineRule="auto"/>
              <w:jc w:val="center"/>
              <w:rPr>
                <w:b/>
                <w:bCs/>
                <w:sz w:val="20"/>
              </w:rPr>
            </w:pPr>
            <w:r>
              <w:rPr>
                <w:b/>
                <w:bCs/>
                <w:sz w:val="20"/>
              </w:rPr>
              <w:t>275,462</w:t>
            </w:r>
          </w:p>
        </w:tc>
        <w:tc>
          <w:tcPr>
            <w:tcW w:w="1537" w:type="dxa"/>
            <w:shd w:val="clear" w:color="auto" w:fill="FFF2CC" w:themeFill="accent4" w:themeFillTint="33"/>
            <w:noWrap/>
            <w:vAlign w:val="center"/>
          </w:tcPr>
          <w:p w14:paraId="21083EC2" w14:textId="77777777" w:rsidR="00EE7AC7" w:rsidRPr="00761F3F" w:rsidRDefault="00EE7AC7" w:rsidP="00EE6C95">
            <w:pPr>
              <w:pStyle w:val="BodyText"/>
              <w:spacing w:after="0" w:line="240" w:lineRule="auto"/>
              <w:jc w:val="center"/>
              <w:rPr>
                <w:b/>
                <w:bCs/>
                <w:sz w:val="20"/>
              </w:rPr>
            </w:pPr>
            <w:r>
              <w:rPr>
                <w:b/>
                <w:bCs/>
                <w:sz w:val="20"/>
              </w:rPr>
              <w:t>153,033</w:t>
            </w:r>
          </w:p>
        </w:tc>
      </w:tr>
      <w:bookmarkEnd w:id="122"/>
    </w:tbl>
    <w:p w14:paraId="78C2C8CB" w14:textId="77777777" w:rsidR="00EE7AC7" w:rsidRDefault="00EE7AC7" w:rsidP="00EE7AC7">
      <w:pPr>
        <w:pStyle w:val="Bodytextreduced"/>
      </w:pPr>
    </w:p>
    <w:p w14:paraId="42B24020" w14:textId="5D979B43" w:rsidR="00EE7AC7" w:rsidRDefault="00887012" w:rsidP="00EE7AC7">
      <w:pPr>
        <w:pStyle w:val="BodyText"/>
        <w:spacing w:before="120"/>
      </w:pPr>
      <w:bookmarkStart w:id="123" w:name="_Ref489864847"/>
      <w:r w:rsidRPr="0063739A">
        <w:t xml:space="preserve">The </w:t>
      </w:r>
      <w:r>
        <w:t xml:space="preserve">projects and practices listed in </w:t>
      </w:r>
      <w:r w:rsidRPr="00D26FBF">
        <w:rPr>
          <w:b/>
        </w:rPr>
        <w:t>Table 1</w:t>
      </w:r>
      <w:r>
        <w:rPr>
          <w:b/>
        </w:rPr>
        <w:t>1</w:t>
      </w:r>
      <w:r>
        <w:t xml:space="preserve"> are a component of the </w:t>
      </w:r>
      <w:r w:rsidRPr="000E2319">
        <w:t>reductions to groundwater that could be achieved through changes in</w:t>
      </w:r>
      <w:r>
        <w:t xml:space="preserve"> practices (</w:t>
      </w:r>
      <w:r w:rsidRPr="00D26FBF">
        <w:rPr>
          <w:b/>
        </w:rPr>
        <w:t>Table 1</w:t>
      </w:r>
      <w:r>
        <w:rPr>
          <w:b/>
        </w:rPr>
        <w:t>2</w:t>
      </w:r>
      <w:r>
        <w:t>).</w:t>
      </w:r>
      <w:r w:rsidRPr="000E2319">
        <w:t xml:space="preserve"> For example, a </w:t>
      </w:r>
      <w:r>
        <w:t>75</w:t>
      </w:r>
      <w:r w:rsidRPr="000E2319">
        <w:t xml:space="preserve"> % reduction of fertilizer </w:t>
      </w:r>
      <w:r>
        <w:t>loss to groundwater</w:t>
      </w:r>
      <w:r w:rsidRPr="000E2319">
        <w:t xml:space="preserve"> on </w:t>
      </w:r>
      <w:r>
        <w:t>25</w:t>
      </w:r>
      <w:r w:rsidRPr="000E2319">
        <w:t xml:space="preserve"> % of the fertilized lands would result in an estimated</w:t>
      </w:r>
      <w:r>
        <w:t xml:space="preserve"> reduction </w:t>
      </w:r>
      <w:r w:rsidRPr="00CE2EF5">
        <w:t xml:space="preserve">of </w:t>
      </w:r>
      <w:r w:rsidR="009D07FC">
        <w:t>117,360</w:t>
      </w:r>
      <w:r w:rsidRPr="00CE2EF5">
        <w:t xml:space="preserve"> lb-N/yr. Note</w:t>
      </w:r>
      <w:r>
        <w:t xml:space="preserve"> that t</w:t>
      </w:r>
      <w:r w:rsidRPr="000E2319">
        <w:t xml:space="preserve">hese estimates are averaged over the </w:t>
      </w:r>
      <w:r>
        <w:t xml:space="preserve">entire </w:t>
      </w:r>
      <w:r w:rsidRPr="000E2319">
        <w:t xml:space="preserve">basin, </w:t>
      </w:r>
      <w:r>
        <w:t xml:space="preserve">and </w:t>
      </w:r>
      <w:r w:rsidRPr="000E2319">
        <w:t>the recharge characteris</w:t>
      </w:r>
      <w:r>
        <w:t>ti</w:t>
      </w:r>
      <w:r w:rsidRPr="000E2319">
        <w:t xml:space="preserve">cs of a specific site </w:t>
      </w:r>
      <w:r>
        <w:t xml:space="preserve">and the fertilization practices for specific crops </w:t>
      </w:r>
      <w:r w:rsidRPr="000E2319">
        <w:t>may change the estimated reduction</w:t>
      </w:r>
      <w:r>
        <w:t xml:space="preserve"> for specific acres with a conservation easement or change in fertilization</w:t>
      </w:r>
      <w:r w:rsidRPr="000E2319">
        <w:t>.</w:t>
      </w:r>
    </w:p>
    <w:p w14:paraId="4B52E0E5" w14:textId="1C2C4444" w:rsidR="00EE7AC7" w:rsidRPr="00773ED2" w:rsidRDefault="00EE7AC7" w:rsidP="00EE7AC7">
      <w:pPr>
        <w:pStyle w:val="Caption"/>
      </w:pPr>
      <w:bookmarkStart w:id="124" w:name="_Toc514430962"/>
      <w:bookmarkStart w:id="125" w:name="_Hlk497312058"/>
      <w:r>
        <w:t xml:space="preserve">Table </w:t>
      </w:r>
      <w:fldSimple w:instr=" SEQ Table \* ARABIC ">
        <w:r w:rsidR="002A2E30">
          <w:rPr>
            <w:noProof/>
          </w:rPr>
          <w:t>12</w:t>
        </w:r>
      </w:fldSimple>
      <w:r>
        <w:t>. Potential for additional load reductions to groundwater</w:t>
      </w:r>
      <w:bookmarkEnd w:id="124"/>
    </w:p>
    <w:tbl>
      <w:tblPr>
        <w:tblStyle w:val="TableGrid"/>
        <w:tblW w:w="9355" w:type="dxa"/>
        <w:jc w:val="center"/>
        <w:tblLayout w:type="fixed"/>
        <w:tblLook w:val="04A0" w:firstRow="1" w:lastRow="0" w:firstColumn="1" w:lastColumn="0" w:noHBand="0" w:noVBand="1"/>
      </w:tblPr>
      <w:tblGrid>
        <w:gridCol w:w="1075"/>
        <w:gridCol w:w="1080"/>
        <w:gridCol w:w="1440"/>
        <w:gridCol w:w="1440"/>
        <w:gridCol w:w="1440"/>
        <w:gridCol w:w="1408"/>
        <w:gridCol w:w="1472"/>
      </w:tblGrid>
      <w:tr w:rsidR="00EE7AC7" w:rsidRPr="00761F3F" w14:paraId="18394C10" w14:textId="77777777" w:rsidTr="00EE6C95">
        <w:trPr>
          <w:trHeight w:val="1005"/>
          <w:tblHeader/>
          <w:jc w:val="center"/>
        </w:trPr>
        <w:tc>
          <w:tcPr>
            <w:tcW w:w="1075" w:type="dxa"/>
            <w:shd w:val="clear" w:color="auto" w:fill="DEEAF6" w:themeFill="accent1" w:themeFillTint="33"/>
            <w:vAlign w:val="bottom"/>
            <w:hideMark/>
          </w:tcPr>
          <w:p w14:paraId="458A7FCB"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 of Fertilized Acres with a Change in Practice</w:t>
            </w:r>
          </w:p>
        </w:tc>
        <w:tc>
          <w:tcPr>
            <w:tcW w:w="1080" w:type="dxa"/>
            <w:shd w:val="clear" w:color="auto" w:fill="DEEAF6" w:themeFill="accent1" w:themeFillTint="33"/>
            <w:vAlign w:val="bottom"/>
            <w:hideMark/>
          </w:tcPr>
          <w:p w14:paraId="6D5556F9"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Number of Fertilized Acres with a Change in Practice</w:t>
            </w:r>
          </w:p>
        </w:tc>
        <w:tc>
          <w:tcPr>
            <w:tcW w:w="1440" w:type="dxa"/>
            <w:shd w:val="clear" w:color="auto" w:fill="DEEAF6" w:themeFill="accent1" w:themeFillTint="33"/>
            <w:noWrap/>
            <w:vAlign w:val="bottom"/>
            <w:hideMark/>
          </w:tcPr>
          <w:p w14:paraId="7DF6928D"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100%</w:t>
            </w:r>
            <w:r w:rsidRPr="00761F3F">
              <w:rPr>
                <w:rFonts w:ascii="Times New Roman" w:hAnsi="Times New Roman"/>
                <w:b/>
                <w:bCs/>
                <w:sz w:val="20"/>
              </w:rPr>
              <w:br/>
              <w:t xml:space="preserve">Reduction in Load to Groundwater </w:t>
            </w:r>
            <w:r w:rsidRPr="00761F3F">
              <w:rPr>
                <w:rFonts w:ascii="Times New Roman" w:hAnsi="Times New Roman"/>
                <w:b/>
                <w:bCs/>
                <w:sz w:val="20"/>
              </w:rPr>
              <w:br/>
              <w:t>(lb-N/yr reduced)</w:t>
            </w:r>
          </w:p>
        </w:tc>
        <w:tc>
          <w:tcPr>
            <w:tcW w:w="1440" w:type="dxa"/>
            <w:shd w:val="clear" w:color="auto" w:fill="DEEAF6" w:themeFill="accent1" w:themeFillTint="33"/>
            <w:noWrap/>
            <w:vAlign w:val="bottom"/>
            <w:hideMark/>
          </w:tcPr>
          <w:p w14:paraId="7761346A"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 xml:space="preserve">75% Reduction in Load to Groundwater  </w:t>
            </w:r>
            <w:r w:rsidRPr="00761F3F">
              <w:rPr>
                <w:rFonts w:ascii="Times New Roman" w:hAnsi="Times New Roman"/>
                <w:b/>
                <w:bCs/>
                <w:sz w:val="20"/>
              </w:rPr>
              <w:br/>
              <w:t>(lb-N/yr reduced)</w:t>
            </w:r>
          </w:p>
        </w:tc>
        <w:tc>
          <w:tcPr>
            <w:tcW w:w="1440" w:type="dxa"/>
            <w:shd w:val="clear" w:color="auto" w:fill="DEEAF6" w:themeFill="accent1" w:themeFillTint="33"/>
            <w:noWrap/>
            <w:vAlign w:val="bottom"/>
            <w:hideMark/>
          </w:tcPr>
          <w:p w14:paraId="6724B6D3"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 xml:space="preserve">50% Reduction in Load to Groundwater  </w:t>
            </w:r>
            <w:r w:rsidRPr="00761F3F">
              <w:rPr>
                <w:rFonts w:ascii="Times New Roman" w:hAnsi="Times New Roman"/>
                <w:b/>
                <w:bCs/>
                <w:sz w:val="20"/>
              </w:rPr>
              <w:br/>
              <w:t>(lb-N/yr reduced)</w:t>
            </w:r>
          </w:p>
        </w:tc>
        <w:tc>
          <w:tcPr>
            <w:tcW w:w="1408" w:type="dxa"/>
            <w:shd w:val="clear" w:color="auto" w:fill="DEEAF6" w:themeFill="accent1" w:themeFillTint="33"/>
            <w:noWrap/>
            <w:vAlign w:val="bottom"/>
            <w:hideMark/>
          </w:tcPr>
          <w:p w14:paraId="0686A149"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 xml:space="preserve">25% Reduction in Load to Groundwater  </w:t>
            </w:r>
            <w:r w:rsidRPr="00761F3F">
              <w:rPr>
                <w:rFonts w:ascii="Times New Roman" w:hAnsi="Times New Roman"/>
                <w:b/>
                <w:bCs/>
                <w:sz w:val="20"/>
              </w:rPr>
              <w:br/>
              <w:t>(lb-N/yr reduced)</w:t>
            </w:r>
          </w:p>
        </w:tc>
        <w:tc>
          <w:tcPr>
            <w:tcW w:w="1472" w:type="dxa"/>
            <w:shd w:val="clear" w:color="auto" w:fill="DEEAF6" w:themeFill="accent1" w:themeFillTint="33"/>
            <w:noWrap/>
            <w:vAlign w:val="bottom"/>
            <w:hideMark/>
          </w:tcPr>
          <w:p w14:paraId="75E61ED2" w14:textId="77777777" w:rsidR="00EE7AC7" w:rsidRPr="00761F3F" w:rsidRDefault="00EE7AC7" w:rsidP="00EE6C95">
            <w:pPr>
              <w:jc w:val="center"/>
              <w:rPr>
                <w:rFonts w:ascii="Times New Roman" w:hAnsi="Times New Roman"/>
                <w:b/>
                <w:bCs/>
                <w:sz w:val="20"/>
              </w:rPr>
            </w:pPr>
            <w:r w:rsidRPr="00761F3F">
              <w:rPr>
                <w:rFonts w:ascii="Times New Roman" w:hAnsi="Times New Roman"/>
                <w:b/>
                <w:bCs/>
                <w:sz w:val="20"/>
              </w:rPr>
              <w:t xml:space="preserve">10% Reduction in Load to Groundwater  </w:t>
            </w:r>
            <w:r w:rsidRPr="00761F3F">
              <w:rPr>
                <w:rFonts w:ascii="Times New Roman" w:hAnsi="Times New Roman"/>
                <w:b/>
                <w:bCs/>
                <w:sz w:val="20"/>
              </w:rPr>
              <w:br/>
              <w:t>(lb-N/yr reduced)</w:t>
            </w:r>
          </w:p>
        </w:tc>
      </w:tr>
      <w:tr w:rsidR="00EE7AC7" w:rsidRPr="00761F3F" w14:paraId="7DB8C636" w14:textId="77777777" w:rsidTr="00EE6C95">
        <w:trPr>
          <w:trHeight w:val="300"/>
          <w:jc w:val="center"/>
        </w:trPr>
        <w:tc>
          <w:tcPr>
            <w:tcW w:w="1075" w:type="dxa"/>
            <w:noWrap/>
            <w:vAlign w:val="center"/>
            <w:hideMark/>
          </w:tcPr>
          <w:p w14:paraId="6927B955" w14:textId="77777777" w:rsidR="00EE7AC7" w:rsidRPr="00761F3F" w:rsidRDefault="00EE7AC7" w:rsidP="00EE6C95">
            <w:pPr>
              <w:jc w:val="center"/>
              <w:rPr>
                <w:rFonts w:ascii="Times New Roman" w:hAnsi="Times New Roman"/>
                <w:b/>
                <w:sz w:val="20"/>
              </w:rPr>
            </w:pPr>
            <w:r w:rsidRPr="00761F3F">
              <w:rPr>
                <w:rFonts w:ascii="Times New Roman" w:hAnsi="Times New Roman"/>
                <w:b/>
                <w:sz w:val="20"/>
              </w:rPr>
              <w:t>100</w:t>
            </w:r>
          </w:p>
        </w:tc>
        <w:tc>
          <w:tcPr>
            <w:tcW w:w="1080" w:type="dxa"/>
            <w:noWrap/>
            <w:vAlign w:val="center"/>
            <w:hideMark/>
          </w:tcPr>
          <w:p w14:paraId="33FDE292"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42,720</w:t>
            </w:r>
          </w:p>
        </w:tc>
        <w:tc>
          <w:tcPr>
            <w:tcW w:w="1440" w:type="dxa"/>
            <w:noWrap/>
            <w:vAlign w:val="center"/>
            <w:hideMark/>
          </w:tcPr>
          <w:p w14:paraId="2DE9DC13"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625,921</w:t>
            </w:r>
          </w:p>
        </w:tc>
        <w:tc>
          <w:tcPr>
            <w:tcW w:w="1440" w:type="dxa"/>
            <w:noWrap/>
            <w:vAlign w:val="center"/>
            <w:hideMark/>
          </w:tcPr>
          <w:p w14:paraId="7FAC80FE"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469,441</w:t>
            </w:r>
          </w:p>
        </w:tc>
        <w:tc>
          <w:tcPr>
            <w:tcW w:w="1440" w:type="dxa"/>
            <w:noWrap/>
            <w:vAlign w:val="center"/>
            <w:hideMark/>
          </w:tcPr>
          <w:p w14:paraId="17DD840A"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312,961</w:t>
            </w:r>
          </w:p>
        </w:tc>
        <w:tc>
          <w:tcPr>
            <w:tcW w:w="1408" w:type="dxa"/>
            <w:noWrap/>
            <w:vAlign w:val="center"/>
            <w:hideMark/>
          </w:tcPr>
          <w:p w14:paraId="281F3F89"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156,480</w:t>
            </w:r>
          </w:p>
        </w:tc>
        <w:tc>
          <w:tcPr>
            <w:tcW w:w="1472" w:type="dxa"/>
            <w:noWrap/>
            <w:vAlign w:val="center"/>
            <w:hideMark/>
          </w:tcPr>
          <w:p w14:paraId="51D544AF"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62,592</w:t>
            </w:r>
          </w:p>
        </w:tc>
      </w:tr>
      <w:tr w:rsidR="00EE7AC7" w:rsidRPr="00761F3F" w14:paraId="0EF87060" w14:textId="77777777" w:rsidTr="00EE6C95">
        <w:trPr>
          <w:trHeight w:val="300"/>
          <w:jc w:val="center"/>
        </w:trPr>
        <w:tc>
          <w:tcPr>
            <w:tcW w:w="1075" w:type="dxa"/>
            <w:noWrap/>
            <w:vAlign w:val="center"/>
            <w:hideMark/>
          </w:tcPr>
          <w:p w14:paraId="34990140" w14:textId="77777777" w:rsidR="00EE7AC7" w:rsidRPr="00761F3F" w:rsidRDefault="00EE7AC7" w:rsidP="00EE6C95">
            <w:pPr>
              <w:jc w:val="center"/>
              <w:rPr>
                <w:rFonts w:ascii="Times New Roman" w:hAnsi="Times New Roman"/>
                <w:b/>
                <w:sz w:val="20"/>
              </w:rPr>
            </w:pPr>
            <w:r w:rsidRPr="00761F3F">
              <w:rPr>
                <w:rFonts w:ascii="Times New Roman" w:hAnsi="Times New Roman"/>
                <w:b/>
                <w:sz w:val="20"/>
              </w:rPr>
              <w:t>75</w:t>
            </w:r>
          </w:p>
        </w:tc>
        <w:tc>
          <w:tcPr>
            <w:tcW w:w="1080" w:type="dxa"/>
            <w:noWrap/>
            <w:vAlign w:val="center"/>
            <w:hideMark/>
          </w:tcPr>
          <w:p w14:paraId="6CD1C2FF"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32,040</w:t>
            </w:r>
          </w:p>
        </w:tc>
        <w:tc>
          <w:tcPr>
            <w:tcW w:w="1440" w:type="dxa"/>
            <w:noWrap/>
            <w:vAlign w:val="center"/>
            <w:hideMark/>
          </w:tcPr>
          <w:p w14:paraId="4632AD2B"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469,441</w:t>
            </w:r>
          </w:p>
        </w:tc>
        <w:tc>
          <w:tcPr>
            <w:tcW w:w="1440" w:type="dxa"/>
            <w:noWrap/>
            <w:vAlign w:val="center"/>
            <w:hideMark/>
          </w:tcPr>
          <w:p w14:paraId="212A2044"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352,081</w:t>
            </w:r>
          </w:p>
        </w:tc>
        <w:tc>
          <w:tcPr>
            <w:tcW w:w="1440" w:type="dxa"/>
            <w:noWrap/>
            <w:vAlign w:val="center"/>
            <w:hideMark/>
          </w:tcPr>
          <w:p w14:paraId="68249BC7"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234,720</w:t>
            </w:r>
          </w:p>
        </w:tc>
        <w:tc>
          <w:tcPr>
            <w:tcW w:w="1408" w:type="dxa"/>
            <w:noWrap/>
            <w:vAlign w:val="center"/>
            <w:hideMark/>
          </w:tcPr>
          <w:p w14:paraId="5F7921A5"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117,360</w:t>
            </w:r>
          </w:p>
        </w:tc>
        <w:tc>
          <w:tcPr>
            <w:tcW w:w="1472" w:type="dxa"/>
            <w:noWrap/>
            <w:vAlign w:val="center"/>
            <w:hideMark/>
          </w:tcPr>
          <w:p w14:paraId="450C968D"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46,944</w:t>
            </w:r>
          </w:p>
        </w:tc>
      </w:tr>
      <w:tr w:rsidR="00EE7AC7" w:rsidRPr="00761F3F" w14:paraId="3198F3BD" w14:textId="77777777" w:rsidTr="00EE6C95">
        <w:trPr>
          <w:trHeight w:val="300"/>
          <w:jc w:val="center"/>
        </w:trPr>
        <w:tc>
          <w:tcPr>
            <w:tcW w:w="1075" w:type="dxa"/>
            <w:noWrap/>
            <w:vAlign w:val="center"/>
            <w:hideMark/>
          </w:tcPr>
          <w:p w14:paraId="6BFBBB7C" w14:textId="77777777" w:rsidR="00EE7AC7" w:rsidRPr="00761F3F" w:rsidRDefault="00EE7AC7" w:rsidP="00EE6C95">
            <w:pPr>
              <w:jc w:val="center"/>
              <w:rPr>
                <w:rFonts w:ascii="Times New Roman" w:hAnsi="Times New Roman"/>
                <w:b/>
                <w:sz w:val="20"/>
              </w:rPr>
            </w:pPr>
            <w:r w:rsidRPr="00761F3F">
              <w:rPr>
                <w:rFonts w:ascii="Times New Roman" w:hAnsi="Times New Roman"/>
                <w:b/>
                <w:sz w:val="20"/>
              </w:rPr>
              <w:t>50</w:t>
            </w:r>
          </w:p>
        </w:tc>
        <w:tc>
          <w:tcPr>
            <w:tcW w:w="1080" w:type="dxa"/>
            <w:noWrap/>
            <w:vAlign w:val="center"/>
            <w:hideMark/>
          </w:tcPr>
          <w:p w14:paraId="33546F1F"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21,360</w:t>
            </w:r>
          </w:p>
        </w:tc>
        <w:tc>
          <w:tcPr>
            <w:tcW w:w="1440" w:type="dxa"/>
            <w:noWrap/>
            <w:vAlign w:val="center"/>
            <w:hideMark/>
          </w:tcPr>
          <w:p w14:paraId="4937C177"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312,961</w:t>
            </w:r>
          </w:p>
        </w:tc>
        <w:tc>
          <w:tcPr>
            <w:tcW w:w="1440" w:type="dxa"/>
            <w:noWrap/>
            <w:vAlign w:val="center"/>
            <w:hideMark/>
          </w:tcPr>
          <w:p w14:paraId="7B05DDD3"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234,720</w:t>
            </w:r>
          </w:p>
        </w:tc>
        <w:tc>
          <w:tcPr>
            <w:tcW w:w="1440" w:type="dxa"/>
            <w:noWrap/>
            <w:vAlign w:val="center"/>
            <w:hideMark/>
          </w:tcPr>
          <w:p w14:paraId="2B1BE190"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156,480</w:t>
            </w:r>
          </w:p>
        </w:tc>
        <w:tc>
          <w:tcPr>
            <w:tcW w:w="1408" w:type="dxa"/>
            <w:noWrap/>
            <w:vAlign w:val="center"/>
            <w:hideMark/>
          </w:tcPr>
          <w:p w14:paraId="67A9192B"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78,240</w:t>
            </w:r>
          </w:p>
        </w:tc>
        <w:tc>
          <w:tcPr>
            <w:tcW w:w="1472" w:type="dxa"/>
            <w:noWrap/>
            <w:vAlign w:val="center"/>
            <w:hideMark/>
          </w:tcPr>
          <w:p w14:paraId="5D3767E0"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31,296</w:t>
            </w:r>
          </w:p>
        </w:tc>
      </w:tr>
      <w:tr w:rsidR="00EE7AC7" w:rsidRPr="00761F3F" w14:paraId="384CF891" w14:textId="77777777" w:rsidTr="00EE6C95">
        <w:trPr>
          <w:trHeight w:val="300"/>
          <w:jc w:val="center"/>
        </w:trPr>
        <w:tc>
          <w:tcPr>
            <w:tcW w:w="1075" w:type="dxa"/>
            <w:noWrap/>
            <w:vAlign w:val="center"/>
            <w:hideMark/>
          </w:tcPr>
          <w:p w14:paraId="53CB5AB2" w14:textId="77777777" w:rsidR="00EE7AC7" w:rsidRPr="00761F3F" w:rsidRDefault="00EE7AC7" w:rsidP="00EE6C95">
            <w:pPr>
              <w:jc w:val="center"/>
              <w:rPr>
                <w:rFonts w:ascii="Times New Roman" w:hAnsi="Times New Roman"/>
                <w:b/>
                <w:sz w:val="20"/>
              </w:rPr>
            </w:pPr>
            <w:r w:rsidRPr="00761F3F">
              <w:rPr>
                <w:rFonts w:ascii="Times New Roman" w:hAnsi="Times New Roman"/>
                <w:b/>
                <w:sz w:val="20"/>
              </w:rPr>
              <w:t>25</w:t>
            </w:r>
          </w:p>
        </w:tc>
        <w:tc>
          <w:tcPr>
            <w:tcW w:w="1080" w:type="dxa"/>
            <w:noWrap/>
            <w:vAlign w:val="center"/>
            <w:hideMark/>
          </w:tcPr>
          <w:p w14:paraId="3B6351FB"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10,680</w:t>
            </w:r>
          </w:p>
        </w:tc>
        <w:tc>
          <w:tcPr>
            <w:tcW w:w="1440" w:type="dxa"/>
            <w:noWrap/>
            <w:vAlign w:val="center"/>
            <w:hideMark/>
          </w:tcPr>
          <w:p w14:paraId="6C4CD290"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156,480</w:t>
            </w:r>
          </w:p>
        </w:tc>
        <w:tc>
          <w:tcPr>
            <w:tcW w:w="1440" w:type="dxa"/>
            <w:noWrap/>
            <w:vAlign w:val="center"/>
            <w:hideMark/>
          </w:tcPr>
          <w:p w14:paraId="5A36C9FC"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117,360</w:t>
            </w:r>
          </w:p>
        </w:tc>
        <w:tc>
          <w:tcPr>
            <w:tcW w:w="1440" w:type="dxa"/>
            <w:noWrap/>
            <w:vAlign w:val="center"/>
            <w:hideMark/>
          </w:tcPr>
          <w:p w14:paraId="02EFA324"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78,240</w:t>
            </w:r>
          </w:p>
        </w:tc>
        <w:tc>
          <w:tcPr>
            <w:tcW w:w="1408" w:type="dxa"/>
            <w:noWrap/>
            <w:vAlign w:val="center"/>
            <w:hideMark/>
          </w:tcPr>
          <w:p w14:paraId="3E524058"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39,120</w:t>
            </w:r>
          </w:p>
        </w:tc>
        <w:tc>
          <w:tcPr>
            <w:tcW w:w="1472" w:type="dxa"/>
            <w:noWrap/>
            <w:vAlign w:val="center"/>
            <w:hideMark/>
          </w:tcPr>
          <w:p w14:paraId="747B4683"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15,648</w:t>
            </w:r>
          </w:p>
        </w:tc>
      </w:tr>
      <w:tr w:rsidR="00EE7AC7" w:rsidRPr="00761F3F" w14:paraId="273FCC95" w14:textId="77777777" w:rsidTr="00EE6C95">
        <w:trPr>
          <w:trHeight w:val="300"/>
          <w:jc w:val="center"/>
        </w:trPr>
        <w:tc>
          <w:tcPr>
            <w:tcW w:w="1075" w:type="dxa"/>
            <w:noWrap/>
            <w:vAlign w:val="center"/>
            <w:hideMark/>
          </w:tcPr>
          <w:p w14:paraId="7BE89895" w14:textId="77777777" w:rsidR="00EE7AC7" w:rsidRPr="00761F3F" w:rsidRDefault="00EE7AC7" w:rsidP="00EE6C95">
            <w:pPr>
              <w:jc w:val="center"/>
              <w:rPr>
                <w:rFonts w:ascii="Times New Roman" w:hAnsi="Times New Roman"/>
                <w:b/>
                <w:sz w:val="20"/>
              </w:rPr>
            </w:pPr>
            <w:r w:rsidRPr="00761F3F">
              <w:rPr>
                <w:rFonts w:ascii="Times New Roman" w:hAnsi="Times New Roman"/>
                <w:b/>
                <w:sz w:val="20"/>
              </w:rPr>
              <w:t>10</w:t>
            </w:r>
          </w:p>
        </w:tc>
        <w:tc>
          <w:tcPr>
            <w:tcW w:w="1080" w:type="dxa"/>
            <w:noWrap/>
            <w:vAlign w:val="center"/>
            <w:hideMark/>
          </w:tcPr>
          <w:p w14:paraId="25327807"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4,272</w:t>
            </w:r>
          </w:p>
        </w:tc>
        <w:tc>
          <w:tcPr>
            <w:tcW w:w="1440" w:type="dxa"/>
            <w:noWrap/>
            <w:vAlign w:val="center"/>
            <w:hideMark/>
          </w:tcPr>
          <w:p w14:paraId="1C336D9A"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62,592</w:t>
            </w:r>
          </w:p>
        </w:tc>
        <w:tc>
          <w:tcPr>
            <w:tcW w:w="1440" w:type="dxa"/>
            <w:noWrap/>
            <w:vAlign w:val="center"/>
            <w:hideMark/>
          </w:tcPr>
          <w:p w14:paraId="7C00643D"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46,944</w:t>
            </w:r>
          </w:p>
        </w:tc>
        <w:tc>
          <w:tcPr>
            <w:tcW w:w="1440" w:type="dxa"/>
            <w:noWrap/>
            <w:vAlign w:val="center"/>
            <w:hideMark/>
          </w:tcPr>
          <w:p w14:paraId="36127A50"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31,296</w:t>
            </w:r>
          </w:p>
        </w:tc>
        <w:tc>
          <w:tcPr>
            <w:tcW w:w="1408" w:type="dxa"/>
            <w:noWrap/>
            <w:vAlign w:val="center"/>
            <w:hideMark/>
          </w:tcPr>
          <w:p w14:paraId="7DEB162A"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15,648</w:t>
            </w:r>
          </w:p>
        </w:tc>
        <w:tc>
          <w:tcPr>
            <w:tcW w:w="1472" w:type="dxa"/>
            <w:noWrap/>
            <w:vAlign w:val="center"/>
            <w:hideMark/>
          </w:tcPr>
          <w:p w14:paraId="3EBE57EC" w14:textId="77777777" w:rsidR="00EE7AC7" w:rsidRPr="00761F3F" w:rsidRDefault="00EE7AC7" w:rsidP="00EE6C95">
            <w:pPr>
              <w:jc w:val="center"/>
              <w:rPr>
                <w:rFonts w:ascii="Times New Roman" w:hAnsi="Times New Roman"/>
                <w:sz w:val="20"/>
              </w:rPr>
            </w:pPr>
            <w:r w:rsidRPr="00761F3F">
              <w:rPr>
                <w:rFonts w:ascii="Times New Roman" w:hAnsi="Times New Roman"/>
                <w:color w:val="000000"/>
                <w:sz w:val="20"/>
              </w:rPr>
              <w:t>6,259</w:t>
            </w:r>
          </w:p>
        </w:tc>
      </w:tr>
      <w:bookmarkEnd w:id="125"/>
    </w:tbl>
    <w:p w14:paraId="55982D6B" w14:textId="77777777" w:rsidR="00EE7AC7" w:rsidRDefault="00EE7AC7" w:rsidP="00EE7AC7"/>
    <w:bookmarkEnd w:id="123"/>
    <w:p w14:paraId="7586474A" w14:textId="6081B8D8" w:rsidR="00EE7AC7" w:rsidRPr="00EE7AC7" w:rsidRDefault="00EE7AC7" w:rsidP="00EE7AC7">
      <w:pPr>
        <w:pStyle w:val="BodyText"/>
      </w:pPr>
      <w:r>
        <w:t>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The acreages provided by FDACS are preliminary estimates of the maximum acreages and will be evaluated and refined over time. As presented here, these projects are based on planning-level information. Actual implementation would require funding as well as more detailed designs based on specific information, such as actual applicable acreages and willing landowners.</w:t>
      </w:r>
    </w:p>
    <w:p w14:paraId="17F3BD66" w14:textId="21D62331" w:rsidR="00C845A4" w:rsidRPr="00C845A4" w:rsidRDefault="00C845A4" w:rsidP="00C845A4">
      <w:pPr>
        <w:pStyle w:val="Heading2"/>
      </w:pPr>
      <w:bookmarkStart w:id="126" w:name="_Toc514677666"/>
      <w:r>
        <w:t>WWTF Management Strategies</w:t>
      </w:r>
      <w:bookmarkEnd w:id="126"/>
    </w:p>
    <w:p w14:paraId="2E2E1087" w14:textId="64429AD9" w:rsidR="00C845A4" w:rsidRDefault="00C845A4" w:rsidP="00C845A4">
      <w:pPr>
        <w:pStyle w:val="BodyText"/>
      </w:pPr>
      <w:r>
        <w:t xml:space="preserve">The role of </w:t>
      </w:r>
      <w:r w:rsidRPr="00FF56DF">
        <w:t xml:space="preserve">WWTFs </w:t>
      </w:r>
      <w:r>
        <w:t xml:space="preserve">is to </w:t>
      </w:r>
      <w:r w:rsidRPr="00FF56DF">
        <w:t xml:space="preserve">receive and treat domestic wastewater. </w:t>
      </w:r>
      <w:r w:rsidR="003A0CEB">
        <w:t>There are no WWTFs in the Jackson Blue BMAP area.</w:t>
      </w:r>
    </w:p>
    <w:p w14:paraId="597B5FC5" w14:textId="28EDDE65" w:rsidR="00C845A4" w:rsidRDefault="003A0CEB" w:rsidP="001451E2">
      <w:pPr>
        <w:pStyle w:val="Heading3"/>
      </w:pPr>
      <w:bookmarkStart w:id="127" w:name="_Ref488221585"/>
      <w:r>
        <w:t>W</w:t>
      </w:r>
      <w:r w:rsidR="00C845A4">
        <w:t>astewater Management Standards and Reuse Management</w:t>
      </w:r>
      <w:bookmarkEnd w:id="127"/>
    </w:p>
    <w:p w14:paraId="69F054E8" w14:textId="451D9A3A" w:rsidR="00C845A4" w:rsidRDefault="00C845A4" w:rsidP="00C845A4">
      <w:pPr>
        <w:pStyle w:val="BodyText"/>
      </w:pPr>
      <w:r>
        <w:t>The Florida Springs and Aquifer Protection Act prohibits n</w:t>
      </w:r>
      <w:r w:rsidRPr="008662AB">
        <w:t>ew domestic wastewater disposal facilities</w:t>
      </w:r>
      <w:r>
        <w:t xml:space="preserve"> in the PFA</w:t>
      </w:r>
      <w:r w:rsidRPr="008662AB">
        <w:t xml:space="preserve">, including </w:t>
      </w:r>
      <w:r>
        <w:t>RIBs</w:t>
      </w:r>
      <w:r w:rsidRPr="008662AB">
        <w:t xml:space="preserve">, with permitted capacities of 100,000 </w:t>
      </w:r>
      <w:r w:rsidR="00EE2AEF">
        <w:t>gpd</w:t>
      </w:r>
      <w:r w:rsidRPr="008662AB">
        <w:t xml:space="preserve"> or more, except for those facilities that </w:t>
      </w:r>
      <w:r w:rsidR="00BF0AAD">
        <w:t>provide</w:t>
      </w:r>
      <w:r w:rsidRPr="008662AB">
        <w:t xml:space="preserve"> </w:t>
      </w:r>
      <w:r w:rsidR="00815EF0">
        <w:t>AWT</w:t>
      </w:r>
      <w:r w:rsidRPr="00851EC7">
        <w:t xml:space="preserve"> </w:t>
      </w:r>
      <w:r w:rsidR="00BF0AAD">
        <w:t>that reduces total nitrogen in the effluent to 3 mg/L or lower,</w:t>
      </w:r>
      <w:r w:rsidRPr="008662AB">
        <w:t xml:space="preserve"> on an annual permitted basis.</w:t>
      </w:r>
    </w:p>
    <w:p w14:paraId="43F645A3" w14:textId="0DB62AED" w:rsidR="00C845A4" w:rsidRDefault="00C845A4" w:rsidP="00C845A4">
      <w:pPr>
        <w:pStyle w:val="BodyText"/>
      </w:pPr>
      <w:r>
        <w:t xml:space="preserve">To provide regulatory consistency in the BMAP area and </w:t>
      </w:r>
      <w:r w:rsidR="004E2310">
        <w:t xml:space="preserve">among other springs-related BMAPs in the state, </w:t>
      </w:r>
      <w:r>
        <w:t xml:space="preserve">DEP requires the nitrogen effluent limits listed below in any new </w:t>
      </w:r>
      <w:r w:rsidR="00C4794E">
        <w:t>wastewater</w:t>
      </w:r>
      <w:r>
        <w:t xml:space="preserve"> permit</w:t>
      </w:r>
      <w:r w:rsidR="00EF2AD5">
        <w:t xml:space="preserve"> issued to a facility that discharges within the BMAP area</w:t>
      </w:r>
      <w:r w:rsidR="00DB6DA9">
        <w:t>,</w:t>
      </w:r>
      <w:r>
        <w:t xml:space="preserve"> unless the utility/entity can demonstrate reasonable assurance that the reuse or land application of effluent would not cause or contribute to </w:t>
      </w:r>
      <w:r w:rsidR="009C66B9">
        <w:t>an exceed</w:t>
      </w:r>
      <w:r w:rsidR="00D91457">
        <w:t>a</w:t>
      </w:r>
      <w:r w:rsidR="009C66B9">
        <w:t>nce</w:t>
      </w:r>
      <w:r>
        <w:t xml:space="preserve"> of the nitrate concentrations established by the TMDLs. </w:t>
      </w:r>
      <w:bookmarkStart w:id="128" w:name="_Hlk496874622"/>
      <w:r w:rsidR="0070134A">
        <w:t xml:space="preserve">To demonstrate reasonable assurance, the utility/entity shall provide relevant water quality data, physical circumstances, or other site-specific credible information needed to show </w:t>
      </w:r>
      <w:r w:rsidR="009C66B9">
        <w:t xml:space="preserve">their facility would not cause </w:t>
      </w:r>
      <w:r w:rsidR="0070134A">
        <w:t xml:space="preserve">a nitrate concentration </w:t>
      </w:r>
      <w:r w:rsidR="009C66B9">
        <w:t>that would be</w:t>
      </w:r>
      <w:r w:rsidR="0070134A">
        <w:t xml:space="preserve"> greater than 0.35 mg/L at the spring vent. This demonstration may include factors such as dilution, site-specific geological conditions, research/studies, including dye tracer tests, and groundwater transport modeling</w:t>
      </w:r>
      <w:bookmarkEnd w:id="128"/>
      <w:r w:rsidR="0070134A">
        <w:t xml:space="preserve">. </w:t>
      </w:r>
      <w:r>
        <w:t>Should DEP concur with the reasonable assurance demonstration request, the TN effluent requirements established here may be modified for the applicant or waived.</w:t>
      </w:r>
    </w:p>
    <w:p w14:paraId="237D9E52" w14:textId="1D016963" w:rsidR="00C845A4" w:rsidRDefault="00DB6DA9" w:rsidP="00481F00">
      <w:pPr>
        <w:pStyle w:val="ListNumbered"/>
        <w:numPr>
          <w:ilvl w:val="0"/>
          <w:numId w:val="0"/>
        </w:numPr>
        <w:ind w:right="0"/>
      </w:pPr>
      <w:r>
        <w:t>The</w:t>
      </w:r>
      <w:r w:rsidR="00C845A4" w:rsidRPr="0047422A">
        <w:t xml:space="preserve"> </w:t>
      </w:r>
      <w:r w:rsidR="00481F00">
        <w:t xml:space="preserve">nitrogen </w:t>
      </w:r>
      <w:r w:rsidR="00C845A4" w:rsidRPr="0047422A">
        <w:t xml:space="preserve">effluent </w:t>
      </w:r>
      <w:r w:rsidR="00481F00">
        <w:t>limits</w:t>
      </w:r>
      <w:r w:rsidR="00C845A4" w:rsidRPr="0047422A">
        <w:t xml:space="preserve"> </w:t>
      </w:r>
      <w:r w:rsidR="005A0198">
        <w:t>listed</w:t>
      </w:r>
      <w:r w:rsidR="00C845A4" w:rsidRPr="0047422A">
        <w:t xml:space="preserve"> in </w:t>
      </w:r>
      <w:r w:rsidR="00F24DFC">
        <w:rPr>
          <w:b/>
        </w:rPr>
        <w:t xml:space="preserve">Table </w:t>
      </w:r>
      <w:r w:rsidR="00EF2AD5">
        <w:rPr>
          <w:b/>
        </w:rPr>
        <w:t>13</w:t>
      </w:r>
      <w:r w:rsidR="00F24DFC">
        <w:rPr>
          <w:b/>
        </w:rPr>
        <w:t xml:space="preserve"> </w:t>
      </w:r>
      <w:r>
        <w:t xml:space="preserve">will be applied </w:t>
      </w:r>
      <w:r w:rsidR="00C845A4" w:rsidRPr="0047422A">
        <w:t>as an annual</w:t>
      </w:r>
      <w:r w:rsidR="00481F00">
        <w:t xml:space="preserve"> </w:t>
      </w:r>
      <w:r w:rsidR="00C845A4" w:rsidRPr="0047422A">
        <w:t xml:space="preserve">average to all new WWTFs </w:t>
      </w:r>
      <w:r>
        <w:t>with</w:t>
      </w:r>
      <w:r w:rsidR="00C845A4" w:rsidRPr="0047422A">
        <w:t xml:space="preserve"> a </w:t>
      </w:r>
      <w:r w:rsidR="009C66B9">
        <w:t>DEP-</w:t>
      </w:r>
      <w:r w:rsidR="00C845A4" w:rsidRPr="0047422A">
        <w:t>permitted discharge.</w:t>
      </w:r>
      <w:r w:rsidR="0070134A">
        <w:t xml:space="preserve"> </w:t>
      </w:r>
      <w:r w:rsidR="00C845A4" w:rsidRPr="0047422A">
        <w:t xml:space="preserve">New effluent standards </w:t>
      </w:r>
      <w:r>
        <w:t>will</w:t>
      </w:r>
      <w:r w:rsidR="00C845A4" w:rsidRPr="0047422A">
        <w:t xml:space="preserve"> take effect at the time of permit </w:t>
      </w:r>
      <w:r w:rsidR="004E2310">
        <w:t>issuance</w:t>
      </w:r>
      <w:r w:rsidR="00C845A4" w:rsidRPr="0047422A">
        <w:t xml:space="preserve"> or no later than five years after BMAP adoption, whichever is sooner.</w:t>
      </w:r>
    </w:p>
    <w:p w14:paraId="61924491" w14:textId="5A34B542" w:rsidR="001B3EE4" w:rsidRPr="001B3EE4" w:rsidRDefault="008941E0" w:rsidP="008941E0">
      <w:pPr>
        <w:pStyle w:val="Caption"/>
      </w:pPr>
      <w:bookmarkStart w:id="129" w:name="_Toc514430963"/>
      <w:r>
        <w:t xml:space="preserve">Table </w:t>
      </w:r>
      <w:fldSimple w:instr=" SEQ Table \* ARABIC ">
        <w:r w:rsidR="002A2E30">
          <w:rPr>
            <w:noProof/>
          </w:rPr>
          <w:t>13</w:t>
        </w:r>
      </w:fldSimple>
      <w:r>
        <w:t xml:space="preserve">. </w:t>
      </w:r>
      <w:r w:rsidR="00C845A4">
        <w:t>Wastewater effluent standards for the BMAP area</w:t>
      </w:r>
      <w:bookmarkEnd w:id="129"/>
    </w:p>
    <w:tbl>
      <w:tblPr>
        <w:tblStyle w:val="TableGrid"/>
        <w:tblW w:w="0" w:type="auto"/>
        <w:jc w:val="center"/>
        <w:tblLook w:val="04A0" w:firstRow="1" w:lastRow="0" w:firstColumn="1" w:lastColumn="0" w:noHBand="0" w:noVBand="1"/>
      </w:tblPr>
      <w:tblGrid>
        <w:gridCol w:w="2736"/>
        <w:gridCol w:w="2736"/>
        <w:gridCol w:w="2736"/>
      </w:tblGrid>
      <w:tr w:rsidR="00C845A4" w:rsidRPr="00C845A4" w14:paraId="10656AD5" w14:textId="77777777" w:rsidTr="00B12741">
        <w:trPr>
          <w:tblHeader/>
          <w:jc w:val="center"/>
        </w:trPr>
        <w:tc>
          <w:tcPr>
            <w:tcW w:w="2736" w:type="dxa"/>
            <w:shd w:val="clear" w:color="auto" w:fill="DEEAF6" w:themeFill="accent1" w:themeFillTint="33"/>
            <w:vAlign w:val="bottom"/>
          </w:tcPr>
          <w:p w14:paraId="6AD52128" w14:textId="192751C1" w:rsidR="0021364C" w:rsidRDefault="0070134A" w:rsidP="00246BDF">
            <w:pPr>
              <w:jc w:val="center"/>
              <w:rPr>
                <w:rFonts w:ascii="Times New Roman" w:hAnsi="Times New Roman"/>
                <w:b/>
                <w:sz w:val="20"/>
              </w:rPr>
            </w:pPr>
            <w:r>
              <w:rPr>
                <w:rFonts w:ascii="Times New Roman" w:hAnsi="Times New Roman"/>
                <w:b/>
                <w:sz w:val="20"/>
              </w:rPr>
              <w:t xml:space="preserve">95% of the </w:t>
            </w:r>
            <w:r w:rsidR="00C845A4" w:rsidRPr="00C845A4">
              <w:rPr>
                <w:rFonts w:ascii="Times New Roman" w:hAnsi="Times New Roman"/>
                <w:b/>
                <w:sz w:val="20"/>
              </w:rPr>
              <w:t xml:space="preserve">Permitted Capacity </w:t>
            </w:r>
          </w:p>
          <w:p w14:paraId="4C6CD083" w14:textId="5F58C046" w:rsidR="00C845A4" w:rsidRPr="00C845A4" w:rsidRDefault="00C845A4" w:rsidP="00246BDF">
            <w:pPr>
              <w:jc w:val="center"/>
              <w:rPr>
                <w:rFonts w:ascii="Times New Roman" w:hAnsi="Times New Roman"/>
                <w:b/>
                <w:sz w:val="20"/>
              </w:rPr>
            </w:pPr>
            <w:r w:rsidRPr="00C845A4">
              <w:rPr>
                <w:rFonts w:ascii="Times New Roman" w:hAnsi="Times New Roman"/>
                <w:b/>
                <w:sz w:val="20"/>
              </w:rPr>
              <w:t>(gpd)</w:t>
            </w:r>
          </w:p>
        </w:tc>
        <w:tc>
          <w:tcPr>
            <w:tcW w:w="2736" w:type="dxa"/>
            <w:shd w:val="clear" w:color="auto" w:fill="DEEAF6" w:themeFill="accent1" w:themeFillTint="33"/>
            <w:vAlign w:val="bottom"/>
          </w:tcPr>
          <w:p w14:paraId="1BC9FBED" w14:textId="331A8AF5" w:rsidR="0021364C" w:rsidRDefault="00EF2AD5" w:rsidP="00246BDF">
            <w:pPr>
              <w:jc w:val="center"/>
              <w:rPr>
                <w:rFonts w:ascii="Times New Roman" w:hAnsi="Times New Roman"/>
                <w:b/>
                <w:sz w:val="20"/>
              </w:rPr>
            </w:pPr>
            <w:r>
              <w:rPr>
                <w:rFonts w:ascii="Times New Roman" w:hAnsi="Times New Roman"/>
                <w:b/>
                <w:sz w:val="20"/>
              </w:rPr>
              <w:t>TN</w:t>
            </w:r>
            <w:r w:rsidR="00C845A4" w:rsidRPr="00C845A4">
              <w:rPr>
                <w:rFonts w:ascii="Times New Roman" w:hAnsi="Times New Roman"/>
                <w:b/>
                <w:sz w:val="20"/>
              </w:rPr>
              <w:t xml:space="preserve"> Concentration Limits for </w:t>
            </w:r>
            <w:r w:rsidR="00EE2AEF">
              <w:rPr>
                <w:rFonts w:ascii="Times New Roman" w:hAnsi="Times New Roman"/>
                <w:b/>
                <w:sz w:val="20"/>
              </w:rPr>
              <w:t>RIBs</w:t>
            </w:r>
            <w:r w:rsidR="00C845A4" w:rsidRPr="00C845A4">
              <w:rPr>
                <w:rFonts w:ascii="Times New Roman" w:hAnsi="Times New Roman"/>
                <w:b/>
                <w:sz w:val="20"/>
              </w:rPr>
              <w:t xml:space="preserve"> and Absorption Fields </w:t>
            </w:r>
          </w:p>
          <w:p w14:paraId="0587FEB2" w14:textId="413B521D" w:rsidR="00C845A4" w:rsidRPr="00C845A4" w:rsidRDefault="00C845A4" w:rsidP="00246BDF">
            <w:pPr>
              <w:jc w:val="center"/>
              <w:rPr>
                <w:rFonts w:ascii="Times New Roman" w:hAnsi="Times New Roman"/>
                <w:b/>
                <w:sz w:val="20"/>
              </w:rPr>
            </w:pPr>
            <w:r w:rsidRPr="00C845A4">
              <w:rPr>
                <w:rFonts w:ascii="Times New Roman" w:hAnsi="Times New Roman"/>
                <w:b/>
                <w:sz w:val="20"/>
              </w:rPr>
              <w:t>(mg/L)</w:t>
            </w:r>
          </w:p>
        </w:tc>
        <w:tc>
          <w:tcPr>
            <w:tcW w:w="2736" w:type="dxa"/>
            <w:shd w:val="clear" w:color="auto" w:fill="DEEAF6" w:themeFill="accent1" w:themeFillTint="33"/>
            <w:vAlign w:val="bottom"/>
          </w:tcPr>
          <w:p w14:paraId="40D8E1DE" w14:textId="1C5194A6" w:rsidR="0021364C" w:rsidRDefault="00EF2AD5" w:rsidP="00246BDF">
            <w:pPr>
              <w:jc w:val="center"/>
              <w:rPr>
                <w:rFonts w:ascii="Times New Roman" w:hAnsi="Times New Roman"/>
                <w:b/>
                <w:sz w:val="20"/>
              </w:rPr>
            </w:pPr>
            <w:r>
              <w:rPr>
                <w:rFonts w:ascii="Times New Roman" w:hAnsi="Times New Roman"/>
                <w:b/>
                <w:sz w:val="20"/>
              </w:rPr>
              <w:t>TN</w:t>
            </w:r>
            <w:r w:rsidR="00C845A4" w:rsidRPr="00C845A4">
              <w:rPr>
                <w:rFonts w:ascii="Times New Roman" w:hAnsi="Times New Roman"/>
                <w:b/>
                <w:sz w:val="20"/>
              </w:rPr>
              <w:t xml:space="preserve"> Concentration Limits for All Other Land Disposal Methods</w:t>
            </w:r>
            <w:r w:rsidR="009C66B9">
              <w:rPr>
                <w:rFonts w:ascii="Times New Roman" w:hAnsi="Times New Roman"/>
                <w:b/>
                <w:sz w:val="20"/>
              </w:rPr>
              <w:t>, Including Reuse</w:t>
            </w:r>
            <w:r w:rsidR="00C845A4" w:rsidRPr="00C845A4">
              <w:rPr>
                <w:rFonts w:ascii="Times New Roman" w:hAnsi="Times New Roman"/>
                <w:b/>
                <w:sz w:val="20"/>
              </w:rPr>
              <w:t xml:space="preserve"> </w:t>
            </w:r>
          </w:p>
          <w:p w14:paraId="4D42A29E" w14:textId="3A1E8B75" w:rsidR="00C845A4" w:rsidRPr="00C845A4" w:rsidRDefault="00C845A4" w:rsidP="00246BDF">
            <w:pPr>
              <w:jc w:val="center"/>
              <w:rPr>
                <w:rFonts w:ascii="Times New Roman" w:hAnsi="Times New Roman"/>
                <w:b/>
                <w:sz w:val="20"/>
              </w:rPr>
            </w:pPr>
            <w:r w:rsidRPr="00C845A4">
              <w:rPr>
                <w:rFonts w:ascii="Times New Roman" w:hAnsi="Times New Roman"/>
                <w:b/>
                <w:sz w:val="20"/>
              </w:rPr>
              <w:t>(mg/L)</w:t>
            </w:r>
          </w:p>
        </w:tc>
      </w:tr>
      <w:tr w:rsidR="00C845A4" w:rsidRPr="00C845A4" w14:paraId="1BC3EBBC" w14:textId="77777777" w:rsidTr="00B12741">
        <w:trPr>
          <w:trHeight w:val="288"/>
          <w:jc w:val="center"/>
        </w:trPr>
        <w:tc>
          <w:tcPr>
            <w:tcW w:w="2736" w:type="dxa"/>
            <w:vAlign w:val="center"/>
          </w:tcPr>
          <w:p w14:paraId="1DC02248" w14:textId="63816CAD" w:rsidR="00C845A4" w:rsidRPr="00C12FDE" w:rsidRDefault="00C12FDE">
            <w:pPr>
              <w:jc w:val="center"/>
              <w:rPr>
                <w:rFonts w:ascii="Times New Roman" w:hAnsi="Times New Roman"/>
                <w:b/>
                <w:sz w:val="20"/>
              </w:rPr>
            </w:pPr>
            <w:r w:rsidRPr="00C12FDE">
              <w:rPr>
                <w:rFonts w:ascii="Times New Roman" w:hAnsi="Times New Roman"/>
                <w:b/>
                <w:sz w:val="20"/>
              </w:rPr>
              <w:t>Greater t</w:t>
            </w:r>
            <w:r w:rsidR="00C845A4" w:rsidRPr="00C12FDE">
              <w:rPr>
                <w:rFonts w:ascii="Times New Roman" w:hAnsi="Times New Roman"/>
                <w:b/>
                <w:sz w:val="20"/>
              </w:rPr>
              <w:t>han 100,000</w:t>
            </w:r>
          </w:p>
        </w:tc>
        <w:tc>
          <w:tcPr>
            <w:tcW w:w="2736" w:type="dxa"/>
            <w:vAlign w:val="center"/>
          </w:tcPr>
          <w:p w14:paraId="6EEFE0C5"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c>
          <w:tcPr>
            <w:tcW w:w="2736" w:type="dxa"/>
            <w:vAlign w:val="center"/>
          </w:tcPr>
          <w:p w14:paraId="038EE3C0"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r>
      <w:tr w:rsidR="00C845A4" w:rsidRPr="00C845A4" w14:paraId="278049E9" w14:textId="77777777" w:rsidTr="00B12741">
        <w:trPr>
          <w:trHeight w:val="288"/>
          <w:jc w:val="center"/>
        </w:trPr>
        <w:tc>
          <w:tcPr>
            <w:tcW w:w="2736" w:type="dxa"/>
            <w:vAlign w:val="center"/>
          </w:tcPr>
          <w:p w14:paraId="46373A80" w14:textId="77777777" w:rsidR="00C845A4" w:rsidRPr="00C12FDE" w:rsidRDefault="00C845A4">
            <w:pPr>
              <w:jc w:val="center"/>
              <w:rPr>
                <w:rFonts w:ascii="Times New Roman" w:hAnsi="Times New Roman"/>
                <w:b/>
                <w:sz w:val="20"/>
              </w:rPr>
            </w:pPr>
            <w:r w:rsidRPr="00C12FDE">
              <w:rPr>
                <w:rFonts w:ascii="Times New Roman" w:hAnsi="Times New Roman"/>
                <w:b/>
                <w:sz w:val="20"/>
              </w:rPr>
              <w:t>20,000 to 100,000</w:t>
            </w:r>
          </w:p>
        </w:tc>
        <w:tc>
          <w:tcPr>
            <w:tcW w:w="2736" w:type="dxa"/>
            <w:vAlign w:val="center"/>
          </w:tcPr>
          <w:p w14:paraId="4FCC2AF9" w14:textId="77777777" w:rsidR="00C845A4" w:rsidRPr="00C845A4" w:rsidRDefault="00C845A4">
            <w:pPr>
              <w:jc w:val="center"/>
              <w:rPr>
                <w:rFonts w:ascii="Times New Roman" w:hAnsi="Times New Roman"/>
                <w:sz w:val="20"/>
              </w:rPr>
            </w:pPr>
            <w:r w:rsidRPr="00C845A4">
              <w:rPr>
                <w:rFonts w:ascii="Times New Roman" w:hAnsi="Times New Roman"/>
                <w:sz w:val="20"/>
              </w:rPr>
              <w:t>3</w:t>
            </w:r>
          </w:p>
        </w:tc>
        <w:tc>
          <w:tcPr>
            <w:tcW w:w="2736" w:type="dxa"/>
            <w:vAlign w:val="center"/>
          </w:tcPr>
          <w:p w14:paraId="66997091"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r>
      <w:tr w:rsidR="00C845A4" w:rsidRPr="00C845A4" w14:paraId="0B5CCCE8" w14:textId="77777777" w:rsidTr="00B12741">
        <w:trPr>
          <w:trHeight w:val="288"/>
          <w:jc w:val="center"/>
        </w:trPr>
        <w:tc>
          <w:tcPr>
            <w:tcW w:w="2736" w:type="dxa"/>
            <w:vAlign w:val="center"/>
          </w:tcPr>
          <w:p w14:paraId="7FA0444F" w14:textId="4BE1B38D" w:rsidR="00C845A4" w:rsidRPr="00C12FDE" w:rsidRDefault="00C12FDE">
            <w:pPr>
              <w:jc w:val="center"/>
              <w:rPr>
                <w:rFonts w:ascii="Times New Roman" w:hAnsi="Times New Roman"/>
                <w:b/>
                <w:sz w:val="20"/>
              </w:rPr>
            </w:pPr>
            <w:r w:rsidRPr="00C12FDE">
              <w:rPr>
                <w:rFonts w:ascii="Times New Roman" w:hAnsi="Times New Roman"/>
                <w:b/>
                <w:sz w:val="20"/>
              </w:rPr>
              <w:t>Less t</w:t>
            </w:r>
            <w:r w:rsidR="00C845A4" w:rsidRPr="00C12FDE">
              <w:rPr>
                <w:rFonts w:ascii="Times New Roman" w:hAnsi="Times New Roman"/>
                <w:b/>
                <w:sz w:val="20"/>
              </w:rPr>
              <w:t>han 20,000</w:t>
            </w:r>
          </w:p>
        </w:tc>
        <w:tc>
          <w:tcPr>
            <w:tcW w:w="2736" w:type="dxa"/>
            <w:vAlign w:val="center"/>
          </w:tcPr>
          <w:p w14:paraId="426994A4"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c>
          <w:tcPr>
            <w:tcW w:w="2736" w:type="dxa"/>
            <w:vAlign w:val="center"/>
          </w:tcPr>
          <w:p w14:paraId="677840DA" w14:textId="77777777" w:rsidR="00C845A4" w:rsidRPr="00C845A4" w:rsidRDefault="00C845A4">
            <w:pPr>
              <w:jc w:val="center"/>
              <w:rPr>
                <w:rFonts w:ascii="Times New Roman" w:hAnsi="Times New Roman"/>
                <w:sz w:val="20"/>
              </w:rPr>
            </w:pPr>
            <w:r w:rsidRPr="00C845A4">
              <w:rPr>
                <w:rFonts w:ascii="Times New Roman" w:hAnsi="Times New Roman"/>
                <w:sz w:val="20"/>
              </w:rPr>
              <w:t>6</w:t>
            </w:r>
          </w:p>
        </w:tc>
      </w:tr>
    </w:tbl>
    <w:p w14:paraId="592B9510" w14:textId="3D9D9BE6" w:rsidR="0021364C" w:rsidRPr="00C845A4" w:rsidRDefault="0021364C" w:rsidP="00B12741">
      <w:pPr>
        <w:pStyle w:val="Bodytextreduced"/>
      </w:pPr>
    </w:p>
    <w:p w14:paraId="587FA46C" w14:textId="04E81095" w:rsidR="00C14EEC" w:rsidRDefault="00C14EEC" w:rsidP="00C14EEC">
      <w:pPr>
        <w:pStyle w:val="BodyText"/>
        <w:spacing w:before="120"/>
      </w:pPr>
      <w:r>
        <w:t xml:space="preserve">Additionally, new wastewater permits in the BMAP </w:t>
      </w:r>
      <w:r w:rsidR="00EE2AEF">
        <w:t xml:space="preserve">area </w:t>
      </w:r>
      <w:r>
        <w:t xml:space="preserve">must require at least quarterly sampling of the effluent discharge for TN and report these sampling results in the discharge </w:t>
      </w:r>
      <w:r w:rsidR="00C4794E">
        <w:t>monitoring</w:t>
      </w:r>
      <w:r>
        <w:t xml:space="preserve"> reports (DMRs) submitted to DEP.</w:t>
      </w:r>
    </w:p>
    <w:p w14:paraId="33D39D4D" w14:textId="151B7D02" w:rsidR="00C14EEC" w:rsidRDefault="002F1B44" w:rsidP="00C14EEC">
      <w:pPr>
        <w:pStyle w:val="BodyText"/>
      </w:pPr>
      <w:bookmarkStart w:id="130" w:name="_Hlk502319319"/>
      <w:r>
        <w:t xml:space="preserve">DEP encourages the reuse of treated wastewater for irrigation as a water conservation measure. </w:t>
      </w:r>
      <w:r w:rsidR="00C14EEC">
        <w:t xml:space="preserve">The expansion of reuse water </w:t>
      </w:r>
      <w:r>
        <w:t>for irrigation can</w:t>
      </w:r>
      <w:r w:rsidR="00C14EEC">
        <w:t xml:space="preserve"> </w:t>
      </w:r>
      <w:r w:rsidR="00E417B7">
        <w:t>reduce</w:t>
      </w:r>
      <w:r w:rsidR="00C14EEC">
        <w:t xml:space="preserve"> reliance on the Floridan </w:t>
      </w:r>
      <w:r w:rsidR="00EE2AEF">
        <w:t>a</w:t>
      </w:r>
      <w:r w:rsidR="00C14EEC">
        <w:t xml:space="preserve">quifer for water supply. The nitrogen load to groundwater from reuse water is expected to be reduced through these </w:t>
      </w:r>
      <w:r w:rsidR="00EE2AEF">
        <w:t>WWTF</w:t>
      </w:r>
      <w:r w:rsidR="00C14EEC">
        <w:t xml:space="preserve"> policies, as improvements in reuse </w:t>
      </w:r>
      <w:r>
        <w:t xml:space="preserve">water </w:t>
      </w:r>
      <w:r w:rsidR="00C14EEC">
        <w:t xml:space="preserve">quality will </w:t>
      </w:r>
      <w:r w:rsidR="00E417B7">
        <w:t>both reduce</w:t>
      </w:r>
      <w:r w:rsidR="00C14EEC">
        <w:t xml:space="preserve"> load</w:t>
      </w:r>
      <w:r w:rsidR="00E417B7">
        <w:t>s</w:t>
      </w:r>
      <w:r w:rsidR="00C14EEC">
        <w:t xml:space="preserve"> from this source </w:t>
      </w:r>
      <w:r w:rsidR="00E417B7">
        <w:t>and</w:t>
      </w:r>
      <w:r w:rsidR="00C14EEC">
        <w:t xml:space="preserve"> limit future increases in loading from reuse because of high</w:t>
      </w:r>
      <w:r>
        <w:t>er</w:t>
      </w:r>
      <w:r w:rsidR="00C14EEC">
        <w:t xml:space="preserve"> treatment levels.</w:t>
      </w:r>
    </w:p>
    <w:p w14:paraId="7C5C4F73" w14:textId="6BCFA1C4" w:rsidR="00C14EEC" w:rsidRPr="00C14EEC" w:rsidRDefault="00C14EEC" w:rsidP="00C14EEC">
      <w:pPr>
        <w:pStyle w:val="Heading2"/>
      </w:pPr>
      <w:bookmarkStart w:id="131" w:name="_Ref488221078"/>
      <w:bookmarkStart w:id="132" w:name="_Toc514677667"/>
      <w:bookmarkEnd w:id="130"/>
      <w:r>
        <w:t>Atmospheric Deposition Management Strategies</w:t>
      </w:r>
      <w:bookmarkEnd w:id="131"/>
      <w:bookmarkEnd w:id="132"/>
    </w:p>
    <w:p w14:paraId="5B637134" w14:textId="44FC6E97" w:rsidR="00C14EEC" w:rsidRPr="00C14EEC" w:rsidRDefault="00C14EEC" w:rsidP="001451E2">
      <w:pPr>
        <w:pStyle w:val="Heading3"/>
      </w:pPr>
      <w:r>
        <w:t>Summary of Loading</w:t>
      </w:r>
    </w:p>
    <w:p w14:paraId="213D1753" w14:textId="2F8406C5" w:rsidR="00C14EEC" w:rsidRDefault="00EF2AD5" w:rsidP="00C14EEC">
      <w:pPr>
        <w:pStyle w:val="BodyText"/>
      </w:pPr>
      <w:r>
        <w:t>Atmospheric deposition</w:t>
      </w:r>
      <w:r w:rsidRPr="00E16CBB">
        <w:t xml:space="preserve"> is largely a diffuse, albeit continual, source of nitrogen. Nitrogen species and other chemical constituents are measured in wet and dry deposition at discrete locations around the U.S.</w:t>
      </w:r>
      <w:r>
        <w:t xml:space="preserve"> </w:t>
      </w:r>
      <w:r w:rsidR="00E17260">
        <w:t xml:space="preserve">In 2014, </w:t>
      </w:r>
      <w:r w:rsidR="00C14EEC" w:rsidRPr="00E16CBB">
        <w:t xml:space="preserve">Schwede and Lear </w:t>
      </w:r>
      <w:r w:rsidR="00E17260">
        <w:t>published</w:t>
      </w:r>
      <w:r w:rsidR="00E17260" w:rsidRPr="00E16CBB">
        <w:t xml:space="preserve"> </w:t>
      </w:r>
      <w:r w:rsidR="00C14EEC" w:rsidRPr="00E16CBB">
        <w:t xml:space="preserve">a hybrid model for estimating the total </w:t>
      </w:r>
      <w:r w:rsidR="00C14EEC">
        <w:t>atmospheric deposition</w:t>
      </w:r>
      <w:r w:rsidR="00C14EEC" w:rsidRPr="00E16CBB">
        <w:t xml:space="preserve"> of nitrogen and sulfur for the entire </w:t>
      </w:r>
      <w:r w:rsidR="00C14EEC">
        <w:t>U.S.</w:t>
      </w:r>
      <w:r w:rsidR="00C14EEC" w:rsidRPr="00E16CBB">
        <w:t xml:space="preserve">, referred to as </w:t>
      </w:r>
      <w:r w:rsidR="00C14EEC">
        <w:t>"</w:t>
      </w:r>
      <w:r w:rsidR="00C14EEC" w:rsidRPr="00E16CBB">
        <w:t>TDEP.</w:t>
      </w:r>
      <w:r w:rsidR="00C14EEC">
        <w:t>"</w:t>
      </w:r>
      <w:r w:rsidR="00C14EEC" w:rsidRPr="00E16CBB">
        <w:t xml:space="preserve"> Deposition data from several monitoring networks—including </w:t>
      </w:r>
      <w:r w:rsidRPr="00E16CBB">
        <w:t xml:space="preserve">the Clean Air Status and Trends Network </w:t>
      </w:r>
      <w:r>
        <w:t>(</w:t>
      </w:r>
      <w:r w:rsidR="00C14EEC" w:rsidRPr="00E16CBB">
        <w:t>CASTNET</w:t>
      </w:r>
      <w:r>
        <w:t>)</w:t>
      </w:r>
      <w:r w:rsidR="00C14EEC" w:rsidRPr="00E16CBB">
        <w:t xml:space="preserve">, the </w:t>
      </w:r>
      <w:r w:rsidRPr="00E16CBB">
        <w:t>National Atmospheric Deposition Program (</w:t>
      </w:r>
      <w:r w:rsidR="00C14EEC" w:rsidRPr="00E16CBB">
        <w:t>NADP</w:t>
      </w:r>
      <w:r>
        <w:t>)</w:t>
      </w:r>
      <w:r w:rsidR="00C14EEC" w:rsidRPr="00E16CBB">
        <w:t xml:space="preserve"> Ammonia Monitoring Network, the Southeastern Aerosol Research and Characterization Network, and modeled data from the Community Multi</w:t>
      </w:r>
      <w:r w:rsidR="005A0198">
        <w:t>s</w:t>
      </w:r>
      <w:r w:rsidR="00C14EEC" w:rsidRPr="00E16CBB">
        <w:t xml:space="preserve">cale Air Quality (CMAQ) Modeling System—are combined in a multistep process with </w:t>
      </w:r>
      <w:r w:rsidRPr="00E16CBB">
        <w:t>National Trends Network (</w:t>
      </w:r>
      <w:r w:rsidR="00C14EEC" w:rsidRPr="00E16CBB">
        <w:t>NTN</w:t>
      </w:r>
      <w:r>
        <w:t>)</w:t>
      </w:r>
      <w:r w:rsidR="00C14EEC" w:rsidRPr="00E16CBB">
        <w:t xml:space="preserve"> wet deposition values to model total deposition.</w:t>
      </w:r>
      <w:r w:rsidR="00C14EEC">
        <w:t xml:space="preserve"> </w:t>
      </w:r>
      <w:r w:rsidR="00C14EEC" w:rsidRPr="00E16CBB">
        <w:t>The TDEP model run used for the NSILT include</w:t>
      </w:r>
      <w:r w:rsidR="00C14EEC">
        <w:t>d</w:t>
      </w:r>
      <w:r w:rsidR="00C14EEC" w:rsidRPr="00E16CBB">
        <w:t xml:space="preserve"> data from 2011 to 2013.</w:t>
      </w:r>
    </w:p>
    <w:p w14:paraId="6C511D80" w14:textId="325663AA" w:rsidR="00C14EEC" w:rsidRPr="00C14EEC" w:rsidRDefault="00C14EEC" w:rsidP="001451E2">
      <w:pPr>
        <w:pStyle w:val="Heading3"/>
      </w:pPr>
      <w:r>
        <w:t>Description of Approach</w:t>
      </w:r>
    </w:p>
    <w:p w14:paraId="26E29113" w14:textId="77777777" w:rsidR="00EF2AD5" w:rsidRPr="007D52BA" w:rsidRDefault="00EF2AD5" w:rsidP="00BE5A45">
      <w:pPr>
        <w:pStyle w:val="BodyText"/>
      </w:pPr>
      <w:r>
        <w:t>Atmospheric sources of nitrogen are local, national, and international. Atmospheric sources are generally of low nitrogen concentration compared with other sources and are further diminished through additional biological and chemical processes before they reach groundwater. Atmospheric deposition sources and trends will be re-evaluated periodically.</w:t>
      </w:r>
    </w:p>
    <w:p w14:paraId="42AE2AA6" w14:textId="605E0D2A" w:rsidR="00C14EEC" w:rsidRPr="00C14EEC" w:rsidRDefault="00C14EEC" w:rsidP="00C14EEC">
      <w:pPr>
        <w:pStyle w:val="Heading2"/>
      </w:pPr>
      <w:bookmarkStart w:id="133" w:name="_Toc514677668"/>
      <w:r>
        <w:t>Future Growth Management Strategies</w:t>
      </w:r>
      <w:bookmarkEnd w:id="133"/>
    </w:p>
    <w:p w14:paraId="3C2CDDFA" w14:textId="4D79B634" w:rsidR="0078497D" w:rsidRDefault="00D93D34" w:rsidP="00C14EEC">
      <w:pPr>
        <w:pStyle w:val="BodyText"/>
      </w:pPr>
      <w:r>
        <w:t>L</w:t>
      </w:r>
      <w:r w:rsidR="00C14EEC" w:rsidRPr="00EC63E3">
        <w:t xml:space="preserve">ocal land development regulations, comprehensive plans, </w:t>
      </w:r>
      <w:r w:rsidR="00C14EEC">
        <w:t>ordinances</w:t>
      </w:r>
      <w:r w:rsidR="00C14EEC" w:rsidRPr="00EC63E3">
        <w:t xml:space="preserve">, incentives, </w:t>
      </w:r>
      <w:r w:rsidR="00DD7AB9" w:rsidRPr="00EC63E3">
        <w:t>BMPs, environmental</w:t>
      </w:r>
      <w:r w:rsidR="00C14EEC" w:rsidRPr="00EC63E3">
        <w:t xml:space="preserve"> </w:t>
      </w:r>
      <w:r w:rsidR="00C14EEC">
        <w:t>r</w:t>
      </w:r>
      <w:r w:rsidR="00C14EEC" w:rsidRPr="00EC63E3">
        <w:t xml:space="preserve">esource </w:t>
      </w:r>
      <w:r w:rsidR="00C14EEC">
        <w:t>p</w:t>
      </w:r>
      <w:r w:rsidR="00C14EEC" w:rsidRPr="00EC63E3">
        <w:t>ermit</w:t>
      </w:r>
      <w:r w:rsidR="00B12741">
        <w:t xml:space="preserve"> </w:t>
      </w:r>
      <w:r w:rsidR="00C14EEC" w:rsidRPr="00EC63E3">
        <w:t>requirements</w:t>
      </w:r>
      <w:r w:rsidR="00CC5E4B">
        <w:t>, and consumptive use permit limits</w:t>
      </w:r>
      <w:r w:rsidR="00C14EEC" w:rsidRPr="00EC63E3">
        <w:t xml:space="preserve"> provide mechanisms for protecting water resources and reducing the impact of new development and other land use changes as they occur. They are the primary mechanisms available to address additional nitrogen loadings from urban and agricultural growth. </w:t>
      </w:r>
      <w:r w:rsidR="00C14EEC" w:rsidRPr="001F7BBD">
        <w:t>Future agricultural operations will be subject to the same requirements as existing operations regard</w:t>
      </w:r>
      <w:r w:rsidR="0078497D">
        <w:t>ing</w:t>
      </w:r>
      <w:r w:rsidR="00C14EEC" w:rsidRPr="001F7BBD">
        <w:t xml:space="preserve"> the implementation of FDACS-adopted BMPs</w:t>
      </w:r>
      <w:r w:rsidR="00CC5E4B">
        <w:t xml:space="preserve"> and potentially other measures</w:t>
      </w:r>
      <w:r w:rsidR="00C14EEC">
        <w:t xml:space="preserve"> (</w:t>
      </w:r>
      <w:r w:rsidR="0074767C" w:rsidRPr="0074767C">
        <w:rPr>
          <w:b/>
        </w:rPr>
        <w:t>Section</w:t>
      </w:r>
      <w:r w:rsidR="00F24DFC">
        <w:rPr>
          <w:b/>
        </w:rPr>
        <w:t xml:space="preserve"> 2.6</w:t>
      </w:r>
      <w:r w:rsidR="0074767C" w:rsidRPr="0074767C">
        <w:t>)</w:t>
      </w:r>
      <w:r w:rsidR="00C14EEC" w:rsidRPr="0074767C">
        <w:t>.</w:t>
      </w:r>
    </w:p>
    <w:p w14:paraId="600FCB87" w14:textId="0DEFE150" w:rsidR="00D36E6A" w:rsidRDefault="00874F87" w:rsidP="00D36E6A">
      <w:pPr>
        <w:pStyle w:val="BodyText"/>
      </w:pPr>
      <w:r>
        <w:t>T</w:t>
      </w:r>
      <w:r w:rsidR="00D71BED">
        <w:t xml:space="preserve">he </w:t>
      </w:r>
      <w:r w:rsidR="00C1535A">
        <w:t xml:space="preserve">associated </w:t>
      </w:r>
      <w:r w:rsidR="00D71BED">
        <w:t>increased load</w:t>
      </w:r>
      <w:r w:rsidR="00CC5E4B">
        <w:t xml:space="preserve"> from fertilizer</w:t>
      </w:r>
      <w:r w:rsidR="00D71BED">
        <w:t xml:space="preserve"> to groundwater </w:t>
      </w:r>
      <w:r w:rsidR="00CC5E4B">
        <w:t>must also</w:t>
      </w:r>
      <w:r w:rsidR="00D71BED">
        <w:t xml:space="preserve"> be addressed in addition to the current load</w:t>
      </w:r>
      <w:r w:rsidR="00CC5E4B">
        <w:t>s</w:t>
      </w:r>
      <w:r w:rsidR="00D71BED">
        <w:t xml:space="preserve">. </w:t>
      </w:r>
      <w:r w:rsidR="00C14EEC">
        <w:t>Future development must connect to central sewer, if available</w:t>
      </w:r>
      <w:r w:rsidR="00EF2AD5">
        <w:t>.</w:t>
      </w:r>
      <w:r w:rsidR="00C14EEC">
        <w:t xml:space="preserve"> </w:t>
      </w:r>
      <w:r w:rsidR="00CC5E4B">
        <w:t xml:space="preserve">or include nitrogen-reducing </w:t>
      </w:r>
      <w:r w:rsidR="00C14EEC">
        <w:t>OSTDS</w:t>
      </w:r>
      <w:r w:rsidR="00C1535A">
        <w:t>,</w:t>
      </w:r>
      <w:r w:rsidR="00C14EEC">
        <w:t xml:space="preserve"> as described in </w:t>
      </w:r>
      <w:r w:rsidR="00C14EEC" w:rsidRPr="00EE2AEF">
        <w:rPr>
          <w:b/>
        </w:rPr>
        <w:t>Appendix D</w:t>
      </w:r>
      <w:r w:rsidR="00C14EEC" w:rsidRPr="00EE2AEF">
        <w:t>.</w:t>
      </w:r>
      <w:r w:rsidR="004C547B">
        <w:t xml:space="preserve"> </w:t>
      </w:r>
      <w:r w:rsidR="00D36E6A">
        <w:rPr>
          <w:iCs/>
        </w:rPr>
        <w:t xml:space="preserve">This BMAP recognizes the local protections described in </w:t>
      </w:r>
      <w:r w:rsidR="008E533E">
        <w:rPr>
          <w:b/>
          <w:iCs/>
        </w:rPr>
        <w:t>Appendix G</w:t>
      </w:r>
      <w:r w:rsidR="00D36E6A">
        <w:rPr>
          <w:b/>
          <w:iCs/>
        </w:rPr>
        <w:t xml:space="preserve"> </w:t>
      </w:r>
      <w:r w:rsidR="00D36E6A">
        <w:rPr>
          <w:iCs/>
        </w:rPr>
        <w:t xml:space="preserve">as important components of the BMAP and encourages local governments to further strengthen local watershed protection frameworks. </w:t>
      </w:r>
    </w:p>
    <w:p w14:paraId="14AD3F10" w14:textId="78D7262D" w:rsidR="00C14EEC" w:rsidRPr="00C14EEC" w:rsidRDefault="00C14EEC" w:rsidP="00C14EEC">
      <w:pPr>
        <w:pStyle w:val="Heading2"/>
      </w:pPr>
      <w:bookmarkStart w:id="134" w:name="_Toc514677669"/>
      <w:r w:rsidRPr="00EC63E3">
        <w:t xml:space="preserve">Protection of Surface </w:t>
      </w:r>
      <w:r>
        <w:t>Water and Groundw</w:t>
      </w:r>
      <w:r w:rsidRPr="00EC63E3">
        <w:t>ater Resources through Land Conservation</w:t>
      </w:r>
      <w:bookmarkEnd w:id="134"/>
    </w:p>
    <w:p w14:paraId="2B27989C" w14:textId="3115529F" w:rsidR="002B4C7D" w:rsidRDefault="00C14EEC" w:rsidP="002B4C7D">
      <w:pPr>
        <w:pStyle w:val="BodyText"/>
      </w:pPr>
      <w:r w:rsidRPr="00EC63E3">
        <w:t xml:space="preserve">Maintaining land at lower intensity uses through land purchases or easements for conservation and recreational use is one strategy </w:t>
      </w:r>
      <w:r w:rsidR="00CC5E4B">
        <w:t>that can help reduce</w:t>
      </w:r>
      <w:r w:rsidRPr="00EC63E3">
        <w:t xml:space="preserve"> water quality impacts </w:t>
      </w:r>
      <w:r>
        <w:t>in</w:t>
      </w:r>
      <w:r w:rsidRPr="00EC63E3">
        <w:t xml:space="preserve"> </w:t>
      </w:r>
      <w:r>
        <w:t xml:space="preserve">the </w:t>
      </w:r>
      <w:r w:rsidR="00C73921">
        <w:t>Jackson Blue Spring</w:t>
      </w:r>
      <w:r>
        <w:t xml:space="preserve"> Basin.</w:t>
      </w:r>
      <w:r w:rsidRPr="00EC63E3">
        <w:t xml:space="preserve"> </w:t>
      </w:r>
      <w:r w:rsidR="00F24DFC">
        <w:rPr>
          <w:b/>
        </w:rPr>
        <w:t xml:space="preserve">Table </w:t>
      </w:r>
      <w:r w:rsidR="00EF2AD5">
        <w:rPr>
          <w:b/>
        </w:rPr>
        <w:t>14</w:t>
      </w:r>
      <w:r w:rsidR="00F24DFC">
        <w:rPr>
          <w:b/>
        </w:rPr>
        <w:t xml:space="preserve"> </w:t>
      </w:r>
      <w:r w:rsidR="002B4C7D">
        <w:t>identifies the completed and underway land conservation purchases in the BMAP area.</w:t>
      </w:r>
    </w:p>
    <w:p w14:paraId="7056B12A" w14:textId="0640DDB9" w:rsidR="00C14EEC" w:rsidRDefault="008941E0" w:rsidP="008941E0">
      <w:pPr>
        <w:pStyle w:val="Caption"/>
      </w:pPr>
      <w:bookmarkStart w:id="135" w:name="_Toc514430964"/>
      <w:r>
        <w:t xml:space="preserve">Table </w:t>
      </w:r>
      <w:fldSimple w:instr=" SEQ Table \* ARABIC ">
        <w:r w:rsidR="002A2E30">
          <w:rPr>
            <w:noProof/>
          </w:rPr>
          <w:t>14</w:t>
        </w:r>
      </w:fldSimple>
      <w:r>
        <w:t xml:space="preserve">. </w:t>
      </w:r>
      <w:r w:rsidR="00B02FF5">
        <w:t>Stakeholder conservation l</w:t>
      </w:r>
      <w:r w:rsidR="002B4C7D">
        <w:t xml:space="preserve">and </w:t>
      </w:r>
      <w:r w:rsidR="00B02FF5">
        <w:t>purchases</w:t>
      </w:r>
      <w:r w:rsidR="002B4C7D">
        <w:t xml:space="preserve"> in the BMAP area</w:t>
      </w:r>
      <w:bookmarkEnd w:id="135"/>
    </w:p>
    <w:tbl>
      <w:tblPr>
        <w:tblStyle w:val="TableGrid"/>
        <w:tblW w:w="0" w:type="auto"/>
        <w:tblLook w:val="04A0" w:firstRow="1" w:lastRow="0" w:firstColumn="1" w:lastColumn="0" w:noHBand="0" w:noVBand="1"/>
      </w:tblPr>
      <w:tblGrid>
        <w:gridCol w:w="1613"/>
        <w:gridCol w:w="2359"/>
        <w:gridCol w:w="1181"/>
        <w:gridCol w:w="1900"/>
        <w:gridCol w:w="2297"/>
      </w:tblGrid>
      <w:tr w:rsidR="002B4C7D" w:rsidRPr="002B4C7D" w14:paraId="471EF6B3" w14:textId="77777777" w:rsidTr="0033230E">
        <w:tc>
          <w:tcPr>
            <w:tcW w:w="1613" w:type="dxa"/>
            <w:shd w:val="clear" w:color="auto" w:fill="DEEAF6" w:themeFill="accent1" w:themeFillTint="33"/>
            <w:vAlign w:val="bottom"/>
          </w:tcPr>
          <w:p w14:paraId="6A2AE033"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Managing Entity</w:t>
            </w:r>
          </w:p>
        </w:tc>
        <w:tc>
          <w:tcPr>
            <w:tcW w:w="2359" w:type="dxa"/>
            <w:shd w:val="clear" w:color="auto" w:fill="DEEAF6" w:themeFill="accent1" w:themeFillTint="33"/>
            <w:vAlign w:val="bottom"/>
          </w:tcPr>
          <w:p w14:paraId="09E806D5"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Name of Conservation Purchase</w:t>
            </w:r>
          </w:p>
        </w:tc>
        <w:tc>
          <w:tcPr>
            <w:tcW w:w="1181" w:type="dxa"/>
            <w:shd w:val="clear" w:color="auto" w:fill="DEEAF6" w:themeFill="accent1" w:themeFillTint="33"/>
            <w:vAlign w:val="bottom"/>
          </w:tcPr>
          <w:p w14:paraId="255AC7FC"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Acreage</w:t>
            </w:r>
          </w:p>
        </w:tc>
        <w:tc>
          <w:tcPr>
            <w:tcW w:w="1900" w:type="dxa"/>
            <w:shd w:val="clear" w:color="auto" w:fill="DEEAF6" w:themeFill="accent1" w:themeFillTint="33"/>
            <w:vAlign w:val="bottom"/>
          </w:tcPr>
          <w:p w14:paraId="26B6E7A3"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Acquisition Cost</w:t>
            </w:r>
          </w:p>
        </w:tc>
        <w:tc>
          <w:tcPr>
            <w:tcW w:w="2297" w:type="dxa"/>
            <w:shd w:val="clear" w:color="auto" w:fill="DEEAF6" w:themeFill="accent1" w:themeFillTint="33"/>
            <w:vAlign w:val="bottom"/>
          </w:tcPr>
          <w:p w14:paraId="51E130EE"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Acquisition Status</w:t>
            </w:r>
          </w:p>
        </w:tc>
      </w:tr>
      <w:tr w:rsidR="002B4C7D" w:rsidRPr="002B4C7D" w14:paraId="6EF078B5" w14:textId="77777777" w:rsidTr="0033230E">
        <w:tc>
          <w:tcPr>
            <w:tcW w:w="1613" w:type="dxa"/>
            <w:vAlign w:val="center"/>
          </w:tcPr>
          <w:p w14:paraId="09EAFB82"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16BF72D6"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49A52F98"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348</w:t>
            </w:r>
          </w:p>
        </w:tc>
        <w:tc>
          <w:tcPr>
            <w:tcW w:w="1900" w:type="dxa"/>
            <w:vAlign w:val="center"/>
          </w:tcPr>
          <w:p w14:paraId="611FA85E"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$256,556</w:t>
            </w:r>
          </w:p>
        </w:tc>
        <w:tc>
          <w:tcPr>
            <w:tcW w:w="2297" w:type="dxa"/>
            <w:vAlign w:val="center"/>
          </w:tcPr>
          <w:p w14:paraId="168B094C"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5482A165" w14:textId="77777777" w:rsidTr="0033230E">
        <w:tc>
          <w:tcPr>
            <w:tcW w:w="1613" w:type="dxa"/>
            <w:vAlign w:val="center"/>
          </w:tcPr>
          <w:p w14:paraId="1A539844"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14051A62"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22D1E57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20</w:t>
            </w:r>
          </w:p>
        </w:tc>
        <w:tc>
          <w:tcPr>
            <w:tcW w:w="1900" w:type="dxa"/>
            <w:vAlign w:val="center"/>
          </w:tcPr>
          <w:p w14:paraId="695DB59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$258,790</w:t>
            </w:r>
          </w:p>
        </w:tc>
        <w:tc>
          <w:tcPr>
            <w:tcW w:w="2297" w:type="dxa"/>
            <w:vAlign w:val="center"/>
          </w:tcPr>
          <w:p w14:paraId="4B0D33A2"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5CFE0B6D" w14:textId="77777777" w:rsidTr="0033230E">
        <w:tc>
          <w:tcPr>
            <w:tcW w:w="1613" w:type="dxa"/>
            <w:vAlign w:val="center"/>
          </w:tcPr>
          <w:p w14:paraId="32768DD6"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Jackson County</w:t>
            </w:r>
          </w:p>
        </w:tc>
        <w:tc>
          <w:tcPr>
            <w:tcW w:w="2359" w:type="dxa"/>
            <w:vAlign w:val="center"/>
          </w:tcPr>
          <w:p w14:paraId="092C2509"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Blue Springs Recreation Area</w:t>
            </w:r>
          </w:p>
        </w:tc>
        <w:tc>
          <w:tcPr>
            <w:tcW w:w="1181" w:type="dxa"/>
            <w:vAlign w:val="center"/>
          </w:tcPr>
          <w:p w14:paraId="7D957905"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1,717</w:t>
            </w:r>
          </w:p>
        </w:tc>
        <w:tc>
          <w:tcPr>
            <w:tcW w:w="1900" w:type="dxa"/>
            <w:vAlign w:val="center"/>
          </w:tcPr>
          <w:p w14:paraId="6A50C234"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$303,367</w:t>
            </w:r>
          </w:p>
        </w:tc>
        <w:tc>
          <w:tcPr>
            <w:tcW w:w="2297" w:type="dxa"/>
            <w:vAlign w:val="center"/>
          </w:tcPr>
          <w:p w14:paraId="37373BCD"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Completed</w:t>
            </w:r>
          </w:p>
        </w:tc>
      </w:tr>
      <w:tr w:rsidR="002B4C7D" w:rsidRPr="002B4C7D" w14:paraId="78337DE8" w14:textId="77777777" w:rsidTr="00874F87">
        <w:trPr>
          <w:trHeight w:val="305"/>
        </w:trPr>
        <w:tc>
          <w:tcPr>
            <w:tcW w:w="1613" w:type="dxa"/>
            <w:vAlign w:val="center"/>
          </w:tcPr>
          <w:p w14:paraId="19093A47" w14:textId="77777777" w:rsidR="002B4C7D" w:rsidRPr="002B4C7D" w:rsidRDefault="002B4C7D" w:rsidP="0033230E">
            <w:pPr>
              <w:jc w:val="center"/>
              <w:rPr>
                <w:rFonts w:ascii="Times New Roman" w:hAnsi="Times New Roman"/>
                <w:b/>
                <w:sz w:val="20"/>
              </w:rPr>
            </w:pPr>
            <w:r w:rsidRPr="002B4C7D">
              <w:rPr>
                <w:rFonts w:ascii="Times New Roman" w:hAnsi="Times New Roman"/>
                <w:b/>
                <w:sz w:val="20"/>
              </w:rPr>
              <w:t>NWFWMD</w:t>
            </w:r>
          </w:p>
        </w:tc>
        <w:tc>
          <w:tcPr>
            <w:tcW w:w="2359" w:type="dxa"/>
            <w:vAlign w:val="center"/>
          </w:tcPr>
          <w:p w14:paraId="120D7BEE"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Pittman Property</w:t>
            </w:r>
          </w:p>
        </w:tc>
        <w:tc>
          <w:tcPr>
            <w:tcW w:w="1181" w:type="dxa"/>
            <w:vAlign w:val="center"/>
          </w:tcPr>
          <w:p w14:paraId="2A580D8A"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167</w:t>
            </w:r>
          </w:p>
        </w:tc>
        <w:tc>
          <w:tcPr>
            <w:tcW w:w="1900" w:type="dxa"/>
            <w:vAlign w:val="center"/>
          </w:tcPr>
          <w:p w14:paraId="0F0C23D4"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$686,568</w:t>
            </w:r>
          </w:p>
        </w:tc>
        <w:tc>
          <w:tcPr>
            <w:tcW w:w="2297" w:type="dxa"/>
            <w:vAlign w:val="center"/>
          </w:tcPr>
          <w:p w14:paraId="5FC7346F" w14:textId="77777777" w:rsidR="002B4C7D" w:rsidRPr="002B4C7D" w:rsidRDefault="002B4C7D" w:rsidP="0033230E">
            <w:pPr>
              <w:jc w:val="center"/>
              <w:rPr>
                <w:rFonts w:ascii="Times New Roman" w:hAnsi="Times New Roman"/>
                <w:sz w:val="20"/>
              </w:rPr>
            </w:pPr>
            <w:r w:rsidRPr="002B4C7D">
              <w:rPr>
                <w:rFonts w:ascii="Times New Roman" w:hAnsi="Times New Roman"/>
                <w:sz w:val="20"/>
              </w:rPr>
              <w:t>Underway</w:t>
            </w:r>
          </w:p>
        </w:tc>
      </w:tr>
      <w:tr w:rsidR="002B4C7D" w:rsidRPr="002B4C7D" w14:paraId="59E29ED6" w14:textId="77777777" w:rsidTr="00874F87">
        <w:trPr>
          <w:trHeight w:val="332"/>
        </w:trPr>
        <w:tc>
          <w:tcPr>
            <w:tcW w:w="1613" w:type="dxa"/>
            <w:shd w:val="clear" w:color="auto" w:fill="FFF2CC" w:themeFill="accent4" w:themeFillTint="33"/>
            <w:vAlign w:val="center"/>
          </w:tcPr>
          <w:p w14:paraId="4C785B14" w14:textId="324CC437" w:rsidR="002B4C7D" w:rsidRPr="002B4C7D" w:rsidRDefault="002B4C7D" w:rsidP="0033230E">
            <w:pPr>
              <w:jc w:val="center"/>
              <w:rPr>
                <w:rFonts w:ascii="Times New Roman" w:hAnsi="Times New Roman"/>
                <w:b/>
                <w:sz w:val="20"/>
              </w:rPr>
            </w:pPr>
            <w:r>
              <w:rPr>
                <w:rFonts w:ascii="Times New Roman" w:hAnsi="Times New Roman"/>
                <w:b/>
                <w:sz w:val="20"/>
              </w:rPr>
              <w:t>Total</w:t>
            </w:r>
          </w:p>
        </w:tc>
        <w:tc>
          <w:tcPr>
            <w:tcW w:w="2359" w:type="dxa"/>
            <w:shd w:val="clear" w:color="auto" w:fill="FFF2CC" w:themeFill="accent4" w:themeFillTint="33"/>
            <w:vAlign w:val="center"/>
          </w:tcPr>
          <w:p w14:paraId="404AFF42" w14:textId="77777777" w:rsidR="002B4C7D" w:rsidRPr="002B4C7D" w:rsidRDefault="002B4C7D" w:rsidP="0033230E">
            <w:pPr>
              <w:jc w:val="center"/>
              <w:rPr>
                <w:rFonts w:ascii="Times New Roman" w:hAnsi="Times New Roman"/>
                <w:sz w:val="20"/>
              </w:rPr>
            </w:pPr>
          </w:p>
        </w:tc>
        <w:tc>
          <w:tcPr>
            <w:tcW w:w="1181" w:type="dxa"/>
            <w:shd w:val="clear" w:color="auto" w:fill="FFF2CC" w:themeFill="accent4" w:themeFillTint="33"/>
            <w:vAlign w:val="center"/>
          </w:tcPr>
          <w:p w14:paraId="182F5D86" w14:textId="35E8A49B" w:rsidR="002B4C7D" w:rsidRPr="00874F87" w:rsidRDefault="00874F87" w:rsidP="0033230E">
            <w:pPr>
              <w:jc w:val="center"/>
              <w:rPr>
                <w:rFonts w:ascii="Times New Roman" w:hAnsi="Times New Roman"/>
                <w:b/>
                <w:sz w:val="20"/>
              </w:rPr>
            </w:pPr>
            <w:r w:rsidRPr="00874F87">
              <w:rPr>
                <w:rFonts w:ascii="Times New Roman" w:hAnsi="Times New Roman"/>
                <w:b/>
                <w:sz w:val="20"/>
              </w:rPr>
              <w:t>2,252</w:t>
            </w:r>
          </w:p>
        </w:tc>
        <w:tc>
          <w:tcPr>
            <w:tcW w:w="1900" w:type="dxa"/>
            <w:shd w:val="clear" w:color="auto" w:fill="FFF2CC" w:themeFill="accent4" w:themeFillTint="33"/>
            <w:vAlign w:val="center"/>
          </w:tcPr>
          <w:p w14:paraId="6C238949" w14:textId="157D5E6B" w:rsidR="002B4C7D" w:rsidRPr="00874F87" w:rsidRDefault="00874F87" w:rsidP="0033230E">
            <w:pPr>
              <w:jc w:val="center"/>
              <w:rPr>
                <w:rFonts w:ascii="Times New Roman" w:hAnsi="Times New Roman"/>
                <w:b/>
                <w:sz w:val="20"/>
              </w:rPr>
            </w:pPr>
            <w:r w:rsidRPr="00874F87">
              <w:rPr>
                <w:rFonts w:ascii="Times New Roman" w:hAnsi="Times New Roman"/>
                <w:b/>
                <w:sz w:val="20"/>
              </w:rPr>
              <w:t>$1,505,281</w:t>
            </w:r>
          </w:p>
        </w:tc>
        <w:tc>
          <w:tcPr>
            <w:tcW w:w="2297" w:type="dxa"/>
            <w:shd w:val="clear" w:color="auto" w:fill="FFF2CC" w:themeFill="accent4" w:themeFillTint="33"/>
            <w:vAlign w:val="center"/>
          </w:tcPr>
          <w:p w14:paraId="2A56AAC9" w14:textId="77777777" w:rsidR="002B4C7D" w:rsidRPr="002B4C7D" w:rsidRDefault="002B4C7D" w:rsidP="0033230E">
            <w:pPr>
              <w:jc w:val="center"/>
              <w:rPr>
                <w:rFonts w:ascii="Times New Roman" w:hAnsi="Times New Roman"/>
                <w:sz w:val="20"/>
              </w:rPr>
            </w:pPr>
          </w:p>
        </w:tc>
      </w:tr>
    </w:tbl>
    <w:p w14:paraId="10112B33" w14:textId="421B72A9" w:rsidR="00C14EEC" w:rsidRDefault="00C14EEC" w:rsidP="008D3106">
      <w:pPr>
        <w:pStyle w:val="Bodytextreduced"/>
      </w:pPr>
    </w:p>
    <w:p w14:paraId="1278D4BE" w14:textId="5E9E3EBC" w:rsidR="00196F2C" w:rsidRDefault="00196F2C" w:rsidP="00131ED2">
      <w:pPr>
        <w:pStyle w:val="BodyText"/>
        <w:spacing w:before="120"/>
      </w:pPr>
    </w:p>
    <w:p w14:paraId="5B3482EF" w14:textId="54C37388" w:rsidR="00196F2C" w:rsidRDefault="00196F2C" w:rsidP="00196F2C">
      <w:pPr>
        <w:pStyle w:val="Heading2"/>
      </w:pPr>
      <w:bookmarkStart w:id="136" w:name="_Toc514677670"/>
      <w:r>
        <w:t>Commitment to Implementation</w:t>
      </w:r>
      <w:bookmarkEnd w:id="136"/>
    </w:p>
    <w:p w14:paraId="2187EBC5" w14:textId="627617B2" w:rsidR="00AB2475" w:rsidRPr="00AB2475" w:rsidRDefault="00196F2C" w:rsidP="001B7DAC">
      <w:pPr>
        <w:pStyle w:val="BodyText"/>
      </w:pPr>
      <w:r w:rsidRPr="001970DD">
        <w:t>Successful BMAP implementation requires commitment</w:t>
      </w:r>
      <w:r w:rsidR="00A544E7">
        <w:t>, dedicated state funding,</w:t>
      </w:r>
      <w:r w:rsidRPr="001970DD">
        <w:t xml:space="preserve"> and follow-up. </w:t>
      </w:r>
      <w:r>
        <w:t>S</w:t>
      </w:r>
      <w:r w:rsidRPr="001970DD">
        <w:t xml:space="preserve">takeholders have expressed their intention to carry out the plan, monitor its effects, and continue to coordinate within and across jurisdictions to achieve </w:t>
      </w:r>
      <w:r>
        <w:t>nutrient reduction goals</w:t>
      </w:r>
      <w:r w:rsidRPr="001970DD">
        <w:t xml:space="preserve">. </w:t>
      </w:r>
      <w:r>
        <w:t xml:space="preserve">As the TMDLs must be achieved within 20 years, </w:t>
      </w:r>
      <w:r w:rsidR="00A544E7">
        <w:t xml:space="preserve">DEP, FDACS, and </w:t>
      </w:r>
      <w:r w:rsidR="00551ABF">
        <w:t>NWF</w:t>
      </w:r>
      <w:r w:rsidR="00A544E7">
        <w:t>W</w:t>
      </w:r>
      <w:r w:rsidR="00D848DC">
        <w:t>M</w:t>
      </w:r>
      <w:r w:rsidR="00A544E7">
        <w:t>D will implement</w:t>
      </w:r>
      <w:r>
        <w:t xml:space="preserve"> management actions </w:t>
      </w:r>
      <w:r w:rsidR="00A544E7">
        <w:t>with</w:t>
      </w:r>
      <w:r w:rsidR="001104F8">
        <w:t xml:space="preserve"> a portion of</w:t>
      </w:r>
      <w:r w:rsidR="00A544E7">
        <w:t xml:space="preserve"> the annual $50 million state appropriations</w:t>
      </w:r>
      <w:r>
        <w:t xml:space="preserve"> to reduce </w:t>
      </w:r>
      <w:r w:rsidR="00187D36">
        <w:t xml:space="preserve">nitrogen </w:t>
      </w:r>
      <w:r>
        <w:t xml:space="preserve">in the </w:t>
      </w:r>
      <w:r w:rsidR="00551ABF">
        <w:t>Jackson Blue Spring</w:t>
      </w:r>
      <w:r>
        <w:t xml:space="preserve"> Basin</w:t>
      </w:r>
      <w:r w:rsidR="00A544E7">
        <w:t xml:space="preserve">. </w:t>
      </w:r>
    </w:p>
    <w:p w14:paraId="7C96A024" w14:textId="40997FDE" w:rsidR="00AC518E" w:rsidRDefault="00AC518E">
      <w:pPr>
        <w:jc w:val="left"/>
        <w:rPr>
          <w:rFonts w:ascii="Times New Roman" w:hAnsi="Times New Roman"/>
          <w:sz w:val="24"/>
        </w:rPr>
      </w:pPr>
      <w:bookmarkStart w:id="137" w:name="_Ref296955766"/>
      <w:bookmarkStart w:id="138" w:name="_Toc475022072"/>
      <w:bookmarkEnd w:id="101"/>
      <w:r>
        <w:br w:type="page"/>
      </w:r>
    </w:p>
    <w:p w14:paraId="4E8692E2" w14:textId="1CE0F152" w:rsidR="0000264A" w:rsidRPr="009D6B31" w:rsidRDefault="00BD62CA" w:rsidP="00545C5F">
      <w:pPr>
        <w:pStyle w:val="Heading1"/>
        <w:ind w:hanging="979"/>
      </w:pPr>
      <w:bookmarkStart w:id="139" w:name="_Toc514677671"/>
      <w:r w:rsidRPr="009D6B31">
        <w:t xml:space="preserve">: </w:t>
      </w:r>
      <w:r w:rsidR="0000264A" w:rsidRPr="009D6B31">
        <w:t>Monitoring</w:t>
      </w:r>
      <w:bookmarkEnd w:id="137"/>
      <w:bookmarkEnd w:id="138"/>
      <w:r w:rsidR="001E4115">
        <w:t xml:space="preserve"> and Reporting</w:t>
      </w:r>
      <w:bookmarkEnd w:id="139"/>
    </w:p>
    <w:p w14:paraId="5A69E4DA" w14:textId="0558286B" w:rsidR="002B50BC" w:rsidRDefault="001E4115" w:rsidP="002B50BC">
      <w:pPr>
        <w:pStyle w:val="Heading2"/>
      </w:pPr>
      <w:bookmarkStart w:id="140" w:name="_Toc514677672"/>
      <w:r>
        <w:t>Methods for Evaluating Progress</w:t>
      </w:r>
      <w:bookmarkEnd w:id="140"/>
    </w:p>
    <w:p w14:paraId="6B2DB138" w14:textId="0C3B94DF" w:rsidR="001E4115" w:rsidRDefault="001E4115" w:rsidP="001E4115">
      <w:pPr>
        <w:pStyle w:val="BodyText"/>
      </w:pPr>
      <w:bookmarkStart w:id="141" w:name="_Toc408412586"/>
      <w:bookmarkStart w:id="142" w:name="_Toc408412610"/>
      <w:bookmarkStart w:id="143" w:name="_Toc475022074"/>
      <w:bookmarkEnd w:id="141"/>
      <w:bookmarkEnd w:id="142"/>
      <w:r>
        <w:t xml:space="preserve">DEP will work with stakeholders to track project implementation and organize the monitoring data collected each year. The project and monitoring information will be presented in an annual </w:t>
      </w:r>
      <w:r w:rsidR="004B574B">
        <w:t>update</w:t>
      </w:r>
      <w:r>
        <w:t xml:space="preserve">. Stakeholders have agreed to meet annually after the adoption of the BMAP to follow up on plan implementation, share new information, and continue to coordinate on TMDL restoration-related issues. The </w:t>
      </w:r>
      <w:r w:rsidR="007D1A5C">
        <w:t>following</w:t>
      </w:r>
      <w:r>
        <w:t xml:space="preserve"> activities may occur at annual meetings:</w:t>
      </w:r>
    </w:p>
    <w:p w14:paraId="52F49572" w14:textId="77777777" w:rsidR="001E4115" w:rsidRPr="003E4FBA" w:rsidRDefault="001E4115" w:rsidP="003E4FBA">
      <w:pPr>
        <w:pStyle w:val="Bullet"/>
        <w:numPr>
          <w:ilvl w:val="0"/>
          <w:numId w:val="0"/>
        </w:numPr>
        <w:rPr>
          <w:b/>
        </w:rPr>
      </w:pPr>
      <w:r w:rsidRPr="003E4FBA">
        <w:rPr>
          <w:b/>
        </w:rPr>
        <w:t>Implementation data and reporting:</w:t>
      </w:r>
    </w:p>
    <w:p w14:paraId="0C162A08" w14:textId="5C7A5A7D" w:rsidR="001E4115" w:rsidRDefault="001E4115" w:rsidP="00D062B6">
      <w:pPr>
        <w:pStyle w:val="Bullet"/>
      </w:pPr>
      <w:r w:rsidRPr="00CB5DD2">
        <w:t>Collect project implementation information from stakeholders</w:t>
      </w:r>
      <w:r>
        <w:t xml:space="preserve">, including </w:t>
      </w:r>
      <w:r w:rsidRPr="00CB5DD2">
        <w:t>FDACS agricultural BMP enrollment</w:t>
      </w:r>
      <w:r w:rsidR="001A52DA">
        <w:t xml:space="preserve"> and FDOH-issued permits</w:t>
      </w:r>
      <w:r w:rsidRPr="00CB5DD2">
        <w:t>, and compare with the BMAP schedule.</w:t>
      </w:r>
    </w:p>
    <w:p w14:paraId="495732CC" w14:textId="77777777" w:rsidR="001E4115" w:rsidRDefault="001E4115" w:rsidP="00D062B6">
      <w:pPr>
        <w:pStyle w:val="Bullet"/>
      </w:pPr>
      <w:r>
        <w:t>Discuss the data collection process, including any concerns and possible improvements to the process.</w:t>
      </w:r>
    </w:p>
    <w:p w14:paraId="3144974C" w14:textId="13491EC8" w:rsidR="001E4115" w:rsidRDefault="001E4115" w:rsidP="00D062B6">
      <w:pPr>
        <w:pStyle w:val="Bullet"/>
      </w:pPr>
      <w:r>
        <w:t xml:space="preserve">Review the monitoring plan implementation, as detailed in </w:t>
      </w:r>
      <w:r w:rsidRPr="00D02AFF">
        <w:rPr>
          <w:b/>
        </w:rPr>
        <w:t>Section</w:t>
      </w:r>
      <w:r w:rsidR="00602E51">
        <w:rPr>
          <w:b/>
        </w:rPr>
        <w:t xml:space="preserve"> 3.3</w:t>
      </w:r>
      <w:r>
        <w:t>.</w:t>
      </w:r>
    </w:p>
    <w:p w14:paraId="07A321B4" w14:textId="77777777" w:rsidR="001E4115" w:rsidRPr="003E4FBA" w:rsidRDefault="001E4115" w:rsidP="003E4FBA">
      <w:pPr>
        <w:pStyle w:val="Bullet"/>
        <w:numPr>
          <w:ilvl w:val="0"/>
          <w:numId w:val="0"/>
        </w:numPr>
        <w:rPr>
          <w:b/>
        </w:rPr>
      </w:pPr>
      <w:r w:rsidRPr="003E4FBA">
        <w:rPr>
          <w:b/>
        </w:rPr>
        <w:t>Sharing new information:</w:t>
      </w:r>
    </w:p>
    <w:p w14:paraId="1850A500" w14:textId="77777777" w:rsidR="001E4115" w:rsidRDefault="001E4115" w:rsidP="00D062B6">
      <w:pPr>
        <w:pStyle w:val="Bullet"/>
      </w:pPr>
      <w:r>
        <w:t>Report on results from water quality monitoring and trend information.</w:t>
      </w:r>
    </w:p>
    <w:p w14:paraId="68D6A3B9" w14:textId="77777777" w:rsidR="001E4115" w:rsidRDefault="001E4115" w:rsidP="00D062B6">
      <w:pPr>
        <w:pStyle w:val="Bullet"/>
      </w:pPr>
      <w:r>
        <w:t>Provide updates on new management strategies in the basin that will help reduce nutrient loading.</w:t>
      </w:r>
    </w:p>
    <w:p w14:paraId="0D53EF4A" w14:textId="77777777" w:rsidR="001E4115" w:rsidRDefault="001E4115" w:rsidP="00D062B6">
      <w:pPr>
        <w:pStyle w:val="Bullet"/>
      </w:pPr>
      <w:r>
        <w:t>Identify and review new scientific developments on addressing nutrient loads and incorporate any new information into annual progress reports.</w:t>
      </w:r>
    </w:p>
    <w:p w14:paraId="3A709FF5" w14:textId="13E25A34" w:rsidR="001E4115" w:rsidRPr="003E4FBA" w:rsidRDefault="001E4115" w:rsidP="003E4FBA">
      <w:pPr>
        <w:pStyle w:val="Bullet"/>
        <w:numPr>
          <w:ilvl w:val="0"/>
          <w:numId w:val="0"/>
        </w:numPr>
        <w:rPr>
          <w:b/>
        </w:rPr>
      </w:pPr>
      <w:r w:rsidRPr="003E4FBA">
        <w:rPr>
          <w:b/>
        </w:rPr>
        <w:t xml:space="preserve">Coordinating </w:t>
      </w:r>
      <w:r w:rsidR="001104F8">
        <w:rPr>
          <w:b/>
        </w:rPr>
        <w:t xml:space="preserve">on </w:t>
      </w:r>
      <w:r w:rsidRPr="003E4FBA">
        <w:rPr>
          <w:b/>
        </w:rPr>
        <w:t>TMDL restoration</w:t>
      </w:r>
      <w:r w:rsidR="00AC518E">
        <w:rPr>
          <w:b/>
        </w:rPr>
        <w:t>–</w:t>
      </w:r>
      <w:r w:rsidRPr="003E4FBA">
        <w:rPr>
          <w:b/>
        </w:rPr>
        <w:t>related issues:</w:t>
      </w:r>
    </w:p>
    <w:p w14:paraId="0DB5429D" w14:textId="77777777" w:rsidR="001E4115" w:rsidRDefault="001E4115" w:rsidP="00D062B6">
      <w:pPr>
        <w:pStyle w:val="Bullet"/>
      </w:pPr>
      <w:r>
        <w:t>Provide updates from DEP on the basin assessment cycle and activities related to any impairments, TMDLs, and BMAP.</w:t>
      </w:r>
    </w:p>
    <w:p w14:paraId="7DC934E2" w14:textId="47231843" w:rsidR="001E4115" w:rsidRDefault="001E4115" w:rsidP="00D062B6">
      <w:pPr>
        <w:pStyle w:val="Bullet"/>
      </w:pPr>
      <w:r>
        <w:t>Obtain reports from other basins where tools or other information may be applicable to the TMDLs.</w:t>
      </w:r>
    </w:p>
    <w:p w14:paraId="080862CB" w14:textId="1E19778B" w:rsidR="002B50BC" w:rsidRDefault="00A5479D" w:rsidP="002B50BC">
      <w:pPr>
        <w:pStyle w:val="Heading2"/>
      </w:pPr>
      <w:bookmarkStart w:id="144" w:name="_Toc514677673"/>
      <w:bookmarkEnd w:id="143"/>
      <w:r>
        <w:t>Adaptive Management Measures</w:t>
      </w:r>
      <w:bookmarkEnd w:id="144"/>
    </w:p>
    <w:p w14:paraId="4D4D9F67" w14:textId="55317C49" w:rsidR="00905E39" w:rsidRDefault="00905E39" w:rsidP="00905E39">
      <w:pPr>
        <w:pStyle w:val="BodyText"/>
      </w:pPr>
      <w:bookmarkStart w:id="145" w:name="_Ref438641467"/>
      <w:bookmarkStart w:id="146" w:name="_Toc419968101"/>
      <w:bookmarkStart w:id="147" w:name="_Toc444867141"/>
      <w:r w:rsidRPr="003D5C52">
        <w:t xml:space="preserve">Adaptive management involves making adjustments in the BMAP when circumstances change or </w:t>
      </w:r>
      <w:r w:rsidR="001104F8">
        <w:t>monitoring</w:t>
      </w:r>
      <w:r w:rsidRPr="003D5C52">
        <w:t xml:space="preserve"> indicates the need for </w:t>
      </w:r>
      <w:r w:rsidR="001104F8">
        <w:t xml:space="preserve">additional or </w:t>
      </w:r>
      <w:r w:rsidRPr="003D5C52">
        <w:t xml:space="preserve">more effective </w:t>
      </w:r>
      <w:r w:rsidR="001104F8">
        <w:t xml:space="preserve">restoration </w:t>
      </w:r>
      <w:r w:rsidRPr="003D5C52">
        <w:t>strateg</w:t>
      </w:r>
      <w:r>
        <w:t>ies</w:t>
      </w:r>
      <w:r w:rsidRPr="003D5C52">
        <w:t xml:space="preserve">. Adaptive management measures </w:t>
      </w:r>
      <w:r w:rsidR="001104F8">
        <w:t xml:space="preserve">may </w:t>
      </w:r>
      <w:r w:rsidRPr="003D5C52">
        <w:t xml:space="preserve">include the following: </w:t>
      </w:r>
    </w:p>
    <w:p w14:paraId="35E91420" w14:textId="6679CECA" w:rsidR="00905E39" w:rsidRPr="00AC518E" w:rsidRDefault="00996679">
      <w:pPr>
        <w:pStyle w:val="Bullet"/>
      </w:pPr>
      <w:r>
        <w:t>Implementing p</w:t>
      </w:r>
      <w:r w:rsidR="00905E39" w:rsidRPr="00AC518E">
        <w:t>rocedures to determine whether additional cooperative strategies are needed.</w:t>
      </w:r>
    </w:p>
    <w:p w14:paraId="49B5E412" w14:textId="779C0026" w:rsidR="00905E39" w:rsidRPr="00AC518E" w:rsidRDefault="00996679">
      <w:pPr>
        <w:pStyle w:val="Bullet"/>
      </w:pPr>
      <w:r>
        <w:t>Using c</w:t>
      </w:r>
      <w:r w:rsidR="00905E39" w:rsidRPr="00AC518E">
        <w:t xml:space="preserve">riteria/processes for determining whether and when plan components need revision </w:t>
      </w:r>
      <w:r w:rsidR="004C547B">
        <w:t>because of</w:t>
      </w:r>
      <w:r w:rsidR="00905E39" w:rsidRPr="00AC518E">
        <w:t xml:space="preserve"> changes in costs, </w:t>
      </w:r>
      <w:r>
        <w:t>project effectiveness</w:t>
      </w:r>
      <w:r w:rsidR="00905E39" w:rsidRPr="00AC518E">
        <w:t>, social effects, watershed conditions, or other factors.</w:t>
      </w:r>
    </w:p>
    <w:p w14:paraId="61FB5536" w14:textId="36BEA6EB" w:rsidR="00905E39" w:rsidRPr="00AC518E" w:rsidRDefault="00996679">
      <w:pPr>
        <w:pStyle w:val="Bullet"/>
      </w:pPr>
      <w:r>
        <w:t>Revising d</w:t>
      </w:r>
      <w:r w:rsidR="00905E39" w:rsidRPr="00AC518E">
        <w:t>escriptions of stakeholders</w:t>
      </w:r>
      <w:r w:rsidR="004C547B">
        <w:t>'</w:t>
      </w:r>
      <w:r w:rsidR="00905E39" w:rsidRPr="00AC518E">
        <w:t xml:space="preserve"> roles</w:t>
      </w:r>
      <w:r>
        <w:t xml:space="preserve"> during BMAP implementation and</w:t>
      </w:r>
      <w:r w:rsidR="00905E39" w:rsidRPr="00AC518E">
        <w:t xml:space="preserve"> after BMAP completion.</w:t>
      </w:r>
    </w:p>
    <w:p w14:paraId="0200EE2F" w14:textId="2885367D" w:rsidR="00905E39" w:rsidRPr="00AC518E" w:rsidRDefault="00996679">
      <w:pPr>
        <w:pStyle w:val="Bullet"/>
      </w:pPr>
      <w:r>
        <w:t>Updating information on</w:t>
      </w:r>
      <w:r w:rsidR="00905E39" w:rsidRPr="00AC518E">
        <w:t xml:space="preserve"> corrective actions (and any supporting documentation) being implemented</w:t>
      </w:r>
      <w:r>
        <w:t xml:space="preserve"> as data are gathered to refine project implementation schedules and performance expectations</w:t>
      </w:r>
      <w:r w:rsidR="00905E39" w:rsidRPr="00AC518E">
        <w:t>.</w:t>
      </w:r>
    </w:p>
    <w:p w14:paraId="78BE3452" w14:textId="48706897" w:rsidR="00905E39" w:rsidRDefault="00905E39" w:rsidP="00905E39">
      <w:pPr>
        <w:pStyle w:val="BodyText"/>
      </w:pPr>
      <w:r w:rsidRPr="003D5C52">
        <w:t xml:space="preserve">Key components of adaptive management </w:t>
      </w:r>
      <w:r w:rsidR="005A06D2">
        <w:t xml:space="preserve">are </w:t>
      </w:r>
      <w:r w:rsidRPr="003D5C52">
        <w:t xml:space="preserve">to share information and expertise </w:t>
      </w:r>
      <w:r w:rsidR="00AC518E">
        <w:t>include</w:t>
      </w:r>
      <w:r w:rsidR="00AC518E" w:rsidRPr="003D5C52">
        <w:t xml:space="preserve"> </w:t>
      </w:r>
      <w:r w:rsidRPr="003D5C52">
        <w:t xml:space="preserve">tracking plan implementation, monitoring water quality and pollutant loads, and holding periodic meetings. </w:t>
      </w:r>
    </w:p>
    <w:p w14:paraId="19B911D5" w14:textId="765F10FA" w:rsidR="00C2586F" w:rsidRDefault="00C2586F" w:rsidP="00C2586F">
      <w:pPr>
        <w:pStyle w:val="Heading2"/>
      </w:pPr>
      <w:bookmarkStart w:id="148" w:name="_Ref488242948"/>
      <w:bookmarkStart w:id="149" w:name="_Toc514677674"/>
      <w:r>
        <w:t xml:space="preserve">Water Quality </w:t>
      </w:r>
      <w:r w:rsidR="00EF2AD5">
        <w:t xml:space="preserve">and Biological </w:t>
      </w:r>
      <w:r>
        <w:t>Monitoring</w:t>
      </w:r>
      <w:bookmarkEnd w:id="148"/>
      <w:bookmarkEnd w:id="149"/>
    </w:p>
    <w:p w14:paraId="0DAFB51D" w14:textId="5BCA0D6E" w:rsidR="00C2586F" w:rsidRPr="00C2586F" w:rsidRDefault="00C2586F" w:rsidP="001451E2">
      <w:pPr>
        <w:pStyle w:val="Heading3"/>
      </w:pPr>
      <w:r>
        <w:t>Objectives</w:t>
      </w:r>
    </w:p>
    <w:p w14:paraId="681553AF" w14:textId="05A5BB93" w:rsidR="00C2586F" w:rsidRDefault="00C2586F" w:rsidP="00C2586F">
      <w:pPr>
        <w:pStyle w:val="BodyText"/>
      </w:pPr>
      <w:r w:rsidRPr="00F63360">
        <w:t xml:space="preserve">Focused objectives are critical for a monitoring strategy to provide the information needed to evaluate implementation success. </w:t>
      </w:r>
      <w:r>
        <w:t xml:space="preserve">Since the BMAP </w:t>
      </w:r>
      <w:r w:rsidR="00AB1B61">
        <w:t>implementation involves</w:t>
      </w:r>
      <w:r>
        <w:t xml:space="preserve"> an iterative process, the monitoring efforts are related to primary and secondary objectives. The primary objectives focus on </w:t>
      </w:r>
      <w:r w:rsidR="00AB1B61">
        <w:t xml:space="preserve">achieving </w:t>
      </w:r>
      <w:r>
        <w:t xml:space="preserve">water quality </w:t>
      </w:r>
      <w:r w:rsidR="00AB1B61">
        <w:t>targets</w:t>
      </w:r>
      <w:r w:rsidR="00885463">
        <w:t>,</w:t>
      </w:r>
      <w:r w:rsidR="00314DC8">
        <w:t xml:space="preserve"> while</w:t>
      </w:r>
      <w:r>
        <w:t xml:space="preserve"> the secondary objectives focus on water quality parameters that can be used to provide information for future refinements of the BMAP. The monitoring strategy may be updated</w:t>
      </w:r>
      <w:r w:rsidR="00AB1B61">
        <w:t xml:space="preserve"> as necessary</w:t>
      </w:r>
      <w:r>
        <w:t>.</w:t>
      </w:r>
    </w:p>
    <w:p w14:paraId="15385F81" w14:textId="77777777" w:rsidR="00C2586F" w:rsidRPr="008C5E8B" w:rsidRDefault="00C2586F" w:rsidP="00C2586F">
      <w:pPr>
        <w:pStyle w:val="BodyText"/>
        <w:rPr>
          <w:b/>
        </w:rPr>
      </w:pPr>
      <w:r w:rsidRPr="008C5E8B">
        <w:rPr>
          <w:b/>
        </w:rPr>
        <w:t>Primary objectives:</w:t>
      </w:r>
    </w:p>
    <w:p w14:paraId="2EB4A62A" w14:textId="5FFB2E87" w:rsidR="00C2586F" w:rsidRPr="00885463" w:rsidRDefault="00AB1B61">
      <w:pPr>
        <w:pStyle w:val="Bullet"/>
      </w:pPr>
      <w:r>
        <w:t>Measure</w:t>
      </w:r>
      <w:r w:rsidR="00C2586F" w:rsidRPr="00885463">
        <w:t xml:space="preserve"> the water quality </w:t>
      </w:r>
      <w:r w:rsidR="00C115EE">
        <w:t xml:space="preserve">and biological response </w:t>
      </w:r>
      <w:r>
        <w:t>in the impaired springs, river, and</w:t>
      </w:r>
      <w:r w:rsidR="00C115EE">
        <w:t>/or</w:t>
      </w:r>
      <w:r>
        <w:t xml:space="preserve"> groundwater at the beginning of the BMAP period and during implementation</w:t>
      </w:r>
      <w:r w:rsidR="00C2586F" w:rsidRPr="00885463">
        <w:t>.</w:t>
      </w:r>
    </w:p>
    <w:p w14:paraId="63576BFA" w14:textId="26AC572F" w:rsidR="00C2586F" w:rsidRPr="00885463" w:rsidRDefault="00C2586F">
      <w:pPr>
        <w:pStyle w:val="Bullet"/>
      </w:pPr>
      <w:r w:rsidRPr="00885463">
        <w:t xml:space="preserve">Document nutrient trends in the </w:t>
      </w:r>
      <w:r w:rsidR="00551ABF">
        <w:t>Jackson Blue Spring</w:t>
      </w:r>
      <w:r w:rsidRPr="00885463">
        <w:t xml:space="preserve"> Basin and associated springs</w:t>
      </w:r>
      <w:r w:rsidR="00AB1B61">
        <w:t xml:space="preserve"> and groundwater</w:t>
      </w:r>
      <w:r w:rsidRPr="00885463">
        <w:t>.</w:t>
      </w:r>
    </w:p>
    <w:p w14:paraId="2BD6440B" w14:textId="0619D07E" w:rsidR="00C2586F" w:rsidRPr="00885463" w:rsidRDefault="00C2586F">
      <w:pPr>
        <w:pStyle w:val="Bullet"/>
      </w:pPr>
      <w:r w:rsidRPr="00885463">
        <w:t xml:space="preserve">Focus BMP efforts by using </w:t>
      </w:r>
      <w:r w:rsidR="00AB1B61">
        <w:t>water quality</w:t>
      </w:r>
      <w:r w:rsidRPr="00885463">
        <w:t xml:space="preserve"> results combined with appropriate </w:t>
      </w:r>
      <w:r w:rsidR="00AB1B61">
        <w:t>project</w:t>
      </w:r>
      <w:r w:rsidRPr="00885463">
        <w:t xml:space="preserve"> information </w:t>
      </w:r>
      <w:r w:rsidR="00AB1B61">
        <w:t>and</w:t>
      </w:r>
      <w:r w:rsidRPr="00885463">
        <w:t xml:space="preserve"> land use </w:t>
      </w:r>
      <w:r w:rsidR="00AB1B61">
        <w:t>in conjunction with statistical and spatial analysis tools</w:t>
      </w:r>
      <w:r w:rsidRPr="00885463">
        <w:t>.</w:t>
      </w:r>
    </w:p>
    <w:p w14:paraId="55FD14E4" w14:textId="77777777" w:rsidR="00C2586F" w:rsidRPr="008C5E8B" w:rsidRDefault="00C2586F" w:rsidP="00C2586F">
      <w:pPr>
        <w:pStyle w:val="BodyText"/>
        <w:rPr>
          <w:b/>
        </w:rPr>
      </w:pPr>
      <w:r w:rsidRPr="008C5E8B">
        <w:rPr>
          <w:b/>
        </w:rPr>
        <w:t>Secondary objectives:</w:t>
      </w:r>
    </w:p>
    <w:p w14:paraId="69173FD3" w14:textId="6D3FCEB4" w:rsidR="00C2586F" w:rsidRDefault="00C2586F">
      <w:pPr>
        <w:pStyle w:val="Bullet"/>
      </w:pPr>
      <w:r w:rsidRPr="00885463">
        <w:t xml:space="preserve">Identify areas where groundwater data </w:t>
      </w:r>
      <w:r w:rsidR="00AB1B61">
        <w:t xml:space="preserve">and modeling </w:t>
      </w:r>
      <w:r w:rsidRPr="00885463">
        <w:t>might help in understanding the hydrodynamics of the system.</w:t>
      </w:r>
    </w:p>
    <w:p w14:paraId="667A3F4D" w14:textId="740C993B" w:rsidR="00C115EE" w:rsidRPr="00885463" w:rsidRDefault="00C115EE" w:rsidP="00C115EE">
      <w:pPr>
        <w:pStyle w:val="Bullet"/>
      </w:pPr>
      <w:r>
        <w:t>Confirm and refine nutrient removal efficiencies of agricultural and/or urban BMPs.</w:t>
      </w:r>
    </w:p>
    <w:p w14:paraId="6D72484E" w14:textId="77777777" w:rsidR="00FD3AEE" w:rsidRPr="00885463" w:rsidRDefault="00FD3AEE" w:rsidP="00FD3AEE">
      <w:pPr>
        <w:pStyle w:val="Bullet"/>
      </w:pPr>
      <w:r>
        <w:t>Develop an advanced BMP implementation plan.</w:t>
      </w:r>
    </w:p>
    <w:p w14:paraId="43E30B0A" w14:textId="27602FBE" w:rsidR="00C2586F" w:rsidRPr="00885463" w:rsidRDefault="00AB1B61">
      <w:pPr>
        <w:pStyle w:val="Bullet"/>
      </w:pPr>
      <w:r>
        <w:t>Identify</w:t>
      </w:r>
      <w:r w:rsidR="00C2586F" w:rsidRPr="00885463">
        <w:t xml:space="preserve"> and implement more effective nutrient reduction strategies.</w:t>
      </w:r>
    </w:p>
    <w:p w14:paraId="782B4703" w14:textId="39A3D23D" w:rsidR="00C2586F" w:rsidRPr="00885463" w:rsidRDefault="00AB1B61">
      <w:pPr>
        <w:pStyle w:val="Bullet"/>
      </w:pPr>
      <w:r>
        <w:t>Use</w:t>
      </w:r>
      <w:r w:rsidR="00C2586F" w:rsidRPr="00885463">
        <w:t xml:space="preserve"> nitrogen isotope and tracer sampling for </w:t>
      </w:r>
      <w:r>
        <w:t>evaluating nitrogen contributions from</w:t>
      </w:r>
      <w:r w:rsidR="00C2586F" w:rsidRPr="00885463">
        <w:t xml:space="preserve"> organic and inorganic sources.</w:t>
      </w:r>
    </w:p>
    <w:p w14:paraId="5BEDF758" w14:textId="4219998B" w:rsidR="00273F30" w:rsidRDefault="00771FC8" w:rsidP="001451E2">
      <w:pPr>
        <w:pStyle w:val="Heading3"/>
      </w:pPr>
      <w:r>
        <w:t>Water Quality Parameters</w:t>
      </w:r>
      <w:r w:rsidR="00273F30">
        <w:t>, Frequency, and Network</w:t>
      </w:r>
    </w:p>
    <w:p w14:paraId="008EA8BB" w14:textId="77777777" w:rsidR="00771FC8" w:rsidRDefault="00273F30" w:rsidP="00314DC8">
      <w:pPr>
        <w:pStyle w:val="BodyText"/>
        <w:rPr>
          <w:rFonts w:eastAsia="Calibri"/>
        </w:rPr>
      </w:pPr>
      <w:r w:rsidRPr="00273F30">
        <w:rPr>
          <w:rFonts w:eastAsiaTheme="minorHAnsi"/>
        </w:rPr>
        <w:t>To achieve the objectives listed above, the monitoring strategy focuses on two types of indicators to track improvements in water quality: core and supplemental (</w:t>
      </w:r>
      <w:r w:rsidR="00F24DFC">
        <w:rPr>
          <w:rFonts w:eastAsiaTheme="minorHAnsi"/>
          <w:b/>
        </w:rPr>
        <w:t>Table 1</w:t>
      </w:r>
      <w:r w:rsidR="00014367">
        <w:rPr>
          <w:rFonts w:eastAsiaTheme="minorHAnsi"/>
          <w:b/>
        </w:rPr>
        <w:t>5</w:t>
      </w:r>
      <w:r w:rsidR="00F24DFC">
        <w:rPr>
          <w:rFonts w:eastAsiaTheme="minorHAnsi"/>
        </w:rPr>
        <w:t xml:space="preserve"> and </w:t>
      </w:r>
      <w:r w:rsidR="00F24DFC">
        <w:rPr>
          <w:rFonts w:eastAsiaTheme="minorHAnsi"/>
          <w:b/>
        </w:rPr>
        <w:t>Table 1</w:t>
      </w:r>
      <w:r w:rsidR="00014367">
        <w:rPr>
          <w:rFonts w:eastAsiaTheme="minorHAnsi"/>
          <w:b/>
        </w:rPr>
        <w:t>6</w:t>
      </w:r>
      <w:r w:rsidR="00F24DFC">
        <w:rPr>
          <w:rFonts w:eastAsiaTheme="minorHAnsi"/>
          <w:b/>
        </w:rPr>
        <w:t>,</w:t>
      </w:r>
      <w:r w:rsidRPr="00273F30">
        <w:rPr>
          <w:rFonts w:eastAsiaTheme="minorHAnsi"/>
        </w:rPr>
        <w:t xml:space="preserve"> respectively). The core indicators are directly related to the parameters causing impairment in the river or associated springs. Supplemental indicators are monitored primarily to support the interpretation of core water quality </w:t>
      </w:r>
      <w:r>
        <w:t>parameters.</w:t>
      </w:r>
      <w:r w:rsidR="00314DC8">
        <w:t xml:space="preserve"> </w:t>
      </w:r>
      <w:r w:rsidR="00314DC8">
        <w:rPr>
          <w:rFonts w:eastAsia="Calibri"/>
        </w:rPr>
        <w:t>The monitoring network is established for a variety of purposes.</w:t>
      </w:r>
    </w:p>
    <w:p w14:paraId="44135A70" w14:textId="6A4EDF5E" w:rsidR="00314DC8" w:rsidRDefault="00314DC8" w:rsidP="00314DC8">
      <w:pPr>
        <w:pStyle w:val="BodyText"/>
        <w:rPr>
          <w:rFonts w:eastAsia="Calibri"/>
        </w:rPr>
      </w:pPr>
      <w:r>
        <w:rPr>
          <w:rFonts w:eastAsia="Calibri"/>
        </w:rPr>
        <w:t xml:space="preserve">For this BMAP, </w:t>
      </w:r>
      <w:r w:rsidR="00771FC8">
        <w:rPr>
          <w:rFonts w:eastAsia="Calibri"/>
        </w:rPr>
        <w:t>nitrate</w:t>
      </w:r>
      <w:r>
        <w:rPr>
          <w:rFonts w:eastAsia="Calibri"/>
        </w:rPr>
        <w:t xml:space="preserve"> is considered to be the key core parameter measured, to track progress in decreasing nitrogen concentrations in groundwater and the water surfac</w:t>
      </w:r>
      <w:r w:rsidR="00885463">
        <w:rPr>
          <w:rFonts w:eastAsia="Calibri"/>
        </w:rPr>
        <w:t>ing</w:t>
      </w:r>
      <w:r>
        <w:rPr>
          <w:rFonts w:eastAsia="Calibri"/>
        </w:rPr>
        <w:t xml:space="preserve"> at the spring</w:t>
      </w:r>
      <w:r w:rsidR="00885463">
        <w:rPr>
          <w:rFonts w:eastAsia="Calibri"/>
        </w:rPr>
        <w:t xml:space="preserve"> vent</w:t>
      </w:r>
      <w:r>
        <w:rPr>
          <w:rFonts w:eastAsia="Calibri"/>
        </w:rPr>
        <w:t>. The other parameters are considered supplementary parameters for the BMAP, as they build information about groundwater and the spring but are not direct measurements of impairment.</w:t>
      </w:r>
    </w:p>
    <w:p w14:paraId="1CCAD53D" w14:textId="0424F286" w:rsidR="00273F30" w:rsidRDefault="00273F30" w:rsidP="00273F30">
      <w:pPr>
        <w:pStyle w:val="BodyText"/>
      </w:pPr>
      <w:r w:rsidRPr="00273F30">
        <w:rPr>
          <w:rFonts w:eastAsiaTheme="minorHAnsi"/>
        </w:rPr>
        <w:t xml:space="preserve">At a minimum, the core parameters will be tracked to determine the progress that has been made towards meeting the TMDLs and/or achieving </w:t>
      </w:r>
      <w:r w:rsidR="00885463">
        <w:rPr>
          <w:rFonts w:eastAsiaTheme="minorHAnsi"/>
        </w:rPr>
        <w:t xml:space="preserve">the </w:t>
      </w:r>
      <w:r w:rsidR="00A56DDB">
        <w:rPr>
          <w:rFonts w:eastAsiaTheme="minorHAnsi"/>
        </w:rPr>
        <w:t>numeric nutrient criteria (</w:t>
      </w:r>
      <w:r w:rsidRPr="00273F30">
        <w:rPr>
          <w:rFonts w:eastAsiaTheme="minorHAnsi"/>
        </w:rPr>
        <w:t>NNC</w:t>
      </w:r>
      <w:r w:rsidR="00A56DDB">
        <w:rPr>
          <w:rFonts w:eastAsiaTheme="minorHAnsi"/>
        </w:rPr>
        <w:t>)</w:t>
      </w:r>
      <w:r w:rsidRPr="00273F30">
        <w:rPr>
          <w:rFonts w:eastAsiaTheme="minorHAnsi"/>
        </w:rPr>
        <w:t xml:space="preserve">. </w:t>
      </w:r>
      <w:r w:rsidR="00885463">
        <w:rPr>
          <w:rFonts w:eastAsiaTheme="minorHAnsi"/>
        </w:rPr>
        <w:t>R</w:t>
      </w:r>
      <w:r w:rsidRPr="00273F30">
        <w:rPr>
          <w:rFonts w:eastAsiaTheme="minorHAnsi"/>
        </w:rPr>
        <w:t>esource responses to BMAP implementation may also be tracked. A significant amount of time may be</w:t>
      </w:r>
      <w:r>
        <w:t xml:space="preserve"> needed for changes in water chemistry to be observed. </w:t>
      </w:r>
    </w:p>
    <w:p w14:paraId="68FE8713" w14:textId="1878AAF7" w:rsidR="00273F30" w:rsidRDefault="008941E0" w:rsidP="008941E0">
      <w:pPr>
        <w:pStyle w:val="Caption"/>
      </w:pPr>
      <w:bookmarkStart w:id="150" w:name="_Toc514430965"/>
      <w:r>
        <w:t xml:space="preserve">Table </w:t>
      </w:r>
      <w:fldSimple w:instr=" SEQ Table \* ARABIC ">
        <w:r w:rsidR="002A2E30">
          <w:rPr>
            <w:noProof/>
          </w:rPr>
          <w:t>15</w:t>
        </w:r>
      </w:fldSimple>
      <w:r>
        <w:t xml:space="preserve">. </w:t>
      </w:r>
      <w:r w:rsidR="00273F30">
        <w:t>Core water quality indicators</w:t>
      </w:r>
      <w:bookmarkEnd w:id="150"/>
    </w:p>
    <w:tbl>
      <w:tblPr>
        <w:tblW w:w="273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738"/>
      </w:tblGrid>
      <w:tr w:rsidR="00771FC8" w14:paraId="7BAFA8D0" w14:textId="77777777" w:rsidTr="00BE5A45">
        <w:trPr>
          <w:trHeight w:val="288"/>
          <w:tblHeader/>
          <w:jc w:val="center"/>
        </w:trPr>
        <w:tc>
          <w:tcPr>
            <w:tcW w:w="273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center"/>
            <w:hideMark/>
          </w:tcPr>
          <w:p w14:paraId="3D044FA1" w14:textId="77777777" w:rsidR="00771FC8" w:rsidRPr="00770684" w:rsidRDefault="00771FC8" w:rsidP="00E838E4">
            <w:pPr>
              <w:pStyle w:val="Tablecolumnheader"/>
              <w:rPr>
                <w:rFonts w:cs="Times New Roman"/>
                <w:smallCaps w:val="0"/>
                <w:szCs w:val="20"/>
              </w:rPr>
            </w:pPr>
            <w:r w:rsidRPr="00770684">
              <w:rPr>
                <w:rFonts w:cs="Times New Roman"/>
                <w:smallCaps w:val="0"/>
                <w:szCs w:val="20"/>
              </w:rPr>
              <w:t>Core Parameters</w:t>
            </w:r>
          </w:p>
        </w:tc>
      </w:tr>
      <w:tr w:rsidR="00771FC8" w14:paraId="50B1B93F"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CEC4048" w14:textId="77777777" w:rsidR="00771FC8" w:rsidRPr="00770684" w:rsidRDefault="00771FC8" w:rsidP="009F2B2C">
            <w:pPr>
              <w:pStyle w:val="TableText"/>
              <w:jc w:val="center"/>
              <w:rPr>
                <w:b/>
              </w:rPr>
            </w:pPr>
            <w:r w:rsidRPr="00770684">
              <w:rPr>
                <w:b/>
              </w:rPr>
              <w:t>Chloride</w:t>
            </w:r>
          </w:p>
        </w:tc>
      </w:tr>
      <w:tr w:rsidR="00771FC8" w14:paraId="553B2592"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4D1C8412" w14:textId="77777777" w:rsidR="00771FC8" w:rsidRPr="00770684" w:rsidRDefault="00771FC8" w:rsidP="009F2B2C">
            <w:pPr>
              <w:pStyle w:val="TableText"/>
              <w:jc w:val="center"/>
              <w:rPr>
                <w:b/>
              </w:rPr>
            </w:pPr>
            <w:r w:rsidRPr="00770684">
              <w:rPr>
                <w:b/>
              </w:rPr>
              <w:t>Sulfate</w:t>
            </w:r>
          </w:p>
        </w:tc>
      </w:tr>
      <w:tr w:rsidR="00771FC8" w14:paraId="2021F4C7"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91D35FE" w14:textId="77777777" w:rsidR="00771FC8" w:rsidRPr="00770684" w:rsidRDefault="00771FC8" w:rsidP="009F2B2C">
            <w:pPr>
              <w:pStyle w:val="TableText"/>
              <w:jc w:val="center"/>
              <w:rPr>
                <w:b/>
              </w:rPr>
            </w:pPr>
            <w:r w:rsidRPr="00770684">
              <w:rPr>
                <w:b/>
              </w:rPr>
              <w:t>Potassium</w:t>
            </w:r>
          </w:p>
        </w:tc>
      </w:tr>
      <w:tr w:rsidR="00771FC8" w14:paraId="6B7218AC"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51B82A5E" w14:textId="77777777" w:rsidR="00771FC8" w:rsidRPr="00770684" w:rsidRDefault="00771FC8" w:rsidP="009F2B2C">
            <w:pPr>
              <w:pStyle w:val="TableText"/>
              <w:jc w:val="center"/>
              <w:rPr>
                <w:b/>
              </w:rPr>
            </w:pPr>
            <w:r w:rsidRPr="00770684">
              <w:rPr>
                <w:b/>
              </w:rPr>
              <w:t>Ammonia as Nitrogen</w:t>
            </w:r>
          </w:p>
        </w:tc>
      </w:tr>
      <w:tr w:rsidR="00771FC8" w14:paraId="5E7797B3"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tcPr>
          <w:p w14:paraId="6C6A6A90" w14:textId="279986C4" w:rsidR="00771FC8" w:rsidRPr="00770684" w:rsidRDefault="00771FC8" w:rsidP="008D4340">
            <w:pPr>
              <w:pStyle w:val="TableText"/>
              <w:jc w:val="center"/>
              <w:rPr>
                <w:b/>
              </w:rPr>
            </w:pPr>
            <w:r w:rsidRPr="00103B48">
              <w:rPr>
                <w:b/>
              </w:rPr>
              <w:t>Total Kjeldahl Nitrogen</w:t>
            </w:r>
          </w:p>
        </w:tc>
      </w:tr>
      <w:tr w:rsidR="00771FC8" w14:paraId="6F9F63A2" w14:textId="77777777" w:rsidTr="00BE5A45">
        <w:trPr>
          <w:cantSplit/>
          <w:trHeight w:val="288"/>
          <w:jc w:val="center"/>
        </w:trPr>
        <w:tc>
          <w:tcPr>
            <w:tcW w:w="2738" w:type="dxa"/>
            <w:tcBorders>
              <w:top w:val="single" w:sz="6" w:space="0" w:color="auto"/>
              <w:left w:val="single" w:sz="4" w:space="0" w:color="auto"/>
              <w:bottom w:val="single" w:sz="6" w:space="0" w:color="auto"/>
              <w:right w:val="single" w:sz="6" w:space="0" w:color="auto"/>
            </w:tcBorders>
            <w:vAlign w:val="center"/>
            <w:hideMark/>
          </w:tcPr>
          <w:p w14:paraId="13297613" w14:textId="46049D0C" w:rsidR="00771FC8" w:rsidRPr="00770684" w:rsidRDefault="00771FC8" w:rsidP="008D4340">
            <w:pPr>
              <w:pStyle w:val="TableText"/>
              <w:jc w:val="center"/>
              <w:rPr>
                <w:b/>
              </w:rPr>
            </w:pPr>
            <w:r w:rsidRPr="00770684">
              <w:rPr>
                <w:b/>
              </w:rPr>
              <w:t>Nitrate/</w:t>
            </w:r>
            <w:r>
              <w:rPr>
                <w:b/>
              </w:rPr>
              <w:t>N</w:t>
            </w:r>
            <w:r w:rsidRPr="00770684">
              <w:rPr>
                <w:b/>
              </w:rPr>
              <w:t>itrite as Nitrogen</w:t>
            </w:r>
          </w:p>
        </w:tc>
      </w:tr>
    </w:tbl>
    <w:p w14:paraId="2077B980" w14:textId="07808F2D" w:rsidR="00273F30" w:rsidRDefault="00273F30" w:rsidP="00D062B6">
      <w:pPr>
        <w:pStyle w:val="Bodytextreduced"/>
      </w:pPr>
    </w:p>
    <w:p w14:paraId="6A0162DF" w14:textId="77777777" w:rsidR="00885463" w:rsidRDefault="00885463" w:rsidP="00D062B6">
      <w:pPr>
        <w:pStyle w:val="Bodytextreduced"/>
      </w:pPr>
    </w:p>
    <w:p w14:paraId="43C08CCB" w14:textId="5C6FC710" w:rsidR="00273F30" w:rsidRDefault="008941E0" w:rsidP="008941E0">
      <w:pPr>
        <w:pStyle w:val="Caption"/>
      </w:pPr>
      <w:bookmarkStart w:id="151" w:name="_Toc514430966"/>
      <w:r>
        <w:t xml:space="preserve">Table </w:t>
      </w:r>
      <w:fldSimple w:instr=" SEQ Table \* ARABIC ">
        <w:r w:rsidR="002A2E30">
          <w:rPr>
            <w:noProof/>
          </w:rPr>
          <w:t>16</w:t>
        </w:r>
      </w:fldSimple>
      <w:r>
        <w:t>.</w:t>
      </w:r>
      <w:r w:rsidR="00273F30">
        <w:t xml:space="preserve"> Supplemental water quality indicators and field parameters</w:t>
      </w:r>
      <w:bookmarkEnd w:id="151"/>
    </w:p>
    <w:tbl>
      <w:tblPr>
        <w:tblW w:w="316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168"/>
      </w:tblGrid>
      <w:tr w:rsidR="00771FC8" w14:paraId="7B1E599D" w14:textId="77777777" w:rsidTr="00BE5A45">
        <w:trPr>
          <w:trHeight w:val="280"/>
          <w:tblHeader/>
          <w:jc w:val="center"/>
        </w:trPr>
        <w:tc>
          <w:tcPr>
            <w:tcW w:w="3168" w:type="dxa"/>
            <w:tcBorders>
              <w:top w:val="single" w:sz="4" w:space="0" w:color="auto"/>
              <w:left w:val="single" w:sz="4" w:space="0" w:color="auto"/>
              <w:bottom w:val="single" w:sz="6" w:space="0" w:color="auto"/>
              <w:right w:val="single" w:sz="6" w:space="0" w:color="auto"/>
            </w:tcBorders>
            <w:shd w:val="clear" w:color="auto" w:fill="DEEAF6" w:themeFill="accent1" w:themeFillTint="33"/>
            <w:vAlign w:val="bottom"/>
            <w:hideMark/>
          </w:tcPr>
          <w:p w14:paraId="3D7B75C5" w14:textId="77777777" w:rsidR="00771FC8" w:rsidRPr="00770684" w:rsidRDefault="00771FC8" w:rsidP="00E838E4">
            <w:pPr>
              <w:pStyle w:val="Tablecolumnheader"/>
              <w:rPr>
                <w:rFonts w:cs="Times New Roman"/>
                <w:smallCaps w:val="0"/>
                <w:szCs w:val="20"/>
              </w:rPr>
            </w:pPr>
            <w:r w:rsidRPr="00770684">
              <w:rPr>
                <w:rFonts w:cs="Times New Roman"/>
                <w:smallCaps w:val="0"/>
                <w:szCs w:val="20"/>
              </w:rPr>
              <w:t>Supplemental Parameters</w:t>
            </w:r>
          </w:p>
        </w:tc>
      </w:tr>
      <w:tr w:rsidR="00771FC8" w14:paraId="1BC06017" w14:textId="77777777" w:rsidTr="00BE5A45">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5660C8D4" w14:textId="2EA2B4CB" w:rsidR="00771FC8" w:rsidRPr="00770684" w:rsidRDefault="00771FC8" w:rsidP="009F2B2C">
            <w:pPr>
              <w:pStyle w:val="TableText"/>
              <w:jc w:val="center"/>
              <w:rPr>
                <w:b/>
              </w:rPr>
            </w:pPr>
            <w:r w:rsidRPr="00770684">
              <w:rPr>
                <w:b/>
              </w:rPr>
              <w:t xml:space="preserve">Specific </w:t>
            </w:r>
            <w:r>
              <w:rPr>
                <w:b/>
              </w:rPr>
              <w:t>C</w:t>
            </w:r>
            <w:r w:rsidRPr="00770684">
              <w:rPr>
                <w:b/>
              </w:rPr>
              <w:t>onductance</w:t>
            </w:r>
          </w:p>
        </w:tc>
      </w:tr>
      <w:tr w:rsidR="00771FC8" w14:paraId="65C4F4B5" w14:textId="77777777" w:rsidTr="00BE5A45">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3E330C47" w14:textId="41668C74" w:rsidR="00771FC8" w:rsidRPr="00770684" w:rsidRDefault="00771FC8" w:rsidP="009F2B2C">
            <w:pPr>
              <w:pStyle w:val="TableText"/>
              <w:jc w:val="center"/>
              <w:rPr>
                <w:b/>
              </w:rPr>
            </w:pPr>
            <w:r w:rsidRPr="00770684">
              <w:rPr>
                <w:b/>
              </w:rPr>
              <w:t>D</w:t>
            </w:r>
            <w:r>
              <w:rPr>
                <w:b/>
              </w:rPr>
              <w:t>issolved Oxygen (D</w:t>
            </w:r>
            <w:r w:rsidRPr="00770684">
              <w:rPr>
                <w:b/>
              </w:rPr>
              <w:t>O</w:t>
            </w:r>
            <w:r>
              <w:rPr>
                <w:b/>
              </w:rPr>
              <w:t>)</w:t>
            </w:r>
          </w:p>
        </w:tc>
      </w:tr>
      <w:tr w:rsidR="00771FC8" w14:paraId="49014126" w14:textId="77777777" w:rsidTr="00BE5A45">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4FECB233" w14:textId="77777777" w:rsidR="00771FC8" w:rsidRPr="00770684" w:rsidRDefault="00771FC8" w:rsidP="009F2B2C">
            <w:pPr>
              <w:pStyle w:val="TableText"/>
              <w:jc w:val="center"/>
              <w:rPr>
                <w:b/>
              </w:rPr>
            </w:pPr>
            <w:r w:rsidRPr="00770684">
              <w:rPr>
                <w:b/>
              </w:rPr>
              <w:t>pH</w:t>
            </w:r>
          </w:p>
        </w:tc>
      </w:tr>
      <w:tr w:rsidR="00771FC8" w14:paraId="1A4F59FF" w14:textId="77777777" w:rsidTr="00BE5A45">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502D3754" w14:textId="77777777" w:rsidR="00771FC8" w:rsidRPr="00770684" w:rsidRDefault="00771FC8" w:rsidP="009F2B2C">
            <w:pPr>
              <w:pStyle w:val="TableText"/>
              <w:jc w:val="center"/>
              <w:rPr>
                <w:b/>
              </w:rPr>
            </w:pPr>
            <w:r w:rsidRPr="00770684">
              <w:rPr>
                <w:b/>
              </w:rPr>
              <w:t>Temperature</w:t>
            </w:r>
          </w:p>
        </w:tc>
      </w:tr>
      <w:tr w:rsidR="00771FC8" w14:paraId="22BB6550" w14:textId="77777777" w:rsidTr="00BE5A45">
        <w:trPr>
          <w:cantSplit/>
          <w:trHeight w:val="288"/>
          <w:jc w:val="center"/>
        </w:trPr>
        <w:tc>
          <w:tcPr>
            <w:tcW w:w="3168" w:type="dxa"/>
            <w:tcBorders>
              <w:top w:val="single" w:sz="6" w:space="0" w:color="auto"/>
              <w:left w:val="single" w:sz="4" w:space="0" w:color="auto"/>
              <w:bottom w:val="single" w:sz="6" w:space="0" w:color="auto"/>
              <w:right w:val="single" w:sz="6" w:space="0" w:color="auto"/>
            </w:tcBorders>
            <w:vAlign w:val="center"/>
            <w:hideMark/>
          </w:tcPr>
          <w:p w14:paraId="713C56A3" w14:textId="7E7D81C9" w:rsidR="00771FC8" w:rsidRPr="00770684" w:rsidRDefault="00771FC8" w:rsidP="009F2B2C">
            <w:pPr>
              <w:pStyle w:val="TableText"/>
              <w:jc w:val="center"/>
              <w:rPr>
                <w:b/>
              </w:rPr>
            </w:pPr>
            <w:r w:rsidRPr="00770684">
              <w:rPr>
                <w:b/>
              </w:rPr>
              <w:t xml:space="preserve">Total </w:t>
            </w:r>
            <w:r>
              <w:rPr>
                <w:b/>
              </w:rPr>
              <w:t>S</w:t>
            </w:r>
            <w:r w:rsidRPr="00770684">
              <w:rPr>
                <w:b/>
              </w:rPr>
              <w:t xml:space="preserve">uspended </w:t>
            </w:r>
            <w:r>
              <w:rPr>
                <w:b/>
              </w:rPr>
              <w:t>S</w:t>
            </w:r>
            <w:r w:rsidRPr="00770684">
              <w:rPr>
                <w:b/>
              </w:rPr>
              <w:t>olids</w:t>
            </w:r>
            <w:r>
              <w:rPr>
                <w:b/>
              </w:rPr>
              <w:t xml:space="preserve"> (TSS)</w:t>
            </w:r>
          </w:p>
        </w:tc>
      </w:tr>
      <w:tr w:rsidR="00771FC8" w14:paraId="5B2BF415" w14:textId="77777777" w:rsidTr="00BE5A45">
        <w:trPr>
          <w:cantSplit/>
          <w:trHeight w:val="288"/>
          <w:jc w:val="center"/>
        </w:trPr>
        <w:tc>
          <w:tcPr>
            <w:tcW w:w="3168" w:type="dxa"/>
            <w:tcBorders>
              <w:top w:val="single" w:sz="6" w:space="0" w:color="auto"/>
              <w:left w:val="single" w:sz="4" w:space="0" w:color="auto"/>
              <w:bottom w:val="single" w:sz="4" w:space="0" w:color="auto"/>
              <w:right w:val="single" w:sz="6" w:space="0" w:color="auto"/>
            </w:tcBorders>
            <w:vAlign w:val="center"/>
          </w:tcPr>
          <w:p w14:paraId="4472128B" w14:textId="0A84CEA9" w:rsidR="00771FC8" w:rsidRPr="00770684" w:rsidRDefault="00771FC8" w:rsidP="009F2B2C">
            <w:pPr>
              <w:pStyle w:val="TableText"/>
              <w:jc w:val="center"/>
              <w:rPr>
                <w:b/>
              </w:rPr>
            </w:pPr>
            <w:r>
              <w:rPr>
                <w:b/>
              </w:rPr>
              <w:t>Nitrate and Oxygen Isotopes</w:t>
            </w:r>
          </w:p>
        </w:tc>
      </w:tr>
    </w:tbl>
    <w:p w14:paraId="46BAD166" w14:textId="77777777" w:rsidR="00771FC8" w:rsidRDefault="00771FC8">
      <w:pPr>
        <w:jc w:val="left"/>
      </w:pPr>
    </w:p>
    <w:p w14:paraId="3C529DC1" w14:textId="742F3643" w:rsidR="00771FC8" w:rsidRDefault="00771FC8" w:rsidP="00771FC8">
      <w:pPr>
        <w:pStyle w:val="BodyText"/>
      </w:pPr>
      <w:r>
        <w:t xml:space="preserve">Initially, data from the ongoing sampling effort being conducted by NWFWMD at the spring vent as well as sampling performed by DEP will be used to determine progress towards the primary objectives. </w:t>
      </w:r>
      <w:r w:rsidRPr="00657B28">
        <w:t xml:space="preserve">Surface </w:t>
      </w:r>
      <w:r>
        <w:t>w</w:t>
      </w:r>
      <w:r w:rsidRPr="00657B28">
        <w:t xml:space="preserve">ater and </w:t>
      </w:r>
      <w:r>
        <w:t>groundw</w:t>
      </w:r>
      <w:r w:rsidRPr="00657B28">
        <w:t xml:space="preserve">ater </w:t>
      </w:r>
      <w:r>
        <w:t>m</w:t>
      </w:r>
      <w:r w:rsidRPr="00657B28">
        <w:t xml:space="preserve">onitoring </w:t>
      </w:r>
      <w:r>
        <w:t>n</w:t>
      </w:r>
      <w:r w:rsidRPr="00657B28">
        <w:t>etwork locations</w:t>
      </w:r>
      <w:r>
        <w:t xml:space="preserve"> were selected </w:t>
      </w:r>
      <w:r w:rsidRPr="00657B28">
        <w:t>to track changes in water quality and allow the annual</w:t>
      </w:r>
      <w:r>
        <w:t xml:space="preserve"> </w:t>
      </w:r>
      <w:r w:rsidRPr="00657B28">
        <w:t>evaluation of progress toward achieving the TMDL.</w:t>
      </w:r>
      <w:r>
        <w:t xml:space="preserve"> </w:t>
      </w:r>
      <w:r w:rsidR="00D74061">
        <w:rPr>
          <w:b/>
        </w:rPr>
        <w:t>Figure 4</w:t>
      </w:r>
      <w:r>
        <w:rPr>
          <w:b/>
        </w:rPr>
        <w:t xml:space="preserve"> </w:t>
      </w:r>
      <w:r>
        <w:t>shows the locations of the river and spring stations that will be used for the BMAP monitoring in the Jackson Blue Basin.</w:t>
      </w:r>
      <w:r w:rsidRPr="003A6DD7">
        <w:t xml:space="preserve"> </w:t>
      </w:r>
    </w:p>
    <w:p w14:paraId="28263AC3" w14:textId="2CB1B9D9" w:rsidR="00771FC8" w:rsidRDefault="00771FC8">
      <w:pPr>
        <w:jc w:val="left"/>
      </w:pPr>
      <w:r>
        <w:rPr>
          <w:noProof/>
        </w:rPr>
        <w:drawing>
          <wp:inline distT="0" distB="0" distL="0" distR="0" wp14:anchorId="393391B9" wp14:editId="0A6A4286">
            <wp:extent cx="5943599" cy="7691717"/>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R_071217_WQ_Monitori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599" cy="7691717"/>
                    </a:xfrm>
                    <a:prstGeom prst="rect">
                      <a:avLst/>
                    </a:prstGeom>
                  </pic:spPr>
                </pic:pic>
              </a:graphicData>
            </a:graphic>
          </wp:inline>
        </w:drawing>
      </w:r>
    </w:p>
    <w:p w14:paraId="6BE038E5" w14:textId="0A1849E2" w:rsidR="00771FC8" w:rsidRDefault="00771FC8" w:rsidP="00771FC8">
      <w:pPr>
        <w:pStyle w:val="Caption"/>
      </w:pPr>
      <w:bookmarkStart w:id="152" w:name="_Toc495323850"/>
      <w:bookmarkStart w:id="153" w:name="_Toc510095117"/>
      <w:bookmarkStart w:id="154" w:name="_Toc511221676"/>
      <w:bookmarkStart w:id="155" w:name="_Toc511989407"/>
      <w:bookmarkStart w:id="156" w:name="_Toc514430779"/>
      <w:r>
        <w:t xml:space="preserve">Figure </w:t>
      </w:r>
      <w:fldSimple w:instr=" SEQ Figure \* ARABIC ">
        <w:r w:rsidR="002A2E30">
          <w:rPr>
            <w:noProof/>
          </w:rPr>
          <w:t>4</w:t>
        </w:r>
      </w:fldSimple>
      <w:r>
        <w:t xml:space="preserve">. Groundwater and surface water stations sampled in the Jackson Blue </w:t>
      </w:r>
      <w:bookmarkEnd w:id="152"/>
      <w:bookmarkEnd w:id="153"/>
      <w:bookmarkEnd w:id="154"/>
      <w:r>
        <w:t>BMAP</w:t>
      </w:r>
      <w:bookmarkEnd w:id="155"/>
      <w:r>
        <w:t xml:space="preserve"> area</w:t>
      </w:r>
      <w:bookmarkEnd w:id="156"/>
    </w:p>
    <w:p w14:paraId="3CD2CCA7" w14:textId="22921643" w:rsidR="00771FC8" w:rsidRDefault="00771FC8" w:rsidP="001451E2">
      <w:pPr>
        <w:pStyle w:val="Heading3"/>
      </w:pPr>
      <w:r>
        <w:t>Biological Monitoring</w:t>
      </w:r>
    </w:p>
    <w:p w14:paraId="7E0203FF" w14:textId="41195BB1" w:rsidR="00771FC8" w:rsidRDefault="00771FC8" w:rsidP="00BE5A45">
      <w:pPr>
        <w:pStyle w:val="BodyText"/>
      </w:pPr>
      <w:r>
        <w:t xml:space="preserve">Biological resource responses represent improvements in the overall ecological health of the </w:t>
      </w:r>
      <w:r w:rsidR="00E85C83">
        <w:t>Jackson Blue Spring and Merritts Mill Pond</w:t>
      </w:r>
      <w:r>
        <w:t xml:space="preserve"> (see </w:t>
      </w:r>
      <w:r w:rsidRPr="00771FC8">
        <w:rPr>
          <w:b/>
        </w:rPr>
        <w:t>Table 1</w:t>
      </w:r>
      <w:r>
        <w:rPr>
          <w:b/>
        </w:rPr>
        <w:t>7</w:t>
      </w:r>
      <w:r>
        <w:t>).</w:t>
      </w:r>
    </w:p>
    <w:p w14:paraId="2E604BF8" w14:textId="77777777" w:rsidR="00771FC8" w:rsidRPr="003270BD" w:rsidRDefault="00771FC8" w:rsidP="00771FC8">
      <w:pPr>
        <w:pStyle w:val="Caption"/>
        <w:rPr>
          <w:b w:val="0"/>
        </w:rPr>
      </w:pPr>
      <w:bookmarkStart w:id="157" w:name="_Toc514430967"/>
      <w:r>
        <w:t xml:space="preserve">Table </w:t>
      </w:r>
      <w:fldSimple w:instr=" SEQ Table \* ARABIC ">
        <w:r w:rsidR="002A2E30">
          <w:rPr>
            <w:noProof/>
          </w:rPr>
          <w:t>17</w:t>
        </w:r>
      </w:fldSimple>
      <w:r w:rsidRPr="003270BD">
        <w:rPr>
          <w:b w:val="0"/>
        </w:rPr>
        <w:t xml:space="preserve">. </w:t>
      </w:r>
      <w:r>
        <w:rPr>
          <w:b w:val="0"/>
        </w:rPr>
        <w:t>Biological response measures</w:t>
      </w:r>
      <w:bookmarkEnd w:id="157"/>
    </w:p>
    <w:tbl>
      <w:tblPr>
        <w:tblW w:w="48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896"/>
      </w:tblGrid>
      <w:tr w:rsidR="00771FC8" w:rsidRPr="00770684" w14:paraId="5A77CE28" w14:textId="77777777" w:rsidTr="00EE6C95">
        <w:trPr>
          <w:trHeight w:val="360"/>
          <w:tblHeader/>
          <w:jc w:val="center"/>
        </w:trPr>
        <w:tc>
          <w:tcPr>
            <w:tcW w:w="4896" w:type="dxa"/>
            <w:shd w:val="clear" w:color="auto" w:fill="D9E2F3"/>
            <w:vAlign w:val="center"/>
            <w:hideMark/>
          </w:tcPr>
          <w:p w14:paraId="3F4F2629" w14:textId="77777777" w:rsidR="00771FC8" w:rsidRPr="00770684" w:rsidRDefault="00771FC8" w:rsidP="00EE6C95">
            <w:pPr>
              <w:pStyle w:val="Tablecolumnheader"/>
              <w:rPr>
                <w:rFonts w:ascii="Times New Roman" w:hAnsi="Times New Roman" w:cs="Times New Roman"/>
                <w:szCs w:val="20"/>
              </w:rPr>
            </w:pPr>
            <w:r>
              <w:rPr>
                <w:rFonts w:cs="Times New Roman"/>
                <w:smallCaps w:val="0"/>
                <w:szCs w:val="20"/>
              </w:rPr>
              <w:t>Biological Response Measures</w:t>
            </w:r>
          </w:p>
        </w:tc>
      </w:tr>
      <w:tr w:rsidR="00771FC8" w:rsidRPr="00770684" w14:paraId="6B88F467" w14:textId="77777777" w:rsidTr="00EE6C95">
        <w:trPr>
          <w:trHeight w:val="288"/>
          <w:jc w:val="center"/>
        </w:trPr>
        <w:tc>
          <w:tcPr>
            <w:tcW w:w="4896" w:type="dxa"/>
            <w:vAlign w:val="center"/>
          </w:tcPr>
          <w:p w14:paraId="412CB783" w14:textId="77777777" w:rsidR="00771FC8" w:rsidRPr="00770684" w:rsidRDefault="00771FC8" w:rsidP="00BE5A45">
            <w:pPr>
              <w:pStyle w:val="TableText"/>
              <w:jc w:val="center"/>
            </w:pPr>
            <w:r>
              <w:t xml:space="preserve">Chlorophyll </w:t>
            </w:r>
            <w:r w:rsidRPr="00B05E5B">
              <w:rPr>
                <w:i/>
              </w:rPr>
              <w:t>a</w:t>
            </w:r>
          </w:p>
        </w:tc>
      </w:tr>
      <w:tr w:rsidR="00771FC8" w:rsidRPr="00770684" w14:paraId="42F21445" w14:textId="77777777" w:rsidTr="00EE6C95">
        <w:trPr>
          <w:trHeight w:val="288"/>
          <w:jc w:val="center"/>
        </w:trPr>
        <w:tc>
          <w:tcPr>
            <w:tcW w:w="4896" w:type="dxa"/>
            <w:vAlign w:val="center"/>
            <w:hideMark/>
          </w:tcPr>
          <w:p w14:paraId="00150F21" w14:textId="77777777" w:rsidR="00771FC8" w:rsidRPr="00770684" w:rsidRDefault="00771FC8" w:rsidP="00BE5A45">
            <w:pPr>
              <w:pStyle w:val="TableText"/>
              <w:jc w:val="center"/>
              <w:rPr>
                <w:highlight w:val="cyan"/>
              </w:rPr>
            </w:pPr>
            <w:r w:rsidRPr="00770684">
              <w:t xml:space="preserve">Stream Condition Index </w:t>
            </w:r>
            <w:r>
              <w:t xml:space="preserve">(SCI) </w:t>
            </w:r>
            <w:r w:rsidRPr="00770684">
              <w:t>score</w:t>
            </w:r>
          </w:p>
        </w:tc>
      </w:tr>
      <w:tr w:rsidR="00771FC8" w:rsidRPr="00770684" w14:paraId="165B8112" w14:textId="77777777" w:rsidTr="00EE6C95">
        <w:trPr>
          <w:trHeight w:val="288"/>
          <w:jc w:val="center"/>
        </w:trPr>
        <w:tc>
          <w:tcPr>
            <w:tcW w:w="4896" w:type="dxa"/>
            <w:vAlign w:val="center"/>
            <w:hideMark/>
          </w:tcPr>
          <w:p w14:paraId="5C006625" w14:textId="77777777" w:rsidR="00771FC8" w:rsidRPr="00770684" w:rsidRDefault="00771FC8" w:rsidP="00BE5A45">
            <w:pPr>
              <w:pStyle w:val="TableText"/>
              <w:jc w:val="center"/>
            </w:pPr>
            <w:r w:rsidRPr="00770684">
              <w:t xml:space="preserve">Linear Vegetation Survey </w:t>
            </w:r>
            <w:r>
              <w:t xml:space="preserve">(LVS) </w:t>
            </w:r>
            <w:r w:rsidRPr="00770684">
              <w:t>score</w:t>
            </w:r>
          </w:p>
        </w:tc>
      </w:tr>
      <w:tr w:rsidR="00771FC8" w:rsidRPr="00770684" w14:paraId="1512544A" w14:textId="77777777" w:rsidTr="00EE6C95">
        <w:trPr>
          <w:trHeight w:val="288"/>
          <w:jc w:val="center"/>
        </w:trPr>
        <w:tc>
          <w:tcPr>
            <w:tcW w:w="4896" w:type="dxa"/>
            <w:vAlign w:val="center"/>
            <w:hideMark/>
          </w:tcPr>
          <w:p w14:paraId="4F734B08" w14:textId="77777777" w:rsidR="00771FC8" w:rsidRPr="00770684" w:rsidRDefault="00771FC8" w:rsidP="00BE5A45">
            <w:pPr>
              <w:pStyle w:val="TableText"/>
              <w:jc w:val="center"/>
            </w:pPr>
            <w:r w:rsidRPr="00770684">
              <w:t xml:space="preserve">Rapid Periphyton Survey </w:t>
            </w:r>
            <w:r>
              <w:t xml:space="preserve">(RPS) </w:t>
            </w:r>
            <w:r w:rsidRPr="00770684">
              <w:t>score</w:t>
            </w:r>
          </w:p>
        </w:tc>
      </w:tr>
      <w:tr w:rsidR="00771FC8" w:rsidRPr="00770684" w14:paraId="3CFA3060" w14:textId="77777777" w:rsidTr="00EE6C95">
        <w:trPr>
          <w:trHeight w:val="288"/>
          <w:jc w:val="center"/>
        </w:trPr>
        <w:tc>
          <w:tcPr>
            <w:tcW w:w="4896" w:type="dxa"/>
            <w:vAlign w:val="center"/>
            <w:hideMark/>
          </w:tcPr>
          <w:p w14:paraId="7B386150" w14:textId="77777777" w:rsidR="00771FC8" w:rsidRPr="00770684" w:rsidRDefault="00771FC8" w:rsidP="00BE5A45">
            <w:pPr>
              <w:pStyle w:val="TableText"/>
              <w:jc w:val="center"/>
              <w:rPr>
                <w:highlight w:val="cyan"/>
              </w:rPr>
            </w:pPr>
            <w:r>
              <w:t xml:space="preserve">Key </w:t>
            </w:r>
            <w:r w:rsidRPr="00770684">
              <w:t>fish populations</w:t>
            </w:r>
          </w:p>
        </w:tc>
      </w:tr>
    </w:tbl>
    <w:p w14:paraId="651EA585" w14:textId="77777777" w:rsidR="00771FC8" w:rsidRDefault="00771FC8" w:rsidP="00771FC8">
      <w:pPr>
        <w:pStyle w:val="Bodytextreduced"/>
      </w:pPr>
    </w:p>
    <w:p w14:paraId="18E22051" w14:textId="7BD00908" w:rsidR="00771FC8" w:rsidRPr="00771FC8" w:rsidRDefault="00771FC8" w:rsidP="00771FC8">
      <w:pPr>
        <w:pStyle w:val="BodyText"/>
      </w:pPr>
      <w:r>
        <w:t xml:space="preserve">An </w:t>
      </w:r>
      <w:r w:rsidRPr="00F27D78">
        <w:t>RPS</w:t>
      </w:r>
      <w:r>
        <w:t xml:space="preserve"> will be conducted to assess</w:t>
      </w:r>
      <w:r w:rsidRPr="00F27D78">
        <w:t xml:space="preserve"> the abundance and variety of algae in the river.</w:t>
      </w:r>
      <w:r>
        <w:t xml:space="preserve"> An </w:t>
      </w:r>
      <w:r w:rsidRPr="00F27D78">
        <w:t xml:space="preserve">LVS </w:t>
      </w:r>
      <w:r>
        <w:t xml:space="preserve">will be conducted to assess the types and density </w:t>
      </w:r>
      <w:r w:rsidRPr="00F27D78">
        <w:t>of vegetation</w:t>
      </w:r>
      <w:r>
        <w:t xml:space="preserve"> present </w:t>
      </w:r>
      <w:r w:rsidRPr="00F27D78">
        <w:t>in the river</w:t>
      </w:r>
      <w:r>
        <w:t xml:space="preserve"> and</w:t>
      </w:r>
      <w:r w:rsidRPr="00F27D78">
        <w:t xml:space="preserve"> to identify the native versus non-native species.</w:t>
      </w:r>
      <w:r>
        <w:t xml:space="preserve"> An SCI will be conducted to measure the number of different organisms present in the river. In addition, habitat assessments (HAs) will be conducted to </w:t>
      </w:r>
      <w:r w:rsidRPr="00096221">
        <w:t>assess the river conditions and habitat present to support the SCI evaluation.</w:t>
      </w:r>
      <w:r>
        <w:t xml:space="preserve"> Water quality samples will also be collected with the biological monitoring.</w:t>
      </w:r>
    </w:p>
    <w:p w14:paraId="022EEBDD" w14:textId="77777777" w:rsidR="00885463" w:rsidRDefault="00885463" w:rsidP="001451E2">
      <w:pPr>
        <w:pStyle w:val="Heading3"/>
      </w:pPr>
      <w:r>
        <w:t>Data Management and Assessment</w:t>
      </w:r>
    </w:p>
    <w:p w14:paraId="5D1B1BA1" w14:textId="596CDEF5" w:rsidR="00885463" w:rsidRPr="00603602" w:rsidRDefault="00885463" w:rsidP="00885463">
      <w:pPr>
        <w:pStyle w:val="BodyText"/>
      </w:pPr>
      <w:r>
        <w:t>As of June 30, 2017, water quality data in Florida are entered by the entity collecting the data into t</w:t>
      </w:r>
      <w:r w:rsidRPr="00603602">
        <w:t xml:space="preserve">he Florida </w:t>
      </w:r>
      <w:r>
        <w:t>Watershed Information Network (WIN)</w:t>
      </w:r>
      <w:r w:rsidRPr="00603602">
        <w:t xml:space="preserve"> </w:t>
      </w:r>
      <w:r>
        <w:t>D</w:t>
      </w:r>
      <w:r w:rsidRPr="00603602">
        <w:t>atabase</w:t>
      </w:r>
      <w:r>
        <w:t xml:space="preserve">, which </w:t>
      </w:r>
      <w:r w:rsidR="001451E2">
        <w:t>has replaced</w:t>
      </w:r>
      <w:r>
        <w:t xml:space="preserve"> the Florida Storage and Retrieval System (STORET).</w:t>
      </w:r>
      <w:r w:rsidRPr="00603602">
        <w:t xml:space="preserve"> DEP pulls water quality data </w:t>
      </w:r>
      <w:r>
        <w:t xml:space="preserve">directly from WIN for </w:t>
      </w:r>
      <w:r w:rsidRPr="00603602">
        <w:t xml:space="preserve">impaired waters evaluations and TMDL development. </w:t>
      </w:r>
      <w:r>
        <w:t>Data providers are required to upload their data regularly, so the information can be used as part of the water quality assessment process and for annual reporting. Data providers should</w:t>
      </w:r>
      <w:r w:rsidRPr="00603602">
        <w:t xml:space="preserve"> upload</w:t>
      </w:r>
      <w:r>
        <w:t xml:space="preserve"> their data</w:t>
      </w:r>
      <w:r w:rsidRPr="00603602">
        <w:t xml:space="preserve"> to </w:t>
      </w:r>
      <w:r>
        <w:t>WIN</w:t>
      </w:r>
      <w:r w:rsidRPr="00603602">
        <w:t xml:space="preserve"> upon </w:t>
      </w:r>
      <w:r>
        <w:t xml:space="preserve">the </w:t>
      </w:r>
      <w:r w:rsidRPr="00603602">
        <w:t>completion of the appropriate quality assurance/quality control (QA/QC) checks.</w:t>
      </w:r>
      <w:r>
        <w:t xml:space="preserve"> All data collected in the last quarter of the calendar year should be uploaded no later than April 1 of the following year.</w:t>
      </w:r>
    </w:p>
    <w:p w14:paraId="1061EB46" w14:textId="77777777" w:rsidR="00FD3AEE" w:rsidRDefault="00FD3AEE" w:rsidP="00790286">
      <w:pPr>
        <w:pStyle w:val="BodyText"/>
      </w:pPr>
      <w:r>
        <w:t>Bi</w:t>
      </w:r>
      <w:r w:rsidRPr="00542C09">
        <w:t xml:space="preserve">ological data </w:t>
      </w:r>
      <w:r>
        <w:t>are</w:t>
      </w:r>
      <w:r w:rsidRPr="00542C09">
        <w:t xml:space="preserve"> stored in </w:t>
      </w:r>
      <w:r>
        <w:t xml:space="preserve">the </w:t>
      </w:r>
      <w:r w:rsidRPr="00542C09">
        <w:t xml:space="preserve">DEP Statewide Biological (SBIO) Database. </w:t>
      </w:r>
      <w:r>
        <w:t>B</w:t>
      </w:r>
      <w:r w:rsidRPr="00542C09">
        <w:t xml:space="preserve">iological data </w:t>
      </w:r>
      <w:r>
        <w:t>collected by data providers should also be uploaded regularly</w:t>
      </w:r>
      <w:r w:rsidRPr="00542C09">
        <w:t xml:space="preserve">, after the appropriate QA/QC checks. </w:t>
      </w:r>
      <w:r>
        <w:t>All biological data collected in the last quarter of the calendar year should be uploaded no later than April 1 of the following year.</w:t>
      </w:r>
    </w:p>
    <w:p w14:paraId="4240F08B" w14:textId="2558B1F0" w:rsidR="00885463" w:rsidRDefault="00885463" w:rsidP="00BE5A45">
      <w:pPr>
        <w:pStyle w:val="BodyText"/>
      </w:pPr>
      <w:r w:rsidRPr="00542C09">
        <w:t xml:space="preserve">The water quality data will be analyzed during BMAP implementation to determine trends in water quality and the health of the biological community. A wide variety of statistical methods </w:t>
      </w:r>
      <w:r>
        <w:t>are</w:t>
      </w:r>
      <w:r w:rsidRPr="00542C09">
        <w:t xml:space="preserve"> available for the water quality trend analyses. The selection of an appropriate data analysis method depends on the frequency, spatial distribution, and period of record available from existing data. Specific statistical analyses were not identified during BMAP development</w:t>
      </w:r>
      <w:r w:rsidR="005B292C">
        <w:t xml:space="preserve">. </w:t>
      </w:r>
    </w:p>
    <w:p w14:paraId="68B3877D" w14:textId="2FDE98B9" w:rsidR="003805FC" w:rsidRPr="003805FC" w:rsidRDefault="003805FC" w:rsidP="001451E2">
      <w:pPr>
        <w:pStyle w:val="Heading3"/>
      </w:pPr>
      <w:r>
        <w:t>Q</w:t>
      </w:r>
      <w:r w:rsidR="008416A7">
        <w:t>A/QC</w:t>
      </w:r>
    </w:p>
    <w:p w14:paraId="3EF030E1" w14:textId="6363E330" w:rsidR="000F2E93" w:rsidRDefault="003805FC" w:rsidP="00614E2B">
      <w:pPr>
        <w:pStyle w:val="BodyText"/>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w:t>
      </w:r>
      <w:r w:rsidR="00314DC8">
        <w:t>by rule</w:t>
      </w:r>
      <w:r w:rsidRPr="00107F3C">
        <w:t xml:space="preserve">. The most current version of these procedures is available </w:t>
      </w:r>
      <w:r>
        <w:t xml:space="preserve">on the </w:t>
      </w:r>
      <w:r w:rsidRPr="005026F9">
        <w:t>DEP website</w:t>
      </w:r>
      <w:r w:rsidRPr="00107F3C">
        <w:t xml:space="preserve">. For BMAP-related data analyses, entities should use </w:t>
      </w:r>
      <w:r w:rsidRPr="005026F9">
        <w:t>National Environmental Laboratory Accreditation Conference (NELAC) National Environmental Laboratory Accreditation Program (NELAP)–certified laboratories</w:t>
      </w:r>
      <w:r>
        <w:t xml:space="preserve"> or other labs that meet the certification and other requirements outlined in the </w:t>
      </w:r>
      <w:r w:rsidR="00FD3AEE">
        <w:t xml:space="preserve">DEP </w:t>
      </w:r>
      <w:r>
        <w:t>SOPs.</w:t>
      </w:r>
    </w:p>
    <w:bookmarkEnd w:id="145"/>
    <w:bookmarkEnd w:id="146"/>
    <w:bookmarkEnd w:id="147"/>
    <w:p w14:paraId="2363A37E" w14:textId="77777777" w:rsidR="005B292C" w:rsidRDefault="005B292C">
      <w:pPr>
        <w:jc w:val="left"/>
        <w:rPr>
          <w:rFonts w:ascii="Times New Roman Bold" w:hAnsi="Times New Roman Bold"/>
          <w:b/>
          <w:bCs/>
          <w:kern w:val="32"/>
          <w:sz w:val="32"/>
          <w:szCs w:val="32"/>
        </w:rPr>
      </w:pPr>
      <w:r>
        <w:br w:type="page"/>
      </w:r>
    </w:p>
    <w:p w14:paraId="2757BA48" w14:textId="21F3DCA0" w:rsidR="001D1246" w:rsidRDefault="00614E2B" w:rsidP="00614E2B">
      <w:pPr>
        <w:pStyle w:val="Heading1"/>
        <w:numPr>
          <w:ilvl w:val="0"/>
          <w:numId w:val="0"/>
        </w:numPr>
      </w:pPr>
      <w:bookmarkStart w:id="158" w:name="_Toc514677675"/>
      <w:r>
        <w:t>Appendices</w:t>
      </w:r>
      <w:bookmarkEnd w:id="158"/>
    </w:p>
    <w:p w14:paraId="09213552" w14:textId="601FC5AD" w:rsidR="00614E2B" w:rsidRDefault="00BA15D0" w:rsidP="00DF25A4">
      <w:pPr>
        <w:pStyle w:val="Heading2B"/>
        <w:jc w:val="left"/>
      </w:pPr>
      <w:bookmarkStart w:id="159" w:name="_Ref488219549"/>
      <w:bookmarkStart w:id="160" w:name="_Ref488219550"/>
      <w:bookmarkStart w:id="161" w:name="_Toc514677676"/>
      <w:r>
        <w:t xml:space="preserve">Appendix A. </w:t>
      </w:r>
      <w:r w:rsidR="0031482B">
        <w:t>Important Links</w:t>
      </w:r>
      <w:bookmarkEnd w:id="159"/>
      <w:bookmarkEnd w:id="160"/>
      <w:bookmarkEnd w:id="161"/>
    </w:p>
    <w:p w14:paraId="15653E9D" w14:textId="77777777" w:rsidR="00806EFF" w:rsidRDefault="00172842" w:rsidP="00806EFF">
      <w:pPr>
        <w:pStyle w:val="BodyText"/>
      </w:pPr>
      <w:r>
        <w:t>The links below were correct at the time of document preparation. Over time, the locations may change and the links may no longer be accurate.</w:t>
      </w:r>
      <w:r w:rsidR="00806EFF">
        <w:t xml:space="preserve"> None of these linked materials are adopted into this BMAP.</w:t>
      </w:r>
    </w:p>
    <w:p w14:paraId="3D302F88" w14:textId="08602320" w:rsidR="0031482B" w:rsidRDefault="0031482B" w:rsidP="00806EFF">
      <w:pPr>
        <w:pStyle w:val="BodyText"/>
        <w:numPr>
          <w:ilvl w:val="0"/>
          <w:numId w:val="12"/>
        </w:numPr>
        <w:spacing w:after="120"/>
        <w:ind w:left="720"/>
      </w:pPr>
      <w:r>
        <w:t xml:space="preserve">DEP </w:t>
      </w:r>
      <w:r w:rsidR="005014FF">
        <w:t>W</w:t>
      </w:r>
      <w:r>
        <w:t xml:space="preserve">ebsite: </w:t>
      </w:r>
      <w:r w:rsidR="00806EFF">
        <w:t>http://www.</w:t>
      </w:r>
      <w:hyperlink r:id="rId17" w:history="1">
        <w:r w:rsidR="00806EFF">
          <w:t>floridadep.gov</w:t>
        </w:r>
      </w:hyperlink>
    </w:p>
    <w:p w14:paraId="1CEE67E5" w14:textId="77777777" w:rsidR="008D4340" w:rsidRDefault="008D4340" w:rsidP="00806EFF">
      <w:pPr>
        <w:pStyle w:val="Bullet"/>
        <w:numPr>
          <w:ilvl w:val="0"/>
          <w:numId w:val="12"/>
        </w:numPr>
        <w:ind w:left="720" w:right="432"/>
      </w:pPr>
      <w:bookmarkStart w:id="162" w:name="_Hlk496864162"/>
      <w:r>
        <w:t xml:space="preserve">DEP Map Direct Webpage: </w:t>
      </w:r>
      <w:r w:rsidRPr="00CD5076">
        <w:t>https://ca.dep.state.fl.us/mapdirect/</w:t>
      </w:r>
    </w:p>
    <w:bookmarkEnd w:id="162"/>
    <w:p w14:paraId="62BB63B1" w14:textId="77777777" w:rsidR="00806EFF" w:rsidRDefault="00806EFF" w:rsidP="00806EFF">
      <w:pPr>
        <w:pStyle w:val="Bullet"/>
        <w:ind w:right="432"/>
      </w:pPr>
      <w:r>
        <w:t>Florida Statutes: http://www.leg.state.fl.us/statutes</w:t>
      </w:r>
    </w:p>
    <w:p w14:paraId="49EC57BD" w14:textId="77777777" w:rsidR="00806EFF" w:rsidRDefault="00806EFF" w:rsidP="00806EFF">
      <w:pPr>
        <w:pStyle w:val="Bullet"/>
        <w:numPr>
          <w:ilvl w:val="1"/>
          <w:numId w:val="9"/>
        </w:numPr>
        <w:ind w:left="1080" w:right="432"/>
      </w:pPr>
      <w:r>
        <w:t>Florida Watershed Recovery Act (Section 403.067, F.S.)</w:t>
      </w:r>
    </w:p>
    <w:p w14:paraId="0AEED0B8" w14:textId="77777777" w:rsidR="00806EFF" w:rsidRDefault="00806EFF" w:rsidP="00806EFF">
      <w:pPr>
        <w:pStyle w:val="Bullet"/>
        <w:numPr>
          <w:ilvl w:val="1"/>
          <w:numId w:val="9"/>
        </w:numPr>
        <w:ind w:left="1080" w:right="432"/>
      </w:pPr>
      <w:r>
        <w:t>Florida Springs and Aquifer Protection Act (Part VIII of Chapter 373, F.S.)</w:t>
      </w:r>
    </w:p>
    <w:p w14:paraId="690992EE" w14:textId="0F7CDBE4" w:rsidR="00806EFF" w:rsidRDefault="00806EFF" w:rsidP="00806EFF">
      <w:pPr>
        <w:pStyle w:val="Bullet"/>
        <w:ind w:right="432"/>
        <w:rPr>
          <w:sz w:val="22"/>
        </w:rPr>
      </w:pPr>
      <w:r w:rsidRPr="00806EFF">
        <w:t xml:space="preserve"> </w:t>
      </w:r>
      <w:r>
        <w:t>DEP Model Ordinances</w:t>
      </w:r>
      <w:r w:rsidRPr="007B34D9">
        <w:t xml:space="preserve">: </w:t>
      </w:r>
      <w:hyperlink r:id="rId18" w:history="1">
        <w:r w:rsidRPr="00B05E5B">
          <w:t>http://fyn.ifas.ufl.edu/fert_ordinances.html</w:t>
        </w:r>
      </w:hyperlink>
    </w:p>
    <w:p w14:paraId="2F569233" w14:textId="77777777" w:rsidR="00806EFF" w:rsidRDefault="00806EFF" w:rsidP="00806EFF">
      <w:pPr>
        <w:pStyle w:val="Bullet"/>
        <w:ind w:right="432"/>
      </w:pPr>
      <w:r>
        <w:t xml:space="preserve">DEP Standard Operating Procedures for Water Quality Samples: </w:t>
      </w:r>
    </w:p>
    <w:p w14:paraId="27336AEC" w14:textId="77777777" w:rsidR="00806EFF" w:rsidRPr="007B34D9" w:rsidRDefault="00806EFF" w:rsidP="00806EFF">
      <w:pPr>
        <w:pStyle w:val="Bullet"/>
        <w:ind w:right="432"/>
      </w:pPr>
      <w:r w:rsidRPr="003A2DBC">
        <w:t xml:space="preserve">https://floridadep.gov/dear/quality-assurance/content/dep-sops </w:t>
      </w:r>
    </w:p>
    <w:p w14:paraId="7A99A2A4" w14:textId="77777777" w:rsidR="00806EFF" w:rsidRPr="007B34D9" w:rsidRDefault="00806EFF" w:rsidP="00806EFF">
      <w:pPr>
        <w:pStyle w:val="Bullet"/>
        <w:ind w:right="432"/>
      </w:pPr>
      <w:r>
        <w:t xml:space="preserve">NELAC NELAP: </w:t>
      </w:r>
      <w:hyperlink r:id="rId19" w:history="1">
        <w:r w:rsidRPr="005026F9">
          <w:t>https://fldeploc.dep.state.fl.us/aams/index.asp</w:t>
        </w:r>
      </w:hyperlink>
      <w:r w:rsidRPr="007B34D9">
        <w:t xml:space="preserve"> </w:t>
      </w:r>
    </w:p>
    <w:p w14:paraId="730175A5" w14:textId="4E1B079D" w:rsidR="00806EFF" w:rsidRPr="005026F9" w:rsidRDefault="00806EFF" w:rsidP="00806EFF">
      <w:pPr>
        <w:pStyle w:val="Bullet"/>
        <w:ind w:right="432"/>
      </w:pPr>
      <w:r>
        <w:t xml:space="preserve">FDACS BMPs: </w:t>
      </w:r>
      <w:hyperlink r:id="rId20" w:history="1">
        <w:r w:rsidR="00EE6C95" w:rsidRPr="00BE5A45">
          <w:t>https://www.freshfromflorida.com/Business-Services/Best-Management-Practices-BMPs/Agricultural-Best-Management-Practices</w:t>
        </w:r>
      </w:hyperlink>
    </w:p>
    <w:p w14:paraId="1A0B35C0" w14:textId="77777777" w:rsidR="00806EFF" w:rsidRPr="00644C68" w:rsidRDefault="00806EFF" w:rsidP="00806EFF">
      <w:pPr>
        <w:pStyle w:val="Bullet"/>
        <w:ind w:right="432"/>
      </w:pPr>
      <w:r>
        <w:t xml:space="preserve">FDACS BMP and Field Staff Contacts: </w:t>
      </w:r>
      <w:hyperlink r:id="rId21" w:history="1">
        <w:r w:rsidRPr="00644C68">
          <w:t>http://www.freshfromflorida.com/Divisions-Offices/Agricultural-Water-Policy</w:t>
        </w:r>
      </w:hyperlink>
    </w:p>
    <w:p w14:paraId="5BD87397" w14:textId="440C6B22" w:rsidR="0031482B" w:rsidRPr="00644C68" w:rsidRDefault="00806EFF" w:rsidP="00BE5A45">
      <w:pPr>
        <w:pStyle w:val="Bullet"/>
        <w:ind w:right="432"/>
      </w:pPr>
      <w:r w:rsidRPr="00644C68">
        <w:t xml:space="preserve">Florida Administrative Code (Florida Rules): </w:t>
      </w:r>
      <w:hyperlink r:id="rId22" w:history="1">
        <w:r w:rsidRPr="00644C68">
          <w:t>https://www.flrules.org/</w:t>
        </w:r>
      </w:hyperlink>
      <w:r w:rsidRPr="00644C68">
        <w:t xml:space="preserve"> </w:t>
      </w:r>
    </w:p>
    <w:p w14:paraId="19D7478B" w14:textId="6EEADD54" w:rsidR="0031482B" w:rsidRPr="00644C68" w:rsidRDefault="00551ABF" w:rsidP="00806EFF">
      <w:pPr>
        <w:pStyle w:val="BodyText"/>
        <w:numPr>
          <w:ilvl w:val="0"/>
          <w:numId w:val="12"/>
        </w:numPr>
        <w:spacing w:after="120"/>
        <w:ind w:left="720"/>
      </w:pPr>
      <w:r>
        <w:t>NWF</w:t>
      </w:r>
      <w:r w:rsidR="00DF25A4">
        <w:t>WMD</w:t>
      </w:r>
      <w:r w:rsidR="0031482B" w:rsidRPr="00644C68">
        <w:t xml:space="preserve"> SWIM Plans: </w:t>
      </w:r>
      <w:r w:rsidRPr="00551ABF">
        <w:t>https://www.nwfwater.com/Water-Resources/Surface-Water-Improvement-and-Management</w:t>
      </w:r>
    </w:p>
    <w:p w14:paraId="72E0513F" w14:textId="7A43E7D4" w:rsidR="0031482B" w:rsidRPr="00644C68" w:rsidRDefault="00551ABF" w:rsidP="00806EFF">
      <w:pPr>
        <w:pStyle w:val="BodyText"/>
        <w:numPr>
          <w:ilvl w:val="0"/>
          <w:numId w:val="12"/>
        </w:numPr>
        <w:spacing w:after="120"/>
        <w:ind w:left="720"/>
      </w:pPr>
      <w:r>
        <w:t>NWF</w:t>
      </w:r>
      <w:r w:rsidR="00DF25A4">
        <w:t>WMD</w:t>
      </w:r>
      <w:r w:rsidR="0031482B" w:rsidRPr="00644C68">
        <w:t xml:space="preserve"> 2017 Consolidated Annual Report: </w:t>
      </w:r>
      <w:r w:rsidRPr="00551ABF">
        <w:t>https://www.nwfwater.com/Data-Publications/Reports-Plans/Consolidated-Annual-Reports</w:t>
      </w:r>
      <w:r w:rsidR="0031482B" w:rsidRPr="00644C68">
        <w:t xml:space="preserve"> </w:t>
      </w:r>
    </w:p>
    <w:p w14:paraId="2299CF1B" w14:textId="18BEB448" w:rsidR="0031482B" w:rsidRPr="00644C68" w:rsidRDefault="00DF25A4" w:rsidP="00806EFF">
      <w:pPr>
        <w:pStyle w:val="BodyText"/>
        <w:numPr>
          <w:ilvl w:val="0"/>
          <w:numId w:val="13"/>
        </w:numPr>
        <w:spacing w:after="120"/>
        <w:ind w:left="720"/>
      </w:pPr>
      <w:r>
        <w:t>UF</w:t>
      </w:r>
      <w:r w:rsidR="00D76AC7">
        <w:t>–</w:t>
      </w:r>
      <w:r>
        <w:t>IFAS</w:t>
      </w:r>
      <w:r w:rsidR="0031482B" w:rsidRPr="00644C68">
        <w:t xml:space="preserve"> Research: </w:t>
      </w:r>
      <w:hyperlink r:id="rId23" w:history="1">
        <w:r w:rsidR="0031482B" w:rsidRPr="00644C68">
          <w:t>http://research.ifas.ufl.edu/</w:t>
        </w:r>
      </w:hyperlink>
      <w:r w:rsidR="0031482B" w:rsidRPr="00644C68">
        <w:t xml:space="preserve"> </w:t>
      </w:r>
    </w:p>
    <w:p w14:paraId="1A0E87EA" w14:textId="77777777" w:rsidR="00362F70" w:rsidRDefault="00362F70">
      <w:pPr>
        <w:jc w:val="left"/>
        <w:rPr>
          <w:rFonts w:ascii="Times New Roman" w:hAnsi="Times New Roman"/>
          <w:b/>
          <w:bCs/>
          <w:kern w:val="32"/>
          <w:sz w:val="32"/>
        </w:rPr>
      </w:pPr>
      <w:r>
        <w:br w:type="page"/>
      </w:r>
    </w:p>
    <w:p w14:paraId="0F56C12D" w14:textId="279CE0E5" w:rsidR="00811702" w:rsidRDefault="00811702" w:rsidP="00811702">
      <w:pPr>
        <w:pStyle w:val="Heading2B"/>
        <w:jc w:val="left"/>
      </w:pPr>
      <w:bookmarkStart w:id="163" w:name="_Toc514677677"/>
      <w:r>
        <w:t xml:space="preserve">Appendix B. Projects </w:t>
      </w:r>
      <w:r w:rsidR="00A628B7">
        <w:t>t</w:t>
      </w:r>
      <w:r>
        <w:t>o Reduce Nitrogen Sources</w:t>
      </w:r>
      <w:bookmarkEnd w:id="163"/>
    </w:p>
    <w:p w14:paraId="16703AA9" w14:textId="77777777" w:rsidR="00811702" w:rsidRPr="00D91457" w:rsidRDefault="00811702" w:rsidP="00811702">
      <w:pPr>
        <w:pStyle w:val="BodyText"/>
        <w:rPr>
          <w:b/>
        </w:rPr>
      </w:pPr>
      <w:bookmarkStart w:id="164" w:name="_Hlk500422816"/>
      <w:r w:rsidRPr="00D91457">
        <w:rPr>
          <w:b/>
        </w:rPr>
        <w:t>Prioritization of Management Strategies</w:t>
      </w:r>
    </w:p>
    <w:p w14:paraId="6A871D10" w14:textId="77777777" w:rsidR="00811702" w:rsidRPr="00D91457" w:rsidRDefault="00811702" w:rsidP="00811702">
      <w:pPr>
        <w:pStyle w:val="BodyText"/>
      </w:pPr>
      <w:r w:rsidRPr="00D91457">
        <w:t xml:space="preserve">The management strategies in </w:t>
      </w:r>
      <w:r w:rsidRPr="00D91457">
        <w:rPr>
          <w:b/>
        </w:rPr>
        <w:t>Table B-1</w:t>
      </w:r>
      <w:r w:rsidRPr="00D91457">
        <w:t xml:space="preserve"> are ranked with a priority of high, medium, or low. In 2016, the Florida Legislature amended the Watershed Restoration Act (Section 403.067, F.S.), creating additional requirements for all new or revised BMAPs. BMAPs must now include planning-level details for each listed project, along with their priority ranking. </w:t>
      </w:r>
    </w:p>
    <w:p w14:paraId="5C72ED71" w14:textId="4A92C9BB" w:rsidR="00811702" w:rsidRPr="00D91457" w:rsidRDefault="00C325D6" w:rsidP="00811702">
      <w:pPr>
        <w:pStyle w:val="BodyText"/>
      </w:pPr>
      <w:r w:rsidRPr="00022D52">
        <w:rPr>
          <w:szCs w:val="24"/>
        </w:rPr>
        <w:t xml:space="preserve">Project status was selected as the most appropriate indicator of a project’s priority ranking based primarily on need for funding. Projects with a "completed" status were assigned a low priority. Projects classified as "underway" were assigned a medium priority because some resources have been allocated to these projects, but additional assistance may be needed for the project to be completed. High priority was assigned to projects </w:t>
      </w:r>
      <w:r w:rsidRPr="00B40AB0">
        <w:rPr>
          <w:szCs w:val="24"/>
        </w:rPr>
        <w:t>listed with the project status "</w:t>
      </w:r>
      <w:r w:rsidRPr="00022D52">
        <w:rPr>
          <w:szCs w:val="24"/>
        </w:rPr>
        <w:t>planned" as well a</w:t>
      </w:r>
      <w:r w:rsidRPr="00B40AB0">
        <w:rPr>
          <w:szCs w:val="24"/>
        </w:rPr>
        <w:t>s certain "</w:t>
      </w:r>
      <w:r w:rsidRPr="00022D52">
        <w:rPr>
          <w:szCs w:val="24"/>
        </w:rPr>
        <w:t>completed</w:t>
      </w:r>
      <w:r>
        <w:rPr>
          <w:szCs w:val="24"/>
        </w:rPr>
        <w:t>"</w:t>
      </w:r>
      <w:r w:rsidRPr="00022D52">
        <w:rPr>
          <w:szCs w:val="24"/>
        </w:rPr>
        <w:t xml:space="preserve"> projects that are ongoing each year (any project wi</w:t>
      </w:r>
      <w:r w:rsidRPr="00B40AB0">
        <w:rPr>
          <w:szCs w:val="24"/>
        </w:rPr>
        <w:t>th one of these project types: "street sweeping," "</w:t>
      </w:r>
      <w:r w:rsidRPr="00022D52">
        <w:rPr>
          <w:szCs w:val="24"/>
        </w:rPr>
        <w:t>catch basin</w:t>
      </w:r>
      <w:r w:rsidRPr="00B40AB0">
        <w:rPr>
          <w:szCs w:val="24"/>
        </w:rPr>
        <w:t xml:space="preserve"> inserts/inlet filter cleanout,"</w:t>
      </w:r>
      <w:r w:rsidRPr="00022D52">
        <w:rPr>
          <w:szCs w:val="24"/>
        </w:rPr>
        <w:t xml:space="preserve"> </w:t>
      </w:r>
      <w:r w:rsidRPr="00B40AB0">
        <w:rPr>
          <w:szCs w:val="24"/>
        </w:rPr>
        <w:t xml:space="preserve"> "</w:t>
      </w:r>
      <w:r w:rsidRPr="00022D52">
        <w:rPr>
          <w:szCs w:val="24"/>
        </w:rPr>
        <w:t>public education efforts</w:t>
      </w:r>
      <w:r>
        <w:rPr>
          <w:szCs w:val="24"/>
        </w:rPr>
        <w:t>,</w:t>
      </w:r>
      <w:r w:rsidRPr="00B40AB0">
        <w:rPr>
          <w:szCs w:val="24"/>
        </w:rPr>
        <w:t xml:space="preserve">" </w:t>
      </w:r>
      <w:r>
        <w:rPr>
          <w:szCs w:val="24"/>
        </w:rPr>
        <w:t>"fertilizer cessation," "fertilizer reduction," or "aquatic vegetation harvesting"</w:t>
      </w:r>
      <w:r w:rsidRPr="00022D52">
        <w:rPr>
          <w:szCs w:val="24"/>
        </w:rPr>
        <w:t>), and select projects that are elevated because substantial, subsequent project(s) are reliant on their completion.</w:t>
      </w:r>
    </w:p>
    <w:p w14:paraId="62A7D954" w14:textId="329C848A" w:rsidR="00811702" w:rsidRPr="00D91457" w:rsidRDefault="009D189E" w:rsidP="00811702">
      <w:pPr>
        <w:pStyle w:val="Bodytextreduced"/>
        <w:spacing w:after="120"/>
        <w:rPr>
          <w:b/>
          <w:sz w:val="24"/>
        </w:rPr>
      </w:pPr>
      <w:r>
        <w:rPr>
          <w:b/>
          <w:sz w:val="24"/>
        </w:rPr>
        <w:t>Description of the Management Strategies</w:t>
      </w:r>
    </w:p>
    <w:p w14:paraId="7CFD9A44" w14:textId="77777777" w:rsidR="00962B88" w:rsidRDefault="00962B88" w:rsidP="00962B88">
      <w:pPr>
        <w:pStyle w:val="BodyText"/>
      </w:pPr>
      <w:r>
        <w:t>Responsible entities submitted these management strategies to the department with the understanding that the strategies would be included in the BMAP, thus requiring each entity to implement the proposed strategies in a timely way and achieve the assigned load reduction estimates.  However, this list of strategies is meant to be flexible enough to allow for changes that may occur over time. Any change in listed management strategies, or the deadline to complete these actions, must first be approved by the department. Substituted strategies must result in equivalent or greater nutrient reductions than expected from the original strategies.</w:t>
      </w:r>
    </w:p>
    <w:p w14:paraId="0F53B3C4" w14:textId="0580F64A" w:rsidR="00962B88" w:rsidRDefault="00811702" w:rsidP="00811702">
      <w:pPr>
        <w:pStyle w:val="BodyText"/>
      </w:pPr>
      <w:r w:rsidRPr="00D91457">
        <w:t>While the 20-year planning period for this BMAP is 201</w:t>
      </w:r>
      <w:r w:rsidR="00962B88">
        <w:t>8</w:t>
      </w:r>
      <w:r w:rsidR="00296975">
        <w:t xml:space="preserve"> to </w:t>
      </w:r>
      <w:r w:rsidR="004E09FF" w:rsidRPr="00D91457">
        <w:t>20</w:t>
      </w:r>
      <w:r w:rsidRPr="00D91457">
        <w:t>3</w:t>
      </w:r>
      <w:r w:rsidR="00962B88">
        <w:t>8</w:t>
      </w:r>
      <w:r w:rsidRPr="00D91457">
        <w:t xml:space="preserve">, projects completed since </w:t>
      </w:r>
      <w:r w:rsidR="00FF551A" w:rsidRPr="00D91457">
        <w:t>July 1, 2007</w:t>
      </w:r>
      <w:r w:rsidRPr="00D91457">
        <w:t xml:space="preserve"> count toward the overall nitrogen reduction goals.</w:t>
      </w:r>
    </w:p>
    <w:p w14:paraId="409F0041" w14:textId="3F75383E" w:rsidR="00811702" w:rsidRPr="00811702" w:rsidRDefault="00811702" w:rsidP="00811702">
      <w:pPr>
        <w:pStyle w:val="BodyText"/>
      </w:pPr>
      <w:r w:rsidRPr="00D91457">
        <w:t xml:space="preserve">Estimated nitrogen reductions are subject to refinement based on DEP verification and/or on adjustment to calculations based on loading to groundwater rather than surface water. Agriculture load reductions (FDACS-01 and FDACS-02) assume 100 % enrollment and verification. Projects with a designation of TBD (to be determined) denotes information is not currently available, but will be provided by the </w:t>
      </w:r>
      <w:r w:rsidRPr="00D91457">
        <w:rPr>
          <w:szCs w:val="24"/>
        </w:rPr>
        <w:t>stakeholder when it is available. Projects with a designation of N</w:t>
      </w:r>
      <w:r w:rsidR="00501C4C">
        <w:rPr>
          <w:szCs w:val="24"/>
        </w:rPr>
        <w:t>/</w:t>
      </w:r>
      <w:r w:rsidRPr="00D91457">
        <w:rPr>
          <w:szCs w:val="24"/>
        </w:rPr>
        <w:t>A (not applicable) indicates the information for that category is not relevant to that project.</w:t>
      </w:r>
      <w:r w:rsidR="00962B88">
        <w:rPr>
          <w:szCs w:val="24"/>
        </w:rPr>
        <w:t xml:space="preserve"> Projects with a designation of "Not Provided" denotes that information was requested by DEP but was not provided by the lead entity.</w:t>
      </w:r>
    </w:p>
    <w:bookmarkEnd w:id="164"/>
    <w:p w14:paraId="361A11C7" w14:textId="28FF3ECC" w:rsidR="00CD515E" w:rsidRDefault="00CD515E" w:rsidP="00CD515E"/>
    <w:p w14:paraId="6318E210" w14:textId="77777777" w:rsidR="00811702" w:rsidRPr="00CD515E" w:rsidRDefault="00811702" w:rsidP="00811702">
      <w:pPr>
        <w:pStyle w:val="BodyText"/>
        <w:sectPr w:rsidR="00811702" w:rsidRPr="00CD515E" w:rsidSect="001A0215">
          <w:headerReference w:type="default" r:id="rId24"/>
          <w:footerReference w:type="default" r:id="rId25"/>
          <w:pgSz w:w="12240" w:h="15840" w:code="1"/>
          <w:pgMar w:top="1440" w:right="1440" w:bottom="1440" w:left="1440" w:header="720" w:footer="720" w:gutter="0"/>
          <w:cols w:space="720"/>
          <w:docGrid w:linePitch="360"/>
        </w:sectPr>
      </w:pPr>
    </w:p>
    <w:p w14:paraId="086B5D29" w14:textId="39DC526F" w:rsidR="00EF40B6" w:rsidRDefault="008941E0" w:rsidP="008941E0">
      <w:pPr>
        <w:pStyle w:val="Caption"/>
      </w:pPr>
      <w:bookmarkStart w:id="165" w:name="_Toc514430968"/>
      <w:r>
        <w:t>Table B-</w:t>
      </w:r>
      <w:fldSimple w:instr=" SEQ Table_B- \* ARABIC ">
        <w:r w:rsidR="002A2E30">
          <w:rPr>
            <w:noProof/>
          </w:rPr>
          <w:t>1</w:t>
        </w:r>
      </w:fldSimple>
      <w:r>
        <w:t xml:space="preserve">. </w:t>
      </w:r>
      <w:r w:rsidR="00EF40B6">
        <w:t xml:space="preserve">Stakeholder projects </w:t>
      </w:r>
      <w:r w:rsidR="007A2DCE">
        <w:t>t</w:t>
      </w:r>
      <w:r w:rsidR="00EF40B6">
        <w:t>o reduce nitrogen sources</w:t>
      </w:r>
      <w:bookmarkEnd w:id="165"/>
    </w:p>
    <w:p w14:paraId="7873592C" w14:textId="685C5C4A" w:rsidR="00EF40B6" w:rsidRPr="00EF40B6" w:rsidRDefault="00EF40B6" w:rsidP="00D062B6">
      <w:pPr>
        <w:pStyle w:val="Bodytextreduced"/>
      </w:pPr>
    </w:p>
    <w:tbl>
      <w:tblPr>
        <w:tblStyle w:val="TableGrid"/>
        <w:tblW w:w="13446" w:type="dxa"/>
        <w:jc w:val="center"/>
        <w:tblLayout w:type="fixed"/>
        <w:tblLook w:val="04A0" w:firstRow="1" w:lastRow="0" w:firstColumn="1" w:lastColumn="0" w:noHBand="0" w:noVBand="1"/>
      </w:tblPr>
      <w:tblGrid>
        <w:gridCol w:w="895"/>
        <w:gridCol w:w="720"/>
        <w:gridCol w:w="1080"/>
        <w:gridCol w:w="2070"/>
        <w:gridCol w:w="990"/>
        <w:gridCol w:w="900"/>
        <w:gridCol w:w="900"/>
        <w:gridCol w:w="1080"/>
        <w:gridCol w:w="990"/>
        <w:gridCol w:w="990"/>
        <w:gridCol w:w="990"/>
        <w:gridCol w:w="833"/>
        <w:gridCol w:w="1008"/>
      </w:tblGrid>
      <w:tr w:rsidR="00CA0467" w:rsidRPr="00CA0467" w14:paraId="46DF2870" w14:textId="77777777" w:rsidTr="00CA0467">
        <w:trPr>
          <w:trHeight w:val="485"/>
          <w:tblHeader/>
          <w:jc w:val="center"/>
        </w:trPr>
        <w:tc>
          <w:tcPr>
            <w:tcW w:w="895" w:type="dxa"/>
            <w:shd w:val="clear" w:color="auto" w:fill="DEEAF6" w:themeFill="accent1" w:themeFillTint="33"/>
            <w:vAlign w:val="bottom"/>
            <w:hideMark/>
          </w:tcPr>
          <w:p w14:paraId="2265B08A" w14:textId="7A303E52"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Lead Entity</w:t>
            </w:r>
          </w:p>
        </w:tc>
        <w:tc>
          <w:tcPr>
            <w:tcW w:w="720" w:type="dxa"/>
            <w:shd w:val="clear" w:color="auto" w:fill="DEEAF6" w:themeFill="accent1" w:themeFillTint="33"/>
            <w:vAlign w:val="bottom"/>
            <w:hideMark/>
          </w:tcPr>
          <w:p w14:paraId="32325595" w14:textId="0AEAD76A"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No.</w:t>
            </w:r>
          </w:p>
        </w:tc>
        <w:tc>
          <w:tcPr>
            <w:tcW w:w="1080" w:type="dxa"/>
            <w:shd w:val="clear" w:color="auto" w:fill="DEEAF6" w:themeFill="accent1" w:themeFillTint="33"/>
            <w:vAlign w:val="bottom"/>
            <w:hideMark/>
          </w:tcPr>
          <w:p w14:paraId="5009F87D" w14:textId="76E608FF"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Name</w:t>
            </w:r>
          </w:p>
        </w:tc>
        <w:tc>
          <w:tcPr>
            <w:tcW w:w="2070" w:type="dxa"/>
            <w:shd w:val="clear" w:color="auto" w:fill="DEEAF6" w:themeFill="accent1" w:themeFillTint="33"/>
            <w:vAlign w:val="bottom"/>
            <w:hideMark/>
          </w:tcPr>
          <w:p w14:paraId="298EB891" w14:textId="35D733F3"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Description</w:t>
            </w:r>
          </w:p>
        </w:tc>
        <w:tc>
          <w:tcPr>
            <w:tcW w:w="990" w:type="dxa"/>
            <w:shd w:val="clear" w:color="auto" w:fill="DEEAF6" w:themeFill="accent1" w:themeFillTint="33"/>
            <w:vAlign w:val="bottom"/>
          </w:tcPr>
          <w:p w14:paraId="634B4E64" w14:textId="644924BE"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Type</w:t>
            </w:r>
          </w:p>
        </w:tc>
        <w:tc>
          <w:tcPr>
            <w:tcW w:w="900" w:type="dxa"/>
            <w:shd w:val="clear" w:color="auto" w:fill="DEEAF6" w:themeFill="accent1" w:themeFillTint="33"/>
            <w:vAlign w:val="bottom"/>
            <w:hideMark/>
          </w:tcPr>
          <w:p w14:paraId="5B0B499D" w14:textId="4F643A60"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Project Status</w:t>
            </w:r>
          </w:p>
        </w:tc>
        <w:tc>
          <w:tcPr>
            <w:tcW w:w="900" w:type="dxa"/>
            <w:shd w:val="clear" w:color="auto" w:fill="DEEAF6" w:themeFill="accent1" w:themeFillTint="33"/>
            <w:vAlign w:val="bottom"/>
          </w:tcPr>
          <w:p w14:paraId="3708C445" w14:textId="493AC731"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Start Date</w:t>
            </w:r>
          </w:p>
        </w:tc>
        <w:tc>
          <w:tcPr>
            <w:tcW w:w="1080" w:type="dxa"/>
            <w:shd w:val="clear" w:color="auto" w:fill="DEEAF6" w:themeFill="accent1" w:themeFillTint="33"/>
            <w:vAlign w:val="bottom"/>
            <w:hideMark/>
          </w:tcPr>
          <w:p w14:paraId="6EF87F1C"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Estimated</w:t>
            </w:r>
          </w:p>
          <w:p w14:paraId="5B13EC77" w14:textId="4E314CF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Completion Date</w:t>
            </w:r>
          </w:p>
        </w:tc>
        <w:tc>
          <w:tcPr>
            <w:tcW w:w="990" w:type="dxa"/>
            <w:shd w:val="clear" w:color="auto" w:fill="DEEAF6" w:themeFill="accent1" w:themeFillTint="33"/>
            <w:noWrap/>
            <w:vAlign w:val="bottom"/>
          </w:tcPr>
          <w:p w14:paraId="266388AB" w14:textId="259B67D2"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Nitrogen Source Addressed by Project</w:t>
            </w:r>
          </w:p>
        </w:tc>
        <w:tc>
          <w:tcPr>
            <w:tcW w:w="990" w:type="dxa"/>
            <w:shd w:val="clear" w:color="auto" w:fill="DEEAF6" w:themeFill="accent1" w:themeFillTint="33"/>
            <w:vAlign w:val="bottom"/>
          </w:tcPr>
          <w:p w14:paraId="55EAAA05"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Estimated</w:t>
            </w:r>
          </w:p>
          <w:p w14:paraId="26896DA4" w14:textId="77777777"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Nitrogen Load Reduction</w:t>
            </w:r>
          </w:p>
          <w:p w14:paraId="537ED020" w14:textId="013FEEA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(lb-N/yr)</w:t>
            </w:r>
          </w:p>
        </w:tc>
        <w:tc>
          <w:tcPr>
            <w:tcW w:w="990" w:type="dxa"/>
            <w:shd w:val="clear" w:color="auto" w:fill="DEEAF6" w:themeFill="accent1" w:themeFillTint="33"/>
            <w:vAlign w:val="bottom"/>
          </w:tcPr>
          <w:p w14:paraId="43034AD2" w14:textId="0CB3D18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Cost Estimate</w:t>
            </w:r>
          </w:p>
        </w:tc>
        <w:tc>
          <w:tcPr>
            <w:tcW w:w="833" w:type="dxa"/>
            <w:shd w:val="clear" w:color="auto" w:fill="DEEAF6" w:themeFill="accent1" w:themeFillTint="33"/>
            <w:vAlign w:val="bottom"/>
          </w:tcPr>
          <w:p w14:paraId="705A230B" w14:textId="697A768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Funding Source</w:t>
            </w:r>
          </w:p>
        </w:tc>
        <w:tc>
          <w:tcPr>
            <w:tcW w:w="1008" w:type="dxa"/>
            <w:shd w:val="clear" w:color="auto" w:fill="DEEAF6" w:themeFill="accent1" w:themeFillTint="33"/>
            <w:vAlign w:val="bottom"/>
          </w:tcPr>
          <w:p w14:paraId="4CFF4525" w14:textId="1A22AEEB" w:rsidR="00CA0467" w:rsidRPr="00CA0467" w:rsidRDefault="00CA0467" w:rsidP="00257B23">
            <w:pPr>
              <w:jc w:val="center"/>
              <w:rPr>
                <w:rFonts w:ascii="Times New Roman" w:hAnsi="Times New Roman"/>
                <w:b/>
                <w:bCs/>
                <w:color w:val="000000"/>
                <w:sz w:val="16"/>
                <w:szCs w:val="16"/>
              </w:rPr>
            </w:pPr>
            <w:r w:rsidRPr="00CA0467">
              <w:rPr>
                <w:rFonts w:ascii="Times New Roman" w:hAnsi="Times New Roman"/>
                <w:b/>
                <w:bCs/>
                <w:color w:val="000000"/>
                <w:sz w:val="16"/>
                <w:szCs w:val="16"/>
              </w:rPr>
              <w:t>Funding Amount</w:t>
            </w:r>
          </w:p>
        </w:tc>
      </w:tr>
      <w:tr w:rsidR="00CA0467" w:rsidRPr="00CA0467" w14:paraId="393EF0F1" w14:textId="77777777" w:rsidTr="00CA0467">
        <w:tblPrEx>
          <w:jc w:val="left"/>
        </w:tblPrEx>
        <w:trPr>
          <w:trHeight w:val="1080"/>
        </w:trPr>
        <w:tc>
          <w:tcPr>
            <w:tcW w:w="895" w:type="dxa"/>
            <w:vAlign w:val="center"/>
            <w:hideMark/>
          </w:tcPr>
          <w:p w14:paraId="7599481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w:t>
            </w:r>
          </w:p>
        </w:tc>
        <w:tc>
          <w:tcPr>
            <w:tcW w:w="720" w:type="dxa"/>
            <w:vAlign w:val="center"/>
            <w:hideMark/>
          </w:tcPr>
          <w:p w14:paraId="14701BD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FDACS-01</w:t>
            </w:r>
          </w:p>
        </w:tc>
        <w:tc>
          <w:tcPr>
            <w:tcW w:w="1080" w:type="dxa"/>
            <w:vAlign w:val="center"/>
            <w:hideMark/>
          </w:tcPr>
          <w:p w14:paraId="2BE7B28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Implementation and Verification - Farm Fertilizer</w:t>
            </w:r>
          </w:p>
        </w:tc>
        <w:tc>
          <w:tcPr>
            <w:tcW w:w="2070" w:type="dxa"/>
            <w:vAlign w:val="center"/>
            <w:hideMark/>
          </w:tcPr>
          <w:p w14:paraId="72B8FF8B" w14:textId="43A31FF2"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of existing BMPs on applicable acreage. Up to 15% reduction in load to groundwater.</w:t>
            </w:r>
          </w:p>
        </w:tc>
        <w:tc>
          <w:tcPr>
            <w:tcW w:w="990" w:type="dxa"/>
            <w:vAlign w:val="center"/>
            <w:hideMark/>
          </w:tcPr>
          <w:p w14:paraId="3E30662A"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61CC3E0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7374C4D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1080" w:type="dxa"/>
            <w:vAlign w:val="center"/>
            <w:hideMark/>
          </w:tcPr>
          <w:p w14:paraId="61B1848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723680C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2FF6C8D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93,888</w:t>
            </w:r>
          </w:p>
        </w:tc>
        <w:tc>
          <w:tcPr>
            <w:tcW w:w="990" w:type="dxa"/>
            <w:noWrap/>
            <w:vAlign w:val="center"/>
            <w:hideMark/>
          </w:tcPr>
          <w:p w14:paraId="2984318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833" w:type="dxa"/>
            <w:vAlign w:val="center"/>
            <w:hideMark/>
          </w:tcPr>
          <w:p w14:paraId="4F6CFC2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1008" w:type="dxa"/>
            <w:vAlign w:val="center"/>
            <w:hideMark/>
          </w:tcPr>
          <w:p w14:paraId="23135F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r>
      <w:tr w:rsidR="00CA0467" w:rsidRPr="00CA0467" w14:paraId="4E37147C" w14:textId="77777777" w:rsidTr="00CA0467">
        <w:tblPrEx>
          <w:jc w:val="left"/>
        </w:tblPrEx>
        <w:trPr>
          <w:trHeight w:val="1050"/>
        </w:trPr>
        <w:tc>
          <w:tcPr>
            <w:tcW w:w="895" w:type="dxa"/>
            <w:vAlign w:val="center"/>
            <w:hideMark/>
          </w:tcPr>
          <w:p w14:paraId="3EAE2C3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w:t>
            </w:r>
          </w:p>
        </w:tc>
        <w:tc>
          <w:tcPr>
            <w:tcW w:w="720" w:type="dxa"/>
            <w:vAlign w:val="center"/>
            <w:hideMark/>
          </w:tcPr>
          <w:p w14:paraId="3AE1F0B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FDACS-02</w:t>
            </w:r>
          </w:p>
        </w:tc>
        <w:tc>
          <w:tcPr>
            <w:tcW w:w="1080" w:type="dxa"/>
            <w:vAlign w:val="center"/>
            <w:hideMark/>
          </w:tcPr>
          <w:p w14:paraId="08DCC76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Implementation and Verification - Livestock Waste</w:t>
            </w:r>
          </w:p>
        </w:tc>
        <w:tc>
          <w:tcPr>
            <w:tcW w:w="2070" w:type="dxa"/>
            <w:vAlign w:val="center"/>
            <w:hideMark/>
          </w:tcPr>
          <w:p w14:paraId="18DA2D88" w14:textId="640D634C"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of existing BMPs at applicable facilities. Up to 10% reduction in load to groundwater.</w:t>
            </w:r>
          </w:p>
        </w:tc>
        <w:tc>
          <w:tcPr>
            <w:tcW w:w="990" w:type="dxa"/>
            <w:vAlign w:val="center"/>
            <w:hideMark/>
          </w:tcPr>
          <w:p w14:paraId="05118AF5"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0D0C969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36FA2AE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1080" w:type="dxa"/>
            <w:vAlign w:val="center"/>
            <w:hideMark/>
          </w:tcPr>
          <w:p w14:paraId="364C7FB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2FCB5D6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LW</w:t>
            </w:r>
          </w:p>
        </w:tc>
        <w:tc>
          <w:tcPr>
            <w:tcW w:w="990" w:type="dxa"/>
            <w:vAlign w:val="center"/>
            <w:hideMark/>
          </w:tcPr>
          <w:p w14:paraId="27CA0EE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5,401</w:t>
            </w:r>
          </w:p>
        </w:tc>
        <w:tc>
          <w:tcPr>
            <w:tcW w:w="990" w:type="dxa"/>
            <w:noWrap/>
            <w:vAlign w:val="center"/>
            <w:hideMark/>
          </w:tcPr>
          <w:p w14:paraId="0DAB9F4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833" w:type="dxa"/>
            <w:vAlign w:val="center"/>
            <w:hideMark/>
          </w:tcPr>
          <w:p w14:paraId="0C0905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1008" w:type="dxa"/>
            <w:vAlign w:val="center"/>
            <w:hideMark/>
          </w:tcPr>
          <w:p w14:paraId="5115D9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r>
      <w:tr w:rsidR="00CA0467" w:rsidRPr="00CA0467" w14:paraId="5F0E075F" w14:textId="77777777" w:rsidTr="00CA0467">
        <w:tblPrEx>
          <w:jc w:val="left"/>
        </w:tblPrEx>
        <w:trPr>
          <w:trHeight w:val="735"/>
        </w:trPr>
        <w:tc>
          <w:tcPr>
            <w:tcW w:w="895" w:type="dxa"/>
            <w:vAlign w:val="center"/>
            <w:hideMark/>
          </w:tcPr>
          <w:p w14:paraId="3219C8E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223D9A1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JC-01</w:t>
            </w:r>
          </w:p>
        </w:tc>
        <w:tc>
          <w:tcPr>
            <w:tcW w:w="1080" w:type="dxa"/>
            <w:vAlign w:val="center"/>
            <w:hideMark/>
          </w:tcPr>
          <w:p w14:paraId="304E33F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Indian Springs Sewer Extension Phase 1</w:t>
            </w:r>
          </w:p>
        </w:tc>
        <w:tc>
          <w:tcPr>
            <w:tcW w:w="2070" w:type="dxa"/>
            <w:vAlign w:val="center"/>
            <w:hideMark/>
          </w:tcPr>
          <w:p w14:paraId="432C2DA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Convert 125 residential septic systems to central sewer.</w:t>
            </w:r>
          </w:p>
        </w:tc>
        <w:tc>
          <w:tcPr>
            <w:tcW w:w="990" w:type="dxa"/>
            <w:vAlign w:val="center"/>
            <w:hideMark/>
          </w:tcPr>
          <w:p w14:paraId="10E0058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7D401BA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F719DD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2016</w:t>
            </w:r>
          </w:p>
        </w:tc>
        <w:tc>
          <w:tcPr>
            <w:tcW w:w="1080" w:type="dxa"/>
            <w:vAlign w:val="center"/>
            <w:hideMark/>
          </w:tcPr>
          <w:p w14:paraId="64C07E7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47C1959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6895B32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1,671</w:t>
            </w:r>
          </w:p>
        </w:tc>
        <w:tc>
          <w:tcPr>
            <w:tcW w:w="990" w:type="dxa"/>
            <w:noWrap/>
            <w:vAlign w:val="center"/>
            <w:hideMark/>
          </w:tcPr>
          <w:p w14:paraId="5207AAF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$1,450,000</w:t>
            </w:r>
          </w:p>
        </w:tc>
        <w:tc>
          <w:tcPr>
            <w:tcW w:w="833" w:type="dxa"/>
            <w:vAlign w:val="center"/>
            <w:hideMark/>
          </w:tcPr>
          <w:p w14:paraId="0B3611C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3455EA6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$1,450,000</w:t>
            </w:r>
          </w:p>
        </w:tc>
      </w:tr>
      <w:tr w:rsidR="00CA0467" w:rsidRPr="00CA0467" w14:paraId="3BFE7230" w14:textId="77777777" w:rsidTr="00CA0467">
        <w:tblPrEx>
          <w:jc w:val="left"/>
        </w:tblPrEx>
        <w:trPr>
          <w:trHeight w:val="1097"/>
        </w:trPr>
        <w:tc>
          <w:tcPr>
            <w:tcW w:w="895" w:type="dxa"/>
            <w:vAlign w:val="center"/>
            <w:hideMark/>
          </w:tcPr>
          <w:p w14:paraId="383DA9D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0A89CC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JC-02</w:t>
            </w:r>
          </w:p>
        </w:tc>
        <w:tc>
          <w:tcPr>
            <w:tcW w:w="1080" w:type="dxa"/>
            <w:vAlign w:val="center"/>
            <w:hideMark/>
          </w:tcPr>
          <w:p w14:paraId="4F926C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Indian Springs Sewer Extension Phase 2A</w:t>
            </w:r>
          </w:p>
        </w:tc>
        <w:tc>
          <w:tcPr>
            <w:tcW w:w="2070" w:type="dxa"/>
            <w:vAlign w:val="center"/>
            <w:hideMark/>
          </w:tcPr>
          <w:p w14:paraId="3F4D194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Phase 2A includes the Magnolia Blossom, Oak Drive, and partial Seminole Drive segments (convert 89 residential systems to sewer).</w:t>
            </w:r>
          </w:p>
        </w:tc>
        <w:tc>
          <w:tcPr>
            <w:tcW w:w="990" w:type="dxa"/>
            <w:vAlign w:val="center"/>
            <w:hideMark/>
          </w:tcPr>
          <w:p w14:paraId="0BCF4F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2B37F5C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Planned</w:t>
            </w:r>
          </w:p>
        </w:tc>
        <w:tc>
          <w:tcPr>
            <w:tcW w:w="900" w:type="dxa"/>
            <w:vAlign w:val="center"/>
            <w:hideMark/>
          </w:tcPr>
          <w:p w14:paraId="1CDBBB7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1080" w:type="dxa"/>
            <w:vAlign w:val="center"/>
            <w:hideMark/>
          </w:tcPr>
          <w:p w14:paraId="34B4841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0C3C9D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0C66CF5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695</w:t>
            </w:r>
          </w:p>
        </w:tc>
        <w:tc>
          <w:tcPr>
            <w:tcW w:w="990" w:type="dxa"/>
            <w:noWrap/>
            <w:vAlign w:val="center"/>
            <w:hideMark/>
          </w:tcPr>
          <w:p w14:paraId="5F2D30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$2,000,000</w:t>
            </w:r>
          </w:p>
        </w:tc>
        <w:tc>
          <w:tcPr>
            <w:tcW w:w="833" w:type="dxa"/>
            <w:vAlign w:val="center"/>
            <w:hideMark/>
          </w:tcPr>
          <w:p w14:paraId="63A8583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4C4CDE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$2,000,000</w:t>
            </w:r>
          </w:p>
        </w:tc>
      </w:tr>
      <w:tr w:rsidR="00CA0467" w:rsidRPr="00CA0467" w14:paraId="339BE633" w14:textId="77777777" w:rsidTr="00CA0467">
        <w:tblPrEx>
          <w:jc w:val="left"/>
        </w:tblPrEx>
        <w:trPr>
          <w:trHeight w:val="2240"/>
        </w:trPr>
        <w:tc>
          <w:tcPr>
            <w:tcW w:w="895" w:type="dxa"/>
            <w:vAlign w:val="center"/>
            <w:hideMark/>
          </w:tcPr>
          <w:p w14:paraId="2B6F6CD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6CAE251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JC-03</w:t>
            </w:r>
          </w:p>
        </w:tc>
        <w:tc>
          <w:tcPr>
            <w:tcW w:w="1080" w:type="dxa"/>
            <w:vAlign w:val="center"/>
            <w:hideMark/>
          </w:tcPr>
          <w:p w14:paraId="6FD14EF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Blue Spring Road Sewer Extension</w:t>
            </w:r>
          </w:p>
        </w:tc>
        <w:tc>
          <w:tcPr>
            <w:tcW w:w="2070" w:type="dxa"/>
            <w:vAlign w:val="center"/>
            <w:hideMark/>
          </w:tcPr>
          <w:p w14:paraId="4BCF9713" w14:textId="0EA08F94"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Provide central sewer service to Blue Springs Recreational Area and approximately 74 homes in the Blue Springs area. The project will also include removing the public park septic system at Jackson Blue Spring, and provide sewer service to homes adjacent to Merritts Mill Pond.</w:t>
            </w:r>
          </w:p>
        </w:tc>
        <w:tc>
          <w:tcPr>
            <w:tcW w:w="990" w:type="dxa"/>
            <w:vAlign w:val="center"/>
            <w:hideMark/>
          </w:tcPr>
          <w:p w14:paraId="75E38E0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35CD032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4FFC4C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332C70D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2020</w:t>
            </w:r>
          </w:p>
        </w:tc>
        <w:tc>
          <w:tcPr>
            <w:tcW w:w="990" w:type="dxa"/>
            <w:vAlign w:val="center"/>
            <w:hideMark/>
          </w:tcPr>
          <w:p w14:paraId="4AF2AA1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5A7361E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838</w:t>
            </w:r>
          </w:p>
        </w:tc>
        <w:tc>
          <w:tcPr>
            <w:tcW w:w="990" w:type="dxa"/>
            <w:noWrap/>
            <w:vAlign w:val="center"/>
            <w:hideMark/>
          </w:tcPr>
          <w:p w14:paraId="1780EF2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$3,566,749</w:t>
            </w:r>
          </w:p>
        </w:tc>
        <w:tc>
          <w:tcPr>
            <w:tcW w:w="833" w:type="dxa"/>
            <w:vAlign w:val="center"/>
            <w:hideMark/>
          </w:tcPr>
          <w:p w14:paraId="4863A97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326A506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$3,566,749</w:t>
            </w:r>
          </w:p>
        </w:tc>
      </w:tr>
      <w:tr w:rsidR="00CA0467" w:rsidRPr="00CA0467" w14:paraId="1EBDB96A" w14:textId="77777777" w:rsidTr="00CA0467">
        <w:tblPrEx>
          <w:jc w:val="left"/>
        </w:tblPrEx>
        <w:trPr>
          <w:trHeight w:val="990"/>
        </w:trPr>
        <w:tc>
          <w:tcPr>
            <w:tcW w:w="895" w:type="dxa"/>
            <w:vAlign w:val="center"/>
            <w:hideMark/>
          </w:tcPr>
          <w:p w14:paraId="7EDAF7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151680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JC-04</w:t>
            </w:r>
          </w:p>
        </w:tc>
        <w:tc>
          <w:tcPr>
            <w:tcW w:w="1080" w:type="dxa"/>
            <w:vAlign w:val="center"/>
            <w:hideMark/>
          </w:tcPr>
          <w:p w14:paraId="1B10D772" w14:textId="47EC2F09"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Blue Spring</w:t>
            </w:r>
            <w:r w:rsidRPr="00CA0467">
              <w:rPr>
                <w:rFonts w:ascii="Times New Roman" w:hAnsi="Times New Roman"/>
                <w:color w:val="000000"/>
                <w:sz w:val="16"/>
                <w:szCs w:val="16"/>
              </w:rPr>
              <w:br/>
              <w:t>Recreation Area</w:t>
            </w:r>
            <w:r w:rsidRPr="00CA0467">
              <w:rPr>
                <w:rFonts w:ascii="Times New Roman" w:hAnsi="Times New Roman"/>
                <w:color w:val="000000"/>
                <w:sz w:val="16"/>
                <w:szCs w:val="16"/>
              </w:rPr>
              <w:br/>
              <w:t>Improve</w:t>
            </w:r>
            <w:r>
              <w:rPr>
                <w:rFonts w:ascii="Times New Roman" w:hAnsi="Times New Roman"/>
                <w:color w:val="000000"/>
                <w:sz w:val="16"/>
                <w:szCs w:val="16"/>
              </w:rPr>
              <w:t>-</w:t>
            </w:r>
            <w:r w:rsidRPr="00CA0467">
              <w:rPr>
                <w:rFonts w:ascii="Times New Roman" w:hAnsi="Times New Roman"/>
                <w:color w:val="000000"/>
                <w:sz w:val="16"/>
                <w:szCs w:val="16"/>
              </w:rPr>
              <w:t>ments</w:t>
            </w:r>
          </w:p>
        </w:tc>
        <w:tc>
          <w:tcPr>
            <w:tcW w:w="2070" w:type="dxa"/>
            <w:vAlign w:val="center"/>
            <w:hideMark/>
          </w:tcPr>
          <w:p w14:paraId="7025F0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Stormwater improvements.</w:t>
            </w:r>
          </w:p>
        </w:tc>
        <w:tc>
          <w:tcPr>
            <w:tcW w:w="990" w:type="dxa"/>
            <w:vAlign w:val="center"/>
            <w:hideMark/>
          </w:tcPr>
          <w:p w14:paraId="7A847DE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 Treatment Train</w:t>
            </w:r>
          </w:p>
        </w:tc>
        <w:tc>
          <w:tcPr>
            <w:tcW w:w="900" w:type="dxa"/>
            <w:vAlign w:val="center"/>
            <w:hideMark/>
          </w:tcPr>
          <w:p w14:paraId="47DEE2B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4CAC00D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7DA9E03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990" w:type="dxa"/>
            <w:vAlign w:val="center"/>
            <w:hideMark/>
          </w:tcPr>
          <w:p w14:paraId="790BBE8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529A0A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990" w:type="dxa"/>
            <w:vAlign w:val="center"/>
            <w:hideMark/>
          </w:tcPr>
          <w:p w14:paraId="7AA3037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833" w:type="dxa"/>
            <w:vAlign w:val="center"/>
            <w:hideMark/>
          </w:tcPr>
          <w:p w14:paraId="5AC9AB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c>
          <w:tcPr>
            <w:tcW w:w="1008" w:type="dxa"/>
            <w:vAlign w:val="center"/>
            <w:hideMark/>
          </w:tcPr>
          <w:p w14:paraId="05D385B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Not Provided</w:t>
            </w:r>
          </w:p>
        </w:tc>
      </w:tr>
      <w:tr w:rsidR="00CA0467" w:rsidRPr="00CA0467" w14:paraId="60D3D022" w14:textId="77777777" w:rsidTr="00CA0467">
        <w:tblPrEx>
          <w:jc w:val="left"/>
        </w:tblPrEx>
        <w:trPr>
          <w:trHeight w:val="1538"/>
        </w:trPr>
        <w:tc>
          <w:tcPr>
            <w:tcW w:w="895" w:type="dxa"/>
            <w:vAlign w:val="center"/>
            <w:hideMark/>
          </w:tcPr>
          <w:p w14:paraId="6F7EDB9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70BC1A8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JC-05</w:t>
            </w:r>
          </w:p>
        </w:tc>
        <w:tc>
          <w:tcPr>
            <w:tcW w:w="1080" w:type="dxa"/>
            <w:vAlign w:val="center"/>
            <w:hideMark/>
          </w:tcPr>
          <w:p w14:paraId="7B51CC7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Blue Spring Recreation Area Stormwater Improvement Project</w:t>
            </w:r>
          </w:p>
        </w:tc>
        <w:tc>
          <w:tcPr>
            <w:tcW w:w="2070" w:type="dxa"/>
            <w:vAlign w:val="center"/>
            <w:hideMark/>
          </w:tcPr>
          <w:p w14:paraId="0C1D9F9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Design and construction of a stormwater management system that captures and treats stormwater at Jackson Blue Spring. In addition, will stabilize and restore approximately 250-300 linear feet of shoreline.</w:t>
            </w:r>
          </w:p>
        </w:tc>
        <w:tc>
          <w:tcPr>
            <w:tcW w:w="990" w:type="dxa"/>
            <w:vAlign w:val="center"/>
            <w:hideMark/>
          </w:tcPr>
          <w:p w14:paraId="67810E4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Stormwater System Upgrade</w:t>
            </w:r>
          </w:p>
        </w:tc>
        <w:tc>
          <w:tcPr>
            <w:tcW w:w="900" w:type="dxa"/>
            <w:vAlign w:val="center"/>
            <w:hideMark/>
          </w:tcPr>
          <w:p w14:paraId="5D0E3F4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069EF7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1B7FB49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2021</w:t>
            </w:r>
          </w:p>
        </w:tc>
        <w:tc>
          <w:tcPr>
            <w:tcW w:w="990" w:type="dxa"/>
            <w:vAlign w:val="center"/>
            <w:hideMark/>
          </w:tcPr>
          <w:p w14:paraId="0D3F6E4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5577665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609D5CA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$751,200</w:t>
            </w:r>
          </w:p>
        </w:tc>
        <w:tc>
          <w:tcPr>
            <w:tcW w:w="833" w:type="dxa"/>
            <w:vAlign w:val="center"/>
            <w:hideMark/>
          </w:tcPr>
          <w:p w14:paraId="0FF7B4E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Local Match</w:t>
            </w:r>
          </w:p>
        </w:tc>
        <w:tc>
          <w:tcPr>
            <w:tcW w:w="1008" w:type="dxa"/>
            <w:vAlign w:val="center"/>
            <w:hideMark/>
          </w:tcPr>
          <w:p w14:paraId="2CE4CE87" w14:textId="5F1D11B1"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$729,200 Local: $22,000</w:t>
            </w:r>
          </w:p>
        </w:tc>
      </w:tr>
      <w:tr w:rsidR="00CA0467" w:rsidRPr="00CA0467" w14:paraId="4F84756A" w14:textId="77777777" w:rsidTr="00CA0467">
        <w:tblPrEx>
          <w:jc w:val="left"/>
        </w:tblPrEx>
        <w:trPr>
          <w:trHeight w:val="710"/>
        </w:trPr>
        <w:tc>
          <w:tcPr>
            <w:tcW w:w="895" w:type="dxa"/>
            <w:vAlign w:val="center"/>
            <w:hideMark/>
          </w:tcPr>
          <w:p w14:paraId="38E47F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Jackson County</w:t>
            </w:r>
          </w:p>
        </w:tc>
        <w:tc>
          <w:tcPr>
            <w:tcW w:w="720" w:type="dxa"/>
            <w:vAlign w:val="center"/>
            <w:hideMark/>
          </w:tcPr>
          <w:p w14:paraId="310D27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JC-06</w:t>
            </w:r>
          </w:p>
        </w:tc>
        <w:tc>
          <w:tcPr>
            <w:tcW w:w="1080" w:type="dxa"/>
            <w:vAlign w:val="center"/>
            <w:hideMark/>
          </w:tcPr>
          <w:p w14:paraId="60AB89A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Education</w:t>
            </w:r>
          </w:p>
        </w:tc>
        <w:tc>
          <w:tcPr>
            <w:tcW w:w="2070" w:type="dxa"/>
            <w:vAlign w:val="center"/>
            <w:hideMark/>
          </w:tcPr>
          <w:p w14:paraId="2FCBA87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Landscape ordinance; implementation of FYN Program.</w:t>
            </w:r>
          </w:p>
        </w:tc>
        <w:tc>
          <w:tcPr>
            <w:tcW w:w="990" w:type="dxa"/>
            <w:vAlign w:val="center"/>
            <w:hideMark/>
          </w:tcPr>
          <w:p w14:paraId="330B12A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Education Efforts</w:t>
            </w:r>
          </w:p>
        </w:tc>
        <w:tc>
          <w:tcPr>
            <w:tcW w:w="900" w:type="dxa"/>
            <w:vAlign w:val="center"/>
            <w:hideMark/>
          </w:tcPr>
          <w:p w14:paraId="4AD6A12D" w14:textId="68565AF9" w:rsidR="00CA0467" w:rsidRPr="00CA0467" w:rsidRDefault="00CA0467" w:rsidP="00CA0467">
            <w:pPr>
              <w:jc w:val="center"/>
              <w:rPr>
                <w:rFonts w:ascii="Times New Roman" w:hAnsi="Times New Roman"/>
                <w:color w:val="000000"/>
                <w:sz w:val="15"/>
                <w:szCs w:val="16"/>
              </w:rPr>
            </w:pPr>
            <w:r>
              <w:rPr>
                <w:rFonts w:ascii="Times New Roman" w:hAnsi="Times New Roman"/>
                <w:color w:val="000000"/>
                <w:sz w:val="15"/>
                <w:szCs w:val="16"/>
              </w:rPr>
              <w:t>Underway</w:t>
            </w:r>
          </w:p>
        </w:tc>
        <w:tc>
          <w:tcPr>
            <w:tcW w:w="900" w:type="dxa"/>
            <w:vAlign w:val="center"/>
            <w:hideMark/>
          </w:tcPr>
          <w:p w14:paraId="26F20A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2E85B6B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990" w:type="dxa"/>
            <w:vAlign w:val="center"/>
            <w:hideMark/>
          </w:tcPr>
          <w:p w14:paraId="5AC00F4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UTF</w:t>
            </w:r>
          </w:p>
        </w:tc>
        <w:tc>
          <w:tcPr>
            <w:tcW w:w="990" w:type="dxa"/>
            <w:vAlign w:val="center"/>
            <w:hideMark/>
          </w:tcPr>
          <w:p w14:paraId="1518085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120</w:t>
            </w:r>
          </w:p>
        </w:tc>
        <w:tc>
          <w:tcPr>
            <w:tcW w:w="990" w:type="dxa"/>
            <w:noWrap/>
            <w:vAlign w:val="center"/>
            <w:hideMark/>
          </w:tcPr>
          <w:p w14:paraId="5604C5C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noWrap/>
            <w:vAlign w:val="center"/>
            <w:hideMark/>
          </w:tcPr>
          <w:p w14:paraId="10232FE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noWrap/>
            <w:vAlign w:val="center"/>
            <w:hideMark/>
          </w:tcPr>
          <w:p w14:paraId="30F203B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0A7B7354" w14:textId="77777777" w:rsidTr="00CA0467">
        <w:tblPrEx>
          <w:jc w:val="left"/>
        </w:tblPrEx>
        <w:trPr>
          <w:trHeight w:val="1790"/>
        </w:trPr>
        <w:tc>
          <w:tcPr>
            <w:tcW w:w="895" w:type="dxa"/>
            <w:vAlign w:val="center"/>
            <w:hideMark/>
          </w:tcPr>
          <w:p w14:paraId="279954BA"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405428A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NWF-01</w:t>
            </w:r>
          </w:p>
        </w:tc>
        <w:tc>
          <w:tcPr>
            <w:tcW w:w="1080" w:type="dxa"/>
            <w:vAlign w:val="center"/>
            <w:hideMark/>
          </w:tcPr>
          <w:p w14:paraId="77A87AA3" w14:textId="793C8E56"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Agricultural BMPs and Equipment Cost-Share Program</w:t>
            </w:r>
          </w:p>
        </w:tc>
        <w:tc>
          <w:tcPr>
            <w:tcW w:w="2070" w:type="dxa"/>
            <w:vAlign w:val="center"/>
            <w:hideMark/>
          </w:tcPr>
          <w:p w14:paraId="1575B5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Cost-share funding for agricultural BMPs and equipment to improve water use efficiency and reduce nutrient loading. Assisted 50 producers through 2017. 20% reduction in TN reported. Cost estimate is cumulative since FY 13-14.</w:t>
            </w:r>
          </w:p>
        </w:tc>
        <w:tc>
          <w:tcPr>
            <w:tcW w:w="990" w:type="dxa"/>
            <w:vAlign w:val="center"/>
            <w:hideMark/>
          </w:tcPr>
          <w:p w14:paraId="5FC4AE7C" w14:textId="20B094CB"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5"/>
                <w:szCs w:val="16"/>
              </w:rPr>
              <w:t>Agricultural BMPs</w:t>
            </w:r>
          </w:p>
        </w:tc>
        <w:tc>
          <w:tcPr>
            <w:tcW w:w="900" w:type="dxa"/>
            <w:vAlign w:val="center"/>
            <w:hideMark/>
          </w:tcPr>
          <w:p w14:paraId="1766A73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829862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4C0B6CB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vAlign w:val="center"/>
            <w:hideMark/>
          </w:tcPr>
          <w:p w14:paraId="6D56825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2AD255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6225696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$6,698,595</w:t>
            </w:r>
          </w:p>
        </w:tc>
        <w:tc>
          <w:tcPr>
            <w:tcW w:w="833" w:type="dxa"/>
            <w:vAlign w:val="center"/>
            <w:hideMark/>
          </w:tcPr>
          <w:p w14:paraId="504996F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FDACS/ Jackson Soil and Water Conservation District</w:t>
            </w:r>
          </w:p>
        </w:tc>
        <w:tc>
          <w:tcPr>
            <w:tcW w:w="1008" w:type="dxa"/>
            <w:vAlign w:val="center"/>
            <w:hideMark/>
          </w:tcPr>
          <w:p w14:paraId="3230856D" w14:textId="20D5908B"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$4,239,500 Producers Match: $1,959,095</w:t>
            </w:r>
          </w:p>
        </w:tc>
      </w:tr>
      <w:tr w:rsidR="00CA0467" w:rsidRPr="00CA0467" w14:paraId="736C8BC2" w14:textId="77777777" w:rsidTr="00CA0467">
        <w:tblPrEx>
          <w:jc w:val="left"/>
        </w:tblPrEx>
        <w:trPr>
          <w:trHeight w:val="735"/>
        </w:trPr>
        <w:tc>
          <w:tcPr>
            <w:tcW w:w="895" w:type="dxa"/>
            <w:vAlign w:val="center"/>
            <w:hideMark/>
          </w:tcPr>
          <w:p w14:paraId="3D0410FE"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600CB1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NWF-02</w:t>
            </w:r>
          </w:p>
        </w:tc>
        <w:tc>
          <w:tcPr>
            <w:tcW w:w="1080" w:type="dxa"/>
            <w:vAlign w:val="center"/>
            <w:hideMark/>
          </w:tcPr>
          <w:p w14:paraId="62136A4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Blue Springs Plantation, Inc.</w:t>
            </w:r>
          </w:p>
        </w:tc>
        <w:tc>
          <w:tcPr>
            <w:tcW w:w="2070" w:type="dxa"/>
            <w:vAlign w:val="center"/>
            <w:hideMark/>
          </w:tcPr>
          <w:p w14:paraId="1DE2009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Fee simple acquisition and protection of 394 acres adjacent to Jackson Blue Spring.</w:t>
            </w:r>
          </w:p>
        </w:tc>
        <w:tc>
          <w:tcPr>
            <w:tcW w:w="990" w:type="dxa"/>
            <w:vAlign w:val="center"/>
            <w:hideMark/>
          </w:tcPr>
          <w:p w14:paraId="023C601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613E382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Canceled</w:t>
            </w:r>
          </w:p>
        </w:tc>
        <w:tc>
          <w:tcPr>
            <w:tcW w:w="900" w:type="dxa"/>
            <w:vAlign w:val="center"/>
            <w:hideMark/>
          </w:tcPr>
          <w:p w14:paraId="2AFD110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2015</w:t>
            </w:r>
          </w:p>
        </w:tc>
        <w:tc>
          <w:tcPr>
            <w:tcW w:w="1080" w:type="dxa"/>
            <w:vAlign w:val="center"/>
            <w:hideMark/>
          </w:tcPr>
          <w:p w14:paraId="49840B3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69B03C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290C6D2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5CC38B4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vAlign w:val="center"/>
            <w:hideMark/>
          </w:tcPr>
          <w:p w14:paraId="54C2885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vAlign w:val="center"/>
            <w:hideMark/>
          </w:tcPr>
          <w:p w14:paraId="45F56D3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3A4C851C" w14:textId="77777777" w:rsidTr="00CA0467">
        <w:tblPrEx>
          <w:jc w:val="left"/>
        </w:tblPrEx>
        <w:trPr>
          <w:trHeight w:val="1043"/>
        </w:trPr>
        <w:tc>
          <w:tcPr>
            <w:tcW w:w="895" w:type="dxa"/>
            <w:vAlign w:val="center"/>
            <w:hideMark/>
          </w:tcPr>
          <w:p w14:paraId="263A8013"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2D50104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NWF-03</w:t>
            </w:r>
          </w:p>
        </w:tc>
        <w:tc>
          <w:tcPr>
            <w:tcW w:w="1080" w:type="dxa"/>
            <w:vAlign w:val="center"/>
            <w:hideMark/>
          </w:tcPr>
          <w:p w14:paraId="738D30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Lakeshore Farms II, LLC</w:t>
            </w:r>
          </w:p>
        </w:tc>
        <w:tc>
          <w:tcPr>
            <w:tcW w:w="2070" w:type="dxa"/>
            <w:vAlign w:val="center"/>
            <w:hideMark/>
          </w:tcPr>
          <w:p w14:paraId="0A7E645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Fee simple or less-than-fee acquisition and protection of 598 agricultural acres in the Jackson Blue groundwater contributing area.</w:t>
            </w:r>
          </w:p>
        </w:tc>
        <w:tc>
          <w:tcPr>
            <w:tcW w:w="990" w:type="dxa"/>
            <w:vAlign w:val="center"/>
            <w:hideMark/>
          </w:tcPr>
          <w:p w14:paraId="2DDC8C1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00F80F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Canceled</w:t>
            </w:r>
          </w:p>
        </w:tc>
        <w:tc>
          <w:tcPr>
            <w:tcW w:w="900" w:type="dxa"/>
            <w:vAlign w:val="center"/>
            <w:hideMark/>
          </w:tcPr>
          <w:p w14:paraId="4788A7D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80" w:type="dxa"/>
            <w:vAlign w:val="center"/>
            <w:hideMark/>
          </w:tcPr>
          <w:p w14:paraId="609B65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44A3233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418A220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6B488A2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833" w:type="dxa"/>
            <w:vAlign w:val="center"/>
            <w:hideMark/>
          </w:tcPr>
          <w:p w14:paraId="58EA21E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1008" w:type="dxa"/>
            <w:vAlign w:val="center"/>
            <w:hideMark/>
          </w:tcPr>
          <w:p w14:paraId="2922E23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r>
      <w:tr w:rsidR="00CA0467" w:rsidRPr="00CA0467" w14:paraId="72328A00" w14:textId="77777777" w:rsidTr="00CA0467">
        <w:tblPrEx>
          <w:jc w:val="left"/>
        </w:tblPrEx>
        <w:trPr>
          <w:trHeight w:val="1070"/>
        </w:trPr>
        <w:tc>
          <w:tcPr>
            <w:tcW w:w="895" w:type="dxa"/>
            <w:vAlign w:val="center"/>
            <w:hideMark/>
          </w:tcPr>
          <w:p w14:paraId="249B610F"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77E746C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NWF-04</w:t>
            </w:r>
          </w:p>
        </w:tc>
        <w:tc>
          <w:tcPr>
            <w:tcW w:w="1080" w:type="dxa"/>
            <w:vAlign w:val="center"/>
            <w:hideMark/>
          </w:tcPr>
          <w:p w14:paraId="7E93215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Pittman Property Land Acquisition</w:t>
            </w:r>
          </w:p>
        </w:tc>
        <w:tc>
          <w:tcPr>
            <w:tcW w:w="2070" w:type="dxa"/>
            <w:vAlign w:val="center"/>
            <w:hideMark/>
          </w:tcPr>
          <w:p w14:paraId="6D724FA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Less-than-fee acquisition and protection of 167 agricultural acres in the Jackson Blue groundwater contributing area.</w:t>
            </w:r>
          </w:p>
        </w:tc>
        <w:tc>
          <w:tcPr>
            <w:tcW w:w="990" w:type="dxa"/>
            <w:vAlign w:val="center"/>
            <w:hideMark/>
          </w:tcPr>
          <w:p w14:paraId="5567C10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Land Acquisition</w:t>
            </w:r>
          </w:p>
        </w:tc>
        <w:tc>
          <w:tcPr>
            <w:tcW w:w="900" w:type="dxa"/>
            <w:vAlign w:val="center"/>
            <w:hideMark/>
          </w:tcPr>
          <w:p w14:paraId="0864AB9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1916AFD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1664C6F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3331AEE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140E833F"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noWrap/>
            <w:vAlign w:val="center"/>
            <w:hideMark/>
          </w:tcPr>
          <w:p w14:paraId="0BCDC06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$686,568</w:t>
            </w:r>
          </w:p>
        </w:tc>
        <w:tc>
          <w:tcPr>
            <w:tcW w:w="833" w:type="dxa"/>
            <w:vAlign w:val="center"/>
            <w:hideMark/>
          </w:tcPr>
          <w:p w14:paraId="6F5A47C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7581089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$686,568</w:t>
            </w:r>
          </w:p>
        </w:tc>
      </w:tr>
      <w:tr w:rsidR="00CA0467" w:rsidRPr="00CA0467" w14:paraId="4A8C873F" w14:textId="77777777" w:rsidTr="00CA0467">
        <w:tblPrEx>
          <w:jc w:val="left"/>
        </w:tblPrEx>
        <w:trPr>
          <w:trHeight w:val="1455"/>
        </w:trPr>
        <w:tc>
          <w:tcPr>
            <w:tcW w:w="895" w:type="dxa"/>
            <w:vAlign w:val="center"/>
            <w:hideMark/>
          </w:tcPr>
          <w:p w14:paraId="17E50E6D"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496718C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NWF-05</w:t>
            </w:r>
          </w:p>
        </w:tc>
        <w:tc>
          <w:tcPr>
            <w:tcW w:w="1080" w:type="dxa"/>
            <w:vAlign w:val="center"/>
            <w:hideMark/>
          </w:tcPr>
          <w:p w14:paraId="132E787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Grant Program</w:t>
            </w:r>
          </w:p>
        </w:tc>
        <w:tc>
          <w:tcPr>
            <w:tcW w:w="2070" w:type="dxa"/>
            <w:vAlign w:val="center"/>
            <w:hideMark/>
          </w:tcPr>
          <w:p w14:paraId="78CF3AF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Grants to producers to rotate sod in existing crop fields to improve water quality and reduce water use demands around Jackson Blue Spring.</w:t>
            </w:r>
          </w:p>
        </w:tc>
        <w:tc>
          <w:tcPr>
            <w:tcW w:w="990" w:type="dxa"/>
            <w:vAlign w:val="center"/>
            <w:hideMark/>
          </w:tcPr>
          <w:p w14:paraId="41165DF0"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Agricultural BMPs</w:t>
            </w:r>
          </w:p>
        </w:tc>
        <w:tc>
          <w:tcPr>
            <w:tcW w:w="900" w:type="dxa"/>
            <w:vAlign w:val="center"/>
            <w:hideMark/>
          </w:tcPr>
          <w:p w14:paraId="121EA73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3D01B97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0634742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2022</w:t>
            </w:r>
          </w:p>
        </w:tc>
        <w:tc>
          <w:tcPr>
            <w:tcW w:w="990" w:type="dxa"/>
            <w:vAlign w:val="center"/>
            <w:hideMark/>
          </w:tcPr>
          <w:p w14:paraId="2557D96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363CF0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5ADDB10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$806,032</w:t>
            </w:r>
          </w:p>
        </w:tc>
        <w:tc>
          <w:tcPr>
            <w:tcW w:w="833" w:type="dxa"/>
            <w:vAlign w:val="center"/>
            <w:hideMark/>
          </w:tcPr>
          <w:p w14:paraId="0942F293" w14:textId="77777777" w:rsidR="00CA0467" w:rsidRDefault="00CA0467" w:rsidP="00CA0467">
            <w:pPr>
              <w:jc w:val="center"/>
              <w:rPr>
                <w:rFonts w:ascii="Times New Roman" w:hAnsi="Times New Roman"/>
                <w:sz w:val="16"/>
                <w:szCs w:val="16"/>
              </w:rPr>
            </w:pPr>
            <w:r w:rsidRPr="00CA0467">
              <w:rPr>
                <w:rFonts w:ascii="Times New Roman" w:hAnsi="Times New Roman"/>
                <w:sz w:val="16"/>
                <w:szCs w:val="16"/>
              </w:rPr>
              <w:t>U.S. EPA/</w:t>
            </w:r>
          </w:p>
          <w:p w14:paraId="05DCDE1E" w14:textId="0D78EBC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DEP</w:t>
            </w:r>
            <w:r>
              <w:rPr>
                <w:rFonts w:ascii="Times New Roman" w:hAnsi="Times New Roman"/>
                <w:sz w:val="16"/>
                <w:szCs w:val="16"/>
              </w:rPr>
              <w:t>/</w:t>
            </w:r>
            <w:r w:rsidRPr="00CA0467">
              <w:rPr>
                <w:rFonts w:ascii="Times New Roman" w:hAnsi="Times New Roman"/>
                <w:sz w:val="16"/>
                <w:szCs w:val="16"/>
              </w:rPr>
              <w:t xml:space="preserve"> </w:t>
            </w:r>
            <w:r w:rsidRPr="00CA0467">
              <w:rPr>
                <w:rFonts w:ascii="Times New Roman" w:hAnsi="Times New Roman"/>
                <w:sz w:val="14"/>
                <w:szCs w:val="16"/>
              </w:rPr>
              <w:t>Producers</w:t>
            </w:r>
            <w:r>
              <w:rPr>
                <w:rFonts w:ascii="Times New Roman" w:hAnsi="Times New Roman"/>
                <w:sz w:val="14"/>
                <w:szCs w:val="16"/>
              </w:rPr>
              <w:t>/</w:t>
            </w:r>
            <w:r w:rsidRPr="00CA0467">
              <w:rPr>
                <w:rFonts w:ascii="Times New Roman" w:hAnsi="Times New Roman"/>
                <w:sz w:val="14"/>
                <w:szCs w:val="16"/>
              </w:rPr>
              <w:t xml:space="preserve"> NWF</w:t>
            </w:r>
            <w:r>
              <w:rPr>
                <w:rFonts w:ascii="Times New Roman" w:hAnsi="Times New Roman"/>
                <w:sz w:val="14"/>
                <w:szCs w:val="16"/>
              </w:rPr>
              <w:t>-</w:t>
            </w:r>
            <w:r w:rsidRPr="00CA0467">
              <w:rPr>
                <w:rFonts w:ascii="Times New Roman" w:hAnsi="Times New Roman"/>
                <w:sz w:val="14"/>
                <w:szCs w:val="16"/>
              </w:rPr>
              <w:t>WMD</w:t>
            </w:r>
          </w:p>
        </w:tc>
        <w:tc>
          <w:tcPr>
            <w:tcW w:w="1008" w:type="dxa"/>
            <w:vAlign w:val="center"/>
            <w:hideMark/>
          </w:tcPr>
          <w:p w14:paraId="0541DB73" w14:textId="46C73868" w:rsidR="00CA0467" w:rsidRPr="00CA0467" w:rsidRDefault="00CA0467" w:rsidP="00CA0467">
            <w:pPr>
              <w:jc w:val="center"/>
              <w:rPr>
                <w:rFonts w:ascii="Times New Roman" w:hAnsi="Times New Roman"/>
                <w:sz w:val="16"/>
                <w:szCs w:val="16"/>
              </w:rPr>
            </w:pPr>
            <w:r>
              <w:rPr>
                <w:rFonts w:ascii="Times New Roman" w:hAnsi="Times New Roman"/>
                <w:sz w:val="16"/>
                <w:szCs w:val="16"/>
              </w:rPr>
              <w:t>U.S. EPA/DEP: $480,032</w:t>
            </w:r>
            <w:r w:rsidRPr="00CA0467">
              <w:rPr>
                <w:rFonts w:ascii="Times New Roman" w:hAnsi="Times New Roman"/>
                <w:sz w:val="16"/>
                <w:szCs w:val="16"/>
              </w:rPr>
              <w:t xml:space="preserve"> </w:t>
            </w:r>
            <w:r w:rsidRPr="00CA0467">
              <w:rPr>
                <w:rFonts w:ascii="Times New Roman" w:hAnsi="Times New Roman"/>
                <w:sz w:val="14"/>
                <w:szCs w:val="16"/>
              </w:rPr>
              <w:t>NWFWMD</w:t>
            </w:r>
            <w:r w:rsidRPr="00CA0467">
              <w:rPr>
                <w:rFonts w:ascii="Times New Roman" w:hAnsi="Times New Roman"/>
                <w:sz w:val="16"/>
                <w:szCs w:val="16"/>
              </w:rPr>
              <w:t>: $256,000 Producers: $70,000</w:t>
            </w:r>
          </w:p>
        </w:tc>
      </w:tr>
      <w:tr w:rsidR="00CA0467" w:rsidRPr="00CA0467" w14:paraId="19CEF656" w14:textId="77777777" w:rsidTr="00CA0467">
        <w:tblPrEx>
          <w:jc w:val="left"/>
        </w:tblPrEx>
        <w:trPr>
          <w:trHeight w:val="1560"/>
        </w:trPr>
        <w:tc>
          <w:tcPr>
            <w:tcW w:w="895" w:type="dxa"/>
            <w:vAlign w:val="center"/>
            <w:hideMark/>
          </w:tcPr>
          <w:p w14:paraId="0C2D45C5"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vAlign w:val="center"/>
            <w:hideMark/>
          </w:tcPr>
          <w:p w14:paraId="3FDA4DC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NWF-06</w:t>
            </w:r>
          </w:p>
        </w:tc>
        <w:tc>
          <w:tcPr>
            <w:tcW w:w="1080" w:type="dxa"/>
            <w:vAlign w:val="center"/>
            <w:hideMark/>
          </w:tcPr>
          <w:p w14:paraId="34E7133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Apalachicola River and Bay Surface Water Improvement and Management (SWIM) Plan</w:t>
            </w:r>
          </w:p>
        </w:tc>
        <w:tc>
          <w:tcPr>
            <w:tcW w:w="2070" w:type="dxa"/>
            <w:vAlign w:val="center"/>
            <w:hideMark/>
          </w:tcPr>
          <w:p w14:paraId="1FD87D0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Implementation and periodic review and update of the Apalachicola SWIM Plan.</w:t>
            </w:r>
          </w:p>
        </w:tc>
        <w:tc>
          <w:tcPr>
            <w:tcW w:w="990" w:type="dxa"/>
            <w:vAlign w:val="center"/>
            <w:hideMark/>
          </w:tcPr>
          <w:p w14:paraId="4F41EFF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Study</w:t>
            </w:r>
          </w:p>
        </w:tc>
        <w:tc>
          <w:tcPr>
            <w:tcW w:w="900" w:type="dxa"/>
            <w:vAlign w:val="center"/>
            <w:hideMark/>
          </w:tcPr>
          <w:p w14:paraId="2F9F3F21" w14:textId="77777777" w:rsidR="00CA0467" w:rsidRPr="00CA0467" w:rsidRDefault="00CA0467" w:rsidP="00CA0467">
            <w:pPr>
              <w:jc w:val="center"/>
              <w:rPr>
                <w:rFonts w:ascii="Times New Roman" w:hAnsi="Times New Roman"/>
                <w:color w:val="000000"/>
                <w:sz w:val="15"/>
                <w:szCs w:val="16"/>
              </w:rPr>
            </w:pPr>
            <w:r w:rsidRPr="00CA0467">
              <w:rPr>
                <w:rFonts w:ascii="Times New Roman" w:hAnsi="Times New Roman"/>
                <w:color w:val="000000"/>
                <w:sz w:val="15"/>
                <w:szCs w:val="16"/>
              </w:rPr>
              <w:t>Completed</w:t>
            </w:r>
          </w:p>
        </w:tc>
        <w:tc>
          <w:tcPr>
            <w:tcW w:w="900" w:type="dxa"/>
            <w:vAlign w:val="center"/>
            <w:hideMark/>
          </w:tcPr>
          <w:p w14:paraId="0B45A68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2015</w:t>
            </w:r>
          </w:p>
        </w:tc>
        <w:tc>
          <w:tcPr>
            <w:tcW w:w="1080" w:type="dxa"/>
            <w:vAlign w:val="center"/>
            <w:hideMark/>
          </w:tcPr>
          <w:p w14:paraId="0A11BB0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990" w:type="dxa"/>
            <w:vAlign w:val="center"/>
            <w:hideMark/>
          </w:tcPr>
          <w:p w14:paraId="65416B7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vAlign w:val="center"/>
            <w:hideMark/>
          </w:tcPr>
          <w:p w14:paraId="19C47F3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w:t>
            </w:r>
          </w:p>
        </w:tc>
        <w:tc>
          <w:tcPr>
            <w:tcW w:w="990" w:type="dxa"/>
            <w:noWrap/>
            <w:vAlign w:val="center"/>
            <w:hideMark/>
          </w:tcPr>
          <w:p w14:paraId="2251F3D2"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$99,290</w:t>
            </w:r>
          </w:p>
        </w:tc>
        <w:tc>
          <w:tcPr>
            <w:tcW w:w="833" w:type="dxa"/>
            <w:vAlign w:val="center"/>
            <w:hideMark/>
          </w:tcPr>
          <w:p w14:paraId="3D037CA8" w14:textId="4F381A2A"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National Fish and Wildlife Foun</w:t>
            </w:r>
            <w:r w:rsidR="00DE2AB2">
              <w:rPr>
                <w:rFonts w:ascii="Times New Roman" w:hAnsi="Times New Roman"/>
                <w:color w:val="000000"/>
                <w:sz w:val="16"/>
                <w:szCs w:val="16"/>
              </w:rPr>
              <w:t>-</w:t>
            </w:r>
            <w:r w:rsidRPr="00CA0467">
              <w:rPr>
                <w:rFonts w:ascii="Times New Roman" w:hAnsi="Times New Roman"/>
                <w:color w:val="000000"/>
                <w:sz w:val="16"/>
                <w:szCs w:val="16"/>
              </w:rPr>
              <w:t>dation (NFWF)</w:t>
            </w:r>
          </w:p>
        </w:tc>
        <w:tc>
          <w:tcPr>
            <w:tcW w:w="1008" w:type="dxa"/>
            <w:vAlign w:val="center"/>
            <w:hideMark/>
          </w:tcPr>
          <w:p w14:paraId="49D209C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$99,290</w:t>
            </w:r>
          </w:p>
        </w:tc>
      </w:tr>
      <w:tr w:rsidR="00CA0467" w:rsidRPr="00CA0467" w14:paraId="289CEC45" w14:textId="77777777" w:rsidTr="00DE2AB2">
        <w:tblPrEx>
          <w:jc w:val="left"/>
        </w:tblPrEx>
        <w:trPr>
          <w:trHeight w:val="1313"/>
        </w:trPr>
        <w:tc>
          <w:tcPr>
            <w:tcW w:w="895" w:type="dxa"/>
            <w:vAlign w:val="center"/>
            <w:hideMark/>
          </w:tcPr>
          <w:p w14:paraId="33CCF432" w14:textId="77777777" w:rsidR="00CA0467" w:rsidRPr="00CA0467" w:rsidRDefault="00CA0467" w:rsidP="00CA0467">
            <w:pPr>
              <w:jc w:val="center"/>
              <w:rPr>
                <w:rFonts w:ascii="Times New Roman" w:hAnsi="Times New Roman"/>
                <w:sz w:val="14"/>
                <w:szCs w:val="16"/>
              </w:rPr>
            </w:pPr>
            <w:r w:rsidRPr="00CA0467">
              <w:rPr>
                <w:rFonts w:ascii="Times New Roman" w:hAnsi="Times New Roman"/>
                <w:sz w:val="14"/>
                <w:szCs w:val="16"/>
              </w:rPr>
              <w:t>NWFWMD</w:t>
            </w:r>
          </w:p>
        </w:tc>
        <w:tc>
          <w:tcPr>
            <w:tcW w:w="720" w:type="dxa"/>
            <w:vAlign w:val="center"/>
            <w:hideMark/>
          </w:tcPr>
          <w:p w14:paraId="58C0E96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NWF-07</w:t>
            </w:r>
          </w:p>
        </w:tc>
        <w:tc>
          <w:tcPr>
            <w:tcW w:w="1080" w:type="dxa"/>
            <w:vAlign w:val="center"/>
            <w:hideMark/>
          </w:tcPr>
          <w:p w14:paraId="7BC7A41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Claiborne Aquifer Water Supply</w:t>
            </w:r>
          </w:p>
        </w:tc>
        <w:tc>
          <w:tcPr>
            <w:tcW w:w="2070" w:type="dxa"/>
            <w:vAlign w:val="center"/>
            <w:hideMark/>
          </w:tcPr>
          <w:p w14:paraId="34EF91C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Testing of the Claiborne aquifer in Jackson Blue Spring contributing area to determine viability as alternative water source to offset demand on Floridan aquifer.</w:t>
            </w:r>
          </w:p>
        </w:tc>
        <w:tc>
          <w:tcPr>
            <w:tcW w:w="990" w:type="dxa"/>
            <w:vAlign w:val="center"/>
            <w:hideMark/>
          </w:tcPr>
          <w:p w14:paraId="65B83D68"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Study</w:t>
            </w:r>
          </w:p>
        </w:tc>
        <w:tc>
          <w:tcPr>
            <w:tcW w:w="900" w:type="dxa"/>
            <w:vAlign w:val="center"/>
            <w:hideMark/>
          </w:tcPr>
          <w:p w14:paraId="6818AEDF"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Underway</w:t>
            </w:r>
          </w:p>
        </w:tc>
        <w:tc>
          <w:tcPr>
            <w:tcW w:w="900" w:type="dxa"/>
            <w:vAlign w:val="center"/>
            <w:hideMark/>
          </w:tcPr>
          <w:p w14:paraId="15F9970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2015</w:t>
            </w:r>
          </w:p>
        </w:tc>
        <w:tc>
          <w:tcPr>
            <w:tcW w:w="1080" w:type="dxa"/>
            <w:vAlign w:val="center"/>
            <w:hideMark/>
          </w:tcPr>
          <w:p w14:paraId="23239E3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2018</w:t>
            </w:r>
          </w:p>
        </w:tc>
        <w:tc>
          <w:tcPr>
            <w:tcW w:w="990" w:type="dxa"/>
            <w:vAlign w:val="center"/>
            <w:hideMark/>
          </w:tcPr>
          <w:p w14:paraId="287A7AE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vAlign w:val="center"/>
            <w:hideMark/>
          </w:tcPr>
          <w:p w14:paraId="7DCABE18"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65EBA36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$440,000</w:t>
            </w:r>
          </w:p>
        </w:tc>
        <w:tc>
          <w:tcPr>
            <w:tcW w:w="833" w:type="dxa"/>
            <w:vAlign w:val="center"/>
            <w:hideMark/>
          </w:tcPr>
          <w:p w14:paraId="1BE90DB9"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DEP</w:t>
            </w:r>
          </w:p>
        </w:tc>
        <w:tc>
          <w:tcPr>
            <w:tcW w:w="1008" w:type="dxa"/>
            <w:vAlign w:val="center"/>
            <w:hideMark/>
          </w:tcPr>
          <w:p w14:paraId="56C0417B" w14:textId="3185DE3E"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$440,000</w:t>
            </w:r>
          </w:p>
        </w:tc>
      </w:tr>
      <w:tr w:rsidR="00CA0467" w:rsidRPr="00CA0467" w14:paraId="5DB85B63" w14:textId="77777777" w:rsidTr="00DE2AB2">
        <w:tblPrEx>
          <w:jc w:val="left"/>
        </w:tblPrEx>
        <w:trPr>
          <w:trHeight w:val="1250"/>
        </w:trPr>
        <w:tc>
          <w:tcPr>
            <w:tcW w:w="895" w:type="dxa"/>
            <w:vAlign w:val="center"/>
            <w:hideMark/>
          </w:tcPr>
          <w:p w14:paraId="2720CBB7" w14:textId="77777777" w:rsidR="00CA0467" w:rsidRPr="00CA0467" w:rsidRDefault="00CA0467" w:rsidP="00CA0467">
            <w:pPr>
              <w:jc w:val="center"/>
              <w:rPr>
                <w:rFonts w:ascii="Times New Roman" w:hAnsi="Times New Roman"/>
                <w:sz w:val="14"/>
                <w:szCs w:val="16"/>
              </w:rPr>
            </w:pPr>
            <w:r w:rsidRPr="00CA0467">
              <w:rPr>
                <w:rFonts w:ascii="Times New Roman" w:hAnsi="Times New Roman"/>
                <w:sz w:val="14"/>
                <w:szCs w:val="16"/>
              </w:rPr>
              <w:t>NWFWMD</w:t>
            </w:r>
          </w:p>
        </w:tc>
        <w:tc>
          <w:tcPr>
            <w:tcW w:w="720" w:type="dxa"/>
            <w:vAlign w:val="center"/>
            <w:hideMark/>
          </w:tcPr>
          <w:p w14:paraId="3033EB3F"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NWF-08</w:t>
            </w:r>
          </w:p>
        </w:tc>
        <w:tc>
          <w:tcPr>
            <w:tcW w:w="1080" w:type="dxa"/>
            <w:vAlign w:val="center"/>
            <w:hideMark/>
          </w:tcPr>
          <w:p w14:paraId="52D49977"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Mobile Irrigation Laboratory</w:t>
            </w:r>
          </w:p>
        </w:tc>
        <w:tc>
          <w:tcPr>
            <w:tcW w:w="2070" w:type="dxa"/>
            <w:vAlign w:val="center"/>
            <w:hideMark/>
          </w:tcPr>
          <w:p w14:paraId="4110524E"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Annual contract to support water quantity evaluations and retrofits with producers across the NWFWMD, but largely concentrated in Jackson County.</w:t>
            </w:r>
          </w:p>
        </w:tc>
        <w:tc>
          <w:tcPr>
            <w:tcW w:w="990" w:type="dxa"/>
            <w:vAlign w:val="center"/>
            <w:hideMark/>
          </w:tcPr>
          <w:p w14:paraId="2A325FA4" w14:textId="5912FBE6"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vAlign w:val="center"/>
            <w:hideMark/>
          </w:tcPr>
          <w:p w14:paraId="698BE03B"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Underway</w:t>
            </w:r>
          </w:p>
        </w:tc>
        <w:tc>
          <w:tcPr>
            <w:tcW w:w="900" w:type="dxa"/>
            <w:vAlign w:val="center"/>
            <w:hideMark/>
          </w:tcPr>
          <w:p w14:paraId="3626267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2005</w:t>
            </w:r>
          </w:p>
        </w:tc>
        <w:tc>
          <w:tcPr>
            <w:tcW w:w="1080" w:type="dxa"/>
            <w:vAlign w:val="center"/>
            <w:hideMark/>
          </w:tcPr>
          <w:p w14:paraId="709EF780"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TBD</w:t>
            </w:r>
          </w:p>
        </w:tc>
        <w:tc>
          <w:tcPr>
            <w:tcW w:w="990" w:type="dxa"/>
            <w:vAlign w:val="center"/>
            <w:hideMark/>
          </w:tcPr>
          <w:p w14:paraId="1D89D9E5"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vAlign w:val="center"/>
            <w:hideMark/>
          </w:tcPr>
          <w:p w14:paraId="4C78EB5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55E9A845"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$745,063</w:t>
            </w:r>
          </w:p>
        </w:tc>
        <w:tc>
          <w:tcPr>
            <w:tcW w:w="833" w:type="dxa"/>
            <w:vAlign w:val="center"/>
            <w:hideMark/>
          </w:tcPr>
          <w:p w14:paraId="7FE95154" w14:textId="32B412F8"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NWF</w:t>
            </w:r>
            <w:r w:rsidR="00DE2AB2">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34E203CB" w14:textId="77ABC1F8"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$745,063</w:t>
            </w:r>
          </w:p>
        </w:tc>
      </w:tr>
      <w:tr w:rsidR="00CA0467" w:rsidRPr="00CA0467" w14:paraId="201AD521" w14:textId="77777777" w:rsidTr="00DE2AB2">
        <w:tblPrEx>
          <w:jc w:val="left"/>
        </w:tblPrEx>
        <w:trPr>
          <w:trHeight w:val="890"/>
        </w:trPr>
        <w:tc>
          <w:tcPr>
            <w:tcW w:w="895" w:type="dxa"/>
            <w:vAlign w:val="center"/>
            <w:hideMark/>
          </w:tcPr>
          <w:p w14:paraId="0496BA3D"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noWrap/>
            <w:vAlign w:val="center"/>
            <w:hideMark/>
          </w:tcPr>
          <w:p w14:paraId="25735E66"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NWF-09</w:t>
            </w:r>
          </w:p>
        </w:tc>
        <w:tc>
          <w:tcPr>
            <w:tcW w:w="1080" w:type="dxa"/>
            <w:vAlign w:val="center"/>
            <w:hideMark/>
          </w:tcPr>
          <w:p w14:paraId="55F9374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Education</w:t>
            </w:r>
          </w:p>
        </w:tc>
        <w:tc>
          <w:tcPr>
            <w:tcW w:w="2070" w:type="dxa"/>
            <w:vAlign w:val="center"/>
            <w:hideMark/>
          </w:tcPr>
          <w:p w14:paraId="54CAC941"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Annual contract to provide education and outreach in NWFWMD jurisdiction on sod-based crop rotation.</w:t>
            </w:r>
          </w:p>
        </w:tc>
        <w:tc>
          <w:tcPr>
            <w:tcW w:w="990" w:type="dxa"/>
            <w:vAlign w:val="center"/>
            <w:hideMark/>
          </w:tcPr>
          <w:p w14:paraId="0297A55F" w14:textId="38FB9AB3"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noWrap/>
            <w:vAlign w:val="center"/>
            <w:hideMark/>
          </w:tcPr>
          <w:p w14:paraId="0EAFF06D"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0EA740F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2004</w:t>
            </w:r>
          </w:p>
        </w:tc>
        <w:tc>
          <w:tcPr>
            <w:tcW w:w="1080" w:type="dxa"/>
            <w:vAlign w:val="center"/>
            <w:hideMark/>
          </w:tcPr>
          <w:p w14:paraId="41734900"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TBD</w:t>
            </w:r>
          </w:p>
        </w:tc>
        <w:tc>
          <w:tcPr>
            <w:tcW w:w="990" w:type="dxa"/>
            <w:vAlign w:val="center"/>
            <w:hideMark/>
          </w:tcPr>
          <w:p w14:paraId="7EC44A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4B6F12B2"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N/A</w:t>
            </w:r>
          </w:p>
        </w:tc>
        <w:tc>
          <w:tcPr>
            <w:tcW w:w="990" w:type="dxa"/>
            <w:noWrap/>
            <w:vAlign w:val="center"/>
            <w:hideMark/>
          </w:tcPr>
          <w:p w14:paraId="7F2D1033"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$543,000</w:t>
            </w:r>
          </w:p>
        </w:tc>
        <w:tc>
          <w:tcPr>
            <w:tcW w:w="833" w:type="dxa"/>
            <w:noWrap/>
            <w:vAlign w:val="center"/>
            <w:hideMark/>
          </w:tcPr>
          <w:p w14:paraId="7ED3770D" w14:textId="21CB0BE3" w:rsidR="00CA0467" w:rsidRPr="00CA0467" w:rsidRDefault="00DE2AB2" w:rsidP="00CA0467">
            <w:pPr>
              <w:jc w:val="center"/>
              <w:rPr>
                <w:rFonts w:ascii="Times New Roman" w:hAnsi="Times New Roman"/>
                <w:sz w:val="16"/>
                <w:szCs w:val="16"/>
              </w:rPr>
            </w:pPr>
            <w:r w:rsidRPr="00CA0467">
              <w:rPr>
                <w:rFonts w:ascii="Times New Roman" w:hAnsi="Times New Roman"/>
                <w:sz w:val="16"/>
                <w:szCs w:val="16"/>
              </w:rPr>
              <w:t>NWF</w:t>
            </w:r>
            <w:r>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118B17C0" w14:textId="133D31F2"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$543,000</w:t>
            </w:r>
          </w:p>
        </w:tc>
      </w:tr>
      <w:tr w:rsidR="00CA0467" w:rsidRPr="00CA0467" w14:paraId="61314DA1" w14:textId="77777777" w:rsidTr="00DE2AB2">
        <w:tblPrEx>
          <w:jc w:val="left"/>
        </w:tblPrEx>
        <w:trPr>
          <w:trHeight w:val="800"/>
        </w:trPr>
        <w:tc>
          <w:tcPr>
            <w:tcW w:w="895" w:type="dxa"/>
            <w:vAlign w:val="center"/>
            <w:hideMark/>
          </w:tcPr>
          <w:p w14:paraId="406F0531" w14:textId="77777777" w:rsidR="00CA0467" w:rsidRPr="00CA0467" w:rsidRDefault="00CA0467" w:rsidP="00CA0467">
            <w:pPr>
              <w:jc w:val="center"/>
              <w:rPr>
                <w:rFonts w:ascii="Times New Roman" w:hAnsi="Times New Roman"/>
                <w:color w:val="000000"/>
                <w:sz w:val="14"/>
                <w:szCs w:val="16"/>
              </w:rPr>
            </w:pPr>
            <w:r w:rsidRPr="00CA0467">
              <w:rPr>
                <w:rFonts w:ascii="Times New Roman" w:hAnsi="Times New Roman"/>
                <w:color w:val="000000"/>
                <w:sz w:val="14"/>
                <w:szCs w:val="16"/>
              </w:rPr>
              <w:t>NWFWMD</w:t>
            </w:r>
          </w:p>
        </w:tc>
        <w:tc>
          <w:tcPr>
            <w:tcW w:w="720" w:type="dxa"/>
            <w:noWrap/>
            <w:vAlign w:val="center"/>
            <w:hideMark/>
          </w:tcPr>
          <w:p w14:paraId="7E26F71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NWF-10</w:t>
            </w:r>
          </w:p>
        </w:tc>
        <w:tc>
          <w:tcPr>
            <w:tcW w:w="1080" w:type="dxa"/>
            <w:vAlign w:val="center"/>
            <w:hideMark/>
          </w:tcPr>
          <w:p w14:paraId="37E2732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w:t>
            </w:r>
          </w:p>
        </w:tc>
        <w:tc>
          <w:tcPr>
            <w:tcW w:w="2070" w:type="dxa"/>
            <w:vAlign w:val="center"/>
            <w:hideMark/>
          </w:tcPr>
          <w:p w14:paraId="0569007B" w14:textId="52F9AB9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BMPs impl</w:t>
            </w:r>
            <w:r w:rsidR="00DE2AB2">
              <w:rPr>
                <w:rFonts w:ascii="Times New Roman" w:hAnsi="Times New Roman"/>
                <w:color w:val="000000"/>
                <w:sz w:val="16"/>
                <w:szCs w:val="16"/>
              </w:rPr>
              <w:t>e</w:t>
            </w:r>
            <w:r w:rsidRPr="00CA0467">
              <w:rPr>
                <w:rFonts w:ascii="Times New Roman" w:hAnsi="Times New Roman"/>
                <w:color w:val="000000"/>
                <w:sz w:val="16"/>
                <w:szCs w:val="16"/>
              </w:rPr>
              <w:t>mented as part of the District's FY 2013/2014 funding cycle.</w:t>
            </w:r>
          </w:p>
        </w:tc>
        <w:tc>
          <w:tcPr>
            <w:tcW w:w="990" w:type="dxa"/>
            <w:vAlign w:val="center"/>
            <w:hideMark/>
          </w:tcPr>
          <w:p w14:paraId="28442994" w14:textId="41D04BA3"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noWrap/>
            <w:vAlign w:val="center"/>
            <w:hideMark/>
          </w:tcPr>
          <w:p w14:paraId="59FBE3C3" w14:textId="26E8214E" w:rsidR="00CA0467" w:rsidRPr="00CA0467" w:rsidRDefault="00DE2AB2" w:rsidP="00CA0467">
            <w:pPr>
              <w:jc w:val="center"/>
              <w:rPr>
                <w:rFonts w:ascii="Times New Roman" w:hAnsi="Times New Roman"/>
                <w:color w:val="000000"/>
                <w:sz w:val="16"/>
                <w:szCs w:val="16"/>
              </w:rPr>
            </w:pPr>
            <w:r w:rsidRPr="00CA0467">
              <w:rPr>
                <w:rFonts w:ascii="Times New Roman" w:hAnsi="Times New Roman"/>
                <w:color w:val="000000"/>
                <w:sz w:val="15"/>
                <w:szCs w:val="16"/>
              </w:rPr>
              <w:t>Completed</w:t>
            </w:r>
          </w:p>
        </w:tc>
        <w:tc>
          <w:tcPr>
            <w:tcW w:w="900" w:type="dxa"/>
            <w:vAlign w:val="center"/>
            <w:hideMark/>
          </w:tcPr>
          <w:p w14:paraId="2F5D97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2013</w:t>
            </w:r>
          </w:p>
        </w:tc>
        <w:tc>
          <w:tcPr>
            <w:tcW w:w="1080" w:type="dxa"/>
            <w:vAlign w:val="center"/>
            <w:hideMark/>
          </w:tcPr>
          <w:p w14:paraId="347FF27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2014</w:t>
            </w:r>
          </w:p>
        </w:tc>
        <w:tc>
          <w:tcPr>
            <w:tcW w:w="990" w:type="dxa"/>
            <w:vAlign w:val="center"/>
            <w:hideMark/>
          </w:tcPr>
          <w:p w14:paraId="2B85FAB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4DEF90B3"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5,400</w:t>
            </w:r>
          </w:p>
        </w:tc>
        <w:tc>
          <w:tcPr>
            <w:tcW w:w="990" w:type="dxa"/>
            <w:noWrap/>
            <w:vAlign w:val="center"/>
            <w:hideMark/>
          </w:tcPr>
          <w:p w14:paraId="7A8EFD8A"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Not Provided</w:t>
            </w:r>
          </w:p>
        </w:tc>
        <w:tc>
          <w:tcPr>
            <w:tcW w:w="833" w:type="dxa"/>
            <w:noWrap/>
            <w:vAlign w:val="center"/>
            <w:hideMark/>
          </w:tcPr>
          <w:p w14:paraId="5AA18128" w14:textId="12D79F72" w:rsidR="00CA0467" w:rsidRPr="00CA0467" w:rsidRDefault="00DE2AB2" w:rsidP="00CA0467">
            <w:pPr>
              <w:jc w:val="center"/>
              <w:rPr>
                <w:rFonts w:ascii="Times New Roman" w:hAnsi="Times New Roman"/>
                <w:sz w:val="16"/>
                <w:szCs w:val="16"/>
              </w:rPr>
            </w:pPr>
            <w:r w:rsidRPr="00CA0467">
              <w:rPr>
                <w:rFonts w:ascii="Times New Roman" w:hAnsi="Times New Roman"/>
                <w:sz w:val="16"/>
                <w:szCs w:val="16"/>
              </w:rPr>
              <w:t>NWF</w:t>
            </w:r>
            <w:r>
              <w:rPr>
                <w:rFonts w:ascii="Times New Roman" w:hAnsi="Times New Roman"/>
                <w:sz w:val="16"/>
                <w:szCs w:val="16"/>
              </w:rPr>
              <w:t>-</w:t>
            </w:r>
            <w:r w:rsidRPr="00CA0467">
              <w:rPr>
                <w:rFonts w:ascii="Times New Roman" w:hAnsi="Times New Roman"/>
                <w:sz w:val="16"/>
                <w:szCs w:val="16"/>
              </w:rPr>
              <w:t>WMD</w:t>
            </w:r>
          </w:p>
        </w:tc>
        <w:tc>
          <w:tcPr>
            <w:tcW w:w="1008" w:type="dxa"/>
            <w:vAlign w:val="center"/>
            <w:hideMark/>
          </w:tcPr>
          <w:p w14:paraId="00E4B646" w14:textId="77777777" w:rsidR="00CA0467" w:rsidRPr="00CA0467" w:rsidRDefault="00CA0467" w:rsidP="00CA0467">
            <w:pPr>
              <w:jc w:val="center"/>
              <w:rPr>
                <w:rFonts w:ascii="Times New Roman" w:hAnsi="Times New Roman"/>
                <w:sz w:val="16"/>
                <w:szCs w:val="16"/>
              </w:rPr>
            </w:pPr>
            <w:r w:rsidRPr="00CA0467">
              <w:rPr>
                <w:rFonts w:ascii="Times New Roman" w:hAnsi="Times New Roman"/>
                <w:sz w:val="16"/>
                <w:szCs w:val="16"/>
              </w:rPr>
              <w:t>Not Provided</w:t>
            </w:r>
          </w:p>
        </w:tc>
      </w:tr>
      <w:tr w:rsidR="00CA0467" w:rsidRPr="00CA0467" w14:paraId="7838DBDD" w14:textId="77777777" w:rsidTr="00CA0467">
        <w:tblPrEx>
          <w:jc w:val="left"/>
        </w:tblPrEx>
        <w:trPr>
          <w:trHeight w:val="1125"/>
        </w:trPr>
        <w:tc>
          <w:tcPr>
            <w:tcW w:w="895" w:type="dxa"/>
            <w:vAlign w:val="center"/>
            <w:hideMark/>
          </w:tcPr>
          <w:p w14:paraId="3B7C0E27"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UF-IFAS</w:t>
            </w:r>
          </w:p>
        </w:tc>
        <w:tc>
          <w:tcPr>
            <w:tcW w:w="720" w:type="dxa"/>
            <w:vAlign w:val="center"/>
            <w:hideMark/>
          </w:tcPr>
          <w:p w14:paraId="2137CC5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IFAS-01</w:t>
            </w:r>
          </w:p>
        </w:tc>
        <w:tc>
          <w:tcPr>
            <w:tcW w:w="1080" w:type="dxa"/>
            <w:vAlign w:val="center"/>
            <w:hideMark/>
          </w:tcPr>
          <w:p w14:paraId="74A77EE5"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Sod-Based Crop Rotation Pilot Project</w:t>
            </w:r>
          </w:p>
        </w:tc>
        <w:tc>
          <w:tcPr>
            <w:tcW w:w="2070" w:type="dxa"/>
            <w:vAlign w:val="center"/>
            <w:hideMark/>
          </w:tcPr>
          <w:p w14:paraId="58BC0E1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Demonstration project for up to four sod farms to improve water quality and quantity over a four-year period.</w:t>
            </w:r>
          </w:p>
        </w:tc>
        <w:tc>
          <w:tcPr>
            <w:tcW w:w="990" w:type="dxa"/>
            <w:vAlign w:val="center"/>
            <w:hideMark/>
          </w:tcPr>
          <w:p w14:paraId="4175DF7A" w14:textId="69CE3017" w:rsidR="00CA0467" w:rsidRPr="00CA0467" w:rsidRDefault="00CA0467" w:rsidP="00CA0467">
            <w:pPr>
              <w:jc w:val="center"/>
              <w:rPr>
                <w:rFonts w:ascii="Times New Roman" w:hAnsi="Times New Roman"/>
                <w:sz w:val="16"/>
                <w:szCs w:val="16"/>
              </w:rPr>
            </w:pPr>
            <w:r w:rsidRPr="00CA0467">
              <w:rPr>
                <w:rFonts w:ascii="Times New Roman" w:hAnsi="Times New Roman"/>
                <w:color w:val="000000"/>
                <w:sz w:val="15"/>
                <w:szCs w:val="16"/>
              </w:rPr>
              <w:t>Agricultural BMPs</w:t>
            </w:r>
          </w:p>
        </w:tc>
        <w:tc>
          <w:tcPr>
            <w:tcW w:w="900" w:type="dxa"/>
            <w:vAlign w:val="center"/>
            <w:hideMark/>
          </w:tcPr>
          <w:p w14:paraId="620B119A"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DAF295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2014</w:t>
            </w:r>
          </w:p>
        </w:tc>
        <w:tc>
          <w:tcPr>
            <w:tcW w:w="1080" w:type="dxa"/>
            <w:vAlign w:val="center"/>
            <w:hideMark/>
          </w:tcPr>
          <w:p w14:paraId="23D1099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2018</w:t>
            </w:r>
          </w:p>
        </w:tc>
        <w:tc>
          <w:tcPr>
            <w:tcW w:w="990" w:type="dxa"/>
            <w:vAlign w:val="center"/>
            <w:hideMark/>
          </w:tcPr>
          <w:p w14:paraId="256A387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FF</w:t>
            </w:r>
          </w:p>
        </w:tc>
        <w:tc>
          <w:tcPr>
            <w:tcW w:w="990" w:type="dxa"/>
            <w:vAlign w:val="center"/>
            <w:hideMark/>
          </w:tcPr>
          <w:p w14:paraId="770590DC"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TBD</w:t>
            </w:r>
          </w:p>
        </w:tc>
        <w:tc>
          <w:tcPr>
            <w:tcW w:w="990" w:type="dxa"/>
            <w:noWrap/>
            <w:vAlign w:val="center"/>
            <w:hideMark/>
          </w:tcPr>
          <w:p w14:paraId="2B934162"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$806,032</w:t>
            </w:r>
          </w:p>
        </w:tc>
        <w:tc>
          <w:tcPr>
            <w:tcW w:w="833" w:type="dxa"/>
            <w:vAlign w:val="center"/>
            <w:hideMark/>
          </w:tcPr>
          <w:p w14:paraId="4B401103" w14:textId="750C8A6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 NWF</w:t>
            </w:r>
            <w:r w:rsidR="00DE2AB2">
              <w:rPr>
                <w:rFonts w:ascii="Times New Roman" w:hAnsi="Times New Roman"/>
                <w:color w:val="000000"/>
                <w:sz w:val="16"/>
                <w:szCs w:val="16"/>
              </w:rPr>
              <w:t>-</w:t>
            </w:r>
            <w:r w:rsidRPr="00CA0467">
              <w:rPr>
                <w:rFonts w:ascii="Times New Roman" w:hAnsi="Times New Roman"/>
                <w:color w:val="000000"/>
                <w:sz w:val="16"/>
                <w:szCs w:val="16"/>
              </w:rPr>
              <w:t xml:space="preserve">WMD/ Ag. </w:t>
            </w:r>
            <w:r w:rsidRPr="00CA0467">
              <w:rPr>
                <w:rFonts w:ascii="Times New Roman" w:hAnsi="Times New Roman"/>
                <w:color w:val="000000"/>
                <w:sz w:val="14"/>
                <w:szCs w:val="16"/>
              </w:rPr>
              <w:t>Producers</w:t>
            </w:r>
          </w:p>
        </w:tc>
        <w:tc>
          <w:tcPr>
            <w:tcW w:w="1008" w:type="dxa"/>
            <w:vAlign w:val="center"/>
            <w:hideMark/>
          </w:tcPr>
          <w:p w14:paraId="73D973B5" w14:textId="17EA8073"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 xml:space="preserve">DEP: $480,032 </w:t>
            </w:r>
            <w:r w:rsidRPr="00CA0467">
              <w:rPr>
                <w:rFonts w:ascii="Times New Roman" w:hAnsi="Times New Roman"/>
                <w:color w:val="000000"/>
                <w:sz w:val="14"/>
                <w:szCs w:val="16"/>
              </w:rPr>
              <w:t>NWFWMD</w:t>
            </w:r>
            <w:r w:rsidRPr="00CA0467">
              <w:rPr>
                <w:rFonts w:ascii="Times New Roman" w:hAnsi="Times New Roman"/>
                <w:color w:val="000000"/>
                <w:sz w:val="16"/>
                <w:szCs w:val="16"/>
              </w:rPr>
              <w:t>: $256,000           Ag. Producers: $70,000</w:t>
            </w:r>
          </w:p>
        </w:tc>
      </w:tr>
      <w:tr w:rsidR="00CA0467" w:rsidRPr="00CA0467" w14:paraId="297074DB" w14:textId="77777777" w:rsidTr="00CA0467">
        <w:tblPrEx>
          <w:jc w:val="left"/>
        </w:tblPrEx>
        <w:trPr>
          <w:trHeight w:val="735"/>
        </w:trPr>
        <w:tc>
          <w:tcPr>
            <w:tcW w:w="895" w:type="dxa"/>
            <w:vAlign w:val="center"/>
            <w:hideMark/>
          </w:tcPr>
          <w:p w14:paraId="3857A9E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Town of Malone</w:t>
            </w:r>
          </w:p>
        </w:tc>
        <w:tc>
          <w:tcPr>
            <w:tcW w:w="720" w:type="dxa"/>
            <w:vAlign w:val="center"/>
            <w:hideMark/>
          </w:tcPr>
          <w:p w14:paraId="161D6C5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TM-01</w:t>
            </w:r>
          </w:p>
        </w:tc>
        <w:tc>
          <w:tcPr>
            <w:tcW w:w="1080" w:type="dxa"/>
            <w:vAlign w:val="center"/>
            <w:hideMark/>
          </w:tcPr>
          <w:p w14:paraId="01D3122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Malone High School Sanitary Sewer Connection Project</w:t>
            </w:r>
          </w:p>
        </w:tc>
        <w:tc>
          <w:tcPr>
            <w:tcW w:w="2070" w:type="dxa"/>
            <w:vAlign w:val="center"/>
            <w:hideMark/>
          </w:tcPr>
          <w:p w14:paraId="196BA734"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Connect Malone High School to the Malone WWTP, abandoning 10 septic systems.</w:t>
            </w:r>
          </w:p>
        </w:tc>
        <w:tc>
          <w:tcPr>
            <w:tcW w:w="990" w:type="dxa"/>
            <w:vAlign w:val="center"/>
            <w:hideMark/>
          </w:tcPr>
          <w:p w14:paraId="51FA2B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Wastewater Service Area Expansion</w:t>
            </w:r>
          </w:p>
        </w:tc>
        <w:tc>
          <w:tcPr>
            <w:tcW w:w="900" w:type="dxa"/>
            <w:vAlign w:val="center"/>
            <w:hideMark/>
          </w:tcPr>
          <w:p w14:paraId="0559C098"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Underway</w:t>
            </w:r>
          </w:p>
        </w:tc>
        <w:tc>
          <w:tcPr>
            <w:tcW w:w="900" w:type="dxa"/>
            <w:vAlign w:val="center"/>
            <w:hideMark/>
          </w:tcPr>
          <w:p w14:paraId="5F3E3D3E"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2017</w:t>
            </w:r>
          </w:p>
        </w:tc>
        <w:tc>
          <w:tcPr>
            <w:tcW w:w="1080" w:type="dxa"/>
            <w:vAlign w:val="center"/>
            <w:hideMark/>
          </w:tcPr>
          <w:p w14:paraId="71C04BF0"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2020</w:t>
            </w:r>
          </w:p>
        </w:tc>
        <w:tc>
          <w:tcPr>
            <w:tcW w:w="990" w:type="dxa"/>
            <w:vAlign w:val="center"/>
            <w:hideMark/>
          </w:tcPr>
          <w:p w14:paraId="792E1CE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OSTDS</w:t>
            </w:r>
          </w:p>
        </w:tc>
        <w:tc>
          <w:tcPr>
            <w:tcW w:w="990" w:type="dxa"/>
            <w:vAlign w:val="center"/>
            <w:hideMark/>
          </w:tcPr>
          <w:p w14:paraId="7918180B"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90</w:t>
            </w:r>
          </w:p>
        </w:tc>
        <w:tc>
          <w:tcPr>
            <w:tcW w:w="990" w:type="dxa"/>
            <w:noWrap/>
            <w:vAlign w:val="center"/>
            <w:hideMark/>
          </w:tcPr>
          <w:p w14:paraId="2C5F528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$432,077</w:t>
            </w:r>
          </w:p>
        </w:tc>
        <w:tc>
          <w:tcPr>
            <w:tcW w:w="833" w:type="dxa"/>
            <w:vAlign w:val="center"/>
            <w:hideMark/>
          </w:tcPr>
          <w:p w14:paraId="5FED3073"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DEP</w:t>
            </w:r>
          </w:p>
        </w:tc>
        <w:tc>
          <w:tcPr>
            <w:tcW w:w="1008" w:type="dxa"/>
            <w:vAlign w:val="center"/>
            <w:hideMark/>
          </w:tcPr>
          <w:p w14:paraId="296882D9" w14:textId="77777777" w:rsidR="00CA0467" w:rsidRPr="00CA0467" w:rsidRDefault="00CA0467" w:rsidP="00CA0467">
            <w:pPr>
              <w:jc w:val="center"/>
              <w:rPr>
                <w:rFonts w:ascii="Times New Roman" w:hAnsi="Times New Roman"/>
                <w:color w:val="000000"/>
                <w:sz w:val="16"/>
                <w:szCs w:val="16"/>
              </w:rPr>
            </w:pPr>
            <w:r w:rsidRPr="00CA0467">
              <w:rPr>
                <w:rFonts w:ascii="Times New Roman" w:hAnsi="Times New Roman"/>
                <w:color w:val="000000"/>
                <w:sz w:val="16"/>
                <w:szCs w:val="16"/>
              </w:rPr>
              <w:t>$432,077</w:t>
            </w:r>
          </w:p>
        </w:tc>
      </w:tr>
    </w:tbl>
    <w:p w14:paraId="53F0A943" w14:textId="3FF7683E" w:rsidR="00EF40B6" w:rsidRDefault="00EF40B6">
      <w:pPr>
        <w:jc w:val="left"/>
        <w:rPr>
          <w:rFonts w:ascii="Times New Roman" w:hAnsi="Times New Roman"/>
          <w:sz w:val="24"/>
        </w:rPr>
      </w:pPr>
    </w:p>
    <w:p w14:paraId="7116B2F8" w14:textId="77777777" w:rsidR="00EF40B6" w:rsidRDefault="00EF40B6" w:rsidP="00EF40B6">
      <w:pPr>
        <w:pStyle w:val="BodyText"/>
        <w:sectPr w:rsidR="00EF40B6" w:rsidSect="001A0215">
          <w:pgSz w:w="15840" w:h="12240" w:orient="landscape" w:code="1"/>
          <w:pgMar w:top="1080" w:right="720" w:bottom="1080" w:left="720" w:header="720" w:footer="720" w:gutter="0"/>
          <w:cols w:space="720"/>
          <w:docGrid w:linePitch="360"/>
        </w:sectPr>
      </w:pPr>
    </w:p>
    <w:p w14:paraId="1209A7ED" w14:textId="73CD2CC7" w:rsidR="00EF40B6" w:rsidRDefault="00EF40B6" w:rsidP="00DF25A4">
      <w:pPr>
        <w:pStyle w:val="Heading2B"/>
        <w:jc w:val="left"/>
      </w:pPr>
      <w:bookmarkStart w:id="166" w:name="_Toc514677678"/>
      <w:r>
        <w:t>Appendix C. P</w:t>
      </w:r>
      <w:r w:rsidR="0023162A">
        <w:t>FA</w:t>
      </w:r>
      <w:r>
        <w:t xml:space="preserve"> Report</w:t>
      </w:r>
      <w:bookmarkEnd w:id="166"/>
    </w:p>
    <w:p w14:paraId="1501D0C4" w14:textId="562B8CCC" w:rsidR="00FF551A" w:rsidRDefault="00FF551A" w:rsidP="00FF551A">
      <w:pPr>
        <w:pStyle w:val="BodyText"/>
      </w:pPr>
      <w:bookmarkStart w:id="167" w:name="_Hlk500422951"/>
      <w:r w:rsidRPr="00D91457">
        <w:t>A PFA</w:t>
      </w:r>
      <w:r w:rsidR="00D67AAC">
        <w:t xml:space="preserve"> (</w:t>
      </w:r>
      <w:r w:rsidR="00B16259">
        <w:t>Jackson Blue Spring</w:t>
      </w:r>
      <w:r w:rsidR="00D67AAC">
        <w:t xml:space="preserve">, </w:t>
      </w:r>
      <w:r w:rsidR="00B16259">
        <w:t>October</w:t>
      </w:r>
      <w:r w:rsidR="00D67AAC">
        <w:t xml:space="preserve"> 2017)</w:t>
      </w:r>
      <w:r w:rsidRPr="00D91457">
        <w:t xml:space="preserve"> is defined as the area(s) of a basin where the Floridan aquifer is generally most vulnerable to pollutant inputs and where there is a known connectivity between groundwater pathways and an OFS. As required by the Florida Springs and Aquifer Protection Act, DEP delineated </w:t>
      </w:r>
      <w:r w:rsidR="00B16259">
        <w:t xml:space="preserve">a </w:t>
      </w:r>
      <w:r w:rsidRPr="00D91457">
        <w:t xml:space="preserve">PFA for the </w:t>
      </w:r>
      <w:r w:rsidR="00B16259">
        <w:t>Jackson Blu</w:t>
      </w:r>
      <w:r w:rsidR="00585B94">
        <w:t>e</w:t>
      </w:r>
      <w:r w:rsidR="00B16259">
        <w:t xml:space="preserve"> Spring Basin</w:t>
      </w:r>
      <w:r w:rsidRPr="00D91457">
        <w:t>. Th</w:t>
      </w:r>
      <w:r w:rsidR="00B16259">
        <w:t>is</w:t>
      </w:r>
      <w:r w:rsidRPr="00D91457">
        <w:t xml:space="preserve"> PFA </w:t>
      </w:r>
      <w:r w:rsidR="00B16259">
        <w:t>is</w:t>
      </w:r>
      <w:r w:rsidRPr="00D91457">
        <w:t xml:space="preserve"> adopted and incorporated by reference into this BMAP. Detailed information on the PFA is available in report format at the following link:</w:t>
      </w:r>
    </w:p>
    <w:bookmarkEnd w:id="167"/>
    <w:p w14:paraId="35F9790A" w14:textId="3890B0ED" w:rsidR="00601A40" w:rsidRDefault="00682E86">
      <w:pPr>
        <w:jc w:val="left"/>
      </w:pPr>
      <w:r w:rsidRPr="008549C5">
        <w:rPr>
          <w:rFonts w:ascii="Times New Roman" w:hAnsi="Times New Roman"/>
          <w:sz w:val="24"/>
        </w:rPr>
        <w:t>http://publicfiles.dep.state.fl.us/DEAR/BMAP/Adopted%20BMAPs/Jackson%20Blue/PFA/</w:t>
      </w:r>
      <w:r>
        <w:rPr>
          <w:rFonts w:ascii="Times New Roman" w:hAnsi="Times New Roman"/>
          <w:sz w:val="24"/>
        </w:rPr>
        <w:t>.</w:t>
      </w:r>
      <w:r w:rsidR="00601A40">
        <w:br w:type="page"/>
      </w:r>
    </w:p>
    <w:p w14:paraId="193838DE" w14:textId="1B4703D5" w:rsidR="00EF40B6" w:rsidRDefault="00EF40B6" w:rsidP="00DF25A4">
      <w:pPr>
        <w:pStyle w:val="Heading2B"/>
        <w:jc w:val="left"/>
      </w:pPr>
      <w:bookmarkStart w:id="168" w:name="_Toc514677679"/>
      <w:bookmarkStart w:id="169" w:name="_Hlk506457632"/>
      <w:bookmarkStart w:id="170" w:name="_Hlk506200333"/>
      <w:r>
        <w:t>Appendix D.</w:t>
      </w:r>
      <w:r w:rsidR="004C547B">
        <w:t xml:space="preserve"> </w:t>
      </w:r>
      <w:r>
        <w:t>OSTDS Remediation Plan</w:t>
      </w:r>
      <w:bookmarkEnd w:id="168"/>
    </w:p>
    <w:p w14:paraId="0E5C70AA" w14:textId="3AB13EE0" w:rsidR="00B16259" w:rsidRDefault="00E838E4" w:rsidP="008F27A4">
      <w:pPr>
        <w:pStyle w:val="BodyText"/>
      </w:pPr>
      <w:r>
        <w:t xml:space="preserve">The Florida Aquifer and Springs Protection Act specifies that if during the development of a BMAP for an OFS, DEP identifies OSTDS as contributors of at least 20 % of nonpoint source nitrogen pollution in a PFA or if DEP determines remediation is necessary to achieve the TMDL, the BMAP shall include an OSTDS remediation plan. Based on the </w:t>
      </w:r>
      <w:r w:rsidR="00237AEB">
        <w:t>Jackson Blue</w:t>
      </w:r>
      <w:r>
        <w:t xml:space="preserve"> NSILT</w:t>
      </w:r>
      <w:r w:rsidR="00D76AC7">
        <w:t xml:space="preserve"> </w:t>
      </w:r>
      <w:r w:rsidR="00480266">
        <w:t>estimates and GIS coverages</w:t>
      </w:r>
      <w:r>
        <w:t xml:space="preserve">, </w:t>
      </w:r>
      <w:r w:rsidR="00480266">
        <w:t>OSTDS</w:t>
      </w:r>
      <w:r>
        <w:t xml:space="preserve"> contribute approximately </w:t>
      </w:r>
      <w:r w:rsidR="00682E86" w:rsidRPr="00682E86">
        <w:t>3</w:t>
      </w:r>
      <w:r w:rsidRPr="00682E86">
        <w:t xml:space="preserve"> %</w:t>
      </w:r>
      <w:r>
        <w:t xml:space="preserve"> </w:t>
      </w:r>
      <w:r w:rsidR="00D76AC7">
        <w:t xml:space="preserve">of the </w:t>
      </w:r>
      <w:r>
        <w:t>pollutant loading in the PFAs.</w:t>
      </w:r>
      <w:r w:rsidR="001E2AD9">
        <w:rPr>
          <w:szCs w:val="24"/>
        </w:rPr>
        <w:t xml:space="preserve"> </w:t>
      </w:r>
      <w:r w:rsidR="001E2AD9" w:rsidRPr="00A61033">
        <w:t xml:space="preserve">Although this is a small percentage, DEP has determined that an OSTDS </w:t>
      </w:r>
      <w:r w:rsidR="000928FA">
        <w:t>re</w:t>
      </w:r>
      <w:r w:rsidR="008F27A4">
        <w:t xml:space="preserve">mediation plan </w:t>
      </w:r>
      <w:r w:rsidR="001E2AD9" w:rsidRPr="00A61033">
        <w:t>is necessary to achieve</w:t>
      </w:r>
      <w:r w:rsidR="0004670E">
        <w:t xml:space="preserve"> </w:t>
      </w:r>
      <w:r w:rsidR="001E2AD9" w:rsidRPr="00A61033">
        <w:t>TMDLs and to limit</w:t>
      </w:r>
      <w:r w:rsidR="0004670E">
        <w:t xml:space="preserve"> </w:t>
      </w:r>
      <w:r w:rsidR="009F378F">
        <w:t xml:space="preserve">the </w:t>
      </w:r>
      <w:r w:rsidR="001E2AD9" w:rsidRPr="00A61033">
        <w:t xml:space="preserve">increase in </w:t>
      </w:r>
      <w:r>
        <w:t>nitrogen</w:t>
      </w:r>
      <w:r w:rsidR="001E2AD9">
        <w:t xml:space="preserve"> loads</w:t>
      </w:r>
      <w:r>
        <w:t xml:space="preserve"> from </w:t>
      </w:r>
      <w:r w:rsidR="001E2AD9">
        <w:t>future growth</w:t>
      </w:r>
      <w:r w:rsidR="0004670E">
        <w:t xml:space="preserve">. </w:t>
      </w:r>
      <w:r w:rsidR="00962B88">
        <w:t>Irrespective of the percent contribution from OSTDS</w:t>
      </w:r>
      <w:r w:rsidR="00962B88" w:rsidRPr="00ED2433">
        <w:t>, DEP has determined that an OSTDS remediation plan is necessary to achieve the TMDLs and to limit the increase in nitrogen loads from future growth.</w:t>
      </w:r>
    </w:p>
    <w:p w14:paraId="6745E8C8" w14:textId="213BCE0C" w:rsidR="0004670E" w:rsidRDefault="00644C68" w:rsidP="008F27A4">
      <w:pPr>
        <w:pStyle w:val="BodyText"/>
        <w:rPr>
          <w:b/>
          <w:sz w:val="28"/>
          <w:szCs w:val="28"/>
        </w:rPr>
      </w:pPr>
      <w:r w:rsidRPr="00DF25A4">
        <w:rPr>
          <w:b/>
          <w:sz w:val="28"/>
          <w:szCs w:val="28"/>
        </w:rPr>
        <w:t>D</w:t>
      </w:r>
      <w:r w:rsidR="00E838E4" w:rsidRPr="00DF25A4">
        <w:rPr>
          <w:b/>
          <w:sz w:val="28"/>
          <w:szCs w:val="28"/>
        </w:rPr>
        <w:t>.1</w:t>
      </w:r>
      <w:r w:rsidR="00E838E4" w:rsidRPr="00DF25A4">
        <w:rPr>
          <w:b/>
          <w:sz w:val="28"/>
          <w:szCs w:val="28"/>
        </w:rPr>
        <w:tab/>
      </w:r>
      <w:r w:rsidR="001E2AD9">
        <w:rPr>
          <w:b/>
          <w:sz w:val="28"/>
          <w:szCs w:val="28"/>
        </w:rPr>
        <w:t>Plan Elements</w:t>
      </w:r>
    </w:p>
    <w:p w14:paraId="6E8BC144" w14:textId="7304D537" w:rsidR="003B6227" w:rsidRPr="00895594" w:rsidRDefault="003B6227" w:rsidP="001E2AD9">
      <w:pPr>
        <w:pStyle w:val="BodyText"/>
        <w:rPr>
          <w:b/>
          <w:i/>
        </w:rPr>
      </w:pPr>
      <w:r w:rsidRPr="00895594">
        <w:rPr>
          <w:b/>
          <w:i/>
        </w:rPr>
        <w:t xml:space="preserve">D.1.1 </w:t>
      </w:r>
      <w:r w:rsidR="00962B88">
        <w:rPr>
          <w:b/>
          <w:i/>
        </w:rPr>
        <w:t xml:space="preserve">Permits for Installation of </w:t>
      </w:r>
      <w:r w:rsidRPr="00895594">
        <w:rPr>
          <w:b/>
          <w:i/>
        </w:rPr>
        <w:t>New OSTDS</w:t>
      </w:r>
    </w:p>
    <w:p w14:paraId="21353AB7" w14:textId="4A25E1DF" w:rsidR="001E2AD9" w:rsidRPr="00A61033" w:rsidRDefault="001E2AD9" w:rsidP="001E2AD9">
      <w:pPr>
        <w:pStyle w:val="BodyText"/>
        <w:rPr>
          <w:szCs w:val="24"/>
        </w:rPr>
      </w:pPr>
      <w:r w:rsidRPr="00A17E37">
        <w:t xml:space="preserve">Per statute, new OSTDS on lots of less than </w:t>
      </w:r>
      <w:r w:rsidR="0004670E">
        <w:t>one</w:t>
      </w:r>
      <w:r w:rsidRPr="00A17E37">
        <w:t xml:space="preserve"> acre are prohibited within PFA</w:t>
      </w:r>
      <w:r>
        <w:t>s</w:t>
      </w:r>
      <w:r w:rsidRPr="00A17E37">
        <w:t>, if the addition of the specific systems conflicts with an OSTDS remediation plan inc</w:t>
      </w:r>
      <w:r>
        <w:t>orporated into an OFS BMAP (see Section </w:t>
      </w:r>
      <w:r w:rsidRPr="00A17E37">
        <w:t xml:space="preserve">373.811(2), F.S.). </w:t>
      </w:r>
      <w:r w:rsidR="00962B88">
        <w:t>This OSTDS remediation plan prohibits the</w:t>
      </w:r>
      <w:r w:rsidRPr="00A17E37">
        <w:t xml:space="preserve"> </w:t>
      </w:r>
      <w:r>
        <w:t>installation of</w:t>
      </w:r>
      <w:r w:rsidRPr="00A17E37">
        <w:t xml:space="preserve"> new </w:t>
      </w:r>
      <w:r w:rsidR="00962B88">
        <w:t xml:space="preserve">conventional </w:t>
      </w:r>
      <w:r>
        <w:t xml:space="preserve">systems on lots of less than </w:t>
      </w:r>
      <w:r w:rsidR="0004670E">
        <w:t>one</w:t>
      </w:r>
      <w:r>
        <w:t> </w:t>
      </w:r>
      <w:r w:rsidRPr="00A17E37">
        <w:t>acre within the PFA</w:t>
      </w:r>
      <w:r>
        <w:t>s</w:t>
      </w:r>
      <w:r w:rsidRPr="00A17E37">
        <w:t xml:space="preserve">, unless the OSTDS includes enhanced treatment of nitrogen or unless </w:t>
      </w:r>
      <w:r w:rsidR="00962B88">
        <w:t xml:space="preserve">the OSTDS permit applicant demonstrates that </w:t>
      </w:r>
      <w:r w:rsidR="00962B88" w:rsidRPr="00ED2433">
        <w:t>sewer connections will be available</w:t>
      </w:r>
      <w:r w:rsidR="00962B88" w:rsidRPr="007D52BA">
        <w:t xml:space="preserve"> </w:t>
      </w:r>
      <w:r w:rsidR="00962B88">
        <w:t>within 5 years</w:t>
      </w:r>
      <w:r w:rsidR="00962B88" w:rsidRPr="00ED2433">
        <w:t>.</w:t>
      </w:r>
      <w:r w:rsidR="00962B88">
        <w:t xml:space="preserve"> Local governments and utilities are encouraged to develop master wastewater treatment feasibility plans to identify specific areas to be sewered within 20 years of BMAP adoption. </w:t>
      </w:r>
      <w:r>
        <w:t>To aid in implementation, t</w:t>
      </w:r>
      <w:r w:rsidRPr="00A61033">
        <w:t xml:space="preserve">he DEP Map Direct webpage includes a </w:t>
      </w:r>
      <w:r>
        <w:t xml:space="preserve">detailed </w:t>
      </w:r>
      <w:r w:rsidR="00B65024">
        <w:t xml:space="preserve">downloadable </w:t>
      </w:r>
      <w:r w:rsidRPr="00A61033">
        <w:t>springs PFA boundary</w:t>
      </w:r>
      <w:r>
        <w:t xml:space="preserve"> shapefile. DEP also maintains </w:t>
      </w:r>
      <w:r w:rsidR="00B65024">
        <w:t xml:space="preserve">on its website </w:t>
      </w:r>
      <w:r>
        <w:t>an interactive map of the PFA and BMAP boundaries; the map can be easily searched for specific street address locations</w:t>
      </w:r>
      <w:r w:rsidRPr="00A61033">
        <w:t>.</w:t>
      </w:r>
    </w:p>
    <w:p w14:paraId="121A53D4" w14:textId="5E85AA10" w:rsidR="001E2AD9" w:rsidRDefault="001E2AD9" w:rsidP="001E2AD9">
      <w:pPr>
        <w:pStyle w:val="BodyText"/>
      </w:pPr>
      <w:r>
        <w:t>FDOH permits the installation of new OSTDS</w:t>
      </w:r>
      <w:r w:rsidRPr="00633C14">
        <w:t xml:space="preserve"> </w:t>
      </w:r>
      <w:r w:rsidRPr="00A61033">
        <w:t>pursuant to Chapter 64E-6, F.A.C.</w:t>
      </w:r>
      <w:r>
        <w:t xml:space="preserve">, which includes not only systems installed on a property where one has not previously been installed, but also systems installed to replace illegal systems, systems installed in addition to existing systems, and other new systems. </w:t>
      </w:r>
      <w:r w:rsidR="00B65024">
        <w:t xml:space="preserve">FDOH permitting requirements with respect to the definition of "new" or "less than </w:t>
      </w:r>
      <w:r w:rsidR="0004670E">
        <w:t>one</w:t>
      </w:r>
      <w:r w:rsidR="00B65024">
        <w:t xml:space="preserve"> acre" will be followed for this</w:t>
      </w:r>
      <w:r>
        <w:t xml:space="preserve"> remediatio</w:t>
      </w:r>
      <w:r w:rsidR="00B65024">
        <w:t>n plan.</w:t>
      </w:r>
      <w:r>
        <w:t xml:space="preserve"> </w:t>
      </w:r>
      <w:r w:rsidRPr="00A61033">
        <w:t xml:space="preserve">For FDOH to issue a permit </w:t>
      </w:r>
      <w:r>
        <w:t>for a new</w:t>
      </w:r>
      <w:r w:rsidRPr="00A61033">
        <w:t xml:space="preserve"> OSTDS </w:t>
      </w:r>
      <w:r>
        <w:t xml:space="preserve">on a lot of less than </w:t>
      </w:r>
      <w:r w:rsidR="0004670E">
        <w:t>one</w:t>
      </w:r>
      <w:r>
        <w:t> acre</w:t>
      </w:r>
      <w:r w:rsidR="003B6227">
        <w:t xml:space="preserve"> within a PFA</w:t>
      </w:r>
      <w:r>
        <w:t xml:space="preserve">, the system </w:t>
      </w:r>
      <w:r w:rsidRPr="00A61033">
        <w:t>must include at least one of the following</w:t>
      </w:r>
      <w:r w:rsidR="00962B88">
        <w:t xml:space="preserve"> nitrogen reducing enhancements</w:t>
      </w:r>
      <w:r>
        <w:t>:</w:t>
      </w:r>
    </w:p>
    <w:p w14:paraId="170E9B39" w14:textId="7C80D1E1" w:rsidR="001E2AD9" w:rsidRDefault="001E2AD9" w:rsidP="001E354C">
      <w:pPr>
        <w:pStyle w:val="BodyText"/>
        <w:numPr>
          <w:ilvl w:val="0"/>
          <w:numId w:val="14"/>
        </w:numPr>
      </w:pPr>
      <w:r>
        <w:t>Features allowed pursuant to FDOH rule, such as i</w:t>
      </w:r>
      <w:r w:rsidRPr="00A61033">
        <w:t>n-ground nitrogen-reducing b</w:t>
      </w:r>
      <w:r>
        <w:t>iofilters (media layer systems)</w:t>
      </w:r>
      <w:r w:rsidR="00237AEB">
        <w:t>.</w:t>
      </w:r>
    </w:p>
    <w:p w14:paraId="26659DD2" w14:textId="7500A84F" w:rsidR="001E2AD9" w:rsidRDefault="001E2AD9" w:rsidP="001E354C">
      <w:pPr>
        <w:pStyle w:val="BodyText"/>
        <w:numPr>
          <w:ilvl w:val="0"/>
          <w:numId w:val="14"/>
        </w:numPr>
      </w:pPr>
      <w:r>
        <w:t xml:space="preserve">Features consistent with and identified in </w:t>
      </w:r>
      <w:r w:rsidR="002D383C">
        <w:t xml:space="preserve">the </w:t>
      </w:r>
      <w:r w:rsidRPr="00A61033">
        <w:t xml:space="preserve">FDOH Florida Onsite System Nitrogen Removal Strategy Studies </w:t>
      </w:r>
      <w:r>
        <w:t xml:space="preserve">report, such as </w:t>
      </w:r>
      <w:r w:rsidRPr="00A61033">
        <w:t>in-tank nitrogen-reducing</w:t>
      </w:r>
      <w:r>
        <w:t xml:space="preserve"> biofilters</w:t>
      </w:r>
      <w:r w:rsidR="00237AEB">
        <w:t>.</w:t>
      </w:r>
    </w:p>
    <w:p w14:paraId="2364390A" w14:textId="77777777" w:rsidR="001E2AD9" w:rsidRPr="00A61033" w:rsidRDefault="001E2AD9" w:rsidP="001E354C">
      <w:pPr>
        <w:pStyle w:val="BodyText"/>
        <w:numPr>
          <w:ilvl w:val="0"/>
          <w:numId w:val="14"/>
        </w:numPr>
      </w:pPr>
      <w:r>
        <w:t>O</w:t>
      </w:r>
      <w:r w:rsidRPr="00A61033">
        <w:t>ther FDOH-approved treatment systems capable of meeting or exceeding the NSF Standard 245 nitrogen removal rate before disposing the wastewater in the drain field</w:t>
      </w:r>
      <w:r>
        <w:t xml:space="preserve">, such as aerobic treatment units (ATU) </w:t>
      </w:r>
      <w:r w:rsidRPr="00A61033">
        <w:t>and performance-based treatm</w:t>
      </w:r>
      <w:r>
        <w:t>ent systems (PBTS)</w:t>
      </w:r>
      <w:r w:rsidRPr="00A61033">
        <w:t>. For FDOH-approved treatment systems that meet NSF 245, but do not meet or exceed the minimum treatment level expected from the in-ground nitrogen-reducing biofilters, the drain fields, at minimum, shall be installed with a 24-inch separation between the bottom of the drain field and the seasonal high-water table.</w:t>
      </w:r>
    </w:p>
    <w:p w14:paraId="7CD54B33" w14:textId="0B20FE5A" w:rsidR="003B6227" w:rsidRPr="00895594" w:rsidRDefault="003B6227" w:rsidP="001E2AD9">
      <w:pPr>
        <w:pStyle w:val="BodyText"/>
        <w:rPr>
          <w:b/>
          <w:i/>
          <w:szCs w:val="24"/>
        </w:rPr>
      </w:pPr>
      <w:r w:rsidRPr="00895594">
        <w:rPr>
          <w:b/>
          <w:i/>
          <w:szCs w:val="24"/>
        </w:rPr>
        <w:t>D.1</w:t>
      </w:r>
      <w:r w:rsidR="00312D0F">
        <w:rPr>
          <w:b/>
          <w:i/>
          <w:szCs w:val="24"/>
        </w:rPr>
        <w:t>2</w:t>
      </w:r>
      <w:r w:rsidRPr="00895594">
        <w:rPr>
          <w:b/>
          <w:i/>
          <w:szCs w:val="24"/>
        </w:rPr>
        <w:t xml:space="preserve"> Other Plan Elements</w:t>
      </w:r>
    </w:p>
    <w:p w14:paraId="56ECED81" w14:textId="3B9922B5" w:rsidR="001E2AD9" w:rsidRPr="00A61033" w:rsidRDefault="001E2AD9" w:rsidP="001E2AD9">
      <w:pPr>
        <w:pStyle w:val="BodyText"/>
        <w:rPr>
          <w:szCs w:val="24"/>
        </w:rPr>
      </w:pPr>
      <w:r>
        <w:rPr>
          <w:szCs w:val="24"/>
        </w:rPr>
        <w:t xml:space="preserve">Statutes also require that </w:t>
      </w:r>
      <w:r w:rsidRPr="00A61033">
        <w:rPr>
          <w:szCs w:val="24"/>
        </w:rPr>
        <w:t>OSTDS remediation plan</w:t>
      </w:r>
      <w:r>
        <w:rPr>
          <w:szCs w:val="24"/>
        </w:rPr>
        <w:t>s contain the following elements.</w:t>
      </w:r>
    </w:p>
    <w:p w14:paraId="5A604288" w14:textId="77777777" w:rsidR="001E2AD9" w:rsidRPr="00A61033" w:rsidRDefault="001E2AD9" w:rsidP="001E2AD9">
      <w:pPr>
        <w:pStyle w:val="Bullet"/>
        <w:rPr>
          <w:rFonts w:cs="Times New Roman"/>
          <w:szCs w:val="24"/>
        </w:rPr>
      </w:pPr>
      <w:r>
        <w:rPr>
          <w:rFonts w:cs="Times New Roman"/>
          <w:szCs w:val="24"/>
        </w:rPr>
        <w:t>An evaluation of</w:t>
      </w:r>
      <w:r w:rsidRPr="00A61033">
        <w:rPr>
          <w:rFonts w:cs="Times New Roman"/>
          <w:szCs w:val="24"/>
        </w:rPr>
        <w:t xml:space="preserve"> credible scientific information on the effect of nutrients, particularly forms of nitrogen, on springs and spring systems.</w:t>
      </w:r>
      <w:r>
        <w:rPr>
          <w:rFonts w:cs="Times New Roman"/>
          <w:szCs w:val="24"/>
        </w:rPr>
        <w:t xml:space="preserve"> (See </w:t>
      </w:r>
      <w:r w:rsidRPr="00633C14">
        <w:rPr>
          <w:rFonts w:cs="Times New Roman"/>
          <w:b/>
          <w:szCs w:val="24"/>
        </w:rPr>
        <w:t>Section D.2</w:t>
      </w:r>
      <w:r>
        <w:rPr>
          <w:rFonts w:cs="Times New Roman"/>
          <w:szCs w:val="24"/>
        </w:rPr>
        <w:t>.)</w:t>
      </w:r>
    </w:p>
    <w:p w14:paraId="39E53EFD" w14:textId="77777777" w:rsidR="001E2AD9" w:rsidRPr="00A61033" w:rsidRDefault="001E2AD9" w:rsidP="001E2AD9">
      <w:pPr>
        <w:pStyle w:val="Bullet"/>
        <w:rPr>
          <w:rFonts w:cs="Times New Roman"/>
          <w:szCs w:val="24"/>
        </w:rPr>
      </w:pPr>
      <w:r>
        <w:rPr>
          <w:rFonts w:cs="Times New Roman"/>
          <w:szCs w:val="24"/>
        </w:rPr>
        <w:t>O</w:t>
      </w:r>
      <w:r w:rsidRPr="00A61033">
        <w:rPr>
          <w:rFonts w:cs="Times New Roman"/>
          <w:szCs w:val="24"/>
        </w:rPr>
        <w:t>ptions for repair, upgrade, replacement, drain field modification, the addition of effective nitrogen-reducing features, connection to a central sewer system, or other action.</w:t>
      </w:r>
      <w:r w:rsidRPr="00633C14">
        <w:rPr>
          <w:rFonts w:cs="Times New Roman"/>
          <w:szCs w:val="24"/>
        </w:rPr>
        <w:t xml:space="preserve"> </w:t>
      </w:r>
      <w:r>
        <w:rPr>
          <w:rFonts w:cs="Times New Roman"/>
          <w:szCs w:val="24"/>
        </w:rPr>
        <w:t xml:space="preserve">(See </w:t>
      </w:r>
      <w:r>
        <w:rPr>
          <w:rFonts w:cs="Times New Roman"/>
          <w:b/>
          <w:szCs w:val="24"/>
        </w:rPr>
        <w:t>Section D.3</w:t>
      </w:r>
      <w:r>
        <w:rPr>
          <w:rFonts w:cs="Times New Roman"/>
          <w:szCs w:val="24"/>
        </w:rPr>
        <w:t>.)</w:t>
      </w:r>
    </w:p>
    <w:p w14:paraId="2AAE32BF" w14:textId="77777777" w:rsidR="001E2AD9" w:rsidRPr="00A61033" w:rsidRDefault="001E2AD9" w:rsidP="001E2AD9">
      <w:pPr>
        <w:pStyle w:val="Bullet"/>
        <w:rPr>
          <w:rFonts w:cs="Times New Roman"/>
          <w:szCs w:val="24"/>
        </w:rPr>
      </w:pPr>
      <w:r>
        <w:rPr>
          <w:rFonts w:cs="Times New Roman"/>
          <w:szCs w:val="24"/>
        </w:rPr>
        <w:t>A</w:t>
      </w:r>
      <w:r w:rsidRPr="00A61033">
        <w:rPr>
          <w:rFonts w:cs="Times New Roman"/>
          <w:szCs w:val="24"/>
        </w:rPr>
        <w:t xml:space="preserve"> public education plan to provide area residents with reliable, understandable information about OSTDS and springs.</w:t>
      </w:r>
      <w:r w:rsidRPr="00633C14">
        <w:rPr>
          <w:rFonts w:cs="Times New Roman"/>
          <w:szCs w:val="24"/>
        </w:rPr>
        <w:t xml:space="preserve"> </w:t>
      </w:r>
      <w:r>
        <w:rPr>
          <w:rFonts w:cs="Times New Roman"/>
          <w:szCs w:val="24"/>
        </w:rPr>
        <w:t xml:space="preserve">(See </w:t>
      </w:r>
      <w:r>
        <w:rPr>
          <w:rFonts w:cs="Times New Roman"/>
          <w:b/>
          <w:szCs w:val="24"/>
        </w:rPr>
        <w:t>Section D.4</w:t>
      </w:r>
      <w:r>
        <w:rPr>
          <w:rFonts w:cs="Times New Roman"/>
          <w:szCs w:val="24"/>
        </w:rPr>
        <w:t>.)</w:t>
      </w:r>
    </w:p>
    <w:p w14:paraId="77DDA41F" w14:textId="77777777" w:rsidR="001E2AD9" w:rsidRPr="00A61033" w:rsidRDefault="001E2AD9" w:rsidP="001E2AD9">
      <w:pPr>
        <w:pStyle w:val="Bullet"/>
        <w:rPr>
          <w:rFonts w:cs="Times New Roman"/>
          <w:szCs w:val="24"/>
        </w:rPr>
      </w:pPr>
      <w:r>
        <w:rPr>
          <w:rFonts w:cs="Times New Roman"/>
          <w:szCs w:val="24"/>
        </w:rPr>
        <w:t>C</w:t>
      </w:r>
      <w:r w:rsidRPr="00A61033">
        <w:rPr>
          <w:rFonts w:cs="Times New Roman"/>
          <w:szCs w:val="24"/>
        </w:rPr>
        <w:t>ost-effective and financially feasible projects necessary to reduce the nutrient impacts from OSTDS.</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0CEE3832" w14:textId="77777777" w:rsidR="001E2AD9" w:rsidRPr="00A61033" w:rsidRDefault="001E2AD9" w:rsidP="001E2AD9">
      <w:pPr>
        <w:pStyle w:val="Bullet"/>
        <w:rPr>
          <w:rFonts w:cs="Times New Roman"/>
          <w:szCs w:val="24"/>
        </w:rPr>
      </w:pPr>
      <w:r>
        <w:rPr>
          <w:rFonts w:cs="Times New Roman"/>
          <w:szCs w:val="24"/>
        </w:rPr>
        <w:t>A</w:t>
      </w:r>
      <w:r w:rsidRPr="00A61033">
        <w:rPr>
          <w:rFonts w:cs="Times New Roman"/>
          <w:szCs w:val="24"/>
        </w:rPr>
        <w:t xml:space="preserve"> priority ranking for each project for funding contingent on appropriations in the General Appropriations Act.</w:t>
      </w:r>
      <w:r w:rsidRPr="00F852B5">
        <w:rPr>
          <w:rFonts w:cs="Times New Roman"/>
          <w:szCs w:val="24"/>
        </w:rPr>
        <w:t xml:space="preserve"> </w:t>
      </w:r>
      <w:r>
        <w:rPr>
          <w:rFonts w:cs="Times New Roman"/>
          <w:szCs w:val="24"/>
        </w:rPr>
        <w:t xml:space="preserve">(See </w:t>
      </w:r>
      <w:r>
        <w:rPr>
          <w:rFonts w:cs="Times New Roman"/>
          <w:b/>
          <w:szCs w:val="24"/>
        </w:rPr>
        <w:t xml:space="preserve">Section 2 </w:t>
      </w:r>
      <w:r w:rsidRPr="00F852B5">
        <w:rPr>
          <w:rFonts w:cs="Times New Roman"/>
          <w:szCs w:val="24"/>
        </w:rPr>
        <w:t>and</w:t>
      </w:r>
      <w:r>
        <w:rPr>
          <w:rFonts w:cs="Times New Roman"/>
          <w:b/>
          <w:szCs w:val="24"/>
        </w:rPr>
        <w:t xml:space="preserve"> Appendix B</w:t>
      </w:r>
      <w:r>
        <w:rPr>
          <w:rFonts w:cs="Times New Roman"/>
          <w:szCs w:val="24"/>
        </w:rPr>
        <w:t>.)</w:t>
      </w:r>
    </w:p>
    <w:p w14:paraId="66AEB1BD" w14:textId="544B9840" w:rsidR="00E838E4" w:rsidRDefault="00AB343E" w:rsidP="00E838E4">
      <w:pPr>
        <w:pStyle w:val="BodyText"/>
      </w:pPr>
      <w:r>
        <w:t xml:space="preserve">The Florida Springs and Aquifer </w:t>
      </w:r>
      <w:r w:rsidR="00E838E4">
        <w:t>Protection Act defines an OSTDS as a system that contains a standard subsurface, filled, or mound drain field system; an aerobic treatment unit; a graywater system tank; a laundry wastewater system tank; a septic tank; a grease interceptor; a pump tank; a solids or effluent pump; a waterless, incinerating, or organic waste</w:t>
      </w:r>
      <w:r w:rsidR="00D76AC7">
        <w:t>–</w:t>
      </w:r>
      <w:r w:rsidR="00E838E4">
        <w:t>composting toilet; or a sanitary pit privy that is installed or proposed to be installed beyond the building sewer on land of the owner or on other land on which the owner has the legal right to install such a system. The term includes any item placed within,</w:t>
      </w:r>
      <w:r w:rsidR="00237AEB">
        <w:t xml:space="preserve"> </w:t>
      </w:r>
      <w:r w:rsidR="00E838E4">
        <w:t>or intended to be used as a part of or in conjunction with, the system. The term does not include package sewage treatment facilities and other treatment works regulated under Chapter 403, F.S.</w:t>
      </w:r>
    </w:p>
    <w:bookmarkEnd w:id="169"/>
    <w:p w14:paraId="15E64036" w14:textId="7DF1C24F" w:rsidR="00E838E4" w:rsidRPr="00DF25A4" w:rsidRDefault="00D925ED" w:rsidP="00E838E4">
      <w:pPr>
        <w:pStyle w:val="BodyText"/>
        <w:rPr>
          <w:b/>
          <w:sz w:val="28"/>
          <w:szCs w:val="28"/>
        </w:rPr>
      </w:pPr>
      <w:r w:rsidRPr="00DF25A4">
        <w:rPr>
          <w:b/>
          <w:sz w:val="28"/>
          <w:szCs w:val="28"/>
        </w:rPr>
        <w:t>D</w:t>
      </w:r>
      <w:r w:rsidR="00E838E4" w:rsidRPr="00DF25A4">
        <w:rPr>
          <w:b/>
          <w:sz w:val="28"/>
          <w:szCs w:val="28"/>
        </w:rPr>
        <w:t>.2</w:t>
      </w:r>
      <w:r w:rsidR="00E838E4" w:rsidRPr="00DF25A4">
        <w:rPr>
          <w:b/>
          <w:sz w:val="28"/>
          <w:szCs w:val="28"/>
        </w:rPr>
        <w:tab/>
      </w:r>
      <w:r w:rsidR="00DB0F6B">
        <w:rPr>
          <w:b/>
          <w:sz w:val="28"/>
          <w:szCs w:val="28"/>
        </w:rPr>
        <w:t xml:space="preserve">Collection </w:t>
      </w:r>
      <w:r w:rsidR="001E2AD9">
        <w:rPr>
          <w:b/>
          <w:sz w:val="28"/>
          <w:szCs w:val="28"/>
        </w:rPr>
        <w:t>and Evaluation of Credible Scientific Information</w:t>
      </w:r>
    </w:p>
    <w:p w14:paraId="1E8867A6" w14:textId="3200A74D" w:rsidR="00991EC7" w:rsidRDefault="001E2AD9" w:rsidP="00991EC7">
      <w:pPr>
        <w:pStyle w:val="BodyText"/>
        <w:rPr>
          <w:iCs/>
        </w:rPr>
      </w:pPr>
      <w:r w:rsidRPr="00A61033">
        <w:t xml:space="preserve">As discussed in </w:t>
      </w:r>
      <w:r w:rsidRPr="00A61033">
        <w:rPr>
          <w:b/>
        </w:rPr>
        <w:t>Section 2,</w:t>
      </w:r>
      <w:r w:rsidRPr="00A61033">
        <w:t xml:space="preserve"> DEP developed the NSILT, a planning tool that provides estimation of nitrogen loading sources to groundwater based on the best available scientific data for a particular geographic area.</w:t>
      </w:r>
      <w:r w:rsidR="00E838E4">
        <w:t xml:space="preserve"> The results were peer</w:t>
      </w:r>
      <w:r w:rsidR="00D76AC7">
        <w:t xml:space="preserve"> </w:t>
      </w:r>
      <w:r w:rsidR="00E838E4">
        <w:t xml:space="preserve">reviewed by </w:t>
      </w:r>
      <w:r w:rsidR="00237AEB">
        <w:t>NWFW</w:t>
      </w:r>
      <w:r w:rsidR="00E838E4">
        <w:t xml:space="preserve">MD, FDOH, and FDACS. </w:t>
      </w:r>
      <w:r w:rsidR="00991EC7">
        <w:rPr>
          <w:iCs/>
        </w:rPr>
        <w:t xml:space="preserve">Additional technical support information concerning the NSILT can be found in </w:t>
      </w:r>
      <w:r w:rsidR="00991EC7" w:rsidRPr="00D33007">
        <w:rPr>
          <w:b/>
          <w:iCs/>
        </w:rPr>
        <w:t>Appendix F</w:t>
      </w:r>
      <w:r w:rsidR="00991EC7">
        <w:rPr>
          <w:iCs/>
        </w:rPr>
        <w:t>.</w:t>
      </w:r>
    </w:p>
    <w:p w14:paraId="3886D883" w14:textId="28EB8DD9" w:rsidR="003B6227" w:rsidRDefault="003B6227" w:rsidP="003B6227"/>
    <w:p w14:paraId="47D0E678" w14:textId="38A1ACA9" w:rsidR="001E2AD9" w:rsidRPr="00DF25A4" w:rsidRDefault="001E2AD9" w:rsidP="001E2AD9">
      <w:pPr>
        <w:pStyle w:val="BodyText"/>
        <w:rPr>
          <w:b/>
          <w:sz w:val="28"/>
          <w:szCs w:val="28"/>
        </w:rPr>
      </w:pPr>
      <w:r w:rsidRPr="00DF25A4">
        <w:rPr>
          <w:b/>
          <w:sz w:val="28"/>
          <w:szCs w:val="28"/>
        </w:rPr>
        <w:t>D.</w:t>
      </w:r>
      <w:r>
        <w:rPr>
          <w:b/>
          <w:sz w:val="28"/>
          <w:szCs w:val="28"/>
        </w:rPr>
        <w:t>3</w:t>
      </w:r>
      <w:r w:rsidRPr="00DF25A4">
        <w:rPr>
          <w:b/>
          <w:sz w:val="28"/>
          <w:szCs w:val="28"/>
        </w:rPr>
        <w:tab/>
      </w:r>
      <w:r>
        <w:rPr>
          <w:b/>
          <w:sz w:val="28"/>
          <w:szCs w:val="28"/>
        </w:rPr>
        <w:t>Remediation Options</w:t>
      </w:r>
    </w:p>
    <w:p w14:paraId="078CFD92" w14:textId="29A42C3E" w:rsidR="00991EC7" w:rsidRPr="00991EC7" w:rsidRDefault="00E838E4" w:rsidP="002E7B17">
      <w:pPr>
        <w:pStyle w:val="BodyText"/>
      </w:pPr>
      <w:r>
        <w:t xml:space="preserve">The NSILT estimates that OSTDS contribute approximately </w:t>
      </w:r>
      <w:r w:rsidR="00682E86">
        <w:t>3</w:t>
      </w:r>
      <w:r w:rsidRPr="00682E86">
        <w:t xml:space="preserve"> %</w:t>
      </w:r>
      <w:r>
        <w:t xml:space="preserve"> of the pollutant loading to groundwater in the P</w:t>
      </w:r>
      <w:r w:rsidR="00237AEB">
        <w:t>FA</w:t>
      </w:r>
      <w:r>
        <w:t xml:space="preserve">. </w:t>
      </w:r>
      <w:r w:rsidRPr="00177080">
        <w:rPr>
          <w:b/>
        </w:rPr>
        <w:t xml:space="preserve">Table </w:t>
      </w:r>
      <w:r w:rsidR="00D925ED" w:rsidRPr="00177080">
        <w:rPr>
          <w:b/>
        </w:rPr>
        <w:t>D</w:t>
      </w:r>
      <w:r w:rsidRPr="00177080">
        <w:rPr>
          <w:b/>
        </w:rPr>
        <w:t>-1</w:t>
      </w:r>
      <w:r>
        <w:rPr>
          <w:b/>
        </w:rPr>
        <w:t xml:space="preserve"> </w:t>
      </w:r>
      <w:r w:rsidR="00601A40">
        <w:t xml:space="preserve">lists </w:t>
      </w:r>
      <w:r>
        <w:t xml:space="preserve">the number of </w:t>
      </w:r>
      <w:r w:rsidR="00480266">
        <w:t xml:space="preserve">existing </w:t>
      </w:r>
      <w:r w:rsidR="00237AEB">
        <w:t>OSTDS in the PFA</w:t>
      </w:r>
      <w:r>
        <w:t xml:space="preserve"> and the </w:t>
      </w:r>
      <w:r w:rsidR="00480266">
        <w:t xml:space="preserve">estimated </w:t>
      </w:r>
      <w:r>
        <w:t xml:space="preserve">nitrogen reductions </w:t>
      </w:r>
      <w:r w:rsidR="00480266">
        <w:t xml:space="preserve">associated with enhancement or </w:t>
      </w:r>
      <w:r w:rsidR="00B65024">
        <w:t>connection to</w:t>
      </w:r>
      <w:r w:rsidR="00480266">
        <w:t xml:space="preserve"> sewer.</w:t>
      </w:r>
      <w:r w:rsidR="00250EA7">
        <w:t xml:space="preserve"> </w:t>
      </w:r>
      <w:r w:rsidR="00250EA7" w:rsidRPr="00250EA7">
        <w:rPr>
          <w:b/>
        </w:rPr>
        <w:t>Figure D-1</w:t>
      </w:r>
      <w:r w:rsidR="00250EA7">
        <w:t xml:space="preserve"> </w:t>
      </w:r>
      <w:r w:rsidR="009F4A02">
        <w:t xml:space="preserve">shows the areas where </w:t>
      </w:r>
      <w:r w:rsidR="00250EA7">
        <w:t xml:space="preserve">OSTDS </w:t>
      </w:r>
      <w:r w:rsidR="009F4A02">
        <w:t xml:space="preserve">are </w:t>
      </w:r>
      <w:r w:rsidR="00250EA7">
        <w:t>locat</w:t>
      </w:r>
      <w:r w:rsidR="009F4A02">
        <w:t>ed</w:t>
      </w:r>
      <w:r w:rsidR="00250EA7">
        <w:t>.</w:t>
      </w:r>
    </w:p>
    <w:p w14:paraId="04F06B87" w14:textId="0F13CF0C" w:rsidR="00E838E4" w:rsidRPr="00D925ED" w:rsidRDefault="008941E0" w:rsidP="008941E0">
      <w:pPr>
        <w:pStyle w:val="Caption"/>
        <w:rPr>
          <w:rFonts w:eastAsiaTheme="minorHAnsi"/>
        </w:rPr>
      </w:pPr>
      <w:bookmarkStart w:id="171" w:name="_Toc514430969"/>
      <w:r>
        <w:t>Table D-</w:t>
      </w:r>
      <w:fldSimple w:instr=" SEQ Table_D- \* ARABIC ">
        <w:r w:rsidR="002A2E30">
          <w:rPr>
            <w:noProof/>
          </w:rPr>
          <w:t>1</w:t>
        </w:r>
      </w:fldSimple>
      <w:r>
        <w:t xml:space="preserve">. </w:t>
      </w:r>
      <w:r w:rsidR="00E838E4" w:rsidRPr="00D925ED">
        <w:rPr>
          <w:rFonts w:eastAsiaTheme="minorHAnsi"/>
        </w:rPr>
        <w:t>Estimated r</w:t>
      </w:r>
      <w:r w:rsidR="002E7B17">
        <w:rPr>
          <w:rFonts w:eastAsiaTheme="minorHAnsi"/>
        </w:rPr>
        <w:t xml:space="preserve">eduction credits for </w:t>
      </w:r>
      <w:r w:rsidR="00E838E4" w:rsidRPr="00D925ED">
        <w:rPr>
          <w:rFonts w:eastAsiaTheme="minorHAnsi"/>
        </w:rPr>
        <w:t xml:space="preserve">OSTDS enhancement </w:t>
      </w:r>
      <w:r w:rsidR="00E838E4" w:rsidRPr="00DF30F2">
        <w:rPr>
          <w:rFonts w:eastAsiaTheme="minorHAnsi"/>
          <w:u w:val="single"/>
        </w:rPr>
        <w:t>or</w:t>
      </w:r>
      <w:r w:rsidR="00E838E4" w:rsidRPr="00D925ED">
        <w:rPr>
          <w:rFonts w:eastAsiaTheme="minorHAnsi"/>
        </w:rPr>
        <w:t xml:space="preserve"> sewer</w:t>
      </w:r>
      <w:r w:rsidR="00177080">
        <w:rPr>
          <w:rFonts w:eastAsiaTheme="minorHAnsi"/>
        </w:rPr>
        <w:t>*</w:t>
      </w:r>
      <w:bookmarkEnd w:id="171"/>
    </w:p>
    <w:p w14:paraId="5412E01A" w14:textId="77777777" w:rsidR="00312D0F" w:rsidRPr="00735AB0" w:rsidRDefault="00312D0F" w:rsidP="00312D0F">
      <w:pPr>
        <w:rPr>
          <w:rFonts w:ascii="Times New Roman" w:hAnsi="Times New Roman"/>
          <w:b/>
          <w:sz w:val="16"/>
          <w:szCs w:val="16"/>
        </w:rPr>
      </w:pPr>
      <w:r w:rsidRPr="00735AB0">
        <w:rPr>
          <w:rFonts w:ascii="Times New Roman" w:hAnsi="Times New Roman"/>
          <w:b/>
          <w:bCs/>
          <w:sz w:val="16"/>
          <w:szCs w:val="16"/>
        </w:rPr>
        <w:t>*</w:t>
      </w:r>
      <w:r w:rsidRPr="00735AB0">
        <w:rPr>
          <w:rFonts w:ascii="Times New Roman" w:hAnsi="Times New Roman"/>
          <w:iCs/>
          <w:sz w:val="16"/>
          <w:szCs w:val="16"/>
        </w:rPr>
        <w:t xml:space="preserve">Estimated reductions </w:t>
      </w:r>
      <w:r>
        <w:rPr>
          <w:rFonts w:ascii="Times New Roman" w:hAnsi="Times New Roman"/>
          <w:iCs/>
          <w:sz w:val="16"/>
          <w:szCs w:val="16"/>
        </w:rPr>
        <w:t xml:space="preserve">listed in the table </w:t>
      </w:r>
      <w:r w:rsidRPr="00735AB0">
        <w:rPr>
          <w:rFonts w:ascii="Times New Roman" w:hAnsi="Times New Roman"/>
          <w:iCs/>
          <w:sz w:val="16"/>
          <w:szCs w:val="16"/>
        </w:rPr>
        <w:t xml:space="preserve">are for either enhancement </w:t>
      </w:r>
      <w:r w:rsidRPr="00735AB0">
        <w:rPr>
          <w:rFonts w:ascii="Times New Roman" w:hAnsi="Times New Roman"/>
          <w:iCs/>
          <w:sz w:val="16"/>
          <w:szCs w:val="16"/>
          <w:u w:val="single"/>
        </w:rPr>
        <w:t>or</w:t>
      </w:r>
      <w:r w:rsidRPr="00735AB0">
        <w:rPr>
          <w:rFonts w:ascii="Times New Roman" w:hAnsi="Times New Roman"/>
          <w:iCs/>
          <w:sz w:val="16"/>
          <w:szCs w:val="16"/>
        </w:rPr>
        <w:t xml:space="preserve"> sewer per parcel classification. Reductions cannot be combined for the same parcel classification but can be combined between the different classifications. For example, the sewer credit associated with parcels less than one acre in size can be combined with the sewer credit associated with parcels one acre or greater in size.</w:t>
      </w:r>
    </w:p>
    <w:tbl>
      <w:tblPr>
        <w:tblW w:w="9355" w:type="dxa"/>
        <w:tblInd w:w="-5" w:type="dxa"/>
        <w:tblCellMar>
          <w:top w:w="15" w:type="dxa"/>
          <w:bottom w:w="15" w:type="dxa"/>
        </w:tblCellMar>
        <w:tblLook w:val="04A0" w:firstRow="1" w:lastRow="0" w:firstColumn="1" w:lastColumn="0" w:noHBand="0" w:noVBand="1"/>
      </w:tblPr>
      <w:tblGrid>
        <w:gridCol w:w="1711"/>
        <w:gridCol w:w="1529"/>
        <w:gridCol w:w="990"/>
        <w:gridCol w:w="1394"/>
        <w:gridCol w:w="1312"/>
        <w:gridCol w:w="1025"/>
        <w:gridCol w:w="1394"/>
      </w:tblGrid>
      <w:tr w:rsidR="00312D0F" w:rsidRPr="0033230E" w14:paraId="5EC2D4E1" w14:textId="77777777" w:rsidTr="00EE6C95">
        <w:trPr>
          <w:trHeight w:val="770"/>
          <w:tblHeader/>
        </w:trPr>
        <w:tc>
          <w:tcPr>
            <w:tcW w:w="17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732C3383"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Recharge Area</w:t>
            </w:r>
          </w:p>
        </w:tc>
        <w:tc>
          <w:tcPr>
            <w:tcW w:w="15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01C12247"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OSTDS Parcels Less Than One Acre in PFA</w:t>
            </w:r>
          </w:p>
        </w:tc>
        <w:tc>
          <w:tcPr>
            <w:tcW w:w="9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94CB0AB"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12" w:space="0" w:color="auto"/>
            </w:tcBorders>
            <w:shd w:val="clear" w:color="auto" w:fill="DEEAF6" w:themeFill="accent1" w:themeFillTint="33"/>
            <w:vAlign w:val="bottom"/>
            <w:hideMark/>
          </w:tcPr>
          <w:p w14:paraId="3E2276C7"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c>
          <w:tcPr>
            <w:tcW w:w="1312" w:type="dxa"/>
            <w:tcBorders>
              <w:top w:val="single" w:sz="4" w:space="0" w:color="auto"/>
              <w:left w:val="single" w:sz="12" w:space="0" w:color="auto"/>
              <w:bottom w:val="single" w:sz="4" w:space="0" w:color="auto"/>
              <w:right w:val="single" w:sz="4" w:space="0" w:color="auto"/>
            </w:tcBorders>
            <w:shd w:val="clear" w:color="auto" w:fill="DEEAF6" w:themeFill="accent1" w:themeFillTint="33"/>
            <w:vAlign w:val="bottom"/>
          </w:tcPr>
          <w:p w14:paraId="4B3374ED"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 xml:space="preserve">OSTDS Parcels One Acre and Greater in PFA </w:t>
            </w:r>
          </w:p>
        </w:tc>
        <w:tc>
          <w:tcPr>
            <w:tcW w:w="10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01990A0"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Credit for Sewer (lb-N/yr)</w:t>
            </w:r>
          </w:p>
        </w:tc>
        <w:tc>
          <w:tcPr>
            <w:tcW w:w="13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FCE0C83"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Credit for Enhancement (lb-N/yr)</w:t>
            </w:r>
          </w:p>
        </w:tc>
      </w:tr>
      <w:tr w:rsidR="00312D0F" w:rsidRPr="0033230E" w14:paraId="1DED3847" w14:textId="77777777" w:rsidTr="00EE6C95">
        <w:trPr>
          <w:trHeight w:val="300"/>
        </w:trPr>
        <w:tc>
          <w:tcPr>
            <w:tcW w:w="1711" w:type="dxa"/>
            <w:tcBorders>
              <w:top w:val="single" w:sz="4" w:space="0" w:color="auto"/>
              <w:left w:val="single" w:sz="4" w:space="0" w:color="auto"/>
              <w:bottom w:val="single" w:sz="4" w:space="0" w:color="auto"/>
              <w:right w:val="single" w:sz="4" w:space="0" w:color="auto"/>
            </w:tcBorders>
            <w:vAlign w:val="center"/>
            <w:hideMark/>
          </w:tcPr>
          <w:p w14:paraId="736DAD07" w14:textId="77777777" w:rsidR="00312D0F" w:rsidRPr="0033230E" w:rsidRDefault="00312D0F" w:rsidP="00EE6C95">
            <w:pPr>
              <w:jc w:val="center"/>
              <w:rPr>
                <w:rFonts w:ascii="Times New Roman" w:hAnsi="Times New Roman"/>
                <w:b/>
                <w:color w:val="000000"/>
                <w:sz w:val="20"/>
              </w:rPr>
            </w:pPr>
            <w:r w:rsidRPr="0033230E">
              <w:rPr>
                <w:rFonts w:ascii="Times New Roman" w:hAnsi="Times New Roman"/>
                <w:b/>
                <w:color w:val="000000"/>
                <w:sz w:val="20"/>
              </w:rPr>
              <w:t>High</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5193D7F5" w14:textId="77777777" w:rsidR="00312D0F" w:rsidRPr="0033230E" w:rsidRDefault="00312D0F" w:rsidP="00EE6C95">
            <w:pPr>
              <w:jc w:val="center"/>
              <w:rPr>
                <w:rFonts w:ascii="Times New Roman" w:hAnsi="Times New Roman"/>
                <w:color w:val="000000"/>
                <w:sz w:val="20"/>
              </w:rPr>
            </w:pPr>
            <w:r w:rsidRPr="0033230E">
              <w:rPr>
                <w:rFonts w:ascii="Times New Roman" w:hAnsi="Times New Roman"/>
                <w:color w:val="000000"/>
                <w:sz w:val="20"/>
              </w:rPr>
              <w:t>460</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FD0B9EE"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5,069</w:t>
            </w:r>
          </w:p>
        </w:tc>
        <w:tc>
          <w:tcPr>
            <w:tcW w:w="1394" w:type="dxa"/>
            <w:tcBorders>
              <w:top w:val="single" w:sz="4" w:space="0" w:color="auto"/>
              <w:left w:val="single" w:sz="4" w:space="0" w:color="auto"/>
              <w:bottom w:val="single" w:sz="4" w:space="0" w:color="auto"/>
              <w:right w:val="single" w:sz="12" w:space="0" w:color="auto"/>
            </w:tcBorders>
            <w:noWrap/>
            <w:vAlign w:val="center"/>
            <w:hideMark/>
          </w:tcPr>
          <w:p w14:paraId="7579B6D3"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3,468</w:t>
            </w:r>
          </w:p>
        </w:tc>
        <w:tc>
          <w:tcPr>
            <w:tcW w:w="1312" w:type="dxa"/>
            <w:tcBorders>
              <w:top w:val="single" w:sz="4" w:space="0" w:color="auto"/>
              <w:left w:val="single" w:sz="12" w:space="0" w:color="auto"/>
              <w:bottom w:val="single" w:sz="4" w:space="0" w:color="auto"/>
              <w:right w:val="single" w:sz="4" w:space="0" w:color="auto"/>
            </w:tcBorders>
            <w:vAlign w:val="center"/>
          </w:tcPr>
          <w:p w14:paraId="5967B4E9" w14:textId="77777777" w:rsidR="00312D0F" w:rsidRPr="0033230E" w:rsidRDefault="00312D0F" w:rsidP="00EE6C95">
            <w:pPr>
              <w:jc w:val="center"/>
              <w:rPr>
                <w:rFonts w:ascii="Times New Roman" w:hAnsi="Times New Roman"/>
                <w:color w:val="000000"/>
                <w:sz w:val="20"/>
              </w:rPr>
            </w:pPr>
            <w:r w:rsidRPr="0033230E">
              <w:rPr>
                <w:rFonts w:ascii="Times New Roman" w:hAnsi="Times New Roman"/>
                <w:color w:val="000000"/>
                <w:sz w:val="20"/>
              </w:rPr>
              <w:t>1,504</w:t>
            </w:r>
          </w:p>
        </w:tc>
        <w:tc>
          <w:tcPr>
            <w:tcW w:w="1025" w:type="dxa"/>
            <w:tcBorders>
              <w:top w:val="single" w:sz="4" w:space="0" w:color="auto"/>
              <w:left w:val="single" w:sz="4" w:space="0" w:color="auto"/>
              <w:bottom w:val="single" w:sz="4" w:space="0" w:color="auto"/>
              <w:right w:val="single" w:sz="4" w:space="0" w:color="auto"/>
            </w:tcBorders>
            <w:vAlign w:val="center"/>
          </w:tcPr>
          <w:p w14:paraId="7A943D03"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16,572</w:t>
            </w:r>
          </w:p>
        </w:tc>
        <w:tc>
          <w:tcPr>
            <w:tcW w:w="1394" w:type="dxa"/>
            <w:tcBorders>
              <w:top w:val="single" w:sz="4" w:space="0" w:color="auto"/>
              <w:left w:val="single" w:sz="4" w:space="0" w:color="auto"/>
              <w:bottom w:val="single" w:sz="4" w:space="0" w:color="auto"/>
              <w:right w:val="single" w:sz="4" w:space="0" w:color="auto"/>
            </w:tcBorders>
            <w:vAlign w:val="center"/>
          </w:tcPr>
          <w:p w14:paraId="23F58B49"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11,339</w:t>
            </w:r>
          </w:p>
        </w:tc>
      </w:tr>
      <w:tr w:rsidR="00312D0F" w:rsidRPr="0033230E" w14:paraId="686ADD60" w14:textId="77777777" w:rsidTr="00EE6C95">
        <w:trPr>
          <w:trHeight w:val="302"/>
        </w:trPr>
        <w:tc>
          <w:tcPr>
            <w:tcW w:w="1711" w:type="dxa"/>
            <w:tcBorders>
              <w:top w:val="single" w:sz="4" w:space="0" w:color="auto"/>
              <w:left w:val="single" w:sz="4" w:space="0" w:color="auto"/>
              <w:bottom w:val="single" w:sz="4" w:space="0" w:color="auto"/>
              <w:right w:val="single" w:sz="4" w:space="0" w:color="auto"/>
            </w:tcBorders>
            <w:vAlign w:val="center"/>
            <w:hideMark/>
          </w:tcPr>
          <w:p w14:paraId="3094BD95" w14:textId="77777777" w:rsidR="00312D0F" w:rsidRPr="0033230E" w:rsidRDefault="00312D0F" w:rsidP="00EE6C95">
            <w:pPr>
              <w:jc w:val="center"/>
              <w:rPr>
                <w:rFonts w:ascii="Times New Roman" w:hAnsi="Times New Roman"/>
                <w:b/>
                <w:color w:val="000000"/>
                <w:sz w:val="20"/>
              </w:rPr>
            </w:pPr>
            <w:r w:rsidRPr="0033230E">
              <w:rPr>
                <w:rFonts w:ascii="Times New Roman" w:hAnsi="Times New Roman"/>
                <w:b/>
                <w:color w:val="000000"/>
                <w:sz w:val="20"/>
              </w:rPr>
              <w:t>Medium</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5539C309" w14:textId="77777777" w:rsidR="00312D0F" w:rsidRPr="0033230E" w:rsidRDefault="00312D0F" w:rsidP="00EE6C95">
            <w:pPr>
              <w:jc w:val="center"/>
              <w:rPr>
                <w:rFonts w:ascii="Times New Roman" w:hAnsi="Times New Roman"/>
                <w:color w:val="000000"/>
                <w:sz w:val="20"/>
              </w:rPr>
            </w:pPr>
            <w:r w:rsidRPr="0033230E">
              <w:rPr>
                <w:rFonts w:ascii="Times New Roman" w:hAnsi="Times New Roman"/>
                <w:color w:val="000000"/>
                <w:sz w:val="20"/>
              </w:rPr>
              <w:t>19</w:t>
            </w:r>
          </w:p>
        </w:tc>
        <w:tc>
          <w:tcPr>
            <w:tcW w:w="990" w:type="dxa"/>
            <w:tcBorders>
              <w:top w:val="single" w:sz="4" w:space="0" w:color="auto"/>
              <w:left w:val="single" w:sz="4" w:space="0" w:color="auto"/>
              <w:bottom w:val="single" w:sz="4" w:space="0" w:color="auto"/>
              <w:right w:val="single" w:sz="4" w:space="0" w:color="auto"/>
            </w:tcBorders>
            <w:noWrap/>
            <w:vAlign w:val="center"/>
          </w:tcPr>
          <w:p w14:paraId="23FC1C2B"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116</w:t>
            </w:r>
          </w:p>
        </w:tc>
        <w:tc>
          <w:tcPr>
            <w:tcW w:w="1394" w:type="dxa"/>
            <w:tcBorders>
              <w:top w:val="single" w:sz="4" w:space="0" w:color="auto"/>
              <w:left w:val="single" w:sz="4" w:space="0" w:color="auto"/>
              <w:bottom w:val="single" w:sz="4" w:space="0" w:color="auto"/>
              <w:right w:val="single" w:sz="12" w:space="0" w:color="auto"/>
            </w:tcBorders>
            <w:noWrap/>
            <w:vAlign w:val="center"/>
          </w:tcPr>
          <w:p w14:paraId="19D166AE"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116</w:t>
            </w:r>
          </w:p>
        </w:tc>
        <w:tc>
          <w:tcPr>
            <w:tcW w:w="1312" w:type="dxa"/>
            <w:tcBorders>
              <w:top w:val="single" w:sz="4" w:space="0" w:color="auto"/>
              <w:left w:val="single" w:sz="12" w:space="0" w:color="auto"/>
              <w:bottom w:val="single" w:sz="4" w:space="0" w:color="auto"/>
              <w:right w:val="single" w:sz="4" w:space="0" w:color="auto"/>
            </w:tcBorders>
            <w:vAlign w:val="center"/>
          </w:tcPr>
          <w:p w14:paraId="115CD883" w14:textId="77777777" w:rsidR="00312D0F" w:rsidRPr="0033230E" w:rsidRDefault="00312D0F" w:rsidP="00EE6C95">
            <w:pPr>
              <w:jc w:val="center"/>
              <w:rPr>
                <w:rFonts w:ascii="Times New Roman" w:hAnsi="Times New Roman"/>
                <w:color w:val="000000"/>
                <w:sz w:val="20"/>
              </w:rPr>
            </w:pPr>
            <w:r w:rsidRPr="0033230E">
              <w:rPr>
                <w:rFonts w:ascii="Times New Roman" w:hAnsi="Times New Roman"/>
                <w:color w:val="000000"/>
                <w:sz w:val="20"/>
              </w:rPr>
              <w:t>44</w:t>
            </w:r>
          </w:p>
        </w:tc>
        <w:tc>
          <w:tcPr>
            <w:tcW w:w="1025" w:type="dxa"/>
            <w:tcBorders>
              <w:top w:val="single" w:sz="4" w:space="0" w:color="auto"/>
              <w:left w:val="single" w:sz="4" w:space="0" w:color="auto"/>
              <w:bottom w:val="single" w:sz="4" w:space="0" w:color="auto"/>
              <w:right w:val="single" w:sz="4" w:space="0" w:color="auto"/>
            </w:tcBorders>
            <w:vAlign w:val="center"/>
          </w:tcPr>
          <w:p w14:paraId="31EACF04"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269</w:t>
            </w:r>
          </w:p>
        </w:tc>
        <w:tc>
          <w:tcPr>
            <w:tcW w:w="1394" w:type="dxa"/>
            <w:tcBorders>
              <w:top w:val="single" w:sz="4" w:space="0" w:color="auto"/>
              <w:left w:val="single" w:sz="4" w:space="0" w:color="auto"/>
              <w:bottom w:val="single" w:sz="4" w:space="0" w:color="auto"/>
              <w:right w:val="single" w:sz="4" w:space="0" w:color="auto"/>
            </w:tcBorders>
            <w:vAlign w:val="center"/>
          </w:tcPr>
          <w:p w14:paraId="1814937D" w14:textId="77777777" w:rsidR="00312D0F" w:rsidRPr="0033230E" w:rsidRDefault="00312D0F" w:rsidP="00EE6C95">
            <w:pPr>
              <w:jc w:val="center"/>
              <w:rPr>
                <w:rFonts w:ascii="Times New Roman" w:hAnsi="Times New Roman"/>
                <w:color w:val="000000"/>
                <w:sz w:val="20"/>
              </w:rPr>
            </w:pPr>
            <w:r>
              <w:rPr>
                <w:rFonts w:ascii="Times New Roman" w:hAnsi="Times New Roman"/>
                <w:color w:val="000000"/>
                <w:sz w:val="20"/>
              </w:rPr>
              <w:t>184</w:t>
            </w:r>
          </w:p>
        </w:tc>
      </w:tr>
      <w:tr w:rsidR="00312D0F" w:rsidRPr="0033230E" w14:paraId="1AE793F9" w14:textId="77777777" w:rsidTr="00EE6C95">
        <w:trPr>
          <w:trHeight w:val="300"/>
        </w:trPr>
        <w:tc>
          <w:tcPr>
            <w:tcW w:w="1711" w:type="dxa"/>
            <w:tcBorders>
              <w:top w:val="single" w:sz="4" w:space="0" w:color="auto"/>
              <w:left w:val="single" w:sz="4" w:space="0" w:color="auto"/>
              <w:bottom w:val="single" w:sz="4" w:space="0" w:color="auto"/>
              <w:right w:val="nil"/>
            </w:tcBorders>
            <w:shd w:val="clear" w:color="auto" w:fill="FFF2CC" w:themeFill="accent4" w:themeFillTint="33"/>
            <w:noWrap/>
            <w:vAlign w:val="center"/>
            <w:hideMark/>
          </w:tcPr>
          <w:p w14:paraId="66BBAA34"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Total</w:t>
            </w:r>
          </w:p>
        </w:tc>
        <w:tc>
          <w:tcPr>
            <w:tcW w:w="1529" w:type="dxa"/>
            <w:tcBorders>
              <w:top w:val="single" w:sz="4" w:space="0" w:color="auto"/>
              <w:left w:val="single" w:sz="4" w:space="0" w:color="auto"/>
              <w:bottom w:val="single" w:sz="4" w:space="0" w:color="auto"/>
              <w:right w:val="nil"/>
            </w:tcBorders>
            <w:shd w:val="clear" w:color="auto" w:fill="FFF2CC" w:themeFill="accent4" w:themeFillTint="33"/>
            <w:vAlign w:val="center"/>
          </w:tcPr>
          <w:p w14:paraId="487D702C"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479</w:t>
            </w:r>
          </w:p>
        </w:tc>
        <w:tc>
          <w:tcPr>
            <w:tcW w:w="99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F451550" w14:textId="77777777" w:rsidR="00312D0F" w:rsidRPr="0033230E" w:rsidRDefault="00312D0F" w:rsidP="00EE6C95">
            <w:pPr>
              <w:jc w:val="center"/>
              <w:rPr>
                <w:rFonts w:ascii="Times New Roman" w:hAnsi="Times New Roman"/>
                <w:b/>
                <w:bCs/>
                <w:color w:val="000000"/>
                <w:sz w:val="20"/>
              </w:rPr>
            </w:pPr>
            <w:r>
              <w:rPr>
                <w:rFonts w:ascii="Times New Roman" w:hAnsi="Times New Roman"/>
                <w:b/>
                <w:bCs/>
                <w:color w:val="000000"/>
                <w:sz w:val="20"/>
              </w:rPr>
              <w:t>5,185</w:t>
            </w:r>
          </w:p>
        </w:tc>
        <w:tc>
          <w:tcPr>
            <w:tcW w:w="1394" w:type="dxa"/>
            <w:tcBorders>
              <w:top w:val="single" w:sz="4" w:space="0" w:color="auto"/>
              <w:left w:val="single" w:sz="4" w:space="0" w:color="auto"/>
              <w:bottom w:val="single" w:sz="4" w:space="0" w:color="auto"/>
              <w:right w:val="single" w:sz="12" w:space="0" w:color="auto"/>
            </w:tcBorders>
            <w:shd w:val="clear" w:color="auto" w:fill="FFF2CC" w:themeFill="accent4" w:themeFillTint="33"/>
            <w:noWrap/>
            <w:vAlign w:val="center"/>
            <w:hideMark/>
          </w:tcPr>
          <w:p w14:paraId="684F62EB" w14:textId="77777777" w:rsidR="00312D0F" w:rsidRPr="0033230E" w:rsidRDefault="00312D0F" w:rsidP="00EE6C95">
            <w:pPr>
              <w:jc w:val="center"/>
              <w:rPr>
                <w:rFonts w:ascii="Times New Roman" w:hAnsi="Times New Roman"/>
                <w:b/>
                <w:bCs/>
                <w:color w:val="000000"/>
                <w:sz w:val="20"/>
              </w:rPr>
            </w:pPr>
            <w:r>
              <w:rPr>
                <w:rFonts w:ascii="Times New Roman" w:hAnsi="Times New Roman"/>
                <w:b/>
                <w:bCs/>
                <w:color w:val="000000"/>
                <w:sz w:val="20"/>
              </w:rPr>
              <w:t>3,548</w:t>
            </w:r>
          </w:p>
        </w:tc>
        <w:tc>
          <w:tcPr>
            <w:tcW w:w="13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tcPr>
          <w:p w14:paraId="4892CECD" w14:textId="77777777" w:rsidR="00312D0F" w:rsidRPr="0033230E" w:rsidRDefault="00312D0F" w:rsidP="00EE6C95">
            <w:pPr>
              <w:jc w:val="center"/>
              <w:rPr>
                <w:rFonts w:ascii="Times New Roman" w:hAnsi="Times New Roman"/>
                <w:b/>
                <w:bCs/>
                <w:color w:val="000000"/>
                <w:sz w:val="20"/>
              </w:rPr>
            </w:pPr>
            <w:r w:rsidRPr="0033230E">
              <w:rPr>
                <w:rFonts w:ascii="Times New Roman" w:hAnsi="Times New Roman"/>
                <w:b/>
                <w:bCs/>
                <w:color w:val="000000"/>
                <w:sz w:val="20"/>
              </w:rPr>
              <w:t>1,548</w:t>
            </w:r>
          </w:p>
        </w:tc>
        <w:tc>
          <w:tcPr>
            <w:tcW w:w="102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146ADC" w14:textId="77777777" w:rsidR="00312D0F" w:rsidRPr="0033230E" w:rsidRDefault="00312D0F" w:rsidP="00EE6C95">
            <w:pPr>
              <w:jc w:val="center"/>
              <w:rPr>
                <w:rFonts w:ascii="Times New Roman" w:hAnsi="Times New Roman"/>
                <w:b/>
                <w:bCs/>
                <w:color w:val="000000"/>
                <w:sz w:val="20"/>
              </w:rPr>
            </w:pPr>
            <w:r>
              <w:rPr>
                <w:rFonts w:ascii="Times New Roman" w:hAnsi="Times New Roman"/>
                <w:b/>
                <w:bCs/>
                <w:color w:val="000000"/>
                <w:sz w:val="20"/>
              </w:rPr>
              <w:t>16,841</w:t>
            </w:r>
          </w:p>
        </w:tc>
        <w:tc>
          <w:tcPr>
            <w:tcW w:w="139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1545257" w14:textId="77777777" w:rsidR="00312D0F" w:rsidRPr="0033230E" w:rsidRDefault="00312D0F" w:rsidP="00EE6C95">
            <w:pPr>
              <w:jc w:val="center"/>
              <w:rPr>
                <w:rFonts w:ascii="Times New Roman" w:hAnsi="Times New Roman"/>
                <w:b/>
                <w:bCs/>
                <w:color w:val="000000"/>
                <w:sz w:val="20"/>
              </w:rPr>
            </w:pPr>
            <w:r>
              <w:rPr>
                <w:rFonts w:ascii="Times New Roman" w:hAnsi="Times New Roman"/>
                <w:b/>
                <w:bCs/>
                <w:color w:val="000000"/>
                <w:sz w:val="20"/>
              </w:rPr>
              <w:t>11,523</w:t>
            </w:r>
          </w:p>
        </w:tc>
      </w:tr>
    </w:tbl>
    <w:p w14:paraId="41246C0F" w14:textId="77777777" w:rsidR="00312D0F" w:rsidRDefault="00312D0F" w:rsidP="00312D0F">
      <w:pPr>
        <w:jc w:val="left"/>
        <w:rPr>
          <w:rFonts w:ascii="Times New Roman" w:hAnsi="Times New Roman"/>
          <w:sz w:val="16"/>
          <w:szCs w:val="24"/>
        </w:rPr>
      </w:pPr>
    </w:p>
    <w:p w14:paraId="0BFBA981" w14:textId="64F31745" w:rsidR="00AC239A" w:rsidRDefault="00DB0F6B" w:rsidP="00991EC7">
      <w:pPr>
        <w:pStyle w:val="BodyText"/>
        <w:spacing w:before="120"/>
      </w:pPr>
      <w:r>
        <w:rPr>
          <w:szCs w:val="24"/>
        </w:rPr>
        <w:t xml:space="preserve">As required by statute, this OSTDS </w:t>
      </w:r>
      <w:r w:rsidR="00E838E4">
        <w:t xml:space="preserve">remediation </w:t>
      </w:r>
      <w:r>
        <w:rPr>
          <w:szCs w:val="24"/>
        </w:rPr>
        <w:t xml:space="preserve">plan identifies remediation options for existing OSTDS, including </w:t>
      </w:r>
      <w:r w:rsidRPr="00A61033">
        <w:rPr>
          <w:szCs w:val="24"/>
        </w:rPr>
        <w:t>repair, upgrade, replacement, drain field modification, the addition of effective nitrogen-reducing features, connection</w:t>
      </w:r>
      <w:r w:rsidR="00AC239A">
        <w:t xml:space="preserve"> to a central sewer system</w:t>
      </w:r>
      <w:r w:rsidRPr="00A61033">
        <w:rPr>
          <w:szCs w:val="24"/>
        </w:rPr>
        <w:t>, or other action.</w:t>
      </w:r>
      <w:r>
        <w:rPr>
          <w:szCs w:val="24"/>
        </w:rPr>
        <w:t xml:space="preserve"> </w:t>
      </w:r>
      <w:r>
        <w:t>More simply, r</w:t>
      </w:r>
      <w:r w:rsidRPr="00A61033">
        <w:t xml:space="preserve">emediation options </w:t>
      </w:r>
      <w:r>
        <w:t>can be</w:t>
      </w:r>
      <w:r w:rsidRPr="00A61033">
        <w:t xml:space="preserve"> classified as </w:t>
      </w:r>
      <w:r>
        <w:t>enhancement or replacement.</w:t>
      </w:r>
      <w:r w:rsidR="00AC239A">
        <w:t xml:space="preserve"> </w:t>
      </w:r>
      <w:r w:rsidR="00991EC7" w:rsidRPr="00A61033">
        <w:t xml:space="preserve">Enhancement options </w:t>
      </w:r>
      <w:r w:rsidR="00991EC7">
        <w:t>consist of</w:t>
      </w:r>
      <w:r w:rsidR="00991EC7" w:rsidRPr="00A61033">
        <w:t xml:space="preserve"> </w:t>
      </w:r>
      <w:r w:rsidR="00991EC7">
        <w:t>systems</w:t>
      </w:r>
      <w:r w:rsidR="00991EC7" w:rsidRPr="00A61033">
        <w:t xml:space="preserve"> identified in </w:t>
      </w:r>
      <w:r w:rsidR="00991EC7">
        <w:t xml:space="preserve">either </w:t>
      </w:r>
      <w:r w:rsidR="00991EC7" w:rsidRPr="00A61033">
        <w:t>existing FDOH rules</w:t>
      </w:r>
      <w:r w:rsidR="00991EC7">
        <w:t xml:space="preserve"> or </w:t>
      </w:r>
      <w:r w:rsidR="00991EC7" w:rsidRPr="00A61033">
        <w:t xml:space="preserve">existing and ongoing FDOH studies, </w:t>
      </w:r>
      <w:r w:rsidR="00991EC7">
        <w:t xml:space="preserve">or systems not </w:t>
      </w:r>
      <w:r w:rsidR="00991EC7" w:rsidRPr="00A61033">
        <w:t xml:space="preserve">otherwise </w:t>
      </w:r>
      <w:r w:rsidR="00991EC7">
        <w:t>prohibited</w:t>
      </w:r>
      <w:r w:rsidR="00991EC7" w:rsidRPr="00A61033">
        <w:t xml:space="preserve"> by FDOH.</w:t>
      </w:r>
      <w:r w:rsidR="00991EC7">
        <w:t xml:space="preserve"> </w:t>
      </w:r>
      <w:r w:rsidR="0031630D">
        <w:t xml:space="preserve">Examples </w:t>
      </w:r>
      <w:r>
        <w:t xml:space="preserve">of enhancements </w:t>
      </w:r>
      <w:r w:rsidRPr="00A61033">
        <w:t xml:space="preserve">include </w:t>
      </w:r>
      <w:r w:rsidR="00AC239A">
        <w:t>in-ground nitrogen-reducing biofilters (media layer systems)</w:t>
      </w:r>
      <w:r w:rsidR="0031630D">
        <w:t>;</w:t>
      </w:r>
      <w:r w:rsidR="00AC239A">
        <w:t xml:space="preserve"> in-tank nitrogen-reducing biofilters</w:t>
      </w:r>
      <w:r>
        <w:t>; and ATU or PBTS</w:t>
      </w:r>
      <w:r w:rsidR="002D383C">
        <w:t xml:space="preserve"> </w:t>
      </w:r>
      <w:r w:rsidR="00AC239A">
        <w:t>capable of meeting or exceeding the NSF Standard 245 nitrogen removal rate before disposing wastewater in the drain</w:t>
      </w:r>
      <w:r w:rsidR="004E3655">
        <w:t xml:space="preserve"> </w:t>
      </w:r>
      <w:r w:rsidR="00AC239A">
        <w:t>field.</w:t>
      </w:r>
    </w:p>
    <w:p w14:paraId="14F9E61E" w14:textId="2DD1498B" w:rsidR="001E2AD9" w:rsidRPr="00A61033" w:rsidRDefault="001E2AD9" w:rsidP="001E2AD9">
      <w:pPr>
        <w:pStyle w:val="Bullet"/>
        <w:numPr>
          <w:ilvl w:val="0"/>
          <w:numId w:val="0"/>
        </w:numPr>
        <w:ind w:right="0"/>
        <w:rPr>
          <w:rFonts w:cs="Times New Roman"/>
          <w:szCs w:val="24"/>
        </w:rPr>
      </w:pPr>
      <w:r>
        <w:rPr>
          <w:rFonts w:cs="Times New Roman"/>
          <w:szCs w:val="24"/>
        </w:rPr>
        <w:t xml:space="preserve">Nitrogen impacts from new development could also be reduced through prohibiting new </w:t>
      </w:r>
      <w:r w:rsidR="001F59C4">
        <w:rPr>
          <w:rFonts w:cs="Times New Roman"/>
          <w:szCs w:val="24"/>
        </w:rPr>
        <w:t xml:space="preserve">conventional </w:t>
      </w:r>
      <w:r>
        <w:rPr>
          <w:rFonts w:cs="Times New Roman"/>
          <w:szCs w:val="24"/>
        </w:rPr>
        <w:t>OSTDS on all lot sizes, throughout the BMAP area, or both.</w:t>
      </w:r>
    </w:p>
    <w:p w14:paraId="7351F5A1" w14:textId="6595A7A0" w:rsidR="001E2AD9" w:rsidRDefault="001E2AD9" w:rsidP="001E2AD9">
      <w:pPr>
        <w:pStyle w:val="BodyText"/>
        <w:spacing w:before="120"/>
      </w:pPr>
      <w:r>
        <w:t>DEP, FDOH, and local governments will develop programs to provide funding to homeowners and individuals to upgrade existing OSTDS by adding nutrient reducing features.</w:t>
      </w:r>
      <w:r w:rsidR="00DB0F6B">
        <w:t xml:space="preserve"> </w:t>
      </w:r>
      <w:r w:rsidR="00D67294">
        <w:t>Although upgrading existing OSTDS to include nitrogen reducing features is not required by this BMAP, upgrades would be beneficial within the PFA</w:t>
      </w:r>
      <w:r w:rsidR="006C6B82">
        <w:t>s</w:t>
      </w:r>
      <w:r w:rsidR="00D67294">
        <w:t xml:space="preserve"> and throughout the BMAP area.</w:t>
      </w:r>
      <w:r>
        <w:t xml:space="preserve"> The funding program will </w:t>
      </w:r>
      <w:r w:rsidR="00D67294">
        <w:t xml:space="preserve">be designed to </w:t>
      </w:r>
      <w:r>
        <w:t xml:space="preserve">prioritize OSTDS where it is most economical and efficient to add nutrient reducing features (i.e., systems needing a permit for a repair or modification, within the PFA, and on lots of less than </w:t>
      </w:r>
      <w:r w:rsidR="006C6B82">
        <w:t>one</w:t>
      </w:r>
      <w:r>
        <w:t xml:space="preserve"> acre).</w:t>
      </w:r>
      <w:r w:rsidR="00D67294">
        <w:t xml:space="preserve"> </w:t>
      </w:r>
    </w:p>
    <w:p w14:paraId="2A4909F1" w14:textId="77777777" w:rsidR="001E2AD9" w:rsidRDefault="001E2AD9" w:rsidP="001E2AD9">
      <w:pPr>
        <w:pStyle w:val="BodyText"/>
      </w:pPr>
      <w:r>
        <w:t>To facilitate incorporation of nitrogen reducing features at the time of a permit to repair or modify an existing OSTDS, FDOH will pursue regulatory solutions to accomplish the following objectives:</w:t>
      </w:r>
    </w:p>
    <w:p w14:paraId="4F0F1E1E" w14:textId="66C14D3E" w:rsidR="001E2AD9" w:rsidRDefault="001E2AD9" w:rsidP="001E2AD9">
      <w:pPr>
        <w:pStyle w:val="Bullet"/>
      </w:pPr>
      <w:r>
        <w:t xml:space="preserve">Update OSTDS rule language regarding permits, variances, and waivers to include consideration of DEP-adopted OSTDS remediation plans. </w:t>
      </w:r>
    </w:p>
    <w:p w14:paraId="19915C62" w14:textId="16049D74" w:rsidR="00601A40" w:rsidRPr="006C6B82" w:rsidRDefault="001E2AD9" w:rsidP="006D184C">
      <w:pPr>
        <w:pStyle w:val="Bullet"/>
      </w:pPr>
      <w:r>
        <w:t>Update OSTDS rules to allow installation of passive remediation systems, including systems featuring liners, nitrogen reducing material, or both underneath the drain</w:t>
      </w:r>
      <w:r w:rsidR="00991EC7">
        <w:t xml:space="preserve"> </w:t>
      </w:r>
      <w:r>
        <w:t xml:space="preserve">field. </w:t>
      </w:r>
      <w:r w:rsidR="00601A40">
        <w:br w:type="page"/>
      </w:r>
    </w:p>
    <w:p w14:paraId="27AD62D8" w14:textId="020A4F40" w:rsidR="00E838E4" w:rsidRPr="00636640" w:rsidRDefault="00AD60D1" w:rsidP="00DF30F2">
      <w:pPr>
        <w:pStyle w:val="Bodytextreduced"/>
      </w:pPr>
      <w:r w:rsidRPr="00EB2A30">
        <w:rPr>
          <w:noProof/>
        </w:rPr>
        <w:drawing>
          <wp:inline distT="0" distB="0" distL="0" distR="0" wp14:anchorId="608F0A89" wp14:editId="0F5148C6">
            <wp:extent cx="5943138" cy="7691120"/>
            <wp:effectExtent l="0" t="0" r="63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FileServer Data\FDEP Suwannee River\2017 BMAP\BMAP\Maps\SR_071217_LWR_OSTDS.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943138" cy="7691120"/>
                    </a:xfrm>
                    <a:prstGeom prst="rect">
                      <a:avLst/>
                    </a:prstGeom>
                    <a:noFill/>
                    <a:ln>
                      <a:noFill/>
                    </a:ln>
                  </pic:spPr>
                </pic:pic>
              </a:graphicData>
            </a:graphic>
          </wp:inline>
        </w:drawing>
      </w:r>
    </w:p>
    <w:p w14:paraId="41B5CEA3" w14:textId="2422D8CC" w:rsidR="00601A40" w:rsidRDefault="003B3D6D" w:rsidP="003B3D6D">
      <w:pPr>
        <w:pStyle w:val="Caption"/>
      </w:pPr>
      <w:bookmarkStart w:id="172" w:name="_Toc479941193"/>
      <w:bookmarkStart w:id="173" w:name="_Toc511132597"/>
      <w:bookmarkStart w:id="174" w:name="_Toc514430689"/>
      <w:r>
        <w:t>Figure D-</w:t>
      </w:r>
      <w:fldSimple w:instr=" SEQ Figure_D- \* ARABIC ">
        <w:r w:rsidR="002A2E30">
          <w:rPr>
            <w:noProof/>
          </w:rPr>
          <w:t>1</w:t>
        </w:r>
      </w:fldSimple>
      <w:r w:rsidR="00E838E4">
        <w:t xml:space="preserve">. </w:t>
      </w:r>
      <w:r w:rsidR="002A4ACC">
        <w:t xml:space="preserve">OSTDS locations in </w:t>
      </w:r>
      <w:bookmarkEnd w:id="172"/>
      <w:r w:rsidR="00AD60D1">
        <w:t xml:space="preserve">the </w:t>
      </w:r>
      <w:r w:rsidR="005838DA">
        <w:t>BMAP area</w:t>
      </w:r>
      <w:bookmarkEnd w:id="173"/>
      <w:bookmarkEnd w:id="174"/>
    </w:p>
    <w:p w14:paraId="41B3DC91" w14:textId="77777777" w:rsidR="00601A40" w:rsidRDefault="00601A40">
      <w:pPr>
        <w:jc w:val="left"/>
        <w:rPr>
          <w:rFonts w:ascii="Times New Roman Bold" w:hAnsi="Times New Roman Bold"/>
          <w:b/>
          <w:sz w:val="24"/>
          <w:szCs w:val="22"/>
        </w:rPr>
      </w:pPr>
      <w:r>
        <w:br w:type="page"/>
      </w:r>
    </w:p>
    <w:p w14:paraId="7408134B" w14:textId="698F4100" w:rsidR="00E838E4" w:rsidRPr="00DF25A4" w:rsidRDefault="00BF0455" w:rsidP="00E838E4">
      <w:pPr>
        <w:pStyle w:val="BodyText"/>
        <w:rPr>
          <w:b/>
          <w:sz w:val="28"/>
          <w:szCs w:val="28"/>
        </w:rPr>
      </w:pPr>
      <w:bookmarkStart w:id="175" w:name="_Toc480372156"/>
      <w:r w:rsidRPr="00DF25A4">
        <w:rPr>
          <w:b/>
          <w:sz w:val="28"/>
          <w:szCs w:val="28"/>
        </w:rPr>
        <w:t>D</w:t>
      </w:r>
      <w:r w:rsidR="00E838E4" w:rsidRPr="00DF25A4">
        <w:rPr>
          <w:b/>
          <w:sz w:val="28"/>
          <w:szCs w:val="28"/>
        </w:rPr>
        <w:t>.4</w:t>
      </w:r>
      <w:r w:rsidR="00E838E4" w:rsidRPr="00DF25A4">
        <w:rPr>
          <w:b/>
          <w:sz w:val="28"/>
          <w:szCs w:val="28"/>
        </w:rPr>
        <w:tab/>
        <w:t>Public Education Plan</w:t>
      </w:r>
      <w:bookmarkEnd w:id="175"/>
    </w:p>
    <w:p w14:paraId="18482F1A" w14:textId="5516BCCD" w:rsidR="00D67294" w:rsidRDefault="00D67294" w:rsidP="006C6B82">
      <w:pPr>
        <w:pStyle w:val="BodyText"/>
      </w:pPr>
      <w:r>
        <w:t xml:space="preserve">DEP and FDOH will develop and disseminate educational material focused </w:t>
      </w:r>
      <w:r w:rsidR="00432029">
        <w:t xml:space="preserve">on </w:t>
      </w:r>
      <w:r w:rsidR="007C132E">
        <w:t xml:space="preserve">homeowners </w:t>
      </w:r>
      <w:r>
        <w:t xml:space="preserve">and guidance for builders and septic </w:t>
      </w:r>
      <w:r w:rsidR="00432029">
        <w:t>system</w:t>
      </w:r>
      <w:r>
        <w:t xml:space="preserve"> contracto</w:t>
      </w:r>
      <w:r w:rsidR="00DB0F6B">
        <w:t>rs</w:t>
      </w:r>
      <w:r w:rsidR="0040678F">
        <w:t>.</w:t>
      </w:r>
      <w:r w:rsidR="00DB0F6B">
        <w:t xml:space="preserve"> The materials will identify </w:t>
      </w:r>
      <w:r>
        <w:t>the need for advanced, nitrogen reducing OSTDS along with the requirements for installing nitrogen reducing technologies under this OSTDS remediation plan. DEP will coordinate with industry groups such as Florida Hom</w:t>
      </w:r>
      <w:r w:rsidR="00DB0F6B">
        <w:t>e Builders Association and FOWA</w:t>
      </w:r>
      <w:r>
        <w:t>.</w:t>
      </w:r>
    </w:p>
    <w:p w14:paraId="5B71A5EE" w14:textId="5E7B431D" w:rsidR="00A30E5C" w:rsidRDefault="00D67294" w:rsidP="00A30E5C">
      <w:pPr>
        <w:pStyle w:val="BodyText"/>
      </w:pPr>
      <w:r>
        <w:t>During the development of this BMAP</w:t>
      </w:r>
      <w:r w:rsidR="00432029">
        <w:t>,</w:t>
      </w:r>
      <w:r>
        <w:t xml:space="preserve"> t</w:t>
      </w:r>
      <w:r w:rsidR="001E7C7E">
        <w:t xml:space="preserve">he following </w:t>
      </w:r>
      <w:r w:rsidR="007C6799">
        <w:t>list of steps</w:t>
      </w:r>
      <w:r>
        <w:t>, target audiences, consideration of appropriate messaging, and preparation of materials/resources were identified.</w:t>
      </w:r>
      <w:r w:rsidR="007C6799">
        <w:t xml:space="preserve"> </w:t>
      </w:r>
    </w:p>
    <w:p w14:paraId="31F790E0" w14:textId="5E93050E" w:rsidR="00A30E5C" w:rsidRDefault="00A30E5C" w:rsidP="00DF30F2">
      <w:pPr>
        <w:pStyle w:val="Bullet"/>
      </w:pPr>
      <w:r w:rsidRPr="00DF30F2">
        <w:rPr>
          <w:b/>
        </w:rPr>
        <w:t>Step 1</w:t>
      </w:r>
      <w:r>
        <w:t xml:space="preserve"> – Understand the data and issues associated with </w:t>
      </w:r>
      <w:r w:rsidR="00480266">
        <w:t>OSTDS</w:t>
      </w:r>
      <w:r>
        <w:t>.</w:t>
      </w:r>
    </w:p>
    <w:p w14:paraId="017DAD0F" w14:textId="77777777" w:rsidR="00A30E5C" w:rsidRDefault="00A30E5C" w:rsidP="00DF30F2">
      <w:pPr>
        <w:pStyle w:val="Bullet"/>
      </w:pPr>
      <w:r w:rsidRPr="00DF30F2">
        <w:rPr>
          <w:b/>
        </w:rPr>
        <w:t>Step 2</w:t>
      </w:r>
      <w:r>
        <w:t xml:space="preserve"> – Identify existing and short-term activities to address the issues.</w:t>
      </w:r>
    </w:p>
    <w:p w14:paraId="4D64B718" w14:textId="004C3583" w:rsidR="00A30E5C" w:rsidRDefault="00A30E5C" w:rsidP="00DF30F2">
      <w:pPr>
        <w:pStyle w:val="Bullet"/>
      </w:pPr>
      <w:r w:rsidRPr="00DF30F2">
        <w:rPr>
          <w:b/>
        </w:rPr>
        <w:t>Step 3</w:t>
      </w:r>
      <w:r>
        <w:t xml:space="preserve"> – Undertake a pilot project outreach and social marketing campaign</w:t>
      </w:r>
      <w:r w:rsidR="001E7C7E">
        <w:t>.</w:t>
      </w:r>
    </w:p>
    <w:p w14:paraId="2BD0F8BA" w14:textId="7F0307F7" w:rsidR="00A30E5C" w:rsidRPr="00F26678" w:rsidRDefault="00A30E5C" w:rsidP="00DF30F2">
      <w:pPr>
        <w:pStyle w:val="Bullet"/>
      </w:pPr>
      <w:r w:rsidRPr="00DF30F2">
        <w:rPr>
          <w:b/>
        </w:rPr>
        <w:t>Step 4</w:t>
      </w:r>
      <w:r>
        <w:t xml:space="preserve"> – Identify future actions for </w:t>
      </w:r>
      <w:r w:rsidR="00904994">
        <w:t>basin wide</w:t>
      </w:r>
      <w:r>
        <w:t xml:space="preserve"> implementation.</w:t>
      </w:r>
    </w:p>
    <w:p w14:paraId="47559899" w14:textId="77777777" w:rsidR="00E838E4" w:rsidRPr="00DF30F2" w:rsidRDefault="00E838E4" w:rsidP="00DF30F2">
      <w:pPr>
        <w:spacing w:after="120"/>
        <w:rPr>
          <w:b/>
          <w:i/>
          <w:szCs w:val="24"/>
        </w:rPr>
      </w:pPr>
      <w:r w:rsidRPr="00DF30F2">
        <w:rPr>
          <w:rFonts w:ascii="Times New Roman" w:hAnsi="Times New Roman"/>
          <w:b/>
          <w:i/>
          <w:sz w:val="24"/>
          <w:szCs w:val="24"/>
        </w:rPr>
        <w:t>Target Audiences</w:t>
      </w:r>
    </w:p>
    <w:p w14:paraId="39CC07D0" w14:textId="77777777" w:rsidR="00E838E4" w:rsidRDefault="00E838E4" w:rsidP="00DF30F2">
      <w:pPr>
        <w:pStyle w:val="Bullet"/>
      </w:pPr>
      <w:r>
        <w:t>Schools (bottom-up curriculum; kids to adults).</w:t>
      </w:r>
    </w:p>
    <w:p w14:paraId="6354956B" w14:textId="77777777" w:rsidR="00E838E4" w:rsidRDefault="00E838E4" w:rsidP="00DF30F2">
      <w:pPr>
        <w:pStyle w:val="Bullet"/>
      </w:pPr>
      <w:r>
        <w:t>Utilities.</w:t>
      </w:r>
    </w:p>
    <w:p w14:paraId="3EF5286D" w14:textId="77777777" w:rsidR="00E838E4" w:rsidRDefault="00E838E4" w:rsidP="00DF30F2">
      <w:pPr>
        <w:pStyle w:val="Bullet"/>
      </w:pPr>
      <w:r>
        <w:t>Builders/realtors/developers/business community.</w:t>
      </w:r>
    </w:p>
    <w:p w14:paraId="5E1CAF6B" w14:textId="77777777" w:rsidR="00E838E4" w:rsidRDefault="00E838E4" w:rsidP="00DF30F2">
      <w:pPr>
        <w:pStyle w:val="Bullet"/>
      </w:pPr>
      <w:r>
        <w:t>Residents.</w:t>
      </w:r>
    </w:p>
    <w:p w14:paraId="0D828333" w14:textId="77777777" w:rsidR="00E838E4" w:rsidRDefault="00E838E4" w:rsidP="00DF30F2">
      <w:pPr>
        <w:pStyle w:val="Bullet"/>
      </w:pPr>
      <w:r>
        <w:t>Septic system contractors.</w:t>
      </w:r>
    </w:p>
    <w:p w14:paraId="62F00182" w14:textId="77777777" w:rsidR="00E838E4" w:rsidRDefault="00E838E4" w:rsidP="00DF30F2">
      <w:pPr>
        <w:pStyle w:val="Bullet"/>
      </w:pPr>
      <w:r>
        <w:t>Septic system owners.</w:t>
      </w:r>
    </w:p>
    <w:p w14:paraId="2C76CB18" w14:textId="77777777" w:rsidR="00E838E4" w:rsidRDefault="00E838E4" w:rsidP="00DF30F2">
      <w:pPr>
        <w:pStyle w:val="Bullet"/>
      </w:pPr>
      <w:r>
        <w:t>Homeowner associations.</w:t>
      </w:r>
    </w:p>
    <w:p w14:paraId="645A1CA7" w14:textId="77777777" w:rsidR="00E838E4" w:rsidRDefault="00E838E4" w:rsidP="00DF30F2">
      <w:pPr>
        <w:pStyle w:val="Bullet"/>
      </w:pPr>
      <w:r>
        <w:t>Civic groups.</w:t>
      </w:r>
    </w:p>
    <w:p w14:paraId="700A10B3" w14:textId="77777777" w:rsidR="00E838E4" w:rsidRDefault="00E838E4" w:rsidP="00DF30F2">
      <w:pPr>
        <w:pStyle w:val="Bullet"/>
      </w:pPr>
      <w:r>
        <w:t>Local environmental groups.</w:t>
      </w:r>
    </w:p>
    <w:p w14:paraId="4D2FA1A8" w14:textId="77777777" w:rsidR="00E838E4" w:rsidRDefault="00E838E4" w:rsidP="00DF30F2">
      <w:pPr>
        <w:pStyle w:val="Bullet"/>
      </w:pPr>
      <w:r>
        <w:t>Policymakers (local, regional, and state).</w:t>
      </w:r>
    </w:p>
    <w:p w14:paraId="375982F9" w14:textId="381AD009" w:rsidR="00E838E4" w:rsidRDefault="00E838E4" w:rsidP="00DF30F2">
      <w:pPr>
        <w:pStyle w:val="Bullet"/>
      </w:pPr>
      <w:r>
        <w:t>Public officials.</w:t>
      </w:r>
    </w:p>
    <w:p w14:paraId="0002553D" w14:textId="6BF86A43" w:rsidR="00E838E4" w:rsidRPr="00DF30F2" w:rsidRDefault="00E838E4" w:rsidP="00DF30F2">
      <w:pPr>
        <w:spacing w:after="120"/>
        <w:rPr>
          <w:b/>
          <w:i/>
          <w:szCs w:val="24"/>
        </w:rPr>
      </w:pPr>
      <w:r w:rsidRPr="00DF30F2">
        <w:rPr>
          <w:rFonts w:ascii="Times New Roman" w:hAnsi="Times New Roman"/>
          <w:b/>
          <w:i/>
          <w:sz w:val="24"/>
          <w:szCs w:val="24"/>
        </w:rPr>
        <w:t>Messaging</w:t>
      </w:r>
    </w:p>
    <w:p w14:paraId="748CC346" w14:textId="77777777" w:rsidR="00E838E4" w:rsidRDefault="00E838E4" w:rsidP="00DF30F2">
      <w:pPr>
        <w:pStyle w:val="Bullet"/>
      </w:pPr>
      <w:r>
        <w:t>Convey cost of doing nothing.</w:t>
      </w:r>
    </w:p>
    <w:p w14:paraId="572C4486" w14:textId="77777777" w:rsidR="00E838E4" w:rsidRDefault="00E838E4" w:rsidP="00DF30F2">
      <w:pPr>
        <w:pStyle w:val="Bullet"/>
      </w:pPr>
      <w:r>
        <w:t>Preserving our waterways.</w:t>
      </w:r>
    </w:p>
    <w:p w14:paraId="584DA644" w14:textId="77777777" w:rsidR="00E838E4" w:rsidRDefault="00E838E4" w:rsidP="00DF30F2">
      <w:pPr>
        <w:pStyle w:val="Bullet"/>
      </w:pPr>
      <w:r>
        <w:t>Conventional septic systems provide minimal nitrogen treatment; septic system enhancement is needed.</w:t>
      </w:r>
    </w:p>
    <w:p w14:paraId="35F05386" w14:textId="77777777" w:rsidR="00E838E4" w:rsidRDefault="00E838E4" w:rsidP="00DF30F2">
      <w:pPr>
        <w:pStyle w:val="Bullet"/>
      </w:pPr>
      <w:r>
        <w:t>Septic system enhancement options.</w:t>
      </w:r>
    </w:p>
    <w:p w14:paraId="5FC106D5" w14:textId="77777777" w:rsidR="00E838E4" w:rsidRDefault="00E838E4" w:rsidP="00DF30F2">
      <w:pPr>
        <w:pStyle w:val="Bullet"/>
      </w:pPr>
      <w:r>
        <w:t>Promote springshed identity.</w:t>
      </w:r>
    </w:p>
    <w:p w14:paraId="0B2FFA57" w14:textId="77777777" w:rsidR="00E838E4" w:rsidRDefault="00E838E4" w:rsidP="00DF30F2">
      <w:pPr>
        <w:pStyle w:val="Bullet"/>
      </w:pPr>
      <w:r>
        <w:t>People need to understand water (where it comes from and where it goes).</w:t>
      </w:r>
    </w:p>
    <w:p w14:paraId="4AA390BB" w14:textId="77777777" w:rsidR="00E838E4" w:rsidRDefault="00E838E4" w:rsidP="00DF30F2">
      <w:pPr>
        <w:pStyle w:val="Bullet"/>
      </w:pPr>
      <w:r>
        <w:t>Relate septic system pollution to other successful pollution abatement.</w:t>
      </w:r>
    </w:p>
    <w:p w14:paraId="7FF42774" w14:textId="77777777" w:rsidR="00E838E4" w:rsidRDefault="00E838E4" w:rsidP="00DF30F2">
      <w:pPr>
        <w:pStyle w:val="Bullet"/>
      </w:pPr>
      <w:r>
        <w:t>Leave no trace (outdoor ethics).</w:t>
      </w:r>
    </w:p>
    <w:p w14:paraId="549A7EF5" w14:textId="77777777" w:rsidR="00E838E4" w:rsidRDefault="00E838E4" w:rsidP="00DF30F2">
      <w:pPr>
        <w:pStyle w:val="Bullet"/>
      </w:pPr>
      <w:r>
        <w:t>Establish connection between springs and septic systems.</w:t>
      </w:r>
    </w:p>
    <w:p w14:paraId="4605538C" w14:textId="77777777" w:rsidR="00E838E4" w:rsidRDefault="00E838E4" w:rsidP="00DF30F2">
      <w:pPr>
        <w:pStyle w:val="Bullet"/>
      </w:pPr>
      <w:r>
        <w:t>Your watershed/springshed. Your future. Your choice.</w:t>
      </w:r>
    </w:p>
    <w:p w14:paraId="5562F3D4" w14:textId="77777777" w:rsidR="00E838E4" w:rsidRDefault="00E838E4" w:rsidP="00DF30F2">
      <w:pPr>
        <w:pStyle w:val="Bullet"/>
      </w:pPr>
      <w:r>
        <w:t>We are all part of the problem and all part of the solution (show negative and positive contributions by people).</w:t>
      </w:r>
    </w:p>
    <w:p w14:paraId="50310147" w14:textId="488197DE" w:rsidR="00E838E4" w:rsidRDefault="00E838E4" w:rsidP="00DF30F2">
      <w:pPr>
        <w:pStyle w:val="Bullet"/>
      </w:pPr>
      <w:r>
        <w:t>Keep the message simple.</w:t>
      </w:r>
    </w:p>
    <w:p w14:paraId="030AE4E7" w14:textId="77777777" w:rsidR="00E838E4" w:rsidRPr="00DF30F2" w:rsidRDefault="00E838E4" w:rsidP="00DF30F2">
      <w:pPr>
        <w:spacing w:after="120"/>
        <w:rPr>
          <w:b/>
          <w:i/>
          <w:szCs w:val="24"/>
        </w:rPr>
      </w:pPr>
      <w:r w:rsidRPr="00DF30F2">
        <w:rPr>
          <w:rFonts w:ascii="Times New Roman" w:hAnsi="Times New Roman"/>
          <w:b/>
          <w:i/>
          <w:sz w:val="24"/>
          <w:szCs w:val="24"/>
        </w:rPr>
        <w:t>Materials/Resources</w:t>
      </w:r>
    </w:p>
    <w:p w14:paraId="53FC18CE" w14:textId="77777777" w:rsidR="00E838E4" w:rsidRDefault="00E838E4" w:rsidP="00DF30F2">
      <w:pPr>
        <w:pStyle w:val="Bullet"/>
      </w:pPr>
      <w:r>
        <w:t>FDOH public service announcements (PSAs) on septic systems.</w:t>
      </w:r>
    </w:p>
    <w:p w14:paraId="09507B19" w14:textId="77777777" w:rsidR="00E838E4" w:rsidRDefault="00E838E4" w:rsidP="00DF30F2">
      <w:pPr>
        <w:pStyle w:val="Bullet"/>
      </w:pPr>
      <w:r>
        <w:t>Florida Onsite Wastewater Association (FOWA) PSAs on septic systems.</w:t>
      </w:r>
    </w:p>
    <w:p w14:paraId="6F8F138B" w14:textId="391AE990" w:rsidR="00E838E4" w:rsidRDefault="00E838E4" w:rsidP="00DF30F2">
      <w:pPr>
        <w:pStyle w:val="Bullet"/>
      </w:pPr>
      <w:r>
        <w:t>City of Tallahassee</w:t>
      </w:r>
      <w:r w:rsidR="004C547B">
        <w:t>'</w:t>
      </w:r>
      <w:r>
        <w:t>s Think About Personal Pollution Program.</w:t>
      </w:r>
    </w:p>
    <w:p w14:paraId="5EEDB4CE" w14:textId="04A97A94" w:rsidR="00E838E4" w:rsidRPr="003564AF" w:rsidRDefault="00E838E4" w:rsidP="00DF30F2">
      <w:pPr>
        <w:pStyle w:val="Bullet"/>
      </w:pPr>
      <w:r>
        <w:t>S</w:t>
      </w:r>
      <w:r w:rsidR="001E7C7E">
        <w:t>outhwest Florida Water Management District (S</w:t>
      </w:r>
      <w:r>
        <w:t>WFWMD</w:t>
      </w:r>
      <w:r w:rsidR="001E7C7E">
        <w:t>)</w:t>
      </w:r>
      <w:r>
        <w:t xml:space="preserve"> springs education webpage.</w:t>
      </w:r>
    </w:p>
    <w:p w14:paraId="603E1FAC" w14:textId="77777777" w:rsidR="00E838E4" w:rsidRDefault="00E838E4" w:rsidP="00DF30F2">
      <w:pPr>
        <w:pStyle w:val="Bullet"/>
      </w:pPr>
      <w:r>
        <w:t>Social media.</w:t>
      </w:r>
    </w:p>
    <w:p w14:paraId="4A51E559" w14:textId="1EE4CB2A" w:rsidR="00E838E4" w:rsidRDefault="00E838E4" w:rsidP="00DF30F2">
      <w:pPr>
        <w:pStyle w:val="Bullet"/>
      </w:pPr>
      <w:r>
        <w:t xml:space="preserve">Fact sheets and </w:t>
      </w:r>
      <w:r w:rsidR="00A224AC">
        <w:t xml:space="preserve">answers to </w:t>
      </w:r>
      <w:r>
        <w:t>frequently asked questions.</w:t>
      </w:r>
    </w:p>
    <w:p w14:paraId="42D85555" w14:textId="77777777" w:rsidR="00E838E4" w:rsidRDefault="00E838E4" w:rsidP="00DF30F2">
      <w:pPr>
        <w:pStyle w:val="Bullet"/>
      </w:pPr>
      <w:r>
        <w:t>Utility bill inserts.</w:t>
      </w:r>
    </w:p>
    <w:p w14:paraId="004E7B18" w14:textId="2EC1C601" w:rsidR="00E838E4" w:rsidRDefault="00E838E4" w:rsidP="00DF30F2">
      <w:pPr>
        <w:pStyle w:val="Bullet"/>
      </w:pPr>
      <w:r>
        <w:t>Websites (local jurisdiction</w:t>
      </w:r>
      <w:r w:rsidR="00A224AC">
        <w:t>s</w:t>
      </w:r>
      <w:r>
        <w:t>).</w:t>
      </w:r>
    </w:p>
    <w:p w14:paraId="5DD4F9B2" w14:textId="77777777" w:rsidR="00E838E4" w:rsidRDefault="00E838E4" w:rsidP="00DF30F2">
      <w:pPr>
        <w:pStyle w:val="Bullet"/>
      </w:pPr>
      <w:r>
        <w:t>Local FDOH offices.</w:t>
      </w:r>
    </w:p>
    <w:p w14:paraId="4E7C016C" w14:textId="77777777" w:rsidR="00E838E4" w:rsidRDefault="00E838E4" w:rsidP="00DF30F2">
      <w:pPr>
        <w:pStyle w:val="Bullet"/>
      </w:pPr>
      <w:r>
        <w:t>Brochures and flyers.</w:t>
      </w:r>
    </w:p>
    <w:p w14:paraId="064F79B5" w14:textId="77777777" w:rsidR="00E838E4" w:rsidRDefault="00E838E4" w:rsidP="00DF30F2">
      <w:pPr>
        <w:pStyle w:val="Bullet"/>
      </w:pPr>
      <w:r>
        <w:t>Billboards.</w:t>
      </w:r>
    </w:p>
    <w:p w14:paraId="31FCD6B1" w14:textId="77777777" w:rsidR="00E838E4" w:rsidRDefault="00E838E4" w:rsidP="00DF30F2">
      <w:pPr>
        <w:pStyle w:val="Bullet"/>
      </w:pPr>
      <w:r>
        <w:t>Workshops.</w:t>
      </w:r>
    </w:p>
    <w:p w14:paraId="4BC51825" w14:textId="77777777" w:rsidR="00E838E4" w:rsidRDefault="00E838E4" w:rsidP="00DF30F2">
      <w:pPr>
        <w:pStyle w:val="Bullet"/>
      </w:pPr>
      <w:r>
        <w:t>Tool kits.</w:t>
      </w:r>
    </w:p>
    <w:p w14:paraId="0A0F9A1B" w14:textId="77777777" w:rsidR="00FD3AEE" w:rsidRDefault="00E838E4" w:rsidP="00502EA0">
      <w:pPr>
        <w:pStyle w:val="Bullet"/>
      </w:pPr>
      <w:r>
        <w:t>Television and radio commercials.</w:t>
      </w:r>
    </w:p>
    <w:p w14:paraId="13ACD110" w14:textId="77777777" w:rsidR="00FD3AEE" w:rsidRDefault="00FD3AEE" w:rsidP="00502EA0">
      <w:pPr>
        <w:pStyle w:val="Bullet"/>
        <w:sectPr w:rsidR="00FD3AEE">
          <w:pgSz w:w="12240" w:h="15840"/>
          <w:pgMar w:top="1440" w:right="1440" w:bottom="1440" w:left="1440" w:header="720" w:footer="720" w:gutter="0"/>
          <w:cols w:space="720"/>
          <w:docGrid w:linePitch="360"/>
        </w:sectPr>
      </w:pPr>
    </w:p>
    <w:p w14:paraId="24A8FDAB" w14:textId="77777777" w:rsidR="00FD3AEE" w:rsidRDefault="00FD3AEE" w:rsidP="004B636C">
      <w:pPr>
        <w:pStyle w:val="Heading2B"/>
        <w:jc w:val="left"/>
      </w:pPr>
      <w:bookmarkStart w:id="176" w:name="_Toc514677680"/>
      <w:r>
        <w:t>Appendix E. NSILT Report</w:t>
      </w:r>
      <w:bookmarkEnd w:id="176"/>
    </w:p>
    <w:p w14:paraId="1C529DD2" w14:textId="77777777" w:rsidR="00EB7C0D" w:rsidRPr="00DB197B" w:rsidRDefault="00EB7C0D" w:rsidP="00EB7C0D">
      <w:pPr>
        <w:pStyle w:val="BodyText"/>
        <w:rPr>
          <w:sz w:val="28"/>
          <w:szCs w:val="28"/>
        </w:rPr>
      </w:pPr>
      <w:r>
        <w:rPr>
          <w:b/>
          <w:sz w:val="28"/>
          <w:szCs w:val="28"/>
        </w:rPr>
        <w:t>E.1</w:t>
      </w:r>
      <w:r>
        <w:rPr>
          <w:b/>
          <w:sz w:val="28"/>
          <w:szCs w:val="28"/>
        </w:rPr>
        <w:tab/>
      </w:r>
      <w:r w:rsidRPr="00DB197B">
        <w:rPr>
          <w:b/>
          <w:sz w:val="28"/>
          <w:szCs w:val="28"/>
        </w:rPr>
        <w:t xml:space="preserve">NSILT </w:t>
      </w:r>
      <w:r>
        <w:rPr>
          <w:b/>
          <w:sz w:val="28"/>
          <w:szCs w:val="28"/>
        </w:rPr>
        <w:t>Data</w:t>
      </w:r>
    </w:p>
    <w:p w14:paraId="287D4E2B" w14:textId="77777777" w:rsidR="00EB7C0D" w:rsidRDefault="00EB7C0D" w:rsidP="00EB7C0D">
      <w:pPr>
        <w:pStyle w:val="BodyText"/>
      </w:pPr>
      <w:r>
        <w:t>An NSILT workbook was completed for the Jackson Blue Basin that delineated groundwater contributing areas for Jackson Blue Spring and Merritts Mill Pond. This technical support information identifies the data sources relied upon during NSILT development and documents the major assumptions used by DEP when applying the NSILT approach to the springshed in the Jackson Blue BMAP.</w:t>
      </w:r>
    </w:p>
    <w:p w14:paraId="6A2C8908" w14:textId="77777777" w:rsidR="00EB7C0D" w:rsidRDefault="00EB7C0D" w:rsidP="00EB7C0D">
      <w:pPr>
        <w:pStyle w:val="BodyText"/>
      </w:pPr>
      <w:r>
        <w:t xml:space="preserve">The general NSILT approach involves estimating the nitrogen load to the surface for various source categories based on land use. The NSILT subjects the surface loading to recharge and attenuation to derive the estimated load to groundwater at the top of the aquifer. The estimated load to groundwater determines the scope of reduction strategies needed in the BMAP for each source category. For additional information about the general NSILT approach, see any of the NSILT reports posted online at </w:t>
      </w:r>
      <w:r w:rsidRPr="00E04E34">
        <w:t>http://publicfiles.dep.state.fl.us/DEAR/NSILT</w:t>
      </w:r>
    </w:p>
    <w:p w14:paraId="4991E7B3" w14:textId="77777777" w:rsidR="00EB7C0D" w:rsidRPr="00773BF7" w:rsidRDefault="00EB7C0D" w:rsidP="00EB7C0D">
      <w:pPr>
        <w:pStyle w:val="BodyText"/>
        <w:rPr>
          <w:i/>
        </w:rPr>
      </w:pPr>
      <w:r>
        <w:rPr>
          <w:b/>
          <w:i/>
        </w:rPr>
        <w:t>E</w:t>
      </w:r>
      <w:r w:rsidRPr="00773BF7">
        <w:rPr>
          <w:b/>
          <w:i/>
        </w:rPr>
        <w:t>.1.1</w:t>
      </w:r>
      <w:r w:rsidRPr="00773BF7">
        <w:rPr>
          <w:b/>
          <w:i/>
        </w:rPr>
        <w:tab/>
        <w:t xml:space="preserve">General Data Inputs </w:t>
      </w:r>
    </w:p>
    <w:p w14:paraId="7D72982A" w14:textId="77777777" w:rsidR="00EB7C0D" w:rsidRPr="00F305FD" w:rsidRDefault="00EB7C0D" w:rsidP="00EB7C0D">
      <w:pPr>
        <w:pStyle w:val="BodyText"/>
        <w:spacing w:after="0"/>
        <w:rPr>
          <w:i/>
          <w:u w:val="single"/>
        </w:rPr>
      </w:pPr>
      <w:r>
        <w:rPr>
          <w:i/>
          <w:u w:val="single"/>
        </w:rPr>
        <w:t xml:space="preserve">Hydrogeology and </w:t>
      </w:r>
      <w:r w:rsidRPr="00F305FD">
        <w:rPr>
          <w:i/>
          <w:u w:val="single"/>
        </w:rPr>
        <w:t>Aquifer Recharge</w:t>
      </w:r>
    </w:p>
    <w:p w14:paraId="4CA857E4" w14:textId="164916A2" w:rsidR="00EB7C0D" w:rsidRPr="00B05E5B" w:rsidRDefault="00EB7C0D" w:rsidP="00BE5A45">
      <w:pPr>
        <w:pStyle w:val="BodyText"/>
      </w:pPr>
      <w:r w:rsidRPr="00B05E5B">
        <w:t xml:space="preserve">Within the </w:t>
      </w:r>
      <w:r>
        <w:t>Jackson Blue Spring-Merritts Mill Pond</w:t>
      </w:r>
      <w:r w:rsidRPr="00B05E5B">
        <w:t xml:space="preserve"> contributing area, there is minimal surface drainage with considerable local recharge into the UFA which is the predominant source of ground water in this area. </w:t>
      </w:r>
      <w:bookmarkStart w:id="177" w:name="_Hlk513187620"/>
      <w:r w:rsidRPr="00B05E5B">
        <w:t>Within this region of Florida, there is insufficient data quantifying recharge; therefore, soil drainage is utilized as an indicator for recharge</w:t>
      </w:r>
      <w:bookmarkEnd w:id="177"/>
      <w:r w:rsidRPr="00B05E5B">
        <w:t>. This soil data is obtained from the National Cooperative Soil Survey SSURGO dataset</w:t>
      </w:r>
      <w:r>
        <w:t>.</w:t>
      </w:r>
    </w:p>
    <w:p w14:paraId="7140A37C" w14:textId="77777777" w:rsidR="00EB7C0D" w:rsidRPr="00F305FD" w:rsidRDefault="00EB7C0D" w:rsidP="00EB7C0D">
      <w:pPr>
        <w:pStyle w:val="BodyText"/>
        <w:spacing w:after="0"/>
        <w:rPr>
          <w:i/>
        </w:rPr>
      </w:pPr>
      <w:r w:rsidRPr="00F305FD">
        <w:rPr>
          <w:i/>
          <w:u w:val="single"/>
        </w:rPr>
        <w:t>Land Use</w:t>
      </w:r>
    </w:p>
    <w:p w14:paraId="57CCCE32" w14:textId="77777777" w:rsidR="00EB7C0D" w:rsidRDefault="00EB7C0D" w:rsidP="00EB7C0D">
      <w:pPr>
        <w:pStyle w:val="BodyText"/>
      </w:pPr>
      <w:r>
        <w:t xml:space="preserve">Land use information is from NWFWMD based on the 2012 Florida Land Use Cover and Forms Classification System (FLUCCS); 2014 property appraiser data for Jackson County; 2013 Farm Service Agency (FSA)  </w:t>
      </w:r>
      <w:r w:rsidRPr="00AB7AD5">
        <w:t xml:space="preserve">aerial photography </w:t>
      </w:r>
      <w:r>
        <w:t>of crops and land</w:t>
      </w:r>
      <w:r w:rsidRPr="00AB7AD5">
        <w:t xml:space="preserve"> us</w:t>
      </w:r>
      <w:r>
        <w:t>e</w:t>
      </w:r>
      <w:r w:rsidRPr="00AB7AD5">
        <w:t xml:space="preserve"> classifications based on the FLUCCS</w:t>
      </w:r>
      <w:r>
        <w:t>; 2014 National Agricultural Statistics Service (NASS) Cropscape satellite imagery-based land use data designed to capture the 2014 growing season; and 2014 FSAID irrigated agricultural lands based on field verification for farming operations.</w:t>
      </w:r>
    </w:p>
    <w:p w14:paraId="670F41A2" w14:textId="77777777" w:rsidR="00EB7C0D" w:rsidRPr="00773BF7" w:rsidRDefault="00EB7C0D" w:rsidP="00EB7C0D">
      <w:pPr>
        <w:pStyle w:val="BodyText"/>
        <w:rPr>
          <w:i/>
        </w:rPr>
      </w:pPr>
      <w:r>
        <w:rPr>
          <w:b/>
          <w:i/>
        </w:rPr>
        <w:t>E</w:t>
      </w:r>
      <w:r w:rsidRPr="00773BF7">
        <w:rPr>
          <w:b/>
          <w:i/>
        </w:rPr>
        <w:t>.1.2</w:t>
      </w:r>
      <w:r w:rsidRPr="00773BF7">
        <w:rPr>
          <w:b/>
          <w:i/>
        </w:rPr>
        <w:tab/>
        <w:t>Land Surface Nitrogen Inputs</w:t>
      </w:r>
    </w:p>
    <w:p w14:paraId="4F55CC27" w14:textId="77777777" w:rsidR="00EB7C0D" w:rsidRPr="00F305FD" w:rsidRDefault="00EB7C0D" w:rsidP="00EB7C0D">
      <w:pPr>
        <w:pStyle w:val="BodyText"/>
        <w:spacing w:after="0"/>
        <w:rPr>
          <w:i/>
        </w:rPr>
      </w:pPr>
      <w:r w:rsidRPr="00F305FD">
        <w:rPr>
          <w:i/>
          <w:u w:val="single"/>
        </w:rPr>
        <w:t>Atmospheric Deposition</w:t>
      </w:r>
    </w:p>
    <w:p w14:paraId="2985C804" w14:textId="77777777" w:rsidR="00EB7C0D" w:rsidRPr="00C21D29" w:rsidRDefault="00EB7C0D" w:rsidP="00EB7C0D">
      <w:pPr>
        <w:pStyle w:val="BodyText"/>
      </w:pPr>
      <w:r>
        <w:t xml:space="preserve">Atmospheric deposition information is derived from the TDEP hybrid model </w:t>
      </w:r>
      <w:r w:rsidRPr="00B05E5B">
        <w:t>(Schwede and Lear 2014)</w:t>
      </w:r>
      <w:r>
        <w:rPr>
          <w:i/>
        </w:rPr>
        <w:t xml:space="preserve"> </w:t>
      </w:r>
      <w:r>
        <w:t>that inputs wet and dry monitoring network data for the U.S. and calculates an estimated TN deposition load. The data set is comprised of data from 2011 to 2013.</w:t>
      </w:r>
    </w:p>
    <w:p w14:paraId="0C56FEBF" w14:textId="77777777" w:rsidR="00EB7C0D" w:rsidRPr="00F305FD" w:rsidRDefault="00EB7C0D" w:rsidP="00EB7C0D">
      <w:pPr>
        <w:pStyle w:val="BodyText"/>
        <w:spacing w:after="0"/>
        <w:rPr>
          <w:i/>
        </w:rPr>
      </w:pPr>
      <w:r w:rsidRPr="00F305FD">
        <w:rPr>
          <w:i/>
          <w:u w:val="single"/>
        </w:rPr>
        <w:t>WWTFs</w:t>
      </w:r>
    </w:p>
    <w:p w14:paraId="0077AF32" w14:textId="77777777" w:rsidR="00EB7C0D" w:rsidRPr="00010C11" w:rsidRDefault="00EB7C0D" w:rsidP="00EB7C0D">
      <w:pPr>
        <w:pStyle w:val="BodyText"/>
        <w:rPr>
          <w:szCs w:val="24"/>
        </w:rPr>
      </w:pPr>
      <w:r>
        <w:rPr>
          <w:szCs w:val="24"/>
        </w:rPr>
        <w:t>There are no WWTFs located within the Jackson Blue BMAP groundwater contributing areas.</w:t>
      </w:r>
    </w:p>
    <w:p w14:paraId="0A88C16C" w14:textId="77777777" w:rsidR="00EB7C0D" w:rsidRPr="00F305FD" w:rsidRDefault="00EB7C0D" w:rsidP="00EB7C0D">
      <w:pPr>
        <w:pStyle w:val="BodyText"/>
        <w:spacing w:after="0"/>
        <w:rPr>
          <w:i/>
        </w:rPr>
      </w:pPr>
      <w:r w:rsidRPr="00F305FD">
        <w:rPr>
          <w:i/>
          <w:u w:val="single"/>
        </w:rPr>
        <w:t>OSTDS</w:t>
      </w:r>
    </w:p>
    <w:p w14:paraId="3B70FED0" w14:textId="77777777" w:rsidR="00EB7C0D" w:rsidRDefault="00EB7C0D" w:rsidP="00EB7C0D">
      <w:pPr>
        <w:pStyle w:val="BodyText"/>
      </w:pPr>
      <w:r>
        <w:t>FDOH is continuously updating the OSTDS inventory for the entire state, known as the "Florida Water Management Inventory." The results of this process are used to estimate the total number of OSTDS.</w:t>
      </w:r>
    </w:p>
    <w:p w14:paraId="78EC47D7" w14:textId="77777777" w:rsidR="00EB7C0D" w:rsidRDefault="00EB7C0D" w:rsidP="00EB7C0D">
      <w:pPr>
        <w:pStyle w:val="BodyText"/>
      </w:pPr>
      <w:r>
        <w:t>The population served by the OSTDS was estimated using the 2010 U.S. Census Bureau data. Data were used to estimate the effective population and OSTDS usage. This resulted in a per capita contribution of 9.012 lb-N/yr.</w:t>
      </w:r>
    </w:p>
    <w:p w14:paraId="1B8CF633" w14:textId="77777777" w:rsidR="00EB7C0D" w:rsidRPr="00F305FD" w:rsidRDefault="00EB7C0D" w:rsidP="00EB7C0D">
      <w:pPr>
        <w:pStyle w:val="BodyText"/>
        <w:spacing w:after="0"/>
        <w:rPr>
          <w:i/>
        </w:rPr>
      </w:pPr>
      <w:r w:rsidRPr="00F305FD">
        <w:rPr>
          <w:i/>
          <w:u w:val="single"/>
        </w:rPr>
        <w:t>UTF</w:t>
      </w:r>
      <w:r>
        <w:rPr>
          <w:i/>
          <w:u w:val="single"/>
        </w:rPr>
        <w:t xml:space="preserve"> (including STF)</w:t>
      </w:r>
    </w:p>
    <w:p w14:paraId="09CDB602" w14:textId="77777777" w:rsidR="00EB7C0D" w:rsidRDefault="00EB7C0D" w:rsidP="00EB7C0D">
      <w:pPr>
        <w:pStyle w:val="BodyText"/>
        <w:rPr>
          <w:iCs/>
        </w:rPr>
      </w:pPr>
      <w:r w:rsidRPr="006F72F8">
        <w:rPr>
          <w:iCs/>
        </w:rPr>
        <w:t xml:space="preserve">Nitrogen in fertilizer used in urban areas was assumed to be applied mostly to golf courses and residential lawns. </w:t>
      </w:r>
      <w:r>
        <w:rPr>
          <w:iCs/>
        </w:rPr>
        <w:t>UTF inputs in the groundwater contributing areas were estimated using fertili</w:t>
      </w:r>
      <w:r w:rsidRPr="006F72F8">
        <w:rPr>
          <w:iCs/>
        </w:rPr>
        <w:t xml:space="preserve">zer sales data compiled by </w:t>
      </w:r>
      <w:r>
        <w:rPr>
          <w:iCs/>
        </w:rPr>
        <w:t>FDACS. It was</w:t>
      </w:r>
      <w:r w:rsidRPr="006F72F8">
        <w:rPr>
          <w:iCs/>
        </w:rPr>
        <w:t xml:space="preserve"> assume</w:t>
      </w:r>
      <w:r>
        <w:rPr>
          <w:iCs/>
        </w:rPr>
        <w:t>d that</w:t>
      </w:r>
      <w:r w:rsidRPr="006F72F8">
        <w:rPr>
          <w:iCs/>
        </w:rPr>
        <w:t xml:space="preserve"> the majority of the fertilizer was purchased locally and that out-of-county sales of fertilizer were not significant.</w:t>
      </w:r>
    </w:p>
    <w:p w14:paraId="33CC1609" w14:textId="77777777" w:rsidR="00EB7C0D" w:rsidRPr="000023CF" w:rsidRDefault="00EB7C0D" w:rsidP="00EB7C0D">
      <w:pPr>
        <w:pStyle w:val="BodyText"/>
      </w:pPr>
      <w:r w:rsidRPr="00B05E5B">
        <w:t xml:space="preserve">The FDACS sales reports provide data for the entire county, while only a portion of the county is included within the contributing areas. To estimate the amount of fertilizer applied just within the contributing areas, the NWFWMD land use coverage was used to provide a breakdown of the land area likely to receive urban fertilizers (residential lands, recreational facilities, and golf courses). The land areas were totaled for the entire county as well as the land areas representing soil drainage classes. These summations were used to calculate a land use percentage relative to the entire county for urban lands in the different drainage classes. These percentages were then applied to the total fertilizers sold for urban uses. </w:t>
      </w:r>
    </w:p>
    <w:p w14:paraId="377630A9" w14:textId="77777777" w:rsidR="00EB7C0D" w:rsidRPr="009F1E99" w:rsidRDefault="00EB7C0D" w:rsidP="00EB7C0D">
      <w:pPr>
        <w:pStyle w:val="BodyText"/>
        <w:spacing w:after="0"/>
        <w:rPr>
          <w:i/>
          <w:u w:val="single"/>
        </w:rPr>
      </w:pPr>
      <w:r w:rsidRPr="009F1E99">
        <w:rPr>
          <w:i/>
          <w:u w:val="single"/>
        </w:rPr>
        <w:t>FF</w:t>
      </w:r>
    </w:p>
    <w:p w14:paraId="4C35919F" w14:textId="17A98FC1" w:rsidR="00EB7C0D" w:rsidRDefault="00EB7C0D" w:rsidP="00EB7C0D">
      <w:pPr>
        <w:pStyle w:val="BodyText"/>
        <w:spacing w:after="0"/>
      </w:pPr>
      <w:r w:rsidRPr="00B05E5B">
        <w:t>Crop acreage was identified by using a composite land use coverage comprised of data from FSAID, NWFWMD land use, NASS Cropscape, FSA, and Ja</w:t>
      </w:r>
      <w:r>
        <w:t>ckson County Property Appraiser</w:t>
      </w:r>
      <w:r w:rsidRPr="00B05E5B">
        <w:t xml:space="preserve">. Agricultural fertilizer is applied at varying rates, depending on crop type and farm practices. Estimated applications rates are based on UF-IFAS recommendations. The associated application rate was applied to the calculated acreage for the corresponding crop types by drainage area by contributing area to estimate FF input. </w:t>
      </w:r>
    </w:p>
    <w:p w14:paraId="1EE0DA47" w14:textId="77777777" w:rsidR="00EB7C0D" w:rsidRPr="00BE5A45" w:rsidRDefault="00EB7C0D" w:rsidP="00BE5A45"/>
    <w:p w14:paraId="3E204C84" w14:textId="77777777" w:rsidR="00EB7C0D" w:rsidRDefault="00EB7C0D" w:rsidP="00EB7C0D">
      <w:pPr>
        <w:pStyle w:val="BodyText"/>
        <w:spacing w:after="0"/>
      </w:pPr>
      <w:r>
        <w:rPr>
          <w:i/>
          <w:u w:val="single"/>
        </w:rPr>
        <w:t>LW</w:t>
      </w:r>
    </w:p>
    <w:p w14:paraId="1F4F9E58" w14:textId="3A05AE9B" w:rsidR="00EB7C0D" w:rsidRPr="00790286" w:rsidRDefault="00EB7C0D" w:rsidP="00EB7C0D">
      <w:pPr>
        <w:pStyle w:val="BodyText"/>
        <w:rPr>
          <w:b/>
        </w:rPr>
      </w:pPr>
      <w:r>
        <w:t>Livestock p</w:t>
      </w:r>
      <w:r w:rsidRPr="008A51D1">
        <w:t xml:space="preserve">opulation estimates were obtained through the United States Department of Agriculture (USDA) Census of Agriculture (CoA) </w:t>
      </w:r>
      <w:r>
        <w:t xml:space="preserve">2012 census report. </w:t>
      </w:r>
      <w:r w:rsidRPr="00D73918">
        <w:t xml:space="preserve">As was the case with the fertilizer sales data, CoA provides full county information and land use percentages </w:t>
      </w:r>
      <w:r>
        <w:t>were</w:t>
      </w:r>
      <w:r w:rsidRPr="00D73918">
        <w:t xml:space="preserve"> utilized to estimate the BMAP area populations. Nitrogen waste factors were assigned for each animal type and applied to the estimated livestock populations to estimate the nitrogen input to the land surface</w:t>
      </w:r>
      <w:r>
        <w:t>.</w:t>
      </w:r>
    </w:p>
    <w:p w14:paraId="4C7A6A90" w14:textId="77777777" w:rsidR="00EB7C0D" w:rsidRPr="009F1E99" w:rsidRDefault="00EB7C0D" w:rsidP="00EB7C0D">
      <w:pPr>
        <w:pStyle w:val="BodyText"/>
        <w:spacing w:after="0"/>
        <w:rPr>
          <w:i/>
          <w:u w:val="single"/>
        </w:rPr>
      </w:pPr>
      <w:r w:rsidRPr="009F1E99">
        <w:rPr>
          <w:i/>
          <w:u w:val="single"/>
        </w:rPr>
        <w:t>Estimated Nitrogen Inputs to Land Surface</w:t>
      </w:r>
    </w:p>
    <w:p w14:paraId="0F56F2ED" w14:textId="77777777" w:rsidR="00EB7C0D" w:rsidRDefault="00EB7C0D" w:rsidP="00EB7C0D">
      <w:pPr>
        <w:rPr>
          <w:rFonts w:ascii="Times New Roman" w:hAnsi="Times New Roman"/>
          <w:sz w:val="24"/>
        </w:rPr>
      </w:pPr>
      <w:r w:rsidRPr="00B05E5B">
        <w:rPr>
          <w:rFonts w:ascii="Times New Roman" w:hAnsi="Times New Roman"/>
          <w:sz w:val="24"/>
        </w:rPr>
        <w:t>The estimated input from each source category above is summed and a relative percent calculated.</w:t>
      </w:r>
    </w:p>
    <w:p w14:paraId="31E24044" w14:textId="77777777" w:rsidR="00EB7C0D" w:rsidRDefault="00EB7C0D" w:rsidP="00EB7C0D"/>
    <w:p w14:paraId="15B2350F" w14:textId="77777777" w:rsidR="00EB7C0D" w:rsidRPr="00BC1ED0" w:rsidRDefault="00EB7C0D" w:rsidP="00EB7C0D">
      <w:pPr>
        <w:pStyle w:val="BodyText"/>
        <w:rPr>
          <w:b/>
          <w:i/>
        </w:rPr>
      </w:pPr>
      <w:r>
        <w:rPr>
          <w:b/>
          <w:i/>
        </w:rPr>
        <w:t>E</w:t>
      </w:r>
      <w:r w:rsidRPr="00BC1ED0">
        <w:rPr>
          <w:b/>
          <w:i/>
        </w:rPr>
        <w:t>.1.3</w:t>
      </w:r>
      <w:r w:rsidRPr="00BC1ED0">
        <w:rPr>
          <w:b/>
          <w:i/>
        </w:rPr>
        <w:tab/>
      </w:r>
      <w:r>
        <w:rPr>
          <w:b/>
          <w:i/>
        </w:rPr>
        <w:t xml:space="preserve">Nitrogen </w:t>
      </w:r>
      <w:r w:rsidRPr="00BC1ED0">
        <w:rPr>
          <w:b/>
          <w:i/>
        </w:rPr>
        <w:t xml:space="preserve">Attenuation and </w:t>
      </w:r>
      <w:r>
        <w:rPr>
          <w:b/>
          <w:i/>
        </w:rPr>
        <w:t>Loading to Groundwater</w:t>
      </w:r>
    </w:p>
    <w:p w14:paraId="70AA3472" w14:textId="77777777" w:rsidR="00EB7C0D" w:rsidRDefault="00EB7C0D" w:rsidP="00EB7C0D">
      <w:pPr>
        <w:pStyle w:val="BodyText"/>
      </w:pPr>
      <w:r>
        <w:t>The two types of attenuation that are evaluated are biochemical attenuation factors (BAFs) and hydrogeological attenuation (recharge for each soil drainage class).</w:t>
      </w:r>
    </w:p>
    <w:p w14:paraId="4CAAFBDD" w14:textId="77777777" w:rsidR="00EB7C0D" w:rsidRPr="00F305FD" w:rsidRDefault="00EB7C0D" w:rsidP="00EB7C0D">
      <w:pPr>
        <w:pStyle w:val="BodyText"/>
        <w:spacing w:after="0"/>
        <w:rPr>
          <w:i/>
        </w:rPr>
      </w:pPr>
      <w:r w:rsidRPr="00F305FD">
        <w:rPr>
          <w:i/>
          <w:u w:val="single"/>
        </w:rPr>
        <w:t>BAFs</w:t>
      </w:r>
      <w:r>
        <w:rPr>
          <w:i/>
          <w:u w:val="single"/>
        </w:rPr>
        <w:t xml:space="preserve"> and Uncertainty Factors</w:t>
      </w:r>
    </w:p>
    <w:p w14:paraId="568D3044" w14:textId="77777777" w:rsidR="00EB7C0D" w:rsidRDefault="00EB7C0D" w:rsidP="00EB7C0D">
      <w:pPr>
        <w:pStyle w:val="BodyText"/>
      </w:pPr>
      <w:r>
        <w:t xml:space="preserve">The BAFs used to account for the processes affecting the movement of nitrogen from each source category in the subsurface are based on literature review of studies in Florida and similar areas. The BAFs in </w:t>
      </w:r>
      <w:r>
        <w:rPr>
          <w:b/>
        </w:rPr>
        <w:t>Table E</w:t>
      </w:r>
      <w:r w:rsidRPr="00010C11">
        <w:rPr>
          <w:b/>
        </w:rPr>
        <w:t>-</w:t>
      </w:r>
      <w:r>
        <w:rPr>
          <w:b/>
        </w:rPr>
        <w:t>9</w:t>
      </w:r>
      <w:r>
        <w:t xml:space="preserve"> are the result of this evaluation. The BAF is used to estimate what percent of the surface input could infiltrate to groundwater. For example, if 70 % of urban fertilizer is biologically attenuated, then the remaining 30 % could infiltrate to the groundwater. </w:t>
      </w:r>
      <w:r w:rsidRPr="00792280">
        <w:t>The environmental attenuation of nitrogen from specific sources within the categories can vary substantially, both spatially and with depth in the subsurface, and will affect the amount of nitrogen leaching to groundwater and the relative contribution of nitrogen from each source category. The range in nitrogen attenuation can result from variability in soil properties, crop types, agricultural practices, nitrogen storage, volatilization of ammonia to the atmosphere, uptake by vegetation, denitrification, and other removal processes.</w:t>
      </w:r>
    </w:p>
    <w:p w14:paraId="01817886" w14:textId="77777777" w:rsidR="00EB7C0D" w:rsidRDefault="00EB7C0D" w:rsidP="00EB7C0D">
      <w:pPr>
        <w:pStyle w:val="BodyText"/>
      </w:pPr>
      <w:r>
        <w:t xml:space="preserve">The potential range in nitrogen attenuation for each source is shown in </w:t>
      </w:r>
      <w:r>
        <w:rPr>
          <w:b/>
        </w:rPr>
        <w:t>Table E-9.</w:t>
      </w:r>
    </w:p>
    <w:p w14:paraId="5EF95BA8" w14:textId="77777777" w:rsidR="00EB7C0D" w:rsidRPr="00903C21" w:rsidRDefault="00EB7C0D" w:rsidP="00EB7C0D">
      <w:pPr>
        <w:pStyle w:val="Caption"/>
      </w:pPr>
      <w:bookmarkStart w:id="178" w:name="_Toc514430970"/>
      <w:r>
        <w:t>Table E-</w:t>
      </w:r>
      <w:fldSimple w:instr=" SEQ Table_E- \* ARABIC ">
        <w:r w:rsidR="002A2E30">
          <w:rPr>
            <w:noProof/>
          </w:rPr>
          <w:t>1</w:t>
        </w:r>
      </w:fldSimple>
      <w:r>
        <w:t>. Range of environmental attenuation of nitrogen from a detailed literature review</w:t>
      </w:r>
      <w:bookmarkEnd w:id="178"/>
    </w:p>
    <w:tbl>
      <w:tblPr>
        <w:tblStyle w:val="MediumShading1-Accent5"/>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8"/>
        <w:gridCol w:w="2107"/>
        <w:gridCol w:w="2107"/>
        <w:gridCol w:w="2108"/>
      </w:tblGrid>
      <w:tr w:rsidR="00EB7C0D" w:rsidRPr="00792280" w14:paraId="02599A58" w14:textId="77777777" w:rsidTr="00EE6C95">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76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1F3E37F7" w14:textId="77777777" w:rsidR="00EB7C0D" w:rsidRPr="00792280" w:rsidRDefault="00EB7C0D" w:rsidP="00EE6C95">
            <w:pPr>
              <w:pStyle w:val="Tabletext0"/>
              <w:rPr>
                <w:rFonts w:cs="Times New Roman"/>
                <w:color w:val="auto"/>
                <w:szCs w:val="20"/>
              </w:rPr>
            </w:pPr>
            <w:r w:rsidRPr="00792280">
              <w:rPr>
                <w:rFonts w:cs="Times New Roman"/>
                <w:color w:val="auto"/>
              </w:rPr>
              <w:t>N Source Category</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30F5CE4E" w14:textId="77777777" w:rsidR="00EB7C0D" w:rsidRPr="00792280" w:rsidRDefault="00EB7C0D" w:rsidP="00EE6C95">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Low-Level Attenuation</w:t>
            </w:r>
            <w:r>
              <w:rPr>
                <w:rFonts w:cs="Times New Roman"/>
                <w:color w:val="auto"/>
                <w:szCs w:val="18"/>
              </w:rPr>
              <w:t xml:space="preserve"> (%)</w:t>
            </w:r>
          </w:p>
        </w:tc>
        <w:tc>
          <w:tcPr>
            <w:tcW w:w="2107"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60F85C6D" w14:textId="77777777" w:rsidR="00EB7C0D" w:rsidRPr="00792280" w:rsidRDefault="00EB7C0D" w:rsidP="00EE6C95">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 xml:space="preserve">Attenuation Used </w:t>
            </w:r>
          </w:p>
          <w:p w14:paraId="32FEB67D" w14:textId="77777777" w:rsidR="00EB7C0D" w:rsidRPr="00792280" w:rsidRDefault="00EB7C0D" w:rsidP="00EE6C95">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for This Analysis</w:t>
            </w:r>
            <w:r>
              <w:rPr>
                <w:rFonts w:cs="Times New Roman"/>
                <w:color w:val="auto"/>
                <w:szCs w:val="18"/>
              </w:rPr>
              <w:t xml:space="preserve"> (%)</w:t>
            </w:r>
          </w:p>
        </w:tc>
        <w:tc>
          <w:tcPr>
            <w:tcW w:w="2108" w:type="dxa"/>
            <w:tcBorders>
              <w:top w:val="none" w:sz="0" w:space="0" w:color="auto"/>
              <w:left w:val="none" w:sz="0" w:space="0" w:color="auto"/>
              <w:bottom w:val="none" w:sz="0" w:space="0" w:color="auto"/>
              <w:right w:val="none" w:sz="0" w:space="0" w:color="auto"/>
            </w:tcBorders>
            <w:shd w:val="clear" w:color="auto" w:fill="DEEAF6" w:themeFill="accent1" w:themeFillTint="33"/>
            <w:vAlign w:val="bottom"/>
          </w:tcPr>
          <w:p w14:paraId="70AB9AAC" w14:textId="77777777" w:rsidR="00EB7C0D" w:rsidRPr="00792280" w:rsidRDefault="00EB7C0D" w:rsidP="00EE6C95">
            <w:pPr>
              <w:pStyle w:val="Tabletext0"/>
              <w:cnfStyle w:val="100000000000" w:firstRow="1" w:lastRow="0" w:firstColumn="0" w:lastColumn="0" w:oddVBand="0" w:evenVBand="0" w:oddHBand="0" w:evenHBand="0" w:firstRowFirstColumn="0" w:firstRowLastColumn="0" w:lastRowFirstColumn="0" w:lastRowLastColumn="0"/>
              <w:rPr>
                <w:rFonts w:cs="Times New Roman"/>
                <w:color w:val="auto"/>
                <w:szCs w:val="18"/>
              </w:rPr>
            </w:pPr>
            <w:r w:rsidRPr="00792280">
              <w:rPr>
                <w:rFonts w:cs="Times New Roman"/>
                <w:color w:val="auto"/>
                <w:szCs w:val="18"/>
              </w:rPr>
              <w:t>High-Level Attenuation</w:t>
            </w:r>
            <w:r>
              <w:rPr>
                <w:rFonts w:cs="Times New Roman"/>
                <w:color w:val="auto"/>
                <w:szCs w:val="18"/>
              </w:rPr>
              <w:t xml:space="preserve"> (%)</w:t>
            </w:r>
          </w:p>
        </w:tc>
      </w:tr>
      <w:tr w:rsidR="00EB7C0D" w:rsidRPr="00792280" w14:paraId="67980201" w14:textId="77777777" w:rsidTr="00EE6C95">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282DE23" w14:textId="77777777" w:rsidR="00EB7C0D" w:rsidRPr="00792280" w:rsidRDefault="00EB7C0D" w:rsidP="00EE6C95">
            <w:pPr>
              <w:pStyle w:val="Tabletext0"/>
              <w:rPr>
                <w:rFonts w:cs="Times New Roman"/>
                <w:b w:val="0"/>
                <w:szCs w:val="20"/>
              </w:rPr>
            </w:pPr>
            <w:r w:rsidRPr="00792280">
              <w:rPr>
                <w:rFonts w:cs="Times New Roman"/>
                <w:bCs/>
                <w:szCs w:val="20"/>
              </w:rPr>
              <w:t>Atmospheric Deposition</w:t>
            </w:r>
          </w:p>
        </w:tc>
        <w:tc>
          <w:tcPr>
            <w:tcW w:w="2107" w:type="dxa"/>
            <w:tcBorders>
              <w:left w:val="none" w:sz="0" w:space="0" w:color="auto"/>
              <w:right w:val="none" w:sz="0" w:space="0" w:color="auto"/>
            </w:tcBorders>
            <w:shd w:val="clear" w:color="auto" w:fill="auto"/>
            <w:vAlign w:val="center"/>
          </w:tcPr>
          <w:p w14:paraId="3190B916"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85</w:t>
            </w:r>
          </w:p>
        </w:tc>
        <w:tc>
          <w:tcPr>
            <w:tcW w:w="2107" w:type="dxa"/>
            <w:tcBorders>
              <w:left w:val="none" w:sz="0" w:space="0" w:color="auto"/>
              <w:right w:val="none" w:sz="0" w:space="0" w:color="auto"/>
            </w:tcBorders>
            <w:shd w:val="clear" w:color="auto" w:fill="auto"/>
            <w:vAlign w:val="center"/>
          </w:tcPr>
          <w:p w14:paraId="18195FB4"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90</w:t>
            </w:r>
          </w:p>
        </w:tc>
        <w:tc>
          <w:tcPr>
            <w:tcW w:w="2108" w:type="dxa"/>
            <w:tcBorders>
              <w:left w:val="none" w:sz="0" w:space="0" w:color="auto"/>
            </w:tcBorders>
            <w:shd w:val="clear" w:color="auto" w:fill="auto"/>
            <w:vAlign w:val="center"/>
          </w:tcPr>
          <w:p w14:paraId="207946A6"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95</w:t>
            </w:r>
          </w:p>
        </w:tc>
      </w:tr>
      <w:tr w:rsidR="00EB7C0D" w:rsidRPr="00792280" w14:paraId="3D8A23D4" w14:textId="77777777" w:rsidTr="00EE6C95">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D91C6F1" w14:textId="77777777" w:rsidR="00EB7C0D" w:rsidRPr="00792280" w:rsidRDefault="00EB7C0D" w:rsidP="00EE6C95">
            <w:pPr>
              <w:pStyle w:val="Tabletext0"/>
              <w:rPr>
                <w:rFonts w:cs="Times New Roman"/>
                <w:b w:val="0"/>
                <w:szCs w:val="20"/>
              </w:rPr>
            </w:pPr>
            <w:r w:rsidRPr="00792280">
              <w:rPr>
                <w:rFonts w:cs="Times New Roman"/>
                <w:bCs/>
                <w:szCs w:val="20"/>
              </w:rPr>
              <w:t>WWTFs-RIBs</w:t>
            </w:r>
          </w:p>
        </w:tc>
        <w:tc>
          <w:tcPr>
            <w:tcW w:w="2107" w:type="dxa"/>
            <w:tcBorders>
              <w:left w:val="none" w:sz="0" w:space="0" w:color="auto"/>
              <w:right w:val="none" w:sz="0" w:space="0" w:color="auto"/>
            </w:tcBorders>
            <w:shd w:val="clear" w:color="auto" w:fill="auto"/>
            <w:vAlign w:val="center"/>
          </w:tcPr>
          <w:p w14:paraId="6C89D893"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10</w:t>
            </w:r>
          </w:p>
        </w:tc>
        <w:tc>
          <w:tcPr>
            <w:tcW w:w="2107" w:type="dxa"/>
            <w:tcBorders>
              <w:left w:val="none" w:sz="0" w:space="0" w:color="auto"/>
              <w:right w:val="none" w:sz="0" w:space="0" w:color="auto"/>
            </w:tcBorders>
            <w:shd w:val="clear" w:color="auto" w:fill="auto"/>
            <w:vAlign w:val="center"/>
          </w:tcPr>
          <w:p w14:paraId="7F46751C"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25</w:t>
            </w:r>
          </w:p>
        </w:tc>
        <w:tc>
          <w:tcPr>
            <w:tcW w:w="2108" w:type="dxa"/>
            <w:tcBorders>
              <w:left w:val="none" w:sz="0" w:space="0" w:color="auto"/>
            </w:tcBorders>
            <w:shd w:val="clear" w:color="auto" w:fill="auto"/>
            <w:vAlign w:val="center"/>
          </w:tcPr>
          <w:p w14:paraId="4D07C129"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40</w:t>
            </w:r>
          </w:p>
        </w:tc>
      </w:tr>
      <w:tr w:rsidR="00EB7C0D" w:rsidRPr="00792280" w14:paraId="51C86160" w14:textId="77777777" w:rsidTr="00EE6C95">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778D3F00" w14:textId="77777777" w:rsidR="00EB7C0D" w:rsidRPr="00792280" w:rsidRDefault="00EB7C0D" w:rsidP="00EE6C95">
            <w:pPr>
              <w:pStyle w:val="Tabletext0"/>
              <w:rPr>
                <w:rFonts w:cs="Times New Roman"/>
                <w:szCs w:val="20"/>
              </w:rPr>
            </w:pPr>
            <w:r w:rsidRPr="00792280">
              <w:rPr>
                <w:rFonts w:cs="Times New Roman"/>
                <w:bCs/>
                <w:szCs w:val="20"/>
              </w:rPr>
              <w:t>WWTFs-Sprayfield</w:t>
            </w:r>
          </w:p>
        </w:tc>
        <w:tc>
          <w:tcPr>
            <w:tcW w:w="2107" w:type="dxa"/>
            <w:tcBorders>
              <w:left w:val="none" w:sz="0" w:space="0" w:color="auto"/>
              <w:right w:val="none" w:sz="0" w:space="0" w:color="auto"/>
            </w:tcBorders>
            <w:shd w:val="clear" w:color="auto" w:fill="auto"/>
            <w:vAlign w:val="center"/>
          </w:tcPr>
          <w:p w14:paraId="00B6CBAE"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7FB07C3E"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60</w:t>
            </w:r>
          </w:p>
        </w:tc>
        <w:tc>
          <w:tcPr>
            <w:tcW w:w="2108" w:type="dxa"/>
            <w:tcBorders>
              <w:left w:val="none" w:sz="0" w:space="0" w:color="auto"/>
            </w:tcBorders>
            <w:shd w:val="clear" w:color="auto" w:fill="auto"/>
            <w:vAlign w:val="center"/>
          </w:tcPr>
          <w:p w14:paraId="309B52E8"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75</w:t>
            </w:r>
          </w:p>
        </w:tc>
      </w:tr>
      <w:tr w:rsidR="00EB7C0D" w:rsidRPr="00792280" w14:paraId="7079981F" w14:textId="77777777" w:rsidTr="00EE6C95">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0F4C8A94" w14:textId="77777777" w:rsidR="00EB7C0D" w:rsidRPr="00792280" w:rsidRDefault="00EB7C0D" w:rsidP="00EE6C95">
            <w:pPr>
              <w:pStyle w:val="Tabletext0"/>
              <w:rPr>
                <w:rFonts w:cs="Times New Roman"/>
                <w:b w:val="0"/>
                <w:szCs w:val="20"/>
              </w:rPr>
            </w:pPr>
            <w:r w:rsidRPr="00792280">
              <w:rPr>
                <w:rFonts w:cs="Times New Roman"/>
                <w:bCs/>
                <w:szCs w:val="20"/>
              </w:rPr>
              <w:t xml:space="preserve">Septic </w:t>
            </w:r>
            <w:r>
              <w:rPr>
                <w:rFonts w:cs="Times New Roman"/>
                <w:bCs/>
                <w:szCs w:val="20"/>
              </w:rPr>
              <w:t>System</w:t>
            </w:r>
            <w:r w:rsidRPr="00792280">
              <w:rPr>
                <w:rFonts w:cs="Times New Roman"/>
                <w:bCs/>
                <w:szCs w:val="20"/>
              </w:rPr>
              <w:t>s</w:t>
            </w:r>
          </w:p>
        </w:tc>
        <w:tc>
          <w:tcPr>
            <w:tcW w:w="2107" w:type="dxa"/>
            <w:tcBorders>
              <w:left w:val="none" w:sz="0" w:space="0" w:color="auto"/>
              <w:right w:val="none" w:sz="0" w:space="0" w:color="auto"/>
            </w:tcBorders>
            <w:shd w:val="clear" w:color="auto" w:fill="auto"/>
            <w:vAlign w:val="center"/>
          </w:tcPr>
          <w:p w14:paraId="066CF60F"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40</w:t>
            </w:r>
          </w:p>
        </w:tc>
        <w:tc>
          <w:tcPr>
            <w:tcW w:w="2107" w:type="dxa"/>
            <w:tcBorders>
              <w:left w:val="none" w:sz="0" w:space="0" w:color="auto"/>
              <w:right w:val="none" w:sz="0" w:space="0" w:color="auto"/>
            </w:tcBorders>
            <w:shd w:val="clear" w:color="auto" w:fill="auto"/>
            <w:vAlign w:val="center"/>
          </w:tcPr>
          <w:p w14:paraId="1D2849F6"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50</w:t>
            </w:r>
          </w:p>
        </w:tc>
        <w:tc>
          <w:tcPr>
            <w:tcW w:w="2108" w:type="dxa"/>
            <w:tcBorders>
              <w:left w:val="none" w:sz="0" w:space="0" w:color="auto"/>
            </w:tcBorders>
            <w:shd w:val="clear" w:color="auto" w:fill="auto"/>
            <w:vAlign w:val="center"/>
          </w:tcPr>
          <w:p w14:paraId="2DAA11CC"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75</w:t>
            </w:r>
          </w:p>
        </w:tc>
      </w:tr>
      <w:tr w:rsidR="00EB7C0D" w:rsidRPr="00792280" w14:paraId="59527233" w14:textId="77777777" w:rsidTr="00EE6C95">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03CDD560" w14:textId="77777777" w:rsidR="00EB7C0D" w:rsidRPr="00792280" w:rsidRDefault="00EB7C0D" w:rsidP="00EE6C95">
            <w:pPr>
              <w:pStyle w:val="Tabletext0"/>
              <w:rPr>
                <w:rFonts w:cs="Times New Roman"/>
                <w:b w:val="0"/>
                <w:szCs w:val="20"/>
              </w:rPr>
            </w:pPr>
            <w:r w:rsidRPr="00792280">
              <w:rPr>
                <w:rFonts w:cs="Times New Roman"/>
                <w:bCs/>
                <w:szCs w:val="20"/>
              </w:rPr>
              <w:t>Livestock Operations</w:t>
            </w:r>
          </w:p>
        </w:tc>
        <w:tc>
          <w:tcPr>
            <w:tcW w:w="2107" w:type="dxa"/>
            <w:tcBorders>
              <w:left w:val="none" w:sz="0" w:space="0" w:color="auto"/>
              <w:right w:val="none" w:sz="0" w:space="0" w:color="auto"/>
            </w:tcBorders>
            <w:shd w:val="clear" w:color="auto" w:fill="auto"/>
            <w:vAlign w:val="center"/>
          </w:tcPr>
          <w:p w14:paraId="0A7F7DF3"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80</w:t>
            </w:r>
          </w:p>
        </w:tc>
        <w:tc>
          <w:tcPr>
            <w:tcW w:w="2107" w:type="dxa"/>
            <w:tcBorders>
              <w:left w:val="none" w:sz="0" w:space="0" w:color="auto"/>
              <w:right w:val="none" w:sz="0" w:space="0" w:color="auto"/>
            </w:tcBorders>
            <w:shd w:val="clear" w:color="auto" w:fill="auto"/>
            <w:vAlign w:val="center"/>
          </w:tcPr>
          <w:p w14:paraId="580F7DFC"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90</w:t>
            </w:r>
          </w:p>
        </w:tc>
        <w:tc>
          <w:tcPr>
            <w:tcW w:w="2108" w:type="dxa"/>
            <w:tcBorders>
              <w:left w:val="none" w:sz="0" w:space="0" w:color="auto"/>
            </w:tcBorders>
            <w:shd w:val="clear" w:color="auto" w:fill="auto"/>
            <w:vAlign w:val="center"/>
          </w:tcPr>
          <w:p w14:paraId="65611AEA"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95</w:t>
            </w:r>
          </w:p>
        </w:tc>
      </w:tr>
      <w:tr w:rsidR="00EB7C0D" w:rsidRPr="00792280" w14:paraId="5921C23C" w14:textId="77777777" w:rsidTr="00EE6C95">
        <w:trPr>
          <w:cnfStyle w:val="000000010000" w:firstRow="0" w:lastRow="0" w:firstColumn="0" w:lastColumn="0" w:oddVBand="0" w:evenVBand="0" w:oddHBand="0" w:evenHBand="1"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4AF3FDA5" w14:textId="77777777" w:rsidR="00EB7C0D" w:rsidRPr="00792280" w:rsidRDefault="00EB7C0D" w:rsidP="00EE6C95">
            <w:pPr>
              <w:pStyle w:val="Tabletext0"/>
              <w:rPr>
                <w:rFonts w:cs="Times New Roman"/>
                <w:b w:val="0"/>
                <w:szCs w:val="20"/>
                <w:vertAlign w:val="superscript"/>
              </w:rPr>
            </w:pPr>
            <w:r w:rsidRPr="00792280">
              <w:rPr>
                <w:rFonts w:cs="Times New Roman"/>
                <w:bCs/>
                <w:szCs w:val="20"/>
              </w:rPr>
              <w:t>Farm Fertilizers</w:t>
            </w:r>
          </w:p>
        </w:tc>
        <w:tc>
          <w:tcPr>
            <w:tcW w:w="2107" w:type="dxa"/>
            <w:tcBorders>
              <w:left w:val="none" w:sz="0" w:space="0" w:color="auto"/>
              <w:right w:val="none" w:sz="0" w:space="0" w:color="auto"/>
            </w:tcBorders>
            <w:shd w:val="clear" w:color="auto" w:fill="auto"/>
            <w:vAlign w:val="center"/>
          </w:tcPr>
          <w:p w14:paraId="0D568B18"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4C22DDA0"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Pr>
                <w:rFonts w:cs="Times New Roman"/>
                <w:szCs w:val="20"/>
              </w:rPr>
              <w:t>80</w:t>
            </w:r>
          </w:p>
        </w:tc>
        <w:tc>
          <w:tcPr>
            <w:tcW w:w="2108" w:type="dxa"/>
            <w:tcBorders>
              <w:left w:val="none" w:sz="0" w:space="0" w:color="auto"/>
            </w:tcBorders>
            <w:shd w:val="clear" w:color="auto" w:fill="auto"/>
            <w:vAlign w:val="center"/>
          </w:tcPr>
          <w:p w14:paraId="709D2F05" w14:textId="77777777" w:rsidR="00EB7C0D" w:rsidRPr="00792280" w:rsidRDefault="00EB7C0D" w:rsidP="00EE6C95">
            <w:pPr>
              <w:pStyle w:val="Tabletext0"/>
              <w:cnfStyle w:val="000000010000" w:firstRow="0" w:lastRow="0" w:firstColumn="0" w:lastColumn="0" w:oddVBand="0" w:evenVBand="0" w:oddHBand="0" w:evenHBand="1" w:firstRowFirstColumn="0" w:firstRowLastColumn="0" w:lastRowFirstColumn="0" w:lastRowLastColumn="0"/>
              <w:rPr>
                <w:rFonts w:cs="Times New Roman"/>
                <w:szCs w:val="20"/>
              </w:rPr>
            </w:pPr>
            <w:r>
              <w:rPr>
                <w:rFonts w:cs="Times New Roman"/>
                <w:szCs w:val="20"/>
              </w:rPr>
              <w:t>85</w:t>
            </w:r>
          </w:p>
        </w:tc>
      </w:tr>
      <w:tr w:rsidR="00EB7C0D" w:rsidRPr="00792280" w14:paraId="74BD1CBD" w14:textId="77777777" w:rsidTr="00EE6C95">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768" w:type="dxa"/>
            <w:tcBorders>
              <w:right w:val="none" w:sz="0" w:space="0" w:color="auto"/>
            </w:tcBorders>
            <w:shd w:val="clear" w:color="auto" w:fill="auto"/>
            <w:vAlign w:val="center"/>
          </w:tcPr>
          <w:p w14:paraId="7F255587" w14:textId="77777777" w:rsidR="00EB7C0D" w:rsidRPr="00792280" w:rsidRDefault="00EB7C0D" w:rsidP="00EE6C95">
            <w:pPr>
              <w:pStyle w:val="Tabletext0"/>
              <w:rPr>
                <w:rFonts w:cs="Times New Roman"/>
                <w:b w:val="0"/>
                <w:szCs w:val="20"/>
              </w:rPr>
            </w:pPr>
            <w:r w:rsidRPr="00792280">
              <w:rPr>
                <w:rFonts w:cs="Times New Roman"/>
                <w:bCs/>
                <w:szCs w:val="20"/>
              </w:rPr>
              <w:t>Urban Fertilizers</w:t>
            </w:r>
          </w:p>
        </w:tc>
        <w:tc>
          <w:tcPr>
            <w:tcW w:w="2107" w:type="dxa"/>
            <w:tcBorders>
              <w:left w:val="none" w:sz="0" w:space="0" w:color="auto"/>
              <w:right w:val="none" w:sz="0" w:space="0" w:color="auto"/>
            </w:tcBorders>
            <w:shd w:val="clear" w:color="auto" w:fill="auto"/>
            <w:vAlign w:val="center"/>
          </w:tcPr>
          <w:p w14:paraId="564F2529"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50</w:t>
            </w:r>
          </w:p>
        </w:tc>
        <w:tc>
          <w:tcPr>
            <w:tcW w:w="2107" w:type="dxa"/>
            <w:tcBorders>
              <w:left w:val="none" w:sz="0" w:space="0" w:color="auto"/>
              <w:right w:val="none" w:sz="0" w:space="0" w:color="auto"/>
            </w:tcBorders>
            <w:shd w:val="clear" w:color="auto" w:fill="auto"/>
            <w:vAlign w:val="center"/>
          </w:tcPr>
          <w:p w14:paraId="35517F52"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Pr>
                <w:rFonts w:cs="Times New Roman"/>
                <w:szCs w:val="20"/>
              </w:rPr>
              <w:t>70</w:t>
            </w:r>
          </w:p>
        </w:tc>
        <w:tc>
          <w:tcPr>
            <w:tcW w:w="2108" w:type="dxa"/>
            <w:tcBorders>
              <w:left w:val="none" w:sz="0" w:space="0" w:color="auto"/>
            </w:tcBorders>
            <w:shd w:val="clear" w:color="auto" w:fill="auto"/>
            <w:vAlign w:val="center"/>
          </w:tcPr>
          <w:p w14:paraId="128E3612" w14:textId="77777777" w:rsidR="00EB7C0D" w:rsidRPr="00792280" w:rsidRDefault="00EB7C0D" w:rsidP="00EE6C95">
            <w:pPr>
              <w:pStyle w:val="Tabletext0"/>
              <w:cnfStyle w:val="000000100000" w:firstRow="0" w:lastRow="0" w:firstColumn="0" w:lastColumn="0" w:oddVBand="0" w:evenVBand="0" w:oddHBand="1" w:evenHBand="0" w:firstRowFirstColumn="0" w:firstRowLastColumn="0" w:lastRowFirstColumn="0" w:lastRowLastColumn="0"/>
              <w:rPr>
                <w:rFonts w:cs="Times New Roman"/>
                <w:szCs w:val="20"/>
              </w:rPr>
            </w:pPr>
            <w:r w:rsidRPr="00792280">
              <w:rPr>
                <w:rFonts w:cs="Times New Roman"/>
                <w:szCs w:val="20"/>
              </w:rPr>
              <w:t>85</w:t>
            </w:r>
          </w:p>
        </w:tc>
      </w:tr>
    </w:tbl>
    <w:p w14:paraId="16047473" w14:textId="77777777" w:rsidR="00EB7C0D" w:rsidRPr="00B05E5B" w:rsidRDefault="00EB7C0D" w:rsidP="00EB7C0D"/>
    <w:p w14:paraId="43F427EF" w14:textId="77777777" w:rsidR="00EB7C0D" w:rsidRPr="009F1E99" w:rsidRDefault="00EB7C0D" w:rsidP="00EB7C0D">
      <w:pPr>
        <w:pStyle w:val="BodyText"/>
        <w:spacing w:after="0"/>
        <w:rPr>
          <w:i/>
          <w:u w:val="single"/>
        </w:rPr>
      </w:pPr>
      <w:r w:rsidRPr="009F1E99">
        <w:rPr>
          <w:i/>
          <w:u w:val="single"/>
        </w:rPr>
        <w:t>Hydrogeological Attenuation</w:t>
      </w:r>
      <w:r>
        <w:rPr>
          <w:i/>
          <w:u w:val="single"/>
        </w:rPr>
        <w:t xml:space="preserve"> (i.e. Recharge)</w:t>
      </w:r>
    </w:p>
    <w:p w14:paraId="08ACD298" w14:textId="77777777" w:rsidR="00EB7C0D" w:rsidRPr="00B05E5B" w:rsidRDefault="00EB7C0D" w:rsidP="00EB7C0D">
      <w:pPr>
        <w:rPr>
          <w:rFonts w:ascii="Times New Roman" w:hAnsi="Times New Roman"/>
          <w:sz w:val="24"/>
        </w:rPr>
      </w:pPr>
      <w:r w:rsidRPr="00B05E5B">
        <w:rPr>
          <w:rFonts w:ascii="Times New Roman" w:hAnsi="Times New Roman"/>
          <w:sz w:val="24"/>
        </w:rPr>
        <w:t xml:space="preserve">The recharge rate for the area where the surface input is calculated is based on the </w:t>
      </w:r>
      <w:r>
        <w:rPr>
          <w:rFonts w:ascii="Times New Roman" w:hAnsi="Times New Roman"/>
          <w:sz w:val="24"/>
        </w:rPr>
        <w:t>soil drainage</w:t>
      </w:r>
      <w:r w:rsidRPr="00B05E5B">
        <w:rPr>
          <w:rFonts w:ascii="Times New Roman" w:hAnsi="Times New Roman"/>
          <w:sz w:val="24"/>
        </w:rPr>
        <w:t xml:space="preserve"> map previously described. To account for variations in recharge rates to the UFA, non-attenuated nitrogen inputs in </w:t>
      </w:r>
      <w:r>
        <w:rPr>
          <w:rFonts w:ascii="Times New Roman" w:hAnsi="Times New Roman"/>
          <w:sz w:val="24"/>
        </w:rPr>
        <w:t>well drained</w:t>
      </w:r>
      <w:r w:rsidRPr="00B05E5B">
        <w:rPr>
          <w:rFonts w:ascii="Times New Roman" w:hAnsi="Times New Roman"/>
          <w:sz w:val="24"/>
        </w:rPr>
        <w:t xml:space="preserve"> recharge areas are multiplied by a weighting factor of 0.9, while nitrogen inputs are multipl</w:t>
      </w:r>
      <w:r>
        <w:rPr>
          <w:rFonts w:ascii="Times New Roman" w:hAnsi="Times New Roman"/>
          <w:sz w:val="24"/>
        </w:rPr>
        <w:t>ied by a weighting factor of 0.7</w:t>
      </w:r>
      <w:r w:rsidRPr="00B05E5B">
        <w:rPr>
          <w:rFonts w:ascii="Times New Roman" w:hAnsi="Times New Roman"/>
          <w:sz w:val="24"/>
        </w:rPr>
        <w:t xml:space="preserve"> for </w:t>
      </w:r>
      <w:r>
        <w:rPr>
          <w:rFonts w:ascii="Times New Roman" w:hAnsi="Times New Roman"/>
          <w:sz w:val="24"/>
        </w:rPr>
        <w:t>moderately drained</w:t>
      </w:r>
      <w:r w:rsidRPr="00B05E5B">
        <w:rPr>
          <w:rFonts w:ascii="Times New Roman" w:hAnsi="Times New Roman"/>
          <w:sz w:val="24"/>
        </w:rPr>
        <w:t xml:space="preserve"> recharge areas and 0.1 for </w:t>
      </w:r>
      <w:r>
        <w:rPr>
          <w:rFonts w:ascii="Times New Roman" w:hAnsi="Times New Roman"/>
          <w:sz w:val="24"/>
        </w:rPr>
        <w:t>poorly drained</w:t>
      </w:r>
      <w:r w:rsidRPr="00B05E5B">
        <w:rPr>
          <w:rFonts w:ascii="Times New Roman" w:hAnsi="Times New Roman"/>
          <w:sz w:val="24"/>
        </w:rPr>
        <w:t xml:space="preserve"> recharge areas. </w:t>
      </w:r>
    </w:p>
    <w:p w14:paraId="6917D1BB" w14:textId="77777777" w:rsidR="00EB7C0D" w:rsidRPr="006D7938" w:rsidRDefault="00EB7C0D" w:rsidP="00EB7C0D">
      <w:pPr>
        <w:rPr>
          <w:szCs w:val="24"/>
        </w:rPr>
      </w:pPr>
    </w:p>
    <w:p w14:paraId="51D5DBD5" w14:textId="77777777" w:rsidR="00EB7C0D" w:rsidRPr="009F1E99" w:rsidRDefault="00EB7C0D" w:rsidP="00EB7C0D">
      <w:pPr>
        <w:pStyle w:val="BodyText"/>
        <w:spacing w:after="0"/>
        <w:rPr>
          <w:i/>
          <w:u w:val="single"/>
        </w:rPr>
      </w:pPr>
      <w:r w:rsidRPr="009F1E99">
        <w:rPr>
          <w:i/>
          <w:u w:val="single"/>
        </w:rPr>
        <w:t>Estimated Nitrogen Loads to Groundwater</w:t>
      </w:r>
    </w:p>
    <w:p w14:paraId="2DD18275" w14:textId="145F5F9C" w:rsidR="001A7787" w:rsidRDefault="00EB7C0D" w:rsidP="00EB7C0D">
      <w:pPr>
        <w:pStyle w:val="Bullet"/>
        <w:numPr>
          <w:ilvl w:val="0"/>
          <w:numId w:val="0"/>
        </w:numPr>
      </w:pPr>
      <w:r>
        <w:t>The surface inputs by source category are adjusted by applying the BAFs for the appropriate source category and location-based recharge factors to estimate the load to groundwater by source category. It is important to note that this load is estimated for the top of the aquifer. As the load interacts with the aquifer, additional factors likely modify it prior to discharge at the spring vents.</w:t>
      </w:r>
    </w:p>
    <w:p w14:paraId="052CE479" w14:textId="58B8A20C" w:rsidR="009B7C90" w:rsidRDefault="009B7C90" w:rsidP="009B7C90">
      <w:pPr>
        <w:pStyle w:val="BodyText"/>
        <w:rPr>
          <w:b/>
          <w:sz w:val="28"/>
          <w:szCs w:val="28"/>
        </w:rPr>
      </w:pPr>
      <w:r w:rsidRPr="009B7C90">
        <w:rPr>
          <w:b/>
          <w:sz w:val="28"/>
          <w:szCs w:val="28"/>
        </w:rPr>
        <w:t>E.2</w:t>
      </w:r>
      <w:r w:rsidRPr="009B7C90">
        <w:rPr>
          <w:b/>
          <w:sz w:val="28"/>
          <w:szCs w:val="28"/>
        </w:rPr>
        <w:tab/>
        <w:t>References</w:t>
      </w:r>
    </w:p>
    <w:p w14:paraId="7D7433D2" w14:textId="77777777" w:rsidR="004B636C" w:rsidRDefault="004B636C" w:rsidP="004B636C">
      <w:pPr>
        <w:pStyle w:val="Ref"/>
        <w:ind w:left="0" w:firstLine="0"/>
        <w:rPr>
          <w:sz w:val="22"/>
        </w:rPr>
      </w:pPr>
      <w:r>
        <w:rPr>
          <w:sz w:val="22"/>
        </w:rPr>
        <w:t>Schwede, D.B., and G.G. Lear. 2014. A novel hybrid approach for estimating total deposition in the United States. Atmospheric Environment 92: 207–220.</w:t>
      </w:r>
    </w:p>
    <w:p w14:paraId="6DF4F30D" w14:textId="7E31E690" w:rsidR="004B636C" w:rsidRPr="004B636C" w:rsidRDefault="004B636C" w:rsidP="004B636C">
      <w:pPr>
        <w:pStyle w:val="Ref"/>
        <w:ind w:left="0" w:firstLine="0"/>
        <w:rPr>
          <w:sz w:val="22"/>
        </w:rPr>
      </w:pPr>
      <w:r>
        <w:rPr>
          <w:rFonts w:cs="Times New Roman"/>
        </w:rPr>
        <w:t xml:space="preserve">U.S. Department of Agriculture Census of Agriculture website: </w:t>
      </w:r>
      <w:hyperlink r:id="rId26" w:history="1">
        <w:r w:rsidRPr="004B636C">
          <w:rPr>
            <w:sz w:val="22"/>
          </w:rPr>
          <w:t>https://www.agcensus.usda.gov</w:t>
        </w:r>
      </w:hyperlink>
      <w:r>
        <w:rPr>
          <w:sz w:val="22"/>
        </w:rPr>
        <w:t>.</w:t>
      </w:r>
    </w:p>
    <w:p w14:paraId="794C810C" w14:textId="77777777" w:rsidR="004B636C" w:rsidRPr="004B636C" w:rsidRDefault="004B636C" w:rsidP="004B636C">
      <w:pPr>
        <w:pStyle w:val="Ref"/>
        <w:ind w:left="0" w:firstLine="0"/>
        <w:rPr>
          <w:sz w:val="22"/>
        </w:rPr>
      </w:pPr>
    </w:p>
    <w:p w14:paraId="2645A431" w14:textId="77777777" w:rsidR="009B7C90" w:rsidRDefault="009B7C90" w:rsidP="00EB7C0D">
      <w:pPr>
        <w:pStyle w:val="Bullet"/>
        <w:numPr>
          <w:ilvl w:val="0"/>
          <w:numId w:val="0"/>
        </w:numPr>
      </w:pPr>
    </w:p>
    <w:p w14:paraId="1B07FBCD" w14:textId="77777777" w:rsidR="001F59C4" w:rsidRPr="001F59C4" w:rsidRDefault="001F59C4" w:rsidP="00BE5A45"/>
    <w:p w14:paraId="57ECD6BC" w14:textId="77777777" w:rsidR="00FD3AEE" w:rsidRDefault="00FD3AEE" w:rsidP="00FD3AEE">
      <w:pPr>
        <w:pStyle w:val="Bullet"/>
        <w:numPr>
          <w:ilvl w:val="0"/>
          <w:numId w:val="0"/>
        </w:numPr>
        <w:ind w:left="720" w:hanging="360"/>
        <w:sectPr w:rsidR="00FD3AEE">
          <w:pgSz w:w="12240" w:h="15840"/>
          <w:pgMar w:top="1440" w:right="1440" w:bottom="1440" w:left="1440" w:header="720" w:footer="720" w:gutter="0"/>
          <w:cols w:space="720"/>
          <w:docGrid w:linePitch="360"/>
        </w:sectPr>
      </w:pPr>
    </w:p>
    <w:p w14:paraId="3C796879" w14:textId="00246123" w:rsidR="001E7C7E" w:rsidRDefault="001E7C7E" w:rsidP="00790286">
      <w:pPr>
        <w:pStyle w:val="Bullet"/>
        <w:numPr>
          <w:ilvl w:val="0"/>
          <w:numId w:val="0"/>
        </w:numPr>
        <w:ind w:left="720" w:hanging="360"/>
      </w:pPr>
    </w:p>
    <w:p w14:paraId="6A37B124" w14:textId="0EAF1CE9" w:rsidR="00E838E4" w:rsidRPr="00E838E4" w:rsidRDefault="00022E34" w:rsidP="00DF25A4">
      <w:pPr>
        <w:pStyle w:val="Heading2B"/>
        <w:jc w:val="left"/>
      </w:pPr>
      <w:bookmarkStart w:id="179" w:name="_Toc514677681"/>
      <w:bookmarkEnd w:id="170"/>
      <w:r w:rsidRPr="0073086E">
        <w:t xml:space="preserve">Appendix </w:t>
      </w:r>
      <w:r w:rsidR="008D2A93">
        <w:t>F</w:t>
      </w:r>
      <w:r w:rsidR="00E838E4" w:rsidRPr="0073086E">
        <w:t>. FDACS B</w:t>
      </w:r>
      <w:r w:rsidR="00E91B1B" w:rsidRPr="0073086E">
        <w:t>MPs</w:t>
      </w:r>
      <w:bookmarkEnd w:id="179"/>
    </w:p>
    <w:p w14:paraId="74EB2B20" w14:textId="09C0B37A" w:rsidR="00E838E4" w:rsidRPr="00DF25A4" w:rsidRDefault="008D2A93" w:rsidP="00E838E4">
      <w:pPr>
        <w:pStyle w:val="BodyText"/>
        <w:rPr>
          <w:b/>
          <w:sz w:val="28"/>
          <w:szCs w:val="28"/>
        </w:rPr>
      </w:pPr>
      <w:bookmarkStart w:id="180" w:name="_Toc426464321"/>
      <w:bookmarkStart w:id="181" w:name="_Toc480372161"/>
      <w:r>
        <w:rPr>
          <w:b/>
          <w:sz w:val="28"/>
          <w:szCs w:val="28"/>
        </w:rPr>
        <w:t>F</w:t>
      </w:r>
      <w:r w:rsidR="00E838E4" w:rsidRPr="00DF25A4">
        <w:rPr>
          <w:b/>
          <w:sz w:val="28"/>
          <w:szCs w:val="28"/>
        </w:rPr>
        <w:t>.1</w:t>
      </w:r>
      <w:r w:rsidR="00E838E4" w:rsidRPr="00DF25A4">
        <w:rPr>
          <w:b/>
          <w:sz w:val="28"/>
          <w:szCs w:val="28"/>
        </w:rPr>
        <w:tab/>
        <w:t>Implementation of Agricultural BMPs</w:t>
      </w:r>
      <w:bookmarkEnd w:id="180"/>
      <w:bookmarkEnd w:id="181"/>
    </w:p>
    <w:p w14:paraId="149CB99E" w14:textId="77777777" w:rsidR="0073086E" w:rsidRPr="0073086E" w:rsidRDefault="0073086E" w:rsidP="00652FC6">
      <w:pPr>
        <w:pStyle w:val="BodyText"/>
      </w:pPr>
      <w:r w:rsidRPr="0073086E">
        <w:t xml:space="preserve">Agricultural nonpoint sources in a BMAP area are required by state law (Subsection 403.067[7], F.S.) either to implement FDACS-adopted BMPs, which provides a presumption of compliance with water quality standards, or to conduct water quality monitoring prescribed by DEP or NWFWMD.  Failure either to implement BMPs or conduct monitoring may result in enforcement action by DEP.  </w:t>
      </w:r>
    </w:p>
    <w:p w14:paraId="5B899DE4" w14:textId="77777777" w:rsidR="0073086E" w:rsidRPr="0073086E" w:rsidRDefault="0073086E" w:rsidP="00652FC6">
      <w:pPr>
        <w:pStyle w:val="BodyText"/>
      </w:pPr>
      <w:r w:rsidRPr="0073086E">
        <w:t>Growers who implement BMPs may be eligible for cost-share funding from FDACS, NWFWMD, or others to defray partially the costs of implementation.  Through OAWP, the Florida Forest Service, and the Division of Aquaculture, FDACS develops, adopts, and assists producers in implementing agricultural BMPs to improve water quality and water conservation.</w:t>
      </w:r>
    </w:p>
    <w:p w14:paraId="497B1635" w14:textId="2C541B02" w:rsidR="0073086E" w:rsidRPr="0073086E" w:rsidRDefault="0073086E" w:rsidP="00652FC6">
      <w:pPr>
        <w:pStyle w:val="BodyText"/>
      </w:pPr>
      <w:r w:rsidRPr="0073086E">
        <w:t xml:space="preserve">FDACS identified potential land for enrollment in the FDACS BMP Program within the Jackson Blue Springs and Merritts Mill Pond BMAP area using the Florida Statewide Agriculture Irrigation </w:t>
      </w:r>
      <w:r w:rsidR="00EE6C95">
        <w:t>Demand</w:t>
      </w:r>
      <w:r w:rsidRPr="0073086E">
        <w:t xml:space="preserve"> (FSAID) IV geodatabase. </w:t>
      </w:r>
    </w:p>
    <w:p w14:paraId="120FDC0E" w14:textId="319CE981" w:rsidR="0073086E" w:rsidRPr="00652FC6" w:rsidRDefault="0073086E" w:rsidP="00652FC6">
      <w:pPr>
        <w:pStyle w:val="BodyText"/>
      </w:pPr>
      <w:r w:rsidRPr="00652FC6">
        <w:rPr>
          <w:b/>
        </w:rPr>
        <w:t xml:space="preserve">Table </w:t>
      </w:r>
      <w:r w:rsidR="008D2A93">
        <w:rPr>
          <w:b/>
        </w:rPr>
        <w:t>F</w:t>
      </w:r>
      <w:r w:rsidRPr="00652FC6">
        <w:rPr>
          <w:b/>
        </w:rPr>
        <w:t>-1</w:t>
      </w:r>
      <w:r w:rsidRPr="00652FC6">
        <w:t xml:space="preserve"> summarizes the land use data for agriculture in the Jackson Blue Springshed and Merritts Mill Pond Basin. Based on the FSAID IV geodatabase, the total agricultural lands within the Jackson Blue Springshed and Merritts Mill Pond Basin is 41,559 acres. </w:t>
      </w:r>
      <w:r w:rsidRPr="00250EA7">
        <w:rPr>
          <w:b/>
        </w:rPr>
        <w:t xml:space="preserve">Table </w:t>
      </w:r>
      <w:r w:rsidR="008D2A93">
        <w:rPr>
          <w:b/>
        </w:rPr>
        <w:t>F</w:t>
      </w:r>
      <w:r w:rsidRPr="00250EA7">
        <w:rPr>
          <w:b/>
        </w:rPr>
        <w:t>-2</w:t>
      </w:r>
      <w:r w:rsidRPr="00652FC6">
        <w:t xml:space="preserve"> summarizes the agricultural </w:t>
      </w:r>
      <w:r w:rsidR="00EE6C95">
        <w:t>land by crop type</w:t>
      </w:r>
      <w:r w:rsidRPr="00652FC6">
        <w:t xml:space="preserve"> that was estimated to be fertilized and </w:t>
      </w:r>
      <w:r w:rsidR="00EE6C95">
        <w:t xml:space="preserve">the </w:t>
      </w:r>
      <w:r w:rsidRPr="00652FC6">
        <w:t>corresponding acreages. The primary agricultural fertilized land use in the Jackson Blue Springshed is cropland which comprises 73</w:t>
      </w:r>
      <w:r w:rsidR="00C42DBE" w:rsidRPr="00652FC6">
        <w:t xml:space="preserve"> </w:t>
      </w:r>
      <w:r w:rsidRPr="00652FC6">
        <w:t xml:space="preserve">% of the fertilized land use in the springshed. </w:t>
      </w:r>
      <w:r w:rsidRPr="00250EA7">
        <w:rPr>
          <w:b/>
        </w:rPr>
        <w:t xml:space="preserve">Table </w:t>
      </w:r>
      <w:r w:rsidR="008D2A93">
        <w:rPr>
          <w:b/>
        </w:rPr>
        <w:t>F</w:t>
      </w:r>
      <w:r w:rsidRPr="00250EA7">
        <w:rPr>
          <w:b/>
        </w:rPr>
        <w:t xml:space="preserve">-3 </w:t>
      </w:r>
      <w:r w:rsidRPr="00652FC6">
        <w:t xml:space="preserve">provides a summary of the agricultural lands with livestock. It is important to note that some of the agricultural lands include more than one agricultural practice. </w:t>
      </w:r>
      <w:r w:rsidRPr="00163DDA">
        <w:t xml:space="preserve">   </w:t>
      </w:r>
    </w:p>
    <w:p w14:paraId="282ECF0F" w14:textId="5D43D053" w:rsidR="0073086E" w:rsidRPr="0073086E" w:rsidRDefault="0073086E" w:rsidP="00BE5A45">
      <w:pPr>
        <w:pStyle w:val="BodyText"/>
        <w:rPr>
          <w:b/>
          <w:szCs w:val="24"/>
        </w:rPr>
      </w:pPr>
      <w:r w:rsidRPr="0073086E">
        <w:rPr>
          <w:b/>
        </w:rPr>
        <w:t xml:space="preserve">Figure </w:t>
      </w:r>
      <w:r w:rsidR="008D2A93">
        <w:rPr>
          <w:b/>
        </w:rPr>
        <w:t>F</w:t>
      </w:r>
      <w:r w:rsidRPr="0073086E">
        <w:rPr>
          <w:b/>
        </w:rPr>
        <w:t>-1</w:t>
      </w:r>
      <w:r w:rsidRPr="0073086E">
        <w:t xml:space="preserve"> shows the approximate location of the agricultural lands based on the FSAID within the Jackson Blue Springshed and Merritts Mill Pond Basin.</w:t>
      </w:r>
      <w:bookmarkStart w:id="182" w:name="_Toc503356991"/>
    </w:p>
    <w:p w14:paraId="26CA2C5F" w14:textId="419D2A86" w:rsidR="0073086E" w:rsidRPr="00163DDA" w:rsidRDefault="008D2A93" w:rsidP="00790286">
      <w:pPr>
        <w:pStyle w:val="Caption"/>
      </w:pPr>
      <w:bookmarkStart w:id="183" w:name="_Toc481069347"/>
      <w:bookmarkStart w:id="184" w:name="_Toc514430976"/>
      <w:r>
        <w:t>Table F-</w:t>
      </w:r>
      <w:fldSimple w:instr=" SEQ Table_F- \* ARABIC ">
        <w:r w:rsidR="002A2E30">
          <w:rPr>
            <w:noProof/>
          </w:rPr>
          <w:t>1</w:t>
        </w:r>
      </w:fldSimple>
      <w:r w:rsidR="008941E0">
        <w:t xml:space="preserve">. </w:t>
      </w:r>
      <w:r w:rsidR="0073086E" w:rsidRPr="00163DDA">
        <w:t>Agricultural land use within the Jackson Blue Springshed</w:t>
      </w:r>
      <w:bookmarkEnd w:id="182"/>
      <w:bookmarkEnd w:id="183"/>
      <w:r w:rsidR="0073086E" w:rsidRPr="00163DDA">
        <w:t xml:space="preserve"> and</w:t>
      </w:r>
      <w:bookmarkEnd w:id="184"/>
      <w:r w:rsidR="0073086E" w:rsidRPr="00163DDA">
        <w:t xml:space="preserve"> </w:t>
      </w:r>
    </w:p>
    <w:p w14:paraId="3514FBA6" w14:textId="77777777" w:rsidR="0073086E" w:rsidRPr="00163DDA" w:rsidRDefault="0073086E" w:rsidP="00163DDA">
      <w:pPr>
        <w:pStyle w:val="Table"/>
      </w:pPr>
      <w:bookmarkStart w:id="185" w:name="_Toc511135112"/>
      <w:bookmarkStart w:id="186" w:name="_Toc511135140"/>
      <w:r w:rsidRPr="00163DDA">
        <w:t>Merritts Mill Pond Basin</w:t>
      </w:r>
      <w:bookmarkEnd w:id="185"/>
      <w:bookmarkEnd w:id="186"/>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5"/>
        <w:gridCol w:w="1350"/>
      </w:tblGrid>
      <w:tr w:rsidR="0073086E" w:rsidRPr="0073086E" w14:paraId="46C7F9EC" w14:textId="77777777" w:rsidTr="00105F91">
        <w:trPr>
          <w:trHeight w:val="278"/>
          <w:tblHeader/>
          <w:jc w:val="center"/>
        </w:trPr>
        <w:tc>
          <w:tcPr>
            <w:tcW w:w="5835" w:type="dxa"/>
            <w:shd w:val="clear" w:color="auto" w:fill="DEEAF6" w:themeFill="accent1" w:themeFillTint="33"/>
            <w:vAlign w:val="bottom"/>
          </w:tcPr>
          <w:p w14:paraId="0106DF8F"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Agricultural Nitrogen Loading Category</w:t>
            </w:r>
          </w:p>
        </w:tc>
        <w:tc>
          <w:tcPr>
            <w:tcW w:w="1350" w:type="dxa"/>
            <w:shd w:val="clear" w:color="auto" w:fill="DEEAF6" w:themeFill="accent1" w:themeFillTint="33"/>
            <w:vAlign w:val="bottom"/>
          </w:tcPr>
          <w:p w14:paraId="7FBB12AA"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Acres</w:t>
            </w:r>
          </w:p>
        </w:tc>
      </w:tr>
      <w:tr w:rsidR="0073086E" w:rsidRPr="0073086E" w14:paraId="519FA14A" w14:textId="77777777" w:rsidTr="00105F91">
        <w:trPr>
          <w:trHeight w:val="350"/>
          <w:jc w:val="center"/>
        </w:trPr>
        <w:tc>
          <w:tcPr>
            <w:tcW w:w="5835" w:type="dxa"/>
            <w:vAlign w:val="center"/>
          </w:tcPr>
          <w:p w14:paraId="00CBA2FD"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bCs/>
                <w:color w:val="000000"/>
                <w:sz w:val="20"/>
                <w:szCs w:val="24"/>
              </w:rPr>
              <w:t>Crop Fertilizer Lands only</w:t>
            </w:r>
          </w:p>
        </w:tc>
        <w:tc>
          <w:tcPr>
            <w:tcW w:w="1350" w:type="dxa"/>
            <w:vAlign w:val="center"/>
          </w:tcPr>
          <w:p w14:paraId="1F3865A1"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16,854</w:t>
            </w:r>
          </w:p>
        </w:tc>
      </w:tr>
      <w:tr w:rsidR="0073086E" w:rsidRPr="0073086E" w14:paraId="37A64781" w14:textId="77777777" w:rsidTr="00105F91">
        <w:trPr>
          <w:trHeight w:val="350"/>
          <w:jc w:val="center"/>
        </w:trPr>
        <w:tc>
          <w:tcPr>
            <w:tcW w:w="5835" w:type="dxa"/>
            <w:vAlign w:val="center"/>
          </w:tcPr>
          <w:p w14:paraId="73FB6404"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bCs/>
                <w:color w:val="000000"/>
                <w:sz w:val="20"/>
                <w:szCs w:val="24"/>
              </w:rPr>
              <w:t>Livestock Lands only</w:t>
            </w:r>
          </w:p>
        </w:tc>
        <w:tc>
          <w:tcPr>
            <w:tcW w:w="1350" w:type="dxa"/>
            <w:vAlign w:val="center"/>
          </w:tcPr>
          <w:p w14:paraId="0E38E498"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2,135</w:t>
            </w:r>
          </w:p>
        </w:tc>
      </w:tr>
      <w:tr w:rsidR="0073086E" w:rsidRPr="0073086E" w14:paraId="51FFC19D" w14:textId="77777777" w:rsidTr="00105F91">
        <w:trPr>
          <w:trHeight w:val="350"/>
          <w:jc w:val="center"/>
        </w:trPr>
        <w:tc>
          <w:tcPr>
            <w:tcW w:w="5835" w:type="dxa"/>
            <w:vAlign w:val="center"/>
          </w:tcPr>
          <w:p w14:paraId="0111E0C1"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bCs/>
                <w:color w:val="000000"/>
                <w:sz w:val="20"/>
                <w:szCs w:val="24"/>
              </w:rPr>
              <w:t xml:space="preserve">Crop Fertilizer and </w:t>
            </w:r>
            <w:r w:rsidRPr="00652FC6">
              <w:rPr>
                <w:rStyle w:val="font121"/>
                <w:szCs w:val="24"/>
              </w:rPr>
              <w:t>Livestock Lands</w:t>
            </w:r>
          </w:p>
        </w:tc>
        <w:tc>
          <w:tcPr>
            <w:tcW w:w="1350" w:type="dxa"/>
            <w:vAlign w:val="center"/>
          </w:tcPr>
          <w:p w14:paraId="25E80B21"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9,145</w:t>
            </w:r>
          </w:p>
        </w:tc>
      </w:tr>
      <w:tr w:rsidR="0073086E" w:rsidRPr="0073086E" w14:paraId="6CED36F3" w14:textId="77777777" w:rsidTr="00105F91">
        <w:trPr>
          <w:trHeight w:val="368"/>
          <w:jc w:val="center"/>
        </w:trPr>
        <w:tc>
          <w:tcPr>
            <w:tcW w:w="5835" w:type="dxa"/>
            <w:shd w:val="clear" w:color="auto" w:fill="auto"/>
            <w:vAlign w:val="center"/>
          </w:tcPr>
          <w:p w14:paraId="5BB37418"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Abandoned/Fallow/Former</w:t>
            </w:r>
          </w:p>
        </w:tc>
        <w:tc>
          <w:tcPr>
            <w:tcW w:w="1350" w:type="dxa"/>
            <w:shd w:val="clear" w:color="auto" w:fill="auto"/>
            <w:vAlign w:val="center"/>
          </w:tcPr>
          <w:p w14:paraId="0E79ACF7"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13,425</w:t>
            </w:r>
          </w:p>
        </w:tc>
      </w:tr>
      <w:tr w:rsidR="0073086E" w:rsidRPr="0073086E" w14:paraId="1C674DC7" w14:textId="77777777" w:rsidTr="00105F91">
        <w:trPr>
          <w:trHeight w:val="368"/>
          <w:jc w:val="center"/>
        </w:trPr>
        <w:tc>
          <w:tcPr>
            <w:tcW w:w="5835" w:type="dxa"/>
            <w:shd w:val="clear" w:color="auto" w:fill="FFF2CC" w:themeFill="accent4" w:themeFillTint="33"/>
            <w:vAlign w:val="center"/>
          </w:tcPr>
          <w:p w14:paraId="63620375"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Total</w:t>
            </w:r>
          </w:p>
        </w:tc>
        <w:tc>
          <w:tcPr>
            <w:tcW w:w="1350" w:type="dxa"/>
            <w:shd w:val="clear" w:color="auto" w:fill="FFF2CC" w:themeFill="accent4" w:themeFillTint="33"/>
            <w:vAlign w:val="center"/>
          </w:tcPr>
          <w:p w14:paraId="422B9105"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fldChar w:fldCharType="begin"/>
            </w:r>
            <w:r w:rsidRPr="00652FC6">
              <w:rPr>
                <w:rFonts w:ascii="Times New Roman" w:hAnsi="Times New Roman"/>
                <w:b/>
                <w:bCs/>
                <w:color w:val="000000"/>
                <w:sz w:val="20"/>
                <w:szCs w:val="24"/>
              </w:rPr>
              <w:instrText xml:space="preserve"> =SUM(ABOVE) </w:instrText>
            </w:r>
            <w:r w:rsidRPr="00652FC6">
              <w:rPr>
                <w:rFonts w:ascii="Times New Roman" w:hAnsi="Times New Roman"/>
                <w:b/>
                <w:bCs/>
                <w:color w:val="000000"/>
                <w:sz w:val="20"/>
                <w:szCs w:val="24"/>
              </w:rPr>
              <w:fldChar w:fldCharType="separate"/>
            </w:r>
            <w:r w:rsidR="002A2E30">
              <w:rPr>
                <w:rFonts w:ascii="Times New Roman" w:hAnsi="Times New Roman"/>
                <w:b/>
                <w:bCs/>
                <w:noProof/>
                <w:color w:val="000000"/>
                <w:sz w:val="20"/>
                <w:szCs w:val="24"/>
              </w:rPr>
              <w:t>41,559</w:t>
            </w:r>
            <w:r w:rsidRPr="00652FC6">
              <w:rPr>
                <w:rFonts w:ascii="Times New Roman" w:hAnsi="Times New Roman"/>
                <w:b/>
                <w:bCs/>
                <w:color w:val="000000"/>
                <w:sz w:val="20"/>
                <w:szCs w:val="24"/>
              </w:rPr>
              <w:fldChar w:fldCharType="end"/>
            </w:r>
          </w:p>
        </w:tc>
      </w:tr>
    </w:tbl>
    <w:p w14:paraId="421F806B" w14:textId="77777777" w:rsidR="0073086E" w:rsidRPr="0073086E" w:rsidRDefault="0073086E" w:rsidP="0073086E">
      <w:pPr>
        <w:rPr>
          <w:rFonts w:ascii="Times New Roman" w:hAnsi="Times New Roman"/>
          <w:sz w:val="24"/>
          <w:szCs w:val="24"/>
        </w:rPr>
      </w:pPr>
    </w:p>
    <w:p w14:paraId="4D8E5A64" w14:textId="77777777" w:rsidR="0073086E" w:rsidRPr="0073086E" w:rsidRDefault="0073086E" w:rsidP="0073086E">
      <w:pPr>
        <w:pStyle w:val="Table"/>
        <w:rPr>
          <w:rFonts w:ascii="Times New Roman" w:hAnsi="Times New Roman"/>
          <w:szCs w:val="24"/>
        </w:rPr>
      </w:pPr>
      <w:bookmarkStart w:id="187" w:name="_Toc503356993"/>
    </w:p>
    <w:p w14:paraId="692EA024" w14:textId="77777777" w:rsidR="0073086E" w:rsidRPr="0073086E" w:rsidRDefault="0073086E" w:rsidP="0073086E">
      <w:pPr>
        <w:pStyle w:val="Table"/>
        <w:rPr>
          <w:rFonts w:ascii="Times New Roman" w:hAnsi="Times New Roman"/>
          <w:szCs w:val="24"/>
        </w:rPr>
      </w:pPr>
    </w:p>
    <w:p w14:paraId="3CC281E9" w14:textId="0C73FF2C" w:rsidR="0073086E" w:rsidRPr="00163DDA" w:rsidRDefault="008D2A93" w:rsidP="00790286">
      <w:pPr>
        <w:pStyle w:val="Caption"/>
      </w:pPr>
      <w:bookmarkStart w:id="188" w:name="_Toc514430977"/>
      <w:r>
        <w:t>Table F-</w:t>
      </w:r>
      <w:fldSimple w:instr=" SEQ Table_F- \* ARABIC ">
        <w:r w:rsidR="002A2E30">
          <w:rPr>
            <w:noProof/>
          </w:rPr>
          <w:t>2</w:t>
        </w:r>
      </w:fldSimple>
      <w:r w:rsidR="008941E0">
        <w:t xml:space="preserve"> </w:t>
      </w:r>
      <w:r w:rsidR="0073086E" w:rsidRPr="00163DDA">
        <w:t>Fertilized crop lands within the Jackson Blue Springshed</w:t>
      </w:r>
      <w:bookmarkEnd w:id="187"/>
      <w:r w:rsidR="0073086E" w:rsidRPr="00163DDA">
        <w:t xml:space="preserve"> and</w:t>
      </w:r>
      <w:bookmarkEnd w:id="188"/>
    </w:p>
    <w:p w14:paraId="0CFE92A7" w14:textId="77777777" w:rsidR="0073086E" w:rsidRPr="00163DDA" w:rsidRDefault="0073086E" w:rsidP="00163DDA">
      <w:pPr>
        <w:pStyle w:val="Table"/>
      </w:pPr>
      <w:r w:rsidRPr="00163DDA">
        <w:t xml:space="preserve"> </w:t>
      </w:r>
      <w:bookmarkStart w:id="189" w:name="_Toc511135113"/>
      <w:bookmarkStart w:id="190" w:name="_Toc511135141"/>
      <w:r w:rsidRPr="00163DDA">
        <w:t>Merritts Mill Pond Basin</w:t>
      </w:r>
      <w:bookmarkEnd w:id="189"/>
      <w:bookmarkEnd w:id="190"/>
      <w:r w:rsidRPr="00163DDA">
        <w:t xml:space="preserve"> </w:t>
      </w:r>
    </w:p>
    <w:tbl>
      <w:tblPr>
        <w:tblW w:w="5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710"/>
        <w:gridCol w:w="1240"/>
      </w:tblGrid>
      <w:tr w:rsidR="0073086E" w:rsidRPr="0073086E" w14:paraId="1C4875E0" w14:textId="77777777" w:rsidTr="00105F91">
        <w:trPr>
          <w:trHeight w:val="360"/>
          <w:tblHeader/>
          <w:jc w:val="center"/>
        </w:trPr>
        <w:tc>
          <w:tcPr>
            <w:tcW w:w="2965" w:type="dxa"/>
            <w:shd w:val="clear" w:color="auto" w:fill="DEEAF6" w:themeFill="accent1" w:themeFillTint="33"/>
            <w:vAlign w:val="bottom"/>
            <w:hideMark/>
          </w:tcPr>
          <w:p w14:paraId="1D4CBD54"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Crop Type</w:t>
            </w:r>
          </w:p>
        </w:tc>
        <w:tc>
          <w:tcPr>
            <w:tcW w:w="1710" w:type="dxa"/>
            <w:shd w:val="clear" w:color="auto" w:fill="DEEAF6" w:themeFill="accent1" w:themeFillTint="33"/>
            <w:vAlign w:val="bottom"/>
          </w:tcPr>
          <w:p w14:paraId="2407FCE2"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Application Rate (lbs/acre)</w:t>
            </w:r>
          </w:p>
        </w:tc>
        <w:tc>
          <w:tcPr>
            <w:tcW w:w="1240" w:type="dxa"/>
            <w:shd w:val="clear" w:color="auto" w:fill="DEEAF6" w:themeFill="accent1" w:themeFillTint="33"/>
            <w:vAlign w:val="bottom"/>
          </w:tcPr>
          <w:p w14:paraId="617D3ADF"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Acres</w:t>
            </w:r>
          </w:p>
        </w:tc>
      </w:tr>
      <w:tr w:rsidR="0073086E" w:rsidRPr="0073086E" w14:paraId="42B13770" w14:textId="77777777" w:rsidTr="00105F91">
        <w:trPr>
          <w:trHeight w:val="360"/>
          <w:jc w:val="center"/>
        </w:trPr>
        <w:tc>
          <w:tcPr>
            <w:tcW w:w="2965" w:type="dxa"/>
            <w:shd w:val="clear" w:color="auto" w:fill="auto"/>
            <w:noWrap/>
            <w:vAlign w:val="center"/>
          </w:tcPr>
          <w:p w14:paraId="22DEC554"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Corn</w:t>
            </w:r>
          </w:p>
        </w:tc>
        <w:tc>
          <w:tcPr>
            <w:tcW w:w="1710" w:type="dxa"/>
            <w:vAlign w:val="center"/>
          </w:tcPr>
          <w:p w14:paraId="5744EEC5"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210</w:t>
            </w:r>
          </w:p>
        </w:tc>
        <w:tc>
          <w:tcPr>
            <w:tcW w:w="1240" w:type="dxa"/>
            <w:vAlign w:val="center"/>
          </w:tcPr>
          <w:p w14:paraId="0A88F1CF"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757</w:t>
            </w:r>
          </w:p>
        </w:tc>
      </w:tr>
      <w:tr w:rsidR="0073086E" w:rsidRPr="0073086E" w14:paraId="3ED6F3D4" w14:textId="77777777" w:rsidTr="00105F91">
        <w:trPr>
          <w:trHeight w:val="360"/>
          <w:jc w:val="center"/>
        </w:trPr>
        <w:tc>
          <w:tcPr>
            <w:tcW w:w="2965" w:type="dxa"/>
            <w:shd w:val="clear" w:color="auto" w:fill="auto"/>
            <w:noWrap/>
            <w:vAlign w:val="center"/>
          </w:tcPr>
          <w:p w14:paraId="23A8A818"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Cotton (includes areas with crop rotation)</w:t>
            </w:r>
          </w:p>
        </w:tc>
        <w:tc>
          <w:tcPr>
            <w:tcW w:w="1710" w:type="dxa"/>
            <w:vAlign w:val="center"/>
          </w:tcPr>
          <w:p w14:paraId="1845637C"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120</w:t>
            </w:r>
          </w:p>
        </w:tc>
        <w:tc>
          <w:tcPr>
            <w:tcW w:w="1240" w:type="dxa"/>
            <w:vAlign w:val="center"/>
          </w:tcPr>
          <w:p w14:paraId="39063974"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5,668</w:t>
            </w:r>
          </w:p>
        </w:tc>
      </w:tr>
      <w:tr w:rsidR="0073086E" w:rsidRPr="0073086E" w14:paraId="098400CB" w14:textId="77777777" w:rsidTr="00105F91">
        <w:trPr>
          <w:trHeight w:val="360"/>
          <w:jc w:val="center"/>
        </w:trPr>
        <w:tc>
          <w:tcPr>
            <w:tcW w:w="2965" w:type="dxa"/>
            <w:shd w:val="clear" w:color="auto" w:fill="auto"/>
            <w:noWrap/>
            <w:vAlign w:val="center"/>
          </w:tcPr>
          <w:p w14:paraId="5754D9F1"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Cotton/Oats</w:t>
            </w:r>
          </w:p>
        </w:tc>
        <w:tc>
          <w:tcPr>
            <w:tcW w:w="1710" w:type="dxa"/>
            <w:vAlign w:val="center"/>
          </w:tcPr>
          <w:p w14:paraId="6D39C8CA"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220</w:t>
            </w:r>
          </w:p>
        </w:tc>
        <w:tc>
          <w:tcPr>
            <w:tcW w:w="1240" w:type="dxa"/>
            <w:vAlign w:val="center"/>
          </w:tcPr>
          <w:p w14:paraId="5CD8F035"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434</w:t>
            </w:r>
          </w:p>
        </w:tc>
      </w:tr>
      <w:tr w:rsidR="0073086E" w:rsidRPr="0073086E" w14:paraId="25DAE556" w14:textId="77777777" w:rsidTr="00105F91">
        <w:trPr>
          <w:trHeight w:val="360"/>
          <w:jc w:val="center"/>
        </w:trPr>
        <w:tc>
          <w:tcPr>
            <w:tcW w:w="2965" w:type="dxa"/>
            <w:shd w:val="clear" w:color="auto" w:fill="auto"/>
            <w:noWrap/>
            <w:vAlign w:val="center"/>
          </w:tcPr>
          <w:p w14:paraId="281F0F90"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Cropland and Pastureland</w:t>
            </w:r>
          </w:p>
        </w:tc>
        <w:tc>
          <w:tcPr>
            <w:tcW w:w="1710" w:type="dxa"/>
            <w:vAlign w:val="center"/>
          </w:tcPr>
          <w:p w14:paraId="4AA4DA68"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60</w:t>
            </w:r>
          </w:p>
        </w:tc>
        <w:tc>
          <w:tcPr>
            <w:tcW w:w="1240" w:type="dxa"/>
            <w:vAlign w:val="center"/>
          </w:tcPr>
          <w:p w14:paraId="315BB27B"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3,543</w:t>
            </w:r>
          </w:p>
        </w:tc>
      </w:tr>
      <w:tr w:rsidR="0073086E" w:rsidRPr="0073086E" w14:paraId="34D42727" w14:textId="77777777" w:rsidTr="00105F91">
        <w:trPr>
          <w:trHeight w:val="360"/>
          <w:jc w:val="center"/>
        </w:trPr>
        <w:tc>
          <w:tcPr>
            <w:tcW w:w="2965" w:type="dxa"/>
            <w:shd w:val="clear" w:color="auto" w:fill="auto"/>
            <w:noWrap/>
            <w:vAlign w:val="center"/>
          </w:tcPr>
          <w:p w14:paraId="599CE71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Grass/Pasture</w:t>
            </w:r>
          </w:p>
        </w:tc>
        <w:tc>
          <w:tcPr>
            <w:tcW w:w="1710" w:type="dxa"/>
            <w:vAlign w:val="center"/>
          </w:tcPr>
          <w:p w14:paraId="735B1953"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80</w:t>
            </w:r>
          </w:p>
        </w:tc>
        <w:tc>
          <w:tcPr>
            <w:tcW w:w="1240" w:type="dxa"/>
            <w:vAlign w:val="center"/>
          </w:tcPr>
          <w:p w14:paraId="08E78489"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332</w:t>
            </w:r>
          </w:p>
        </w:tc>
      </w:tr>
      <w:tr w:rsidR="0073086E" w:rsidRPr="0073086E" w14:paraId="44165E48" w14:textId="77777777" w:rsidTr="00105F91">
        <w:trPr>
          <w:trHeight w:val="360"/>
          <w:jc w:val="center"/>
        </w:trPr>
        <w:tc>
          <w:tcPr>
            <w:tcW w:w="2965" w:type="dxa"/>
            <w:shd w:val="clear" w:color="auto" w:fill="auto"/>
            <w:noWrap/>
            <w:vAlign w:val="center"/>
          </w:tcPr>
          <w:p w14:paraId="49EEE387"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Hay</w:t>
            </w:r>
          </w:p>
        </w:tc>
        <w:tc>
          <w:tcPr>
            <w:tcW w:w="1710" w:type="dxa"/>
            <w:vAlign w:val="center"/>
          </w:tcPr>
          <w:p w14:paraId="6C9B7C25"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160</w:t>
            </w:r>
          </w:p>
        </w:tc>
        <w:tc>
          <w:tcPr>
            <w:tcW w:w="1240" w:type="dxa"/>
            <w:vAlign w:val="center"/>
          </w:tcPr>
          <w:p w14:paraId="23F689EF"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3,983</w:t>
            </w:r>
          </w:p>
        </w:tc>
      </w:tr>
      <w:tr w:rsidR="0073086E" w:rsidRPr="0073086E" w14:paraId="760FB0E0" w14:textId="77777777" w:rsidTr="00105F91">
        <w:trPr>
          <w:trHeight w:val="360"/>
          <w:jc w:val="center"/>
        </w:trPr>
        <w:tc>
          <w:tcPr>
            <w:tcW w:w="2965" w:type="dxa"/>
            <w:shd w:val="clear" w:color="auto" w:fill="auto"/>
            <w:noWrap/>
            <w:vAlign w:val="center"/>
          </w:tcPr>
          <w:p w14:paraId="292BBC6F"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Improved Pasture</w:t>
            </w:r>
          </w:p>
        </w:tc>
        <w:tc>
          <w:tcPr>
            <w:tcW w:w="1710" w:type="dxa"/>
            <w:vAlign w:val="center"/>
          </w:tcPr>
          <w:p w14:paraId="0DE8C4B8"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60</w:t>
            </w:r>
          </w:p>
        </w:tc>
        <w:tc>
          <w:tcPr>
            <w:tcW w:w="1240" w:type="dxa"/>
            <w:vAlign w:val="center"/>
          </w:tcPr>
          <w:p w14:paraId="35CF8AE1"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5,602</w:t>
            </w:r>
          </w:p>
        </w:tc>
      </w:tr>
      <w:tr w:rsidR="0073086E" w:rsidRPr="0073086E" w14:paraId="5ED5012C" w14:textId="77777777" w:rsidTr="00105F91">
        <w:trPr>
          <w:trHeight w:val="360"/>
          <w:jc w:val="center"/>
        </w:trPr>
        <w:tc>
          <w:tcPr>
            <w:tcW w:w="2965" w:type="dxa"/>
            <w:shd w:val="clear" w:color="auto" w:fill="auto"/>
            <w:noWrap/>
            <w:vAlign w:val="center"/>
          </w:tcPr>
          <w:p w14:paraId="53018B18"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Ornamentals</w:t>
            </w:r>
          </w:p>
        </w:tc>
        <w:tc>
          <w:tcPr>
            <w:tcW w:w="1710" w:type="dxa"/>
            <w:vAlign w:val="center"/>
          </w:tcPr>
          <w:p w14:paraId="7D41EC29"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90</w:t>
            </w:r>
          </w:p>
        </w:tc>
        <w:tc>
          <w:tcPr>
            <w:tcW w:w="1240" w:type="dxa"/>
            <w:vAlign w:val="center"/>
          </w:tcPr>
          <w:p w14:paraId="650DD5EE"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2</w:t>
            </w:r>
          </w:p>
        </w:tc>
      </w:tr>
      <w:tr w:rsidR="0073086E" w:rsidRPr="0073086E" w14:paraId="5E3E72D3" w14:textId="77777777" w:rsidTr="00105F91">
        <w:trPr>
          <w:trHeight w:val="360"/>
          <w:jc w:val="center"/>
        </w:trPr>
        <w:tc>
          <w:tcPr>
            <w:tcW w:w="2965" w:type="dxa"/>
            <w:shd w:val="clear" w:color="auto" w:fill="auto"/>
            <w:noWrap/>
            <w:vAlign w:val="center"/>
          </w:tcPr>
          <w:p w14:paraId="2C9ADC89"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Peanuts</w:t>
            </w:r>
          </w:p>
        </w:tc>
        <w:tc>
          <w:tcPr>
            <w:tcW w:w="1710" w:type="dxa"/>
            <w:vAlign w:val="center"/>
          </w:tcPr>
          <w:p w14:paraId="4C0B4EA8"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20</w:t>
            </w:r>
          </w:p>
        </w:tc>
        <w:tc>
          <w:tcPr>
            <w:tcW w:w="1240" w:type="dxa"/>
            <w:vAlign w:val="center"/>
          </w:tcPr>
          <w:p w14:paraId="68D56988"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5,003</w:t>
            </w:r>
          </w:p>
        </w:tc>
      </w:tr>
      <w:tr w:rsidR="0073086E" w:rsidRPr="0073086E" w14:paraId="252ADEA5" w14:textId="77777777" w:rsidTr="00105F91">
        <w:trPr>
          <w:trHeight w:val="360"/>
          <w:jc w:val="center"/>
        </w:trPr>
        <w:tc>
          <w:tcPr>
            <w:tcW w:w="2965" w:type="dxa"/>
            <w:shd w:val="clear" w:color="auto" w:fill="auto"/>
            <w:noWrap/>
            <w:vAlign w:val="center"/>
          </w:tcPr>
          <w:p w14:paraId="1CC8027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Peanuts/Wheat</w:t>
            </w:r>
          </w:p>
        </w:tc>
        <w:tc>
          <w:tcPr>
            <w:tcW w:w="1710" w:type="dxa"/>
            <w:vAlign w:val="center"/>
          </w:tcPr>
          <w:p w14:paraId="40143639"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80</w:t>
            </w:r>
          </w:p>
        </w:tc>
        <w:tc>
          <w:tcPr>
            <w:tcW w:w="1240" w:type="dxa"/>
            <w:vAlign w:val="center"/>
          </w:tcPr>
          <w:p w14:paraId="6271071D"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502</w:t>
            </w:r>
          </w:p>
        </w:tc>
      </w:tr>
      <w:tr w:rsidR="0073086E" w:rsidRPr="0073086E" w14:paraId="0562F1DB" w14:textId="77777777" w:rsidTr="00105F91">
        <w:trPr>
          <w:trHeight w:val="360"/>
          <w:jc w:val="center"/>
        </w:trPr>
        <w:tc>
          <w:tcPr>
            <w:tcW w:w="2965" w:type="dxa"/>
            <w:shd w:val="clear" w:color="auto" w:fill="auto"/>
            <w:noWrap/>
            <w:vAlign w:val="center"/>
          </w:tcPr>
          <w:p w14:paraId="78AC241F"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Row Crops</w:t>
            </w:r>
          </w:p>
        </w:tc>
        <w:tc>
          <w:tcPr>
            <w:tcW w:w="1710" w:type="dxa"/>
            <w:vAlign w:val="center"/>
          </w:tcPr>
          <w:p w14:paraId="7EF2C4B3"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60</w:t>
            </w:r>
          </w:p>
        </w:tc>
        <w:tc>
          <w:tcPr>
            <w:tcW w:w="1240" w:type="dxa"/>
            <w:vAlign w:val="center"/>
          </w:tcPr>
          <w:p w14:paraId="42710894"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10,594</w:t>
            </w:r>
          </w:p>
        </w:tc>
      </w:tr>
      <w:tr w:rsidR="0073086E" w:rsidRPr="0073086E" w14:paraId="643A864F" w14:textId="77777777" w:rsidTr="00105F91">
        <w:trPr>
          <w:trHeight w:val="360"/>
          <w:jc w:val="center"/>
        </w:trPr>
        <w:tc>
          <w:tcPr>
            <w:tcW w:w="2965" w:type="dxa"/>
            <w:shd w:val="clear" w:color="auto" w:fill="auto"/>
            <w:noWrap/>
            <w:vAlign w:val="center"/>
          </w:tcPr>
          <w:p w14:paraId="3FE51B1A"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Soybeans</w:t>
            </w:r>
          </w:p>
        </w:tc>
        <w:tc>
          <w:tcPr>
            <w:tcW w:w="1710" w:type="dxa"/>
            <w:vAlign w:val="center"/>
          </w:tcPr>
          <w:p w14:paraId="534D854B"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35</w:t>
            </w:r>
          </w:p>
        </w:tc>
        <w:tc>
          <w:tcPr>
            <w:tcW w:w="1240" w:type="dxa"/>
            <w:vAlign w:val="center"/>
          </w:tcPr>
          <w:p w14:paraId="5FFF67B5"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28</w:t>
            </w:r>
          </w:p>
        </w:tc>
      </w:tr>
      <w:tr w:rsidR="0073086E" w:rsidRPr="0073086E" w14:paraId="38342AD7" w14:textId="77777777" w:rsidTr="00105F91">
        <w:trPr>
          <w:trHeight w:val="360"/>
          <w:jc w:val="center"/>
        </w:trPr>
        <w:tc>
          <w:tcPr>
            <w:tcW w:w="2965" w:type="dxa"/>
            <w:shd w:val="clear" w:color="auto" w:fill="auto"/>
            <w:noWrap/>
            <w:vAlign w:val="center"/>
          </w:tcPr>
          <w:p w14:paraId="343F72B2"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Watermelons</w:t>
            </w:r>
          </w:p>
        </w:tc>
        <w:tc>
          <w:tcPr>
            <w:tcW w:w="1710" w:type="dxa"/>
            <w:vAlign w:val="center"/>
          </w:tcPr>
          <w:p w14:paraId="011FE305"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175</w:t>
            </w:r>
          </w:p>
        </w:tc>
        <w:tc>
          <w:tcPr>
            <w:tcW w:w="1240" w:type="dxa"/>
            <w:vAlign w:val="center"/>
          </w:tcPr>
          <w:p w14:paraId="3F54EDD0"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144</w:t>
            </w:r>
          </w:p>
        </w:tc>
      </w:tr>
      <w:tr w:rsidR="0073086E" w:rsidRPr="0073086E" w14:paraId="68642810" w14:textId="77777777" w:rsidTr="00105F91">
        <w:trPr>
          <w:trHeight w:val="323"/>
          <w:jc w:val="center"/>
        </w:trPr>
        <w:tc>
          <w:tcPr>
            <w:tcW w:w="2965" w:type="dxa"/>
            <w:shd w:val="clear" w:color="auto" w:fill="FFF2CC" w:themeFill="accent4" w:themeFillTint="33"/>
            <w:noWrap/>
            <w:vAlign w:val="center"/>
          </w:tcPr>
          <w:p w14:paraId="445C5D16"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Total</w:t>
            </w:r>
          </w:p>
        </w:tc>
        <w:tc>
          <w:tcPr>
            <w:tcW w:w="1710" w:type="dxa"/>
            <w:shd w:val="clear" w:color="auto" w:fill="FFF2CC" w:themeFill="accent4" w:themeFillTint="33"/>
            <w:vAlign w:val="center"/>
          </w:tcPr>
          <w:p w14:paraId="266BECCF"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w:t>
            </w:r>
          </w:p>
        </w:tc>
        <w:tc>
          <w:tcPr>
            <w:tcW w:w="1240" w:type="dxa"/>
            <w:shd w:val="clear" w:color="auto" w:fill="FFF2CC" w:themeFill="accent4" w:themeFillTint="33"/>
            <w:vAlign w:val="center"/>
          </w:tcPr>
          <w:p w14:paraId="1568968C"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fldChar w:fldCharType="begin"/>
            </w:r>
            <w:r w:rsidRPr="00652FC6">
              <w:rPr>
                <w:rFonts w:ascii="Times New Roman" w:hAnsi="Times New Roman"/>
                <w:b/>
                <w:bCs/>
                <w:color w:val="000000"/>
                <w:sz w:val="20"/>
                <w:szCs w:val="24"/>
              </w:rPr>
              <w:instrText xml:space="preserve"> =SUM(ABOVE) </w:instrText>
            </w:r>
            <w:r w:rsidRPr="00652FC6">
              <w:rPr>
                <w:rFonts w:ascii="Times New Roman" w:hAnsi="Times New Roman"/>
                <w:b/>
                <w:bCs/>
                <w:color w:val="000000"/>
                <w:sz w:val="20"/>
                <w:szCs w:val="24"/>
              </w:rPr>
              <w:fldChar w:fldCharType="separate"/>
            </w:r>
            <w:r w:rsidR="002A2E30">
              <w:rPr>
                <w:rFonts w:ascii="Times New Roman" w:hAnsi="Times New Roman"/>
                <w:b/>
                <w:bCs/>
                <w:noProof/>
                <w:color w:val="000000"/>
                <w:sz w:val="20"/>
                <w:szCs w:val="24"/>
              </w:rPr>
              <w:t>36,592</w:t>
            </w:r>
            <w:r w:rsidRPr="00652FC6">
              <w:rPr>
                <w:rFonts w:ascii="Times New Roman" w:hAnsi="Times New Roman"/>
                <w:b/>
                <w:bCs/>
                <w:color w:val="000000"/>
                <w:sz w:val="20"/>
                <w:szCs w:val="24"/>
              </w:rPr>
              <w:fldChar w:fldCharType="end"/>
            </w:r>
          </w:p>
        </w:tc>
      </w:tr>
    </w:tbl>
    <w:p w14:paraId="75B346A0" w14:textId="0F4FBBF0" w:rsidR="0073086E" w:rsidRPr="0073086E" w:rsidRDefault="0073086E" w:rsidP="0073086E">
      <w:pPr>
        <w:spacing w:after="160" w:line="259" w:lineRule="auto"/>
        <w:rPr>
          <w:rFonts w:ascii="Times New Roman" w:hAnsi="Times New Roman"/>
          <w:b/>
          <w:sz w:val="24"/>
          <w:szCs w:val="24"/>
        </w:rPr>
      </w:pPr>
      <w:bookmarkStart w:id="191" w:name="_Toc503356995"/>
    </w:p>
    <w:p w14:paraId="79A96DB8" w14:textId="4E67793C" w:rsidR="0073086E" w:rsidRPr="008344EA" w:rsidRDefault="008D2A93" w:rsidP="00790286">
      <w:pPr>
        <w:pStyle w:val="Caption"/>
      </w:pPr>
      <w:bookmarkStart w:id="192" w:name="_Toc514430978"/>
      <w:r>
        <w:t>Table F-</w:t>
      </w:r>
      <w:fldSimple w:instr=" SEQ Table_F- \* ARABIC ">
        <w:r w:rsidR="002A2E30">
          <w:rPr>
            <w:noProof/>
          </w:rPr>
          <w:t>3</w:t>
        </w:r>
      </w:fldSimple>
      <w:r w:rsidR="008941E0">
        <w:t xml:space="preserve">. </w:t>
      </w:r>
      <w:r w:rsidR="0073086E" w:rsidRPr="008344EA">
        <w:t>Livestock lands within the Jackson Blue Springshed and</w:t>
      </w:r>
      <w:bookmarkEnd w:id="192"/>
    </w:p>
    <w:p w14:paraId="73E326F3" w14:textId="77777777" w:rsidR="0073086E" w:rsidRPr="008344EA" w:rsidRDefault="0073086E" w:rsidP="008344EA">
      <w:pPr>
        <w:pStyle w:val="Table"/>
      </w:pPr>
      <w:r w:rsidRPr="008344EA">
        <w:t xml:space="preserve"> </w:t>
      </w:r>
      <w:bookmarkStart w:id="193" w:name="_Toc511135114"/>
      <w:bookmarkStart w:id="194" w:name="_Toc511135142"/>
      <w:r w:rsidRPr="008344EA">
        <w:t>Merritts Mill Pond Basin</w:t>
      </w:r>
      <w:bookmarkEnd w:id="193"/>
      <w:bookmarkEnd w:id="194"/>
      <w:r w:rsidRPr="008344EA">
        <w:t xml:space="preserve"> </w:t>
      </w:r>
    </w:p>
    <w:tbl>
      <w:tblPr>
        <w:tblW w:w="6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1440"/>
      </w:tblGrid>
      <w:tr w:rsidR="0073086E" w:rsidRPr="0073086E" w14:paraId="7FEE73E1" w14:textId="77777777" w:rsidTr="00105F91">
        <w:trPr>
          <w:trHeight w:val="288"/>
          <w:tblHeader/>
          <w:jc w:val="center"/>
        </w:trPr>
        <w:tc>
          <w:tcPr>
            <w:tcW w:w="4620" w:type="dxa"/>
            <w:shd w:val="clear" w:color="auto" w:fill="DEEAF6" w:themeFill="accent1" w:themeFillTint="33"/>
            <w:vAlign w:val="center"/>
            <w:hideMark/>
          </w:tcPr>
          <w:bookmarkEnd w:id="191"/>
          <w:p w14:paraId="6C5A22E6"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Livestock Category</w:t>
            </w:r>
          </w:p>
        </w:tc>
        <w:tc>
          <w:tcPr>
            <w:tcW w:w="1440" w:type="dxa"/>
            <w:shd w:val="clear" w:color="auto" w:fill="DEEAF6" w:themeFill="accent1" w:themeFillTint="33"/>
            <w:vAlign w:val="center"/>
          </w:tcPr>
          <w:p w14:paraId="58F9BDA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Acres</w:t>
            </w:r>
          </w:p>
        </w:tc>
      </w:tr>
      <w:tr w:rsidR="0073086E" w:rsidRPr="0073086E" w14:paraId="23DE3536" w14:textId="77777777" w:rsidTr="00105F91">
        <w:trPr>
          <w:trHeight w:val="260"/>
          <w:jc w:val="center"/>
        </w:trPr>
        <w:tc>
          <w:tcPr>
            <w:tcW w:w="4620" w:type="dxa"/>
            <w:shd w:val="clear" w:color="auto" w:fill="auto"/>
            <w:noWrap/>
            <w:vAlign w:val="center"/>
            <w:hideMark/>
          </w:tcPr>
          <w:p w14:paraId="79E07D5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Cropland and Pastureland</w:t>
            </w:r>
          </w:p>
        </w:tc>
        <w:tc>
          <w:tcPr>
            <w:tcW w:w="1440" w:type="dxa"/>
            <w:vAlign w:val="center"/>
          </w:tcPr>
          <w:p w14:paraId="34365817"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3,542</w:t>
            </w:r>
          </w:p>
        </w:tc>
      </w:tr>
      <w:tr w:rsidR="0073086E" w:rsidRPr="0073086E" w14:paraId="2862F806" w14:textId="77777777" w:rsidTr="00105F91">
        <w:trPr>
          <w:trHeight w:val="287"/>
          <w:jc w:val="center"/>
        </w:trPr>
        <w:tc>
          <w:tcPr>
            <w:tcW w:w="4620" w:type="dxa"/>
            <w:shd w:val="clear" w:color="auto" w:fill="auto"/>
            <w:noWrap/>
            <w:vAlign w:val="center"/>
          </w:tcPr>
          <w:p w14:paraId="1EAC1DB4"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Improved Pasture</w:t>
            </w:r>
          </w:p>
        </w:tc>
        <w:tc>
          <w:tcPr>
            <w:tcW w:w="1440" w:type="dxa"/>
            <w:vAlign w:val="center"/>
          </w:tcPr>
          <w:p w14:paraId="4BFC4800"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5,602</w:t>
            </w:r>
          </w:p>
        </w:tc>
      </w:tr>
      <w:tr w:rsidR="0073086E" w:rsidRPr="0073086E" w14:paraId="61B43263" w14:textId="77777777" w:rsidTr="00105F91">
        <w:trPr>
          <w:trHeight w:val="288"/>
          <w:jc w:val="center"/>
        </w:trPr>
        <w:tc>
          <w:tcPr>
            <w:tcW w:w="4620" w:type="dxa"/>
            <w:shd w:val="clear" w:color="auto" w:fill="auto"/>
            <w:noWrap/>
            <w:vAlign w:val="center"/>
          </w:tcPr>
          <w:p w14:paraId="77D1D7B7"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Herbaceous (Dry Prairie)</w:t>
            </w:r>
          </w:p>
        </w:tc>
        <w:tc>
          <w:tcPr>
            <w:tcW w:w="1440" w:type="dxa"/>
            <w:vAlign w:val="center"/>
          </w:tcPr>
          <w:p w14:paraId="484D8A01"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170</w:t>
            </w:r>
          </w:p>
        </w:tc>
      </w:tr>
      <w:tr w:rsidR="0073086E" w:rsidRPr="0073086E" w14:paraId="62AA3269" w14:textId="77777777" w:rsidTr="00105F91">
        <w:trPr>
          <w:trHeight w:val="288"/>
          <w:jc w:val="center"/>
        </w:trPr>
        <w:tc>
          <w:tcPr>
            <w:tcW w:w="4620" w:type="dxa"/>
            <w:shd w:val="clear" w:color="auto" w:fill="auto"/>
            <w:noWrap/>
            <w:vAlign w:val="center"/>
          </w:tcPr>
          <w:p w14:paraId="58FDDAA0"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Mixed Upland Non-forested</w:t>
            </w:r>
          </w:p>
        </w:tc>
        <w:tc>
          <w:tcPr>
            <w:tcW w:w="1440" w:type="dxa"/>
            <w:vAlign w:val="center"/>
          </w:tcPr>
          <w:p w14:paraId="1DB92416"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42</w:t>
            </w:r>
          </w:p>
        </w:tc>
      </w:tr>
      <w:tr w:rsidR="0073086E" w:rsidRPr="0073086E" w14:paraId="20BAC0B0" w14:textId="77777777" w:rsidTr="00105F91">
        <w:trPr>
          <w:trHeight w:val="288"/>
          <w:jc w:val="center"/>
        </w:trPr>
        <w:tc>
          <w:tcPr>
            <w:tcW w:w="4620" w:type="dxa"/>
            <w:shd w:val="clear" w:color="auto" w:fill="auto"/>
            <w:noWrap/>
            <w:vAlign w:val="center"/>
          </w:tcPr>
          <w:p w14:paraId="365CDEDB"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Other Open Lands (Rural)</w:t>
            </w:r>
          </w:p>
        </w:tc>
        <w:tc>
          <w:tcPr>
            <w:tcW w:w="1440" w:type="dxa"/>
            <w:vAlign w:val="center"/>
          </w:tcPr>
          <w:p w14:paraId="23DE42F0"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473</w:t>
            </w:r>
          </w:p>
        </w:tc>
      </w:tr>
      <w:tr w:rsidR="0073086E" w:rsidRPr="0073086E" w14:paraId="4C126EC1" w14:textId="77777777" w:rsidTr="00105F91">
        <w:trPr>
          <w:trHeight w:val="288"/>
          <w:jc w:val="center"/>
        </w:trPr>
        <w:tc>
          <w:tcPr>
            <w:tcW w:w="4620" w:type="dxa"/>
            <w:shd w:val="clear" w:color="auto" w:fill="auto"/>
            <w:noWrap/>
            <w:vAlign w:val="center"/>
          </w:tcPr>
          <w:p w14:paraId="377EEF10"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Pasture</w:t>
            </w:r>
          </w:p>
        </w:tc>
        <w:tc>
          <w:tcPr>
            <w:tcW w:w="1440" w:type="dxa"/>
            <w:vAlign w:val="center"/>
          </w:tcPr>
          <w:p w14:paraId="1BA60B76"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52</w:t>
            </w:r>
          </w:p>
        </w:tc>
      </w:tr>
      <w:tr w:rsidR="0073086E" w:rsidRPr="0073086E" w14:paraId="5879F69D" w14:textId="77777777" w:rsidTr="00105F91">
        <w:trPr>
          <w:trHeight w:val="288"/>
          <w:jc w:val="center"/>
        </w:trPr>
        <w:tc>
          <w:tcPr>
            <w:tcW w:w="4620" w:type="dxa"/>
            <w:shd w:val="clear" w:color="auto" w:fill="auto"/>
            <w:noWrap/>
            <w:vAlign w:val="center"/>
          </w:tcPr>
          <w:p w14:paraId="7A2FC77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Unimproved Pasture</w:t>
            </w:r>
          </w:p>
        </w:tc>
        <w:tc>
          <w:tcPr>
            <w:tcW w:w="1440" w:type="dxa"/>
            <w:vAlign w:val="center"/>
          </w:tcPr>
          <w:p w14:paraId="1604FD66"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643</w:t>
            </w:r>
          </w:p>
        </w:tc>
      </w:tr>
      <w:tr w:rsidR="0073086E" w:rsidRPr="0073086E" w14:paraId="4AF0657D" w14:textId="77777777" w:rsidTr="00105F91">
        <w:trPr>
          <w:trHeight w:val="288"/>
          <w:jc w:val="center"/>
        </w:trPr>
        <w:tc>
          <w:tcPr>
            <w:tcW w:w="4620" w:type="dxa"/>
            <w:shd w:val="clear" w:color="auto" w:fill="auto"/>
            <w:noWrap/>
            <w:vAlign w:val="center"/>
            <w:hideMark/>
          </w:tcPr>
          <w:p w14:paraId="59F6C697"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Woodland Pastures</w:t>
            </w:r>
          </w:p>
        </w:tc>
        <w:tc>
          <w:tcPr>
            <w:tcW w:w="1440" w:type="dxa"/>
            <w:vAlign w:val="center"/>
          </w:tcPr>
          <w:p w14:paraId="6B2D7BB9"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bCs/>
                <w:color w:val="000000"/>
                <w:sz w:val="20"/>
                <w:szCs w:val="24"/>
              </w:rPr>
              <w:t>755</w:t>
            </w:r>
          </w:p>
        </w:tc>
      </w:tr>
      <w:tr w:rsidR="0073086E" w:rsidRPr="0073086E" w14:paraId="185C15BF" w14:textId="77777777" w:rsidTr="00105F91">
        <w:trPr>
          <w:trHeight w:val="278"/>
          <w:jc w:val="center"/>
        </w:trPr>
        <w:tc>
          <w:tcPr>
            <w:tcW w:w="4620" w:type="dxa"/>
            <w:shd w:val="clear" w:color="auto" w:fill="FFF2CC" w:themeFill="accent4" w:themeFillTint="33"/>
            <w:noWrap/>
            <w:vAlign w:val="center"/>
          </w:tcPr>
          <w:p w14:paraId="03723ADD"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Total</w:t>
            </w:r>
          </w:p>
        </w:tc>
        <w:tc>
          <w:tcPr>
            <w:tcW w:w="1440" w:type="dxa"/>
            <w:shd w:val="clear" w:color="auto" w:fill="FFF2CC" w:themeFill="accent4" w:themeFillTint="33"/>
            <w:vAlign w:val="center"/>
          </w:tcPr>
          <w:p w14:paraId="5048EA94"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fldChar w:fldCharType="begin"/>
            </w:r>
            <w:r w:rsidRPr="00652FC6">
              <w:rPr>
                <w:rFonts w:ascii="Times New Roman" w:hAnsi="Times New Roman"/>
                <w:b/>
                <w:bCs/>
                <w:color w:val="000000"/>
                <w:sz w:val="20"/>
                <w:szCs w:val="24"/>
              </w:rPr>
              <w:instrText xml:space="preserve"> =SUM(ABOVE) </w:instrText>
            </w:r>
            <w:r w:rsidRPr="00652FC6">
              <w:rPr>
                <w:rFonts w:ascii="Times New Roman" w:hAnsi="Times New Roman"/>
                <w:b/>
                <w:bCs/>
                <w:color w:val="000000"/>
                <w:sz w:val="20"/>
                <w:szCs w:val="24"/>
              </w:rPr>
              <w:fldChar w:fldCharType="separate"/>
            </w:r>
            <w:r w:rsidR="002A2E30">
              <w:rPr>
                <w:rFonts w:ascii="Times New Roman" w:hAnsi="Times New Roman"/>
                <w:b/>
                <w:bCs/>
                <w:noProof/>
                <w:color w:val="000000"/>
                <w:sz w:val="20"/>
                <w:szCs w:val="24"/>
              </w:rPr>
              <w:t>11,279</w:t>
            </w:r>
            <w:r w:rsidRPr="00652FC6">
              <w:rPr>
                <w:rFonts w:ascii="Times New Roman" w:hAnsi="Times New Roman"/>
                <w:b/>
                <w:bCs/>
                <w:color w:val="000000"/>
                <w:sz w:val="20"/>
                <w:szCs w:val="24"/>
              </w:rPr>
              <w:fldChar w:fldCharType="end"/>
            </w:r>
          </w:p>
        </w:tc>
      </w:tr>
    </w:tbl>
    <w:p w14:paraId="1FBAFC08" w14:textId="77777777" w:rsidR="0073086E" w:rsidRPr="0073086E" w:rsidRDefault="0073086E" w:rsidP="0073086E">
      <w:pPr>
        <w:pStyle w:val="Table"/>
        <w:rPr>
          <w:rFonts w:ascii="Times New Roman" w:hAnsi="Times New Roman"/>
          <w:szCs w:val="24"/>
        </w:rPr>
      </w:pPr>
    </w:p>
    <w:p w14:paraId="7C864479" w14:textId="05635C61" w:rsidR="0073086E" w:rsidRPr="0073086E" w:rsidRDefault="0073086E" w:rsidP="00652FC6">
      <w:pPr>
        <w:pStyle w:val="BodyText"/>
      </w:pPr>
      <w:r w:rsidRPr="0073086E">
        <w:t xml:space="preserve">Agricultural land use data are critical for determining agricultural nonpoint source loads and developing strategies to reduce those loads in a BMAP area, but there are inherent limitations in the available data. The time of year when land use data are collected (through aerial photography) affects the accuracy of photo interpretation. Flights are often scheduled during the winter months due to weather conditions and reduced leaf canopies, and while these are favorable conditions for capturing aerial imagery, they make photo interpretation for determining agricultural land use more difficult (e.g., more agricultural lands are fallow in the winter months) and can result in inappropriate analysis of the photo imagery. There is also a significant variation in the frequency with which various sources of data are collected and compiled, and older data are less likely to capture the frequent changes that often typify agricultural land use. In addition, agricultural activity being conducted on the land is not always apparent. For example, acreage classified as improved pasture may be used for a cow-calf operation, consist of forage grass that is periodically harvested for hay, or simply be a fallow vegetable field awaiting planting. Finally, the classification method itself may be an issue. For example, property appraiser data assigns an agricultural land use designation to an entire parcel, although agricultural production may only be conducted on a portion of the parcel. Because of error in the collection and characterization of land use data and changes in land use over time, agricultural land use acreage estimates are subject to adjustment. </w:t>
      </w:r>
    </w:p>
    <w:p w14:paraId="45FDCD05" w14:textId="77777777" w:rsidR="0073086E" w:rsidRPr="0073086E" w:rsidRDefault="0073086E" w:rsidP="0073086E">
      <w:pPr>
        <w:widowControl w:val="0"/>
        <w:spacing w:line="360" w:lineRule="auto"/>
        <w:rPr>
          <w:rFonts w:ascii="Times New Roman" w:hAnsi="Times New Roman"/>
          <w:sz w:val="24"/>
          <w:szCs w:val="24"/>
          <w:lang w:eastAsia="x-none"/>
        </w:rPr>
      </w:pPr>
    </w:p>
    <w:p w14:paraId="34AF046C" w14:textId="77777777" w:rsidR="0073086E" w:rsidRPr="0073086E" w:rsidRDefault="0073086E" w:rsidP="0073086E">
      <w:pPr>
        <w:widowControl w:val="0"/>
        <w:spacing w:line="360" w:lineRule="auto"/>
        <w:rPr>
          <w:rFonts w:ascii="Times New Roman" w:hAnsi="Times New Roman"/>
          <w:sz w:val="24"/>
          <w:szCs w:val="24"/>
          <w:lang w:eastAsia="x-none"/>
        </w:rPr>
      </w:pPr>
    </w:p>
    <w:p w14:paraId="39496147" w14:textId="77777777" w:rsidR="0073086E" w:rsidRPr="0073086E" w:rsidRDefault="0073086E" w:rsidP="0073086E">
      <w:pPr>
        <w:widowControl w:val="0"/>
        <w:spacing w:line="360" w:lineRule="auto"/>
        <w:rPr>
          <w:rFonts w:ascii="Times New Roman" w:hAnsi="Times New Roman"/>
          <w:sz w:val="24"/>
          <w:szCs w:val="24"/>
          <w:lang w:eastAsia="x-none"/>
        </w:rPr>
      </w:pPr>
    </w:p>
    <w:bookmarkStart w:id="195" w:name="_Hlk508873125"/>
    <w:p w14:paraId="4F25A38E" w14:textId="77777777" w:rsidR="0073086E" w:rsidRPr="0073086E" w:rsidRDefault="0073086E" w:rsidP="0073086E">
      <w:pPr>
        <w:jc w:val="center"/>
        <w:rPr>
          <w:rFonts w:ascii="Times New Roman" w:hAnsi="Times New Roman"/>
          <w:sz w:val="24"/>
          <w:szCs w:val="24"/>
        </w:rPr>
      </w:pPr>
      <w:r w:rsidRPr="0073086E">
        <w:rPr>
          <w:rFonts w:ascii="Times New Roman" w:hAnsi="Times New Roman"/>
          <w:noProof/>
          <w:sz w:val="24"/>
          <w:szCs w:val="24"/>
        </w:rPr>
        <mc:AlternateContent>
          <mc:Choice Requires="wps">
            <w:drawing>
              <wp:anchor distT="45720" distB="45720" distL="114300" distR="114300" simplePos="0" relativeHeight="251680768" behindDoc="0" locked="0" layoutInCell="1" allowOverlap="1" wp14:anchorId="526A1170" wp14:editId="4A2BCEB4">
                <wp:simplePos x="0" y="0"/>
                <wp:positionH relativeFrom="margin">
                  <wp:posOffset>485775</wp:posOffset>
                </wp:positionH>
                <wp:positionV relativeFrom="margin">
                  <wp:posOffset>6553200</wp:posOffset>
                </wp:positionV>
                <wp:extent cx="5457825" cy="752475"/>
                <wp:effectExtent l="0" t="0" r="28575"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752475"/>
                        </a:xfrm>
                        <a:prstGeom prst="rect">
                          <a:avLst/>
                        </a:prstGeom>
                        <a:solidFill>
                          <a:srgbClr val="FFFFFF"/>
                        </a:solidFill>
                        <a:ln w="9525">
                          <a:solidFill>
                            <a:srgbClr val="000000"/>
                          </a:solidFill>
                          <a:miter lim="800000"/>
                          <a:headEnd/>
                          <a:tailEnd/>
                        </a:ln>
                      </wps:spPr>
                      <wps:txbx>
                        <w:txbxContent>
                          <w:p w14:paraId="3AC0A3E6" w14:textId="77777777" w:rsidR="009B7C90" w:rsidRPr="00B55901" w:rsidRDefault="009B7C90" w:rsidP="0073086E">
                            <w:pPr>
                              <w:rPr>
                                <w:sz w:val="18"/>
                                <w:szCs w:val="18"/>
                              </w:rPr>
                            </w:pPr>
                            <w:r w:rsidRPr="00B55901">
                              <w:rPr>
                                <w:sz w:val="18"/>
                                <w:szCs w:val="18"/>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A1170" id="_x0000_t202" coordsize="21600,21600" o:spt="202" path="m,l,21600r21600,l21600,xe">
                <v:stroke joinstyle="miter"/>
                <v:path gradientshapeok="t" o:connecttype="rect"/>
              </v:shapetype>
              <v:shape id="Text Box 2" o:spid="_x0000_s1026" type="#_x0000_t202" style="position:absolute;left:0;text-align:left;margin-left:38.25pt;margin-top:516pt;width:429.75pt;height:59.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">
                <v:textbox>
                  <w:txbxContent>
                    <w:p w14:paraId="3AC0A3E6" w14:textId="77777777" w:rsidR="009B7C90" w:rsidRPr="00B55901" w:rsidRDefault="009B7C90" w:rsidP="0073086E">
                      <w:pPr>
                        <w:rPr>
                          <w:sz w:val="18"/>
                          <w:szCs w:val="18"/>
                        </w:rPr>
                      </w:pPr>
                      <w:r w:rsidRPr="00B55901">
                        <w:rPr>
                          <w:sz w:val="18"/>
                          <w:szCs w:val="18"/>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txbxContent>
                </v:textbox>
                <w10:wrap anchorx="margin" anchory="margin"/>
              </v:shape>
            </w:pict>
          </mc:Fallback>
        </mc:AlternateContent>
      </w:r>
      <w:r w:rsidRPr="0073086E">
        <w:rPr>
          <w:rFonts w:ascii="Times New Roman" w:hAnsi="Times New Roman"/>
          <w:noProof/>
          <w:sz w:val="24"/>
          <w:szCs w:val="24"/>
        </w:rPr>
        <w:drawing>
          <wp:inline distT="0" distB="0" distL="0" distR="0" wp14:anchorId="0DA5A124" wp14:editId="26239C13">
            <wp:extent cx="5660136" cy="73243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LU_NutrientSource_FSAID4_smaller.jpg"/>
                    <pic:cNvPicPr/>
                  </pic:nvPicPr>
                  <pic:blipFill>
                    <a:blip r:embed="rId27">
                      <a:extLst>
                        <a:ext uri="{28A0092B-C50C-407E-A947-70E740481C1C}">
                          <a14:useLocalDpi xmlns:a14="http://schemas.microsoft.com/office/drawing/2010/main" val="0"/>
                        </a:ext>
                      </a:extLst>
                    </a:blip>
                    <a:stretch>
                      <a:fillRect/>
                    </a:stretch>
                  </pic:blipFill>
                  <pic:spPr>
                    <a:xfrm>
                      <a:off x="0" y="0"/>
                      <a:ext cx="5660136" cy="7324344"/>
                    </a:xfrm>
                    <a:prstGeom prst="rect">
                      <a:avLst/>
                    </a:prstGeom>
                  </pic:spPr>
                </pic:pic>
              </a:graphicData>
            </a:graphic>
          </wp:inline>
        </w:drawing>
      </w:r>
    </w:p>
    <w:p w14:paraId="4F6DF263" w14:textId="5C635FBD" w:rsidR="0073086E" w:rsidRPr="008344EA" w:rsidRDefault="008D2A93" w:rsidP="00EF07AF">
      <w:pPr>
        <w:pStyle w:val="Caption"/>
      </w:pPr>
      <w:bookmarkStart w:id="196" w:name="_Toc503356962"/>
      <w:bookmarkStart w:id="197" w:name="_Toc511132598"/>
      <w:bookmarkStart w:id="198" w:name="_Toc514430690"/>
      <w:bookmarkStart w:id="199" w:name="_Hlk508873197"/>
      <w:r>
        <w:t>Figure F-</w:t>
      </w:r>
      <w:fldSimple w:instr=" SEQ Figure_F- \* ARABIC ">
        <w:r w:rsidR="002A2E30">
          <w:rPr>
            <w:noProof/>
          </w:rPr>
          <w:t>1</w:t>
        </w:r>
      </w:fldSimple>
      <w:r w:rsidR="00250EA7">
        <w:t xml:space="preserve">. </w:t>
      </w:r>
      <w:r w:rsidR="0073086E" w:rsidRPr="008344EA">
        <w:t>Agricultural lands in the Jackson Blue Springshed</w:t>
      </w:r>
      <w:bookmarkEnd w:id="196"/>
      <w:r w:rsidR="0073086E" w:rsidRPr="008344EA">
        <w:t xml:space="preserve"> and</w:t>
      </w:r>
      <w:bookmarkEnd w:id="197"/>
      <w:r w:rsidR="0073086E" w:rsidRPr="008344EA">
        <w:t xml:space="preserve"> </w:t>
      </w:r>
      <w:bookmarkStart w:id="200" w:name="_Toc511132599"/>
      <w:r w:rsidR="0073086E" w:rsidRPr="008344EA">
        <w:t>Merritts Mill Pond Basin</w:t>
      </w:r>
      <w:bookmarkEnd w:id="200"/>
      <w:bookmarkEnd w:id="198"/>
    </w:p>
    <w:bookmarkEnd w:id="195"/>
    <w:bookmarkEnd w:id="199"/>
    <w:p w14:paraId="47F89D2D" w14:textId="77777777" w:rsidR="0073086E" w:rsidRDefault="0073086E" w:rsidP="0073086E">
      <w:pPr>
        <w:widowControl w:val="0"/>
        <w:spacing w:line="360" w:lineRule="auto"/>
        <w:rPr>
          <w:rFonts w:ascii="Times New Roman" w:hAnsi="Times New Roman"/>
          <w:sz w:val="24"/>
          <w:szCs w:val="24"/>
          <w:lang w:eastAsia="x-none"/>
        </w:rPr>
      </w:pPr>
    </w:p>
    <w:p w14:paraId="4758FB3F" w14:textId="77777777" w:rsidR="00250EA7" w:rsidRPr="0073086E" w:rsidRDefault="00250EA7" w:rsidP="0073086E">
      <w:pPr>
        <w:widowControl w:val="0"/>
        <w:spacing w:line="360" w:lineRule="auto"/>
        <w:rPr>
          <w:rFonts w:ascii="Times New Roman" w:hAnsi="Times New Roman"/>
          <w:sz w:val="24"/>
          <w:szCs w:val="24"/>
          <w:lang w:eastAsia="x-none"/>
        </w:rPr>
      </w:pPr>
    </w:p>
    <w:p w14:paraId="27B29FB1" w14:textId="400693A5" w:rsidR="0073086E" w:rsidRPr="00EB284B" w:rsidRDefault="008D2A93" w:rsidP="0073086E">
      <w:pPr>
        <w:pStyle w:val="BodyText"/>
        <w:rPr>
          <w:b/>
          <w:sz w:val="28"/>
          <w:szCs w:val="28"/>
        </w:rPr>
      </w:pPr>
      <w:bookmarkStart w:id="201" w:name="_Toc391415063"/>
      <w:bookmarkStart w:id="202" w:name="_Toc418789273"/>
      <w:bookmarkStart w:id="203" w:name="_Toc426464322"/>
      <w:r>
        <w:rPr>
          <w:b/>
          <w:sz w:val="28"/>
          <w:szCs w:val="28"/>
        </w:rPr>
        <w:t>F</w:t>
      </w:r>
      <w:r w:rsidR="0073086E" w:rsidRPr="00EB284B">
        <w:rPr>
          <w:b/>
          <w:sz w:val="28"/>
          <w:szCs w:val="28"/>
        </w:rPr>
        <w:t>.2</w:t>
      </w:r>
      <w:r w:rsidR="0073086E" w:rsidRPr="0073086E">
        <w:rPr>
          <w:b/>
          <w:szCs w:val="24"/>
        </w:rPr>
        <w:tab/>
      </w:r>
      <w:r w:rsidR="0073086E" w:rsidRPr="00EB284B">
        <w:rPr>
          <w:b/>
          <w:sz w:val="28"/>
          <w:szCs w:val="28"/>
        </w:rPr>
        <w:t>Agricultural BMPs</w:t>
      </w:r>
      <w:bookmarkEnd w:id="201"/>
      <w:bookmarkEnd w:id="202"/>
      <w:bookmarkEnd w:id="203"/>
    </w:p>
    <w:p w14:paraId="0AA502B3" w14:textId="77777777" w:rsidR="0073086E" w:rsidRPr="0073086E" w:rsidRDefault="0073086E" w:rsidP="0073086E">
      <w:pPr>
        <w:pStyle w:val="BodyText"/>
        <w:rPr>
          <w:szCs w:val="24"/>
        </w:rPr>
      </w:pPr>
      <w:r w:rsidRPr="0073086E">
        <w:rPr>
          <w:szCs w:val="24"/>
        </w:rPr>
        <w:t>BMPs are individual or combined practices determined through research, field-testing, and expert review to be effective and practicable means for improving water quality, considering economic and technological feasibility. FDACS has authority for establishing agricultural BMPs through the Florida Forest Service (Silviculture BMP Program), Division of Aquaculture (Aquaculture Certification Program), and OAWP (all other agricultural BMP programs).  As of February 2018, OAWP has adopted manuals for cow-calf, statewide citrus, vegetable and agronomic crops, nurseries, equine operations, specialty fruit and nut, sod, dairy, and poultry operations. Development is underway for a small farms manual, and adoption is expected in 2018. The sod and cow-calf manuals are currently under review and revision.</w:t>
      </w:r>
    </w:p>
    <w:p w14:paraId="776545BF" w14:textId="77777777" w:rsidR="0073086E" w:rsidRPr="0073086E" w:rsidRDefault="0073086E" w:rsidP="0073086E">
      <w:pPr>
        <w:pStyle w:val="BodyText"/>
        <w:rPr>
          <w:szCs w:val="24"/>
        </w:rPr>
      </w:pPr>
      <w:r w:rsidRPr="0073086E">
        <w:rPr>
          <w:szCs w:val="24"/>
        </w:rPr>
        <w:t xml:space="preserve">The OAWP BMPs fall into two categories: structural and management. Structural BMPs, e.g., water-control structures and fencing, involve the installation of structures or changes to the land and are usually costlier than management BMPs. Management BMPs, such as nutrient and irrigation management, comprise the majority of the practices and often are not readily observable. Nutrient management addresses fertilizer type, amount, placement, and application timing, and it includes practices such as soil and tissue testing, application methods, correct fertilizer formulations, and setbacks from water resources. Irrigation management consists of maintenance, scheduling, and other measures that improve the overall efficiency of irrigation systems. FDACS-funded mobile irrigation labs (MILs) are available to evaluate irrigation system efficiency and provide recommendations to producers to improve efficiency.  The implementation of these recommendations results in billions of gallons of water saved throughout the state and helps reduce nutrient runoff and leaching.  </w:t>
      </w:r>
    </w:p>
    <w:p w14:paraId="03319D7D" w14:textId="715F1CA2" w:rsidR="0073086E" w:rsidRPr="0073086E" w:rsidRDefault="0073086E" w:rsidP="0073086E">
      <w:pPr>
        <w:pStyle w:val="BodyText"/>
        <w:rPr>
          <w:szCs w:val="24"/>
        </w:rPr>
      </w:pPr>
      <w:r w:rsidRPr="0073086E">
        <w:rPr>
          <w:b/>
          <w:szCs w:val="24"/>
        </w:rPr>
        <w:t xml:space="preserve">Table </w:t>
      </w:r>
      <w:r w:rsidR="008D2A93">
        <w:rPr>
          <w:b/>
          <w:szCs w:val="24"/>
        </w:rPr>
        <w:t>F</w:t>
      </w:r>
      <w:r w:rsidRPr="0073086E">
        <w:rPr>
          <w:b/>
          <w:szCs w:val="24"/>
        </w:rPr>
        <w:t xml:space="preserve">-4 </w:t>
      </w:r>
      <w:r w:rsidRPr="0073086E">
        <w:rPr>
          <w:szCs w:val="24"/>
        </w:rPr>
        <w:t>identifies key management and structural BMPs applicable to agricultural operations in the springshed. By definition, BMPs are developed to be technically and economically feasible. However, FDACS BMP manuals do contain some BMPs that may be affordable only with financial assistance through cost-share programs. The BMP checklists allow producers to indicate whether implementing a BMP requires financial assistance.</w:t>
      </w:r>
    </w:p>
    <w:p w14:paraId="21736382" w14:textId="77777777" w:rsidR="0073086E" w:rsidRPr="0073086E" w:rsidRDefault="0073086E" w:rsidP="0073086E">
      <w:pPr>
        <w:pStyle w:val="BodyText"/>
        <w:rPr>
          <w:szCs w:val="24"/>
        </w:rPr>
      </w:pPr>
      <w:r w:rsidRPr="0073086E">
        <w:rPr>
          <w:szCs w:val="24"/>
        </w:rPr>
        <w:t>Information on the BMP manuals and field staff contact information can be obtained here:  http://www.freshfromflorida.com/Divisions-Offices/Agricultural-Water-Policy. Printed BMP manuals can be obtained by contacting OAWP field staff.</w:t>
      </w:r>
    </w:p>
    <w:p w14:paraId="62BD3450" w14:textId="62849B72" w:rsidR="0073086E" w:rsidRPr="008344EA" w:rsidRDefault="008D2A93" w:rsidP="00790286">
      <w:pPr>
        <w:pStyle w:val="Caption"/>
      </w:pPr>
      <w:bookmarkStart w:id="204" w:name="_Toc424132827"/>
      <w:bookmarkStart w:id="205" w:name="_Toc481069350"/>
      <w:bookmarkStart w:id="206" w:name="_Toc503356997"/>
      <w:bookmarkStart w:id="207" w:name="_Toc514430979"/>
      <w:r>
        <w:t>Table F-</w:t>
      </w:r>
      <w:fldSimple w:instr=" SEQ Table_F- \* ARABIC ">
        <w:r w:rsidR="002A2E30">
          <w:rPr>
            <w:noProof/>
          </w:rPr>
          <w:t>4</w:t>
        </w:r>
      </w:fldSimple>
      <w:r w:rsidR="008941E0">
        <w:t xml:space="preserve">. </w:t>
      </w:r>
      <w:r w:rsidR="0073086E" w:rsidRPr="008344EA">
        <w:t>Key management and structural BMPs adopted by FDACS OAWP</w:t>
      </w:r>
      <w:bookmarkEnd w:id="204"/>
      <w:bookmarkEnd w:id="205"/>
      <w:bookmarkEnd w:id="206"/>
      <w:bookmarkEnd w:id="207"/>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404"/>
        <w:gridCol w:w="4945"/>
      </w:tblGrid>
      <w:tr w:rsidR="0073086E" w:rsidRPr="0073086E" w14:paraId="4873BDDB" w14:textId="77777777" w:rsidTr="00105F91">
        <w:trPr>
          <w:trHeight w:val="360"/>
          <w:tblHeader/>
          <w:jc w:val="center"/>
        </w:trPr>
        <w:tc>
          <w:tcPr>
            <w:tcW w:w="2160" w:type="dxa"/>
            <w:shd w:val="clear" w:color="auto" w:fill="DEEAF6" w:themeFill="accent1" w:themeFillTint="33"/>
            <w:vAlign w:val="bottom"/>
            <w:hideMark/>
          </w:tcPr>
          <w:p w14:paraId="0F8CD9DA"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BMP Category</w:t>
            </w:r>
          </w:p>
        </w:tc>
        <w:tc>
          <w:tcPr>
            <w:tcW w:w="2404" w:type="dxa"/>
            <w:shd w:val="clear" w:color="auto" w:fill="DEEAF6" w:themeFill="accent1" w:themeFillTint="33"/>
            <w:vAlign w:val="bottom"/>
            <w:hideMark/>
          </w:tcPr>
          <w:p w14:paraId="298E2C2E"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BMP</w:t>
            </w:r>
          </w:p>
        </w:tc>
        <w:tc>
          <w:tcPr>
            <w:tcW w:w="4945" w:type="dxa"/>
            <w:shd w:val="clear" w:color="auto" w:fill="DEEAF6" w:themeFill="accent1" w:themeFillTint="33"/>
            <w:vAlign w:val="bottom"/>
            <w:hideMark/>
          </w:tcPr>
          <w:p w14:paraId="4E41AC17"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Description</w:t>
            </w:r>
          </w:p>
        </w:tc>
      </w:tr>
      <w:tr w:rsidR="0073086E" w:rsidRPr="0073086E" w14:paraId="18F2C499" w14:textId="77777777" w:rsidTr="00105F91">
        <w:trPr>
          <w:trHeight w:val="504"/>
          <w:jc w:val="center"/>
        </w:trPr>
        <w:tc>
          <w:tcPr>
            <w:tcW w:w="2160" w:type="dxa"/>
            <w:shd w:val="clear" w:color="auto" w:fill="FFFFFF" w:themeFill="background1"/>
            <w:noWrap/>
            <w:vAlign w:val="center"/>
          </w:tcPr>
          <w:p w14:paraId="1B4749AF"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(Right Source)</w:t>
            </w:r>
          </w:p>
        </w:tc>
        <w:tc>
          <w:tcPr>
            <w:tcW w:w="2404" w:type="dxa"/>
            <w:shd w:val="clear" w:color="auto" w:fill="FFFFFF" w:themeFill="background1"/>
            <w:noWrap/>
            <w:vAlign w:val="center"/>
          </w:tcPr>
          <w:p w14:paraId="18E29139"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Use of Correct Formulations</w:t>
            </w:r>
          </w:p>
        </w:tc>
        <w:tc>
          <w:tcPr>
            <w:tcW w:w="4945" w:type="dxa"/>
            <w:shd w:val="clear" w:color="auto" w:fill="FFFFFF" w:themeFill="background1"/>
            <w:noWrap/>
            <w:vAlign w:val="center"/>
          </w:tcPr>
          <w:p w14:paraId="46E9F898"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fertilizer formulations that are appropriate for the environmental conditions. Includes enhanced efficiency fertilizers, as warranted.</w:t>
            </w:r>
          </w:p>
        </w:tc>
      </w:tr>
      <w:tr w:rsidR="0073086E" w:rsidRPr="0073086E" w14:paraId="7529E27E" w14:textId="77777777" w:rsidTr="00105F91">
        <w:trPr>
          <w:trHeight w:val="504"/>
          <w:jc w:val="center"/>
        </w:trPr>
        <w:tc>
          <w:tcPr>
            <w:tcW w:w="2160" w:type="dxa"/>
            <w:shd w:val="clear" w:color="auto" w:fill="FFFFFF" w:themeFill="background1"/>
            <w:noWrap/>
            <w:vAlign w:val="center"/>
          </w:tcPr>
          <w:p w14:paraId="346CF235"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(Right Rate)</w:t>
            </w:r>
          </w:p>
        </w:tc>
        <w:tc>
          <w:tcPr>
            <w:tcW w:w="2404" w:type="dxa"/>
            <w:shd w:val="clear" w:color="auto" w:fill="FFFFFF" w:themeFill="background1"/>
            <w:noWrap/>
            <w:vAlign w:val="center"/>
          </w:tcPr>
          <w:p w14:paraId="52949FD0"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Soil and Tissue Testing</w:t>
            </w:r>
          </w:p>
          <w:p w14:paraId="2AC3D01F"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Nutrient Budgeting</w:t>
            </w:r>
          </w:p>
        </w:tc>
        <w:tc>
          <w:tcPr>
            <w:tcW w:w="4945" w:type="dxa"/>
            <w:shd w:val="clear" w:color="auto" w:fill="FFFFFF" w:themeFill="background1"/>
            <w:noWrap/>
            <w:vAlign w:val="center"/>
          </w:tcPr>
          <w:p w14:paraId="3513FBC5" w14:textId="77777777" w:rsidR="0073086E" w:rsidRPr="00652FC6" w:rsidRDefault="0073086E" w:rsidP="00105F91">
            <w:pPr>
              <w:jc w:val="center"/>
              <w:rPr>
                <w:rFonts w:ascii="Times New Roman" w:hAnsi="Times New Roman"/>
                <w:sz w:val="20"/>
              </w:rPr>
            </w:pPr>
            <w:r w:rsidRPr="00652FC6">
              <w:rPr>
                <w:rFonts w:ascii="Times New Roman" w:hAnsi="Times New Roman"/>
                <w:sz w:val="20"/>
              </w:rPr>
              <w:t>Used to base fertilizer applications on plant needs and available nutrients in the soil; helps prevent the over application of fertilizer.</w:t>
            </w:r>
          </w:p>
          <w:p w14:paraId="5AAE8B7B"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Consideration of all nutrient sources, such as commercial fertilizers, biosolids, legumes, manure, and nutrient-laden irrigation water to ensure that fertilization meets crop nutrient requirements.</w:t>
            </w:r>
          </w:p>
        </w:tc>
      </w:tr>
      <w:tr w:rsidR="0073086E" w:rsidRPr="0073086E" w14:paraId="0932CDB8" w14:textId="77777777" w:rsidTr="00105F91">
        <w:trPr>
          <w:trHeight w:val="504"/>
          <w:jc w:val="center"/>
        </w:trPr>
        <w:tc>
          <w:tcPr>
            <w:tcW w:w="2160" w:type="dxa"/>
            <w:shd w:val="clear" w:color="auto" w:fill="FFFFFF" w:themeFill="background1"/>
            <w:noWrap/>
            <w:vAlign w:val="center"/>
          </w:tcPr>
          <w:p w14:paraId="62E302CB"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(Right Placement)</w:t>
            </w:r>
          </w:p>
        </w:tc>
        <w:tc>
          <w:tcPr>
            <w:tcW w:w="2404" w:type="dxa"/>
            <w:shd w:val="clear" w:color="auto" w:fill="FFFFFF" w:themeFill="background1"/>
            <w:noWrap/>
            <w:vAlign w:val="center"/>
          </w:tcPr>
          <w:p w14:paraId="39EF0BE0"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Precision Application of Nutrients</w:t>
            </w:r>
          </w:p>
        </w:tc>
        <w:tc>
          <w:tcPr>
            <w:tcW w:w="4945" w:type="dxa"/>
            <w:shd w:val="clear" w:color="auto" w:fill="FFFFFF" w:themeFill="background1"/>
            <w:noWrap/>
            <w:vAlign w:val="center"/>
          </w:tcPr>
          <w:p w14:paraId="22A759F5"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specialized equipment for precise placement of nutrients on targeted areas at specified rates; reduces total amount used and prevents stray applications.</w:t>
            </w:r>
          </w:p>
        </w:tc>
      </w:tr>
      <w:tr w:rsidR="0073086E" w:rsidRPr="0073086E" w14:paraId="2E0FD719" w14:textId="77777777" w:rsidTr="00105F91">
        <w:trPr>
          <w:trHeight w:val="504"/>
          <w:jc w:val="center"/>
        </w:trPr>
        <w:tc>
          <w:tcPr>
            <w:tcW w:w="2160" w:type="dxa"/>
            <w:shd w:val="clear" w:color="auto" w:fill="FFFFFF" w:themeFill="background1"/>
            <w:noWrap/>
            <w:vAlign w:val="center"/>
          </w:tcPr>
          <w:p w14:paraId="7D0ACAC8"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(Right Timing)</w:t>
            </w:r>
          </w:p>
        </w:tc>
        <w:tc>
          <w:tcPr>
            <w:tcW w:w="2404" w:type="dxa"/>
            <w:shd w:val="clear" w:color="auto" w:fill="FFFFFF" w:themeFill="background1"/>
            <w:noWrap/>
            <w:vAlign w:val="center"/>
          </w:tcPr>
          <w:p w14:paraId="22124AAD"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Split Fertilizer Applications</w:t>
            </w:r>
          </w:p>
        </w:tc>
        <w:tc>
          <w:tcPr>
            <w:tcW w:w="4945" w:type="dxa"/>
            <w:shd w:val="clear" w:color="auto" w:fill="FFFFFF" w:themeFill="background1"/>
            <w:noWrap/>
            <w:vAlign w:val="center"/>
          </w:tcPr>
          <w:p w14:paraId="32C7979B" w14:textId="77777777" w:rsidR="0073086E" w:rsidRPr="00652FC6" w:rsidRDefault="0073086E" w:rsidP="00105F91">
            <w:pPr>
              <w:jc w:val="center"/>
              <w:rPr>
                <w:rFonts w:ascii="Times New Roman" w:hAnsi="Times New Roman"/>
                <w:i/>
                <w:sz w:val="20"/>
              </w:rPr>
            </w:pPr>
            <w:r w:rsidRPr="00652FC6">
              <w:rPr>
                <w:rFonts w:ascii="Times New Roman" w:hAnsi="Times New Roman"/>
                <w:sz w:val="20"/>
              </w:rPr>
              <w:t>Multiple applications timed with optimal growth stages; allows plants to assimilate nutrients more efficiently; reduces nutrient loss in leaching and runoff.</w:t>
            </w:r>
          </w:p>
        </w:tc>
      </w:tr>
      <w:tr w:rsidR="0073086E" w:rsidRPr="0073086E" w14:paraId="5CA0C946" w14:textId="77777777" w:rsidTr="00105F91">
        <w:trPr>
          <w:trHeight w:val="504"/>
          <w:jc w:val="center"/>
        </w:trPr>
        <w:tc>
          <w:tcPr>
            <w:tcW w:w="2160" w:type="dxa"/>
            <w:shd w:val="clear" w:color="auto" w:fill="FFFFFF" w:themeFill="background1"/>
            <w:noWrap/>
            <w:vAlign w:val="center"/>
          </w:tcPr>
          <w:p w14:paraId="30BB9FFE"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(Special Fertilization Practices)</w:t>
            </w:r>
          </w:p>
        </w:tc>
        <w:tc>
          <w:tcPr>
            <w:tcW w:w="2404" w:type="dxa"/>
            <w:shd w:val="clear" w:color="auto" w:fill="FFFFFF" w:themeFill="background1"/>
            <w:noWrap/>
            <w:vAlign w:val="center"/>
          </w:tcPr>
          <w:p w14:paraId="28F598CF"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Special Fertilization Practices</w:t>
            </w:r>
          </w:p>
        </w:tc>
        <w:tc>
          <w:tcPr>
            <w:tcW w:w="4945" w:type="dxa"/>
            <w:shd w:val="clear" w:color="auto" w:fill="FFFFFF" w:themeFill="background1"/>
            <w:noWrap/>
            <w:vAlign w:val="center"/>
          </w:tcPr>
          <w:p w14:paraId="70F40640"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Commodity specific fertilization practices to address nuances on a case-by-case basis.</w:t>
            </w:r>
          </w:p>
        </w:tc>
      </w:tr>
      <w:tr w:rsidR="0073086E" w:rsidRPr="0073086E" w14:paraId="51ACF45C" w14:textId="77777777" w:rsidTr="00105F91">
        <w:trPr>
          <w:trHeight w:val="504"/>
          <w:jc w:val="center"/>
        </w:trPr>
        <w:tc>
          <w:tcPr>
            <w:tcW w:w="2160" w:type="dxa"/>
            <w:shd w:val="clear" w:color="auto" w:fill="FFFFFF" w:themeFill="background1"/>
            <w:noWrap/>
            <w:vAlign w:val="center"/>
          </w:tcPr>
          <w:p w14:paraId="1F565E5E"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Nutrient Management (Fertilizer Storage and Handling)</w:t>
            </w:r>
          </w:p>
        </w:tc>
        <w:tc>
          <w:tcPr>
            <w:tcW w:w="2404" w:type="dxa"/>
            <w:shd w:val="clear" w:color="auto" w:fill="FFFFFF" w:themeFill="background1"/>
            <w:noWrap/>
            <w:vAlign w:val="center"/>
          </w:tcPr>
          <w:p w14:paraId="4F6F111E"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Fertilizer Storage and Handling</w:t>
            </w:r>
          </w:p>
        </w:tc>
        <w:tc>
          <w:tcPr>
            <w:tcW w:w="4945" w:type="dxa"/>
            <w:shd w:val="clear" w:color="auto" w:fill="FFFFFF" w:themeFill="background1"/>
            <w:noWrap/>
            <w:vAlign w:val="center"/>
          </w:tcPr>
          <w:p w14:paraId="72F084FC" w14:textId="77777777" w:rsidR="0073086E" w:rsidRPr="00652FC6" w:rsidRDefault="0073086E" w:rsidP="00105F91">
            <w:pPr>
              <w:jc w:val="center"/>
              <w:rPr>
                <w:rFonts w:ascii="Times New Roman" w:hAnsi="Times New Roman"/>
                <w:sz w:val="20"/>
              </w:rPr>
            </w:pPr>
            <w:r w:rsidRPr="00652FC6">
              <w:rPr>
                <w:rFonts w:ascii="Times New Roman" w:hAnsi="Times New Roman"/>
                <w:sz w:val="20"/>
              </w:rPr>
              <w:t>Proper location/storage of bulk fertilizer products to prevent nutrient loadings.</w:t>
            </w:r>
          </w:p>
          <w:p w14:paraId="102AB6A1"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appropriate dedicated or temporary mix/load areas located away from waterbodies to prevent nutrient loading.</w:t>
            </w:r>
          </w:p>
        </w:tc>
      </w:tr>
      <w:tr w:rsidR="0073086E" w:rsidRPr="0073086E" w14:paraId="1A5E0608" w14:textId="77777777" w:rsidTr="00105F91">
        <w:trPr>
          <w:trHeight w:val="504"/>
          <w:jc w:val="center"/>
        </w:trPr>
        <w:tc>
          <w:tcPr>
            <w:tcW w:w="2160" w:type="dxa"/>
            <w:shd w:val="clear" w:color="auto" w:fill="FFFFFF" w:themeFill="background1"/>
            <w:noWrap/>
            <w:vAlign w:val="center"/>
          </w:tcPr>
          <w:p w14:paraId="73275E43"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Irrigation and Water Table Management</w:t>
            </w:r>
          </w:p>
        </w:tc>
        <w:tc>
          <w:tcPr>
            <w:tcW w:w="2404" w:type="dxa"/>
            <w:shd w:val="clear" w:color="auto" w:fill="FFFFFF" w:themeFill="background1"/>
            <w:noWrap/>
            <w:vAlign w:val="center"/>
          </w:tcPr>
          <w:p w14:paraId="48581F4F"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Irrigation Scheduling</w:t>
            </w:r>
          </w:p>
        </w:tc>
        <w:tc>
          <w:tcPr>
            <w:tcW w:w="4945" w:type="dxa"/>
            <w:shd w:val="clear" w:color="auto" w:fill="FFFFFF" w:themeFill="background1"/>
            <w:noWrap/>
            <w:vAlign w:val="center"/>
          </w:tcPr>
          <w:p w14:paraId="77B5F3FC"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Planning when to irrigate to reduce water and nutrient losses, based on available soil moisture content, evapotranspiration levels, recent rainfall, and time of day.</w:t>
            </w:r>
          </w:p>
        </w:tc>
      </w:tr>
      <w:tr w:rsidR="0073086E" w:rsidRPr="0073086E" w14:paraId="13D95534" w14:textId="77777777" w:rsidTr="00105F91">
        <w:trPr>
          <w:trHeight w:val="504"/>
          <w:jc w:val="center"/>
        </w:trPr>
        <w:tc>
          <w:tcPr>
            <w:tcW w:w="2160" w:type="dxa"/>
            <w:shd w:val="clear" w:color="auto" w:fill="FFFFFF" w:themeFill="background1"/>
            <w:noWrap/>
            <w:vAlign w:val="center"/>
          </w:tcPr>
          <w:p w14:paraId="241A2192"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Irrigation and Water Table Management</w:t>
            </w:r>
          </w:p>
        </w:tc>
        <w:tc>
          <w:tcPr>
            <w:tcW w:w="2404" w:type="dxa"/>
            <w:shd w:val="clear" w:color="auto" w:fill="FFFFFF" w:themeFill="background1"/>
            <w:noWrap/>
            <w:vAlign w:val="center"/>
          </w:tcPr>
          <w:p w14:paraId="1986AE84"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Irrigation System Maintenance</w:t>
            </w:r>
          </w:p>
        </w:tc>
        <w:tc>
          <w:tcPr>
            <w:tcW w:w="4945" w:type="dxa"/>
            <w:shd w:val="clear" w:color="auto" w:fill="FFFFFF" w:themeFill="background1"/>
            <w:noWrap/>
            <w:vAlign w:val="center"/>
          </w:tcPr>
          <w:p w14:paraId="5EE1B493"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Mobile Irrigation Labs to identify efficiency issues, maintenance, and incorporation of potential upgrades to irrigation system.</w:t>
            </w:r>
          </w:p>
        </w:tc>
      </w:tr>
      <w:tr w:rsidR="0073086E" w:rsidRPr="0073086E" w14:paraId="5A24F9FC" w14:textId="77777777" w:rsidTr="00105F91">
        <w:trPr>
          <w:trHeight w:val="504"/>
          <w:jc w:val="center"/>
        </w:trPr>
        <w:tc>
          <w:tcPr>
            <w:tcW w:w="2160" w:type="dxa"/>
            <w:shd w:val="clear" w:color="auto" w:fill="FFFFFF" w:themeFill="background1"/>
            <w:noWrap/>
            <w:vAlign w:val="center"/>
          </w:tcPr>
          <w:p w14:paraId="13A671A7"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Irrigation and Water Table Management</w:t>
            </w:r>
          </w:p>
        </w:tc>
        <w:tc>
          <w:tcPr>
            <w:tcW w:w="2404" w:type="dxa"/>
            <w:shd w:val="clear" w:color="auto" w:fill="FFFFFF" w:themeFill="background1"/>
            <w:noWrap/>
            <w:vAlign w:val="center"/>
          </w:tcPr>
          <w:p w14:paraId="7362CB43"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Wellhead Protection</w:t>
            </w:r>
          </w:p>
        </w:tc>
        <w:tc>
          <w:tcPr>
            <w:tcW w:w="4945" w:type="dxa"/>
            <w:shd w:val="clear" w:color="auto" w:fill="FFFFFF" w:themeFill="background1"/>
            <w:noWrap/>
            <w:vAlign w:val="center"/>
          </w:tcPr>
          <w:p w14:paraId="301CC100"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Establishing safe practices around irrigation and drinking water wells.</w:t>
            </w:r>
          </w:p>
        </w:tc>
      </w:tr>
      <w:tr w:rsidR="0073086E" w:rsidRPr="0073086E" w14:paraId="1C95AABA" w14:textId="77777777" w:rsidTr="00105F91">
        <w:trPr>
          <w:trHeight w:val="504"/>
          <w:jc w:val="center"/>
        </w:trPr>
        <w:tc>
          <w:tcPr>
            <w:tcW w:w="2160" w:type="dxa"/>
            <w:shd w:val="clear" w:color="auto" w:fill="FFFFFF" w:themeFill="background1"/>
            <w:noWrap/>
            <w:vAlign w:val="center"/>
          </w:tcPr>
          <w:p w14:paraId="57972258"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Water Resource Protection</w:t>
            </w:r>
          </w:p>
        </w:tc>
        <w:tc>
          <w:tcPr>
            <w:tcW w:w="2404" w:type="dxa"/>
            <w:shd w:val="clear" w:color="auto" w:fill="FFFFFF" w:themeFill="background1"/>
            <w:noWrap/>
            <w:vAlign w:val="center"/>
          </w:tcPr>
          <w:p w14:paraId="5C0D7617"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Buffers and Setbacks</w:t>
            </w:r>
          </w:p>
        </w:tc>
        <w:tc>
          <w:tcPr>
            <w:tcW w:w="4945" w:type="dxa"/>
            <w:shd w:val="clear" w:color="auto" w:fill="FFFFFF" w:themeFill="background1"/>
            <w:noWrap/>
            <w:vAlign w:val="center"/>
          </w:tcPr>
          <w:p w14:paraId="0B782E52"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Fertilizer application setbacks from waterbodies (e.g., wetlands, watercourses, sinks, springs, etc.) and use of appropriate buffers around water resource features.</w:t>
            </w:r>
          </w:p>
        </w:tc>
      </w:tr>
      <w:tr w:rsidR="0073086E" w:rsidRPr="0073086E" w14:paraId="288C1D26" w14:textId="77777777" w:rsidTr="00105F91">
        <w:trPr>
          <w:trHeight w:val="504"/>
          <w:jc w:val="center"/>
        </w:trPr>
        <w:tc>
          <w:tcPr>
            <w:tcW w:w="2160" w:type="dxa"/>
            <w:shd w:val="clear" w:color="auto" w:fill="FFFFFF" w:themeFill="background1"/>
            <w:noWrap/>
            <w:vAlign w:val="center"/>
          </w:tcPr>
          <w:p w14:paraId="34C3581E"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Water Resource Protection</w:t>
            </w:r>
          </w:p>
        </w:tc>
        <w:tc>
          <w:tcPr>
            <w:tcW w:w="2404" w:type="dxa"/>
            <w:shd w:val="clear" w:color="auto" w:fill="FFFFFF" w:themeFill="background1"/>
            <w:noWrap/>
            <w:vAlign w:val="center"/>
          </w:tcPr>
          <w:p w14:paraId="451859BB"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Ditch Maintenance and Water Control Structures</w:t>
            </w:r>
          </w:p>
        </w:tc>
        <w:tc>
          <w:tcPr>
            <w:tcW w:w="4945" w:type="dxa"/>
            <w:shd w:val="clear" w:color="auto" w:fill="FFFFFF" w:themeFill="background1"/>
            <w:noWrap/>
            <w:vAlign w:val="center"/>
          </w:tcPr>
          <w:p w14:paraId="523724D0"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rip rap, sediment traps, staging structures, and permanent vegetative bank cover to minimize erosion and transport of nutrient-laden sediments.</w:t>
            </w:r>
          </w:p>
        </w:tc>
      </w:tr>
      <w:tr w:rsidR="0073086E" w:rsidRPr="0073086E" w14:paraId="6CB78D3C" w14:textId="77777777" w:rsidTr="00105F91">
        <w:trPr>
          <w:trHeight w:val="504"/>
          <w:jc w:val="center"/>
        </w:trPr>
        <w:tc>
          <w:tcPr>
            <w:tcW w:w="2160" w:type="dxa"/>
            <w:shd w:val="clear" w:color="auto" w:fill="FFFFFF" w:themeFill="background1"/>
            <w:noWrap/>
            <w:vAlign w:val="center"/>
          </w:tcPr>
          <w:p w14:paraId="22470FA0"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Water Resource Protection</w:t>
            </w:r>
          </w:p>
        </w:tc>
        <w:tc>
          <w:tcPr>
            <w:tcW w:w="2404" w:type="dxa"/>
            <w:shd w:val="clear" w:color="auto" w:fill="FFFFFF" w:themeFill="background1"/>
            <w:noWrap/>
            <w:vAlign w:val="center"/>
          </w:tcPr>
          <w:p w14:paraId="1B2F3848"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Erosion Control</w:t>
            </w:r>
          </w:p>
        </w:tc>
        <w:tc>
          <w:tcPr>
            <w:tcW w:w="4945" w:type="dxa"/>
            <w:shd w:val="clear" w:color="auto" w:fill="FFFFFF" w:themeFill="background1"/>
            <w:noWrap/>
            <w:vAlign w:val="center"/>
          </w:tcPr>
          <w:p w14:paraId="7D8EDCBF"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Vegetated strips of land designed to reduce nutrients and sediments in surface water runoff from fields, pastures, and livestock high-intensity areas before it reaches downstream waterbodies.</w:t>
            </w:r>
          </w:p>
        </w:tc>
      </w:tr>
      <w:tr w:rsidR="0073086E" w:rsidRPr="0073086E" w14:paraId="251C4230" w14:textId="77777777" w:rsidTr="00105F91">
        <w:trPr>
          <w:trHeight w:val="504"/>
          <w:jc w:val="center"/>
        </w:trPr>
        <w:tc>
          <w:tcPr>
            <w:tcW w:w="2160" w:type="dxa"/>
            <w:shd w:val="clear" w:color="auto" w:fill="FFFFFF" w:themeFill="background1"/>
            <w:noWrap/>
            <w:vAlign w:val="center"/>
          </w:tcPr>
          <w:p w14:paraId="58B22EC2"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Livestock Management</w:t>
            </w:r>
          </w:p>
        </w:tc>
        <w:tc>
          <w:tcPr>
            <w:tcW w:w="2404" w:type="dxa"/>
            <w:shd w:val="clear" w:color="auto" w:fill="FFFFFF" w:themeFill="background1"/>
            <w:noWrap/>
            <w:vAlign w:val="center"/>
          </w:tcPr>
          <w:p w14:paraId="46B89AF9"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Manure Management</w:t>
            </w:r>
          </w:p>
        </w:tc>
        <w:tc>
          <w:tcPr>
            <w:tcW w:w="4945" w:type="dxa"/>
            <w:shd w:val="clear" w:color="auto" w:fill="FFFFFF" w:themeFill="background1"/>
            <w:noWrap/>
            <w:vAlign w:val="center"/>
          </w:tcPr>
          <w:p w14:paraId="331E1BC6"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Appropriate storage and disposal of animal waste.</w:t>
            </w:r>
          </w:p>
        </w:tc>
      </w:tr>
      <w:tr w:rsidR="0073086E" w:rsidRPr="0073086E" w14:paraId="59E02305" w14:textId="77777777" w:rsidTr="00105F91">
        <w:trPr>
          <w:trHeight w:val="504"/>
          <w:jc w:val="center"/>
        </w:trPr>
        <w:tc>
          <w:tcPr>
            <w:tcW w:w="2160" w:type="dxa"/>
            <w:shd w:val="clear" w:color="auto" w:fill="FFFFFF" w:themeFill="background1"/>
            <w:noWrap/>
            <w:vAlign w:val="center"/>
          </w:tcPr>
          <w:p w14:paraId="4823FB50"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Livestock Management</w:t>
            </w:r>
          </w:p>
        </w:tc>
        <w:tc>
          <w:tcPr>
            <w:tcW w:w="2404" w:type="dxa"/>
            <w:shd w:val="clear" w:color="auto" w:fill="FFFFFF" w:themeFill="background1"/>
            <w:noWrap/>
            <w:vAlign w:val="center"/>
          </w:tcPr>
          <w:p w14:paraId="276CF7AB"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Water Requirements and Sources</w:t>
            </w:r>
          </w:p>
        </w:tc>
        <w:tc>
          <w:tcPr>
            <w:tcW w:w="4945" w:type="dxa"/>
            <w:shd w:val="clear" w:color="auto" w:fill="FFFFFF" w:themeFill="background1"/>
            <w:noWrap/>
            <w:vAlign w:val="center"/>
          </w:tcPr>
          <w:p w14:paraId="1A66192A"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 of upland livestock watering ponds and/or water troughs; minimizes manure deposition in waterbodies.</w:t>
            </w:r>
          </w:p>
        </w:tc>
      </w:tr>
      <w:tr w:rsidR="0073086E" w:rsidRPr="0073086E" w14:paraId="77919AF6" w14:textId="77777777" w:rsidTr="00105F91">
        <w:trPr>
          <w:trHeight w:val="504"/>
          <w:jc w:val="center"/>
        </w:trPr>
        <w:tc>
          <w:tcPr>
            <w:tcW w:w="2160" w:type="dxa"/>
            <w:shd w:val="clear" w:color="auto" w:fill="FFFFFF" w:themeFill="background1"/>
            <w:noWrap/>
            <w:vAlign w:val="center"/>
          </w:tcPr>
          <w:p w14:paraId="06AC4A97"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Livestock Management</w:t>
            </w:r>
          </w:p>
        </w:tc>
        <w:tc>
          <w:tcPr>
            <w:tcW w:w="2404" w:type="dxa"/>
            <w:shd w:val="clear" w:color="auto" w:fill="FFFFFF" w:themeFill="background1"/>
            <w:noWrap/>
            <w:vAlign w:val="center"/>
          </w:tcPr>
          <w:p w14:paraId="1AB6392E"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Forage, Pasture and Grazing Management</w:t>
            </w:r>
          </w:p>
        </w:tc>
        <w:tc>
          <w:tcPr>
            <w:tcW w:w="4945" w:type="dxa"/>
            <w:shd w:val="clear" w:color="auto" w:fill="FFFFFF" w:themeFill="background1"/>
            <w:noWrap/>
            <w:vAlign w:val="center"/>
          </w:tcPr>
          <w:p w14:paraId="5BBC67A3" w14:textId="77777777" w:rsidR="0073086E" w:rsidRPr="00652FC6" w:rsidRDefault="0073086E" w:rsidP="00105F91">
            <w:pPr>
              <w:jc w:val="center"/>
              <w:rPr>
                <w:rFonts w:ascii="Times New Roman" w:hAnsi="Times New Roman"/>
                <w:sz w:val="20"/>
              </w:rPr>
            </w:pPr>
            <w:r w:rsidRPr="00652FC6">
              <w:rPr>
                <w:rFonts w:ascii="Times New Roman" w:hAnsi="Times New Roman"/>
                <w:sz w:val="20"/>
              </w:rPr>
              <w:t>Movement of cattle to different grazing areas on a planned basis; prevents concentrated waste accumulations and denuding of pasture areas.  May involve fencing.</w:t>
            </w:r>
          </w:p>
          <w:p w14:paraId="65E0AE75"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Also involves siting of cowpens, supplemental feed areas, etc., away from waterbodies to minimize nutrient loadings.</w:t>
            </w:r>
          </w:p>
        </w:tc>
      </w:tr>
      <w:tr w:rsidR="0073086E" w:rsidRPr="0073086E" w14:paraId="1FC0F259" w14:textId="77777777" w:rsidTr="00105F91">
        <w:trPr>
          <w:trHeight w:val="504"/>
          <w:jc w:val="center"/>
        </w:trPr>
        <w:tc>
          <w:tcPr>
            <w:tcW w:w="2160" w:type="dxa"/>
            <w:shd w:val="clear" w:color="auto" w:fill="FFFFFF" w:themeFill="background1"/>
            <w:noWrap/>
            <w:vAlign w:val="center"/>
          </w:tcPr>
          <w:p w14:paraId="27F2D51E"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Livestock Management</w:t>
            </w:r>
          </w:p>
        </w:tc>
        <w:tc>
          <w:tcPr>
            <w:tcW w:w="2404" w:type="dxa"/>
            <w:shd w:val="clear" w:color="auto" w:fill="FFFFFF" w:themeFill="background1"/>
            <w:noWrap/>
            <w:vAlign w:val="center"/>
          </w:tcPr>
          <w:p w14:paraId="29E69C38"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Use Exclusion</w:t>
            </w:r>
          </w:p>
        </w:tc>
        <w:tc>
          <w:tcPr>
            <w:tcW w:w="4945" w:type="dxa"/>
            <w:shd w:val="clear" w:color="auto" w:fill="FFFFFF" w:themeFill="background1"/>
            <w:noWrap/>
            <w:vAlign w:val="center"/>
          </w:tcPr>
          <w:p w14:paraId="0F03CC4A"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Used when stream banks have significant rill or gully erosion because of cattle trampling.</w:t>
            </w:r>
          </w:p>
        </w:tc>
      </w:tr>
      <w:tr w:rsidR="0073086E" w:rsidRPr="0073086E" w14:paraId="6785FED8" w14:textId="77777777" w:rsidTr="00105F91">
        <w:trPr>
          <w:trHeight w:val="504"/>
          <w:jc w:val="center"/>
        </w:trPr>
        <w:tc>
          <w:tcPr>
            <w:tcW w:w="2160" w:type="dxa"/>
            <w:shd w:val="clear" w:color="auto" w:fill="FFFFFF" w:themeFill="background1"/>
            <w:noWrap/>
            <w:vAlign w:val="center"/>
          </w:tcPr>
          <w:p w14:paraId="481E1467" w14:textId="77777777" w:rsidR="0073086E" w:rsidRPr="00652FC6" w:rsidRDefault="0073086E" w:rsidP="00105F91">
            <w:pPr>
              <w:jc w:val="center"/>
              <w:rPr>
                <w:rFonts w:ascii="Times New Roman" w:hAnsi="Times New Roman"/>
                <w:b/>
                <w:bCs/>
                <w:color w:val="000000"/>
                <w:sz w:val="20"/>
              </w:rPr>
            </w:pPr>
            <w:r w:rsidRPr="00652FC6">
              <w:rPr>
                <w:rFonts w:ascii="Times New Roman" w:hAnsi="Times New Roman"/>
                <w:b/>
                <w:bCs/>
                <w:color w:val="000000"/>
                <w:sz w:val="20"/>
              </w:rPr>
              <w:t>Operations Management</w:t>
            </w:r>
          </w:p>
        </w:tc>
        <w:tc>
          <w:tcPr>
            <w:tcW w:w="2404" w:type="dxa"/>
            <w:shd w:val="clear" w:color="auto" w:fill="FFFFFF" w:themeFill="background1"/>
            <w:noWrap/>
            <w:vAlign w:val="center"/>
          </w:tcPr>
          <w:p w14:paraId="4501859D"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bCs/>
                <w:color w:val="000000"/>
                <w:sz w:val="20"/>
              </w:rPr>
              <w:t>Fertilizer Storage</w:t>
            </w:r>
          </w:p>
        </w:tc>
        <w:tc>
          <w:tcPr>
            <w:tcW w:w="4945" w:type="dxa"/>
            <w:shd w:val="clear" w:color="auto" w:fill="FFFFFF" w:themeFill="background1"/>
            <w:noWrap/>
            <w:vAlign w:val="center"/>
          </w:tcPr>
          <w:p w14:paraId="666FBBD6" w14:textId="77777777" w:rsidR="0073086E" w:rsidRPr="00652FC6" w:rsidRDefault="0073086E" w:rsidP="00105F91">
            <w:pPr>
              <w:jc w:val="center"/>
              <w:rPr>
                <w:rFonts w:ascii="Times New Roman" w:hAnsi="Times New Roman"/>
                <w:bCs/>
                <w:color w:val="000000"/>
                <w:sz w:val="20"/>
              </w:rPr>
            </w:pPr>
            <w:r w:rsidRPr="00652FC6">
              <w:rPr>
                <w:rFonts w:ascii="Times New Roman" w:hAnsi="Times New Roman"/>
                <w:sz w:val="20"/>
              </w:rPr>
              <w:t>Proper location/</w:t>
            </w:r>
            <w:r w:rsidRPr="00652FC6">
              <w:rPr>
                <w:rFonts w:ascii="Times New Roman" w:hAnsi="Times New Roman"/>
                <w:b/>
                <w:sz w:val="20"/>
              </w:rPr>
              <w:t>s</w:t>
            </w:r>
            <w:r w:rsidRPr="00652FC6">
              <w:rPr>
                <w:rFonts w:ascii="Times New Roman" w:hAnsi="Times New Roman"/>
                <w:sz w:val="20"/>
              </w:rPr>
              <w:t>torage of bulk fertilizer products to prevent nutrient loadings.</w:t>
            </w:r>
          </w:p>
        </w:tc>
      </w:tr>
    </w:tbl>
    <w:p w14:paraId="6B985FF1" w14:textId="77777777" w:rsidR="0073086E" w:rsidRPr="0073086E" w:rsidRDefault="0073086E" w:rsidP="0073086E">
      <w:pPr>
        <w:pStyle w:val="BodyText"/>
        <w:rPr>
          <w:b/>
          <w:szCs w:val="24"/>
        </w:rPr>
      </w:pPr>
      <w:bookmarkStart w:id="208" w:name="_Toc391415064"/>
      <w:bookmarkStart w:id="209" w:name="_Toc418789274"/>
      <w:bookmarkStart w:id="210" w:name="_Toc426464323"/>
    </w:p>
    <w:p w14:paraId="4FA58AA6" w14:textId="144C5CD4" w:rsidR="0073086E" w:rsidRPr="00EB284B" w:rsidRDefault="008D2A93" w:rsidP="00652FC6">
      <w:pPr>
        <w:pStyle w:val="BodyText"/>
        <w:keepNext/>
        <w:rPr>
          <w:b/>
          <w:sz w:val="32"/>
          <w:szCs w:val="24"/>
        </w:rPr>
      </w:pPr>
      <w:r>
        <w:rPr>
          <w:b/>
          <w:sz w:val="32"/>
          <w:szCs w:val="24"/>
        </w:rPr>
        <w:t>F</w:t>
      </w:r>
      <w:r w:rsidR="0073086E" w:rsidRPr="00EB284B">
        <w:rPr>
          <w:b/>
          <w:sz w:val="32"/>
          <w:szCs w:val="24"/>
        </w:rPr>
        <w:t>.3</w:t>
      </w:r>
      <w:r w:rsidR="0073086E" w:rsidRPr="00EB284B">
        <w:rPr>
          <w:b/>
          <w:sz w:val="32"/>
          <w:szCs w:val="24"/>
        </w:rPr>
        <w:tab/>
        <w:t>BMP Enrollment</w:t>
      </w:r>
      <w:bookmarkEnd w:id="208"/>
      <w:bookmarkEnd w:id="209"/>
      <w:bookmarkEnd w:id="210"/>
    </w:p>
    <w:p w14:paraId="1CC4E3F0" w14:textId="18E490D8" w:rsidR="0073086E" w:rsidRPr="0073086E" w:rsidRDefault="008344EA" w:rsidP="0073086E">
      <w:pPr>
        <w:pStyle w:val="BodyText"/>
        <w:rPr>
          <w:szCs w:val="24"/>
        </w:rPr>
      </w:pPr>
      <w:r>
        <w:rPr>
          <w:b/>
          <w:szCs w:val="24"/>
        </w:rPr>
        <w:t xml:space="preserve">Figure </w:t>
      </w:r>
      <w:r w:rsidR="008D2A93">
        <w:rPr>
          <w:b/>
          <w:szCs w:val="24"/>
        </w:rPr>
        <w:t>F</w:t>
      </w:r>
      <w:r w:rsidR="0073086E" w:rsidRPr="0073086E">
        <w:rPr>
          <w:b/>
          <w:szCs w:val="24"/>
        </w:rPr>
        <w:t>-2</w:t>
      </w:r>
      <w:r w:rsidR="0073086E" w:rsidRPr="0073086E">
        <w:rPr>
          <w:szCs w:val="24"/>
        </w:rPr>
        <w:t xml:space="preserve"> shows the acres enrolled in the FDACS BMP Program in the Jackson Blue Springshed and Merritts Mill Pond Basin as of December 31, 2017. </w:t>
      </w:r>
      <w:r w:rsidR="0073086E" w:rsidRPr="0073086E">
        <w:rPr>
          <w:b/>
          <w:szCs w:val="24"/>
        </w:rPr>
        <w:t xml:space="preserve">Table </w:t>
      </w:r>
      <w:r w:rsidR="008D2A93">
        <w:rPr>
          <w:b/>
          <w:szCs w:val="24"/>
        </w:rPr>
        <w:t>F</w:t>
      </w:r>
      <w:r w:rsidR="0073086E" w:rsidRPr="0073086E">
        <w:rPr>
          <w:b/>
          <w:szCs w:val="24"/>
        </w:rPr>
        <w:t>-5</w:t>
      </w:r>
      <w:r w:rsidR="0073086E" w:rsidRPr="0073086E">
        <w:rPr>
          <w:szCs w:val="24"/>
        </w:rPr>
        <w:t xml:space="preserve"> list</w:t>
      </w:r>
      <w:r w:rsidR="00EE6C95">
        <w:rPr>
          <w:szCs w:val="24"/>
        </w:rPr>
        <w:t>s</w:t>
      </w:r>
      <w:r w:rsidR="0073086E" w:rsidRPr="0073086E">
        <w:rPr>
          <w:szCs w:val="24"/>
        </w:rPr>
        <w:t xml:space="preserve"> the acres enrolled in the FDACS BMP Program by manual. Given that the enrolled acres where BMPs are implemented can contain nonproduction acres (such as buildings, parking lots, and fallow acres), </w:t>
      </w:r>
      <w:r w:rsidR="00EE6C95">
        <w:rPr>
          <w:szCs w:val="24"/>
        </w:rPr>
        <w:t xml:space="preserve">only </w:t>
      </w:r>
      <w:r w:rsidR="0073086E" w:rsidRPr="0073086E">
        <w:rPr>
          <w:szCs w:val="24"/>
        </w:rPr>
        <w:t xml:space="preserve">the enrollment for the land classified as agriculture based on the FSAID is also included in the tables. </w:t>
      </w:r>
    </w:p>
    <w:p w14:paraId="48693BAA" w14:textId="77777777" w:rsidR="0073086E" w:rsidRPr="0073086E" w:rsidRDefault="0073086E" w:rsidP="0073086E">
      <w:pPr>
        <w:pStyle w:val="BodyText"/>
        <w:rPr>
          <w:b/>
          <w:szCs w:val="24"/>
        </w:rPr>
      </w:pPr>
      <w:r w:rsidRPr="0073086E">
        <w:rPr>
          <w:szCs w:val="24"/>
        </w:rPr>
        <w:t>As of December 31, 2017, the NOIs cover approximately 29,877 acres in the Jackson Blue Springshed and Merritts Mill Pond Basin. No producers are conducting water quality monitoring in lieu of implementing BMPs at this time.</w:t>
      </w:r>
    </w:p>
    <w:p w14:paraId="0822BB8F" w14:textId="77777777" w:rsidR="0073086E" w:rsidRPr="0073086E" w:rsidRDefault="0073086E" w:rsidP="0073086E">
      <w:pPr>
        <w:rPr>
          <w:rFonts w:ascii="Times New Roman" w:hAnsi="Times New Roman"/>
          <w:sz w:val="24"/>
          <w:szCs w:val="24"/>
        </w:rPr>
      </w:pPr>
      <w:r w:rsidRPr="0073086E">
        <w:rPr>
          <w:rFonts w:ascii="Times New Roman" w:hAnsi="Times New Roman"/>
          <w:noProof/>
          <w:sz w:val="24"/>
          <w:szCs w:val="24"/>
        </w:rPr>
        <mc:AlternateContent>
          <mc:Choice Requires="wps">
            <w:drawing>
              <wp:anchor distT="45720" distB="45720" distL="114300" distR="114300" simplePos="0" relativeHeight="251681792" behindDoc="0" locked="0" layoutInCell="1" allowOverlap="1" wp14:anchorId="3F274F02" wp14:editId="620ECBDA">
                <wp:simplePos x="0" y="0"/>
                <wp:positionH relativeFrom="margin">
                  <wp:posOffset>143256</wp:posOffset>
                </wp:positionH>
                <wp:positionV relativeFrom="page">
                  <wp:posOffset>7766304</wp:posOffset>
                </wp:positionV>
                <wp:extent cx="5535168" cy="584708"/>
                <wp:effectExtent l="0" t="0" r="2794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168" cy="584708"/>
                        </a:xfrm>
                        <a:prstGeom prst="rect">
                          <a:avLst/>
                        </a:prstGeom>
                        <a:solidFill>
                          <a:srgbClr val="FFFFFF"/>
                        </a:solidFill>
                        <a:ln w="9525">
                          <a:solidFill>
                            <a:srgbClr val="000000"/>
                          </a:solidFill>
                          <a:miter lim="800000"/>
                          <a:headEnd/>
                          <a:tailEnd/>
                        </a:ln>
                      </wps:spPr>
                      <wps:txbx>
                        <w:txbxContent>
                          <w:p w14:paraId="75D87428" w14:textId="77777777" w:rsidR="009B7C90" w:rsidRPr="003228B2" w:rsidRDefault="009B7C90" w:rsidP="0073086E">
                            <w:pPr>
                              <w:rPr>
                                <w:sz w:val="16"/>
                                <w:szCs w:val="16"/>
                              </w:rPr>
                            </w:pPr>
                            <w:r w:rsidRPr="003228B2">
                              <w:rPr>
                                <w:sz w:val="16"/>
                                <w:szCs w:val="16"/>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p w14:paraId="0BED194C" w14:textId="77777777" w:rsidR="009B7C90" w:rsidRPr="003228B2" w:rsidRDefault="009B7C90" w:rsidP="0073086E">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74F02" id="_x0000_s1027" type="#_x0000_t202" style="position:absolute;left:0;text-align:left;margin-left:11.3pt;margin-top:611.5pt;width:435.85pt;height:46.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">
                <v:textbox>
                  <w:txbxContent>
                    <w:p w14:paraId="75D87428" w14:textId="77777777" w:rsidR="009B7C90" w:rsidRPr="003228B2" w:rsidRDefault="009B7C90" w:rsidP="0073086E">
                      <w:pPr>
                        <w:rPr>
                          <w:sz w:val="16"/>
                          <w:szCs w:val="16"/>
                        </w:rPr>
                      </w:pPr>
                      <w:r w:rsidRPr="003228B2">
                        <w:rPr>
                          <w:sz w:val="16"/>
                          <w:szCs w:val="16"/>
                        </w:rPr>
                        <w:t xml:space="preserve">This map is the product of the Department of Agriculture and Consumer Services, Office of Agricultural Water Policy. It represents estimated areas of production agriculture, it is not binding, and does not otherwise affect the interests of any persons, including any vested rights or existing uses of real property. The accuracy and reliability of this map is not guaranteed. Production agricultural acreage is affected by continual changes in land use, crop production, and other socioeconomic factors. </w:t>
                      </w:r>
                    </w:p>
                    <w:p w14:paraId="0BED194C" w14:textId="77777777" w:rsidR="009B7C90" w:rsidRPr="003228B2" w:rsidRDefault="009B7C90" w:rsidP="0073086E">
                      <w:pPr>
                        <w:rPr>
                          <w:sz w:val="16"/>
                          <w:szCs w:val="16"/>
                        </w:rPr>
                      </w:pPr>
                    </w:p>
                  </w:txbxContent>
                </v:textbox>
                <w10:wrap anchorx="margin" anchory="page"/>
              </v:shape>
            </w:pict>
          </mc:Fallback>
        </mc:AlternateContent>
      </w:r>
      <w:r w:rsidRPr="0073086E">
        <w:rPr>
          <w:rFonts w:ascii="Times New Roman" w:hAnsi="Times New Roman"/>
          <w:noProof/>
          <w:sz w:val="24"/>
          <w:szCs w:val="24"/>
        </w:rPr>
        <w:drawing>
          <wp:inline distT="0" distB="0" distL="0" distR="0" wp14:anchorId="6CAF5903" wp14:editId="1DF6BABC">
            <wp:extent cx="5815584" cy="7525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I_12312017_JBBMAP.jpg"/>
                    <pic:cNvPicPr/>
                  </pic:nvPicPr>
                  <pic:blipFill>
                    <a:blip r:embed="rId28">
                      <a:extLst>
                        <a:ext uri="{28A0092B-C50C-407E-A947-70E740481C1C}">
                          <a14:useLocalDpi xmlns:a14="http://schemas.microsoft.com/office/drawing/2010/main" val="0"/>
                        </a:ext>
                      </a:extLst>
                    </a:blip>
                    <a:stretch>
                      <a:fillRect/>
                    </a:stretch>
                  </pic:blipFill>
                  <pic:spPr>
                    <a:xfrm>
                      <a:off x="0" y="0"/>
                      <a:ext cx="5815584" cy="7525512"/>
                    </a:xfrm>
                    <a:prstGeom prst="rect">
                      <a:avLst/>
                    </a:prstGeom>
                  </pic:spPr>
                </pic:pic>
              </a:graphicData>
            </a:graphic>
          </wp:inline>
        </w:drawing>
      </w:r>
    </w:p>
    <w:p w14:paraId="37820569" w14:textId="5C2EA0A7" w:rsidR="0073086E" w:rsidRPr="0073086E" w:rsidRDefault="008D2A93" w:rsidP="00790286">
      <w:pPr>
        <w:pStyle w:val="Caption"/>
      </w:pPr>
      <w:bookmarkStart w:id="211" w:name="_Toc481069281"/>
      <w:bookmarkStart w:id="212" w:name="_Toc503356964"/>
      <w:bookmarkStart w:id="213" w:name="_Toc511132600"/>
      <w:bookmarkStart w:id="214" w:name="_Toc514430980"/>
      <w:r>
        <w:t>Table F-</w:t>
      </w:r>
      <w:fldSimple w:instr=" SEQ Table_F- \* ARABIC ">
        <w:r w:rsidR="002A2E30">
          <w:rPr>
            <w:noProof/>
          </w:rPr>
          <w:t>5</w:t>
        </w:r>
      </w:fldSimple>
      <w:r w:rsidR="008941E0">
        <w:t xml:space="preserve">. </w:t>
      </w:r>
      <w:r w:rsidR="0073086E" w:rsidRPr="0073086E">
        <w:t xml:space="preserve">BMP enrollment in the Jackson Blue Springshed and Merritts Mill Pond as of </w:t>
      </w:r>
      <w:bookmarkEnd w:id="211"/>
      <w:bookmarkEnd w:id="212"/>
      <w:r w:rsidR="0073086E" w:rsidRPr="0073086E">
        <w:t>December 31, 2018</w:t>
      </w:r>
      <w:bookmarkEnd w:id="213"/>
      <w:bookmarkEnd w:id="214"/>
    </w:p>
    <w:p w14:paraId="12166A49" w14:textId="77777777" w:rsidR="0073086E" w:rsidRPr="0073086E" w:rsidRDefault="0073086E" w:rsidP="0073086E">
      <w:pPr>
        <w:pStyle w:val="Table"/>
        <w:rPr>
          <w:rFonts w:ascii="Times New Roman" w:hAnsi="Times New Roman"/>
          <w:szCs w:val="24"/>
        </w:rPr>
      </w:pPr>
      <w:bookmarkStart w:id="215" w:name="_Toc503356998"/>
      <w:bookmarkStart w:id="216" w:name="_Toc426464324"/>
    </w:p>
    <w:p w14:paraId="00F81D88" w14:textId="4500B6D7" w:rsidR="0073086E" w:rsidRPr="008344EA" w:rsidRDefault="008D2A93" w:rsidP="00790286">
      <w:pPr>
        <w:pStyle w:val="Caption"/>
      </w:pPr>
      <w:bookmarkStart w:id="217" w:name="_Toc481069351"/>
      <w:bookmarkStart w:id="218" w:name="_Toc514430981"/>
      <w:r>
        <w:t>Table F-</w:t>
      </w:r>
      <w:fldSimple w:instr=" SEQ Table_F- \* ARABIC ">
        <w:r w:rsidR="002A2E30">
          <w:rPr>
            <w:noProof/>
          </w:rPr>
          <w:t>6</w:t>
        </w:r>
      </w:fldSimple>
      <w:r w:rsidR="008941E0">
        <w:t xml:space="preserve">. </w:t>
      </w:r>
      <w:r w:rsidR="0073086E" w:rsidRPr="008344EA">
        <w:t xml:space="preserve">Agricultural acreage and BMP enrollment in the Jackson Blue Springshed and Merritts Mill Pond Basin as of </w:t>
      </w:r>
      <w:bookmarkEnd w:id="215"/>
      <w:bookmarkEnd w:id="217"/>
      <w:r w:rsidR="0073086E" w:rsidRPr="008344EA">
        <w:t>December 31, 2017</w:t>
      </w:r>
      <w:bookmarkEnd w:id="218"/>
    </w:p>
    <w:tbl>
      <w:tblPr>
        <w:tblW w:w="8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1980"/>
        <w:gridCol w:w="2706"/>
      </w:tblGrid>
      <w:tr w:rsidR="0073086E" w:rsidRPr="0073086E" w14:paraId="7E4DA865" w14:textId="77777777" w:rsidTr="00105F91">
        <w:trPr>
          <w:cantSplit/>
          <w:trHeight w:val="360"/>
          <w:jc w:val="center"/>
        </w:trPr>
        <w:tc>
          <w:tcPr>
            <w:tcW w:w="3585" w:type="dxa"/>
            <w:shd w:val="clear" w:color="auto" w:fill="DEEAF6" w:themeFill="accent1" w:themeFillTint="33"/>
            <w:vAlign w:val="bottom"/>
          </w:tcPr>
          <w:p w14:paraId="4991A7EC" w14:textId="77777777" w:rsidR="0073086E" w:rsidRPr="00652FC6" w:rsidRDefault="0073086E" w:rsidP="00105F91">
            <w:pPr>
              <w:pStyle w:val="TableText"/>
              <w:keepNext/>
              <w:snapToGrid w:val="0"/>
              <w:jc w:val="center"/>
              <w:rPr>
                <w:b/>
                <w:szCs w:val="24"/>
              </w:rPr>
            </w:pPr>
            <w:r w:rsidRPr="00652FC6">
              <w:rPr>
                <w:b/>
                <w:szCs w:val="24"/>
              </w:rPr>
              <w:t>Related FDACS BMP Programs</w:t>
            </w:r>
          </w:p>
        </w:tc>
        <w:tc>
          <w:tcPr>
            <w:tcW w:w="1980" w:type="dxa"/>
            <w:shd w:val="clear" w:color="auto" w:fill="DEEAF6" w:themeFill="accent1" w:themeFillTint="33"/>
            <w:vAlign w:val="bottom"/>
          </w:tcPr>
          <w:p w14:paraId="73E3E771" w14:textId="77777777" w:rsidR="0073086E" w:rsidRPr="00652FC6" w:rsidRDefault="0073086E" w:rsidP="00105F91">
            <w:pPr>
              <w:pStyle w:val="TableText"/>
              <w:keepNext/>
              <w:snapToGrid w:val="0"/>
              <w:jc w:val="center"/>
              <w:rPr>
                <w:b/>
                <w:szCs w:val="24"/>
              </w:rPr>
            </w:pPr>
            <w:r w:rsidRPr="00652FC6">
              <w:rPr>
                <w:b/>
                <w:szCs w:val="24"/>
              </w:rPr>
              <w:t>NOI Acreage Enrolled</w:t>
            </w:r>
          </w:p>
        </w:tc>
        <w:tc>
          <w:tcPr>
            <w:tcW w:w="2706" w:type="dxa"/>
            <w:shd w:val="clear" w:color="auto" w:fill="DEEAF6" w:themeFill="accent1" w:themeFillTint="33"/>
            <w:vAlign w:val="bottom"/>
          </w:tcPr>
          <w:p w14:paraId="0932D623" w14:textId="77777777" w:rsidR="0073086E" w:rsidRPr="00652FC6" w:rsidRDefault="0073086E" w:rsidP="00105F91">
            <w:pPr>
              <w:pStyle w:val="TableText"/>
              <w:keepNext/>
              <w:snapToGrid w:val="0"/>
              <w:jc w:val="center"/>
              <w:rPr>
                <w:b/>
                <w:szCs w:val="24"/>
              </w:rPr>
            </w:pPr>
            <w:r w:rsidRPr="00652FC6">
              <w:rPr>
                <w:b/>
                <w:szCs w:val="24"/>
              </w:rPr>
              <w:t>FSAID Agricultural Land Use Acres within NOIs</w:t>
            </w:r>
          </w:p>
        </w:tc>
      </w:tr>
      <w:tr w:rsidR="0073086E" w:rsidRPr="0073086E" w14:paraId="617A3341" w14:textId="77777777" w:rsidTr="00105F91">
        <w:trPr>
          <w:cantSplit/>
          <w:trHeight w:val="360"/>
          <w:jc w:val="center"/>
        </w:trPr>
        <w:tc>
          <w:tcPr>
            <w:tcW w:w="3585" w:type="dxa"/>
            <w:shd w:val="clear" w:color="auto" w:fill="auto"/>
            <w:vAlign w:val="center"/>
          </w:tcPr>
          <w:p w14:paraId="044226ED" w14:textId="77777777" w:rsidR="0073086E" w:rsidRPr="00652FC6" w:rsidRDefault="0073086E" w:rsidP="00105F91">
            <w:pPr>
              <w:keepNext/>
              <w:snapToGrid w:val="0"/>
              <w:jc w:val="center"/>
              <w:rPr>
                <w:rFonts w:ascii="Times New Roman" w:hAnsi="Times New Roman"/>
                <w:b/>
                <w:bCs/>
                <w:color w:val="000000"/>
                <w:sz w:val="20"/>
                <w:szCs w:val="24"/>
              </w:rPr>
            </w:pPr>
            <w:r w:rsidRPr="00652FC6">
              <w:rPr>
                <w:rFonts w:ascii="Times New Roman" w:hAnsi="Times New Roman"/>
                <w:b/>
                <w:bCs/>
                <w:color w:val="000000"/>
                <w:sz w:val="20"/>
                <w:szCs w:val="24"/>
              </w:rPr>
              <w:t>Cow/Calf Operations</w:t>
            </w:r>
          </w:p>
        </w:tc>
        <w:tc>
          <w:tcPr>
            <w:tcW w:w="1980" w:type="dxa"/>
            <w:shd w:val="clear" w:color="auto" w:fill="auto"/>
            <w:vAlign w:val="center"/>
          </w:tcPr>
          <w:p w14:paraId="78DC0BDD"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3,159</w:t>
            </w:r>
          </w:p>
        </w:tc>
        <w:tc>
          <w:tcPr>
            <w:tcW w:w="2706" w:type="dxa"/>
            <w:vAlign w:val="center"/>
          </w:tcPr>
          <w:p w14:paraId="2CC01F36"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2,086</w:t>
            </w:r>
          </w:p>
        </w:tc>
      </w:tr>
      <w:tr w:rsidR="0073086E" w:rsidRPr="0073086E" w14:paraId="3746BF50" w14:textId="77777777" w:rsidTr="00105F91">
        <w:trPr>
          <w:cantSplit/>
          <w:trHeight w:val="360"/>
          <w:jc w:val="center"/>
        </w:trPr>
        <w:tc>
          <w:tcPr>
            <w:tcW w:w="3585" w:type="dxa"/>
            <w:shd w:val="clear" w:color="auto" w:fill="auto"/>
            <w:vAlign w:val="center"/>
          </w:tcPr>
          <w:p w14:paraId="280D403F" w14:textId="77777777" w:rsidR="0073086E" w:rsidRPr="00652FC6" w:rsidRDefault="0073086E" w:rsidP="00105F91">
            <w:pPr>
              <w:keepNext/>
              <w:snapToGrid w:val="0"/>
              <w:jc w:val="center"/>
              <w:rPr>
                <w:rFonts w:ascii="Times New Roman" w:hAnsi="Times New Roman"/>
                <w:b/>
                <w:bCs/>
                <w:color w:val="000000"/>
                <w:sz w:val="20"/>
                <w:szCs w:val="24"/>
              </w:rPr>
            </w:pPr>
            <w:r w:rsidRPr="00652FC6">
              <w:rPr>
                <w:rFonts w:ascii="Times New Roman" w:hAnsi="Times New Roman"/>
                <w:b/>
                <w:bCs/>
                <w:color w:val="000000"/>
                <w:sz w:val="20"/>
                <w:szCs w:val="24"/>
              </w:rPr>
              <w:t>Cow/Calf Operations and Row/Field Crops</w:t>
            </w:r>
          </w:p>
        </w:tc>
        <w:tc>
          <w:tcPr>
            <w:tcW w:w="1980" w:type="dxa"/>
            <w:shd w:val="clear" w:color="auto" w:fill="auto"/>
            <w:vAlign w:val="center"/>
          </w:tcPr>
          <w:p w14:paraId="1F667F7D"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2,923,</w:t>
            </w:r>
          </w:p>
        </w:tc>
        <w:tc>
          <w:tcPr>
            <w:tcW w:w="2706" w:type="dxa"/>
            <w:vAlign w:val="center"/>
          </w:tcPr>
          <w:p w14:paraId="3A35A6A4"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2,191</w:t>
            </w:r>
          </w:p>
        </w:tc>
      </w:tr>
      <w:tr w:rsidR="0073086E" w:rsidRPr="0073086E" w14:paraId="3A071D3E" w14:textId="77777777" w:rsidTr="00105F91">
        <w:trPr>
          <w:cantSplit/>
          <w:trHeight w:val="360"/>
          <w:jc w:val="center"/>
        </w:trPr>
        <w:tc>
          <w:tcPr>
            <w:tcW w:w="3585" w:type="dxa"/>
            <w:shd w:val="clear" w:color="auto" w:fill="auto"/>
            <w:vAlign w:val="center"/>
          </w:tcPr>
          <w:p w14:paraId="302642D2" w14:textId="77777777" w:rsidR="0073086E" w:rsidRPr="00652FC6" w:rsidRDefault="0073086E" w:rsidP="00105F91">
            <w:pPr>
              <w:keepNext/>
              <w:snapToGrid w:val="0"/>
              <w:jc w:val="center"/>
              <w:rPr>
                <w:rFonts w:ascii="Times New Roman" w:hAnsi="Times New Roman"/>
                <w:b/>
                <w:bCs/>
                <w:color w:val="000000"/>
                <w:sz w:val="20"/>
                <w:szCs w:val="24"/>
              </w:rPr>
            </w:pPr>
            <w:r w:rsidRPr="00652FC6">
              <w:rPr>
                <w:rFonts w:ascii="Times New Roman" w:hAnsi="Times New Roman"/>
                <w:b/>
                <w:bCs/>
                <w:color w:val="000000"/>
                <w:sz w:val="20"/>
                <w:szCs w:val="24"/>
              </w:rPr>
              <w:t>Row Field Crops</w:t>
            </w:r>
          </w:p>
        </w:tc>
        <w:tc>
          <w:tcPr>
            <w:tcW w:w="1980" w:type="dxa"/>
            <w:shd w:val="clear" w:color="auto" w:fill="auto"/>
            <w:vAlign w:val="center"/>
          </w:tcPr>
          <w:p w14:paraId="46DE3533"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23,795</w:t>
            </w:r>
          </w:p>
        </w:tc>
        <w:tc>
          <w:tcPr>
            <w:tcW w:w="2706" w:type="dxa"/>
            <w:vAlign w:val="center"/>
          </w:tcPr>
          <w:p w14:paraId="55ABC73C" w14:textId="77777777" w:rsidR="0073086E" w:rsidRPr="00652FC6" w:rsidRDefault="0073086E" w:rsidP="00105F91">
            <w:pPr>
              <w:keepNext/>
              <w:snapToGrid w:val="0"/>
              <w:jc w:val="center"/>
              <w:rPr>
                <w:rFonts w:ascii="Times New Roman" w:hAnsi="Times New Roman"/>
                <w:color w:val="000000"/>
                <w:sz w:val="20"/>
                <w:szCs w:val="24"/>
              </w:rPr>
            </w:pPr>
            <w:r w:rsidRPr="00652FC6">
              <w:rPr>
                <w:rFonts w:ascii="Times New Roman" w:hAnsi="Times New Roman"/>
                <w:color w:val="000000"/>
                <w:sz w:val="20"/>
                <w:szCs w:val="24"/>
              </w:rPr>
              <w:t>18,885</w:t>
            </w:r>
          </w:p>
        </w:tc>
      </w:tr>
      <w:tr w:rsidR="0073086E" w:rsidRPr="0073086E" w14:paraId="6FBA9834" w14:textId="77777777" w:rsidTr="00105F91">
        <w:trPr>
          <w:cantSplit/>
          <w:trHeight w:val="360"/>
          <w:jc w:val="center"/>
        </w:trPr>
        <w:tc>
          <w:tcPr>
            <w:tcW w:w="3585" w:type="dxa"/>
            <w:shd w:val="clear" w:color="auto" w:fill="FFF2CC" w:themeFill="accent4" w:themeFillTint="33"/>
            <w:vAlign w:val="center"/>
          </w:tcPr>
          <w:p w14:paraId="3DF9A233" w14:textId="77777777" w:rsidR="0073086E" w:rsidRPr="00652FC6" w:rsidRDefault="0073086E" w:rsidP="00105F91">
            <w:pPr>
              <w:pStyle w:val="TableText"/>
              <w:snapToGrid w:val="0"/>
              <w:jc w:val="center"/>
              <w:rPr>
                <w:b/>
                <w:color w:val="000000"/>
                <w:szCs w:val="24"/>
              </w:rPr>
            </w:pPr>
            <w:r w:rsidRPr="00652FC6">
              <w:rPr>
                <w:b/>
                <w:color w:val="000000"/>
                <w:szCs w:val="24"/>
              </w:rPr>
              <w:t>Total</w:t>
            </w:r>
          </w:p>
        </w:tc>
        <w:tc>
          <w:tcPr>
            <w:tcW w:w="1980" w:type="dxa"/>
            <w:shd w:val="clear" w:color="auto" w:fill="FFF2CC" w:themeFill="accent4" w:themeFillTint="33"/>
            <w:vAlign w:val="center"/>
          </w:tcPr>
          <w:p w14:paraId="2CD04DBA" w14:textId="77777777" w:rsidR="0073086E" w:rsidRPr="00652FC6" w:rsidRDefault="0073086E" w:rsidP="00105F91">
            <w:pPr>
              <w:pStyle w:val="TableText"/>
              <w:snapToGrid w:val="0"/>
              <w:jc w:val="center"/>
              <w:rPr>
                <w:b/>
                <w:smallCaps/>
                <w:color w:val="000000"/>
                <w:szCs w:val="24"/>
              </w:rPr>
            </w:pPr>
            <w:r w:rsidRPr="00652FC6">
              <w:rPr>
                <w:b/>
                <w:smallCaps/>
                <w:color w:val="000000"/>
                <w:szCs w:val="24"/>
              </w:rPr>
              <w:t>29,877</w:t>
            </w:r>
          </w:p>
        </w:tc>
        <w:tc>
          <w:tcPr>
            <w:tcW w:w="2706" w:type="dxa"/>
            <w:shd w:val="clear" w:color="auto" w:fill="FFF2CC" w:themeFill="accent4" w:themeFillTint="33"/>
            <w:vAlign w:val="center"/>
          </w:tcPr>
          <w:p w14:paraId="4E42B22F" w14:textId="77777777" w:rsidR="0073086E" w:rsidRPr="00652FC6" w:rsidRDefault="0073086E" w:rsidP="00105F91">
            <w:pPr>
              <w:keepNext/>
              <w:snapToGrid w:val="0"/>
              <w:jc w:val="center"/>
              <w:rPr>
                <w:rFonts w:ascii="Times New Roman" w:hAnsi="Times New Roman"/>
                <w:b/>
                <w:bCs/>
                <w:color w:val="000000"/>
                <w:sz w:val="20"/>
                <w:szCs w:val="24"/>
              </w:rPr>
            </w:pPr>
            <w:r w:rsidRPr="00652FC6">
              <w:rPr>
                <w:rFonts w:ascii="Times New Roman" w:hAnsi="Times New Roman"/>
                <w:b/>
                <w:bCs/>
                <w:color w:val="000000"/>
                <w:sz w:val="20"/>
                <w:szCs w:val="24"/>
              </w:rPr>
              <w:t>23,162</w:t>
            </w:r>
          </w:p>
        </w:tc>
      </w:tr>
    </w:tbl>
    <w:p w14:paraId="646DE8A4" w14:textId="77777777" w:rsidR="0073086E" w:rsidRPr="0073086E" w:rsidRDefault="0073086E" w:rsidP="0073086E">
      <w:pPr>
        <w:ind w:left="90" w:hanging="90"/>
        <w:rPr>
          <w:rFonts w:ascii="Times New Roman" w:hAnsi="Times New Roman"/>
          <w:sz w:val="24"/>
          <w:szCs w:val="24"/>
        </w:rPr>
      </w:pPr>
    </w:p>
    <w:p w14:paraId="20536F0F" w14:textId="47732C33" w:rsidR="0073086E" w:rsidRPr="00EB284B" w:rsidRDefault="008D2A93" w:rsidP="0073086E">
      <w:pPr>
        <w:pStyle w:val="BodyText"/>
        <w:rPr>
          <w:b/>
          <w:sz w:val="28"/>
          <w:szCs w:val="28"/>
        </w:rPr>
      </w:pPr>
      <w:bookmarkStart w:id="219" w:name="_Toc426464325"/>
      <w:bookmarkEnd w:id="216"/>
      <w:r>
        <w:rPr>
          <w:b/>
          <w:sz w:val="28"/>
          <w:szCs w:val="28"/>
        </w:rPr>
        <w:t>F</w:t>
      </w:r>
      <w:r w:rsidR="0073086E" w:rsidRPr="00EB284B">
        <w:rPr>
          <w:b/>
          <w:sz w:val="28"/>
          <w:szCs w:val="28"/>
        </w:rPr>
        <w:t>.4</w:t>
      </w:r>
      <w:r w:rsidR="0073086E" w:rsidRPr="00EB284B">
        <w:rPr>
          <w:b/>
          <w:sz w:val="28"/>
          <w:szCs w:val="28"/>
        </w:rPr>
        <w:tab/>
        <w:t>FDACS OAWP Role in BMP Implementation and Follow-Up</w:t>
      </w:r>
      <w:bookmarkEnd w:id="219"/>
    </w:p>
    <w:p w14:paraId="73332470" w14:textId="4C5EBD90" w:rsidR="0073086E" w:rsidRPr="0073086E" w:rsidRDefault="0073086E" w:rsidP="0073086E">
      <w:pPr>
        <w:pStyle w:val="BodyText"/>
        <w:rPr>
          <w:szCs w:val="24"/>
        </w:rPr>
      </w:pPr>
      <w:r w:rsidRPr="0073086E">
        <w:rPr>
          <w:szCs w:val="24"/>
        </w:rPr>
        <w:t>OAWP works with producers to submit NOIs to implement the BMPs applicable to their operations, provides technical assistance to growers, and distributes cost-share funding, as available, to eligible producers for selected practices. OAWP follows up with growers through site visits to evaluate the level of BMP implementation and record keeping, identify areas for improvement, if any, and discuss cost-share opportunities.</w:t>
      </w:r>
    </w:p>
    <w:p w14:paraId="0C09DEFE" w14:textId="77777777" w:rsidR="0073086E" w:rsidRPr="0073086E" w:rsidRDefault="0073086E" w:rsidP="0073086E">
      <w:pPr>
        <w:pStyle w:val="BodyText"/>
        <w:rPr>
          <w:szCs w:val="24"/>
        </w:rPr>
      </w:pPr>
      <w:r w:rsidRPr="0073086E">
        <w:rPr>
          <w:szCs w:val="24"/>
        </w:rPr>
        <w:t>When DEP adopts a BMAP that includes agriculture, it is the agricultural producer’s responsibility to implement BMPs adopted by FDACS to help achieve load reductions. If land use acreage corrections and BMP implementation do not fully account for the current agricultural load reduction allocation, it may be necessary to develop and implement additional projects and practices that reduce nutrients from agricultural nonpoint sources. In that case, FDACS will work with DEP and NWFWMD to identify appropriate options for achieving further agricultural load reductions.</w:t>
      </w:r>
    </w:p>
    <w:p w14:paraId="71BC64F3" w14:textId="77777777" w:rsidR="0073086E" w:rsidRPr="0073086E" w:rsidRDefault="0073086E" w:rsidP="0073086E">
      <w:pPr>
        <w:pStyle w:val="BodyText"/>
        <w:rPr>
          <w:szCs w:val="24"/>
        </w:rPr>
      </w:pPr>
      <w:r w:rsidRPr="0073086E">
        <w:rPr>
          <w:szCs w:val="24"/>
        </w:rPr>
        <w:t>Section 403.067, F.S., requires that, where water quality problems are demonstrated despite the proper implementation of adopted agricultural BMPs, FDACS must reevaluate the practices, in consultation with DEP, and modify them if necessary. Continuing water quality problems will be detected through the BMAP monitoring component and other DEP and NWFWMD activities. If a reevaluation of the BMPs is needed, FDACS will also include NWFWMD and other partners in the process.</w:t>
      </w:r>
    </w:p>
    <w:p w14:paraId="6379C4B2" w14:textId="48FE0E8C" w:rsidR="0073086E" w:rsidRPr="00EB284B" w:rsidRDefault="008D2A93" w:rsidP="00EB284B">
      <w:pPr>
        <w:pStyle w:val="BodyText"/>
        <w:rPr>
          <w:b/>
          <w:sz w:val="28"/>
          <w:szCs w:val="28"/>
        </w:rPr>
      </w:pPr>
      <w:r>
        <w:rPr>
          <w:b/>
          <w:sz w:val="28"/>
          <w:szCs w:val="28"/>
        </w:rPr>
        <w:t>F</w:t>
      </w:r>
      <w:r w:rsidR="0073086E" w:rsidRPr="00EB284B">
        <w:rPr>
          <w:b/>
          <w:sz w:val="28"/>
          <w:szCs w:val="28"/>
        </w:rPr>
        <w:t>.5</w:t>
      </w:r>
      <w:r w:rsidR="0073086E" w:rsidRPr="00EB284B">
        <w:rPr>
          <w:b/>
          <w:sz w:val="28"/>
          <w:szCs w:val="28"/>
        </w:rPr>
        <w:tab/>
        <w:t>OAWP Implementation Assurance Program</w:t>
      </w:r>
    </w:p>
    <w:p w14:paraId="517BDBC5" w14:textId="77777777" w:rsidR="0073086E" w:rsidRPr="0073086E" w:rsidRDefault="0073086E" w:rsidP="0073086E">
      <w:pPr>
        <w:pStyle w:val="BodyText"/>
        <w:rPr>
          <w:szCs w:val="24"/>
        </w:rPr>
      </w:pPr>
      <w:r w:rsidRPr="0073086E">
        <w:rPr>
          <w:szCs w:val="24"/>
        </w:rPr>
        <w:t xml:space="preserve">OAWP formally established its Implementation Assurance (IA) Program in 2005 in the Suwannee River Basin as part of the multi-agency/local stakeholder Suwannee River Partnership. In 2007, OAWP initiated the IA Program in the Lake Okeechobee Watershed and launched a standardized follow-up program for the remaining areas of the state in 2013, beginning with the Ridge Citrus and Indian River Citrus BMPs. Because of program-specific needs, the follow up process for each of these three components was different. In early 2014, OAWP began to streamline the IA Program to ensure consistency statewide and across commodities and BMP manuals. </w:t>
      </w:r>
    </w:p>
    <w:p w14:paraId="17AAFF1E" w14:textId="77777777" w:rsidR="0073086E" w:rsidRPr="0073086E" w:rsidRDefault="0073086E" w:rsidP="0073086E">
      <w:pPr>
        <w:pStyle w:val="BodyText"/>
        <w:rPr>
          <w:szCs w:val="24"/>
        </w:rPr>
      </w:pPr>
      <w:r w:rsidRPr="0073086E">
        <w:rPr>
          <w:szCs w:val="24"/>
        </w:rPr>
        <w:t xml:space="preserve">The IA Program was based on interactions with producers during a site visit by OAWP staff. Site visits were conducted by OAWP field staff and technicians as workload allowed. For the visits, field staff and technicians used a standard form (not BMP specific) developed in 2014. This form focused on nutrient management, irrigation management, and water resource protection BMPs common to all of the BMPs that were adopted by rule.  The paper forms were submitted to OAWP staff and compiled into a spreadsheet, and the data are reported annually. </w:t>
      </w:r>
    </w:p>
    <w:p w14:paraId="1609E09E" w14:textId="77777777" w:rsidR="0073086E" w:rsidRPr="0073086E" w:rsidRDefault="0073086E" w:rsidP="0073086E">
      <w:pPr>
        <w:pStyle w:val="BodyText"/>
        <w:rPr>
          <w:szCs w:val="24"/>
        </w:rPr>
      </w:pPr>
      <w:r w:rsidRPr="0073086E">
        <w:rPr>
          <w:szCs w:val="24"/>
        </w:rPr>
        <w:t xml:space="preserve">Additional emphasis was given to verifying the implementation of BMPs by enrolled producers with the enactment of Chapter 2016-1, Laws of Florida. That legislation directed OAWP to formalize an Implementation Verification (IV) Program into rules. The IV rule, effective on November 1, 2017, provides the structure for a statewide uniform implementation verification system, including assessments of the status of implementation, compliance assistance to aid producers in achieving full implementation, and referral to DEP for producers who are not implementing BMPs., (Chapter 5M-1, F.A.C.). </w:t>
      </w:r>
    </w:p>
    <w:p w14:paraId="13FAC227" w14:textId="5580F869" w:rsidR="0073086E" w:rsidRPr="00EB284B" w:rsidRDefault="008D2A93" w:rsidP="00EB284B">
      <w:pPr>
        <w:pStyle w:val="BodyText"/>
        <w:rPr>
          <w:b/>
          <w:sz w:val="28"/>
          <w:szCs w:val="28"/>
        </w:rPr>
      </w:pPr>
      <w:r>
        <w:rPr>
          <w:b/>
          <w:sz w:val="28"/>
          <w:szCs w:val="28"/>
        </w:rPr>
        <w:t>F</w:t>
      </w:r>
      <w:r w:rsidR="0073086E" w:rsidRPr="00EB284B">
        <w:rPr>
          <w:b/>
          <w:sz w:val="28"/>
          <w:szCs w:val="28"/>
        </w:rPr>
        <w:t>.6</w:t>
      </w:r>
      <w:r w:rsidR="0073086E" w:rsidRPr="00EB284B">
        <w:rPr>
          <w:b/>
          <w:sz w:val="28"/>
          <w:szCs w:val="28"/>
        </w:rPr>
        <w:tab/>
        <w:t>Beyond BMPs</w:t>
      </w:r>
    </w:p>
    <w:p w14:paraId="15F700DA" w14:textId="77777777" w:rsidR="0073086E" w:rsidRPr="0073086E" w:rsidRDefault="0073086E" w:rsidP="0073086E">
      <w:pPr>
        <w:pStyle w:val="BodyText"/>
        <w:rPr>
          <w:szCs w:val="24"/>
        </w:rPr>
      </w:pPr>
      <w:r w:rsidRPr="0073086E">
        <w:rPr>
          <w:szCs w:val="24"/>
        </w:rPr>
        <w:t xml:space="preserve">Beyond enrolling producers in the FDACS BMP Program and verifying implementation, FDACS will work with DEP to improve the data used to estimate agricultural land uses in the springshed. FDACS will also work with producers to implement a suite of agricultural projects and research agricultural technologies on properties where they are deemed technically feasible and if funding is made available. </w:t>
      </w:r>
    </w:p>
    <w:p w14:paraId="3FE864E4" w14:textId="4FC6AF08" w:rsidR="0073086E" w:rsidRPr="0073086E" w:rsidRDefault="0073086E" w:rsidP="0073086E">
      <w:pPr>
        <w:pStyle w:val="BodyText"/>
        <w:rPr>
          <w:b/>
          <w:szCs w:val="24"/>
        </w:rPr>
      </w:pPr>
      <w:r w:rsidRPr="0073086E">
        <w:rPr>
          <w:b/>
          <w:szCs w:val="24"/>
        </w:rPr>
        <w:t xml:space="preserve">Table </w:t>
      </w:r>
      <w:r w:rsidR="008D2A93">
        <w:rPr>
          <w:b/>
          <w:szCs w:val="24"/>
        </w:rPr>
        <w:t>F</w:t>
      </w:r>
      <w:r w:rsidRPr="0073086E">
        <w:rPr>
          <w:b/>
          <w:szCs w:val="24"/>
        </w:rPr>
        <w:t>-6</w:t>
      </w:r>
      <w:r w:rsidRPr="0073086E">
        <w:rPr>
          <w:szCs w:val="24"/>
        </w:rPr>
        <w:t xml:space="preserve"> summarizes potential practices that could be implemented in this BMAP area. It is important to note that the research projects listed in the table are being conducted in the Suwannee River Basin. At some future point, the findings of these studies may be applicable to the Jackson Blue Springshed and Merritts Mill Pond Basin. Actual implementation would require funding as well as more detailed design based on specific information, such as actual applicable acreages and willing landowners.</w:t>
      </w:r>
    </w:p>
    <w:p w14:paraId="5173536C" w14:textId="4223CC54" w:rsidR="0073086E" w:rsidRPr="008344EA" w:rsidRDefault="008D2A93" w:rsidP="00790286">
      <w:pPr>
        <w:pStyle w:val="Caption"/>
      </w:pPr>
      <w:bookmarkStart w:id="220" w:name="_Toc503357000"/>
      <w:bookmarkStart w:id="221" w:name="_Toc514430982"/>
      <w:r>
        <w:t>Table F-</w:t>
      </w:r>
      <w:fldSimple w:instr=" SEQ Table_F- \* ARABIC ">
        <w:r w:rsidR="002A2E30">
          <w:rPr>
            <w:noProof/>
          </w:rPr>
          <w:t>7</w:t>
        </w:r>
      </w:fldSimple>
      <w:r>
        <w:t>. B</w:t>
      </w:r>
      <w:r w:rsidR="0073086E" w:rsidRPr="008344EA">
        <w:t xml:space="preserve">eyond BMP </w:t>
      </w:r>
      <w:r w:rsidR="008344EA">
        <w:t>i</w:t>
      </w:r>
      <w:r w:rsidR="0073086E" w:rsidRPr="008344EA">
        <w:t>mplementation</w:t>
      </w:r>
      <w:bookmarkEnd w:id="220"/>
      <w:bookmarkEnd w:id="221"/>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2520"/>
        <w:gridCol w:w="5405"/>
      </w:tblGrid>
      <w:tr w:rsidR="0073086E" w:rsidRPr="0073086E" w14:paraId="2B119B7A" w14:textId="77777777" w:rsidTr="00105F91">
        <w:trPr>
          <w:trHeight w:val="360"/>
          <w:tblHeader/>
          <w:jc w:val="center"/>
        </w:trPr>
        <w:tc>
          <w:tcPr>
            <w:tcW w:w="1530" w:type="dxa"/>
            <w:shd w:val="clear" w:color="auto" w:fill="DEEAF6" w:themeFill="accent1" w:themeFillTint="33"/>
            <w:vAlign w:val="bottom"/>
          </w:tcPr>
          <w:p w14:paraId="505432D8"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Category</w:t>
            </w:r>
          </w:p>
        </w:tc>
        <w:tc>
          <w:tcPr>
            <w:tcW w:w="2520" w:type="dxa"/>
            <w:shd w:val="clear" w:color="auto" w:fill="DEEAF6" w:themeFill="accent1" w:themeFillTint="33"/>
            <w:vAlign w:val="bottom"/>
          </w:tcPr>
          <w:p w14:paraId="492F75CA"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Name</w:t>
            </w:r>
          </w:p>
        </w:tc>
        <w:tc>
          <w:tcPr>
            <w:tcW w:w="5405" w:type="dxa"/>
            <w:shd w:val="clear" w:color="auto" w:fill="DEEAF6" w:themeFill="accent1" w:themeFillTint="33"/>
            <w:vAlign w:val="bottom"/>
          </w:tcPr>
          <w:p w14:paraId="3CC6A0BF"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Description</w:t>
            </w:r>
          </w:p>
        </w:tc>
      </w:tr>
      <w:tr w:rsidR="0073086E" w:rsidRPr="0073086E" w14:paraId="5971FA1E" w14:textId="77777777" w:rsidTr="00105F91">
        <w:trPr>
          <w:trHeight w:val="504"/>
          <w:jc w:val="center"/>
        </w:trPr>
        <w:tc>
          <w:tcPr>
            <w:tcW w:w="1530" w:type="dxa"/>
            <w:vAlign w:val="center"/>
          </w:tcPr>
          <w:p w14:paraId="5D8653DC"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Practices</w:t>
            </w:r>
          </w:p>
        </w:tc>
        <w:tc>
          <w:tcPr>
            <w:tcW w:w="2520" w:type="dxa"/>
            <w:vAlign w:val="center"/>
          </w:tcPr>
          <w:p w14:paraId="054C1623"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sz w:val="20"/>
                <w:szCs w:val="24"/>
              </w:rPr>
              <w:t>Precision Irrigation</w:t>
            </w:r>
          </w:p>
        </w:tc>
        <w:tc>
          <w:tcPr>
            <w:tcW w:w="5405" w:type="dxa"/>
            <w:vAlign w:val="center"/>
          </w:tcPr>
          <w:p w14:paraId="52F9EFD1" w14:textId="77777777" w:rsidR="0073086E" w:rsidRPr="00652FC6" w:rsidRDefault="0073086E" w:rsidP="00105F91">
            <w:pPr>
              <w:jc w:val="center"/>
              <w:rPr>
                <w:rFonts w:ascii="Times New Roman" w:hAnsi="Times New Roman"/>
                <w:bCs/>
                <w:color w:val="000000"/>
                <w:sz w:val="20"/>
                <w:szCs w:val="24"/>
              </w:rPr>
            </w:pPr>
            <w:r w:rsidRPr="00652FC6">
              <w:rPr>
                <w:rFonts w:ascii="Times New Roman" w:hAnsi="Times New Roman"/>
                <w:sz w:val="20"/>
                <w:szCs w:val="24"/>
              </w:rPr>
              <w:t>Deployment of equipment, procedures, and training to improve location, volume, and timing of irrigation to match crop needs more precisely.</w:t>
            </w:r>
          </w:p>
        </w:tc>
      </w:tr>
      <w:tr w:rsidR="0073086E" w:rsidRPr="0073086E" w14:paraId="0371FFFD" w14:textId="77777777" w:rsidTr="00105F91">
        <w:trPr>
          <w:trHeight w:val="504"/>
          <w:jc w:val="center"/>
        </w:trPr>
        <w:tc>
          <w:tcPr>
            <w:tcW w:w="1530" w:type="dxa"/>
            <w:vAlign w:val="center"/>
          </w:tcPr>
          <w:p w14:paraId="04953EE6" w14:textId="77777777" w:rsidR="0073086E" w:rsidRPr="00652FC6" w:rsidRDefault="0073086E" w:rsidP="00105F91">
            <w:pPr>
              <w:jc w:val="center"/>
              <w:rPr>
                <w:rFonts w:ascii="Times New Roman" w:hAnsi="Times New Roman"/>
                <w:b/>
                <w:bCs/>
                <w:color w:val="000000"/>
                <w:sz w:val="20"/>
                <w:szCs w:val="24"/>
              </w:rPr>
            </w:pPr>
            <w:r w:rsidRPr="00652FC6">
              <w:rPr>
                <w:rFonts w:ascii="Times New Roman" w:hAnsi="Times New Roman"/>
                <w:b/>
                <w:bCs/>
                <w:color w:val="000000"/>
                <w:sz w:val="20"/>
                <w:szCs w:val="24"/>
              </w:rPr>
              <w:t>Practices</w:t>
            </w:r>
          </w:p>
        </w:tc>
        <w:tc>
          <w:tcPr>
            <w:tcW w:w="2520" w:type="dxa"/>
            <w:vAlign w:val="center"/>
          </w:tcPr>
          <w:p w14:paraId="6C9AA38A" w14:textId="77777777" w:rsidR="0073086E" w:rsidRPr="00652FC6" w:rsidRDefault="0073086E" w:rsidP="00105F91">
            <w:pPr>
              <w:jc w:val="center"/>
              <w:rPr>
                <w:rFonts w:ascii="Times New Roman" w:hAnsi="Times New Roman"/>
                <w:sz w:val="20"/>
                <w:szCs w:val="24"/>
              </w:rPr>
            </w:pPr>
            <w:r w:rsidRPr="00652FC6">
              <w:rPr>
                <w:rFonts w:ascii="Times New Roman" w:hAnsi="Times New Roman"/>
                <w:bCs/>
                <w:color w:val="000000"/>
                <w:sz w:val="20"/>
                <w:szCs w:val="24"/>
              </w:rPr>
              <w:t>Soil Moisture Probes</w:t>
            </w:r>
          </w:p>
        </w:tc>
        <w:tc>
          <w:tcPr>
            <w:tcW w:w="5405" w:type="dxa"/>
            <w:vAlign w:val="center"/>
          </w:tcPr>
          <w:p w14:paraId="0380E8DC" w14:textId="77777777" w:rsidR="0073086E" w:rsidRPr="00652FC6" w:rsidRDefault="0073086E" w:rsidP="00105F91">
            <w:pPr>
              <w:jc w:val="center"/>
              <w:rPr>
                <w:rFonts w:ascii="Times New Roman" w:hAnsi="Times New Roman"/>
                <w:sz w:val="20"/>
                <w:szCs w:val="24"/>
              </w:rPr>
            </w:pPr>
            <w:r w:rsidRPr="00652FC6">
              <w:rPr>
                <w:rFonts w:ascii="Times New Roman" w:hAnsi="Times New Roman"/>
                <w:bCs/>
                <w:color w:val="000000"/>
                <w:sz w:val="20"/>
                <w:szCs w:val="24"/>
              </w:rPr>
              <w:t>Deployment, training, technical support, and use of soil moisture probes to manage irrigation systems.</w:t>
            </w:r>
          </w:p>
        </w:tc>
      </w:tr>
      <w:tr w:rsidR="0073086E" w:rsidRPr="0073086E" w14:paraId="529764F6" w14:textId="77777777" w:rsidTr="00105F91">
        <w:trPr>
          <w:trHeight w:val="504"/>
          <w:jc w:val="center"/>
        </w:trPr>
        <w:tc>
          <w:tcPr>
            <w:tcW w:w="1530" w:type="dxa"/>
            <w:vAlign w:val="center"/>
          </w:tcPr>
          <w:p w14:paraId="47764C00"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bCs/>
                <w:color w:val="000000"/>
                <w:sz w:val="20"/>
                <w:szCs w:val="24"/>
              </w:rPr>
              <w:t>Practices</w:t>
            </w:r>
          </w:p>
        </w:tc>
        <w:tc>
          <w:tcPr>
            <w:tcW w:w="2520" w:type="dxa"/>
            <w:vAlign w:val="center"/>
          </w:tcPr>
          <w:p w14:paraId="204E7398"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Cover Crops</w:t>
            </w:r>
          </w:p>
        </w:tc>
        <w:tc>
          <w:tcPr>
            <w:tcW w:w="5405" w:type="dxa"/>
            <w:vAlign w:val="center"/>
          </w:tcPr>
          <w:p w14:paraId="7CB54EA7"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Planting of cover crops between production cycles to increase soil organic content, improve nutrient retention, and reduce erosion.</w:t>
            </w:r>
          </w:p>
        </w:tc>
      </w:tr>
      <w:tr w:rsidR="0073086E" w:rsidRPr="0073086E" w14:paraId="36CC05D0" w14:textId="77777777" w:rsidTr="00105F91">
        <w:trPr>
          <w:trHeight w:val="504"/>
          <w:jc w:val="center"/>
        </w:trPr>
        <w:tc>
          <w:tcPr>
            <w:tcW w:w="1530" w:type="dxa"/>
            <w:vAlign w:val="center"/>
          </w:tcPr>
          <w:p w14:paraId="15091ACB"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sz w:val="20"/>
                <w:szCs w:val="24"/>
              </w:rPr>
              <w:t>Research</w:t>
            </w:r>
          </w:p>
        </w:tc>
        <w:tc>
          <w:tcPr>
            <w:tcW w:w="2520" w:type="dxa"/>
            <w:vAlign w:val="center"/>
          </w:tcPr>
          <w:p w14:paraId="1955A707"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Bioreactors</w:t>
            </w:r>
          </w:p>
        </w:tc>
        <w:tc>
          <w:tcPr>
            <w:tcW w:w="5405" w:type="dxa"/>
            <w:vAlign w:val="center"/>
          </w:tcPr>
          <w:p w14:paraId="05F583C0"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Bioreactors/denitrification walls and onsite capture and reuse of high-N water.</w:t>
            </w:r>
          </w:p>
        </w:tc>
      </w:tr>
      <w:tr w:rsidR="0073086E" w:rsidRPr="0073086E" w14:paraId="725FF3C2" w14:textId="77777777" w:rsidTr="00105F91">
        <w:trPr>
          <w:trHeight w:val="504"/>
          <w:jc w:val="center"/>
        </w:trPr>
        <w:tc>
          <w:tcPr>
            <w:tcW w:w="1530" w:type="dxa"/>
            <w:vAlign w:val="center"/>
          </w:tcPr>
          <w:p w14:paraId="4C07C4B8"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sz w:val="20"/>
                <w:szCs w:val="24"/>
              </w:rPr>
              <w:t>Research</w:t>
            </w:r>
          </w:p>
        </w:tc>
        <w:tc>
          <w:tcPr>
            <w:tcW w:w="2520" w:type="dxa"/>
            <w:vAlign w:val="center"/>
          </w:tcPr>
          <w:p w14:paraId="61129D9C"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Rotational Production</w:t>
            </w:r>
          </w:p>
        </w:tc>
        <w:tc>
          <w:tcPr>
            <w:tcW w:w="5405" w:type="dxa"/>
            <w:vAlign w:val="center"/>
          </w:tcPr>
          <w:p w14:paraId="2235508D"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Conversion of conventional production operations to planned rotational production incorporating grass and cover crops. May include cattle.</w:t>
            </w:r>
          </w:p>
        </w:tc>
      </w:tr>
      <w:tr w:rsidR="0073086E" w:rsidRPr="0073086E" w14:paraId="70118CE4" w14:textId="77777777" w:rsidTr="00105F91">
        <w:trPr>
          <w:trHeight w:val="504"/>
          <w:jc w:val="center"/>
        </w:trPr>
        <w:tc>
          <w:tcPr>
            <w:tcW w:w="1530" w:type="dxa"/>
            <w:vAlign w:val="center"/>
          </w:tcPr>
          <w:p w14:paraId="66173EB4"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sz w:val="20"/>
                <w:szCs w:val="24"/>
              </w:rPr>
              <w:t>Research</w:t>
            </w:r>
          </w:p>
        </w:tc>
        <w:tc>
          <w:tcPr>
            <w:tcW w:w="2520" w:type="dxa"/>
            <w:vAlign w:val="center"/>
          </w:tcPr>
          <w:p w14:paraId="24CD6884"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Soil Moisture Sensor Deployment and Calibration</w:t>
            </w:r>
          </w:p>
        </w:tc>
        <w:tc>
          <w:tcPr>
            <w:tcW w:w="5405" w:type="dxa"/>
            <w:vAlign w:val="center"/>
          </w:tcPr>
          <w:p w14:paraId="772F63B8"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Installation, training, monitoring, and research on use of electronic soil moisture sensors, including correlations to nutrient movement through the root zone.</w:t>
            </w:r>
          </w:p>
        </w:tc>
      </w:tr>
      <w:tr w:rsidR="0073086E" w:rsidRPr="0073086E" w14:paraId="0226687C" w14:textId="77777777" w:rsidTr="00105F91">
        <w:trPr>
          <w:trHeight w:val="504"/>
          <w:jc w:val="center"/>
        </w:trPr>
        <w:tc>
          <w:tcPr>
            <w:tcW w:w="1530" w:type="dxa"/>
            <w:vAlign w:val="center"/>
          </w:tcPr>
          <w:p w14:paraId="6C56FB30"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sz w:val="20"/>
                <w:szCs w:val="24"/>
              </w:rPr>
              <w:t>Research</w:t>
            </w:r>
          </w:p>
        </w:tc>
        <w:tc>
          <w:tcPr>
            <w:tcW w:w="2520" w:type="dxa"/>
            <w:vAlign w:val="center"/>
          </w:tcPr>
          <w:p w14:paraId="5FEF6416"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Controlled Release Fertilizer (CRF)</w:t>
            </w:r>
          </w:p>
        </w:tc>
        <w:tc>
          <w:tcPr>
            <w:tcW w:w="5405" w:type="dxa"/>
            <w:vAlign w:val="center"/>
          </w:tcPr>
          <w:p w14:paraId="7DDF7F5F"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Application of new and developing fertilizer products that become available to crops via dissolution over longer periods in the growing season.</w:t>
            </w:r>
          </w:p>
        </w:tc>
      </w:tr>
      <w:tr w:rsidR="0073086E" w:rsidRPr="0073086E" w14:paraId="577FFA92" w14:textId="77777777" w:rsidTr="00105F91">
        <w:trPr>
          <w:trHeight w:val="504"/>
          <w:jc w:val="center"/>
        </w:trPr>
        <w:tc>
          <w:tcPr>
            <w:tcW w:w="1530" w:type="dxa"/>
            <w:vAlign w:val="center"/>
          </w:tcPr>
          <w:p w14:paraId="16831206" w14:textId="77777777" w:rsidR="0073086E" w:rsidRPr="00652FC6" w:rsidRDefault="0073086E" w:rsidP="00105F91">
            <w:pPr>
              <w:jc w:val="center"/>
              <w:rPr>
                <w:rFonts w:ascii="Times New Roman" w:hAnsi="Times New Roman"/>
                <w:b/>
                <w:sz w:val="20"/>
                <w:szCs w:val="24"/>
              </w:rPr>
            </w:pPr>
            <w:r w:rsidRPr="00652FC6">
              <w:rPr>
                <w:rFonts w:ascii="Times New Roman" w:hAnsi="Times New Roman"/>
                <w:b/>
                <w:sz w:val="20"/>
                <w:szCs w:val="24"/>
              </w:rPr>
              <w:t>Research</w:t>
            </w:r>
          </w:p>
        </w:tc>
        <w:tc>
          <w:tcPr>
            <w:tcW w:w="2520" w:type="dxa"/>
            <w:vAlign w:val="center"/>
          </w:tcPr>
          <w:p w14:paraId="3D5733C5"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Reuse of High Nutrient Value Water Sources</w:t>
            </w:r>
          </w:p>
        </w:tc>
        <w:tc>
          <w:tcPr>
            <w:tcW w:w="5405" w:type="dxa"/>
            <w:vAlign w:val="center"/>
          </w:tcPr>
          <w:p w14:paraId="5569D0E6" w14:textId="77777777" w:rsidR="0073086E" w:rsidRPr="00652FC6" w:rsidRDefault="0073086E" w:rsidP="00105F91">
            <w:pPr>
              <w:jc w:val="center"/>
              <w:rPr>
                <w:rFonts w:ascii="Times New Roman" w:hAnsi="Times New Roman"/>
                <w:sz w:val="20"/>
                <w:szCs w:val="24"/>
              </w:rPr>
            </w:pPr>
            <w:r w:rsidRPr="00652FC6">
              <w:rPr>
                <w:rFonts w:ascii="Times New Roman" w:hAnsi="Times New Roman"/>
                <w:sz w:val="20"/>
                <w:szCs w:val="24"/>
              </w:rPr>
              <w:t>Study of potential sources of high nutrient value water, potential beneficial reuse sites, legal and regulatory obstacles, and costs.</w:t>
            </w:r>
          </w:p>
        </w:tc>
      </w:tr>
    </w:tbl>
    <w:p w14:paraId="63BC85E8" w14:textId="77777777" w:rsidR="0073086E" w:rsidRPr="0073086E" w:rsidRDefault="0073086E" w:rsidP="0073086E">
      <w:pPr>
        <w:rPr>
          <w:rFonts w:ascii="Times New Roman" w:hAnsi="Times New Roman"/>
          <w:sz w:val="24"/>
          <w:szCs w:val="24"/>
        </w:rPr>
      </w:pPr>
    </w:p>
    <w:p w14:paraId="028ADA0C" w14:textId="77777777" w:rsidR="00B036B0" w:rsidRDefault="00B036B0">
      <w:pPr>
        <w:jc w:val="left"/>
        <w:rPr>
          <w:rFonts w:ascii="Times New Roman Bold" w:hAnsi="Times New Roman Bold"/>
          <w:b/>
          <w:sz w:val="24"/>
          <w:szCs w:val="22"/>
        </w:rPr>
      </w:pPr>
      <w:bookmarkStart w:id="222" w:name="_Ref488245011"/>
      <w:bookmarkStart w:id="223" w:name="_Ref479940890"/>
      <w:bookmarkStart w:id="224" w:name="_Toc479941371"/>
      <w:bookmarkStart w:id="225" w:name="_Toc481073625"/>
      <w:r>
        <w:br w:type="page"/>
      </w:r>
    </w:p>
    <w:p w14:paraId="21335B41" w14:textId="30A6FA6D" w:rsidR="00D36E6A" w:rsidRDefault="008D2A93" w:rsidP="00D36E6A">
      <w:pPr>
        <w:pStyle w:val="Heading2B"/>
        <w:jc w:val="left"/>
      </w:pPr>
      <w:bookmarkStart w:id="226" w:name="_Toc514677682"/>
      <w:bookmarkStart w:id="227" w:name="_Toc500254062"/>
      <w:bookmarkEnd w:id="222"/>
      <w:bookmarkEnd w:id="223"/>
      <w:bookmarkEnd w:id="224"/>
      <w:bookmarkEnd w:id="225"/>
      <w:r>
        <w:t>Appendix G</w:t>
      </w:r>
      <w:r w:rsidR="00D36E6A">
        <w:t>. Future Growth Strategies</w:t>
      </w:r>
      <w:r w:rsidR="00035C60">
        <w:t xml:space="preserve"> of Local Jurisdictions</w:t>
      </w:r>
      <w:bookmarkEnd w:id="226"/>
    </w:p>
    <w:p w14:paraId="72FEA10B" w14:textId="797DB97F" w:rsidR="00D36E6A" w:rsidRPr="00D80C8C" w:rsidRDefault="008D2A93" w:rsidP="008D2A93">
      <w:pPr>
        <w:pStyle w:val="Caption"/>
      </w:pPr>
      <w:bookmarkStart w:id="228" w:name="_Toc504396760"/>
      <w:bookmarkStart w:id="229" w:name="_Toc514430983"/>
      <w:r>
        <w:t>Table G-</w:t>
      </w:r>
      <w:fldSimple w:instr=" SEQ Table_G- \* ARABIC ">
        <w:r w:rsidR="002A2E30">
          <w:rPr>
            <w:noProof/>
          </w:rPr>
          <w:t>1</w:t>
        </w:r>
      </w:fldSimple>
      <w:r w:rsidR="008941E0">
        <w:t xml:space="preserve">. </w:t>
      </w:r>
      <w:r w:rsidR="00D36E6A" w:rsidRPr="00D80C8C">
        <w:t>Future growth strategies of Jackson County</w:t>
      </w:r>
      <w:bookmarkEnd w:id="228"/>
      <w:bookmarkEnd w:id="229"/>
    </w:p>
    <w:tbl>
      <w:tblPr>
        <w:tblStyle w:val="TableGrid"/>
        <w:tblW w:w="4835" w:type="pct"/>
        <w:tblLook w:val="04A0" w:firstRow="1" w:lastRow="0" w:firstColumn="1" w:lastColumn="0" w:noHBand="0" w:noVBand="1"/>
      </w:tblPr>
      <w:tblGrid>
        <w:gridCol w:w="1239"/>
        <w:gridCol w:w="1694"/>
        <w:gridCol w:w="3542"/>
        <w:gridCol w:w="1472"/>
        <w:gridCol w:w="1094"/>
      </w:tblGrid>
      <w:tr w:rsidR="00A1742C" w:rsidRPr="00A12AA1" w14:paraId="53E745BF" w14:textId="77777777" w:rsidTr="00A1742C">
        <w:trPr>
          <w:tblHeader/>
        </w:trPr>
        <w:tc>
          <w:tcPr>
            <w:tcW w:w="466" w:type="pct"/>
            <w:shd w:val="clear" w:color="auto" w:fill="BDD6EE" w:themeFill="accent1" w:themeFillTint="66"/>
            <w:vAlign w:val="bottom"/>
          </w:tcPr>
          <w:p w14:paraId="1A88DD0B"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Local Jurisdiction</w:t>
            </w:r>
          </w:p>
        </w:tc>
        <w:tc>
          <w:tcPr>
            <w:tcW w:w="837" w:type="pct"/>
            <w:shd w:val="clear" w:color="auto" w:fill="BDD6EE" w:themeFill="accent1" w:themeFillTint="66"/>
            <w:vAlign w:val="bottom"/>
          </w:tcPr>
          <w:p w14:paraId="0F94B056"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Strategy Name</w:t>
            </w:r>
          </w:p>
        </w:tc>
        <w:tc>
          <w:tcPr>
            <w:tcW w:w="2202" w:type="pct"/>
            <w:shd w:val="clear" w:color="auto" w:fill="BDD6EE" w:themeFill="accent1" w:themeFillTint="66"/>
            <w:vAlign w:val="bottom"/>
          </w:tcPr>
          <w:p w14:paraId="563D95B4"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Description</w:t>
            </w:r>
          </w:p>
        </w:tc>
        <w:tc>
          <w:tcPr>
            <w:tcW w:w="712" w:type="pct"/>
            <w:shd w:val="clear" w:color="auto" w:fill="BDD6EE" w:themeFill="accent1" w:themeFillTint="66"/>
            <w:vAlign w:val="bottom"/>
          </w:tcPr>
          <w:p w14:paraId="13A4F8A7"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Strategy Type</w:t>
            </w:r>
          </w:p>
        </w:tc>
        <w:tc>
          <w:tcPr>
            <w:tcW w:w="783" w:type="pct"/>
            <w:shd w:val="clear" w:color="auto" w:fill="BDD6EE" w:themeFill="accent1" w:themeFillTint="66"/>
            <w:vAlign w:val="bottom"/>
          </w:tcPr>
          <w:p w14:paraId="3AE3E57A"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Status</w:t>
            </w:r>
          </w:p>
        </w:tc>
      </w:tr>
      <w:tr w:rsidR="00A1742C" w:rsidRPr="00A12AA1" w14:paraId="21C61B9B" w14:textId="77777777" w:rsidTr="00A1742C">
        <w:tc>
          <w:tcPr>
            <w:tcW w:w="466" w:type="pct"/>
            <w:vAlign w:val="center"/>
          </w:tcPr>
          <w:p w14:paraId="6A6B94B7" w14:textId="77777777" w:rsidR="00A1742C" w:rsidRPr="00A12AA1" w:rsidRDefault="00A1742C" w:rsidP="00A1742C">
            <w:pPr>
              <w:jc w:val="center"/>
              <w:rPr>
                <w:rFonts w:ascii="Times New Roman" w:hAnsi="Times New Roman"/>
                <w:b/>
                <w:iCs/>
                <w:sz w:val="20"/>
              </w:rPr>
            </w:pPr>
            <w:r w:rsidRPr="00A12AA1">
              <w:rPr>
                <w:rFonts w:ascii="Times New Roman" w:hAnsi="Times New Roman"/>
                <w:b/>
                <w:iCs/>
                <w:sz w:val="20"/>
              </w:rPr>
              <w:t>Jackson County</w:t>
            </w:r>
          </w:p>
        </w:tc>
        <w:tc>
          <w:tcPr>
            <w:tcW w:w="837" w:type="pct"/>
            <w:vAlign w:val="center"/>
          </w:tcPr>
          <w:p w14:paraId="3C3512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87-4</w:t>
            </w:r>
          </w:p>
        </w:tc>
        <w:tc>
          <w:tcPr>
            <w:tcW w:w="2202" w:type="pct"/>
            <w:vAlign w:val="center"/>
          </w:tcPr>
          <w:p w14:paraId="5B18CF1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Private Sewage Disposal System</w:t>
            </w:r>
          </w:p>
        </w:tc>
        <w:tc>
          <w:tcPr>
            <w:tcW w:w="712" w:type="pct"/>
            <w:vAlign w:val="center"/>
          </w:tcPr>
          <w:p w14:paraId="61CE1B1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3AF345B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529B3E5" w14:textId="77777777" w:rsidTr="00A1742C">
        <w:tc>
          <w:tcPr>
            <w:tcW w:w="466" w:type="pct"/>
            <w:vAlign w:val="center"/>
          </w:tcPr>
          <w:p w14:paraId="481DBD89"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7FCFB6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7F454E98" w14:textId="77777777" w:rsidR="00A1742C" w:rsidRPr="00A12AA1" w:rsidRDefault="00A1742C" w:rsidP="00A1742C">
            <w:pPr>
              <w:jc w:val="center"/>
              <w:rPr>
                <w:rFonts w:ascii="Times New Roman" w:hAnsi="Times New Roman"/>
                <w:iCs/>
                <w:sz w:val="20"/>
              </w:rPr>
            </w:pPr>
            <w:r w:rsidRPr="00A12AA1">
              <w:rPr>
                <w:rFonts w:ascii="Times New Roman" w:hAnsi="Times New Roman"/>
                <w:bCs/>
                <w:color w:val="313335"/>
                <w:sz w:val="20"/>
                <w:shd w:val="clear" w:color="auto" w:fill="FFFFFF"/>
              </w:rPr>
              <w:t>Water and Sewer Systems for Unincorporated Urban-Character Areas</w:t>
            </w:r>
          </w:p>
        </w:tc>
        <w:tc>
          <w:tcPr>
            <w:tcW w:w="712" w:type="pct"/>
            <w:vAlign w:val="center"/>
          </w:tcPr>
          <w:p w14:paraId="20E5158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0F78B7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3CCE876" w14:textId="77777777" w:rsidTr="00A1742C">
        <w:tc>
          <w:tcPr>
            <w:tcW w:w="466" w:type="pct"/>
            <w:vAlign w:val="center"/>
          </w:tcPr>
          <w:p w14:paraId="4BE71D33"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C5812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59CBBF8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102-93: Septic tanks shall be constructed, repaired, altered, enlarged and maintained in accordance with plans and specifications approved by FDOH, county environmental health unit. Package sewage treatment plants for on-site sewage disposal shall be constructed, repaired, altered, enlarged and maintained in accordance with plans and specifications approved by DEP.</w:t>
            </w:r>
          </w:p>
        </w:tc>
        <w:tc>
          <w:tcPr>
            <w:tcW w:w="712" w:type="pct"/>
            <w:vAlign w:val="center"/>
          </w:tcPr>
          <w:p w14:paraId="78805D7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6F8E5E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55C0152" w14:textId="77777777" w:rsidTr="00A1742C">
        <w:tc>
          <w:tcPr>
            <w:tcW w:w="466" w:type="pct"/>
            <w:vAlign w:val="center"/>
          </w:tcPr>
          <w:p w14:paraId="26FED01C"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88282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61D3BCD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102-93: No septic tank or other on-site waste disposal facility shall be installed where a public sewer or combined sewer is accessible to the premises involved. A public sewer or combined sewer shall be accessible to the premises if the public sewer lines are within 200 feet or less distance from the nearest point on the property line. A public sewer or combined sewer at a distance greater than 200 feet from the nearest property line may be deemed accessible to a proposed development as a result of the issuance of a county development order, or as a result of the approval by the board of county commissioners of a preliminary or final subdivision plat.</w:t>
            </w:r>
          </w:p>
        </w:tc>
        <w:tc>
          <w:tcPr>
            <w:tcW w:w="712" w:type="pct"/>
            <w:vAlign w:val="center"/>
          </w:tcPr>
          <w:p w14:paraId="130135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306ECA8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3AE91F8" w14:textId="77777777" w:rsidTr="00A1742C">
        <w:tc>
          <w:tcPr>
            <w:tcW w:w="466" w:type="pct"/>
            <w:vAlign w:val="center"/>
          </w:tcPr>
          <w:p w14:paraId="55AB78A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2E41BFD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97-01</w:t>
            </w:r>
          </w:p>
        </w:tc>
        <w:tc>
          <w:tcPr>
            <w:tcW w:w="2202" w:type="pct"/>
            <w:vAlign w:val="center"/>
          </w:tcPr>
          <w:p w14:paraId="2B6A8FE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Section 102-204: The county may require, as a condition of service or as a condition of development approval, a developer to install necessary lines, lift stations and appropriate appurtenances for reuse of effluent for irrigation of lawns, common areas, golf courses, etc. The county may charge a reasonable fee for use of the effluent to offset the cost of operation and maintenance of the reuse system.</w:t>
            </w:r>
          </w:p>
        </w:tc>
        <w:tc>
          <w:tcPr>
            <w:tcW w:w="712" w:type="pct"/>
            <w:vAlign w:val="center"/>
          </w:tcPr>
          <w:p w14:paraId="321E514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501FEC0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C9AF95D" w14:textId="77777777" w:rsidTr="00A1742C">
        <w:tc>
          <w:tcPr>
            <w:tcW w:w="466" w:type="pct"/>
            <w:vAlign w:val="center"/>
          </w:tcPr>
          <w:p w14:paraId="0B22D799"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2B5CFD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 2013-06</w:t>
            </w:r>
          </w:p>
        </w:tc>
        <w:tc>
          <w:tcPr>
            <w:tcW w:w="2202" w:type="pct"/>
            <w:vAlign w:val="center"/>
          </w:tcPr>
          <w:p w14:paraId="23F33AF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Landscape Ordinance</w:t>
            </w:r>
          </w:p>
        </w:tc>
        <w:tc>
          <w:tcPr>
            <w:tcW w:w="712" w:type="pct"/>
            <w:vAlign w:val="center"/>
          </w:tcPr>
          <w:p w14:paraId="452A7AC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Ordinance</w:t>
            </w:r>
          </w:p>
        </w:tc>
        <w:tc>
          <w:tcPr>
            <w:tcW w:w="783" w:type="pct"/>
            <w:vAlign w:val="center"/>
          </w:tcPr>
          <w:p w14:paraId="09B5556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98B739D" w14:textId="77777777" w:rsidTr="00A1742C">
        <w:tc>
          <w:tcPr>
            <w:tcW w:w="466" w:type="pct"/>
            <w:vAlign w:val="center"/>
          </w:tcPr>
          <w:p w14:paraId="305D123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D8FBE7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Future Land Use Policy 6.2</w:t>
            </w:r>
          </w:p>
        </w:tc>
        <w:tc>
          <w:tcPr>
            <w:tcW w:w="2202" w:type="pct"/>
            <w:vAlign w:val="center"/>
          </w:tcPr>
          <w:p w14:paraId="0E8B8F5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 land development code language with the support of DEP and NWFWMD to provide measures for protecting high magnitude springs.</w:t>
            </w:r>
          </w:p>
        </w:tc>
        <w:tc>
          <w:tcPr>
            <w:tcW w:w="712" w:type="pct"/>
            <w:vAlign w:val="center"/>
          </w:tcPr>
          <w:p w14:paraId="1B06AC7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A13ED8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2B32356" w14:textId="77777777" w:rsidTr="00A1742C">
        <w:tc>
          <w:tcPr>
            <w:tcW w:w="466" w:type="pct"/>
            <w:vAlign w:val="center"/>
          </w:tcPr>
          <w:p w14:paraId="15DF0A48"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289A212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1.5</w:t>
            </w:r>
          </w:p>
        </w:tc>
        <w:tc>
          <w:tcPr>
            <w:tcW w:w="2202" w:type="pct"/>
            <w:vAlign w:val="center"/>
          </w:tcPr>
          <w:p w14:paraId="3BF5D8F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Throughout the county the maximum residential density is one (1) dwelling unit per acre for undeveloped land having severe septic tank soil suitability ratings and where sewer lines are not available, except where density restrictions are more stringent.</w:t>
            </w:r>
          </w:p>
        </w:tc>
        <w:tc>
          <w:tcPr>
            <w:tcW w:w="712" w:type="pct"/>
            <w:vAlign w:val="center"/>
          </w:tcPr>
          <w:p w14:paraId="619042E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662ADD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6CAADEE" w14:textId="77777777" w:rsidTr="00A1742C">
        <w:tc>
          <w:tcPr>
            <w:tcW w:w="466" w:type="pct"/>
            <w:vAlign w:val="center"/>
          </w:tcPr>
          <w:p w14:paraId="6D5F702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015FA20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2.6</w:t>
            </w:r>
          </w:p>
        </w:tc>
        <w:tc>
          <w:tcPr>
            <w:tcW w:w="2202" w:type="pct"/>
            <w:vAlign w:val="center"/>
          </w:tcPr>
          <w:p w14:paraId="4CD7B03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All new proposals for public wastewater facilities shall require a feasibility study for reuse of wastewater. The County shall require reuse of wastewater where feasible.</w:t>
            </w:r>
          </w:p>
        </w:tc>
        <w:tc>
          <w:tcPr>
            <w:tcW w:w="712" w:type="pct"/>
            <w:vAlign w:val="center"/>
          </w:tcPr>
          <w:p w14:paraId="098F5D3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5BF7A6E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4DE1ADB" w14:textId="77777777" w:rsidTr="00A1742C">
        <w:tc>
          <w:tcPr>
            <w:tcW w:w="466" w:type="pct"/>
            <w:vAlign w:val="center"/>
          </w:tcPr>
          <w:p w14:paraId="687F5E4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95082F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2.9</w:t>
            </w:r>
          </w:p>
        </w:tc>
        <w:tc>
          <w:tcPr>
            <w:tcW w:w="2202" w:type="pct"/>
            <w:vAlign w:val="center"/>
          </w:tcPr>
          <w:p w14:paraId="20BD07E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Lots for which septic tanks are the intended method of sewage disposal shall not be created unless the size and configuration of the lot would allow for the permitting of a septic tank system consistent with state regulations in place at that time.</w:t>
            </w:r>
          </w:p>
        </w:tc>
        <w:tc>
          <w:tcPr>
            <w:tcW w:w="712" w:type="pct"/>
            <w:vAlign w:val="center"/>
          </w:tcPr>
          <w:p w14:paraId="0EE548E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D2A251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0CBB368" w14:textId="77777777" w:rsidTr="00A1742C">
        <w:tc>
          <w:tcPr>
            <w:tcW w:w="466" w:type="pct"/>
            <w:vAlign w:val="center"/>
          </w:tcPr>
          <w:p w14:paraId="77B9172D"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2BB0E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9.1</w:t>
            </w:r>
          </w:p>
        </w:tc>
        <w:tc>
          <w:tcPr>
            <w:tcW w:w="2202" w:type="pct"/>
            <w:vAlign w:val="center"/>
          </w:tcPr>
          <w:p w14:paraId="2D269B1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Protect high magnitude springs using the latest science and technology available. The County will adopt all state and federal rules identified by statute and will develop language as state and federal funding is made available.</w:t>
            </w:r>
          </w:p>
        </w:tc>
        <w:tc>
          <w:tcPr>
            <w:tcW w:w="712" w:type="pct"/>
            <w:vAlign w:val="center"/>
          </w:tcPr>
          <w:p w14:paraId="3D195DA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1129EF3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C1E94A5" w14:textId="77777777" w:rsidTr="00A1742C">
        <w:tc>
          <w:tcPr>
            <w:tcW w:w="466" w:type="pct"/>
            <w:vAlign w:val="center"/>
          </w:tcPr>
          <w:p w14:paraId="71AE51C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783431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9.2</w:t>
            </w:r>
          </w:p>
        </w:tc>
        <w:tc>
          <w:tcPr>
            <w:tcW w:w="2202" w:type="pct"/>
            <w:vAlign w:val="center"/>
          </w:tcPr>
          <w:p w14:paraId="11B090A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 appropriate language in order to minimize the contribution of nitrates to groundwater to foster long-term stewardship of springs, special design, and BMPs.</w:t>
            </w:r>
          </w:p>
        </w:tc>
        <w:tc>
          <w:tcPr>
            <w:tcW w:w="712" w:type="pct"/>
            <w:vAlign w:val="center"/>
          </w:tcPr>
          <w:p w14:paraId="3DAA60B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C4C09B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B882630" w14:textId="77777777" w:rsidTr="00A1742C">
        <w:tc>
          <w:tcPr>
            <w:tcW w:w="466" w:type="pct"/>
            <w:vAlign w:val="center"/>
          </w:tcPr>
          <w:p w14:paraId="5C393084"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907291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10.1</w:t>
            </w:r>
          </w:p>
        </w:tc>
        <w:tc>
          <w:tcPr>
            <w:tcW w:w="2202" w:type="pct"/>
            <w:vAlign w:val="center"/>
          </w:tcPr>
          <w:p w14:paraId="42C0623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coordinate with FGS, NWFWMD, and DEP to map major spring basins as federal, state, or regional funding becomes available.</w:t>
            </w:r>
          </w:p>
        </w:tc>
        <w:tc>
          <w:tcPr>
            <w:tcW w:w="712" w:type="pct"/>
            <w:vAlign w:val="center"/>
          </w:tcPr>
          <w:p w14:paraId="6984084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93D9BA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3566916" w14:textId="77777777" w:rsidTr="00A1742C">
        <w:tc>
          <w:tcPr>
            <w:tcW w:w="466" w:type="pct"/>
            <w:vAlign w:val="center"/>
          </w:tcPr>
          <w:p w14:paraId="512DC9D7"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4A5251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11.1</w:t>
            </w:r>
          </w:p>
        </w:tc>
        <w:tc>
          <w:tcPr>
            <w:tcW w:w="2202" w:type="pct"/>
            <w:vAlign w:val="center"/>
          </w:tcPr>
          <w:p w14:paraId="2E8D5B25" w14:textId="6CFEF1E2" w:rsidR="00A1742C" w:rsidRPr="00A12AA1" w:rsidRDefault="00A1742C" w:rsidP="00A1742C">
            <w:pPr>
              <w:jc w:val="center"/>
              <w:rPr>
                <w:rFonts w:ascii="Times New Roman" w:hAnsi="Times New Roman"/>
                <w:iCs/>
                <w:sz w:val="20"/>
              </w:rPr>
            </w:pPr>
            <w:r w:rsidRPr="00A12AA1">
              <w:rPr>
                <w:rFonts w:ascii="Times New Roman" w:hAnsi="Times New Roman"/>
                <w:iCs/>
                <w:sz w:val="20"/>
              </w:rPr>
              <w:t>Using FGS, NWFWMD, and DEP databases and federal, state, and regional funding, the County will identify and delineate buffer areas around major springs and sinkholes and swallets</w:t>
            </w:r>
            <w:r w:rsidR="00E41912">
              <w:rPr>
                <w:rFonts w:ascii="Times New Roman" w:hAnsi="Times New Roman"/>
                <w:iCs/>
                <w:sz w:val="20"/>
              </w:rPr>
              <w:t xml:space="preserve"> </w:t>
            </w:r>
            <w:r w:rsidRPr="00A12AA1">
              <w:rPr>
                <w:rFonts w:ascii="Times New Roman" w:hAnsi="Times New Roman"/>
                <w:iCs/>
                <w:sz w:val="20"/>
              </w:rPr>
              <w:t>with direct connection to the aquifer.</w:t>
            </w:r>
          </w:p>
        </w:tc>
        <w:tc>
          <w:tcPr>
            <w:tcW w:w="712" w:type="pct"/>
            <w:vAlign w:val="center"/>
          </w:tcPr>
          <w:p w14:paraId="7FEE683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820F4A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B352351" w14:textId="77777777" w:rsidTr="00A1742C">
        <w:tc>
          <w:tcPr>
            <w:tcW w:w="466" w:type="pct"/>
            <w:vAlign w:val="center"/>
          </w:tcPr>
          <w:p w14:paraId="450A304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2EC0CD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11.4</w:t>
            </w:r>
          </w:p>
        </w:tc>
        <w:tc>
          <w:tcPr>
            <w:tcW w:w="2202" w:type="pct"/>
            <w:vAlign w:val="center"/>
          </w:tcPr>
          <w:p w14:paraId="24B521D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Where it is not possible to fully avoid negative impacts through limiting or prohibiting land use activities, the impact of use and development within one-quarter (1/4) mile of first magnitude springs shall be minimized and mitigated to the maximum feasible extent.</w:t>
            </w:r>
          </w:p>
        </w:tc>
        <w:tc>
          <w:tcPr>
            <w:tcW w:w="712" w:type="pct"/>
            <w:vAlign w:val="center"/>
          </w:tcPr>
          <w:p w14:paraId="53DF31F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48D48F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2D59AB8" w14:textId="77777777" w:rsidTr="00A1742C">
        <w:tc>
          <w:tcPr>
            <w:tcW w:w="466" w:type="pct"/>
            <w:vAlign w:val="center"/>
          </w:tcPr>
          <w:p w14:paraId="3098B05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CB2ED1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11.5</w:t>
            </w:r>
          </w:p>
        </w:tc>
        <w:tc>
          <w:tcPr>
            <w:tcW w:w="2202" w:type="pct"/>
            <w:vAlign w:val="center"/>
          </w:tcPr>
          <w:p w14:paraId="273EC7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maximum residential density within 1/4 mile of a first magnitude springs is 1 unit per acre.</w:t>
            </w:r>
          </w:p>
        </w:tc>
        <w:tc>
          <w:tcPr>
            <w:tcW w:w="712" w:type="pct"/>
            <w:vAlign w:val="center"/>
          </w:tcPr>
          <w:p w14:paraId="2E89967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F5DF6E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7378B19" w14:textId="77777777" w:rsidTr="00A1742C">
        <w:tc>
          <w:tcPr>
            <w:tcW w:w="466" w:type="pct"/>
            <w:vAlign w:val="center"/>
          </w:tcPr>
          <w:p w14:paraId="579D2B22"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38C8A3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12</w:t>
            </w:r>
          </w:p>
        </w:tc>
        <w:tc>
          <w:tcPr>
            <w:tcW w:w="2202" w:type="pct"/>
            <w:vAlign w:val="center"/>
          </w:tcPr>
          <w:p w14:paraId="019F998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Manage the amount of fertilization and water use within a designated radius from springs.</w:t>
            </w:r>
          </w:p>
        </w:tc>
        <w:tc>
          <w:tcPr>
            <w:tcW w:w="712" w:type="pct"/>
            <w:vAlign w:val="center"/>
          </w:tcPr>
          <w:p w14:paraId="62D0B9C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C75332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0C9D02A7" w14:textId="77777777" w:rsidTr="00A1742C">
        <w:tc>
          <w:tcPr>
            <w:tcW w:w="466" w:type="pct"/>
            <w:vAlign w:val="center"/>
          </w:tcPr>
          <w:p w14:paraId="68E01FB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92D7C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12.1</w:t>
            </w:r>
          </w:p>
        </w:tc>
        <w:tc>
          <w:tcPr>
            <w:tcW w:w="2202" w:type="pct"/>
            <w:vAlign w:val="center"/>
          </w:tcPr>
          <w:p w14:paraId="611F95C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promote and support the use of NWFWMD/UF-IFAS “No Till Soil Management” programs within the county.</w:t>
            </w:r>
          </w:p>
        </w:tc>
        <w:tc>
          <w:tcPr>
            <w:tcW w:w="712" w:type="pct"/>
            <w:vAlign w:val="center"/>
          </w:tcPr>
          <w:p w14:paraId="13C2A86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DC2289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7EA4B75" w14:textId="77777777" w:rsidTr="00A1742C">
        <w:tc>
          <w:tcPr>
            <w:tcW w:w="466" w:type="pct"/>
            <w:vAlign w:val="center"/>
          </w:tcPr>
          <w:p w14:paraId="7E7B7E8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2B30F2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12.2</w:t>
            </w:r>
          </w:p>
        </w:tc>
        <w:tc>
          <w:tcPr>
            <w:tcW w:w="2202" w:type="pct"/>
            <w:vAlign w:val="center"/>
          </w:tcPr>
          <w:p w14:paraId="0A588DC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Support NWFWMD and UF-IFAS efforts to manage agricultural water use within major spring basin areas.</w:t>
            </w:r>
          </w:p>
        </w:tc>
        <w:tc>
          <w:tcPr>
            <w:tcW w:w="712" w:type="pct"/>
            <w:vAlign w:val="center"/>
          </w:tcPr>
          <w:p w14:paraId="0244D46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5945E1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AA5F7FC" w14:textId="77777777" w:rsidTr="00A1742C">
        <w:tc>
          <w:tcPr>
            <w:tcW w:w="466" w:type="pct"/>
            <w:vAlign w:val="center"/>
          </w:tcPr>
          <w:p w14:paraId="025DB3B4"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FC3BEF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13.4</w:t>
            </w:r>
          </w:p>
        </w:tc>
        <w:tc>
          <w:tcPr>
            <w:tcW w:w="2202" w:type="pct"/>
            <w:vAlign w:val="center"/>
          </w:tcPr>
          <w:p w14:paraId="73818A2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 xml:space="preserve">All golf course siting, design, construction, and management shall implement the prevention, management, and monitoring practices, detailed in the golf course siting, design, and management chapter of the DEP publication entitled </w:t>
            </w:r>
            <w:r w:rsidRPr="00A12AA1">
              <w:rPr>
                <w:rFonts w:ascii="Times New Roman" w:hAnsi="Times New Roman"/>
                <w:i/>
                <w:iCs/>
                <w:sz w:val="20"/>
              </w:rPr>
              <w:t>Protecting Florida’s Springs Manual – Land Use Planning Strategies and Best Management Practices</w:t>
            </w:r>
            <w:r w:rsidRPr="00A12AA1">
              <w:rPr>
                <w:rFonts w:ascii="Times New Roman" w:hAnsi="Times New Roman"/>
                <w:iCs/>
                <w:sz w:val="20"/>
              </w:rPr>
              <w:t xml:space="preserve"> (November 2002). </w:t>
            </w:r>
          </w:p>
        </w:tc>
        <w:tc>
          <w:tcPr>
            <w:tcW w:w="712" w:type="pct"/>
            <w:vAlign w:val="center"/>
          </w:tcPr>
          <w:p w14:paraId="4B9EFB0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D10053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4D13DA0" w14:textId="77777777" w:rsidTr="00A1742C">
        <w:tc>
          <w:tcPr>
            <w:tcW w:w="466" w:type="pct"/>
            <w:vAlign w:val="center"/>
          </w:tcPr>
          <w:p w14:paraId="2C275DE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7D4B561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14</w:t>
            </w:r>
          </w:p>
        </w:tc>
        <w:tc>
          <w:tcPr>
            <w:tcW w:w="2202" w:type="pct"/>
            <w:vAlign w:val="center"/>
          </w:tcPr>
          <w:p w14:paraId="4E31A58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Landscaping design and management practices shall be implemented that reduce impacts to springs and other karst features within the setbacks defined in Table 4.1 of this Chapter.</w:t>
            </w:r>
          </w:p>
        </w:tc>
        <w:tc>
          <w:tcPr>
            <w:tcW w:w="712" w:type="pct"/>
            <w:vAlign w:val="center"/>
          </w:tcPr>
          <w:p w14:paraId="61A77C9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71646DB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6D8ECD7" w14:textId="77777777" w:rsidTr="00A1742C">
        <w:tc>
          <w:tcPr>
            <w:tcW w:w="466" w:type="pct"/>
            <w:vAlign w:val="center"/>
          </w:tcPr>
          <w:p w14:paraId="5A35F59F"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31CAE1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14.4</w:t>
            </w:r>
          </w:p>
        </w:tc>
        <w:tc>
          <w:tcPr>
            <w:tcW w:w="2202" w:type="pct"/>
            <w:vAlign w:val="center"/>
          </w:tcPr>
          <w:p w14:paraId="5E4EFC8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 xml:space="preserve">All landscaping for development within a delineated spring basin shall conform to BMPs as stated in the </w:t>
            </w:r>
            <w:r w:rsidRPr="00A12AA1">
              <w:rPr>
                <w:rFonts w:ascii="Times New Roman" w:hAnsi="Times New Roman"/>
                <w:i/>
                <w:iCs/>
                <w:sz w:val="20"/>
              </w:rPr>
              <w:t>Guidelines for Model Ordinance Language for Protection of Water Quality and Quantity Using Florida Friendly Lawns and Landscapes</w:t>
            </w:r>
            <w:r w:rsidRPr="00A12AA1">
              <w:rPr>
                <w:rFonts w:ascii="Times New Roman" w:hAnsi="Times New Roman"/>
                <w:iCs/>
                <w:sz w:val="20"/>
              </w:rPr>
              <w:t xml:space="preserve"> (DEP, September 2, 2003).</w:t>
            </w:r>
          </w:p>
        </w:tc>
        <w:tc>
          <w:tcPr>
            <w:tcW w:w="712" w:type="pct"/>
            <w:vAlign w:val="center"/>
          </w:tcPr>
          <w:p w14:paraId="173A708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7FCC33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618CE87" w14:textId="77777777" w:rsidTr="00A1742C">
        <w:tc>
          <w:tcPr>
            <w:tcW w:w="466" w:type="pct"/>
            <w:vAlign w:val="center"/>
          </w:tcPr>
          <w:p w14:paraId="7B02DD3A"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7EDF44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14.5</w:t>
            </w:r>
          </w:p>
        </w:tc>
        <w:tc>
          <w:tcPr>
            <w:tcW w:w="2202" w:type="pct"/>
            <w:vAlign w:val="center"/>
          </w:tcPr>
          <w:p w14:paraId="3EC12B8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shall encourage managing existing and future lawns and landscapes at all County facilities using the educational guidelines contained in the UF-IFAS Florida Yards and Neighborhoods Program, Environmental Landscape Management (ELM) principles and BMPs. Such guidelines shall include practices that are designed to reduce nitrate infiltration into ground and surface water.</w:t>
            </w:r>
          </w:p>
        </w:tc>
        <w:tc>
          <w:tcPr>
            <w:tcW w:w="712" w:type="pct"/>
            <w:vAlign w:val="center"/>
          </w:tcPr>
          <w:p w14:paraId="13AF847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F7928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FD036E7" w14:textId="77777777" w:rsidTr="00A1742C">
        <w:tc>
          <w:tcPr>
            <w:tcW w:w="466" w:type="pct"/>
            <w:vAlign w:val="center"/>
          </w:tcPr>
          <w:p w14:paraId="30B7FEAA"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DB18FB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15</w:t>
            </w:r>
          </w:p>
        </w:tc>
        <w:tc>
          <w:tcPr>
            <w:tcW w:w="2202" w:type="pct"/>
            <w:vAlign w:val="center"/>
          </w:tcPr>
          <w:p w14:paraId="3FE2E55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volume, recharge, and treatment of stormwater runoff within the County shall be designed to provide protection to springs and springsheds.</w:t>
            </w:r>
          </w:p>
        </w:tc>
        <w:tc>
          <w:tcPr>
            <w:tcW w:w="712" w:type="pct"/>
            <w:vAlign w:val="center"/>
          </w:tcPr>
          <w:p w14:paraId="7E84816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3C6668D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AA5A0C7" w14:textId="77777777" w:rsidTr="00A1742C">
        <w:tc>
          <w:tcPr>
            <w:tcW w:w="466" w:type="pct"/>
            <w:vAlign w:val="center"/>
          </w:tcPr>
          <w:p w14:paraId="31D70400"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20C143C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15.1</w:t>
            </w:r>
          </w:p>
        </w:tc>
        <w:tc>
          <w:tcPr>
            <w:tcW w:w="2202" w:type="pct"/>
            <w:vAlign w:val="center"/>
          </w:tcPr>
          <w:p w14:paraId="3152D41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BMPs shall be used in combination as part of a BMP treatment plan to protect water quality and minimize flooding. BMPs shall be used in the design of stormwater management facilities and systems.</w:t>
            </w:r>
          </w:p>
        </w:tc>
        <w:tc>
          <w:tcPr>
            <w:tcW w:w="712" w:type="pct"/>
            <w:vAlign w:val="center"/>
          </w:tcPr>
          <w:p w14:paraId="519FF85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0106BDA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29584506" w14:textId="77777777" w:rsidTr="00A1742C">
        <w:tc>
          <w:tcPr>
            <w:tcW w:w="466" w:type="pct"/>
            <w:vAlign w:val="center"/>
          </w:tcPr>
          <w:p w14:paraId="3F15E39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5C8C91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Objective 16</w:t>
            </w:r>
          </w:p>
        </w:tc>
        <w:tc>
          <w:tcPr>
            <w:tcW w:w="2202" w:type="pct"/>
            <w:vAlign w:val="center"/>
          </w:tcPr>
          <w:p w14:paraId="42D7116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Coordinate with local governments to ensure a consistent approach to springs, springshed, and aquifer protection.</w:t>
            </w:r>
          </w:p>
        </w:tc>
        <w:tc>
          <w:tcPr>
            <w:tcW w:w="712" w:type="pct"/>
            <w:vAlign w:val="center"/>
          </w:tcPr>
          <w:p w14:paraId="4FC48AE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211362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7A73F183" w14:textId="77777777" w:rsidTr="00A1742C">
        <w:tc>
          <w:tcPr>
            <w:tcW w:w="466" w:type="pct"/>
            <w:vAlign w:val="center"/>
          </w:tcPr>
          <w:p w14:paraId="3A5CC78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45E6EE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Conservation Policy 16.1</w:t>
            </w:r>
          </w:p>
        </w:tc>
        <w:tc>
          <w:tcPr>
            <w:tcW w:w="2202" w:type="pct"/>
            <w:vAlign w:val="center"/>
          </w:tcPr>
          <w:p w14:paraId="05D1D2B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support the implementation of an interlocal agreement that specifies responsibilities for land development regulation, stormwater management, and other matters that impact the springs and springshed. The interlocal agreement shall contain joint strategies for spring protection to be implemented by all local governments within an identified springshed.</w:t>
            </w:r>
          </w:p>
        </w:tc>
        <w:tc>
          <w:tcPr>
            <w:tcW w:w="712" w:type="pct"/>
            <w:vAlign w:val="center"/>
          </w:tcPr>
          <w:p w14:paraId="5D8C6EF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6F891EE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15EE1B0F" w14:textId="77777777" w:rsidTr="00A1742C">
        <w:tc>
          <w:tcPr>
            <w:tcW w:w="466" w:type="pct"/>
            <w:vAlign w:val="center"/>
          </w:tcPr>
          <w:p w14:paraId="4D052E31"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AC9F4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Intergovernmental Coordination Objective 16</w:t>
            </w:r>
          </w:p>
        </w:tc>
        <w:tc>
          <w:tcPr>
            <w:tcW w:w="2202" w:type="pct"/>
            <w:vAlign w:val="center"/>
          </w:tcPr>
          <w:p w14:paraId="10B6BA0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Coordinate with local governments to ensure a consistent approach to springs, springshed, and aquifer protection.</w:t>
            </w:r>
          </w:p>
        </w:tc>
        <w:tc>
          <w:tcPr>
            <w:tcW w:w="712" w:type="pct"/>
            <w:vAlign w:val="center"/>
          </w:tcPr>
          <w:p w14:paraId="4D0AA5D5"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C88C4A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C33C628" w14:textId="77777777" w:rsidTr="00A1742C">
        <w:tc>
          <w:tcPr>
            <w:tcW w:w="466" w:type="pct"/>
            <w:vAlign w:val="center"/>
          </w:tcPr>
          <w:p w14:paraId="6A90CBBD"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4FE501D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1.1.2</w:t>
            </w:r>
          </w:p>
        </w:tc>
        <w:tc>
          <w:tcPr>
            <w:tcW w:w="2202" w:type="pct"/>
            <w:vAlign w:val="center"/>
          </w:tcPr>
          <w:p w14:paraId="1F83F8A3"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Systems for all types of development within Commercial and Industrial Land Use categories or any land use category within the urban service area shall be conditioned to require that users be connected to central water and sewer facilities within 365 days after receiving notice of availability of public water or sewer supply or collection system lines.</w:t>
            </w:r>
          </w:p>
        </w:tc>
        <w:tc>
          <w:tcPr>
            <w:tcW w:w="712" w:type="pct"/>
            <w:vAlign w:val="center"/>
          </w:tcPr>
          <w:p w14:paraId="24E637C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2EF7318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62D7FE2A" w14:textId="77777777" w:rsidTr="00A1742C">
        <w:tc>
          <w:tcPr>
            <w:tcW w:w="466" w:type="pct"/>
            <w:vAlign w:val="center"/>
          </w:tcPr>
          <w:p w14:paraId="4945DCA0"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182DB5C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1.2.4</w:t>
            </w:r>
          </w:p>
        </w:tc>
        <w:tc>
          <w:tcPr>
            <w:tcW w:w="2202" w:type="pct"/>
            <w:vAlign w:val="center"/>
          </w:tcPr>
          <w:p w14:paraId="2CA349F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 areas to be served by on-site wastewater treatment systems, final development orders shall not be issued prior to demonstration that applicable federal, state, and local permits for on-site wastewater treatment systems have been obtained.</w:t>
            </w:r>
          </w:p>
        </w:tc>
        <w:tc>
          <w:tcPr>
            <w:tcW w:w="712" w:type="pct"/>
            <w:vAlign w:val="center"/>
          </w:tcPr>
          <w:p w14:paraId="0F5A5FAE"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191557DA"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6CFF3375" w14:textId="77777777" w:rsidTr="00A1742C">
        <w:tc>
          <w:tcPr>
            <w:tcW w:w="466" w:type="pct"/>
            <w:vAlign w:val="center"/>
          </w:tcPr>
          <w:p w14:paraId="133E8566"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6090625C"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1.2.7</w:t>
            </w:r>
          </w:p>
        </w:tc>
        <w:tc>
          <w:tcPr>
            <w:tcW w:w="2202" w:type="pct"/>
            <w:vAlign w:val="center"/>
          </w:tcPr>
          <w:p w14:paraId="1E1A4821"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Development shall not be permitted in areas not served by public sanitary sewer unless site is approved by DEP or another designated agency for in-ground septic system or developer agrees to provide a state-permitted sewer system concurrent with the development.</w:t>
            </w:r>
          </w:p>
        </w:tc>
        <w:tc>
          <w:tcPr>
            <w:tcW w:w="712" w:type="pct"/>
            <w:vAlign w:val="center"/>
          </w:tcPr>
          <w:p w14:paraId="714DD24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518817A0"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4759065F" w14:textId="77777777" w:rsidTr="00A1742C">
        <w:tc>
          <w:tcPr>
            <w:tcW w:w="466" w:type="pct"/>
            <w:vAlign w:val="center"/>
          </w:tcPr>
          <w:p w14:paraId="156603A5"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05A6996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Policy 1.4.2</w:t>
            </w:r>
          </w:p>
        </w:tc>
        <w:tc>
          <w:tcPr>
            <w:tcW w:w="2202" w:type="pct"/>
            <w:vAlign w:val="center"/>
          </w:tcPr>
          <w:p w14:paraId="6357AA54"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The County will continue to support participation in watershed protection efforts. Efforts to identify and protect critical watershed areas will include use of the land development code, BMPs, or acquisition. Jackson County will continue to seek funding opportunities for watershed management and protection projects.</w:t>
            </w:r>
          </w:p>
        </w:tc>
        <w:tc>
          <w:tcPr>
            <w:tcW w:w="712" w:type="pct"/>
            <w:vAlign w:val="center"/>
          </w:tcPr>
          <w:p w14:paraId="352E554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D8A227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3A528572" w14:textId="77777777" w:rsidTr="00A1742C">
        <w:tc>
          <w:tcPr>
            <w:tcW w:w="466" w:type="pct"/>
            <w:vAlign w:val="center"/>
          </w:tcPr>
          <w:p w14:paraId="3D564DDE"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32F611F2"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Objective 2.1</w:t>
            </w:r>
          </w:p>
        </w:tc>
        <w:tc>
          <w:tcPr>
            <w:tcW w:w="2202" w:type="pct"/>
            <w:vAlign w:val="center"/>
          </w:tcPr>
          <w:p w14:paraId="251B31A7"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Use sound management practices regarding prime groundwater aquifer recharge areas and natural drainage features through adoption of land development regulations and establishment of coordination mechanisms with federal, state, and local agencies.</w:t>
            </w:r>
          </w:p>
        </w:tc>
        <w:tc>
          <w:tcPr>
            <w:tcW w:w="712" w:type="pct"/>
            <w:vAlign w:val="center"/>
          </w:tcPr>
          <w:p w14:paraId="1F4CAB1D"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5B4D2A09"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tr w:rsidR="00A1742C" w:rsidRPr="00A12AA1" w14:paraId="543ED9A7" w14:textId="77777777" w:rsidTr="00A1742C">
        <w:tc>
          <w:tcPr>
            <w:tcW w:w="466" w:type="pct"/>
            <w:vAlign w:val="center"/>
          </w:tcPr>
          <w:p w14:paraId="0AD628A7" w14:textId="77777777" w:rsidR="00A1742C" w:rsidRPr="00A12AA1" w:rsidRDefault="00A1742C" w:rsidP="00A1742C">
            <w:pPr>
              <w:jc w:val="center"/>
              <w:rPr>
                <w:rFonts w:ascii="Times New Roman" w:hAnsi="Times New Roman"/>
                <w:iCs/>
                <w:sz w:val="20"/>
              </w:rPr>
            </w:pPr>
            <w:r w:rsidRPr="00A12AA1">
              <w:rPr>
                <w:rFonts w:ascii="Times New Roman" w:hAnsi="Times New Roman"/>
                <w:b/>
                <w:iCs/>
                <w:sz w:val="20"/>
              </w:rPr>
              <w:t>Jackson County</w:t>
            </w:r>
          </w:p>
        </w:tc>
        <w:tc>
          <w:tcPr>
            <w:tcW w:w="837" w:type="pct"/>
            <w:vAlign w:val="center"/>
          </w:tcPr>
          <w:p w14:paraId="54E25806"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Infrastructure Objective 2.2</w:t>
            </w:r>
          </w:p>
        </w:tc>
        <w:tc>
          <w:tcPr>
            <w:tcW w:w="2202" w:type="pct"/>
            <w:vAlign w:val="center"/>
          </w:tcPr>
          <w:p w14:paraId="0A57B15B"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Conserve and protect potable water resources from adverse impacts through adoption of the land development code and BMPs coordinating with federal, state, and local agencies.</w:t>
            </w:r>
          </w:p>
        </w:tc>
        <w:tc>
          <w:tcPr>
            <w:tcW w:w="712" w:type="pct"/>
            <w:vAlign w:val="center"/>
          </w:tcPr>
          <w:p w14:paraId="613B94FF"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Comprehensive Plan</w:t>
            </w:r>
          </w:p>
        </w:tc>
        <w:tc>
          <w:tcPr>
            <w:tcW w:w="783" w:type="pct"/>
            <w:vAlign w:val="center"/>
          </w:tcPr>
          <w:p w14:paraId="45CFE988" w14:textId="77777777" w:rsidR="00A1742C" w:rsidRPr="00A12AA1" w:rsidRDefault="00A1742C" w:rsidP="00A1742C">
            <w:pPr>
              <w:jc w:val="center"/>
              <w:rPr>
                <w:rFonts w:ascii="Times New Roman" w:hAnsi="Times New Roman"/>
                <w:iCs/>
                <w:sz w:val="20"/>
              </w:rPr>
            </w:pPr>
            <w:r w:rsidRPr="00A12AA1">
              <w:rPr>
                <w:rFonts w:ascii="Times New Roman" w:hAnsi="Times New Roman"/>
                <w:iCs/>
                <w:sz w:val="20"/>
              </w:rPr>
              <w:t>Completed</w:t>
            </w:r>
          </w:p>
        </w:tc>
      </w:tr>
      <w:bookmarkEnd w:id="227"/>
    </w:tbl>
    <w:p w14:paraId="5E73F2B8" w14:textId="67424641" w:rsidR="00D36E6A" w:rsidRDefault="00D36E6A" w:rsidP="00D36E6A">
      <w:pPr>
        <w:pStyle w:val="BodyText"/>
        <w:rPr>
          <w:kern w:val="32"/>
          <w:sz w:val="32"/>
        </w:rPr>
      </w:pPr>
    </w:p>
    <w:sectPr w:rsidR="00D36E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AD8FE0" w14:textId="77777777" w:rsidR="009B7C90" w:rsidRDefault="009B7C90">
      <w:r>
        <w:separator/>
      </w:r>
    </w:p>
  </w:endnote>
  <w:endnote w:type="continuationSeparator" w:id="0">
    <w:p w14:paraId="59F18991" w14:textId="77777777" w:rsidR="009B7C90" w:rsidRDefault="009B7C90">
      <w:r>
        <w:continuationSeparator/>
      </w:r>
    </w:p>
  </w:endnote>
  <w:endnote w:type="continuationNotice" w:id="1">
    <w:p w14:paraId="437FCB73" w14:textId="77777777" w:rsidR="009B7C90" w:rsidRDefault="009B7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7C610" w14:textId="254E975A" w:rsidR="009B7C90" w:rsidRPr="00BA5002" w:rsidRDefault="009B7C90" w:rsidP="00BA5002">
    <w:pPr>
      <w:pStyle w:val="Footer"/>
    </w:pPr>
    <w:r>
      <w:t xml:space="preserve">Page </w:t>
    </w:r>
    <w:r>
      <w:fldChar w:fldCharType="begin"/>
    </w:r>
    <w:r>
      <w:instrText xml:space="preserve"> PAGE   \* MERGEFORMAT </w:instrText>
    </w:r>
    <w:r>
      <w:fldChar w:fldCharType="separate"/>
    </w:r>
    <w:r w:rsidR="00055E1E">
      <w:rPr>
        <w:noProof/>
      </w:rPr>
      <w:t>2</w:t>
    </w:r>
    <w:r>
      <w:fldChar w:fldCharType="end"/>
    </w:r>
    <w:r>
      <w:t xml:space="preserve"> of </w:t>
    </w:r>
    <w:fldSimple w:instr=" NUMPAGES   \* MERGEFORMAT ">
      <w:r w:rsidR="00055E1E">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8F811" w14:textId="77777777" w:rsidR="009B7C90" w:rsidRDefault="009B7C90">
      <w:r>
        <w:separator/>
      </w:r>
    </w:p>
  </w:footnote>
  <w:footnote w:type="continuationSeparator" w:id="0">
    <w:p w14:paraId="0BCB6A08" w14:textId="77777777" w:rsidR="009B7C90" w:rsidRDefault="009B7C90">
      <w:r>
        <w:continuationSeparator/>
      </w:r>
    </w:p>
  </w:footnote>
  <w:footnote w:type="continuationNotice" w:id="1">
    <w:p w14:paraId="06B9F877" w14:textId="77777777" w:rsidR="009B7C90" w:rsidRDefault="009B7C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080A7" w14:textId="6601CC60" w:rsidR="009B7C90" w:rsidRPr="00227398" w:rsidRDefault="009B7C90" w:rsidP="00EA6398">
    <w:pPr>
      <w:pStyle w:val="Header"/>
      <w:pBdr>
        <w:bottom w:val="single" w:sz="4" w:space="1" w:color="auto"/>
      </w:pBdr>
      <w:rPr>
        <w:i w:val="0"/>
      </w:rPr>
    </w:pPr>
    <w:r>
      <w:t>Final Jackson Blue Spring Basin Management Action Plan (BMAP), May 2018</w:t>
    </w:r>
  </w:p>
  <w:p w14:paraId="437DB1FF" w14:textId="77777777" w:rsidR="009B7C90" w:rsidRDefault="009B7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30FB4"/>
    <w:multiLevelType w:val="hybridMultilevel"/>
    <w:tmpl w:val="2A961A6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0140324B"/>
    <w:multiLevelType w:val="hybridMultilevel"/>
    <w:tmpl w:val="4F3034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A3E1E"/>
    <w:multiLevelType w:val="hybridMultilevel"/>
    <w:tmpl w:val="8F2286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B87278"/>
    <w:multiLevelType w:val="hybridMultilevel"/>
    <w:tmpl w:val="788AC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060E56"/>
    <w:multiLevelType w:val="hybridMultilevel"/>
    <w:tmpl w:val="73D42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4989"/>
    <w:multiLevelType w:val="hybridMultilevel"/>
    <w:tmpl w:val="C532CCB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961FD7"/>
    <w:multiLevelType w:val="hybridMultilevel"/>
    <w:tmpl w:val="6024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34B8A"/>
    <w:multiLevelType w:val="hybridMultilevel"/>
    <w:tmpl w:val="8044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F0E9B"/>
    <w:multiLevelType w:val="hybridMultilevel"/>
    <w:tmpl w:val="1E12D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C4845"/>
    <w:multiLevelType w:val="hybridMultilevel"/>
    <w:tmpl w:val="88A6D1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696DD1"/>
    <w:multiLevelType w:val="hybridMultilevel"/>
    <w:tmpl w:val="8AE4F2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1C4D03"/>
    <w:multiLevelType w:val="hybridMultilevel"/>
    <w:tmpl w:val="7F68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D512A6"/>
    <w:multiLevelType w:val="multilevel"/>
    <w:tmpl w:val="3514C8E0"/>
    <w:numStyleLink w:val="StyleNumbered"/>
  </w:abstractNum>
  <w:abstractNum w:abstractNumId="14" w15:restartNumberingAfterBreak="0">
    <w:nsid w:val="2E02372C"/>
    <w:multiLevelType w:val="hybridMultilevel"/>
    <w:tmpl w:val="B828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6" w15:restartNumberingAfterBreak="0">
    <w:nsid w:val="31A3748D"/>
    <w:multiLevelType w:val="hybridMultilevel"/>
    <w:tmpl w:val="308E1CD8"/>
    <w:lvl w:ilvl="0" w:tplc="ECB2064E">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CA672F"/>
    <w:multiLevelType w:val="hybridMultilevel"/>
    <w:tmpl w:val="66CE5B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9A54CE"/>
    <w:multiLevelType w:val="hybridMultilevel"/>
    <w:tmpl w:val="5882F9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AAD3A02"/>
    <w:multiLevelType w:val="hybridMultilevel"/>
    <w:tmpl w:val="432E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AE712D"/>
    <w:multiLevelType w:val="hybridMultilevel"/>
    <w:tmpl w:val="4524E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306065"/>
    <w:multiLevelType w:val="hybridMultilevel"/>
    <w:tmpl w:val="AE00A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E3129"/>
    <w:multiLevelType w:val="hybridMultilevel"/>
    <w:tmpl w:val="3F283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5A10AF"/>
    <w:multiLevelType w:val="hybridMultilevel"/>
    <w:tmpl w:val="99FAB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EC301F1"/>
    <w:multiLevelType w:val="hybridMultilevel"/>
    <w:tmpl w:val="45869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06ACC"/>
    <w:multiLevelType w:val="hybridMultilevel"/>
    <w:tmpl w:val="AC8857A6"/>
    <w:lvl w:ilvl="0" w:tplc="4B846906">
      <w:start w:val="1"/>
      <w:numFmt w:val="upperLetter"/>
      <w:pStyle w:val="AppendixHeading"/>
      <w:lvlText w:val="Appendix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76F8A"/>
    <w:multiLevelType w:val="hybridMultilevel"/>
    <w:tmpl w:val="A4A03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90019C"/>
    <w:multiLevelType w:val="hybridMultilevel"/>
    <w:tmpl w:val="F518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92787"/>
    <w:multiLevelType w:val="hybridMultilevel"/>
    <w:tmpl w:val="1E72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400791"/>
    <w:multiLevelType w:val="hybridMultilevel"/>
    <w:tmpl w:val="EDBE2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E4B5634"/>
    <w:multiLevelType w:val="hybridMultilevel"/>
    <w:tmpl w:val="64A44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466DE0"/>
    <w:multiLevelType w:val="hybridMultilevel"/>
    <w:tmpl w:val="2C4001CE"/>
    <w:lvl w:ilvl="0" w:tplc="F8325DF6">
      <w:start w:val="1"/>
      <w:numFmt w:val="bullet"/>
      <w:pStyle w:val="Bullet"/>
      <w:lvlText w:val=""/>
      <w:lvlJc w:val="left"/>
      <w:pPr>
        <w:ind w:left="720" w:hanging="360"/>
      </w:pPr>
      <w:rPr>
        <w:rFonts w:ascii="Symbol" w:hAnsi="Symbol" w:hint="default"/>
        <w:sz w:val="24"/>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CB43DD"/>
    <w:multiLevelType w:val="hybridMultilevel"/>
    <w:tmpl w:val="8736BF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A50AC8"/>
    <w:multiLevelType w:val="hybridMultilevel"/>
    <w:tmpl w:val="D7F66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79396D"/>
    <w:multiLevelType w:val="hybridMultilevel"/>
    <w:tmpl w:val="8C3A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3223DC"/>
    <w:multiLevelType w:val="hybridMultilevel"/>
    <w:tmpl w:val="DFCAF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D06EF3"/>
    <w:multiLevelType w:val="hybridMultilevel"/>
    <w:tmpl w:val="5D84FF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A4718A"/>
    <w:multiLevelType w:val="hybridMultilevel"/>
    <w:tmpl w:val="85023106"/>
    <w:lvl w:ilvl="0" w:tplc="D1A43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BA1609"/>
    <w:multiLevelType w:val="hybridMultilevel"/>
    <w:tmpl w:val="17C644D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26958"/>
    <w:multiLevelType w:val="hybridMultilevel"/>
    <w:tmpl w:val="692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7259D"/>
    <w:multiLevelType w:val="hybridMultilevel"/>
    <w:tmpl w:val="69FEB6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6A024EB"/>
    <w:multiLevelType w:val="hybridMultilevel"/>
    <w:tmpl w:val="1914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8B08D7"/>
    <w:multiLevelType w:val="multilevel"/>
    <w:tmpl w:val="E1389B78"/>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63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5" w15:restartNumberingAfterBreak="0">
    <w:nsid w:val="7DBD0320"/>
    <w:multiLevelType w:val="hybridMultilevel"/>
    <w:tmpl w:val="12ACC1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6"/>
  </w:num>
  <w:num w:numId="2">
    <w:abstractNumId w:val="30"/>
  </w:num>
  <w:num w:numId="3">
    <w:abstractNumId w:val="35"/>
  </w:num>
  <w:num w:numId="4">
    <w:abstractNumId w:val="13"/>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7"/>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15"/>
  </w:num>
  <w:num w:numId="9">
    <w:abstractNumId w:val="32"/>
  </w:num>
  <w:num w:numId="10">
    <w:abstractNumId w:val="20"/>
  </w:num>
  <w:num w:numId="11">
    <w:abstractNumId w:val="25"/>
  </w:num>
  <w:num w:numId="12">
    <w:abstractNumId w:val="17"/>
  </w:num>
  <w:num w:numId="13">
    <w:abstractNumId w:val="5"/>
  </w:num>
  <w:num w:numId="14">
    <w:abstractNumId w:val="6"/>
  </w:num>
  <w:num w:numId="15">
    <w:abstractNumId w:val="34"/>
  </w:num>
  <w:num w:numId="16">
    <w:abstractNumId w:val="4"/>
  </w:num>
  <w:num w:numId="17">
    <w:abstractNumId w:val="37"/>
  </w:num>
  <w:num w:numId="18">
    <w:abstractNumId w:val="29"/>
  </w:num>
  <w:num w:numId="19">
    <w:abstractNumId w:val="19"/>
  </w:num>
  <w:num w:numId="20">
    <w:abstractNumId w:val="9"/>
  </w:num>
  <w:num w:numId="21">
    <w:abstractNumId w:val="41"/>
  </w:num>
  <w:num w:numId="22">
    <w:abstractNumId w:val="43"/>
  </w:num>
  <w:num w:numId="23">
    <w:abstractNumId w:val="8"/>
  </w:num>
  <w:num w:numId="24">
    <w:abstractNumId w:val="36"/>
  </w:num>
  <w:num w:numId="25">
    <w:abstractNumId w:val="27"/>
  </w:num>
  <w:num w:numId="26">
    <w:abstractNumId w:val="24"/>
  </w:num>
  <w:num w:numId="27">
    <w:abstractNumId w:val="45"/>
  </w:num>
  <w:num w:numId="28">
    <w:abstractNumId w:val="10"/>
  </w:num>
  <w:num w:numId="29">
    <w:abstractNumId w:val="42"/>
  </w:num>
  <w:num w:numId="30">
    <w:abstractNumId w:val="23"/>
  </w:num>
  <w:num w:numId="31">
    <w:abstractNumId w:val="31"/>
  </w:num>
  <w:num w:numId="32">
    <w:abstractNumId w:val="28"/>
  </w:num>
  <w:num w:numId="33">
    <w:abstractNumId w:val="21"/>
  </w:num>
  <w:num w:numId="34">
    <w:abstractNumId w:val="14"/>
  </w:num>
  <w:num w:numId="35">
    <w:abstractNumId w:val="26"/>
  </w:num>
  <w:num w:numId="36">
    <w:abstractNumId w:val="22"/>
  </w:num>
  <w:num w:numId="37">
    <w:abstractNumId w:val="3"/>
  </w:num>
  <w:num w:numId="38">
    <w:abstractNumId w:val="38"/>
  </w:num>
  <w:num w:numId="39">
    <w:abstractNumId w:val="11"/>
  </w:num>
  <w:num w:numId="40">
    <w:abstractNumId w:val="2"/>
  </w:num>
  <w:num w:numId="41">
    <w:abstractNumId w:val="40"/>
  </w:num>
  <w:num w:numId="42">
    <w:abstractNumId w:val="1"/>
  </w:num>
  <w:num w:numId="43">
    <w:abstractNumId w:val="33"/>
  </w:num>
  <w:num w:numId="44">
    <w:abstractNumId w:val="12"/>
  </w:num>
  <w:num w:numId="45">
    <w:abstractNumId w:val="0"/>
  </w:num>
  <w:num w:numId="46">
    <w:abstractNumId w:val="39"/>
  </w:num>
  <w:num w:numId="47">
    <w:abstractNumId w:val="18"/>
  </w:num>
  <w:num w:numId="48">
    <w:abstractNumId w:val="32"/>
  </w:num>
  <w:num w:numId="49">
    <w:abstractNumId w:val="44"/>
  </w:num>
  <w:num w:numId="50">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422"/>
    <w:rsid w:val="00000AEF"/>
    <w:rsid w:val="000017A7"/>
    <w:rsid w:val="000023E6"/>
    <w:rsid w:val="0000264A"/>
    <w:rsid w:val="00002BE7"/>
    <w:rsid w:val="00002D0C"/>
    <w:rsid w:val="00002D8F"/>
    <w:rsid w:val="00002F5D"/>
    <w:rsid w:val="00002F76"/>
    <w:rsid w:val="00003962"/>
    <w:rsid w:val="000041AE"/>
    <w:rsid w:val="0000452A"/>
    <w:rsid w:val="00005475"/>
    <w:rsid w:val="00005E47"/>
    <w:rsid w:val="00006F89"/>
    <w:rsid w:val="000071E3"/>
    <w:rsid w:val="000073CB"/>
    <w:rsid w:val="0000757E"/>
    <w:rsid w:val="00007D79"/>
    <w:rsid w:val="00007DE2"/>
    <w:rsid w:val="00010943"/>
    <w:rsid w:val="00010C11"/>
    <w:rsid w:val="00010F38"/>
    <w:rsid w:val="00013132"/>
    <w:rsid w:val="000135DC"/>
    <w:rsid w:val="00013DF5"/>
    <w:rsid w:val="00014258"/>
    <w:rsid w:val="0001426F"/>
    <w:rsid w:val="00014367"/>
    <w:rsid w:val="00016374"/>
    <w:rsid w:val="00016522"/>
    <w:rsid w:val="000177BB"/>
    <w:rsid w:val="00020F34"/>
    <w:rsid w:val="00021D1E"/>
    <w:rsid w:val="00022365"/>
    <w:rsid w:val="000223A7"/>
    <w:rsid w:val="00022C55"/>
    <w:rsid w:val="00022E34"/>
    <w:rsid w:val="00024353"/>
    <w:rsid w:val="000243EB"/>
    <w:rsid w:val="000247AC"/>
    <w:rsid w:val="00024F62"/>
    <w:rsid w:val="00026CE2"/>
    <w:rsid w:val="0002771A"/>
    <w:rsid w:val="000302C0"/>
    <w:rsid w:val="00030E7C"/>
    <w:rsid w:val="00032B94"/>
    <w:rsid w:val="00032C7E"/>
    <w:rsid w:val="00032C84"/>
    <w:rsid w:val="00032CCD"/>
    <w:rsid w:val="000330FC"/>
    <w:rsid w:val="000336C7"/>
    <w:rsid w:val="00034047"/>
    <w:rsid w:val="00034226"/>
    <w:rsid w:val="00035C60"/>
    <w:rsid w:val="00035CF6"/>
    <w:rsid w:val="00037E50"/>
    <w:rsid w:val="00037F42"/>
    <w:rsid w:val="00042EA2"/>
    <w:rsid w:val="0004328F"/>
    <w:rsid w:val="00043678"/>
    <w:rsid w:val="00043E5F"/>
    <w:rsid w:val="00044791"/>
    <w:rsid w:val="0004670E"/>
    <w:rsid w:val="0005068A"/>
    <w:rsid w:val="00050DAA"/>
    <w:rsid w:val="00051543"/>
    <w:rsid w:val="00051873"/>
    <w:rsid w:val="0005231E"/>
    <w:rsid w:val="0005307D"/>
    <w:rsid w:val="00053C3D"/>
    <w:rsid w:val="00053DF5"/>
    <w:rsid w:val="00054139"/>
    <w:rsid w:val="0005414A"/>
    <w:rsid w:val="00054680"/>
    <w:rsid w:val="000554D8"/>
    <w:rsid w:val="000555FF"/>
    <w:rsid w:val="00055E1E"/>
    <w:rsid w:val="00055FE3"/>
    <w:rsid w:val="000603F3"/>
    <w:rsid w:val="00060EEF"/>
    <w:rsid w:val="0006101B"/>
    <w:rsid w:val="0006131D"/>
    <w:rsid w:val="000622A2"/>
    <w:rsid w:val="00062FD2"/>
    <w:rsid w:val="000638F8"/>
    <w:rsid w:val="00063F01"/>
    <w:rsid w:val="00064036"/>
    <w:rsid w:val="000652CD"/>
    <w:rsid w:val="00065C68"/>
    <w:rsid w:val="00066EE9"/>
    <w:rsid w:val="00067051"/>
    <w:rsid w:val="00070557"/>
    <w:rsid w:val="00071606"/>
    <w:rsid w:val="000734BE"/>
    <w:rsid w:val="000742AA"/>
    <w:rsid w:val="00074A89"/>
    <w:rsid w:val="00074C5C"/>
    <w:rsid w:val="00074E24"/>
    <w:rsid w:val="00074F5B"/>
    <w:rsid w:val="00075C65"/>
    <w:rsid w:val="00075F7C"/>
    <w:rsid w:val="00076E7B"/>
    <w:rsid w:val="00077927"/>
    <w:rsid w:val="00077981"/>
    <w:rsid w:val="00080209"/>
    <w:rsid w:val="00080D34"/>
    <w:rsid w:val="00080E05"/>
    <w:rsid w:val="000811AC"/>
    <w:rsid w:val="00081989"/>
    <w:rsid w:val="000819F2"/>
    <w:rsid w:val="00081A75"/>
    <w:rsid w:val="00081DB8"/>
    <w:rsid w:val="000824C1"/>
    <w:rsid w:val="0008383D"/>
    <w:rsid w:val="00083A5E"/>
    <w:rsid w:val="00084903"/>
    <w:rsid w:val="000852DE"/>
    <w:rsid w:val="00085663"/>
    <w:rsid w:val="00085A9C"/>
    <w:rsid w:val="00085F5E"/>
    <w:rsid w:val="000861E9"/>
    <w:rsid w:val="000867A8"/>
    <w:rsid w:val="0008701C"/>
    <w:rsid w:val="00087B1A"/>
    <w:rsid w:val="00091EEB"/>
    <w:rsid w:val="000928FA"/>
    <w:rsid w:val="00094595"/>
    <w:rsid w:val="0009470A"/>
    <w:rsid w:val="00094929"/>
    <w:rsid w:val="00094BDB"/>
    <w:rsid w:val="00094C60"/>
    <w:rsid w:val="00095712"/>
    <w:rsid w:val="000958B9"/>
    <w:rsid w:val="0009656A"/>
    <w:rsid w:val="0009777F"/>
    <w:rsid w:val="000A29B0"/>
    <w:rsid w:val="000A2EB2"/>
    <w:rsid w:val="000A3D0C"/>
    <w:rsid w:val="000A3DD0"/>
    <w:rsid w:val="000A41C9"/>
    <w:rsid w:val="000A4576"/>
    <w:rsid w:val="000A46B0"/>
    <w:rsid w:val="000A4C62"/>
    <w:rsid w:val="000A4D8E"/>
    <w:rsid w:val="000A4F13"/>
    <w:rsid w:val="000A680B"/>
    <w:rsid w:val="000A6F2F"/>
    <w:rsid w:val="000A78A1"/>
    <w:rsid w:val="000B10DA"/>
    <w:rsid w:val="000B26C9"/>
    <w:rsid w:val="000B4890"/>
    <w:rsid w:val="000B49EB"/>
    <w:rsid w:val="000B5502"/>
    <w:rsid w:val="000B5BDD"/>
    <w:rsid w:val="000B5C89"/>
    <w:rsid w:val="000B663A"/>
    <w:rsid w:val="000C1991"/>
    <w:rsid w:val="000C1C13"/>
    <w:rsid w:val="000C276D"/>
    <w:rsid w:val="000C3756"/>
    <w:rsid w:val="000C3C55"/>
    <w:rsid w:val="000C4489"/>
    <w:rsid w:val="000C5AEA"/>
    <w:rsid w:val="000C749D"/>
    <w:rsid w:val="000C7998"/>
    <w:rsid w:val="000D0838"/>
    <w:rsid w:val="000D0CAC"/>
    <w:rsid w:val="000D17F1"/>
    <w:rsid w:val="000D2DC1"/>
    <w:rsid w:val="000D3441"/>
    <w:rsid w:val="000D457F"/>
    <w:rsid w:val="000D4EFF"/>
    <w:rsid w:val="000D5520"/>
    <w:rsid w:val="000D5745"/>
    <w:rsid w:val="000D628C"/>
    <w:rsid w:val="000D6331"/>
    <w:rsid w:val="000E0EED"/>
    <w:rsid w:val="000E197A"/>
    <w:rsid w:val="000E2AFD"/>
    <w:rsid w:val="000E3059"/>
    <w:rsid w:val="000E4272"/>
    <w:rsid w:val="000E4D79"/>
    <w:rsid w:val="000E513D"/>
    <w:rsid w:val="000E58C9"/>
    <w:rsid w:val="000E5E9E"/>
    <w:rsid w:val="000E6768"/>
    <w:rsid w:val="000F0E2B"/>
    <w:rsid w:val="000F135E"/>
    <w:rsid w:val="000F1491"/>
    <w:rsid w:val="000F15CA"/>
    <w:rsid w:val="000F1BF7"/>
    <w:rsid w:val="000F21BD"/>
    <w:rsid w:val="000F2C7A"/>
    <w:rsid w:val="000F2E27"/>
    <w:rsid w:val="000F2E80"/>
    <w:rsid w:val="000F2E93"/>
    <w:rsid w:val="000F301E"/>
    <w:rsid w:val="000F349C"/>
    <w:rsid w:val="000F461E"/>
    <w:rsid w:val="000F4662"/>
    <w:rsid w:val="000F4ADB"/>
    <w:rsid w:val="000F5EAC"/>
    <w:rsid w:val="000F6960"/>
    <w:rsid w:val="001005FB"/>
    <w:rsid w:val="00100B25"/>
    <w:rsid w:val="00101973"/>
    <w:rsid w:val="00101FF7"/>
    <w:rsid w:val="001021CC"/>
    <w:rsid w:val="00102B71"/>
    <w:rsid w:val="00105F91"/>
    <w:rsid w:val="001065EB"/>
    <w:rsid w:val="00107628"/>
    <w:rsid w:val="001079D9"/>
    <w:rsid w:val="00107EF5"/>
    <w:rsid w:val="001104F8"/>
    <w:rsid w:val="00110B9F"/>
    <w:rsid w:val="00111AB4"/>
    <w:rsid w:val="00111C67"/>
    <w:rsid w:val="00111D78"/>
    <w:rsid w:val="00111E48"/>
    <w:rsid w:val="00114350"/>
    <w:rsid w:val="00114B29"/>
    <w:rsid w:val="00115697"/>
    <w:rsid w:val="001160D5"/>
    <w:rsid w:val="00117253"/>
    <w:rsid w:val="0011732A"/>
    <w:rsid w:val="00120E09"/>
    <w:rsid w:val="00120F1C"/>
    <w:rsid w:val="0012135F"/>
    <w:rsid w:val="00122BBB"/>
    <w:rsid w:val="00123983"/>
    <w:rsid w:val="00124DE2"/>
    <w:rsid w:val="00125638"/>
    <w:rsid w:val="00125EBF"/>
    <w:rsid w:val="00126423"/>
    <w:rsid w:val="00126DED"/>
    <w:rsid w:val="00126FAF"/>
    <w:rsid w:val="00131814"/>
    <w:rsid w:val="00131ED2"/>
    <w:rsid w:val="00131F8C"/>
    <w:rsid w:val="00132B06"/>
    <w:rsid w:val="00134A8E"/>
    <w:rsid w:val="00135063"/>
    <w:rsid w:val="00137A4D"/>
    <w:rsid w:val="001409BC"/>
    <w:rsid w:val="00140E31"/>
    <w:rsid w:val="00140EA6"/>
    <w:rsid w:val="001414D0"/>
    <w:rsid w:val="0014472C"/>
    <w:rsid w:val="00144F6F"/>
    <w:rsid w:val="001451E2"/>
    <w:rsid w:val="00146148"/>
    <w:rsid w:val="001473CD"/>
    <w:rsid w:val="0015016F"/>
    <w:rsid w:val="0015052F"/>
    <w:rsid w:val="00150C85"/>
    <w:rsid w:val="00150C9D"/>
    <w:rsid w:val="001519D3"/>
    <w:rsid w:val="00151D77"/>
    <w:rsid w:val="00151DEA"/>
    <w:rsid w:val="00151EB7"/>
    <w:rsid w:val="00151F6C"/>
    <w:rsid w:val="00152041"/>
    <w:rsid w:val="00152300"/>
    <w:rsid w:val="00152690"/>
    <w:rsid w:val="001541F0"/>
    <w:rsid w:val="001553DF"/>
    <w:rsid w:val="00161062"/>
    <w:rsid w:val="00163DDA"/>
    <w:rsid w:val="00163EB7"/>
    <w:rsid w:val="00164D1D"/>
    <w:rsid w:val="0016527C"/>
    <w:rsid w:val="001659E9"/>
    <w:rsid w:val="00166197"/>
    <w:rsid w:val="00166687"/>
    <w:rsid w:val="00166DF8"/>
    <w:rsid w:val="0016730B"/>
    <w:rsid w:val="00167833"/>
    <w:rsid w:val="00170225"/>
    <w:rsid w:val="001703AF"/>
    <w:rsid w:val="0017057C"/>
    <w:rsid w:val="001707CA"/>
    <w:rsid w:val="00170A5E"/>
    <w:rsid w:val="00170E2F"/>
    <w:rsid w:val="00171251"/>
    <w:rsid w:val="001712C3"/>
    <w:rsid w:val="00172059"/>
    <w:rsid w:val="00172842"/>
    <w:rsid w:val="00173075"/>
    <w:rsid w:val="0017324D"/>
    <w:rsid w:val="00173967"/>
    <w:rsid w:val="00173ADA"/>
    <w:rsid w:val="00174995"/>
    <w:rsid w:val="0017536B"/>
    <w:rsid w:val="0017613D"/>
    <w:rsid w:val="0017666A"/>
    <w:rsid w:val="00176D72"/>
    <w:rsid w:val="00177080"/>
    <w:rsid w:val="00177147"/>
    <w:rsid w:val="00180575"/>
    <w:rsid w:val="00180778"/>
    <w:rsid w:val="001809F1"/>
    <w:rsid w:val="001826AC"/>
    <w:rsid w:val="00182965"/>
    <w:rsid w:val="00182D25"/>
    <w:rsid w:val="00184ACD"/>
    <w:rsid w:val="0018550F"/>
    <w:rsid w:val="0018566B"/>
    <w:rsid w:val="00186FE9"/>
    <w:rsid w:val="001875F0"/>
    <w:rsid w:val="001878BC"/>
    <w:rsid w:val="00187D36"/>
    <w:rsid w:val="00187F62"/>
    <w:rsid w:val="0019079F"/>
    <w:rsid w:val="00191B41"/>
    <w:rsid w:val="001921C0"/>
    <w:rsid w:val="00193176"/>
    <w:rsid w:val="001942EF"/>
    <w:rsid w:val="001946FE"/>
    <w:rsid w:val="00194A5D"/>
    <w:rsid w:val="00194F89"/>
    <w:rsid w:val="00196F2C"/>
    <w:rsid w:val="00197E33"/>
    <w:rsid w:val="001A0071"/>
    <w:rsid w:val="001A0215"/>
    <w:rsid w:val="001A0CB1"/>
    <w:rsid w:val="001A2398"/>
    <w:rsid w:val="001A3F92"/>
    <w:rsid w:val="001A4AE4"/>
    <w:rsid w:val="001A4D4D"/>
    <w:rsid w:val="001A4D84"/>
    <w:rsid w:val="001A52DA"/>
    <w:rsid w:val="001A58E5"/>
    <w:rsid w:val="001A6F06"/>
    <w:rsid w:val="001A713F"/>
    <w:rsid w:val="001A738D"/>
    <w:rsid w:val="001A7787"/>
    <w:rsid w:val="001A7A25"/>
    <w:rsid w:val="001A7D2D"/>
    <w:rsid w:val="001B08A7"/>
    <w:rsid w:val="001B0E82"/>
    <w:rsid w:val="001B0E95"/>
    <w:rsid w:val="001B1A6B"/>
    <w:rsid w:val="001B350D"/>
    <w:rsid w:val="001B37D0"/>
    <w:rsid w:val="001B3835"/>
    <w:rsid w:val="001B3EE4"/>
    <w:rsid w:val="001B44EC"/>
    <w:rsid w:val="001B44F4"/>
    <w:rsid w:val="001B4B47"/>
    <w:rsid w:val="001B4E32"/>
    <w:rsid w:val="001B501C"/>
    <w:rsid w:val="001B5518"/>
    <w:rsid w:val="001B55D4"/>
    <w:rsid w:val="001B5625"/>
    <w:rsid w:val="001B566C"/>
    <w:rsid w:val="001B56E0"/>
    <w:rsid w:val="001B5B06"/>
    <w:rsid w:val="001B655C"/>
    <w:rsid w:val="001B6AB6"/>
    <w:rsid w:val="001B75FE"/>
    <w:rsid w:val="001B7921"/>
    <w:rsid w:val="001B7DAC"/>
    <w:rsid w:val="001C077A"/>
    <w:rsid w:val="001C0FAE"/>
    <w:rsid w:val="001C18F3"/>
    <w:rsid w:val="001C2137"/>
    <w:rsid w:val="001C260B"/>
    <w:rsid w:val="001C31C8"/>
    <w:rsid w:val="001C3F0E"/>
    <w:rsid w:val="001C4629"/>
    <w:rsid w:val="001C54BB"/>
    <w:rsid w:val="001C5622"/>
    <w:rsid w:val="001C654D"/>
    <w:rsid w:val="001C6653"/>
    <w:rsid w:val="001C67EE"/>
    <w:rsid w:val="001C7D82"/>
    <w:rsid w:val="001D1246"/>
    <w:rsid w:val="001D2041"/>
    <w:rsid w:val="001D2053"/>
    <w:rsid w:val="001D24C9"/>
    <w:rsid w:val="001D26F3"/>
    <w:rsid w:val="001D2727"/>
    <w:rsid w:val="001D36CB"/>
    <w:rsid w:val="001D3E92"/>
    <w:rsid w:val="001D47A5"/>
    <w:rsid w:val="001D4D33"/>
    <w:rsid w:val="001D51F7"/>
    <w:rsid w:val="001D5466"/>
    <w:rsid w:val="001D5AF9"/>
    <w:rsid w:val="001D61DD"/>
    <w:rsid w:val="001D6C13"/>
    <w:rsid w:val="001D6DF1"/>
    <w:rsid w:val="001D7692"/>
    <w:rsid w:val="001E0F52"/>
    <w:rsid w:val="001E14F8"/>
    <w:rsid w:val="001E1638"/>
    <w:rsid w:val="001E1665"/>
    <w:rsid w:val="001E1781"/>
    <w:rsid w:val="001E1B0E"/>
    <w:rsid w:val="001E1F32"/>
    <w:rsid w:val="001E286A"/>
    <w:rsid w:val="001E2AD9"/>
    <w:rsid w:val="001E354C"/>
    <w:rsid w:val="001E4115"/>
    <w:rsid w:val="001E4625"/>
    <w:rsid w:val="001E4754"/>
    <w:rsid w:val="001E494E"/>
    <w:rsid w:val="001E4B33"/>
    <w:rsid w:val="001E4E35"/>
    <w:rsid w:val="001E5959"/>
    <w:rsid w:val="001E600D"/>
    <w:rsid w:val="001E6ECF"/>
    <w:rsid w:val="001E78EA"/>
    <w:rsid w:val="001E7C7E"/>
    <w:rsid w:val="001F0E53"/>
    <w:rsid w:val="001F1C56"/>
    <w:rsid w:val="001F1F3D"/>
    <w:rsid w:val="001F2ED2"/>
    <w:rsid w:val="001F3675"/>
    <w:rsid w:val="001F3A47"/>
    <w:rsid w:val="001F3DC7"/>
    <w:rsid w:val="001F4533"/>
    <w:rsid w:val="001F4985"/>
    <w:rsid w:val="001F584E"/>
    <w:rsid w:val="001F59C4"/>
    <w:rsid w:val="002005E5"/>
    <w:rsid w:val="00200B82"/>
    <w:rsid w:val="00200E85"/>
    <w:rsid w:val="002018A1"/>
    <w:rsid w:val="002020B5"/>
    <w:rsid w:val="002022B0"/>
    <w:rsid w:val="00203128"/>
    <w:rsid w:val="00203192"/>
    <w:rsid w:val="002040E2"/>
    <w:rsid w:val="0020421F"/>
    <w:rsid w:val="0020437D"/>
    <w:rsid w:val="0020563F"/>
    <w:rsid w:val="00205840"/>
    <w:rsid w:val="0020649F"/>
    <w:rsid w:val="00207E97"/>
    <w:rsid w:val="00207EDC"/>
    <w:rsid w:val="00211A5F"/>
    <w:rsid w:val="00211E6E"/>
    <w:rsid w:val="00212258"/>
    <w:rsid w:val="0021252D"/>
    <w:rsid w:val="0021364C"/>
    <w:rsid w:val="00214F28"/>
    <w:rsid w:val="0021560A"/>
    <w:rsid w:val="002156FF"/>
    <w:rsid w:val="00216016"/>
    <w:rsid w:val="00222D66"/>
    <w:rsid w:val="002244FB"/>
    <w:rsid w:val="0022507A"/>
    <w:rsid w:val="00225E94"/>
    <w:rsid w:val="00226780"/>
    <w:rsid w:val="00226B49"/>
    <w:rsid w:val="00227524"/>
    <w:rsid w:val="0023015C"/>
    <w:rsid w:val="002308E9"/>
    <w:rsid w:val="00230DC6"/>
    <w:rsid w:val="0023162A"/>
    <w:rsid w:val="00232456"/>
    <w:rsid w:val="00232799"/>
    <w:rsid w:val="00234491"/>
    <w:rsid w:val="00234A06"/>
    <w:rsid w:val="0023536C"/>
    <w:rsid w:val="00235C7E"/>
    <w:rsid w:val="00235ED0"/>
    <w:rsid w:val="00236018"/>
    <w:rsid w:val="00236E9C"/>
    <w:rsid w:val="002370BA"/>
    <w:rsid w:val="00237AEB"/>
    <w:rsid w:val="002416DF"/>
    <w:rsid w:val="00242891"/>
    <w:rsid w:val="00243424"/>
    <w:rsid w:val="00244829"/>
    <w:rsid w:val="00245A6F"/>
    <w:rsid w:val="00245D76"/>
    <w:rsid w:val="00245F56"/>
    <w:rsid w:val="002460C9"/>
    <w:rsid w:val="002464B4"/>
    <w:rsid w:val="00246606"/>
    <w:rsid w:val="00246BDF"/>
    <w:rsid w:val="002478A6"/>
    <w:rsid w:val="00250EA7"/>
    <w:rsid w:val="00251F6F"/>
    <w:rsid w:val="00251FA8"/>
    <w:rsid w:val="00253499"/>
    <w:rsid w:val="00253900"/>
    <w:rsid w:val="002546C3"/>
    <w:rsid w:val="00256C9F"/>
    <w:rsid w:val="00257B23"/>
    <w:rsid w:val="00257B64"/>
    <w:rsid w:val="00261935"/>
    <w:rsid w:val="00262797"/>
    <w:rsid w:val="0026318C"/>
    <w:rsid w:val="00263B43"/>
    <w:rsid w:val="00263D8B"/>
    <w:rsid w:val="0026471E"/>
    <w:rsid w:val="00264CE5"/>
    <w:rsid w:val="00264CF3"/>
    <w:rsid w:val="00264D2D"/>
    <w:rsid w:val="00267AF7"/>
    <w:rsid w:val="002711F5"/>
    <w:rsid w:val="002712AE"/>
    <w:rsid w:val="00271B12"/>
    <w:rsid w:val="002728B5"/>
    <w:rsid w:val="002728DB"/>
    <w:rsid w:val="0027295F"/>
    <w:rsid w:val="00273015"/>
    <w:rsid w:val="00273757"/>
    <w:rsid w:val="00273C1A"/>
    <w:rsid w:val="00273D41"/>
    <w:rsid w:val="00273F30"/>
    <w:rsid w:val="00274AA6"/>
    <w:rsid w:val="00275A4A"/>
    <w:rsid w:val="00276B08"/>
    <w:rsid w:val="00276E55"/>
    <w:rsid w:val="00277926"/>
    <w:rsid w:val="00280CF7"/>
    <w:rsid w:val="00281E83"/>
    <w:rsid w:val="00283436"/>
    <w:rsid w:val="00283905"/>
    <w:rsid w:val="00283EA7"/>
    <w:rsid w:val="00283F3F"/>
    <w:rsid w:val="0028453F"/>
    <w:rsid w:val="00284E83"/>
    <w:rsid w:val="0028502C"/>
    <w:rsid w:val="00286399"/>
    <w:rsid w:val="00286A1D"/>
    <w:rsid w:val="00287B5A"/>
    <w:rsid w:val="002908AA"/>
    <w:rsid w:val="00290A4E"/>
    <w:rsid w:val="00291109"/>
    <w:rsid w:val="002920E8"/>
    <w:rsid w:val="0029258F"/>
    <w:rsid w:val="00292C5B"/>
    <w:rsid w:val="00292E1C"/>
    <w:rsid w:val="0029353A"/>
    <w:rsid w:val="0029411B"/>
    <w:rsid w:val="0029490E"/>
    <w:rsid w:val="00296975"/>
    <w:rsid w:val="00296E5A"/>
    <w:rsid w:val="0029700D"/>
    <w:rsid w:val="002971C2"/>
    <w:rsid w:val="0029775C"/>
    <w:rsid w:val="002A08C1"/>
    <w:rsid w:val="002A1E1F"/>
    <w:rsid w:val="002A1E27"/>
    <w:rsid w:val="002A2E30"/>
    <w:rsid w:val="002A3D12"/>
    <w:rsid w:val="002A3DC4"/>
    <w:rsid w:val="002A4540"/>
    <w:rsid w:val="002A4ACC"/>
    <w:rsid w:val="002A6144"/>
    <w:rsid w:val="002A6C42"/>
    <w:rsid w:val="002A72B0"/>
    <w:rsid w:val="002A789A"/>
    <w:rsid w:val="002A7C8D"/>
    <w:rsid w:val="002A7FD0"/>
    <w:rsid w:val="002B0268"/>
    <w:rsid w:val="002B0989"/>
    <w:rsid w:val="002B1316"/>
    <w:rsid w:val="002B1D79"/>
    <w:rsid w:val="002B1DF5"/>
    <w:rsid w:val="002B2163"/>
    <w:rsid w:val="002B2811"/>
    <w:rsid w:val="002B2B50"/>
    <w:rsid w:val="002B2F34"/>
    <w:rsid w:val="002B3A9B"/>
    <w:rsid w:val="002B4C7D"/>
    <w:rsid w:val="002B50BC"/>
    <w:rsid w:val="002B5795"/>
    <w:rsid w:val="002B597F"/>
    <w:rsid w:val="002B5D2E"/>
    <w:rsid w:val="002B6037"/>
    <w:rsid w:val="002B665B"/>
    <w:rsid w:val="002B68C8"/>
    <w:rsid w:val="002B6B78"/>
    <w:rsid w:val="002B6C7C"/>
    <w:rsid w:val="002B7993"/>
    <w:rsid w:val="002B7ECF"/>
    <w:rsid w:val="002C0D12"/>
    <w:rsid w:val="002C0EB6"/>
    <w:rsid w:val="002C2295"/>
    <w:rsid w:val="002C2B01"/>
    <w:rsid w:val="002C2B21"/>
    <w:rsid w:val="002C2BE8"/>
    <w:rsid w:val="002C3FBF"/>
    <w:rsid w:val="002C420B"/>
    <w:rsid w:val="002C4AA4"/>
    <w:rsid w:val="002C4D17"/>
    <w:rsid w:val="002C4D40"/>
    <w:rsid w:val="002C5015"/>
    <w:rsid w:val="002C50F5"/>
    <w:rsid w:val="002D271D"/>
    <w:rsid w:val="002D2C65"/>
    <w:rsid w:val="002D304E"/>
    <w:rsid w:val="002D35B6"/>
    <w:rsid w:val="002D383C"/>
    <w:rsid w:val="002D4551"/>
    <w:rsid w:val="002D45B0"/>
    <w:rsid w:val="002D4B10"/>
    <w:rsid w:val="002D5932"/>
    <w:rsid w:val="002D656A"/>
    <w:rsid w:val="002D66E8"/>
    <w:rsid w:val="002D6BDA"/>
    <w:rsid w:val="002D76F5"/>
    <w:rsid w:val="002D7E59"/>
    <w:rsid w:val="002E0645"/>
    <w:rsid w:val="002E1351"/>
    <w:rsid w:val="002E175E"/>
    <w:rsid w:val="002E24BD"/>
    <w:rsid w:val="002E2E3E"/>
    <w:rsid w:val="002E2EDC"/>
    <w:rsid w:val="002E4D75"/>
    <w:rsid w:val="002E5890"/>
    <w:rsid w:val="002E7B17"/>
    <w:rsid w:val="002F125E"/>
    <w:rsid w:val="002F1B44"/>
    <w:rsid w:val="002F228E"/>
    <w:rsid w:val="002F38D6"/>
    <w:rsid w:val="002F39EA"/>
    <w:rsid w:val="002F39F4"/>
    <w:rsid w:val="002F43E1"/>
    <w:rsid w:val="002F46EF"/>
    <w:rsid w:val="002F4BD3"/>
    <w:rsid w:val="002F4EBC"/>
    <w:rsid w:val="002F5963"/>
    <w:rsid w:val="002F64B1"/>
    <w:rsid w:val="002F7150"/>
    <w:rsid w:val="002F7F5A"/>
    <w:rsid w:val="0030059C"/>
    <w:rsid w:val="00300BBD"/>
    <w:rsid w:val="003012A2"/>
    <w:rsid w:val="003015BD"/>
    <w:rsid w:val="00303B14"/>
    <w:rsid w:val="00304EB1"/>
    <w:rsid w:val="003055D4"/>
    <w:rsid w:val="003060AB"/>
    <w:rsid w:val="0030716D"/>
    <w:rsid w:val="00307C27"/>
    <w:rsid w:val="00310204"/>
    <w:rsid w:val="00310953"/>
    <w:rsid w:val="0031284E"/>
    <w:rsid w:val="00312A41"/>
    <w:rsid w:val="00312D0F"/>
    <w:rsid w:val="00314235"/>
    <w:rsid w:val="0031466E"/>
    <w:rsid w:val="0031482B"/>
    <w:rsid w:val="00314C04"/>
    <w:rsid w:val="00314DC8"/>
    <w:rsid w:val="00315CF0"/>
    <w:rsid w:val="00315DB6"/>
    <w:rsid w:val="0031630D"/>
    <w:rsid w:val="00316919"/>
    <w:rsid w:val="003206AB"/>
    <w:rsid w:val="003208DF"/>
    <w:rsid w:val="00321397"/>
    <w:rsid w:val="00321451"/>
    <w:rsid w:val="00321920"/>
    <w:rsid w:val="00321975"/>
    <w:rsid w:val="00321A56"/>
    <w:rsid w:val="00323D97"/>
    <w:rsid w:val="00323E18"/>
    <w:rsid w:val="00324187"/>
    <w:rsid w:val="00324F37"/>
    <w:rsid w:val="00324F95"/>
    <w:rsid w:val="00325459"/>
    <w:rsid w:val="003256CD"/>
    <w:rsid w:val="00325C47"/>
    <w:rsid w:val="00325E84"/>
    <w:rsid w:val="0032617A"/>
    <w:rsid w:val="00326382"/>
    <w:rsid w:val="00326475"/>
    <w:rsid w:val="00326719"/>
    <w:rsid w:val="0032675C"/>
    <w:rsid w:val="003300CD"/>
    <w:rsid w:val="0033069E"/>
    <w:rsid w:val="0033230E"/>
    <w:rsid w:val="00332DCE"/>
    <w:rsid w:val="003331E6"/>
    <w:rsid w:val="003334A6"/>
    <w:rsid w:val="003339A0"/>
    <w:rsid w:val="00334164"/>
    <w:rsid w:val="0033497E"/>
    <w:rsid w:val="00334A34"/>
    <w:rsid w:val="00334A48"/>
    <w:rsid w:val="00335717"/>
    <w:rsid w:val="003359F5"/>
    <w:rsid w:val="00335E7C"/>
    <w:rsid w:val="0033634C"/>
    <w:rsid w:val="00336692"/>
    <w:rsid w:val="00336D63"/>
    <w:rsid w:val="00337FAC"/>
    <w:rsid w:val="003410E4"/>
    <w:rsid w:val="003412FE"/>
    <w:rsid w:val="00341AF5"/>
    <w:rsid w:val="0034203E"/>
    <w:rsid w:val="00342BF4"/>
    <w:rsid w:val="00343EC4"/>
    <w:rsid w:val="00345328"/>
    <w:rsid w:val="0034532C"/>
    <w:rsid w:val="003455B9"/>
    <w:rsid w:val="00345FF8"/>
    <w:rsid w:val="0034635A"/>
    <w:rsid w:val="003473A7"/>
    <w:rsid w:val="00347939"/>
    <w:rsid w:val="00347CC8"/>
    <w:rsid w:val="00350DAE"/>
    <w:rsid w:val="00351B9B"/>
    <w:rsid w:val="00351FDB"/>
    <w:rsid w:val="00352712"/>
    <w:rsid w:val="003533E0"/>
    <w:rsid w:val="003536BE"/>
    <w:rsid w:val="00353BB0"/>
    <w:rsid w:val="00353E30"/>
    <w:rsid w:val="00354C29"/>
    <w:rsid w:val="00354C52"/>
    <w:rsid w:val="00355627"/>
    <w:rsid w:val="003559BA"/>
    <w:rsid w:val="003560E1"/>
    <w:rsid w:val="00356333"/>
    <w:rsid w:val="00356C44"/>
    <w:rsid w:val="00360279"/>
    <w:rsid w:val="00360709"/>
    <w:rsid w:val="00360A3A"/>
    <w:rsid w:val="00361017"/>
    <w:rsid w:val="00361D43"/>
    <w:rsid w:val="00362F70"/>
    <w:rsid w:val="0036343E"/>
    <w:rsid w:val="003642F2"/>
    <w:rsid w:val="00364F4D"/>
    <w:rsid w:val="00366263"/>
    <w:rsid w:val="0036626C"/>
    <w:rsid w:val="003671A8"/>
    <w:rsid w:val="0036726D"/>
    <w:rsid w:val="0036732E"/>
    <w:rsid w:val="00370B64"/>
    <w:rsid w:val="00370D45"/>
    <w:rsid w:val="0037219E"/>
    <w:rsid w:val="0037225E"/>
    <w:rsid w:val="00372CE8"/>
    <w:rsid w:val="00372F77"/>
    <w:rsid w:val="00373F35"/>
    <w:rsid w:val="00374419"/>
    <w:rsid w:val="00374890"/>
    <w:rsid w:val="00377750"/>
    <w:rsid w:val="00377844"/>
    <w:rsid w:val="0037790C"/>
    <w:rsid w:val="0038036B"/>
    <w:rsid w:val="003805FC"/>
    <w:rsid w:val="00380E1C"/>
    <w:rsid w:val="003811B1"/>
    <w:rsid w:val="00381769"/>
    <w:rsid w:val="00381AB9"/>
    <w:rsid w:val="00381C8A"/>
    <w:rsid w:val="003821C4"/>
    <w:rsid w:val="00382D90"/>
    <w:rsid w:val="00384498"/>
    <w:rsid w:val="0038475F"/>
    <w:rsid w:val="00384EC0"/>
    <w:rsid w:val="00385699"/>
    <w:rsid w:val="00386134"/>
    <w:rsid w:val="00387260"/>
    <w:rsid w:val="00387545"/>
    <w:rsid w:val="00387849"/>
    <w:rsid w:val="00387C43"/>
    <w:rsid w:val="00390190"/>
    <w:rsid w:val="00390A80"/>
    <w:rsid w:val="00391092"/>
    <w:rsid w:val="00391355"/>
    <w:rsid w:val="003934A7"/>
    <w:rsid w:val="00394DF6"/>
    <w:rsid w:val="00394E1C"/>
    <w:rsid w:val="00394F17"/>
    <w:rsid w:val="00395142"/>
    <w:rsid w:val="00396278"/>
    <w:rsid w:val="0039757D"/>
    <w:rsid w:val="00397F1B"/>
    <w:rsid w:val="003A0192"/>
    <w:rsid w:val="003A0CEB"/>
    <w:rsid w:val="003A1310"/>
    <w:rsid w:val="003A374D"/>
    <w:rsid w:val="003A3E37"/>
    <w:rsid w:val="003A53A8"/>
    <w:rsid w:val="003A58CA"/>
    <w:rsid w:val="003A6261"/>
    <w:rsid w:val="003A642E"/>
    <w:rsid w:val="003A6865"/>
    <w:rsid w:val="003A6D6E"/>
    <w:rsid w:val="003A7014"/>
    <w:rsid w:val="003A70B4"/>
    <w:rsid w:val="003B09DF"/>
    <w:rsid w:val="003B0DD7"/>
    <w:rsid w:val="003B0E7A"/>
    <w:rsid w:val="003B17F0"/>
    <w:rsid w:val="003B360E"/>
    <w:rsid w:val="003B3725"/>
    <w:rsid w:val="003B3D6D"/>
    <w:rsid w:val="003B3E34"/>
    <w:rsid w:val="003B413B"/>
    <w:rsid w:val="003B5087"/>
    <w:rsid w:val="003B5213"/>
    <w:rsid w:val="003B5750"/>
    <w:rsid w:val="003B5A49"/>
    <w:rsid w:val="003B6225"/>
    <w:rsid w:val="003B6227"/>
    <w:rsid w:val="003B6DE6"/>
    <w:rsid w:val="003B70BA"/>
    <w:rsid w:val="003B7DB3"/>
    <w:rsid w:val="003B7F12"/>
    <w:rsid w:val="003B7F47"/>
    <w:rsid w:val="003C04C3"/>
    <w:rsid w:val="003C073E"/>
    <w:rsid w:val="003C118F"/>
    <w:rsid w:val="003C2311"/>
    <w:rsid w:val="003C2BBD"/>
    <w:rsid w:val="003C4741"/>
    <w:rsid w:val="003C4EC0"/>
    <w:rsid w:val="003C655C"/>
    <w:rsid w:val="003C6B22"/>
    <w:rsid w:val="003C731F"/>
    <w:rsid w:val="003D1E04"/>
    <w:rsid w:val="003D2477"/>
    <w:rsid w:val="003D3218"/>
    <w:rsid w:val="003D3295"/>
    <w:rsid w:val="003D3D34"/>
    <w:rsid w:val="003D4D62"/>
    <w:rsid w:val="003D4F59"/>
    <w:rsid w:val="003D6ADB"/>
    <w:rsid w:val="003D717C"/>
    <w:rsid w:val="003D72B3"/>
    <w:rsid w:val="003E034D"/>
    <w:rsid w:val="003E070C"/>
    <w:rsid w:val="003E1F51"/>
    <w:rsid w:val="003E2AFF"/>
    <w:rsid w:val="003E3081"/>
    <w:rsid w:val="003E3318"/>
    <w:rsid w:val="003E3BD9"/>
    <w:rsid w:val="003E4440"/>
    <w:rsid w:val="003E44BE"/>
    <w:rsid w:val="003E47A1"/>
    <w:rsid w:val="003E4A32"/>
    <w:rsid w:val="003E4FBA"/>
    <w:rsid w:val="003E5954"/>
    <w:rsid w:val="003E6A53"/>
    <w:rsid w:val="003F009D"/>
    <w:rsid w:val="003F0D9B"/>
    <w:rsid w:val="003F1249"/>
    <w:rsid w:val="003F1936"/>
    <w:rsid w:val="003F210C"/>
    <w:rsid w:val="003F301E"/>
    <w:rsid w:val="003F3891"/>
    <w:rsid w:val="003F395E"/>
    <w:rsid w:val="003F4688"/>
    <w:rsid w:val="003F4B54"/>
    <w:rsid w:val="003F54B7"/>
    <w:rsid w:val="003F5942"/>
    <w:rsid w:val="003F5A09"/>
    <w:rsid w:val="003F5BCB"/>
    <w:rsid w:val="003F5D41"/>
    <w:rsid w:val="003F5F49"/>
    <w:rsid w:val="003F6AAC"/>
    <w:rsid w:val="003F6D8D"/>
    <w:rsid w:val="003F6E0B"/>
    <w:rsid w:val="0040036D"/>
    <w:rsid w:val="00400E01"/>
    <w:rsid w:val="0040135B"/>
    <w:rsid w:val="004036B2"/>
    <w:rsid w:val="00403EE6"/>
    <w:rsid w:val="004045F1"/>
    <w:rsid w:val="004052EC"/>
    <w:rsid w:val="004055EE"/>
    <w:rsid w:val="004057ED"/>
    <w:rsid w:val="00405839"/>
    <w:rsid w:val="00405CD5"/>
    <w:rsid w:val="00406037"/>
    <w:rsid w:val="004063DF"/>
    <w:rsid w:val="004066C5"/>
    <w:rsid w:val="0040678F"/>
    <w:rsid w:val="0040732E"/>
    <w:rsid w:val="00407695"/>
    <w:rsid w:val="004109D0"/>
    <w:rsid w:val="00411AB3"/>
    <w:rsid w:val="00411FC1"/>
    <w:rsid w:val="00412077"/>
    <w:rsid w:val="0041234E"/>
    <w:rsid w:val="004142F9"/>
    <w:rsid w:val="00414B5A"/>
    <w:rsid w:val="00415D6F"/>
    <w:rsid w:val="0041698D"/>
    <w:rsid w:val="00416A18"/>
    <w:rsid w:val="00417E4B"/>
    <w:rsid w:val="00421781"/>
    <w:rsid w:val="00421BEB"/>
    <w:rsid w:val="00421E5A"/>
    <w:rsid w:val="00424710"/>
    <w:rsid w:val="00425F61"/>
    <w:rsid w:val="004260FD"/>
    <w:rsid w:val="004263EB"/>
    <w:rsid w:val="00426D9C"/>
    <w:rsid w:val="004277A0"/>
    <w:rsid w:val="00427A6D"/>
    <w:rsid w:val="004304D5"/>
    <w:rsid w:val="00431514"/>
    <w:rsid w:val="00432029"/>
    <w:rsid w:val="004324E9"/>
    <w:rsid w:val="00432EAB"/>
    <w:rsid w:val="0043349B"/>
    <w:rsid w:val="004350BE"/>
    <w:rsid w:val="004353C8"/>
    <w:rsid w:val="00435CFD"/>
    <w:rsid w:val="00435D31"/>
    <w:rsid w:val="00436833"/>
    <w:rsid w:val="00436C23"/>
    <w:rsid w:val="00436F1C"/>
    <w:rsid w:val="0043797B"/>
    <w:rsid w:val="00441946"/>
    <w:rsid w:val="00441F84"/>
    <w:rsid w:val="004427B9"/>
    <w:rsid w:val="0044309B"/>
    <w:rsid w:val="00444988"/>
    <w:rsid w:val="004454BD"/>
    <w:rsid w:val="00445C76"/>
    <w:rsid w:val="00445E0E"/>
    <w:rsid w:val="00445ED8"/>
    <w:rsid w:val="0044628A"/>
    <w:rsid w:val="00446822"/>
    <w:rsid w:val="0044691B"/>
    <w:rsid w:val="00446F20"/>
    <w:rsid w:val="00447A51"/>
    <w:rsid w:val="00447B43"/>
    <w:rsid w:val="00447DF2"/>
    <w:rsid w:val="004513D7"/>
    <w:rsid w:val="00451EAD"/>
    <w:rsid w:val="004520CE"/>
    <w:rsid w:val="0045247B"/>
    <w:rsid w:val="004524EE"/>
    <w:rsid w:val="0045253D"/>
    <w:rsid w:val="004526F2"/>
    <w:rsid w:val="00454B4B"/>
    <w:rsid w:val="00455198"/>
    <w:rsid w:val="00455A16"/>
    <w:rsid w:val="00456C5A"/>
    <w:rsid w:val="004576B5"/>
    <w:rsid w:val="004579BF"/>
    <w:rsid w:val="00460ED8"/>
    <w:rsid w:val="00461A56"/>
    <w:rsid w:val="00461BF8"/>
    <w:rsid w:val="004625C1"/>
    <w:rsid w:val="004628DF"/>
    <w:rsid w:val="00462CDE"/>
    <w:rsid w:val="0046340C"/>
    <w:rsid w:val="004635C1"/>
    <w:rsid w:val="0046612E"/>
    <w:rsid w:val="00466683"/>
    <w:rsid w:val="004675AA"/>
    <w:rsid w:val="00470062"/>
    <w:rsid w:val="00470328"/>
    <w:rsid w:val="00472807"/>
    <w:rsid w:val="00472ECD"/>
    <w:rsid w:val="00472F4A"/>
    <w:rsid w:val="00473DD4"/>
    <w:rsid w:val="0047524D"/>
    <w:rsid w:val="00476EBE"/>
    <w:rsid w:val="00476FB5"/>
    <w:rsid w:val="00477204"/>
    <w:rsid w:val="00477425"/>
    <w:rsid w:val="00477C0D"/>
    <w:rsid w:val="00480266"/>
    <w:rsid w:val="00480FBD"/>
    <w:rsid w:val="00481A97"/>
    <w:rsid w:val="00481E5F"/>
    <w:rsid w:val="00481F00"/>
    <w:rsid w:val="00482796"/>
    <w:rsid w:val="0048424D"/>
    <w:rsid w:val="00484517"/>
    <w:rsid w:val="004845E7"/>
    <w:rsid w:val="004861C8"/>
    <w:rsid w:val="004901AA"/>
    <w:rsid w:val="00490A56"/>
    <w:rsid w:val="00490ED7"/>
    <w:rsid w:val="0049243C"/>
    <w:rsid w:val="004925A6"/>
    <w:rsid w:val="00492861"/>
    <w:rsid w:val="00492878"/>
    <w:rsid w:val="00493449"/>
    <w:rsid w:val="004942B7"/>
    <w:rsid w:val="0049485E"/>
    <w:rsid w:val="00496480"/>
    <w:rsid w:val="00496690"/>
    <w:rsid w:val="004970F5"/>
    <w:rsid w:val="00497E5F"/>
    <w:rsid w:val="00497EC5"/>
    <w:rsid w:val="004A0EAE"/>
    <w:rsid w:val="004A14E6"/>
    <w:rsid w:val="004A3960"/>
    <w:rsid w:val="004A3CDC"/>
    <w:rsid w:val="004A4A56"/>
    <w:rsid w:val="004A6E1F"/>
    <w:rsid w:val="004A71BF"/>
    <w:rsid w:val="004B0200"/>
    <w:rsid w:val="004B02E6"/>
    <w:rsid w:val="004B13B0"/>
    <w:rsid w:val="004B1B03"/>
    <w:rsid w:val="004B20BE"/>
    <w:rsid w:val="004B21F5"/>
    <w:rsid w:val="004B281D"/>
    <w:rsid w:val="004B3BC9"/>
    <w:rsid w:val="004B44BF"/>
    <w:rsid w:val="004B574B"/>
    <w:rsid w:val="004B636C"/>
    <w:rsid w:val="004B6B70"/>
    <w:rsid w:val="004C0A9D"/>
    <w:rsid w:val="004C184C"/>
    <w:rsid w:val="004C2887"/>
    <w:rsid w:val="004C2F58"/>
    <w:rsid w:val="004C388A"/>
    <w:rsid w:val="004C3EBB"/>
    <w:rsid w:val="004C48AB"/>
    <w:rsid w:val="004C5126"/>
    <w:rsid w:val="004C547B"/>
    <w:rsid w:val="004C6570"/>
    <w:rsid w:val="004C658E"/>
    <w:rsid w:val="004C6756"/>
    <w:rsid w:val="004D0D26"/>
    <w:rsid w:val="004D15E6"/>
    <w:rsid w:val="004D1945"/>
    <w:rsid w:val="004D21FD"/>
    <w:rsid w:val="004D24CB"/>
    <w:rsid w:val="004D272B"/>
    <w:rsid w:val="004D2986"/>
    <w:rsid w:val="004D2C06"/>
    <w:rsid w:val="004D34E9"/>
    <w:rsid w:val="004D44DD"/>
    <w:rsid w:val="004D4961"/>
    <w:rsid w:val="004D4DB5"/>
    <w:rsid w:val="004D645F"/>
    <w:rsid w:val="004D666C"/>
    <w:rsid w:val="004D6C0B"/>
    <w:rsid w:val="004E07AE"/>
    <w:rsid w:val="004E0839"/>
    <w:rsid w:val="004E09FF"/>
    <w:rsid w:val="004E1352"/>
    <w:rsid w:val="004E2310"/>
    <w:rsid w:val="004E2584"/>
    <w:rsid w:val="004E2C18"/>
    <w:rsid w:val="004E3137"/>
    <w:rsid w:val="004E3655"/>
    <w:rsid w:val="004E3B6E"/>
    <w:rsid w:val="004E3D21"/>
    <w:rsid w:val="004E7725"/>
    <w:rsid w:val="004E7815"/>
    <w:rsid w:val="004E7FED"/>
    <w:rsid w:val="004F01D4"/>
    <w:rsid w:val="004F2F21"/>
    <w:rsid w:val="004F31EE"/>
    <w:rsid w:val="004F4781"/>
    <w:rsid w:val="004F4ADB"/>
    <w:rsid w:val="004F4B7C"/>
    <w:rsid w:val="004F4CAC"/>
    <w:rsid w:val="004F5DC7"/>
    <w:rsid w:val="004F67A1"/>
    <w:rsid w:val="004F6C2D"/>
    <w:rsid w:val="004F781E"/>
    <w:rsid w:val="005001EF"/>
    <w:rsid w:val="00500660"/>
    <w:rsid w:val="00500982"/>
    <w:rsid w:val="00500A62"/>
    <w:rsid w:val="005014FF"/>
    <w:rsid w:val="00501A30"/>
    <w:rsid w:val="00501C4C"/>
    <w:rsid w:val="00502443"/>
    <w:rsid w:val="00502A2C"/>
    <w:rsid w:val="00502EA0"/>
    <w:rsid w:val="00503D76"/>
    <w:rsid w:val="005040D0"/>
    <w:rsid w:val="00505785"/>
    <w:rsid w:val="00506C0B"/>
    <w:rsid w:val="00507040"/>
    <w:rsid w:val="00510289"/>
    <w:rsid w:val="0051059E"/>
    <w:rsid w:val="00511D85"/>
    <w:rsid w:val="00511F4D"/>
    <w:rsid w:val="00512BA8"/>
    <w:rsid w:val="00513C50"/>
    <w:rsid w:val="00516AC3"/>
    <w:rsid w:val="005176FD"/>
    <w:rsid w:val="0052068F"/>
    <w:rsid w:val="00520AEB"/>
    <w:rsid w:val="005214A5"/>
    <w:rsid w:val="0052243A"/>
    <w:rsid w:val="0052261B"/>
    <w:rsid w:val="00522B17"/>
    <w:rsid w:val="005248DD"/>
    <w:rsid w:val="00524AF3"/>
    <w:rsid w:val="00524D60"/>
    <w:rsid w:val="00525B58"/>
    <w:rsid w:val="00525CAB"/>
    <w:rsid w:val="00525EF4"/>
    <w:rsid w:val="005261C0"/>
    <w:rsid w:val="005279DE"/>
    <w:rsid w:val="00530748"/>
    <w:rsid w:val="00530BEA"/>
    <w:rsid w:val="00531355"/>
    <w:rsid w:val="005324B1"/>
    <w:rsid w:val="005345EA"/>
    <w:rsid w:val="005352FB"/>
    <w:rsid w:val="00536031"/>
    <w:rsid w:val="00536408"/>
    <w:rsid w:val="005364CF"/>
    <w:rsid w:val="005366B7"/>
    <w:rsid w:val="00540867"/>
    <w:rsid w:val="0054107C"/>
    <w:rsid w:val="005411DA"/>
    <w:rsid w:val="0054170E"/>
    <w:rsid w:val="00541D6D"/>
    <w:rsid w:val="00542F98"/>
    <w:rsid w:val="00543BDE"/>
    <w:rsid w:val="00543FCE"/>
    <w:rsid w:val="0054407E"/>
    <w:rsid w:val="00544606"/>
    <w:rsid w:val="00544E53"/>
    <w:rsid w:val="005450C2"/>
    <w:rsid w:val="005456E5"/>
    <w:rsid w:val="00545C5F"/>
    <w:rsid w:val="00546440"/>
    <w:rsid w:val="0054678D"/>
    <w:rsid w:val="00547AB5"/>
    <w:rsid w:val="00547ED5"/>
    <w:rsid w:val="00550625"/>
    <w:rsid w:val="005508FB"/>
    <w:rsid w:val="0055090C"/>
    <w:rsid w:val="00550A35"/>
    <w:rsid w:val="00550F90"/>
    <w:rsid w:val="00551830"/>
    <w:rsid w:val="00551ABF"/>
    <w:rsid w:val="00553660"/>
    <w:rsid w:val="005540EB"/>
    <w:rsid w:val="005552DE"/>
    <w:rsid w:val="00555E0A"/>
    <w:rsid w:val="00556576"/>
    <w:rsid w:val="0055659A"/>
    <w:rsid w:val="005565FD"/>
    <w:rsid w:val="00557520"/>
    <w:rsid w:val="00557E56"/>
    <w:rsid w:val="00560B6C"/>
    <w:rsid w:val="00563A90"/>
    <w:rsid w:val="00565050"/>
    <w:rsid w:val="005661D0"/>
    <w:rsid w:val="00566AE9"/>
    <w:rsid w:val="00566BFF"/>
    <w:rsid w:val="005672C8"/>
    <w:rsid w:val="00571DDC"/>
    <w:rsid w:val="00572764"/>
    <w:rsid w:val="00572A47"/>
    <w:rsid w:val="00572E07"/>
    <w:rsid w:val="0057302A"/>
    <w:rsid w:val="0057388D"/>
    <w:rsid w:val="005738D6"/>
    <w:rsid w:val="005743C7"/>
    <w:rsid w:val="00575B62"/>
    <w:rsid w:val="005760A4"/>
    <w:rsid w:val="0057630C"/>
    <w:rsid w:val="00576BDE"/>
    <w:rsid w:val="00577EF3"/>
    <w:rsid w:val="00577F9C"/>
    <w:rsid w:val="005802A4"/>
    <w:rsid w:val="00580757"/>
    <w:rsid w:val="00580E7A"/>
    <w:rsid w:val="00580F17"/>
    <w:rsid w:val="00581714"/>
    <w:rsid w:val="0058176B"/>
    <w:rsid w:val="00581C8E"/>
    <w:rsid w:val="00581E8E"/>
    <w:rsid w:val="005826F5"/>
    <w:rsid w:val="0058281A"/>
    <w:rsid w:val="00582885"/>
    <w:rsid w:val="00582EB5"/>
    <w:rsid w:val="00583285"/>
    <w:rsid w:val="005837B0"/>
    <w:rsid w:val="00583820"/>
    <w:rsid w:val="005838DA"/>
    <w:rsid w:val="00583FFC"/>
    <w:rsid w:val="005840C1"/>
    <w:rsid w:val="0058540D"/>
    <w:rsid w:val="00585B0F"/>
    <w:rsid w:val="00585B94"/>
    <w:rsid w:val="005878E3"/>
    <w:rsid w:val="00587A4D"/>
    <w:rsid w:val="00587F0B"/>
    <w:rsid w:val="00590095"/>
    <w:rsid w:val="00590B71"/>
    <w:rsid w:val="005911BA"/>
    <w:rsid w:val="00594643"/>
    <w:rsid w:val="00595E3A"/>
    <w:rsid w:val="00595E41"/>
    <w:rsid w:val="005960A4"/>
    <w:rsid w:val="005967AF"/>
    <w:rsid w:val="00596A2B"/>
    <w:rsid w:val="00597DB3"/>
    <w:rsid w:val="005A0198"/>
    <w:rsid w:val="005A06D2"/>
    <w:rsid w:val="005A1F28"/>
    <w:rsid w:val="005A1FD9"/>
    <w:rsid w:val="005A3B04"/>
    <w:rsid w:val="005A3BEB"/>
    <w:rsid w:val="005A4227"/>
    <w:rsid w:val="005A4326"/>
    <w:rsid w:val="005A4BA7"/>
    <w:rsid w:val="005A4E57"/>
    <w:rsid w:val="005A571D"/>
    <w:rsid w:val="005A5BFE"/>
    <w:rsid w:val="005A5D3C"/>
    <w:rsid w:val="005A5F02"/>
    <w:rsid w:val="005A621F"/>
    <w:rsid w:val="005A64D1"/>
    <w:rsid w:val="005A65D2"/>
    <w:rsid w:val="005A74B2"/>
    <w:rsid w:val="005A7CD0"/>
    <w:rsid w:val="005A7F93"/>
    <w:rsid w:val="005B0C20"/>
    <w:rsid w:val="005B1367"/>
    <w:rsid w:val="005B18DD"/>
    <w:rsid w:val="005B22E7"/>
    <w:rsid w:val="005B292C"/>
    <w:rsid w:val="005B29A5"/>
    <w:rsid w:val="005B2CCC"/>
    <w:rsid w:val="005B3302"/>
    <w:rsid w:val="005B469A"/>
    <w:rsid w:val="005B522F"/>
    <w:rsid w:val="005C015A"/>
    <w:rsid w:val="005C1C8D"/>
    <w:rsid w:val="005C2E7A"/>
    <w:rsid w:val="005C3122"/>
    <w:rsid w:val="005C4618"/>
    <w:rsid w:val="005C4B24"/>
    <w:rsid w:val="005C518C"/>
    <w:rsid w:val="005C622B"/>
    <w:rsid w:val="005C7B35"/>
    <w:rsid w:val="005C7C73"/>
    <w:rsid w:val="005D1AE0"/>
    <w:rsid w:val="005D1CD6"/>
    <w:rsid w:val="005D221C"/>
    <w:rsid w:val="005D2292"/>
    <w:rsid w:val="005D28E7"/>
    <w:rsid w:val="005D2DD3"/>
    <w:rsid w:val="005D3DC2"/>
    <w:rsid w:val="005D4BEC"/>
    <w:rsid w:val="005D51D0"/>
    <w:rsid w:val="005D56EA"/>
    <w:rsid w:val="005D5DB7"/>
    <w:rsid w:val="005D6B61"/>
    <w:rsid w:val="005D6D44"/>
    <w:rsid w:val="005D706B"/>
    <w:rsid w:val="005D745F"/>
    <w:rsid w:val="005D7572"/>
    <w:rsid w:val="005D7AD9"/>
    <w:rsid w:val="005D7FEA"/>
    <w:rsid w:val="005E0644"/>
    <w:rsid w:val="005E1A07"/>
    <w:rsid w:val="005E2158"/>
    <w:rsid w:val="005E422A"/>
    <w:rsid w:val="005E484D"/>
    <w:rsid w:val="005E5154"/>
    <w:rsid w:val="005E615C"/>
    <w:rsid w:val="005E669C"/>
    <w:rsid w:val="005E6ECA"/>
    <w:rsid w:val="005E711C"/>
    <w:rsid w:val="005E7514"/>
    <w:rsid w:val="005E77C3"/>
    <w:rsid w:val="005E7871"/>
    <w:rsid w:val="005F0853"/>
    <w:rsid w:val="005F092D"/>
    <w:rsid w:val="005F1284"/>
    <w:rsid w:val="005F137F"/>
    <w:rsid w:val="005F175F"/>
    <w:rsid w:val="005F17BC"/>
    <w:rsid w:val="005F33B8"/>
    <w:rsid w:val="005F33E4"/>
    <w:rsid w:val="005F4147"/>
    <w:rsid w:val="005F4189"/>
    <w:rsid w:val="005F432C"/>
    <w:rsid w:val="005F4A4B"/>
    <w:rsid w:val="005F70A1"/>
    <w:rsid w:val="005F76DD"/>
    <w:rsid w:val="005F79F7"/>
    <w:rsid w:val="005F7EB3"/>
    <w:rsid w:val="00600182"/>
    <w:rsid w:val="00600301"/>
    <w:rsid w:val="006004ED"/>
    <w:rsid w:val="00601A40"/>
    <w:rsid w:val="006021D5"/>
    <w:rsid w:val="006028DB"/>
    <w:rsid w:val="00602B8F"/>
    <w:rsid w:val="00602C25"/>
    <w:rsid w:val="00602E51"/>
    <w:rsid w:val="00604466"/>
    <w:rsid w:val="006064DA"/>
    <w:rsid w:val="0060653E"/>
    <w:rsid w:val="006121A0"/>
    <w:rsid w:val="00612F70"/>
    <w:rsid w:val="0061302C"/>
    <w:rsid w:val="0061467E"/>
    <w:rsid w:val="00614DF1"/>
    <w:rsid w:val="00614E2B"/>
    <w:rsid w:val="0061551F"/>
    <w:rsid w:val="006161DC"/>
    <w:rsid w:val="00616457"/>
    <w:rsid w:val="006177C9"/>
    <w:rsid w:val="00620285"/>
    <w:rsid w:val="006204C2"/>
    <w:rsid w:val="006205DF"/>
    <w:rsid w:val="006233EE"/>
    <w:rsid w:val="00623698"/>
    <w:rsid w:val="0062396F"/>
    <w:rsid w:val="00623B63"/>
    <w:rsid w:val="006242C1"/>
    <w:rsid w:val="006247C4"/>
    <w:rsid w:val="006249B6"/>
    <w:rsid w:val="00624EDE"/>
    <w:rsid w:val="0062511A"/>
    <w:rsid w:val="00626B6E"/>
    <w:rsid w:val="0062752E"/>
    <w:rsid w:val="006277A5"/>
    <w:rsid w:val="00630050"/>
    <w:rsid w:val="0063152A"/>
    <w:rsid w:val="006333F6"/>
    <w:rsid w:val="006334C0"/>
    <w:rsid w:val="00634B01"/>
    <w:rsid w:val="006353CD"/>
    <w:rsid w:val="00635622"/>
    <w:rsid w:val="006360AF"/>
    <w:rsid w:val="006363C5"/>
    <w:rsid w:val="00636E9A"/>
    <w:rsid w:val="0063704F"/>
    <w:rsid w:val="00637362"/>
    <w:rsid w:val="00637654"/>
    <w:rsid w:val="00637701"/>
    <w:rsid w:val="00637EFB"/>
    <w:rsid w:val="00637F76"/>
    <w:rsid w:val="0064018A"/>
    <w:rsid w:val="006406BE"/>
    <w:rsid w:val="00641310"/>
    <w:rsid w:val="00641D8E"/>
    <w:rsid w:val="00642034"/>
    <w:rsid w:val="00642EBF"/>
    <w:rsid w:val="00643114"/>
    <w:rsid w:val="0064326A"/>
    <w:rsid w:val="006444FD"/>
    <w:rsid w:val="006446B6"/>
    <w:rsid w:val="00644C68"/>
    <w:rsid w:val="00644EC8"/>
    <w:rsid w:val="006451A5"/>
    <w:rsid w:val="006465A9"/>
    <w:rsid w:val="00647782"/>
    <w:rsid w:val="0064784F"/>
    <w:rsid w:val="00647D6A"/>
    <w:rsid w:val="00650895"/>
    <w:rsid w:val="00651004"/>
    <w:rsid w:val="00651147"/>
    <w:rsid w:val="0065116A"/>
    <w:rsid w:val="00651B96"/>
    <w:rsid w:val="00652A6D"/>
    <w:rsid w:val="00652DE7"/>
    <w:rsid w:val="00652FC6"/>
    <w:rsid w:val="006538F4"/>
    <w:rsid w:val="00653F5D"/>
    <w:rsid w:val="0065474A"/>
    <w:rsid w:val="0065520A"/>
    <w:rsid w:val="00655406"/>
    <w:rsid w:val="006559BC"/>
    <w:rsid w:val="00655CCA"/>
    <w:rsid w:val="00655E30"/>
    <w:rsid w:val="0066014C"/>
    <w:rsid w:val="006611E4"/>
    <w:rsid w:val="00664CC8"/>
    <w:rsid w:val="00664F2B"/>
    <w:rsid w:val="00665824"/>
    <w:rsid w:val="00666917"/>
    <w:rsid w:val="00667D34"/>
    <w:rsid w:val="0067020E"/>
    <w:rsid w:val="00671E94"/>
    <w:rsid w:val="0067287E"/>
    <w:rsid w:val="00672950"/>
    <w:rsid w:val="00674CEA"/>
    <w:rsid w:val="00674D83"/>
    <w:rsid w:val="006754D8"/>
    <w:rsid w:val="0067563B"/>
    <w:rsid w:val="00675B19"/>
    <w:rsid w:val="00675BB4"/>
    <w:rsid w:val="00676B53"/>
    <w:rsid w:val="00677059"/>
    <w:rsid w:val="00680B7D"/>
    <w:rsid w:val="006811BC"/>
    <w:rsid w:val="00681752"/>
    <w:rsid w:val="00681987"/>
    <w:rsid w:val="00681B30"/>
    <w:rsid w:val="006822F7"/>
    <w:rsid w:val="00682694"/>
    <w:rsid w:val="00682E86"/>
    <w:rsid w:val="00683794"/>
    <w:rsid w:val="0068517B"/>
    <w:rsid w:val="006851E2"/>
    <w:rsid w:val="006854E0"/>
    <w:rsid w:val="006856D8"/>
    <w:rsid w:val="0068639C"/>
    <w:rsid w:val="00686B3A"/>
    <w:rsid w:val="00686D6C"/>
    <w:rsid w:val="00687615"/>
    <w:rsid w:val="00687C2F"/>
    <w:rsid w:val="00687E5D"/>
    <w:rsid w:val="00691B01"/>
    <w:rsid w:val="00691B0B"/>
    <w:rsid w:val="00691C1D"/>
    <w:rsid w:val="00692808"/>
    <w:rsid w:val="00692B5C"/>
    <w:rsid w:val="006932EF"/>
    <w:rsid w:val="00693DEF"/>
    <w:rsid w:val="00694372"/>
    <w:rsid w:val="0069476F"/>
    <w:rsid w:val="00695DD8"/>
    <w:rsid w:val="006961A9"/>
    <w:rsid w:val="0069640B"/>
    <w:rsid w:val="0069680A"/>
    <w:rsid w:val="00696AAD"/>
    <w:rsid w:val="00697AE7"/>
    <w:rsid w:val="00697C66"/>
    <w:rsid w:val="006A033B"/>
    <w:rsid w:val="006A19DF"/>
    <w:rsid w:val="006A215B"/>
    <w:rsid w:val="006A237A"/>
    <w:rsid w:val="006A2E14"/>
    <w:rsid w:val="006A43A7"/>
    <w:rsid w:val="006A47BF"/>
    <w:rsid w:val="006A5C88"/>
    <w:rsid w:val="006A6673"/>
    <w:rsid w:val="006A66A8"/>
    <w:rsid w:val="006A777E"/>
    <w:rsid w:val="006A783F"/>
    <w:rsid w:val="006B08B8"/>
    <w:rsid w:val="006B0F67"/>
    <w:rsid w:val="006B10ED"/>
    <w:rsid w:val="006B1B93"/>
    <w:rsid w:val="006B1BDD"/>
    <w:rsid w:val="006B49DF"/>
    <w:rsid w:val="006B4E01"/>
    <w:rsid w:val="006B5F26"/>
    <w:rsid w:val="006B70CB"/>
    <w:rsid w:val="006B75FA"/>
    <w:rsid w:val="006B78E8"/>
    <w:rsid w:val="006B7CB4"/>
    <w:rsid w:val="006C01D8"/>
    <w:rsid w:val="006C0258"/>
    <w:rsid w:val="006C049D"/>
    <w:rsid w:val="006C05D7"/>
    <w:rsid w:val="006C1991"/>
    <w:rsid w:val="006C2843"/>
    <w:rsid w:val="006C32BE"/>
    <w:rsid w:val="006C3868"/>
    <w:rsid w:val="006C3DD9"/>
    <w:rsid w:val="006C4C55"/>
    <w:rsid w:val="006C6183"/>
    <w:rsid w:val="006C669F"/>
    <w:rsid w:val="006C672F"/>
    <w:rsid w:val="006C6B82"/>
    <w:rsid w:val="006C7753"/>
    <w:rsid w:val="006C7C09"/>
    <w:rsid w:val="006D184C"/>
    <w:rsid w:val="006D1D8B"/>
    <w:rsid w:val="006D23FB"/>
    <w:rsid w:val="006D2DD7"/>
    <w:rsid w:val="006D3125"/>
    <w:rsid w:val="006D393F"/>
    <w:rsid w:val="006D3995"/>
    <w:rsid w:val="006D4380"/>
    <w:rsid w:val="006D4C06"/>
    <w:rsid w:val="006D5C0E"/>
    <w:rsid w:val="006D6BD2"/>
    <w:rsid w:val="006D730C"/>
    <w:rsid w:val="006E001E"/>
    <w:rsid w:val="006E05F1"/>
    <w:rsid w:val="006E0F16"/>
    <w:rsid w:val="006E10E0"/>
    <w:rsid w:val="006E155F"/>
    <w:rsid w:val="006E165B"/>
    <w:rsid w:val="006E1B5A"/>
    <w:rsid w:val="006E2A77"/>
    <w:rsid w:val="006E2CCC"/>
    <w:rsid w:val="006E36AA"/>
    <w:rsid w:val="006E377B"/>
    <w:rsid w:val="006E38E7"/>
    <w:rsid w:val="006E4832"/>
    <w:rsid w:val="006E5EEC"/>
    <w:rsid w:val="006E7178"/>
    <w:rsid w:val="006E75BE"/>
    <w:rsid w:val="006F05FA"/>
    <w:rsid w:val="006F0D2F"/>
    <w:rsid w:val="006F2A60"/>
    <w:rsid w:val="006F2BF8"/>
    <w:rsid w:val="006F302D"/>
    <w:rsid w:val="006F346A"/>
    <w:rsid w:val="006F4904"/>
    <w:rsid w:val="006F4B42"/>
    <w:rsid w:val="006F51AB"/>
    <w:rsid w:val="006F6EA8"/>
    <w:rsid w:val="006F7A91"/>
    <w:rsid w:val="007000B8"/>
    <w:rsid w:val="007003A5"/>
    <w:rsid w:val="0070134A"/>
    <w:rsid w:val="00701D0F"/>
    <w:rsid w:val="00702328"/>
    <w:rsid w:val="0070295C"/>
    <w:rsid w:val="007038FF"/>
    <w:rsid w:val="00703C66"/>
    <w:rsid w:val="00703F4E"/>
    <w:rsid w:val="007042FE"/>
    <w:rsid w:val="007047DF"/>
    <w:rsid w:val="00705256"/>
    <w:rsid w:val="00705868"/>
    <w:rsid w:val="00705896"/>
    <w:rsid w:val="007058D9"/>
    <w:rsid w:val="00706185"/>
    <w:rsid w:val="0070638E"/>
    <w:rsid w:val="007066DB"/>
    <w:rsid w:val="00706E41"/>
    <w:rsid w:val="00707851"/>
    <w:rsid w:val="00707E18"/>
    <w:rsid w:val="0071053E"/>
    <w:rsid w:val="00710DBA"/>
    <w:rsid w:val="00710DE2"/>
    <w:rsid w:val="007113FA"/>
    <w:rsid w:val="007116C2"/>
    <w:rsid w:val="007116FE"/>
    <w:rsid w:val="00711A2B"/>
    <w:rsid w:val="00711B2A"/>
    <w:rsid w:val="0071224D"/>
    <w:rsid w:val="007124F0"/>
    <w:rsid w:val="007141B8"/>
    <w:rsid w:val="0071442E"/>
    <w:rsid w:val="007147EA"/>
    <w:rsid w:val="00714E05"/>
    <w:rsid w:val="00714FE9"/>
    <w:rsid w:val="007159C0"/>
    <w:rsid w:val="00715F67"/>
    <w:rsid w:val="00717703"/>
    <w:rsid w:val="00717CC4"/>
    <w:rsid w:val="00720336"/>
    <w:rsid w:val="00720DC5"/>
    <w:rsid w:val="00721189"/>
    <w:rsid w:val="0072162F"/>
    <w:rsid w:val="0072187D"/>
    <w:rsid w:val="007224B4"/>
    <w:rsid w:val="0072317F"/>
    <w:rsid w:val="0072357F"/>
    <w:rsid w:val="00723871"/>
    <w:rsid w:val="00723EE1"/>
    <w:rsid w:val="0072595D"/>
    <w:rsid w:val="00725C07"/>
    <w:rsid w:val="0072663E"/>
    <w:rsid w:val="00726E85"/>
    <w:rsid w:val="00727438"/>
    <w:rsid w:val="00727514"/>
    <w:rsid w:val="00727548"/>
    <w:rsid w:val="0073020A"/>
    <w:rsid w:val="0073086E"/>
    <w:rsid w:val="00730B6F"/>
    <w:rsid w:val="00730E4E"/>
    <w:rsid w:val="00732030"/>
    <w:rsid w:val="00734BC5"/>
    <w:rsid w:val="00734C6D"/>
    <w:rsid w:val="00735466"/>
    <w:rsid w:val="00735AB0"/>
    <w:rsid w:val="00737F6B"/>
    <w:rsid w:val="007412FF"/>
    <w:rsid w:val="00741E63"/>
    <w:rsid w:val="00743696"/>
    <w:rsid w:val="00743B83"/>
    <w:rsid w:val="00744B8E"/>
    <w:rsid w:val="00745AD9"/>
    <w:rsid w:val="0074672B"/>
    <w:rsid w:val="00747436"/>
    <w:rsid w:val="0074767C"/>
    <w:rsid w:val="00747CA5"/>
    <w:rsid w:val="007500F3"/>
    <w:rsid w:val="0075013A"/>
    <w:rsid w:val="007509E9"/>
    <w:rsid w:val="00750B72"/>
    <w:rsid w:val="00751F8F"/>
    <w:rsid w:val="00752183"/>
    <w:rsid w:val="00752F6B"/>
    <w:rsid w:val="0075544D"/>
    <w:rsid w:val="00755547"/>
    <w:rsid w:val="00755CFF"/>
    <w:rsid w:val="007567A2"/>
    <w:rsid w:val="00756C61"/>
    <w:rsid w:val="007579CF"/>
    <w:rsid w:val="00757EC2"/>
    <w:rsid w:val="00760FBA"/>
    <w:rsid w:val="00761F3F"/>
    <w:rsid w:val="00762CDC"/>
    <w:rsid w:val="007647F5"/>
    <w:rsid w:val="00764EDF"/>
    <w:rsid w:val="007657C7"/>
    <w:rsid w:val="00765F13"/>
    <w:rsid w:val="00766060"/>
    <w:rsid w:val="00766A9E"/>
    <w:rsid w:val="007671C7"/>
    <w:rsid w:val="0076728F"/>
    <w:rsid w:val="00767EB0"/>
    <w:rsid w:val="00770540"/>
    <w:rsid w:val="00770AF7"/>
    <w:rsid w:val="0077159A"/>
    <w:rsid w:val="00771FC8"/>
    <w:rsid w:val="007726DB"/>
    <w:rsid w:val="00772A5D"/>
    <w:rsid w:val="00772B20"/>
    <w:rsid w:val="007730C8"/>
    <w:rsid w:val="00773178"/>
    <w:rsid w:val="00773A37"/>
    <w:rsid w:val="00773BF7"/>
    <w:rsid w:val="00773ED2"/>
    <w:rsid w:val="00774388"/>
    <w:rsid w:val="00775FB4"/>
    <w:rsid w:val="00776698"/>
    <w:rsid w:val="00777633"/>
    <w:rsid w:val="00780588"/>
    <w:rsid w:val="007807B7"/>
    <w:rsid w:val="00781BF0"/>
    <w:rsid w:val="007824F0"/>
    <w:rsid w:val="0078261C"/>
    <w:rsid w:val="00782D99"/>
    <w:rsid w:val="0078394D"/>
    <w:rsid w:val="00783989"/>
    <w:rsid w:val="00783DE5"/>
    <w:rsid w:val="0078497D"/>
    <w:rsid w:val="00784A1A"/>
    <w:rsid w:val="007858CF"/>
    <w:rsid w:val="007860DC"/>
    <w:rsid w:val="00786BCB"/>
    <w:rsid w:val="00786D5C"/>
    <w:rsid w:val="007876E4"/>
    <w:rsid w:val="00787B0D"/>
    <w:rsid w:val="00790179"/>
    <w:rsid w:val="00790286"/>
    <w:rsid w:val="0079052F"/>
    <w:rsid w:val="0079108D"/>
    <w:rsid w:val="0079161C"/>
    <w:rsid w:val="00791673"/>
    <w:rsid w:val="0079194D"/>
    <w:rsid w:val="00791C6E"/>
    <w:rsid w:val="0079343A"/>
    <w:rsid w:val="007934AE"/>
    <w:rsid w:val="007935E8"/>
    <w:rsid w:val="007946B6"/>
    <w:rsid w:val="00794877"/>
    <w:rsid w:val="00794998"/>
    <w:rsid w:val="00796089"/>
    <w:rsid w:val="0079747D"/>
    <w:rsid w:val="00797786"/>
    <w:rsid w:val="007A06A3"/>
    <w:rsid w:val="007A2289"/>
    <w:rsid w:val="007A270D"/>
    <w:rsid w:val="007A2B4B"/>
    <w:rsid w:val="007A2DCE"/>
    <w:rsid w:val="007A3066"/>
    <w:rsid w:val="007A363D"/>
    <w:rsid w:val="007A48F6"/>
    <w:rsid w:val="007A523C"/>
    <w:rsid w:val="007A564E"/>
    <w:rsid w:val="007A597E"/>
    <w:rsid w:val="007A5AC6"/>
    <w:rsid w:val="007A6836"/>
    <w:rsid w:val="007A69A9"/>
    <w:rsid w:val="007A6B96"/>
    <w:rsid w:val="007A6E7C"/>
    <w:rsid w:val="007A76BB"/>
    <w:rsid w:val="007A7C86"/>
    <w:rsid w:val="007B0A73"/>
    <w:rsid w:val="007B105C"/>
    <w:rsid w:val="007B17D7"/>
    <w:rsid w:val="007B188E"/>
    <w:rsid w:val="007B26C0"/>
    <w:rsid w:val="007B2BBD"/>
    <w:rsid w:val="007B2DB1"/>
    <w:rsid w:val="007B2E91"/>
    <w:rsid w:val="007B2F3D"/>
    <w:rsid w:val="007B3515"/>
    <w:rsid w:val="007B3BD4"/>
    <w:rsid w:val="007B47C9"/>
    <w:rsid w:val="007B6F59"/>
    <w:rsid w:val="007B7F49"/>
    <w:rsid w:val="007C01E9"/>
    <w:rsid w:val="007C0440"/>
    <w:rsid w:val="007C06D0"/>
    <w:rsid w:val="007C0AD4"/>
    <w:rsid w:val="007C11F4"/>
    <w:rsid w:val="007C132E"/>
    <w:rsid w:val="007C17E5"/>
    <w:rsid w:val="007C3A79"/>
    <w:rsid w:val="007C47CB"/>
    <w:rsid w:val="007C52B7"/>
    <w:rsid w:val="007C625C"/>
    <w:rsid w:val="007C6799"/>
    <w:rsid w:val="007C6A55"/>
    <w:rsid w:val="007C7B57"/>
    <w:rsid w:val="007C7F1C"/>
    <w:rsid w:val="007D0AEB"/>
    <w:rsid w:val="007D112B"/>
    <w:rsid w:val="007D1857"/>
    <w:rsid w:val="007D1A5C"/>
    <w:rsid w:val="007D279F"/>
    <w:rsid w:val="007D2FD9"/>
    <w:rsid w:val="007D3047"/>
    <w:rsid w:val="007D476D"/>
    <w:rsid w:val="007D5392"/>
    <w:rsid w:val="007D76E8"/>
    <w:rsid w:val="007D792F"/>
    <w:rsid w:val="007D7952"/>
    <w:rsid w:val="007D7975"/>
    <w:rsid w:val="007E03F9"/>
    <w:rsid w:val="007E06A8"/>
    <w:rsid w:val="007E07ED"/>
    <w:rsid w:val="007E0F6B"/>
    <w:rsid w:val="007E100D"/>
    <w:rsid w:val="007E2E1C"/>
    <w:rsid w:val="007E3855"/>
    <w:rsid w:val="007E436C"/>
    <w:rsid w:val="007E4A89"/>
    <w:rsid w:val="007E5106"/>
    <w:rsid w:val="007E69AD"/>
    <w:rsid w:val="007E6F49"/>
    <w:rsid w:val="007E78EB"/>
    <w:rsid w:val="007F086E"/>
    <w:rsid w:val="007F15D6"/>
    <w:rsid w:val="007F2165"/>
    <w:rsid w:val="007F2602"/>
    <w:rsid w:val="007F5535"/>
    <w:rsid w:val="007F668D"/>
    <w:rsid w:val="007F715D"/>
    <w:rsid w:val="007F71EA"/>
    <w:rsid w:val="007F770E"/>
    <w:rsid w:val="007F7A6F"/>
    <w:rsid w:val="008023D4"/>
    <w:rsid w:val="00802C0E"/>
    <w:rsid w:val="00803001"/>
    <w:rsid w:val="00806091"/>
    <w:rsid w:val="00806EFF"/>
    <w:rsid w:val="00807256"/>
    <w:rsid w:val="00807355"/>
    <w:rsid w:val="0081032A"/>
    <w:rsid w:val="00811702"/>
    <w:rsid w:val="00811D32"/>
    <w:rsid w:val="00811E5E"/>
    <w:rsid w:val="00811FEA"/>
    <w:rsid w:val="00814797"/>
    <w:rsid w:val="00815DDD"/>
    <w:rsid w:val="00815EF0"/>
    <w:rsid w:val="00816E5E"/>
    <w:rsid w:val="008174AA"/>
    <w:rsid w:val="0082020C"/>
    <w:rsid w:val="00820216"/>
    <w:rsid w:val="00820562"/>
    <w:rsid w:val="008208A0"/>
    <w:rsid w:val="00821526"/>
    <w:rsid w:val="00821633"/>
    <w:rsid w:val="0082176E"/>
    <w:rsid w:val="008224BA"/>
    <w:rsid w:val="008229E7"/>
    <w:rsid w:val="00822E3E"/>
    <w:rsid w:val="00823592"/>
    <w:rsid w:val="008236ED"/>
    <w:rsid w:val="00823DC4"/>
    <w:rsid w:val="008257B2"/>
    <w:rsid w:val="00825E3C"/>
    <w:rsid w:val="00826C74"/>
    <w:rsid w:val="00826E01"/>
    <w:rsid w:val="00826ED0"/>
    <w:rsid w:val="0083177D"/>
    <w:rsid w:val="00831CF8"/>
    <w:rsid w:val="0083376B"/>
    <w:rsid w:val="008341B7"/>
    <w:rsid w:val="00834375"/>
    <w:rsid w:val="008344EA"/>
    <w:rsid w:val="008371BC"/>
    <w:rsid w:val="008377A9"/>
    <w:rsid w:val="00837FB6"/>
    <w:rsid w:val="008416A7"/>
    <w:rsid w:val="0084179D"/>
    <w:rsid w:val="00841F96"/>
    <w:rsid w:val="00842D11"/>
    <w:rsid w:val="00844AA5"/>
    <w:rsid w:val="00844C48"/>
    <w:rsid w:val="008453D5"/>
    <w:rsid w:val="008460C4"/>
    <w:rsid w:val="008460FC"/>
    <w:rsid w:val="0084614D"/>
    <w:rsid w:val="0084633F"/>
    <w:rsid w:val="0084643F"/>
    <w:rsid w:val="008469B6"/>
    <w:rsid w:val="00846EBD"/>
    <w:rsid w:val="00847C3E"/>
    <w:rsid w:val="0085004F"/>
    <w:rsid w:val="008500C6"/>
    <w:rsid w:val="0085028A"/>
    <w:rsid w:val="0085068B"/>
    <w:rsid w:val="00850B87"/>
    <w:rsid w:val="00850E4C"/>
    <w:rsid w:val="008510AE"/>
    <w:rsid w:val="00851C11"/>
    <w:rsid w:val="00851F10"/>
    <w:rsid w:val="00851F85"/>
    <w:rsid w:val="0085277D"/>
    <w:rsid w:val="008528A1"/>
    <w:rsid w:val="00852D64"/>
    <w:rsid w:val="0085362F"/>
    <w:rsid w:val="00853FC8"/>
    <w:rsid w:val="008542BD"/>
    <w:rsid w:val="00854897"/>
    <w:rsid w:val="00854D6E"/>
    <w:rsid w:val="00855B72"/>
    <w:rsid w:val="00857830"/>
    <w:rsid w:val="0086065E"/>
    <w:rsid w:val="00860799"/>
    <w:rsid w:val="00862235"/>
    <w:rsid w:val="00862909"/>
    <w:rsid w:val="00863428"/>
    <w:rsid w:val="00865225"/>
    <w:rsid w:val="00865A9B"/>
    <w:rsid w:val="0086686F"/>
    <w:rsid w:val="00867E66"/>
    <w:rsid w:val="00867F06"/>
    <w:rsid w:val="00871733"/>
    <w:rsid w:val="00871EB6"/>
    <w:rsid w:val="0087335D"/>
    <w:rsid w:val="008738E8"/>
    <w:rsid w:val="008741CF"/>
    <w:rsid w:val="00874A2D"/>
    <w:rsid w:val="00874F87"/>
    <w:rsid w:val="008770BD"/>
    <w:rsid w:val="00877ECD"/>
    <w:rsid w:val="00880DB4"/>
    <w:rsid w:val="008813F4"/>
    <w:rsid w:val="008814C3"/>
    <w:rsid w:val="00881929"/>
    <w:rsid w:val="008826A3"/>
    <w:rsid w:val="00883026"/>
    <w:rsid w:val="008832E7"/>
    <w:rsid w:val="0088402D"/>
    <w:rsid w:val="00884067"/>
    <w:rsid w:val="00884A7E"/>
    <w:rsid w:val="00884EDD"/>
    <w:rsid w:val="008850B1"/>
    <w:rsid w:val="00885463"/>
    <w:rsid w:val="00885518"/>
    <w:rsid w:val="00885CFB"/>
    <w:rsid w:val="00885E2C"/>
    <w:rsid w:val="00887012"/>
    <w:rsid w:val="008870E8"/>
    <w:rsid w:val="00887223"/>
    <w:rsid w:val="00887275"/>
    <w:rsid w:val="00887B38"/>
    <w:rsid w:val="00890088"/>
    <w:rsid w:val="00891EED"/>
    <w:rsid w:val="0089258F"/>
    <w:rsid w:val="00892881"/>
    <w:rsid w:val="00893CA9"/>
    <w:rsid w:val="00893E89"/>
    <w:rsid w:val="008941E0"/>
    <w:rsid w:val="008942D0"/>
    <w:rsid w:val="008942D4"/>
    <w:rsid w:val="00895594"/>
    <w:rsid w:val="00895E3E"/>
    <w:rsid w:val="00896564"/>
    <w:rsid w:val="0089747E"/>
    <w:rsid w:val="0089789F"/>
    <w:rsid w:val="00897E19"/>
    <w:rsid w:val="00897EF4"/>
    <w:rsid w:val="008A00D1"/>
    <w:rsid w:val="008A3CC9"/>
    <w:rsid w:val="008A47FC"/>
    <w:rsid w:val="008A5981"/>
    <w:rsid w:val="008B0F54"/>
    <w:rsid w:val="008B12BA"/>
    <w:rsid w:val="008B1301"/>
    <w:rsid w:val="008B1CBF"/>
    <w:rsid w:val="008B2206"/>
    <w:rsid w:val="008B29EF"/>
    <w:rsid w:val="008B2C39"/>
    <w:rsid w:val="008B2FC6"/>
    <w:rsid w:val="008B3757"/>
    <w:rsid w:val="008B3DFB"/>
    <w:rsid w:val="008B3F39"/>
    <w:rsid w:val="008B43C0"/>
    <w:rsid w:val="008B43C6"/>
    <w:rsid w:val="008B4C33"/>
    <w:rsid w:val="008B4EBA"/>
    <w:rsid w:val="008B7088"/>
    <w:rsid w:val="008B7BDA"/>
    <w:rsid w:val="008C0CD7"/>
    <w:rsid w:val="008C1206"/>
    <w:rsid w:val="008C17F5"/>
    <w:rsid w:val="008C3034"/>
    <w:rsid w:val="008C4F98"/>
    <w:rsid w:val="008C5E8B"/>
    <w:rsid w:val="008C6025"/>
    <w:rsid w:val="008C6EAF"/>
    <w:rsid w:val="008C72F4"/>
    <w:rsid w:val="008C7521"/>
    <w:rsid w:val="008C7BB7"/>
    <w:rsid w:val="008D10A0"/>
    <w:rsid w:val="008D117F"/>
    <w:rsid w:val="008D1472"/>
    <w:rsid w:val="008D1509"/>
    <w:rsid w:val="008D16F6"/>
    <w:rsid w:val="008D2078"/>
    <w:rsid w:val="008D2A93"/>
    <w:rsid w:val="008D2C4A"/>
    <w:rsid w:val="008D2DF6"/>
    <w:rsid w:val="008D3106"/>
    <w:rsid w:val="008D36C3"/>
    <w:rsid w:val="008D3A7E"/>
    <w:rsid w:val="008D4340"/>
    <w:rsid w:val="008D63BD"/>
    <w:rsid w:val="008D71EC"/>
    <w:rsid w:val="008D774D"/>
    <w:rsid w:val="008E0378"/>
    <w:rsid w:val="008E0537"/>
    <w:rsid w:val="008E0625"/>
    <w:rsid w:val="008E0F1A"/>
    <w:rsid w:val="008E209A"/>
    <w:rsid w:val="008E304B"/>
    <w:rsid w:val="008E4360"/>
    <w:rsid w:val="008E44DC"/>
    <w:rsid w:val="008E5156"/>
    <w:rsid w:val="008E533E"/>
    <w:rsid w:val="008E645D"/>
    <w:rsid w:val="008F0205"/>
    <w:rsid w:val="008F1AD9"/>
    <w:rsid w:val="008F1F25"/>
    <w:rsid w:val="008F27A4"/>
    <w:rsid w:val="008F2DC2"/>
    <w:rsid w:val="008F353B"/>
    <w:rsid w:val="008F3B70"/>
    <w:rsid w:val="008F49D2"/>
    <w:rsid w:val="008F513B"/>
    <w:rsid w:val="008F62CA"/>
    <w:rsid w:val="008F6AF9"/>
    <w:rsid w:val="008F6EDD"/>
    <w:rsid w:val="008F714B"/>
    <w:rsid w:val="0090155F"/>
    <w:rsid w:val="009025B5"/>
    <w:rsid w:val="00902B05"/>
    <w:rsid w:val="00902B6C"/>
    <w:rsid w:val="00903141"/>
    <w:rsid w:val="00903D8B"/>
    <w:rsid w:val="00904994"/>
    <w:rsid w:val="00904C57"/>
    <w:rsid w:val="00905576"/>
    <w:rsid w:val="009057D2"/>
    <w:rsid w:val="00905ABE"/>
    <w:rsid w:val="00905E39"/>
    <w:rsid w:val="00905E47"/>
    <w:rsid w:val="00907A4F"/>
    <w:rsid w:val="00910FB8"/>
    <w:rsid w:val="00911D43"/>
    <w:rsid w:val="0091228A"/>
    <w:rsid w:val="00912762"/>
    <w:rsid w:val="0091282C"/>
    <w:rsid w:val="00912D5B"/>
    <w:rsid w:val="009139D8"/>
    <w:rsid w:val="009142B1"/>
    <w:rsid w:val="009143E6"/>
    <w:rsid w:val="00915195"/>
    <w:rsid w:val="00915D69"/>
    <w:rsid w:val="00915F19"/>
    <w:rsid w:val="009161F0"/>
    <w:rsid w:val="00917D8A"/>
    <w:rsid w:val="009204A3"/>
    <w:rsid w:val="009212B5"/>
    <w:rsid w:val="00921469"/>
    <w:rsid w:val="00922AC2"/>
    <w:rsid w:val="00922AF3"/>
    <w:rsid w:val="00924991"/>
    <w:rsid w:val="00924E90"/>
    <w:rsid w:val="00926062"/>
    <w:rsid w:val="0092651E"/>
    <w:rsid w:val="00927BDD"/>
    <w:rsid w:val="009301E8"/>
    <w:rsid w:val="00930517"/>
    <w:rsid w:val="00930AD1"/>
    <w:rsid w:val="00930B7C"/>
    <w:rsid w:val="00930C99"/>
    <w:rsid w:val="009316BC"/>
    <w:rsid w:val="0093271D"/>
    <w:rsid w:val="00932BFC"/>
    <w:rsid w:val="00932CD9"/>
    <w:rsid w:val="00932F15"/>
    <w:rsid w:val="0093300C"/>
    <w:rsid w:val="00933938"/>
    <w:rsid w:val="009347CD"/>
    <w:rsid w:val="00935838"/>
    <w:rsid w:val="009377ED"/>
    <w:rsid w:val="009400F0"/>
    <w:rsid w:val="009411B5"/>
    <w:rsid w:val="00941248"/>
    <w:rsid w:val="009413B0"/>
    <w:rsid w:val="00941B05"/>
    <w:rsid w:val="00941B93"/>
    <w:rsid w:val="00942827"/>
    <w:rsid w:val="00942C33"/>
    <w:rsid w:val="00942C7D"/>
    <w:rsid w:val="00943A11"/>
    <w:rsid w:val="00943C8C"/>
    <w:rsid w:val="00944770"/>
    <w:rsid w:val="00944BEE"/>
    <w:rsid w:val="00946B0F"/>
    <w:rsid w:val="00946BB8"/>
    <w:rsid w:val="009479F1"/>
    <w:rsid w:val="0095096E"/>
    <w:rsid w:val="00951363"/>
    <w:rsid w:val="009520ED"/>
    <w:rsid w:val="0095245B"/>
    <w:rsid w:val="0095359D"/>
    <w:rsid w:val="009538EC"/>
    <w:rsid w:val="00957124"/>
    <w:rsid w:val="00957C88"/>
    <w:rsid w:val="00960180"/>
    <w:rsid w:val="009602AF"/>
    <w:rsid w:val="00960E6D"/>
    <w:rsid w:val="009613BD"/>
    <w:rsid w:val="009619B7"/>
    <w:rsid w:val="009620BB"/>
    <w:rsid w:val="0096215E"/>
    <w:rsid w:val="00962975"/>
    <w:rsid w:val="00962B2F"/>
    <w:rsid w:val="00962B88"/>
    <w:rsid w:val="009630FE"/>
    <w:rsid w:val="009643D0"/>
    <w:rsid w:val="00964DC7"/>
    <w:rsid w:val="00964E54"/>
    <w:rsid w:val="009652E5"/>
    <w:rsid w:val="009652EC"/>
    <w:rsid w:val="00965351"/>
    <w:rsid w:val="009657A0"/>
    <w:rsid w:val="009667BE"/>
    <w:rsid w:val="00966B96"/>
    <w:rsid w:val="009675BA"/>
    <w:rsid w:val="00971277"/>
    <w:rsid w:val="00971E6C"/>
    <w:rsid w:val="00972674"/>
    <w:rsid w:val="009729C8"/>
    <w:rsid w:val="00973275"/>
    <w:rsid w:val="009737C0"/>
    <w:rsid w:val="00974207"/>
    <w:rsid w:val="00974414"/>
    <w:rsid w:val="00976A2E"/>
    <w:rsid w:val="0097741F"/>
    <w:rsid w:val="00977AD6"/>
    <w:rsid w:val="00977D58"/>
    <w:rsid w:val="00980860"/>
    <w:rsid w:val="00980B41"/>
    <w:rsid w:val="0098268C"/>
    <w:rsid w:val="009838DA"/>
    <w:rsid w:val="009861B8"/>
    <w:rsid w:val="0098625E"/>
    <w:rsid w:val="00986E07"/>
    <w:rsid w:val="0099081F"/>
    <w:rsid w:val="00991731"/>
    <w:rsid w:val="00991EC7"/>
    <w:rsid w:val="00992F53"/>
    <w:rsid w:val="00993359"/>
    <w:rsid w:val="009936B6"/>
    <w:rsid w:val="00993B86"/>
    <w:rsid w:val="0099477E"/>
    <w:rsid w:val="009948D7"/>
    <w:rsid w:val="009959C3"/>
    <w:rsid w:val="00995E7B"/>
    <w:rsid w:val="00995FF1"/>
    <w:rsid w:val="0099647B"/>
    <w:rsid w:val="00996527"/>
    <w:rsid w:val="00996679"/>
    <w:rsid w:val="00996D4F"/>
    <w:rsid w:val="00996DD8"/>
    <w:rsid w:val="00996EC3"/>
    <w:rsid w:val="009973A0"/>
    <w:rsid w:val="009A05DF"/>
    <w:rsid w:val="009A0652"/>
    <w:rsid w:val="009A06AC"/>
    <w:rsid w:val="009A16EA"/>
    <w:rsid w:val="009A2898"/>
    <w:rsid w:val="009A355D"/>
    <w:rsid w:val="009A3785"/>
    <w:rsid w:val="009A4876"/>
    <w:rsid w:val="009A4F24"/>
    <w:rsid w:val="009A4F58"/>
    <w:rsid w:val="009A77E9"/>
    <w:rsid w:val="009A79CE"/>
    <w:rsid w:val="009B1937"/>
    <w:rsid w:val="009B194F"/>
    <w:rsid w:val="009B1A2F"/>
    <w:rsid w:val="009B217B"/>
    <w:rsid w:val="009B2805"/>
    <w:rsid w:val="009B2B70"/>
    <w:rsid w:val="009B2C42"/>
    <w:rsid w:val="009B466F"/>
    <w:rsid w:val="009B5C31"/>
    <w:rsid w:val="009B6631"/>
    <w:rsid w:val="009B6F79"/>
    <w:rsid w:val="009B728A"/>
    <w:rsid w:val="009B75D3"/>
    <w:rsid w:val="009B7C90"/>
    <w:rsid w:val="009B7E45"/>
    <w:rsid w:val="009C02F0"/>
    <w:rsid w:val="009C04E5"/>
    <w:rsid w:val="009C2D68"/>
    <w:rsid w:val="009C3242"/>
    <w:rsid w:val="009C3E68"/>
    <w:rsid w:val="009C4BD6"/>
    <w:rsid w:val="009C525A"/>
    <w:rsid w:val="009C55E6"/>
    <w:rsid w:val="009C560A"/>
    <w:rsid w:val="009C5D05"/>
    <w:rsid w:val="009C5EB9"/>
    <w:rsid w:val="009C620E"/>
    <w:rsid w:val="009C66B9"/>
    <w:rsid w:val="009D0762"/>
    <w:rsid w:val="009D07FC"/>
    <w:rsid w:val="009D17E0"/>
    <w:rsid w:val="009D189E"/>
    <w:rsid w:val="009D1EFD"/>
    <w:rsid w:val="009D1F3A"/>
    <w:rsid w:val="009D2988"/>
    <w:rsid w:val="009D450C"/>
    <w:rsid w:val="009D5A1E"/>
    <w:rsid w:val="009D6247"/>
    <w:rsid w:val="009D6B31"/>
    <w:rsid w:val="009D7CF2"/>
    <w:rsid w:val="009E05BA"/>
    <w:rsid w:val="009E0D85"/>
    <w:rsid w:val="009E11F6"/>
    <w:rsid w:val="009E151E"/>
    <w:rsid w:val="009E16BA"/>
    <w:rsid w:val="009E190E"/>
    <w:rsid w:val="009E191B"/>
    <w:rsid w:val="009E1DEF"/>
    <w:rsid w:val="009E200E"/>
    <w:rsid w:val="009E2038"/>
    <w:rsid w:val="009E3C61"/>
    <w:rsid w:val="009E3E14"/>
    <w:rsid w:val="009E45AD"/>
    <w:rsid w:val="009E5202"/>
    <w:rsid w:val="009E5525"/>
    <w:rsid w:val="009E6832"/>
    <w:rsid w:val="009E69BE"/>
    <w:rsid w:val="009E7BCE"/>
    <w:rsid w:val="009F1DEA"/>
    <w:rsid w:val="009F1E99"/>
    <w:rsid w:val="009F2A61"/>
    <w:rsid w:val="009F2B2C"/>
    <w:rsid w:val="009F3125"/>
    <w:rsid w:val="009F3761"/>
    <w:rsid w:val="009F378F"/>
    <w:rsid w:val="009F4A02"/>
    <w:rsid w:val="009F7EBC"/>
    <w:rsid w:val="00A00823"/>
    <w:rsid w:val="00A00CA6"/>
    <w:rsid w:val="00A01380"/>
    <w:rsid w:val="00A02495"/>
    <w:rsid w:val="00A027EA"/>
    <w:rsid w:val="00A037DB"/>
    <w:rsid w:val="00A04066"/>
    <w:rsid w:val="00A04460"/>
    <w:rsid w:val="00A0466E"/>
    <w:rsid w:val="00A0501E"/>
    <w:rsid w:val="00A0519B"/>
    <w:rsid w:val="00A056E7"/>
    <w:rsid w:val="00A057D5"/>
    <w:rsid w:val="00A06A20"/>
    <w:rsid w:val="00A06EB6"/>
    <w:rsid w:val="00A07576"/>
    <w:rsid w:val="00A10631"/>
    <w:rsid w:val="00A1143E"/>
    <w:rsid w:val="00A12718"/>
    <w:rsid w:val="00A12A70"/>
    <w:rsid w:val="00A12B4C"/>
    <w:rsid w:val="00A13008"/>
    <w:rsid w:val="00A130FF"/>
    <w:rsid w:val="00A131E6"/>
    <w:rsid w:val="00A1365E"/>
    <w:rsid w:val="00A142BF"/>
    <w:rsid w:val="00A142D2"/>
    <w:rsid w:val="00A1475C"/>
    <w:rsid w:val="00A147AB"/>
    <w:rsid w:val="00A15F4D"/>
    <w:rsid w:val="00A1742C"/>
    <w:rsid w:val="00A20F14"/>
    <w:rsid w:val="00A22082"/>
    <w:rsid w:val="00A224AC"/>
    <w:rsid w:val="00A23AB1"/>
    <w:rsid w:val="00A24F41"/>
    <w:rsid w:val="00A25323"/>
    <w:rsid w:val="00A2697B"/>
    <w:rsid w:val="00A26DD2"/>
    <w:rsid w:val="00A26FA1"/>
    <w:rsid w:val="00A27728"/>
    <w:rsid w:val="00A30BCF"/>
    <w:rsid w:val="00A30E5C"/>
    <w:rsid w:val="00A31BEB"/>
    <w:rsid w:val="00A31F05"/>
    <w:rsid w:val="00A3220A"/>
    <w:rsid w:val="00A334EA"/>
    <w:rsid w:val="00A335E7"/>
    <w:rsid w:val="00A33A44"/>
    <w:rsid w:val="00A3449E"/>
    <w:rsid w:val="00A355A3"/>
    <w:rsid w:val="00A35CAE"/>
    <w:rsid w:val="00A3766A"/>
    <w:rsid w:val="00A40AEC"/>
    <w:rsid w:val="00A410CD"/>
    <w:rsid w:val="00A41126"/>
    <w:rsid w:val="00A414DC"/>
    <w:rsid w:val="00A43054"/>
    <w:rsid w:val="00A4307E"/>
    <w:rsid w:val="00A43144"/>
    <w:rsid w:val="00A4478E"/>
    <w:rsid w:val="00A449BC"/>
    <w:rsid w:val="00A451E0"/>
    <w:rsid w:val="00A45712"/>
    <w:rsid w:val="00A469B0"/>
    <w:rsid w:val="00A46F26"/>
    <w:rsid w:val="00A474B1"/>
    <w:rsid w:val="00A505AB"/>
    <w:rsid w:val="00A50FCC"/>
    <w:rsid w:val="00A51148"/>
    <w:rsid w:val="00A53246"/>
    <w:rsid w:val="00A53764"/>
    <w:rsid w:val="00A537BA"/>
    <w:rsid w:val="00A544E7"/>
    <w:rsid w:val="00A54617"/>
    <w:rsid w:val="00A5479D"/>
    <w:rsid w:val="00A54DED"/>
    <w:rsid w:val="00A558AD"/>
    <w:rsid w:val="00A55A82"/>
    <w:rsid w:val="00A55C40"/>
    <w:rsid w:val="00A55D1F"/>
    <w:rsid w:val="00A5634A"/>
    <w:rsid w:val="00A56DDB"/>
    <w:rsid w:val="00A56F27"/>
    <w:rsid w:val="00A56FAF"/>
    <w:rsid w:val="00A6005F"/>
    <w:rsid w:val="00A60828"/>
    <w:rsid w:val="00A60C66"/>
    <w:rsid w:val="00A622DD"/>
    <w:rsid w:val="00A628B7"/>
    <w:rsid w:val="00A62E3A"/>
    <w:rsid w:val="00A63BB4"/>
    <w:rsid w:val="00A6441D"/>
    <w:rsid w:val="00A64E94"/>
    <w:rsid w:val="00A64F2C"/>
    <w:rsid w:val="00A65398"/>
    <w:rsid w:val="00A665D4"/>
    <w:rsid w:val="00A66D20"/>
    <w:rsid w:val="00A67332"/>
    <w:rsid w:val="00A67438"/>
    <w:rsid w:val="00A67B43"/>
    <w:rsid w:val="00A67E2E"/>
    <w:rsid w:val="00A709B1"/>
    <w:rsid w:val="00A72096"/>
    <w:rsid w:val="00A73BF1"/>
    <w:rsid w:val="00A74CEE"/>
    <w:rsid w:val="00A759E6"/>
    <w:rsid w:val="00A76ABC"/>
    <w:rsid w:val="00A76E09"/>
    <w:rsid w:val="00A7757F"/>
    <w:rsid w:val="00A80020"/>
    <w:rsid w:val="00A808E1"/>
    <w:rsid w:val="00A817A7"/>
    <w:rsid w:val="00A81B1A"/>
    <w:rsid w:val="00A82853"/>
    <w:rsid w:val="00A83687"/>
    <w:rsid w:val="00A84594"/>
    <w:rsid w:val="00A84783"/>
    <w:rsid w:val="00A84CDB"/>
    <w:rsid w:val="00A85110"/>
    <w:rsid w:val="00A855A7"/>
    <w:rsid w:val="00A855D5"/>
    <w:rsid w:val="00A865B5"/>
    <w:rsid w:val="00A86F3A"/>
    <w:rsid w:val="00A87382"/>
    <w:rsid w:val="00A87841"/>
    <w:rsid w:val="00A878A1"/>
    <w:rsid w:val="00A87942"/>
    <w:rsid w:val="00A90E53"/>
    <w:rsid w:val="00A911CA"/>
    <w:rsid w:val="00A91950"/>
    <w:rsid w:val="00A91E0A"/>
    <w:rsid w:val="00A931D3"/>
    <w:rsid w:val="00A93917"/>
    <w:rsid w:val="00A94839"/>
    <w:rsid w:val="00A96581"/>
    <w:rsid w:val="00A965A7"/>
    <w:rsid w:val="00A96B58"/>
    <w:rsid w:val="00A9713E"/>
    <w:rsid w:val="00A971D0"/>
    <w:rsid w:val="00A9722E"/>
    <w:rsid w:val="00AA1C20"/>
    <w:rsid w:val="00AA354C"/>
    <w:rsid w:val="00AA359C"/>
    <w:rsid w:val="00AA3694"/>
    <w:rsid w:val="00AA36D0"/>
    <w:rsid w:val="00AA4074"/>
    <w:rsid w:val="00AA5A0B"/>
    <w:rsid w:val="00AA5FC0"/>
    <w:rsid w:val="00AA6CAB"/>
    <w:rsid w:val="00AA6F54"/>
    <w:rsid w:val="00AB007F"/>
    <w:rsid w:val="00AB01F2"/>
    <w:rsid w:val="00AB04D5"/>
    <w:rsid w:val="00AB0749"/>
    <w:rsid w:val="00AB098B"/>
    <w:rsid w:val="00AB14F6"/>
    <w:rsid w:val="00AB19D4"/>
    <w:rsid w:val="00AB1B61"/>
    <w:rsid w:val="00AB1C55"/>
    <w:rsid w:val="00AB2475"/>
    <w:rsid w:val="00AB2702"/>
    <w:rsid w:val="00AB2719"/>
    <w:rsid w:val="00AB315A"/>
    <w:rsid w:val="00AB32E5"/>
    <w:rsid w:val="00AB343E"/>
    <w:rsid w:val="00AB3671"/>
    <w:rsid w:val="00AB417F"/>
    <w:rsid w:val="00AB5B44"/>
    <w:rsid w:val="00AB5D69"/>
    <w:rsid w:val="00AB6DED"/>
    <w:rsid w:val="00AB754E"/>
    <w:rsid w:val="00AB7E13"/>
    <w:rsid w:val="00AC059D"/>
    <w:rsid w:val="00AC0876"/>
    <w:rsid w:val="00AC0C3C"/>
    <w:rsid w:val="00AC1424"/>
    <w:rsid w:val="00AC1674"/>
    <w:rsid w:val="00AC17C4"/>
    <w:rsid w:val="00AC184A"/>
    <w:rsid w:val="00AC1F26"/>
    <w:rsid w:val="00AC2177"/>
    <w:rsid w:val="00AC239A"/>
    <w:rsid w:val="00AC24B0"/>
    <w:rsid w:val="00AC3534"/>
    <w:rsid w:val="00AC518E"/>
    <w:rsid w:val="00AC5A89"/>
    <w:rsid w:val="00AC5ED9"/>
    <w:rsid w:val="00AC6ABF"/>
    <w:rsid w:val="00AC6B64"/>
    <w:rsid w:val="00AC7969"/>
    <w:rsid w:val="00AC7A31"/>
    <w:rsid w:val="00AC7DB6"/>
    <w:rsid w:val="00AD2582"/>
    <w:rsid w:val="00AD265D"/>
    <w:rsid w:val="00AD3418"/>
    <w:rsid w:val="00AD5C4C"/>
    <w:rsid w:val="00AD5D36"/>
    <w:rsid w:val="00AD60D1"/>
    <w:rsid w:val="00AD7FF2"/>
    <w:rsid w:val="00AE01C0"/>
    <w:rsid w:val="00AE5569"/>
    <w:rsid w:val="00AE704E"/>
    <w:rsid w:val="00AE7641"/>
    <w:rsid w:val="00AE7713"/>
    <w:rsid w:val="00AF0B86"/>
    <w:rsid w:val="00AF0F01"/>
    <w:rsid w:val="00AF0F90"/>
    <w:rsid w:val="00AF3004"/>
    <w:rsid w:val="00AF3436"/>
    <w:rsid w:val="00AF3CA2"/>
    <w:rsid w:val="00AF41DE"/>
    <w:rsid w:val="00AF4643"/>
    <w:rsid w:val="00AF4E80"/>
    <w:rsid w:val="00AF4E8D"/>
    <w:rsid w:val="00AF6478"/>
    <w:rsid w:val="00AF6AFD"/>
    <w:rsid w:val="00AF6D9E"/>
    <w:rsid w:val="00B01011"/>
    <w:rsid w:val="00B01D4E"/>
    <w:rsid w:val="00B01E04"/>
    <w:rsid w:val="00B02244"/>
    <w:rsid w:val="00B02FF5"/>
    <w:rsid w:val="00B035B7"/>
    <w:rsid w:val="00B036B0"/>
    <w:rsid w:val="00B0408F"/>
    <w:rsid w:val="00B052B0"/>
    <w:rsid w:val="00B07E49"/>
    <w:rsid w:val="00B10349"/>
    <w:rsid w:val="00B114E9"/>
    <w:rsid w:val="00B116D2"/>
    <w:rsid w:val="00B126BE"/>
    <w:rsid w:val="00B12741"/>
    <w:rsid w:val="00B12D43"/>
    <w:rsid w:val="00B14A83"/>
    <w:rsid w:val="00B14CFC"/>
    <w:rsid w:val="00B16259"/>
    <w:rsid w:val="00B167EF"/>
    <w:rsid w:val="00B209E9"/>
    <w:rsid w:val="00B20C49"/>
    <w:rsid w:val="00B20DF4"/>
    <w:rsid w:val="00B21718"/>
    <w:rsid w:val="00B223EC"/>
    <w:rsid w:val="00B227FE"/>
    <w:rsid w:val="00B25090"/>
    <w:rsid w:val="00B26059"/>
    <w:rsid w:val="00B2637B"/>
    <w:rsid w:val="00B27381"/>
    <w:rsid w:val="00B27D9F"/>
    <w:rsid w:val="00B27F4D"/>
    <w:rsid w:val="00B325B0"/>
    <w:rsid w:val="00B34BB9"/>
    <w:rsid w:val="00B35212"/>
    <w:rsid w:val="00B407A4"/>
    <w:rsid w:val="00B4089B"/>
    <w:rsid w:val="00B40AB0"/>
    <w:rsid w:val="00B4119E"/>
    <w:rsid w:val="00B41CA3"/>
    <w:rsid w:val="00B41E21"/>
    <w:rsid w:val="00B42BC7"/>
    <w:rsid w:val="00B4323D"/>
    <w:rsid w:val="00B433E5"/>
    <w:rsid w:val="00B458DC"/>
    <w:rsid w:val="00B469C7"/>
    <w:rsid w:val="00B46B44"/>
    <w:rsid w:val="00B472C6"/>
    <w:rsid w:val="00B508F5"/>
    <w:rsid w:val="00B512A4"/>
    <w:rsid w:val="00B52090"/>
    <w:rsid w:val="00B532DD"/>
    <w:rsid w:val="00B55CED"/>
    <w:rsid w:val="00B55EEB"/>
    <w:rsid w:val="00B56103"/>
    <w:rsid w:val="00B56455"/>
    <w:rsid w:val="00B5674D"/>
    <w:rsid w:val="00B57C1C"/>
    <w:rsid w:val="00B609E8"/>
    <w:rsid w:val="00B63AE1"/>
    <w:rsid w:val="00B6495F"/>
    <w:rsid w:val="00B65024"/>
    <w:rsid w:val="00B66C7A"/>
    <w:rsid w:val="00B70187"/>
    <w:rsid w:val="00B7018B"/>
    <w:rsid w:val="00B7071C"/>
    <w:rsid w:val="00B71A58"/>
    <w:rsid w:val="00B71FDC"/>
    <w:rsid w:val="00B7324E"/>
    <w:rsid w:val="00B74317"/>
    <w:rsid w:val="00B763A6"/>
    <w:rsid w:val="00B766FA"/>
    <w:rsid w:val="00B7729C"/>
    <w:rsid w:val="00B77705"/>
    <w:rsid w:val="00B77B49"/>
    <w:rsid w:val="00B77C16"/>
    <w:rsid w:val="00B8041D"/>
    <w:rsid w:val="00B805DC"/>
    <w:rsid w:val="00B8145C"/>
    <w:rsid w:val="00B824D9"/>
    <w:rsid w:val="00B852A2"/>
    <w:rsid w:val="00B85CAB"/>
    <w:rsid w:val="00B869DD"/>
    <w:rsid w:val="00B869F5"/>
    <w:rsid w:val="00B86C96"/>
    <w:rsid w:val="00B875B9"/>
    <w:rsid w:val="00B87E0C"/>
    <w:rsid w:val="00B90C33"/>
    <w:rsid w:val="00B90F98"/>
    <w:rsid w:val="00B91FAB"/>
    <w:rsid w:val="00B92364"/>
    <w:rsid w:val="00B92AAF"/>
    <w:rsid w:val="00B93CC0"/>
    <w:rsid w:val="00B94353"/>
    <w:rsid w:val="00B94F68"/>
    <w:rsid w:val="00B9511C"/>
    <w:rsid w:val="00B95500"/>
    <w:rsid w:val="00B957F6"/>
    <w:rsid w:val="00B95959"/>
    <w:rsid w:val="00BA0018"/>
    <w:rsid w:val="00BA0214"/>
    <w:rsid w:val="00BA08A7"/>
    <w:rsid w:val="00BA0B50"/>
    <w:rsid w:val="00BA1106"/>
    <w:rsid w:val="00BA154C"/>
    <w:rsid w:val="00BA15D0"/>
    <w:rsid w:val="00BA2DFB"/>
    <w:rsid w:val="00BA4137"/>
    <w:rsid w:val="00BA49AE"/>
    <w:rsid w:val="00BA4C7C"/>
    <w:rsid w:val="00BA5002"/>
    <w:rsid w:val="00BA5A98"/>
    <w:rsid w:val="00BA5B32"/>
    <w:rsid w:val="00BA690F"/>
    <w:rsid w:val="00BA6BBD"/>
    <w:rsid w:val="00BA77CD"/>
    <w:rsid w:val="00BB0AF6"/>
    <w:rsid w:val="00BB0DD5"/>
    <w:rsid w:val="00BB3051"/>
    <w:rsid w:val="00BB34A2"/>
    <w:rsid w:val="00BB3E05"/>
    <w:rsid w:val="00BB4574"/>
    <w:rsid w:val="00BB50B1"/>
    <w:rsid w:val="00BB5111"/>
    <w:rsid w:val="00BB52F9"/>
    <w:rsid w:val="00BB5F9D"/>
    <w:rsid w:val="00BB626A"/>
    <w:rsid w:val="00BB7858"/>
    <w:rsid w:val="00BB7D72"/>
    <w:rsid w:val="00BC0358"/>
    <w:rsid w:val="00BC1027"/>
    <w:rsid w:val="00BC1059"/>
    <w:rsid w:val="00BC182D"/>
    <w:rsid w:val="00BC1ED0"/>
    <w:rsid w:val="00BC209C"/>
    <w:rsid w:val="00BC5A06"/>
    <w:rsid w:val="00BC5E32"/>
    <w:rsid w:val="00BC7219"/>
    <w:rsid w:val="00BD10C8"/>
    <w:rsid w:val="00BD165C"/>
    <w:rsid w:val="00BD2EC5"/>
    <w:rsid w:val="00BD3017"/>
    <w:rsid w:val="00BD43DE"/>
    <w:rsid w:val="00BD4453"/>
    <w:rsid w:val="00BD56C5"/>
    <w:rsid w:val="00BD5CA2"/>
    <w:rsid w:val="00BD62CA"/>
    <w:rsid w:val="00BD6359"/>
    <w:rsid w:val="00BD67C1"/>
    <w:rsid w:val="00BE130F"/>
    <w:rsid w:val="00BE13BB"/>
    <w:rsid w:val="00BE1CAD"/>
    <w:rsid w:val="00BE2083"/>
    <w:rsid w:val="00BE2F13"/>
    <w:rsid w:val="00BE330A"/>
    <w:rsid w:val="00BE5805"/>
    <w:rsid w:val="00BE5A45"/>
    <w:rsid w:val="00BE60E8"/>
    <w:rsid w:val="00BE729B"/>
    <w:rsid w:val="00BF0022"/>
    <w:rsid w:val="00BF0455"/>
    <w:rsid w:val="00BF0AAD"/>
    <w:rsid w:val="00BF10C9"/>
    <w:rsid w:val="00BF223E"/>
    <w:rsid w:val="00BF36AD"/>
    <w:rsid w:val="00BF4021"/>
    <w:rsid w:val="00BF4A26"/>
    <w:rsid w:val="00BF4ED4"/>
    <w:rsid w:val="00BF4F7C"/>
    <w:rsid w:val="00BF532D"/>
    <w:rsid w:val="00BF616B"/>
    <w:rsid w:val="00C00566"/>
    <w:rsid w:val="00C00CEA"/>
    <w:rsid w:val="00C011AC"/>
    <w:rsid w:val="00C015DF"/>
    <w:rsid w:val="00C016D7"/>
    <w:rsid w:val="00C032A8"/>
    <w:rsid w:val="00C039E7"/>
    <w:rsid w:val="00C04582"/>
    <w:rsid w:val="00C05FBF"/>
    <w:rsid w:val="00C061F3"/>
    <w:rsid w:val="00C07D72"/>
    <w:rsid w:val="00C07FAC"/>
    <w:rsid w:val="00C10426"/>
    <w:rsid w:val="00C10AC4"/>
    <w:rsid w:val="00C10E33"/>
    <w:rsid w:val="00C115EE"/>
    <w:rsid w:val="00C119B5"/>
    <w:rsid w:val="00C11BBE"/>
    <w:rsid w:val="00C12D6D"/>
    <w:rsid w:val="00C12FDE"/>
    <w:rsid w:val="00C1345F"/>
    <w:rsid w:val="00C1438B"/>
    <w:rsid w:val="00C145BD"/>
    <w:rsid w:val="00C147DE"/>
    <w:rsid w:val="00C14AFD"/>
    <w:rsid w:val="00C14D9B"/>
    <w:rsid w:val="00C14DCA"/>
    <w:rsid w:val="00C14EEC"/>
    <w:rsid w:val="00C15196"/>
    <w:rsid w:val="00C1535A"/>
    <w:rsid w:val="00C159D3"/>
    <w:rsid w:val="00C160CD"/>
    <w:rsid w:val="00C17211"/>
    <w:rsid w:val="00C177DB"/>
    <w:rsid w:val="00C1787D"/>
    <w:rsid w:val="00C204B8"/>
    <w:rsid w:val="00C207F6"/>
    <w:rsid w:val="00C20A01"/>
    <w:rsid w:val="00C215E7"/>
    <w:rsid w:val="00C21BFA"/>
    <w:rsid w:val="00C22F66"/>
    <w:rsid w:val="00C23153"/>
    <w:rsid w:val="00C23233"/>
    <w:rsid w:val="00C2366B"/>
    <w:rsid w:val="00C24BF0"/>
    <w:rsid w:val="00C2586F"/>
    <w:rsid w:val="00C2782C"/>
    <w:rsid w:val="00C323D2"/>
    <w:rsid w:val="00C325D6"/>
    <w:rsid w:val="00C35E78"/>
    <w:rsid w:val="00C35F2E"/>
    <w:rsid w:val="00C36A1E"/>
    <w:rsid w:val="00C37086"/>
    <w:rsid w:val="00C377B1"/>
    <w:rsid w:val="00C37957"/>
    <w:rsid w:val="00C379D5"/>
    <w:rsid w:val="00C40CBB"/>
    <w:rsid w:val="00C41D6F"/>
    <w:rsid w:val="00C41E93"/>
    <w:rsid w:val="00C42034"/>
    <w:rsid w:val="00C42CEB"/>
    <w:rsid w:val="00C42DBE"/>
    <w:rsid w:val="00C43F14"/>
    <w:rsid w:val="00C45AD8"/>
    <w:rsid w:val="00C47304"/>
    <w:rsid w:val="00C47685"/>
    <w:rsid w:val="00C4794E"/>
    <w:rsid w:val="00C47C05"/>
    <w:rsid w:val="00C47F6C"/>
    <w:rsid w:val="00C500FE"/>
    <w:rsid w:val="00C50B49"/>
    <w:rsid w:val="00C50BE7"/>
    <w:rsid w:val="00C50ECB"/>
    <w:rsid w:val="00C511E1"/>
    <w:rsid w:val="00C519CB"/>
    <w:rsid w:val="00C51D0C"/>
    <w:rsid w:val="00C53415"/>
    <w:rsid w:val="00C534C3"/>
    <w:rsid w:val="00C53533"/>
    <w:rsid w:val="00C53B4D"/>
    <w:rsid w:val="00C53D49"/>
    <w:rsid w:val="00C551FD"/>
    <w:rsid w:val="00C55517"/>
    <w:rsid w:val="00C570FD"/>
    <w:rsid w:val="00C61AD2"/>
    <w:rsid w:val="00C61B4A"/>
    <w:rsid w:val="00C621F4"/>
    <w:rsid w:val="00C6223D"/>
    <w:rsid w:val="00C6290B"/>
    <w:rsid w:val="00C6351A"/>
    <w:rsid w:val="00C63B4C"/>
    <w:rsid w:val="00C64AB4"/>
    <w:rsid w:val="00C654CF"/>
    <w:rsid w:val="00C6700B"/>
    <w:rsid w:val="00C7016F"/>
    <w:rsid w:val="00C713D6"/>
    <w:rsid w:val="00C7262C"/>
    <w:rsid w:val="00C72AB8"/>
    <w:rsid w:val="00C72B1D"/>
    <w:rsid w:val="00C73921"/>
    <w:rsid w:val="00C73A1D"/>
    <w:rsid w:val="00C73B9B"/>
    <w:rsid w:val="00C73E9E"/>
    <w:rsid w:val="00C74E38"/>
    <w:rsid w:val="00C74E7C"/>
    <w:rsid w:val="00C75C66"/>
    <w:rsid w:val="00C76C50"/>
    <w:rsid w:val="00C77B8F"/>
    <w:rsid w:val="00C80210"/>
    <w:rsid w:val="00C81216"/>
    <w:rsid w:val="00C81ED9"/>
    <w:rsid w:val="00C821FB"/>
    <w:rsid w:val="00C83A42"/>
    <w:rsid w:val="00C83A70"/>
    <w:rsid w:val="00C84017"/>
    <w:rsid w:val="00C84038"/>
    <w:rsid w:val="00C845A4"/>
    <w:rsid w:val="00C846CF"/>
    <w:rsid w:val="00C8519C"/>
    <w:rsid w:val="00C86414"/>
    <w:rsid w:val="00C90361"/>
    <w:rsid w:val="00C90CAF"/>
    <w:rsid w:val="00C91046"/>
    <w:rsid w:val="00C91E77"/>
    <w:rsid w:val="00C922EC"/>
    <w:rsid w:val="00C92575"/>
    <w:rsid w:val="00C925E7"/>
    <w:rsid w:val="00C937A2"/>
    <w:rsid w:val="00C93CEA"/>
    <w:rsid w:val="00C93F78"/>
    <w:rsid w:val="00C9653F"/>
    <w:rsid w:val="00C96901"/>
    <w:rsid w:val="00C96C4B"/>
    <w:rsid w:val="00C96DA9"/>
    <w:rsid w:val="00C97BBF"/>
    <w:rsid w:val="00C97C9C"/>
    <w:rsid w:val="00CA0277"/>
    <w:rsid w:val="00CA0467"/>
    <w:rsid w:val="00CA0592"/>
    <w:rsid w:val="00CA0733"/>
    <w:rsid w:val="00CA140B"/>
    <w:rsid w:val="00CA1EA9"/>
    <w:rsid w:val="00CA1F4B"/>
    <w:rsid w:val="00CA22D8"/>
    <w:rsid w:val="00CA2493"/>
    <w:rsid w:val="00CA2EB9"/>
    <w:rsid w:val="00CA3154"/>
    <w:rsid w:val="00CA4A74"/>
    <w:rsid w:val="00CA56F5"/>
    <w:rsid w:val="00CA5A64"/>
    <w:rsid w:val="00CA5BE4"/>
    <w:rsid w:val="00CA6011"/>
    <w:rsid w:val="00CA649E"/>
    <w:rsid w:val="00CA761E"/>
    <w:rsid w:val="00CA79E3"/>
    <w:rsid w:val="00CB10CE"/>
    <w:rsid w:val="00CB1BAB"/>
    <w:rsid w:val="00CB2C5C"/>
    <w:rsid w:val="00CB342E"/>
    <w:rsid w:val="00CB4798"/>
    <w:rsid w:val="00CB543A"/>
    <w:rsid w:val="00CB57A3"/>
    <w:rsid w:val="00CB597D"/>
    <w:rsid w:val="00CB6566"/>
    <w:rsid w:val="00CB79B5"/>
    <w:rsid w:val="00CB7E9E"/>
    <w:rsid w:val="00CC00E6"/>
    <w:rsid w:val="00CC05BA"/>
    <w:rsid w:val="00CC0DAD"/>
    <w:rsid w:val="00CC1773"/>
    <w:rsid w:val="00CC26B3"/>
    <w:rsid w:val="00CC2B74"/>
    <w:rsid w:val="00CC4B4B"/>
    <w:rsid w:val="00CC5D2E"/>
    <w:rsid w:val="00CC5E4B"/>
    <w:rsid w:val="00CC605E"/>
    <w:rsid w:val="00CC63EF"/>
    <w:rsid w:val="00CC7062"/>
    <w:rsid w:val="00CC78A0"/>
    <w:rsid w:val="00CD123D"/>
    <w:rsid w:val="00CD143F"/>
    <w:rsid w:val="00CD1440"/>
    <w:rsid w:val="00CD28DA"/>
    <w:rsid w:val="00CD2911"/>
    <w:rsid w:val="00CD3F94"/>
    <w:rsid w:val="00CD441D"/>
    <w:rsid w:val="00CD515E"/>
    <w:rsid w:val="00CD5D7B"/>
    <w:rsid w:val="00CD60D9"/>
    <w:rsid w:val="00CD69B3"/>
    <w:rsid w:val="00CD6C8E"/>
    <w:rsid w:val="00CD71D8"/>
    <w:rsid w:val="00CD782F"/>
    <w:rsid w:val="00CE0239"/>
    <w:rsid w:val="00CE05C8"/>
    <w:rsid w:val="00CE1C30"/>
    <w:rsid w:val="00CE2380"/>
    <w:rsid w:val="00CE2EF5"/>
    <w:rsid w:val="00CE34D7"/>
    <w:rsid w:val="00CE4591"/>
    <w:rsid w:val="00CE513F"/>
    <w:rsid w:val="00CE5374"/>
    <w:rsid w:val="00CE5516"/>
    <w:rsid w:val="00CE57BE"/>
    <w:rsid w:val="00CE5B24"/>
    <w:rsid w:val="00CE5BE6"/>
    <w:rsid w:val="00CE5F17"/>
    <w:rsid w:val="00CE67F4"/>
    <w:rsid w:val="00CE6FA8"/>
    <w:rsid w:val="00CE72B2"/>
    <w:rsid w:val="00CE7438"/>
    <w:rsid w:val="00CF12A6"/>
    <w:rsid w:val="00CF12E2"/>
    <w:rsid w:val="00CF1D0B"/>
    <w:rsid w:val="00CF267A"/>
    <w:rsid w:val="00CF2BC4"/>
    <w:rsid w:val="00CF30D3"/>
    <w:rsid w:val="00CF347E"/>
    <w:rsid w:val="00CF4DA3"/>
    <w:rsid w:val="00CF576F"/>
    <w:rsid w:val="00CF5D25"/>
    <w:rsid w:val="00CF698B"/>
    <w:rsid w:val="00CF7AD3"/>
    <w:rsid w:val="00D023C6"/>
    <w:rsid w:val="00D023EF"/>
    <w:rsid w:val="00D029A0"/>
    <w:rsid w:val="00D02A65"/>
    <w:rsid w:val="00D03505"/>
    <w:rsid w:val="00D03730"/>
    <w:rsid w:val="00D03894"/>
    <w:rsid w:val="00D03997"/>
    <w:rsid w:val="00D03E8C"/>
    <w:rsid w:val="00D03FB6"/>
    <w:rsid w:val="00D041EA"/>
    <w:rsid w:val="00D04849"/>
    <w:rsid w:val="00D04872"/>
    <w:rsid w:val="00D04F8F"/>
    <w:rsid w:val="00D05045"/>
    <w:rsid w:val="00D05682"/>
    <w:rsid w:val="00D06023"/>
    <w:rsid w:val="00D06276"/>
    <w:rsid w:val="00D062B6"/>
    <w:rsid w:val="00D0648C"/>
    <w:rsid w:val="00D07525"/>
    <w:rsid w:val="00D07859"/>
    <w:rsid w:val="00D07AC6"/>
    <w:rsid w:val="00D10372"/>
    <w:rsid w:val="00D10E0D"/>
    <w:rsid w:val="00D11890"/>
    <w:rsid w:val="00D12325"/>
    <w:rsid w:val="00D13021"/>
    <w:rsid w:val="00D13CE2"/>
    <w:rsid w:val="00D14E5E"/>
    <w:rsid w:val="00D1545E"/>
    <w:rsid w:val="00D15482"/>
    <w:rsid w:val="00D15AC4"/>
    <w:rsid w:val="00D15BC5"/>
    <w:rsid w:val="00D15C21"/>
    <w:rsid w:val="00D16C15"/>
    <w:rsid w:val="00D22DF5"/>
    <w:rsid w:val="00D22F3B"/>
    <w:rsid w:val="00D23019"/>
    <w:rsid w:val="00D24608"/>
    <w:rsid w:val="00D25CBF"/>
    <w:rsid w:val="00D26DA0"/>
    <w:rsid w:val="00D279B9"/>
    <w:rsid w:val="00D27D21"/>
    <w:rsid w:val="00D3056D"/>
    <w:rsid w:val="00D306E4"/>
    <w:rsid w:val="00D3215B"/>
    <w:rsid w:val="00D32966"/>
    <w:rsid w:val="00D32B50"/>
    <w:rsid w:val="00D32EB0"/>
    <w:rsid w:val="00D332F5"/>
    <w:rsid w:val="00D33E6E"/>
    <w:rsid w:val="00D34029"/>
    <w:rsid w:val="00D3407F"/>
    <w:rsid w:val="00D343CE"/>
    <w:rsid w:val="00D34ABE"/>
    <w:rsid w:val="00D34D5D"/>
    <w:rsid w:val="00D350E9"/>
    <w:rsid w:val="00D3585A"/>
    <w:rsid w:val="00D35D40"/>
    <w:rsid w:val="00D36E6A"/>
    <w:rsid w:val="00D36E73"/>
    <w:rsid w:val="00D3786D"/>
    <w:rsid w:val="00D403E6"/>
    <w:rsid w:val="00D41066"/>
    <w:rsid w:val="00D427A8"/>
    <w:rsid w:val="00D44D63"/>
    <w:rsid w:val="00D44DDB"/>
    <w:rsid w:val="00D452EC"/>
    <w:rsid w:val="00D464B1"/>
    <w:rsid w:val="00D474B1"/>
    <w:rsid w:val="00D47F95"/>
    <w:rsid w:val="00D502C7"/>
    <w:rsid w:val="00D5082E"/>
    <w:rsid w:val="00D508BC"/>
    <w:rsid w:val="00D510F4"/>
    <w:rsid w:val="00D5143B"/>
    <w:rsid w:val="00D514EA"/>
    <w:rsid w:val="00D524F8"/>
    <w:rsid w:val="00D52DB9"/>
    <w:rsid w:val="00D52EDF"/>
    <w:rsid w:val="00D54137"/>
    <w:rsid w:val="00D5477F"/>
    <w:rsid w:val="00D5550B"/>
    <w:rsid w:val="00D55DD9"/>
    <w:rsid w:val="00D56D4C"/>
    <w:rsid w:val="00D56E2B"/>
    <w:rsid w:val="00D60041"/>
    <w:rsid w:val="00D60E9C"/>
    <w:rsid w:val="00D613D2"/>
    <w:rsid w:val="00D61ABC"/>
    <w:rsid w:val="00D624ED"/>
    <w:rsid w:val="00D6357B"/>
    <w:rsid w:val="00D63944"/>
    <w:rsid w:val="00D64479"/>
    <w:rsid w:val="00D64E9B"/>
    <w:rsid w:val="00D651B2"/>
    <w:rsid w:val="00D651CF"/>
    <w:rsid w:val="00D65AE8"/>
    <w:rsid w:val="00D660E4"/>
    <w:rsid w:val="00D66832"/>
    <w:rsid w:val="00D67294"/>
    <w:rsid w:val="00D67536"/>
    <w:rsid w:val="00D676B5"/>
    <w:rsid w:val="00D67AAC"/>
    <w:rsid w:val="00D67EE4"/>
    <w:rsid w:val="00D70B86"/>
    <w:rsid w:val="00D71BED"/>
    <w:rsid w:val="00D73218"/>
    <w:rsid w:val="00D74006"/>
    <w:rsid w:val="00D74061"/>
    <w:rsid w:val="00D7565D"/>
    <w:rsid w:val="00D75FA1"/>
    <w:rsid w:val="00D76AC7"/>
    <w:rsid w:val="00D77B9D"/>
    <w:rsid w:val="00D77CF4"/>
    <w:rsid w:val="00D800C8"/>
    <w:rsid w:val="00D802B1"/>
    <w:rsid w:val="00D80C8C"/>
    <w:rsid w:val="00D819B1"/>
    <w:rsid w:val="00D81F68"/>
    <w:rsid w:val="00D848DC"/>
    <w:rsid w:val="00D84FB8"/>
    <w:rsid w:val="00D863C8"/>
    <w:rsid w:val="00D870BC"/>
    <w:rsid w:val="00D8739D"/>
    <w:rsid w:val="00D90ED3"/>
    <w:rsid w:val="00D91146"/>
    <w:rsid w:val="00D91457"/>
    <w:rsid w:val="00D9220C"/>
    <w:rsid w:val="00D925ED"/>
    <w:rsid w:val="00D92600"/>
    <w:rsid w:val="00D926D0"/>
    <w:rsid w:val="00D92C67"/>
    <w:rsid w:val="00D93D34"/>
    <w:rsid w:val="00D93E0E"/>
    <w:rsid w:val="00D94413"/>
    <w:rsid w:val="00D948C2"/>
    <w:rsid w:val="00D94C96"/>
    <w:rsid w:val="00D979E8"/>
    <w:rsid w:val="00DA118E"/>
    <w:rsid w:val="00DA26E5"/>
    <w:rsid w:val="00DA2EC2"/>
    <w:rsid w:val="00DA2F4D"/>
    <w:rsid w:val="00DA46C3"/>
    <w:rsid w:val="00DA5389"/>
    <w:rsid w:val="00DA5647"/>
    <w:rsid w:val="00DA58F2"/>
    <w:rsid w:val="00DA5C2D"/>
    <w:rsid w:val="00DA6279"/>
    <w:rsid w:val="00DA7027"/>
    <w:rsid w:val="00DA71D5"/>
    <w:rsid w:val="00DA7DD9"/>
    <w:rsid w:val="00DB0D16"/>
    <w:rsid w:val="00DB0F6B"/>
    <w:rsid w:val="00DB1D9E"/>
    <w:rsid w:val="00DB20FE"/>
    <w:rsid w:val="00DB26DF"/>
    <w:rsid w:val="00DB2953"/>
    <w:rsid w:val="00DB3721"/>
    <w:rsid w:val="00DB5244"/>
    <w:rsid w:val="00DB6882"/>
    <w:rsid w:val="00DB6BB4"/>
    <w:rsid w:val="00DB6DA9"/>
    <w:rsid w:val="00DB6E20"/>
    <w:rsid w:val="00DB6F1D"/>
    <w:rsid w:val="00DC1271"/>
    <w:rsid w:val="00DC1802"/>
    <w:rsid w:val="00DC5882"/>
    <w:rsid w:val="00DC632C"/>
    <w:rsid w:val="00DC7AC2"/>
    <w:rsid w:val="00DD086B"/>
    <w:rsid w:val="00DD0948"/>
    <w:rsid w:val="00DD0EA5"/>
    <w:rsid w:val="00DD161A"/>
    <w:rsid w:val="00DD18A0"/>
    <w:rsid w:val="00DD1A3B"/>
    <w:rsid w:val="00DD23FF"/>
    <w:rsid w:val="00DD2886"/>
    <w:rsid w:val="00DD3607"/>
    <w:rsid w:val="00DD3C59"/>
    <w:rsid w:val="00DD4406"/>
    <w:rsid w:val="00DD5DE7"/>
    <w:rsid w:val="00DD7AB9"/>
    <w:rsid w:val="00DD7BB0"/>
    <w:rsid w:val="00DE1D96"/>
    <w:rsid w:val="00DE2201"/>
    <w:rsid w:val="00DE254F"/>
    <w:rsid w:val="00DE2AB2"/>
    <w:rsid w:val="00DE41F2"/>
    <w:rsid w:val="00DE4E17"/>
    <w:rsid w:val="00DE571B"/>
    <w:rsid w:val="00DE64DC"/>
    <w:rsid w:val="00DE65DB"/>
    <w:rsid w:val="00DE6E30"/>
    <w:rsid w:val="00DF0322"/>
    <w:rsid w:val="00DF05DB"/>
    <w:rsid w:val="00DF0EE5"/>
    <w:rsid w:val="00DF1AFB"/>
    <w:rsid w:val="00DF25A4"/>
    <w:rsid w:val="00DF30F2"/>
    <w:rsid w:val="00DF3197"/>
    <w:rsid w:val="00DF3552"/>
    <w:rsid w:val="00DF355B"/>
    <w:rsid w:val="00DF3A74"/>
    <w:rsid w:val="00DF473B"/>
    <w:rsid w:val="00DF5F7D"/>
    <w:rsid w:val="00DF638A"/>
    <w:rsid w:val="00DF6D52"/>
    <w:rsid w:val="00DF7D5C"/>
    <w:rsid w:val="00E01BC5"/>
    <w:rsid w:val="00E0305F"/>
    <w:rsid w:val="00E03D0C"/>
    <w:rsid w:val="00E0408E"/>
    <w:rsid w:val="00E04395"/>
    <w:rsid w:val="00E04C9E"/>
    <w:rsid w:val="00E05572"/>
    <w:rsid w:val="00E05653"/>
    <w:rsid w:val="00E05D72"/>
    <w:rsid w:val="00E05DE4"/>
    <w:rsid w:val="00E05F2A"/>
    <w:rsid w:val="00E06A24"/>
    <w:rsid w:val="00E06CDB"/>
    <w:rsid w:val="00E07D82"/>
    <w:rsid w:val="00E10A0F"/>
    <w:rsid w:val="00E10A21"/>
    <w:rsid w:val="00E10A95"/>
    <w:rsid w:val="00E113FF"/>
    <w:rsid w:val="00E1171D"/>
    <w:rsid w:val="00E11D3A"/>
    <w:rsid w:val="00E11E1D"/>
    <w:rsid w:val="00E12F75"/>
    <w:rsid w:val="00E13781"/>
    <w:rsid w:val="00E13CFE"/>
    <w:rsid w:val="00E14B45"/>
    <w:rsid w:val="00E15636"/>
    <w:rsid w:val="00E15850"/>
    <w:rsid w:val="00E15BA5"/>
    <w:rsid w:val="00E1600A"/>
    <w:rsid w:val="00E1657F"/>
    <w:rsid w:val="00E17260"/>
    <w:rsid w:val="00E177EE"/>
    <w:rsid w:val="00E201B9"/>
    <w:rsid w:val="00E20DBF"/>
    <w:rsid w:val="00E21B6F"/>
    <w:rsid w:val="00E226A6"/>
    <w:rsid w:val="00E230BB"/>
    <w:rsid w:val="00E23968"/>
    <w:rsid w:val="00E23B27"/>
    <w:rsid w:val="00E23D28"/>
    <w:rsid w:val="00E23DBF"/>
    <w:rsid w:val="00E24F0E"/>
    <w:rsid w:val="00E250E8"/>
    <w:rsid w:val="00E263BE"/>
    <w:rsid w:val="00E2714C"/>
    <w:rsid w:val="00E305E8"/>
    <w:rsid w:val="00E31430"/>
    <w:rsid w:val="00E314CA"/>
    <w:rsid w:val="00E31E0C"/>
    <w:rsid w:val="00E32126"/>
    <w:rsid w:val="00E32BCE"/>
    <w:rsid w:val="00E32BD8"/>
    <w:rsid w:val="00E33419"/>
    <w:rsid w:val="00E334EB"/>
    <w:rsid w:val="00E33F6D"/>
    <w:rsid w:val="00E34253"/>
    <w:rsid w:val="00E34342"/>
    <w:rsid w:val="00E346FF"/>
    <w:rsid w:val="00E3508B"/>
    <w:rsid w:val="00E3534E"/>
    <w:rsid w:val="00E408BD"/>
    <w:rsid w:val="00E409E1"/>
    <w:rsid w:val="00E412FF"/>
    <w:rsid w:val="00E417B7"/>
    <w:rsid w:val="00E41912"/>
    <w:rsid w:val="00E41BC9"/>
    <w:rsid w:val="00E4225F"/>
    <w:rsid w:val="00E424BB"/>
    <w:rsid w:val="00E427E3"/>
    <w:rsid w:val="00E42DB8"/>
    <w:rsid w:val="00E436BA"/>
    <w:rsid w:val="00E43C60"/>
    <w:rsid w:val="00E44A6E"/>
    <w:rsid w:val="00E44E89"/>
    <w:rsid w:val="00E44F8F"/>
    <w:rsid w:val="00E456F6"/>
    <w:rsid w:val="00E467C7"/>
    <w:rsid w:val="00E469AC"/>
    <w:rsid w:val="00E46E3C"/>
    <w:rsid w:val="00E47930"/>
    <w:rsid w:val="00E47A01"/>
    <w:rsid w:val="00E47A49"/>
    <w:rsid w:val="00E47AB7"/>
    <w:rsid w:val="00E47EDA"/>
    <w:rsid w:val="00E53A2A"/>
    <w:rsid w:val="00E53F9A"/>
    <w:rsid w:val="00E542C0"/>
    <w:rsid w:val="00E5470E"/>
    <w:rsid w:val="00E54E9F"/>
    <w:rsid w:val="00E56ACE"/>
    <w:rsid w:val="00E5726D"/>
    <w:rsid w:val="00E57E25"/>
    <w:rsid w:val="00E60CDD"/>
    <w:rsid w:val="00E60D16"/>
    <w:rsid w:val="00E60E15"/>
    <w:rsid w:val="00E60E85"/>
    <w:rsid w:val="00E616F7"/>
    <w:rsid w:val="00E618CA"/>
    <w:rsid w:val="00E6249F"/>
    <w:rsid w:val="00E62D32"/>
    <w:rsid w:val="00E62E64"/>
    <w:rsid w:val="00E6403F"/>
    <w:rsid w:val="00E64EEE"/>
    <w:rsid w:val="00E65312"/>
    <w:rsid w:val="00E65F21"/>
    <w:rsid w:val="00E66835"/>
    <w:rsid w:val="00E6718D"/>
    <w:rsid w:val="00E70F02"/>
    <w:rsid w:val="00E7157E"/>
    <w:rsid w:val="00E71BC7"/>
    <w:rsid w:val="00E72F78"/>
    <w:rsid w:val="00E73E45"/>
    <w:rsid w:val="00E753D5"/>
    <w:rsid w:val="00E75E6F"/>
    <w:rsid w:val="00E765D2"/>
    <w:rsid w:val="00E77336"/>
    <w:rsid w:val="00E801E1"/>
    <w:rsid w:val="00E80D96"/>
    <w:rsid w:val="00E827C2"/>
    <w:rsid w:val="00E82C98"/>
    <w:rsid w:val="00E832E8"/>
    <w:rsid w:val="00E838E4"/>
    <w:rsid w:val="00E83A43"/>
    <w:rsid w:val="00E85C83"/>
    <w:rsid w:val="00E86423"/>
    <w:rsid w:val="00E86D79"/>
    <w:rsid w:val="00E87EA8"/>
    <w:rsid w:val="00E9003D"/>
    <w:rsid w:val="00E913D4"/>
    <w:rsid w:val="00E91442"/>
    <w:rsid w:val="00E916C7"/>
    <w:rsid w:val="00E91B1B"/>
    <w:rsid w:val="00E91B91"/>
    <w:rsid w:val="00E921E9"/>
    <w:rsid w:val="00E937AE"/>
    <w:rsid w:val="00E94376"/>
    <w:rsid w:val="00E94EF2"/>
    <w:rsid w:val="00E94F1D"/>
    <w:rsid w:val="00E95B06"/>
    <w:rsid w:val="00E96855"/>
    <w:rsid w:val="00E97187"/>
    <w:rsid w:val="00E9737D"/>
    <w:rsid w:val="00E973BC"/>
    <w:rsid w:val="00E97A34"/>
    <w:rsid w:val="00EA023E"/>
    <w:rsid w:val="00EA066D"/>
    <w:rsid w:val="00EA0756"/>
    <w:rsid w:val="00EA1183"/>
    <w:rsid w:val="00EA134B"/>
    <w:rsid w:val="00EA179C"/>
    <w:rsid w:val="00EA1B1F"/>
    <w:rsid w:val="00EA34C9"/>
    <w:rsid w:val="00EA3815"/>
    <w:rsid w:val="00EA43CA"/>
    <w:rsid w:val="00EA4AE3"/>
    <w:rsid w:val="00EA6398"/>
    <w:rsid w:val="00EA7215"/>
    <w:rsid w:val="00EA7585"/>
    <w:rsid w:val="00EA7919"/>
    <w:rsid w:val="00EB0254"/>
    <w:rsid w:val="00EB065F"/>
    <w:rsid w:val="00EB07CC"/>
    <w:rsid w:val="00EB284B"/>
    <w:rsid w:val="00EB320F"/>
    <w:rsid w:val="00EB3324"/>
    <w:rsid w:val="00EB69DC"/>
    <w:rsid w:val="00EB6D57"/>
    <w:rsid w:val="00EB6DA4"/>
    <w:rsid w:val="00EB76C3"/>
    <w:rsid w:val="00EB7A16"/>
    <w:rsid w:val="00EB7C0D"/>
    <w:rsid w:val="00EB7EB6"/>
    <w:rsid w:val="00EC1889"/>
    <w:rsid w:val="00EC2AC8"/>
    <w:rsid w:val="00EC302A"/>
    <w:rsid w:val="00EC34C5"/>
    <w:rsid w:val="00EC38F1"/>
    <w:rsid w:val="00EC4189"/>
    <w:rsid w:val="00EC4DC0"/>
    <w:rsid w:val="00EC51F5"/>
    <w:rsid w:val="00EC5541"/>
    <w:rsid w:val="00EC58D4"/>
    <w:rsid w:val="00EC61A9"/>
    <w:rsid w:val="00EC6278"/>
    <w:rsid w:val="00EC6BF5"/>
    <w:rsid w:val="00EC7CB7"/>
    <w:rsid w:val="00ED01F0"/>
    <w:rsid w:val="00ED0A29"/>
    <w:rsid w:val="00ED1522"/>
    <w:rsid w:val="00ED2795"/>
    <w:rsid w:val="00ED2B5B"/>
    <w:rsid w:val="00ED433A"/>
    <w:rsid w:val="00ED4932"/>
    <w:rsid w:val="00ED4FAF"/>
    <w:rsid w:val="00ED601F"/>
    <w:rsid w:val="00ED6F28"/>
    <w:rsid w:val="00ED72F3"/>
    <w:rsid w:val="00ED7EA0"/>
    <w:rsid w:val="00EE04D5"/>
    <w:rsid w:val="00EE06B4"/>
    <w:rsid w:val="00EE0AEC"/>
    <w:rsid w:val="00EE1D32"/>
    <w:rsid w:val="00EE26C8"/>
    <w:rsid w:val="00EE2AEF"/>
    <w:rsid w:val="00EE393C"/>
    <w:rsid w:val="00EE3B7D"/>
    <w:rsid w:val="00EE3EA0"/>
    <w:rsid w:val="00EE610E"/>
    <w:rsid w:val="00EE6C95"/>
    <w:rsid w:val="00EE7AC7"/>
    <w:rsid w:val="00EF07AF"/>
    <w:rsid w:val="00EF0B22"/>
    <w:rsid w:val="00EF13E5"/>
    <w:rsid w:val="00EF25A3"/>
    <w:rsid w:val="00EF2AD5"/>
    <w:rsid w:val="00EF40B6"/>
    <w:rsid w:val="00EF48FE"/>
    <w:rsid w:val="00EF49C8"/>
    <w:rsid w:val="00EF4F78"/>
    <w:rsid w:val="00EF5066"/>
    <w:rsid w:val="00EF6C5D"/>
    <w:rsid w:val="00EF6F88"/>
    <w:rsid w:val="00EF73A5"/>
    <w:rsid w:val="00EF78AB"/>
    <w:rsid w:val="00F00BEC"/>
    <w:rsid w:val="00F01B7D"/>
    <w:rsid w:val="00F03812"/>
    <w:rsid w:val="00F04B58"/>
    <w:rsid w:val="00F04EE0"/>
    <w:rsid w:val="00F05D0B"/>
    <w:rsid w:val="00F065A0"/>
    <w:rsid w:val="00F06DB4"/>
    <w:rsid w:val="00F073EC"/>
    <w:rsid w:val="00F07F79"/>
    <w:rsid w:val="00F10ABA"/>
    <w:rsid w:val="00F10C47"/>
    <w:rsid w:val="00F11530"/>
    <w:rsid w:val="00F1166C"/>
    <w:rsid w:val="00F1174E"/>
    <w:rsid w:val="00F12230"/>
    <w:rsid w:val="00F1256D"/>
    <w:rsid w:val="00F13239"/>
    <w:rsid w:val="00F14438"/>
    <w:rsid w:val="00F1451A"/>
    <w:rsid w:val="00F148BE"/>
    <w:rsid w:val="00F14CD0"/>
    <w:rsid w:val="00F1544D"/>
    <w:rsid w:val="00F15CA4"/>
    <w:rsid w:val="00F161C0"/>
    <w:rsid w:val="00F165A8"/>
    <w:rsid w:val="00F16F54"/>
    <w:rsid w:val="00F175D8"/>
    <w:rsid w:val="00F20AE9"/>
    <w:rsid w:val="00F216AF"/>
    <w:rsid w:val="00F229DB"/>
    <w:rsid w:val="00F22B67"/>
    <w:rsid w:val="00F23BE3"/>
    <w:rsid w:val="00F23CAD"/>
    <w:rsid w:val="00F248F7"/>
    <w:rsid w:val="00F249C8"/>
    <w:rsid w:val="00F24D58"/>
    <w:rsid w:val="00F24DFC"/>
    <w:rsid w:val="00F24E43"/>
    <w:rsid w:val="00F25213"/>
    <w:rsid w:val="00F252A6"/>
    <w:rsid w:val="00F265D2"/>
    <w:rsid w:val="00F26A5E"/>
    <w:rsid w:val="00F3021A"/>
    <w:rsid w:val="00F3046D"/>
    <w:rsid w:val="00F31917"/>
    <w:rsid w:val="00F319BA"/>
    <w:rsid w:val="00F323B4"/>
    <w:rsid w:val="00F35CEC"/>
    <w:rsid w:val="00F36043"/>
    <w:rsid w:val="00F361DF"/>
    <w:rsid w:val="00F370EE"/>
    <w:rsid w:val="00F406A6"/>
    <w:rsid w:val="00F41E49"/>
    <w:rsid w:val="00F44358"/>
    <w:rsid w:val="00F446F6"/>
    <w:rsid w:val="00F44804"/>
    <w:rsid w:val="00F46D41"/>
    <w:rsid w:val="00F47548"/>
    <w:rsid w:val="00F47820"/>
    <w:rsid w:val="00F52124"/>
    <w:rsid w:val="00F53152"/>
    <w:rsid w:val="00F53774"/>
    <w:rsid w:val="00F537DD"/>
    <w:rsid w:val="00F539FC"/>
    <w:rsid w:val="00F53B6E"/>
    <w:rsid w:val="00F546B2"/>
    <w:rsid w:val="00F54AE5"/>
    <w:rsid w:val="00F57B21"/>
    <w:rsid w:val="00F60125"/>
    <w:rsid w:val="00F60741"/>
    <w:rsid w:val="00F61447"/>
    <w:rsid w:val="00F63506"/>
    <w:rsid w:val="00F638B8"/>
    <w:rsid w:val="00F63F0B"/>
    <w:rsid w:val="00F649B4"/>
    <w:rsid w:val="00F65820"/>
    <w:rsid w:val="00F6622C"/>
    <w:rsid w:val="00F67A60"/>
    <w:rsid w:val="00F708C7"/>
    <w:rsid w:val="00F71B87"/>
    <w:rsid w:val="00F7228C"/>
    <w:rsid w:val="00F724A9"/>
    <w:rsid w:val="00F7255F"/>
    <w:rsid w:val="00F72FE3"/>
    <w:rsid w:val="00F744DA"/>
    <w:rsid w:val="00F74BCF"/>
    <w:rsid w:val="00F75001"/>
    <w:rsid w:val="00F75708"/>
    <w:rsid w:val="00F75A6D"/>
    <w:rsid w:val="00F75BDF"/>
    <w:rsid w:val="00F769A7"/>
    <w:rsid w:val="00F76BDC"/>
    <w:rsid w:val="00F76FAC"/>
    <w:rsid w:val="00F7739F"/>
    <w:rsid w:val="00F774A2"/>
    <w:rsid w:val="00F7765D"/>
    <w:rsid w:val="00F77C90"/>
    <w:rsid w:val="00F80652"/>
    <w:rsid w:val="00F813F9"/>
    <w:rsid w:val="00F81E42"/>
    <w:rsid w:val="00F824AB"/>
    <w:rsid w:val="00F827CF"/>
    <w:rsid w:val="00F82F0E"/>
    <w:rsid w:val="00F8381B"/>
    <w:rsid w:val="00F84895"/>
    <w:rsid w:val="00F85A7F"/>
    <w:rsid w:val="00F8648C"/>
    <w:rsid w:val="00F900FA"/>
    <w:rsid w:val="00F90CD9"/>
    <w:rsid w:val="00F90D50"/>
    <w:rsid w:val="00F91121"/>
    <w:rsid w:val="00F91171"/>
    <w:rsid w:val="00F918A9"/>
    <w:rsid w:val="00F920B5"/>
    <w:rsid w:val="00F92752"/>
    <w:rsid w:val="00F93FBB"/>
    <w:rsid w:val="00F9424C"/>
    <w:rsid w:val="00F9475E"/>
    <w:rsid w:val="00F947C4"/>
    <w:rsid w:val="00F953DF"/>
    <w:rsid w:val="00F967E4"/>
    <w:rsid w:val="00F96EB3"/>
    <w:rsid w:val="00FA0838"/>
    <w:rsid w:val="00FA1906"/>
    <w:rsid w:val="00FA1A75"/>
    <w:rsid w:val="00FA1D47"/>
    <w:rsid w:val="00FA2548"/>
    <w:rsid w:val="00FA3C65"/>
    <w:rsid w:val="00FA4752"/>
    <w:rsid w:val="00FA4B94"/>
    <w:rsid w:val="00FA4C9A"/>
    <w:rsid w:val="00FA511A"/>
    <w:rsid w:val="00FA5D9F"/>
    <w:rsid w:val="00FA60B5"/>
    <w:rsid w:val="00FA7499"/>
    <w:rsid w:val="00FA76B8"/>
    <w:rsid w:val="00FA7904"/>
    <w:rsid w:val="00FB0C44"/>
    <w:rsid w:val="00FB134E"/>
    <w:rsid w:val="00FB179D"/>
    <w:rsid w:val="00FB1A40"/>
    <w:rsid w:val="00FB1C2B"/>
    <w:rsid w:val="00FB3043"/>
    <w:rsid w:val="00FB35F7"/>
    <w:rsid w:val="00FB361F"/>
    <w:rsid w:val="00FB3758"/>
    <w:rsid w:val="00FB3E89"/>
    <w:rsid w:val="00FB5043"/>
    <w:rsid w:val="00FB599A"/>
    <w:rsid w:val="00FB6604"/>
    <w:rsid w:val="00FB67F3"/>
    <w:rsid w:val="00FB6AE8"/>
    <w:rsid w:val="00FB7416"/>
    <w:rsid w:val="00FC005A"/>
    <w:rsid w:val="00FC0BA8"/>
    <w:rsid w:val="00FC1055"/>
    <w:rsid w:val="00FC14E1"/>
    <w:rsid w:val="00FC1B92"/>
    <w:rsid w:val="00FC22F0"/>
    <w:rsid w:val="00FC340A"/>
    <w:rsid w:val="00FC3898"/>
    <w:rsid w:val="00FC39BC"/>
    <w:rsid w:val="00FC3F29"/>
    <w:rsid w:val="00FC62D3"/>
    <w:rsid w:val="00FC68B6"/>
    <w:rsid w:val="00FC6C4B"/>
    <w:rsid w:val="00FC6D61"/>
    <w:rsid w:val="00FC735C"/>
    <w:rsid w:val="00FC74D3"/>
    <w:rsid w:val="00FD0261"/>
    <w:rsid w:val="00FD1D3A"/>
    <w:rsid w:val="00FD22EC"/>
    <w:rsid w:val="00FD34F9"/>
    <w:rsid w:val="00FD3512"/>
    <w:rsid w:val="00FD3AEE"/>
    <w:rsid w:val="00FD5BED"/>
    <w:rsid w:val="00FD5F80"/>
    <w:rsid w:val="00FD5FF1"/>
    <w:rsid w:val="00FD6301"/>
    <w:rsid w:val="00FD6AAD"/>
    <w:rsid w:val="00FD6CAA"/>
    <w:rsid w:val="00FD7249"/>
    <w:rsid w:val="00FD7941"/>
    <w:rsid w:val="00FE0172"/>
    <w:rsid w:val="00FE0311"/>
    <w:rsid w:val="00FE270D"/>
    <w:rsid w:val="00FE373B"/>
    <w:rsid w:val="00FE3946"/>
    <w:rsid w:val="00FE5DD2"/>
    <w:rsid w:val="00FE6176"/>
    <w:rsid w:val="00FE69D0"/>
    <w:rsid w:val="00FE6DB1"/>
    <w:rsid w:val="00FE73FC"/>
    <w:rsid w:val="00FE7ADF"/>
    <w:rsid w:val="00FE7F6E"/>
    <w:rsid w:val="00FF0BF7"/>
    <w:rsid w:val="00FF0DB1"/>
    <w:rsid w:val="00FF1D1C"/>
    <w:rsid w:val="00FF2F1B"/>
    <w:rsid w:val="00FF3A0C"/>
    <w:rsid w:val="00FF468A"/>
    <w:rsid w:val="00FF54F3"/>
    <w:rsid w:val="00FF551A"/>
    <w:rsid w:val="00FF6C40"/>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82846A3"/>
  <w15:docId w15:val="{7A6BEE4A-C52D-44A5-97AB-FA59E7E2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6"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6F5"/>
    <w:pPr>
      <w:jc w:val="both"/>
    </w:pPr>
    <w:rPr>
      <w:rFonts w:ascii="Arial" w:hAnsi="Arial"/>
      <w:sz w:val="22"/>
    </w:rPr>
  </w:style>
  <w:style w:type="paragraph" w:styleId="Heading1">
    <w:name w:val="heading 1"/>
    <w:basedOn w:val="Normal"/>
    <w:next w:val="Normal"/>
    <w:link w:val="Heading1Char"/>
    <w:uiPriority w:val="9"/>
    <w:qFormat/>
    <w:rsid w:val="00D863C8"/>
    <w:pPr>
      <w:keepNext/>
      <w:numPr>
        <w:numId w:val="7"/>
      </w:numPr>
      <w:pBdr>
        <w:bottom w:val="single" w:sz="4" w:space="1" w:color="auto"/>
      </w:pBdr>
      <w:spacing w:before="240" w:after="240" w:line="259" w:lineRule="auto"/>
      <w:ind w:left="979"/>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uiPriority w:val="9"/>
    <w:qFormat/>
    <w:rsid w:val="00D863C8"/>
    <w:pPr>
      <w:keepNext/>
      <w:numPr>
        <w:ilvl w:val="1"/>
        <w:numId w:val="7"/>
      </w:numPr>
      <w:spacing w:before="120" w:after="120" w:line="259" w:lineRule="auto"/>
      <w:jc w:val="left"/>
      <w:outlineLvl w:val="1"/>
    </w:pPr>
    <w:rPr>
      <w:rFonts w:ascii="Times New Roman Bold" w:hAnsi="Times New Roman Bold"/>
      <w:b/>
      <w:bCs/>
      <w:iCs/>
      <w:sz w:val="28"/>
      <w:szCs w:val="28"/>
    </w:rPr>
  </w:style>
  <w:style w:type="paragraph" w:styleId="Heading3">
    <w:name w:val="heading 3"/>
    <w:basedOn w:val="Normal"/>
    <w:next w:val="Normal"/>
    <w:link w:val="Heading3Char"/>
    <w:autoRedefine/>
    <w:uiPriority w:val="9"/>
    <w:qFormat/>
    <w:rsid w:val="001451E2"/>
    <w:pPr>
      <w:keepNext/>
      <w:numPr>
        <w:ilvl w:val="2"/>
        <w:numId w:val="7"/>
      </w:numPr>
      <w:spacing w:before="120" w:after="120" w:line="259" w:lineRule="auto"/>
      <w:ind w:left="720"/>
      <w:jc w:val="left"/>
      <w:outlineLvl w:val="2"/>
    </w:pPr>
    <w:rPr>
      <w:rFonts w:ascii="Times New Roman Bold" w:hAnsi="Times New Roman Bold"/>
      <w:b/>
      <w:bCs/>
      <w:i/>
      <w:sz w:val="24"/>
      <w:szCs w:val="24"/>
    </w:rPr>
  </w:style>
  <w:style w:type="paragraph" w:styleId="Heading4">
    <w:name w:val="heading 4"/>
    <w:basedOn w:val="Normal"/>
    <w:next w:val="Normal"/>
    <w:link w:val="Heading4Char"/>
    <w:autoRedefine/>
    <w:uiPriority w:val="9"/>
    <w:qFormat/>
    <w:rsid w:val="007A06A3"/>
    <w:pPr>
      <w:keepNext/>
      <w:numPr>
        <w:ilvl w:val="3"/>
        <w:numId w:val="7"/>
      </w:numPr>
      <w:spacing w:line="259" w:lineRule="auto"/>
      <w:outlineLvl w:val="3"/>
    </w:pPr>
    <w:rPr>
      <w:rFonts w:ascii="Times New Roman Bold" w:hAnsi="Times New Roman Bold"/>
      <w:b/>
      <w:bCs/>
      <w:sz w:val="24"/>
      <w:szCs w:val="28"/>
    </w:rPr>
  </w:style>
  <w:style w:type="paragraph" w:styleId="Heading5">
    <w:name w:val="heading 5"/>
    <w:basedOn w:val="Normal"/>
    <w:next w:val="Normal"/>
    <w:link w:val="Heading5Char"/>
    <w:rsid w:val="00E94376"/>
    <w:pPr>
      <w:numPr>
        <w:ilvl w:val="4"/>
        <w:numId w:val="7"/>
      </w:numPr>
      <w:spacing w:before="240" w:after="60"/>
      <w:outlineLvl w:val="4"/>
    </w:pPr>
    <w:rPr>
      <w:b/>
      <w:bCs/>
      <w:iCs/>
      <w:sz w:val="24"/>
      <w:szCs w:val="26"/>
    </w:rPr>
  </w:style>
  <w:style w:type="paragraph" w:styleId="Heading6">
    <w:name w:val="heading 6"/>
    <w:basedOn w:val="Normal"/>
    <w:next w:val="Normal"/>
    <w:link w:val="Heading6Char"/>
    <w:uiPriority w:val="9"/>
    <w:qFormat/>
    <w:rsid w:val="00E94376"/>
    <w:pPr>
      <w:numPr>
        <w:ilvl w:val="5"/>
        <w:numId w:val="7"/>
      </w:numPr>
      <w:spacing w:before="240" w:after="60"/>
      <w:outlineLvl w:val="5"/>
    </w:pPr>
    <w:rPr>
      <w:b/>
      <w:bCs/>
      <w:sz w:val="24"/>
      <w:szCs w:val="22"/>
    </w:rPr>
  </w:style>
  <w:style w:type="paragraph" w:styleId="Heading7">
    <w:name w:val="heading 7"/>
    <w:basedOn w:val="Normal"/>
    <w:next w:val="Normal"/>
    <w:link w:val="Heading7Char"/>
    <w:rsid w:val="00E94376"/>
    <w:pPr>
      <w:numPr>
        <w:ilvl w:val="6"/>
        <w:numId w:val="7"/>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863C8"/>
    <w:rPr>
      <w:rFonts w:ascii="Times New Roman Bold" w:hAnsi="Times New Roman Bold"/>
      <w:b/>
      <w:bCs/>
      <w:kern w:val="32"/>
      <w:sz w:val="32"/>
      <w:szCs w:val="32"/>
    </w:rPr>
  </w:style>
  <w:style w:type="character" w:customStyle="1" w:styleId="Heading2Char">
    <w:name w:val="Heading 2 Char"/>
    <w:link w:val="Heading2"/>
    <w:uiPriority w:val="9"/>
    <w:rsid w:val="00D863C8"/>
    <w:rPr>
      <w:rFonts w:ascii="Times New Roman Bold" w:hAnsi="Times New Roman Bold"/>
      <w:b/>
      <w:bCs/>
      <w:iCs/>
      <w:sz w:val="28"/>
      <w:szCs w:val="28"/>
    </w:rPr>
  </w:style>
  <w:style w:type="character" w:customStyle="1" w:styleId="Heading3Char">
    <w:name w:val="Heading 3 Char"/>
    <w:link w:val="Heading3"/>
    <w:uiPriority w:val="9"/>
    <w:rsid w:val="001451E2"/>
    <w:rPr>
      <w:rFonts w:ascii="Times New Roman Bold" w:hAnsi="Times New Roman Bold"/>
      <w:b/>
      <w:bCs/>
      <w:i/>
      <w:sz w:val="24"/>
      <w:szCs w:val="24"/>
    </w:rPr>
  </w:style>
  <w:style w:type="character" w:customStyle="1" w:styleId="Heading4Char">
    <w:name w:val="Heading 4 Char"/>
    <w:link w:val="Heading4"/>
    <w:uiPriority w:val="9"/>
    <w:rsid w:val="007A06A3"/>
    <w:rPr>
      <w:rFonts w:ascii="Times New Roman Bold" w:hAnsi="Times New Roman Bold"/>
      <w:b/>
      <w:bCs/>
      <w:sz w:val="24"/>
      <w:szCs w:val="28"/>
    </w:rPr>
  </w:style>
  <w:style w:type="character" w:customStyle="1" w:styleId="Heading5Char">
    <w:name w:val="Heading 5 Char"/>
    <w:link w:val="Heading5"/>
    <w:rsid w:val="00CD782F"/>
    <w:rPr>
      <w:rFonts w:ascii="Arial" w:hAnsi="Arial"/>
      <w:b/>
      <w:bCs/>
      <w:iCs/>
      <w:sz w:val="24"/>
      <w:szCs w:val="26"/>
    </w:rPr>
  </w:style>
  <w:style w:type="character" w:customStyle="1" w:styleId="Heading6Char">
    <w:name w:val="Heading 6 Char"/>
    <w:link w:val="Heading6"/>
    <w:uiPriority w:val="9"/>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b/>
      <w:sz w:val="24"/>
      <w:szCs w:val="22"/>
    </w:rPr>
  </w:style>
  <w:style w:type="paragraph" w:styleId="TOC1">
    <w:name w:val="toc 1"/>
    <w:basedOn w:val="Normal"/>
    <w:next w:val="Normal"/>
    <w:autoRedefine/>
    <w:uiPriority w:val="39"/>
    <w:qFormat/>
    <w:rsid w:val="0078497D"/>
    <w:pPr>
      <w:tabs>
        <w:tab w:val="right" w:leader="dot" w:pos="10070"/>
      </w:tabs>
      <w:spacing w:after="60"/>
    </w:pPr>
    <w:rPr>
      <w:rFonts w:ascii="Times New Roman Bold" w:hAnsi="Times New Roman Bold"/>
      <w:b/>
      <w:noProof/>
      <w:sz w:val="28"/>
      <w:szCs w:val="24"/>
    </w:rPr>
  </w:style>
  <w:style w:type="paragraph" w:customStyle="1" w:styleId="Table">
    <w:name w:val="Table"/>
    <w:next w:val="BodyText"/>
    <w:link w:val="TableChar"/>
    <w:qFormat/>
    <w:rsid w:val="00AB0749"/>
    <w:pPr>
      <w:spacing w:before="60" w:after="60"/>
      <w:jc w:val="center"/>
    </w:pPr>
    <w:rPr>
      <w:rFonts w:ascii="Times New Roman Bold" w:hAnsi="Times New Roman Bold"/>
      <w:b/>
      <w:sz w:val="24"/>
      <w:szCs w:val="22"/>
    </w:rPr>
  </w:style>
  <w:style w:type="paragraph" w:styleId="BodyText">
    <w:name w:val="Body Text"/>
    <w:basedOn w:val="Normal"/>
    <w:next w:val="Normal"/>
    <w:link w:val="BodyTextChar"/>
    <w:qFormat/>
    <w:rsid w:val="00D863C8"/>
    <w:pPr>
      <w:spacing w:after="240" w:line="259" w:lineRule="auto"/>
      <w:jc w:val="left"/>
    </w:pPr>
    <w:rPr>
      <w:rFonts w:ascii="Times New Roman" w:hAnsi="Times New Roman"/>
      <w:sz w:val="24"/>
    </w:rPr>
  </w:style>
  <w:style w:type="character" w:customStyle="1" w:styleId="BodyTextChar">
    <w:name w:val="Body Text Char"/>
    <w:link w:val="BodyText"/>
    <w:rsid w:val="00D863C8"/>
    <w:rPr>
      <w:sz w:val="24"/>
    </w:rPr>
  </w:style>
  <w:style w:type="paragraph" w:customStyle="1" w:styleId="Figure">
    <w:name w:val="Figure"/>
    <w:next w:val="BodyText"/>
    <w:autoRedefine/>
    <w:qFormat/>
    <w:rsid w:val="000B5502"/>
    <w:pPr>
      <w:spacing w:after="60"/>
      <w:jc w:val="center"/>
    </w:pPr>
    <w:rPr>
      <w:rFonts w:ascii="Times New Roman Bold" w:hAnsi="Times New Roman Bold"/>
      <w:b/>
      <w:sz w:val="24"/>
      <w:szCs w:val="22"/>
    </w:rPr>
  </w:style>
  <w:style w:type="paragraph" w:styleId="Caption">
    <w:name w:val="caption"/>
    <w:basedOn w:val="Table"/>
    <w:next w:val="Normal"/>
    <w:link w:val="CaptionChar"/>
    <w:uiPriority w:val="35"/>
    <w:qFormat/>
    <w:rsid w:val="00E32126"/>
  </w:style>
  <w:style w:type="paragraph" w:styleId="Header">
    <w:name w:val="header"/>
    <w:basedOn w:val="Normal"/>
    <w:link w:val="HeaderChar"/>
    <w:uiPriority w:val="99"/>
    <w:qFormat/>
    <w:rsid w:val="009936B6"/>
    <w:pPr>
      <w:tabs>
        <w:tab w:val="center" w:pos="4680"/>
        <w:tab w:val="right" w:pos="9360"/>
      </w:tabs>
      <w:jc w:val="center"/>
    </w:pPr>
    <w:rPr>
      <w:rFonts w:ascii="Times New Roman" w:hAnsi="Times New Roman"/>
      <w:i/>
      <w:sz w:val="20"/>
    </w:rPr>
  </w:style>
  <w:style w:type="paragraph" w:styleId="Footer">
    <w:name w:val="footer"/>
    <w:basedOn w:val="Normal"/>
    <w:link w:val="FooterChar"/>
    <w:uiPriority w:val="99"/>
    <w:qFormat/>
    <w:rsid w:val="00E80D96"/>
    <w:pPr>
      <w:tabs>
        <w:tab w:val="center" w:pos="4680"/>
        <w:tab w:val="right" w:pos="9360"/>
      </w:tabs>
      <w:jc w:val="center"/>
    </w:pPr>
    <w:rPr>
      <w:rFonts w:ascii="Times New Roman" w:hAnsi="Times New Roman"/>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78497D"/>
    <w:pPr>
      <w:tabs>
        <w:tab w:val="left" w:pos="1080"/>
        <w:tab w:val="right" w:leader="dot" w:pos="10070"/>
      </w:tabs>
      <w:spacing w:before="60" w:after="60"/>
      <w:ind w:left="1094" w:hanging="547"/>
      <w:jc w:val="left"/>
    </w:pPr>
    <w:rPr>
      <w:rFonts w:ascii="Times New Roman" w:hAnsi="Times New Roman"/>
      <w:b/>
      <w:noProof/>
      <w:sz w:val="24"/>
      <w:szCs w:val="24"/>
    </w:rPr>
  </w:style>
  <w:style w:type="paragraph" w:styleId="TOC3">
    <w:name w:val="toc 3"/>
    <w:basedOn w:val="Normal"/>
    <w:next w:val="Normal"/>
    <w:autoRedefine/>
    <w:uiPriority w:val="39"/>
    <w:qFormat/>
    <w:rsid w:val="00C011AC"/>
    <w:pPr>
      <w:tabs>
        <w:tab w:val="left" w:pos="1620"/>
        <w:tab w:val="right" w:leader="dot" w:pos="10070"/>
      </w:tabs>
      <w:spacing w:after="40"/>
      <w:ind w:left="720" w:firstLine="180"/>
    </w:pPr>
    <w:rPr>
      <w:rFonts w:ascii="Times New Roman" w:hAnsi="Times New Roman"/>
      <w:noProof/>
      <w:sz w:val="24"/>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557520"/>
    <w:pPr>
      <w:tabs>
        <w:tab w:val="right" w:leader="dot" w:pos="10070"/>
      </w:tabs>
      <w:spacing w:after="60"/>
      <w:ind w:left="1354" w:hanging="1354"/>
      <w:jc w:val="left"/>
    </w:pPr>
    <w:rPr>
      <w:rFonts w:ascii="Times New Roman" w:eastAsiaTheme="minorEastAsia" w:hAnsi="Times New Roman" w:cstheme="minorBidi"/>
      <w:noProof/>
      <w:sz w:val="24"/>
      <w:szCs w:val="22"/>
    </w:rPr>
  </w:style>
  <w:style w:type="paragraph" w:customStyle="1" w:styleId="Style9ptCentered">
    <w:name w:val="Style 9 pt Centered"/>
    <w:basedOn w:val="Normal"/>
    <w:rsid w:val="00687E5D"/>
    <w:pPr>
      <w:jc w:val="center"/>
    </w:pPr>
    <w:rPr>
      <w:rFonts w:ascii="Times New Roman" w:hAnsi="Times New Roman"/>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qFormat/>
    <w:rsid w:val="00356C44"/>
    <w:pPr>
      <w:numPr>
        <w:numId w:val="1"/>
      </w:numPr>
      <w:spacing w:after="240" w:line="276" w:lineRule="auto"/>
      <w:ind w:right="864"/>
      <w:jc w:val="left"/>
    </w:pPr>
    <w:rPr>
      <w:rFonts w:ascii="Times New Roman" w:hAnsi="Times New Roman"/>
      <w:sz w:val="24"/>
    </w:r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3D1E04"/>
    <w:pPr>
      <w:tabs>
        <w:tab w:val="clear" w:pos="4680"/>
        <w:tab w:val="clear" w:pos="9360"/>
      </w:tabs>
      <w:jc w:val="left"/>
    </w:pPr>
    <w:rPr>
      <w:i w:val="0"/>
    </w:rPr>
  </w:style>
  <w:style w:type="character" w:customStyle="1" w:styleId="TableTextChar">
    <w:name w:val="Table Text Char"/>
    <w:link w:val="TableText"/>
    <w:rsid w:val="003D1E04"/>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rsid w:val="00AD2582"/>
    <w:pPr>
      <w:numPr>
        <w:numId w:val="5"/>
      </w:numPr>
      <w:tabs>
        <w:tab w:val="num" w:pos="432"/>
      </w:tabs>
      <w:spacing w:after="240" w:line="360" w:lineRule="auto"/>
      <w:jc w:val="left"/>
    </w:pPr>
    <w:rPr>
      <w:rFonts w:ascii="Times New Roman" w:hAnsi="Times New Roman"/>
      <w:i/>
      <w:sz w:val="24"/>
    </w:rPr>
  </w:style>
  <w:style w:type="paragraph" w:customStyle="1" w:styleId="Bodytextreduced">
    <w:name w:val="Body text reduced"/>
    <w:basedOn w:val="Normal"/>
    <w:qFormat/>
    <w:rsid w:val="007A76BB"/>
    <w:rPr>
      <w:rFonts w:ascii="Times New Roman" w:hAnsi="Times New Roman"/>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rsid w:val="00170E2F"/>
    <w:pPr>
      <w:numPr>
        <w:numId w:val="4"/>
      </w:numPr>
      <w:spacing w:after="240"/>
      <w:ind w:right="605"/>
    </w:pPr>
    <w:rPr>
      <w:rFonts w:ascii="Times New Roman" w:hAnsi="Times New Roman" w:cs="Arial"/>
      <w:i/>
      <w:sz w:val="24"/>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jc w:val="left"/>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qFormat/>
    <w:rsid w:val="0017324D"/>
    <w:pPr>
      <w:numPr>
        <w:ilvl w:val="0"/>
        <w:numId w:val="0"/>
      </w:numPr>
      <w:tabs>
        <w:tab w:val="left" w:pos="360"/>
      </w:tabs>
      <w:spacing w:before="0" w:after="0"/>
      <w:ind w:left="1008" w:hanging="1008"/>
      <w:jc w:val="center"/>
    </w:pPr>
    <w:rPr>
      <w:rFonts w:ascii="Arial" w:hAnsi="Arial"/>
      <w:bCs w:val="0"/>
      <w:i w:val="0"/>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Normal"/>
    <w:rsid w:val="00995E7B"/>
    <w:pPr>
      <w:spacing w:before="360" w:after="240"/>
      <w:jc w:val="center"/>
    </w:pPr>
    <w:rPr>
      <w:rFonts w:ascii="Times New Roman Bold" w:hAnsi="Times New Roman Bold"/>
      <w:b/>
      <w:bCs/>
      <w:caps/>
      <w:sz w:val="28"/>
    </w:rPr>
  </w:style>
  <w:style w:type="paragraph" w:customStyle="1" w:styleId="StyleHeading1Left0Firstline0">
    <w:name w:val="Style Heading 1 + Left:  0&quot; First line:  0&quot;"/>
    <w:basedOn w:val="Heading1"/>
    <w:link w:val="StyleHeading1Left0Firstline0Char"/>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jc w:val="left"/>
    </w:pPr>
    <w:rPr>
      <w:rFonts w:ascii="Times New Roman Bold" w:hAnsi="Times New Roman Bold"/>
      <w:b/>
      <w:smallCaps/>
      <w:sz w:val="28"/>
    </w:rPr>
  </w:style>
  <w:style w:type="paragraph" w:customStyle="1" w:styleId="ListNumbered">
    <w:name w:val="List Numbered"/>
    <w:basedOn w:val="ListBullet"/>
    <w:next w:val="BodyText"/>
    <w:qFormat/>
    <w:rsid w:val="0021364C"/>
    <w:pPr>
      <w:numPr>
        <w:numId w:val="8"/>
      </w:numPr>
      <w:spacing w:line="259" w:lineRule="auto"/>
      <w:ind w:left="1224" w:right="720"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link w:val="Heading1BChar"/>
    <w:rsid w:val="001C18F3"/>
  </w:style>
  <w:style w:type="paragraph" w:customStyle="1" w:styleId="Tablecolheader">
    <w:name w:val="Table colheader"/>
    <w:basedOn w:val="TableText"/>
    <w:qFormat/>
    <w:rsid w:val="007E6F49"/>
    <w:pPr>
      <w:jc w:val="center"/>
    </w:pPr>
    <w:rPr>
      <w:rFonts w:ascii="Times New Roman Bold" w:hAnsi="Times New Roman Bold"/>
      <w:b/>
    </w:rPr>
  </w:style>
  <w:style w:type="paragraph" w:customStyle="1" w:styleId="Heading2B">
    <w:name w:val="Heading 2B"/>
    <w:basedOn w:val="Heading1B"/>
    <w:link w:val="Heading2BChar"/>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colheader0">
    <w:name w:val="Table col header"/>
    <w:basedOn w:val="Normal"/>
    <w:qFormat/>
    <w:rsid w:val="00EA6398"/>
    <w:pPr>
      <w:jc w:val="center"/>
    </w:pPr>
    <w:rPr>
      <w:rFonts w:ascii="Times New Roman Bold" w:hAnsi="Times New Roman Bold"/>
      <w:b/>
      <w:sz w:val="20"/>
      <w:szCs w:val="22"/>
    </w:rPr>
  </w:style>
  <w:style w:type="paragraph" w:styleId="NormalWeb">
    <w:name w:val="Normal (Web)"/>
    <w:basedOn w:val="Normal"/>
    <w:uiPriority w:val="99"/>
    <w:unhideWhenUsed/>
    <w:rsid w:val="00AF0F01"/>
    <w:pPr>
      <w:spacing w:before="100" w:beforeAutospacing="1" w:after="100" w:afterAutospacing="1"/>
      <w:jc w:val="left"/>
    </w:pPr>
    <w:rPr>
      <w:rFonts w:ascii="Times New Roman" w:hAnsi="Times New Roman"/>
      <w:sz w:val="24"/>
      <w:szCs w:val="24"/>
    </w:rPr>
  </w:style>
  <w:style w:type="paragraph" w:styleId="Title">
    <w:name w:val="Title"/>
    <w:aliases w:val="Figure Heading"/>
    <w:basedOn w:val="Normal"/>
    <w:next w:val="Normal"/>
    <w:link w:val="TitleChar"/>
    <w:qFormat/>
    <w:rsid w:val="00A53764"/>
    <w:pPr>
      <w:contextualSpacing/>
      <w:jc w:val="center"/>
    </w:pPr>
    <w:rPr>
      <w:rFonts w:ascii="Times New Roman" w:eastAsiaTheme="majorEastAsia" w:hAnsi="Times New Roman" w:cstheme="majorBidi"/>
      <w:b/>
      <w:spacing w:val="-10"/>
      <w:kern w:val="28"/>
      <w:sz w:val="24"/>
      <w:szCs w:val="56"/>
    </w:rPr>
  </w:style>
  <w:style w:type="character" w:customStyle="1" w:styleId="TitleChar">
    <w:name w:val="Title Char"/>
    <w:aliases w:val="Figure Heading Char"/>
    <w:basedOn w:val="DefaultParagraphFont"/>
    <w:link w:val="Title"/>
    <w:rsid w:val="00A53764"/>
    <w:rPr>
      <w:rFonts w:eastAsiaTheme="majorEastAsia" w:cstheme="majorBidi"/>
      <w:b/>
      <w:spacing w:val="-10"/>
      <w:kern w:val="28"/>
      <w:sz w:val="24"/>
      <w:szCs w:val="56"/>
    </w:rPr>
  </w:style>
  <w:style w:type="paragraph" w:customStyle="1" w:styleId="Bullet">
    <w:name w:val="Bullet"/>
    <w:basedOn w:val="ListParagraph"/>
    <w:link w:val="BulletChar"/>
    <w:qFormat/>
    <w:rsid w:val="005A4BA7"/>
    <w:pPr>
      <w:numPr>
        <w:numId w:val="9"/>
      </w:numPr>
      <w:spacing w:after="240" w:line="259" w:lineRule="auto"/>
      <w:ind w:right="720"/>
    </w:pPr>
    <w:rPr>
      <w:rFonts w:ascii="Times New Roman" w:eastAsiaTheme="minorHAnsi" w:hAnsi="Times New Roman" w:cstheme="minorBidi"/>
      <w:sz w:val="24"/>
    </w:rPr>
  </w:style>
  <w:style w:type="character" w:customStyle="1" w:styleId="BulletChar">
    <w:name w:val="Bullet Char"/>
    <w:basedOn w:val="DefaultParagraphFont"/>
    <w:link w:val="Bullet"/>
    <w:rsid w:val="005A4BA7"/>
    <w:rPr>
      <w:rFonts w:eastAsiaTheme="minorHAnsi" w:cstheme="minorBidi"/>
      <w:sz w:val="24"/>
      <w:szCs w:val="22"/>
    </w:rPr>
  </w:style>
  <w:style w:type="paragraph" w:customStyle="1" w:styleId="Tablecolumnheader">
    <w:name w:val="Table column header"/>
    <w:basedOn w:val="Normal"/>
    <w:qFormat/>
    <w:rsid w:val="00273F30"/>
    <w:pPr>
      <w:autoSpaceDE w:val="0"/>
      <w:autoSpaceDN w:val="0"/>
      <w:adjustRightInd w:val="0"/>
      <w:jc w:val="center"/>
    </w:pPr>
    <w:rPr>
      <w:rFonts w:ascii="Times New Roman Bold" w:hAnsi="Times New Roman Bold" w:cs="Arial"/>
      <w:b/>
      <w:bCs/>
      <w:smallCaps/>
      <w:color w:val="000000"/>
      <w:sz w:val="20"/>
      <w:szCs w:val="18"/>
    </w:rPr>
  </w:style>
  <w:style w:type="character" w:styleId="Strong">
    <w:name w:val="Strong"/>
    <w:basedOn w:val="DefaultParagraphFont"/>
    <w:uiPriority w:val="22"/>
    <w:qFormat/>
    <w:rsid w:val="00E838E4"/>
    <w:rPr>
      <w:b/>
      <w:bCs/>
    </w:rPr>
  </w:style>
  <w:style w:type="character" w:customStyle="1" w:styleId="Mention1">
    <w:name w:val="Mention1"/>
    <w:basedOn w:val="DefaultParagraphFont"/>
    <w:uiPriority w:val="99"/>
    <w:semiHidden/>
    <w:unhideWhenUsed/>
    <w:rsid w:val="00E838E4"/>
    <w:rPr>
      <w:color w:val="2B579A"/>
      <w:shd w:val="clear" w:color="auto" w:fill="E6E6E6"/>
    </w:rPr>
  </w:style>
  <w:style w:type="paragraph" w:styleId="TOCHeading">
    <w:name w:val="TOC Heading"/>
    <w:basedOn w:val="Heading1"/>
    <w:next w:val="Normal"/>
    <w:uiPriority w:val="39"/>
    <w:unhideWhenUsed/>
    <w:qFormat/>
    <w:rsid w:val="00E838E4"/>
    <w:pPr>
      <w:keepLines/>
      <w:numPr>
        <w:numId w:val="0"/>
      </w:numPr>
      <w:pBdr>
        <w:bottom w:val="none" w:sz="0" w:space="0" w:color="auto"/>
      </w:pBdr>
      <w:spacing w:after="0"/>
      <w:jc w:val="left"/>
      <w:outlineLvl w:val="9"/>
    </w:pPr>
    <w:rPr>
      <w:rFonts w:asciiTheme="majorHAnsi" w:eastAsiaTheme="majorEastAsia" w:hAnsiTheme="majorHAnsi" w:cstheme="majorBidi"/>
      <w:b w:val="0"/>
      <w:bCs w:val="0"/>
      <w:color w:val="2E74B5" w:themeColor="accent1" w:themeShade="BF"/>
      <w:kern w:val="0"/>
    </w:rPr>
  </w:style>
  <w:style w:type="paragraph" w:customStyle="1" w:styleId="HeadingAppendix">
    <w:name w:val="Heading Appendix"/>
    <w:basedOn w:val="Normal"/>
    <w:next w:val="Heading2"/>
    <w:link w:val="HeadingAppendixChar"/>
    <w:autoRedefine/>
    <w:qFormat/>
    <w:rsid w:val="00E838E4"/>
    <w:pPr>
      <w:spacing w:after="120" w:line="259" w:lineRule="auto"/>
      <w:ind w:left="2160" w:hanging="2160"/>
      <w:jc w:val="left"/>
    </w:pPr>
    <w:rPr>
      <w:rFonts w:ascii="Times New Roman" w:eastAsiaTheme="minorHAnsi" w:hAnsi="Times New Roman"/>
      <w:b/>
      <w:sz w:val="28"/>
      <w:szCs w:val="22"/>
    </w:rPr>
  </w:style>
  <w:style w:type="character" w:customStyle="1" w:styleId="HeadingAppendixChar">
    <w:name w:val="Heading Appendix Char"/>
    <w:basedOn w:val="DefaultParagraphFont"/>
    <w:link w:val="HeadingAppendix"/>
    <w:rsid w:val="00E838E4"/>
    <w:rPr>
      <w:rFonts w:eastAsiaTheme="minorHAnsi"/>
      <w:b/>
      <w:sz w:val="28"/>
      <w:szCs w:val="22"/>
    </w:rPr>
  </w:style>
  <w:style w:type="paragraph" w:styleId="HTMLAddress">
    <w:name w:val="HTML Address"/>
    <w:basedOn w:val="Normal"/>
    <w:link w:val="HTMLAddressChar"/>
    <w:uiPriority w:val="99"/>
    <w:semiHidden/>
    <w:unhideWhenUsed/>
    <w:rsid w:val="00E838E4"/>
    <w:pPr>
      <w:jc w:val="left"/>
    </w:pPr>
    <w:rPr>
      <w:rFonts w:ascii="Times New Roman" w:eastAsiaTheme="minorHAnsi" w:hAnsi="Times New Roman" w:cstheme="minorBidi"/>
      <w:i/>
      <w:iCs/>
      <w:sz w:val="24"/>
      <w:szCs w:val="22"/>
    </w:rPr>
  </w:style>
  <w:style w:type="character" w:customStyle="1" w:styleId="HTMLAddressChar">
    <w:name w:val="HTML Address Char"/>
    <w:basedOn w:val="DefaultParagraphFont"/>
    <w:link w:val="HTMLAddress"/>
    <w:uiPriority w:val="99"/>
    <w:semiHidden/>
    <w:rsid w:val="00E838E4"/>
    <w:rPr>
      <w:rFonts w:eastAsiaTheme="minorHAnsi" w:cstheme="minorBidi"/>
      <w:i/>
      <w:iCs/>
      <w:sz w:val="24"/>
      <w:szCs w:val="22"/>
    </w:rPr>
  </w:style>
  <w:style w:type="paragraph" w:customStyle="1" w:styleId="msonormal0">
    <w:name w:val="msonormal"/>
    <w:basedOn w:val="Normal"/>
    <w:rsid w:val="0055090C"/>
    <w:pPr>
      <w:spacing w:before="100" w:beforeAutospacing="1" w:after="100" w:afterAutospacing="1"/>
      <w:jc w:val="left"/>
    </w:pPr>
    <w:rPr>
      <w:rFonts w:ascii="Times New Roman" w:hAnsi="Times New Roman"/>
      <w:sz w:val="24"/>
      <w:szCs w:val="24"/>
    </w:rPr>
  </w:style>
  <w:style w:type="paragraph" w:customStyle="1" w:styleId="xl39">
    <w:name w:val="xl39"/>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40">
    <w:name w:val="xl40"/>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44">
    <w:name w:val="xl44"/>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51">
    <w:name w:val="xl51"/>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55">
    <w:name w:val="xl55"/>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6">
    <w:name w:val="xl66"/>
    <w:basedOn w:val="Normal"/>
    <w:rsid w:val="0055090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rPr>
  </w:style>
  <w:style w:type="paragraph" w:customStyle="1" w:styleId="AppendixHeading">
    <w:name w:val="Appendix Heading"/>
    <w:basedOn w:val="Heading2B"/>
    <w:link w:val="AppendixHeadingChar"/>
    <w:qFormat/>
    <w:rsid w:val="00AC1F26"/>
    <w:pPr>
      <w:numPr>
        <w:numId w:val="11"/>
      </w:numPr>
    </w:pPr>
  </w:style>
  <w:style w:type="character" w:customStyle="1" w:styleId="StyleHeading1Left0Firstline0Char">
    <w:name w:val="Style Heading 1 + Left:  0&quot; First line:  0&quot; Char"/>
    <w:basedOn w:val="Heading1Char"/>
    <w:link w:val="StyleHeading1Left0Firstline0"/>
    <w:rsid w:val="00AC1F26"/>
    <w:rPr>
      <w:rFonts w:ascii="Times New Roman Bold" w:hAnsi="Times New Roman Bold"/>
      <w:b/>
      <w:bCs/>
      <w:kern w:val="32"/>
      <w:sz w:val="32"/>
      <w:szCs w:val="32"/>
    </w:rPr>
  </w:style>
  <w:style w:type="character" w:customStyle="1" w:styleId="Heading1BChar">
    <w:name w:val="Heading 1B Char"/>
    <w:basedOn w:val="StyleHeading1Left0Firstline0Char"/>
    <w:link w:val="Heading1B"/>
    <w:rsid w:val="00AC1F26"/>
    <w:rPr>
      <w:rFonts w:ascii="Times New Roman Bold" w:hAnsi="Times New Roman Bold"/>
      <w:b/>
      <w:bCs/>
      <w:kern w:val="32"/>
      <w:sz w:val="32"/>
      <w:szCs w:val="32"/>
    </w:rPr>
  </w:style>
  <w:style w:type="character" w:customStyle="1" w:styleId="Heading2BChar">
    <w:name w:val="Heading 2B Char"/>
    <w:basedOn w:val="Heading1BChar"/>
    <w:link w:val="Heading2B"/>
    <w:rsid w:val="00AC1F26"/>
    <w:rPr>
      <w:rFonts w:ascii="Times New Roman Bold" w:hAnsi="Times New Roman Bold"/>
      <w:b/>
      <w:bCs/>
      <w:kern w:val="32"/>
      <w:sz w:val="32"/>
      <w:szCs w:val="32"/>
    </w:rPr>
  </w:style>
  <w:style w:type="character" w:customStyle="1" w:styleId="AppendixHeadingChar">
    <w:name w:val="Appendix Heading Char"/>
    <w:basedOn w:val="Heading2BChar"/>
    <w:link w:val="AppendixHeading"/>
    <w:rsid w:val="00AC1F26"/>
    <w:rPr>
      <w:rFonts w:ascii="Times New Roman Bold" w:hAnsi="Times New Roman Bold"/>
      <w:b/>
      <w:bCs/>
      <w:kern w:val="32"/>
      <w:sz w:val="32"/>
      <w:szCs w:val="32"/>
    </w:rPr>
  </w:style>
  <w:style w:type="character" w:customStyle="1" w:styleId="UnresolvedMention1">
    <w:name w:val="Unresolved Mention1"/>
    <w:basedOn w:val="DefaultParagraphFont"/>
    <w:uiPriority w:val="99"/>
    <w:semiHidden/>
    <w:unhideWhenUsed/>
    <w:rsid w:val="00315CF0"/>
    <w:rPr>
      <w:color w:val="808080"/>
      <w:shd w:val="clear" w:color="auto" w:fill="E6E6E6"/>
    </w:rPr>
  </w:style>
  <w:style w:type="paragraph" w:customStyle="1" w:styleId="xl67">
    <w:name w:val="xl67"/>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8">
    <w:name w:val="xl68"/>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69">
    <w:name w:val="xl69"/>
    <w:basedOn w:val="Normal"/>
    <w:rsid w:val="00E44E89"/>
    <w:pPr>
      <w:spacing w:before="100" w:beforeAutospacing="1" w:after="100" w:afterAutospacing="1"/>
      <w:jc w:val="center"/>
      <w:textAlignment w:val="center"/>
    </w:pPr>
    <w:rPr>
      <w:rFonts w:ascii="Times New Roman" w:hAnsi="Times New Roman"/>
      <w:sz w:val="20"/>
    </w:rPr>
  </w:style>
  <w:style w:type="paragraph" w:customStyle="1" w:styleId="xl70">
    <w:name w:val="xl70"/>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0"/>
    </w:rPr>
  </w:style>
  <w:style w:type="paragraph" w:customStyle="1" w:styleId="xl71">
    <w:name w:val="xl71"/>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2">
    <w:name w:val="xl72"/>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4">
    <w:name w:val="xl74"/>
    <w:basedOn w:val="Normal"/>
    <w:rsid w:val="00E44E89"/>
    <w:pPr>
      <w:spacing w:before="100" w:beforeAutospacing="1" w:after="100" w:afterAutospacing="1"/>
      <w:jc w:val="center"/>
      <w:textAlignment w:val="center"/>
    </w:pPr>
    <w:rPr>
      <w:rFonts w:ascii="Times New Roman" w:hAnsi="Times New Roman"/>
      <w:sz w:val="20"/>
    </w:rPr>
  </w:style>
  <w:style w:type="paragraph" w:customStyle="1" w:styleId="xl75">
    <w:name w:val="xl75"/>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7">
    <w:name w:val="xl77"/>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78">
    <w:name w:val="xl78"/>
    <w:basedOn w:val="Normal"/>
    <w:rsid w:val="00E44E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character" w:customStyle="1" w:styleId="UnresolvedMention2">
    <w:name w:val="Unresolved Mention2"/>
    <w:basedOn w:val="DefaultParagraphFont"/>
    <w:uiPriority w:val="99"/>
    <w:semiHidden/>
    <w:unhideWhenUsed/>
    <w:rsid w:val="002F7F5A"/>
    <w:rPr>
      <w:color w:val="808080"/>
      <w:shd w:val="clear" w:color="auto" w:fill="E6E6E6"/>
    </w:rPr>
  </w:style>
  <w:style w:type="paragraph" w:customStyle="1" w:styleId="xl65">
    <w:name w:val="xl65"/>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rPr>
  </w:style>
  <w:style w:type="paragraph" w:customStyle="1" w:styleId="xl73">
    <w:name w:val="xl73"/>
    <w:basedOn w:val="Normal"/>
    <w:rsid w:val="00354C29"/>
    <w:pPr>
      <w:spacing w:before="100" w:beforeAutospacing="1" w:after="100" w:afterAutospacing="1"/>
      <w:jc w:val="left"/>
      <w:textAlignment w:val="center"/>
    </w:pPr>
    <w:rPr>
      <w:rFonts w:ascii="Times New Roman" w:hAnsi="Times New Roman"/>
      <w:sz w:val="20"/>
    </w:rPr>
  </w:style>
  <w:style w:type="paragraph" w:customStyle="1" w:styleId="xl76">
    <w:name w:val="xl76"/>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79">
    <w:name w:val="xl79"/>
    <w:basedOn w:val="Normal"/>
    <w:rsid w:val="00354C29"/>
    <w:pPr>
      <w:spacing w:before="100" w:beforeAutospacing="1" w:after="100" w:afterAutospacing="1"/>
      <w:jc w:val="left"/>
      <w:textAlignment w:val="center"/>
    </w:pPr>
    <w:rPr>
      <w:rFonts w:ascii="Times New Roman" w:hAnsi="Times New Roman"/>
      <w:sz w:val="20"/>
    </w:rPr>
  </w:style>
  <w:style w:type="paragraph" w:customStyle="1" w:styleId="xl80">
    <w:name w:val="xl80"/>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1">
    <w:name w:val="xl81"/>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2">
    <w:name w:val="xl82"/>
    <w:basedOn w:val="Normal"/>
    <w:rsid w:val="00354C29"/>
    <w:pPr>
      <w:spacing w:before="100" w:beforeAutospacing="1" w:after="100" w:afterAutospacing="1"/>
      <w:jc w:val="center"/>
      <w:textAlignment w:val="center"/>
    </w:pPr>
    <w:rPr>
      <w:rFonts w:ascii="Times New Roman" w:hAnsi="Times New Roman"/>
      <w:sz w:val="20"/>
    </w:rPr>
  </w:style>
  <w:style w:type="paragraph" w:customStyle="1" w:styleId="xl83">
    <w:name w:val="xl83"/>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4">
    <w:name w:val="xl84"/>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5">
    <w:name w:val="xl85"/>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6">
    <w:name w:val="xl86"/>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7">
    <w:name w:val="xl87"/>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8">
    <w:name w:val="xl88"/>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rPr>
  </w:style>
  <w:style w:type="paragraph" w:customStyle="1" w:styleId="xl89">
    <w:name w:val="xl89"/>
    <w:basedOn w:val="Normal"/>
    <w:rsid w:val="00354C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0"/>
    </w:rPr>
  </w:style>
  <w:style w:type="paragraph" w:customStyle="1" w:styleId="Tabletext0">
    <w:name w:val="Table text"/>
    <w:basedOn w:val="Normal"/>
    <w:qFormat/>
    <w:rsid w:val="009F1E99"/>
    <w:pPr>
      <w:jc w:val="center"/>
    </w:pPr>
    <w:rPr>
      <w:rFonts w:ascii="Times New Roman" w:eastAsiaTheme="majorEastAsia" w:hAnsi="Times New Roman" w:cstheme="majorBidi"/>
      <w:bCs/>
      <w:sz w:val="20"/>
      <w:szCs w:val="22"/>
    </w:rPr>
  </w:style>
  <w:style w:type="table" w:styleId="MediumShading1-Accent5">
    <w:name w:val="Medium Shading 1 Accent 5"/>
    <w:basedOn w:val="TableNormal"/>
    <w:uiPriority w:val="63"/>
    <w:rsid w:val="009F1E99"/>
    <w:rPr>
      <w:rFonts w:asciiTheme="minorHAnsi" w:eastAsiaTheme="minorHAnsi" w:hAnsiTheme="minorHAnsi" w:cstheme="minorBidi"/>
      <w:sz w:val="22"/>
      <w:szCs w:val="22"/>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Ref">
    <w:name w:val="Ref"/>
    <w:basedOn w:val="Normal"/>
    <w:qFormat/>
    <w:rsid w:val="009F1E99"/>
    <w:pPr>
      <w:spacing w:after="240" w:line="259" w:lineRule="auto"/>
      <w:ind w:left="720" w:hanging="720"/>
      <w:jc w:val="left"/>
    </w:pPr>
    <w:rPr>
      <w:rFonts w:ascii="Times New Roman" w:eastAsiaTheme="minorHAnsi" w:hAnsi="Times New Roman" w:cstheme="minorBidi"/>
      <w:sz w:val="24"/>
      <w:szCs w:val="22"/>
    </w:rPr>
  </w:style>
  <w:style w:type="paragraph" w:customStyle="1" w:styleId="BodyText1">
    <w:name w:val="Body Text1"/>
    <w:basedOn w:val="Normal"/>
    <w:qFormat/>
    <w:rsid w:val="00E1600A"/>
    <w:pPr>
      <w:spacing w:after="240" w:line="276" w:lineRule="auto"/>
    </w:pPr>
    <w:rPr>
      <w:rFonts w:ascii="Times New Roman" w:eastAsiaTheme="minorHAnsi" w:hAnsi="Times New Roman" w:cstheme="minorBidi"/>
      <w:sz w:val="24"/>
      <w:szCs w:val="22"/>
    </w:rPr>
  </w:style>
  <w:style w:type="paragraph" w:customStyle="1" w:styleId="Bodytextnospace">
    <w:name w:val="Body text no space"/>
    <w:basedOn w:val="Quote"/>
    <w:qFormat/>
    <w:rsid w:val="00E1600A"/>
    <w:pPr>
      <w:spacing w:before="0" w:after="240" w:line="360" w:lineRule="auto"/>
      <w:ind w:left="0" w:right="0"/>
      <w:jc w:val="left"/>
    </w:pPr>
    <w:rPr>
      <w:rFonts w:ascii="Times New Roman" w:eastAsiaTheme="minorHAnsi" w:hAnsi="Times New Roman" w:cstheme="minorBidi"/>
      <w:i w:val="0"/>
      <w:color w:val="000000" w:themeColor="text1"/>
      <w:sz w:val="24"/>
      <w:szCs w:val="22"/>
    </w:rPr>
  </w:style>
  <w:style w:type="paragraph" w:styleId="Quote">
    <w:name w:val="Quote"/>
    <w:basedOn w:val="Normal"/>
    <w:next w:val="Normal"/>
    <w:link w:val="QuoteChar"/>
    <w:uiPriority w:val="29"/>
    <w:qFormat/>
    <w:rsid w:val="00E160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600A"/>
    <w:rPr>
      <w:rFonts w:ascii="Arial" w:hAnsi="Arial"/>
      <w:i/>
      <w:iCs/>
      <w:color w:val="404040" w:themeColor="text1" w:themeTint="BF"/>
      <w:sz w:val="22"/>
    </w:rPr>
  </w:style>
  <w:style w:type="character" w:customStyle="1" w:styleId="TableChar">
    <w:name w:val="Table Char"/>
    <w:basedOn w:val="DefaultParagraphFont"/>
    <w:link w:val="Table"/>
    <w:rsid w:val="00E1600A"/>
    <w:rPr>
      <w:rFonts w:ascii="Times New Roman Bold" w:hAnsi="Times New Roman Bold"/>
      <w:b/>
      <w:sz w:val="24"/>
      <w:szCs w:val="22"/>
    </w:rPr>
  </w:style>
  <w:style w:type="character" w:customStyle="1" w:styleId="CaptionChar">
    <w:name w:val="Caption Char"/>
    <w:link w:val="Caption"/>
    <w:uiPriority w:val="35"/>
    <w:rsid w:val="0073086E"/>
    <w:rPr>
      <w:rFonts w:ascii="Times New Roman Bold" w:hAnsi="Times New Roman Bold"/>
      <w:b/>
      <w:sz w:val="24"/>
      <w:szCs w:val="22"/>
    </w:rPr>
  </w:style>
  <w:style w:type="paragraph" w:customStyle="1" w:styleId="Bodytextsupersmall">
    <w:name w:val="Body text supersmall"/>
    <w:basedOn w:val="Bodytextreduced"/>
    <w:qFormat/>
    <w:rsid w:val="0073086E"/>
    <w:rPr>
      <w:sz w:val="8"/>
      <w:lang w:val="x-none" w:eastAsia="x-none"/>
    </w:rPr>
  </w:style>
  <w:style w:type="character" w:customStyle="1" w:styleId="font121">
    <w:name w:val="font121"/>
    <w:basedOn w:val="DefaultParagraphFont"/>
    <w:rsid w:val="0073086E"/>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39400956">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70127800">
      <w:bodyDiv w:val="1"/>
      <w:marLeft w:val="0"/>
      <w:marRight w:val="0"/>
      <w:marTop w:val="0"/>
      <w:marBottom w:val="0"/>
      <w:divBdr>
        <w:top w:val="none" w:sz="0" w:space="0" w:color="auto"/>
        <w:left w:val="none" w:sz="0" w:space="0" w:color="auto"/>
        <w:bottom w:val="none" w:sz="0" w:space="0" w:color="auto"/>
        <w:right w:val="none" w:sz="0" w:space="0" w:color="auto"/>
      </w:divBdr>
    </w:div>
    <w:div w:id="84039689">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184289337">
      <w:bodyDiv w:val="1"/>
      <w:marLeft w:val="0"/>
      <w:marRight w:val="0"/>
      <w:marTop w:val="0"/>
      <w:marBottom w:val="0"/>
      <w:divBdr>
        <w:top w:val="none" w:sz="0" w:space="0" w:color="auto"/>
        <w:left w:val="none" w:sz="0" w:space="0" w:color="auto"/>
        <w:bottom w:val="none" w:sz="0" w:space="0" w:color="auto"/>
        <w:right w:val="none" w:sz="0" w:space="0" w:color="auto"/>
      </w:divBdr>
    </w:div>
    <w:div w:id="184560102">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327515737">
      <w:bodyDiv w:val="1"/>
      <w:marLeft w:val="0"/>
      <w:marRight w:val="0"/>
      <w:marTop w:val="0"/>
      <w:marBottom w:val="0"/>
      <w:divBdr>
        <w:top w:val="none" w:sz="0" w:space="0" w:color="auto"/>
        <w:left w:val="none" w:sz="0" w:space="0" w:color="auto"/>
        <w:bottom w:val="none" w:sz="0" w:space="0" w:color="auto"/>
        <w:right w:val="none" w:sz="0" w:space="0" w:color="auto"/>
      </w:divBdr>
    </w:div>
    <w:div w:id="351225687">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69963055">
      <w:bodyDiv w:val="1"/>
      <w:marLeft w:val="0"/>
      <w:marRight w:val="0"/>
      <w:marTop w:val="0"/>
      <w:marBottom w:val="0"/>
      <w:divBdr>
        <w:top w:val="none" w:sz="0" w:space="0" w:color="auto"/>
        <w:left w:val="none" w:sz="0" w:space="0" w:color="auto"/>
        <w:bottom w:val="none" w:sz="0" w:space="0" w:color="auto"/>
        <w:right w:val="none" w:sz="0" w:space="0" w:color="auto"/>
      </w:divBdr>
    </w:div>
    <w:div w:id="375089026">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790592422">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54920408">
      <w:bodyDiv w:val="1"/>
      <w:marLeft w:val="0"/>
      <w:marRight w:val="0"/>
      <w:marTop w:val="0"/>
      <w:marBottom w:val="0"/>
      <w:divBdr>
        <w:top w:val="none" w:sz="0" w:space="0" w:color="auto"/>
        <w:left w:val="none" w:sz="0" w:space="0" w:color="auto"/>
        <w:bottom w:val="none" w:sz="0" w:space="0" w:color="auto"/>
        <w:right w:val="none" w:sz="0" w:space="0" w:color="auto"/>
      </w:divBdr>
    </w:div>
    <w:div w:id="941914413">
      <w:bodyDiv w:val="1"/>
      <w:marLeft w:val="0"/>
      <w:marRight w:val="0"/>
      <w:marTop w:val="0"/>
      <w:marBottom w:val="0"/>
      <w:divBdr>
        <w:top w:val="none" w:sz="0" w:space="0" w:color="auto"/>
        <w:left w:val="none" w:sz="0" w:space="0" w:color="auto"/>
        <w:bottom w:val="none" w:sz="0" w:space="0" w:color="auto"/>
        <w:right w:val="none" w:sz="0" w:space="0" w:color="auto"/>
      </w:divBdr>
    </w:div>
    <w:div w:id="970481280">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1007487095">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24400565">
      <w:bodyDiv w:val="1"/>
      <w:marLeft w:val="0"/>
      <w:marRight w:val="0"/>
      <w:marTop w:val="0"/>
      <w:marBottom w:val="0"/>
      <w:divBdr>
        <w:top w:val="none" w:sz="0" w:space="0" w:color="auto"/>
        <w:left w:val="none" w:sz="0" w:space="0" w:color="auto"/>
        <w:bottom w:val="none" w:sz="0" w:space="0" w:color="auto"/>
        <w:right w:val="none" w:sz="0" w:space="0" w:color="auto"/>
      </w:divBdr>
    </w:div>
    <w:div w:id="1068842370">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24103762">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57748199">
      <w:bodyDiv w:val="1"/>
      <w:marLeft w:val="0"/>
      <w:marRight w:val="0"/>
      <w:marTop w:val="0"/>
      <w:marBottom w:val="0"/>
      <w:divBdr>
        <w:top w:val="none" w:sz="0" w:space="0" w:color="auto"/>
        <w:left w:val="none" w:sz="0" w:space="0" w:color="auto"/>
        <w:bottom w:val="none" w:sz="0" w:space="0" w:color="auto"/>
        <w:right w:val="none" w:sz="0" w:space="0" w:color="auto"/>
      </w:divBdr>
    </w:div>
    <w:div w:id="1479880292">
      <w:bodyDiv w:val="1"/>
      <w:marLeft w:val="0"/>
      <w:marRight w:val="0"/>
      <w:marTop w:val="0"/>
      <w:marBottom w:val="0"/>
      <w:divBdr>
        <w:top w:val="none" w:sz="0" w:space="0" w:color="auto"/>
        <w:left w:val="none" w:sz="0" w:space="0" w:color="auto"/>
        <w:bottom w:val="none" w:sz="0" w:space="0" w:color="auto"/>
        <w:right w:val="none" w:sz="0" w:space="0" w:color="auto"/>
      </w:divBdr>
    </w:div>
    <w:div w:id="1588467255">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63503011">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56860631">
      <w:bodyDiv w:val="1"/>
      <w:marLeft w:val="0"/>
      <w:marRight w:val="0"/>
      <w:marTop w:val="0"/>
      <w:marBottom w:val="0"/>
      <w:divBdr>
        <w:top w:val="none" w:sz="0" w:space="0" w:color="auto"/>
        <w:left w:val="none" w:sz="0" w:space="0" w:color="auto"/>
        <w:bottom w:val="none" w:sz="0" w:space="0" w:color="auto"/>
        <w:right w:val="none" w:sz="0" w:space="0" w:color="auto"/>
      </w:divBdr>
    </w:div>
    <w:div w:id="1964461768">
      <w:bodyDiv w:val="1"/>
      <w:marLeft w:val="0"/>
      <w:marRight w:val="0"/>
      <w:marTop w:val="0"/>
      <w:marBottom w:val="0"/>
      <w:divBdr>
        <w:top w:val="none" w:sz="0" w:space="0" w:color="auto"/>
        <w:left w:val="none" w:sz="0" w:space="0" w:color="auto"/>
        <w:bottom w:val="none" w:sz="0" w:space="0" w:color="auto"/>
        <w:right w:val="none" w:sz="0" w:space="0" w:color="auto"/>
      </w:divBdr>
    </w:div>
    <w:div w:id="2031177476">
      <w:bodyDiv w:val="1"/>
      <w:marLeft w:val="0"/>
      <w:marRight w:val="0"/>
      <w:marTop w:val="0"/>
      <w:marBottom w:val="0"/>
      <w:divBdr>
        <w:top w:val="none" w:sz="0" w:space="0" w:color="auto"/>
        <w:left w:val="none" w:sz="0" w:space="0" w:color="auto"/>
        <w:bottom w:val="none" w:sz="0" w:space="0" w:color="auto"/>
        <w:right w:val="none" w:sz="0" w:space="0" w:color="auto"/>
      </w:divBdr>
    </w:div>
    <w:div w:id="2074042931">
      <w:bodyDiv w:val="1"/>
      <w:marLeft w:val="0"/>
      <w:marRight w:val="0"/>
      <w:marTop w:val="0"/>
      <w:marBottom w:val="0"/>
      <w:divBdr>
        <w:top w:val="none" w:sz="0" w:space="0" w:color="auto"/>
        <w:left w:val="none" w:sz="0" w:space="0" w:color="auto"/>
        <w:bottom w:val="none" w:sz="0" w:space="0" w:color="auto"/>
        <w:right w:val="none" w:sz="0" w:space="0" w:color="auto"/>
      </w:divBdr>
    </w:div>
    <w:div w:id="2106685837">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fyn.ifas.ufl.edu/fert_ordinances.html" TargetMode="External"/><Relationship Id="rId26" Type="http://schemas.openxmlformats.org/officeDocument/2006/relationships/hyperlink" Target="https://www.agcensus.usda.gov" TargetMode="External"/><Relationship Id="rId3" Type="http://schemas.openxmlformats.org/officeDocument/2006/relationships/customXml" Target="../customXml/item3.xml"/><Relationship Id="rId21" Type="http://schemas.openxmlformats.org/officeDocument/2006/relationships/hyperlink" Target="http://www.freshfromflorida.com/Divisions-Offices/Agricultural-Water-Policy"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dep.state.fl.u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freshfromflorida.com/Business-Services/Best-Management-Practices-BMPs/Agricultural-Best-Management-Practi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research.ifas.ufl.edu/" TargetMode="External"/><Relationship Id="rId28" Type="http://schemas.openxmlformats.org/officeDocument/2006/relationships/image" Target="media/image8.jpg"/><Relationship Id="rId10" Type="http://schemas.openxmlformats.org/officeDocument/2006/relationships/endnotes" Target="endnotes.xml"/><Relationship Id="rId19" Type="http://schemas.openxmlformats.org/officeDocument/2006/relationships/hyperlink" Target="https://fldeploc.dep.state.fl.us/aams/index.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https://www.flrules.org/" TargetMode="External"/><Relationship Id="rId27" Type="http://schemas.openxmlformats.org/officeDocument/2006/relationships/image" Target="media/image7.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3.xml><?xml version="1.0" encoding="utf-8"?>
<ds:datastoreItem xmlns:ds="http://schemas.openxmlformats.org/officeDocument/2006/customXml" ds:itemID="{4F5BC418-4E92-4893-BD59-449DC0EA464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1B4F252-6ED1-4218-871D-93032E74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20467</Words>
  <Characters>119119</Characters>
  <Application>Microsoft Office Word</Application>
  <DocSecurity>0</DocSecurity>
  <Lines>3722</Lines>
  <Paragraphs>2114</Paragraphs>
  <ScaleCrop>false</ScaleCrop>
  <HeadingPairs>
    <vt:vector size="2" baseType="variant">
      <vt:variant>
        <vt:lpstr>Title</vt:lpstr>
      </vt:variant>
      <vt:variant>
        <vt:i4>1</vt:i4>
      </vt:variant>
    </vt:vector>
  </HeadingPairs>
  <TitlesOfParts>
    <vt:vector size="1" baseType="lpstr">
      <vt:lpstr>Final 2018 Jackson Blue BMAP</vt:lpstr>
    </vt:vector>
  </TitlesOfParts>
  <Company>Wildwood Consulting Inc.</Company>
  <LinksUpToDate>false</LinksUpToDate>
  <CharactersWithSpaces>137472</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2018 Jackson Blue BMAP</dc:title>
  <dc:subject>Jackson Blue BMAP, Springs</dc:subject>
  <dc:creator>Tiffany Busby</dc:creator>
  <cp:keywords>Jackson Blue Springs, DEP</cp:keywords>
  <cp:lastModifiedBy>Hansen, Terry</cp:lastModifiedBy>
  <cp:revision>3</cp:revision>
  <cp:lastPrinted>2018-03-26T13:10:00Z</cp:lastPrinted>
  <dcterms:created xsi:type="dcterms:W3CDTF">2018-05-21T19:02:00Z</dcterms:created>
  <dcterms:modified xsi:type="dcterms:W3CDTF">2018-05-21T19:03:00Z</dcterms:modified>
  <cp:contentStatus>Draft July 2017</cp:contentStatus>
</cp:coreProperties>
</file>