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18" w:space="0" w:color="DDD9C3" w:themeColor="background2" w:themeShade="E6"/>
          <w:left w:val="none" w:sz="0" w:space="0" w:color="auto"/>
          <w:bottom w:val="single" w:sz="18" w:space="0" w:color="DDD9C3" w:themeColor="background2" w:themeShade="E6"/>
          <w:right w:val="none" w:sz="0" w:space="0" w:color="auto"/>
          <w:insideH w:val="single" w:sz="2" w:space="0" w:color="C4BC96" w:themeColor="background2" w:themeShade="BF"/>
          <w:insideV w:val="none" w:sz="0" w:space="0" w:color="auto"/>
        </w:tblBorders>
        <w:tblCellMar>
          <w:top w:w="29" w:type="dxa"/>
          <w:left w:w="115" w:type="dxa"/>
          <w:bottom w:w="29" w:type="dxa"/>
          <w:right w:w="115" w:type="dxa"/>
        </w:tblCellMar>
        <w:tblLook w:val="04A0" w:firstRow="1" w:lastRow="0" w:firstColumn="1" w:lastColumn="0" w:noHBand="0" w:noVBand="1"/>
      </w:tblPr>
      <w:tblGrid>
        <w:gridCol w:w="1098"/>
        <w:gridCol w:w="8982"/>
      </w:tblGrid>
      <w:tr w:rsidR="00D62A04" w:rsidTr="00030EF6">
        <w:tc>
          <w:tcPr>
            <w:tcW w:w="1098" w:type="dxa"/>
          </w:tcPr>
          <w:p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To:</w:t>
            </w:r>
          </w:p>
        </w:tc>
        <w:tc>
          <w:tcPr>
            <w:tcW w:w="8982" w:type="dxa"/>
          </w:tcPr>
          <w:p w:rsidR="00D62A04" w:rsidRPr="000365D9" w:rsidRDefault="005D2C38" w:rsidP="005D2C38">
            <w:pPr>
              <w:spacing w:after="60"/>
              <w:rPr>
                <w:rFonts w:ascii="Arial" w:hAnsi="Arial" w:cs="Arial"/>
                <w:sz w:val="22"/>
              </w:rPr>
            </w:pPr>
            <w:r>
              <w:rPr>
                <w:rFonts w:ascii="Arial" w:hAnsi="Arial" w:cs="Arial"/>
                <w:sz w:val="22"/>
              </w:rPr>
              <w:t>Doug Gilbert, DEP</w:t>
            </w:r>
          </w:p>
        </w:tc>
      </w:tr>
      <w:tr w:rsidR="00D62A04" w:rsidTr="00030EF6">
        <w:tc>
          <w:tcPr>
            <w:tcW w:w="1098" w:type="dxa"/>
          </w:tcPr>
          <w:p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Cc:</w:t>
            </w:r>
          </w:p>
        </w:tc>
        <w:tc>
          <w:tcPr>
            <w:tcW w:w="8982" w:type="dxa"/>
          </w:tcPr>
          <w:p w:rsidR="005D2C38" w:rsidRDefault="005D2C38" w:rsidP="005B5E7B">
            <w:pPr>
              <w:spacing w:after="60"/>
              <w:rPr>
                <w:rFonts w:ascii="Arial" w:hAnsi="Arial" w:cs="Arial"/>
                <w:sz w:val="22"/>
              </w:rPr>
            </w:pPr>
            <w:r>
              <w:rPr>
                <w:rFonts w:ascii="Arial" w:hAnsi="Arial" w:cs="Arial"/>
                <w:sz w:val="22"/>
              </w:rPr>
              <w:t>James Albright, DEP</w:t>
            </w:r>
          </w:p>
          <w:p w:rsidR="00555C43" w:rsidRDefault="00555C43" w:rsidP="005B5E7B">
            <w:pPr>
              <w:spacing w:after="60"/>
              <w:rPr>
                <w:rFonts w:ascii="Arial" w:hAnsi="Arial" w:cs="Arial"/>
                <w:sz w:val="22"/>
              </w:rPr>
            </w:pPr>
            <w:r>
              <w:rPr>
                <w:rFonts w:ascii="Arial" w:hAnsi="Arial" w:cs="Arial"/>
                <w:sz w:val="22"/>
              </w:rPr>
              <w:t>Ansel Bubel, DEP</w:t>
            </w:r>
          </w:p>
          <w:p w:rsidR="008C4B57" w:rsidRDefault="008C4B57" w:rsidP="005B5E7B">
            <w:pPr>
              <w:spacing w:after="60"/>
              <w:rPr>
                <w:rFonts w:ascii="Arial" w:hAnsi="Arial" w:cs="Arial"/>
                <w:sz w:val="22"/>
              </w:rPr>
            </w:pPr>
            <w:r w:rsidRPr="000365D9">
              <w:rPr>
                <w:rFonts w:ascii="Arial" w:hAnsi="Arial" w:cs="Arial"/>
                <w:sz w:val="22"/>
              </w:rPr>
              <w:t xml:space="preserve">Sara Davis, DEP </w:t>
            </w:r>
          </w:p>
          <w:p w:rsidR="00ED2A2E" w:rsidRPr="000365D9" w:rsidRDefault="00ED2A2E" w:rsidP="005B5E7B">
            <w:pPr>
              <w:spacing w:after="60"/>
              <w:rPr>
                <w:rFonts w:ascii="Arial" w:hAnsi="Arial" w:cs="Arial"/>
                <w:sz w:val="22"/>
              </w:rPr>
            </w:pPr>
            <w:r>
              <w:rPr>
                <w:rFonts w:ascii="Arial" w:hAnsi="Arial" w:cs="Arial"/>
                <w:sz w:val="22"/>
              </w:rPr>
              <w:t>Erin Rasnake, DEP</w:t>
            </w:r>
          </w:p>
        </w:tc>
      </w:tr>
      <w:tr w:rsidR="00D62A04" w:rsidTr="00030EF6">
        <w:tc>
          <w:tcPr>
            <w:tcW w:w="1098" w:type="dxa"/>
          </w:tcPr>
          <w:p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From:</w:t>
            </w:r>
          </w:p>
        </w:tc>
        <w:tc>
          <w:tcPr>
            <w:tcW w:w="8982" w:type="dxa"/>
          </w:tcPr>
          <w:p w:rsidR="006E456A" w:rsidRPr="000365D9" w:rsidRDefault="006E456A" w:rsidP="006E456A">
            <w:pPr>
              <w:spacing w:after="60"/>
              <w:rPr>
                <w:rFonts w:ascii="Arial" w:hAnsi="Arial" w:cs="Arial"/>
                <w:sz w:val="22"/>
              </w:rPr>
            </w:pPr>
            <w:r w:rsidRPr="000365D9">
              <w:rPr>
                <w:rFonts w:ascii="Arial" w:hAnsi="Arial" w:cs="Arial"/>
                <w:sz w:val="22"/>
              </w:rPr>
              <w:t>Brian Watson, PE, PH, D.WRE, Tetra Tech</w:t>
            </w:r>
          </w:p>
          <w:p w:rsidR="006E456A" w:rsidRPr="000365D9" w:rsidRDefault="006E456A" w:rsidP="006E456A">
            <w:pPr>
              <w:spacing w:after="60"/>
              <w:rPr>
                <w:rFonts w:ascii="Arial" w:hAnsi="Arial" w:cs="Arial"/>
                <w:sz w:val="22"/>
              </w:rPr>
            </w:pPr>
            <w:r w:rsidRPr="000365D9">
              <w:rPr>
                <w:rFonts w:ascii="Arial" w:hAnsi="Arial" w:cs="Arial"/>
                <w:sz w:val="22"/>
              </w:rPr>
              <w:t>Marcy Frick, REM, Tetra Tech</w:t>
            </w:r>
          </w:p>
          <w:p w:rsidR="00C36A2F" w:rsidRDefault="006E456A" w:rsidP="006E456A">
            <w:pPr>
              <w:spacing w:after="60"/>
              <w:rPr>
                <w:rFonts w:ascii="Arial" w:hAnsi="Arial" w:cs="Arial"/>
                <w:sz w:val="22"/>
              </w:rPr>
            </w:pPr>
            <w:r w:rsidRPr="000365D9">
              <w:rPr>
                <w:rFonts w:ascii="Arial" w:hAnsi="Arial" w:cs="Arial"/>
                <w:sz w:val="22"/>
              </w:rPr>
              <w:t>Erin Lincoln, P</w:t>
            </w:r>
            <w:r>
              <w:rPr>
                <w:rFonts w:ascii="Arial" w:hAnsi="Arial" w:cs="Arial"/>
                <w:sz w:val="22"/>
              </w:rPr>
              <w:t>H, Tetra Tech</w:t>
            </w:r>
          </w:p>
          <w:p w:rsidR="005D2C38" w:rsidRPr="000365D9" w:rsidRDefault="005D2C38" w:rsidP="005D2C38">
            <w:pPr>
              <w:spacing w:after="60"/>
              <w:rPr>
                <w:rFonts w:ascii="Arial" w:hAnsi="Arial" w:cs="Arial"/>
                <w:sz w:val="22"/>
              </w:rPr>
            </w:pPr>
            <w:r>
              <w:rPr>
                <w:rFonts w:ascii="Arial" w:hAnsi="Arial" w:cs="Arial"/>
                <w:sz w:val="22"/>
              </w:rPr>
              <w:t xml:space="preserve">Rene </w:t>
            </w:r>
            <w:r w:rsidRPr="003A1DAA">
              <w:rPr>
                <w:rFonts w:ascii="Arial" w:hAnsi="Arial" w:cs="Arial"/>
                <w:sz w:val="22"/>
              </w:rPr>
              <w:t>Camacho</w:t>
            </w:r>
            <w:r>
              <w:rPr>
                <w:rFonts w:ascii="Arial" w:hAnsi="Arial" w:cs="Arial"/>
                <w:sz w:val="22"/>
              </w:rPr>
              <w:t>, PhD, Tetra Tech</w:t>
            </w:r>
          </w:p>
          <w:p w:rsidR="00555C43" w:rsidRPr="000365D9" w:rsidRDefault="005D2C38" w:rsidP="006E456A">
            <w:pPr>
              <w:spacing w:after="60"/>
              <w:rPr>
                <w:rFonts w:ascii="Arial" w:hAnsi="Arial" w:cs="Arial"/>
                <w:sz w:val="22"/>
              </w:rPr>
            </w:pPr>
            <w:r>
              <w:rPr>
                <w:rFonts w:ascii="Arial" w:hAnsi="Arial" w:cs="Arial"/>
                <w:sz w:val="22"/>
              </w:rPr>
              <w:t>Hugo Rodriquez,</w:t>
            </w:r>
            <w:r>
              <w:t xml:space="preserve"> </w:t>
            </w:r>
            <w:r>
              <w:rPr>
                <w:rFonts w:ascii="Arial" w:hAnsi="Arial" w:cs="Arial"/>
                <w:sz w:val="22"/>
              </w:rPr>
              <w:t>PhD,</w:t>
            </w:r>
            <w:r w:rsidRPr="00C933D7">
              <w:rPr>
                <w:rFonts w:ascii="Arial" w:hAnsi="Arial" w:cs="Arial"/>
                <w:sz w:val="22"/>
              </w:rPr>
              <w:t xml:space="preserve"> PE</w:t>
            </w:r>
            <w:r>
              <w:rPr>
                <w:rFonts w:ascii="Arial" w:hAnsi="Arial" w:cs="Arial"/>
                <w:sz w:val="22"/>
              </w:rPr>
              <w:t>,</w:t>
            </w:r>
            <w:r w:rsidRPr="00C933D7">
              <w:rPr>
                <w:rFonts w:ascii="Arial" w:hAnsi="Arial" w:cs="Arial"/>
                <w:sz w:val="22"/>
              </w:rPr>
              <w:t xml:space="preserve"> </w:t>
            </w:r>
            <w:r>
              <w:rPr>
                <w:rFonts w:ascii="Arial" w:hAnsi="Arial" w:cs="Arial"/>
                <w:sz w:val="22"/>
              </w:rPr>
              <w:t>Tetra Tech</w:t>
            </w:r>
          </w:p>
        </w:tc>
      </w:tr>
      <w:tr w:rsidR="00D62A04" w:rsidTr="00030EF6">
        <w:tc>
          <w:tcPr>
            <w:tcW w:w="1098" w:type="dxa"/>
          </w:tcPr>
          <w:p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Date:</w:t>
            </w:r>
          </w:p>
        </w:tc>
        <w:tc>
          <w:tcPr>
            <w:tcW w:w="8982" w:type="dxa"/>
          </w:tcPr>
          <w:p w:rsidR="00D62A04" w:rsidRPr="000365D9" w:rsidRDefault="005D2C38" w:rsidP="00231BCC">
            <w:pPr>
              <w:spacing w:after="60"/>
              <w:rPr>
                <w:rFonts w:ascii="Arial" w:hAnsi="Arial" w:cs="Arial"/>
                <w:sz w:val="22"/>
              </w:rPr>
            </w:pPr>
            <w:r>
              <w:rPr>
                <w:rFonts w:ascii="Arial" w:hAnsi="Arial" w:cs="Arial"/>
                <w:sz w:val="22"/>
              </w:rPr>
              <w:t>November 1</w:t>
            </w:r>
            <w:r w:rsidR="0086131D">
              <w:rPr>
                <w:rFonts w:ascii="Arial" w:hAnsi="Arial" w:cs="Arial"/>
                <w:sz w:val="22"/>
              </w:rPr>
              <w:t>5</w:t>
            </w:r>
            <w:r w:rsidR="00555C43">
              <w:rPr>
                <w:rFonts w:ascii="Arial" w:hAnsi="Arial" w:cs="Arial"/>
                <w:sz w:val="22"/>
              </w:rPr>
              <w:t>, 2016</w:t>
            </w:r>
          </w:p>
        </w:tc>
      </w:tr>
      <w:tr w:rsidR="00D62A04" w:rsidTr="00030EF6">
        <w:tc>
          <w:tcPr>
            <w:tcW w:w="1098" w:type="dxa"/>
          </w:tcPr>
          <w:p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Subject:</w:t>
            </w:r>
          </w:p>
        </w:tc>
        <w:tc>
          <w:tcPr>
            <w:tcW w:w="8982" w:type="dxa"/>
          </w:tcPr>
          <w:p w:rsidR="00D62A04" w:rsidRPr="000365D9" w:rsidRDefault="005B5E7B" w:rsidP="00555C43">
            <w:pPr>
              <w:spacing w:after="60"/>
              <w:rPr>
                <w:rFonts w:ascii="Arial" w:hAnsi="Arial" w:cs="Arial"/>
                <w:sz w:val="22"/>
              </w:rPr>
            </w:pPr>
            <w:r w:rsidRPr="000365D9">
              <w:rPr>
                <w:rFonts w:ascii="Arial" w:hAnsi="Arial" w:cs="Arial"/>
                <w:sz w:val="22"/>
              </w:rPr>
              <w:t xml:space="preserve">Caloosahatchee River </w:t>
            </w:r>
            <w:r w:rsidR="005D2C38">
              <w:rPr>
                <w:rFonts w:ascii="Arial" w:hAnsi="Arial" w:cs="Arial"/>
                <w:sz w:val="22"/>
              </w:rPr>
              <w:t xml:space="preserve">EFDC </w:t>
            </w:r>
            <w:r w:rsidR="00653AAE">
              <w:rPr>
                <w:rFonts w:ascii="Arial" w:hAnsi="Arial" w:cs="Arial"/>
                <w:sz w:val="22"/>
              </w:rPr>
              <w:t xml:space="preserve">Model </w:t>
            </w:r>
            <w:r w:rsidR="005D2C38">
              <w:rPr>
                <w:rFonts w:ascii="Arial" w:hAnsi="Arial" w:cs="Arial"/>
                <w:sz w:val="22"/>
              </w:rPr>
              <w:t>Light Calibration</w:t>
            </w:r>
            <w:r w:rsidRPr="000365D9">
              <w:rPr>
                <w:rFonts w:ascii="Arial" w:hAnsi="Arial" w:cs="Arial"/>
                <w:sz w:val="22"/>
              </w:rPr>
              <w:t xml:space="preserve"> </w:t>
            </w:r>
          </w:p>
        </w:tc>
      </w:tr>
    </w:tbl>
    <w:p w:rsidR="00953DBA" w:rsidRDefault="00953DBA">
      <w:pPr>
        <w:spacing w:after="0"/>
        <w:jc w:val="left"/>
        <w:rPr>
          <w:rFonts w:ascii="Arial" w:hAnsi="Arial" w:cs="Arial"/>
          <w:b/>
          <w:caps/>
          <w:color w:val="FFFFFF" w:themeColor="background1"/>
          <w:sz w:val="36"/>
          <w:szCs w:val="36"/>
          <w:bdr w:val="single" w:sz="48" w:space="0" w:color="17365D" w:themeColor="text2" w:themeShade="BF"/>
        </w:rPr>
      </w:pPr>
    </w:p>
    <w:p w:rsidR="000720FB" w:rsidRDefault="000720FB" w:rsidP="00352C33">
      <w:pPr>
        <w:pStyle w:val="Heading1"/>
      </w:pPr>
      <w:r>
        <w:t>Introduction</w:t>
      </w:r>
    </w:p>
    <w:p w:rsidR="00440FD3" w:rsidRDefault="00440FD3" w:rsidP="000720FB">
      <w:r>
        <w:t>Tetra Tech and AMEC were contracted by the Florida Department of Environmental Protection (department) to address department and stakeholder issues regarding the set up and calibration of the current versions of the Caloosahatchee River and Estuary Hydrologic Simulation Program – Fortran (HSPF) and Environmental Fluid Dynamics Code (EFDC) models.</w:t>
      </w:r>
      <w:r w:rsidR="00884A0C" w:rsidRPr="00884A0C">
        <w:t xml:space="preserve"> These models will be used to develop total maximum daily loads (TMDLs) for impaired freshwater bodies within the Caloosahatchee River Basin and to refine the Caloosahatchee tidal estuary TMDLs that the department adopted in 2010.</w:t>
      </w:r>
    </w:p>
    <w:p w:rsidR="008800D1" w:rsidRDefault="008800D1" w:rsidP="000720FB">
      <w:r>
        <w:t xml:space="preserve">To aid in the development of the TMDLs, the models were calibrated to </w:t>
      </w:r>
      <w:r w:rsidR="006F2790">
        <w:t>wate</w:t>
      </w:r>
      <w:r w:rsidR="001C5FF4">
        <w:t xml:space="preserve">r quality, including </w:t>
      </w:r>
      <w:r>
        <w:t>nutrients</w:t>
      </w:r>
      <w:r w:rsidR="001C5FF4">
        <w:t xml:space="preserve">, </w:t>
      </w:r>
      <w:r w:rsidR="00933E55">
        <w:t>chlorophyll-</w:t>
      </w:r>
      <w:r w:rsidR="00933E55" w:rsidRPr="00933E55">
        <w:rPr>
          <w:i/>
        </w:rPr>
        <w:t>a</w:t>
      </w:r>
      <w:r w:rsidR="00933E55">
        <w:t xml:space="preserve">, </w:t>
      </w:r>
      <w:r w:rsidR="001C5FF4">
        <w:t>and light attenuation</w:t>
      </w:r>
      <w:r>
        <w:t>. Light attenuation is an important component of</w:t>
      </w:r>
      <w:r w:rsidR="00933E55">
        <w:t xml:space="preserve"> the Caloosahatchee Estuary TMDL, and was used as the endpoint in the 2009 Caloosahatchee Estuary TMDL to assess the impacts of nutrient loads from the watershed on chlorophyll-</w:t>
      </w:r>
      <w:r w:rsidR="00933E55" w:rsidRPr="00933E55">
        <w:rPr>
          <w:i/>
        </w:rPr>
        <w:t>a</w:t>
      </w:r>
      <w:r w:rsidR="00933E55">
        <w:t xml:space="preserve"> and light penetration (</w:t>
      </w:r>
      <w:r w:rsidR="00933E55" w:rsidRPr="00093F25">
        <w:rPr>
          <w:rFonts w:cs="Times New Roman"/>
        </w:rPr>
        <w:t>Bailey</w:t>
      </w:r>
      <w:r w:rsidR="00933E55">
        <w:rPr>
          <w:rFonts w:cs="Times New Roman"/>
        </w:rPr>
        <w:t xml:space="preserve"> et al 2009). </w:t>
      </w:r>
      <w:r w:rsidR="00933E55">
        <w:t>Chlorophyll-</w:t>
      </w:r>
      <w:r w:rsidR="00933E55" w:rsidRPr="00582EC2">
        <w:rPr>
          <w:i/>
        </w:rPr>
        <w:t>a</w:t>
      </w:r>
      <w:r w:rsidR="00933E55">
        <w:t xml:space="preserve"> is a component of light extinction, and excess chlorophyll-</w:t>
      </w:r>
      <w:r w:rsidR="00933E55" w:rsidRPr="00582EC2">
        <w:rPr>
          <w:i/>
        </w:rPr>
        <w:t>a</w:t>
      </w:r>
      <w:r w:rsidR="00933E55">
        <w:t xml:space="preserve"> can reduce light penetration in the water column.</w:t>
      </w:r>
      <w:r w:rsidR="00582EC2">
        <w:t xml:space="preserve"> In the 2009 </w:t>
      </w:r>
      <w:r w:rsidR="00933E55">
        <w:t>Caloosahatchee Estuary TMDL, nutrient loads from the watershed were reduced to a level that reduced chlorophyll-</w:t>
      </w:r>
      <w:r w:rsidR="00933E55" w:rsidRPr="00E62513">
        <w:rPr>
          <w:i/>
        </w:rPr>
        <w:t>a</w:t>
      </w:r>
      <w:r w:rsidR="00933E55">
        <w:t xml:space="preserve"> concentrations in the estuary </w:t>
      </w:r>
      <w:r>
        <w:t>to allow for a healthy seagrass community in San Carolos Bay, at the mouth of the Caloosahatchee Estuary.</w:t>
      </w:r>
    </w:p>
    <w:p w:rsidR="00E2646D" w:rsidRDefault="008800D1" w:rsidP="00E2646D">
      <w:r>
        <w:t>This memo describes the updates made to the EFDC model to evaluate light attenuation, and the model light calibration results.</w:t>
      </w:r>
      <w:r w:rsidR="00E2646D">
        <w:t xml:space="preserve"> </w:t>
      </w:r>
      <w:r w:rsidR="00E2646D" w:rsidRPr="008562EF">
        <w:t>Throughout this memo, the Dynamic Solutions/CDM model will be referred to as the “2009 Model</w:t>
      </w:r>
      <w:r w:rsidR="0086131D">
        <w:t>,</w:t>
      </w:r>
      <w:r w:rsidR="00E2646D" w:rsidRPr="008562EF">
        <w:t>”</w:t>
      </w:r>
      <w:r w:rsidR="00E2646D" w:rsidRPr="00E2646D">
        <w:t xml:space="preserve"> </w:t>
      </w:r>
      <w:r w:rsidR="00E2646D" w:rsidRPr="008562EF">
        <w:t>and the department’s updated version of the model will be referred to as the “2014 Model</w:t>
      </w:r>
      <w:r w:rsidR="00E2646D">
        <w:t>.</w:t>
      </w:r>
      <w:r w:rsidR="00E2646D" w:rsidRPr="008562EF">
        <w:t xml:space="preserve"> The new model will be referred to as the “2017 Model,” which is reflective of the project completion date in 2017.</w:t>
      </w:r>
    </w:p>
    <w:p w:rsidR="00833D83" w:rsidRDefault="006F2790" w:rsidP="00833D83">
      <w:pPr>
        <w:pStyle w:val="Heading1"/>
      </w:pPr>
      <w:bookmarkStart w:id="0" w:name="_Ref466899238"/>
      <w:r>
        <w:t>EFDC Light Module EQUATION</w:t>
      </w:r>
      <w:bookmarkEnd w:id="0"/>
    </w:p>
    <w:p w:rsidR="00833D83" w:rsidRDefault="00833D83" w:rsidP="00833D83">
      <w:r w:rsidRPr="0075753A">
        <w:t xml:space="preserve">Task 4 of this project </w:t>
      </w:r>
      <w:r w:rsidR="00653AAE">
        <w:t>was</w:t>
      </w:r>
      <w:r w:rsidR="00E2646D">
        <w:t xml:space="preserve"> to convert the</w:t>
      </w:r>
      <w:r w:rsidRPr="0075753A">
        <w:t xml:space="preserve"> </w:t>
      </w:r>
      <w:r w:rsidR="00E2646D">
        <w:t xml:space="preserve">Dynamic Solutions </w:t>
      </w:r>
      <w:r w:rsidR="006F2790">
        <w:t xml:space="preserve">Caloosahatchee River </w:t>
      </w:r>
      <w:r w:rsidRPr="0075753A">
        <w:t>EFDC model (</w:t>
      </w:r>
      <w:r w:rsidR="00E2646D">
        <w:t>2009 Model</w:t>
      </w:r>
      <w:r w:rsidRPr="0075753A">
        <w:t>), which is a proprietary application, into a public domain application (</w:t>
      </w:r>
      <w:r w:rsidR="00E2646D">
        <w:t>2017 Model</w:t>
      </w:r>
      <w:r w:rsidRPr="0075753A">
        <w:t>) and incorporate the light module from the existing proprietary model. For this task, Tetra Tech used the DS-EFDC input files for the period of 2008</w:t>
      </w:r>
      <w:r>
        <w:t xml:space="preserve"> through 2010, which were provided by the department. Tetra Tech updated and corrected these files for use in the </w:t>
      </w:r>
      <w:r w:rsidR="00E2646D">
        <w:t>2017 Model</w:t>
      </w:r>
      <w:r>
        <w:t xml:space="preserve">, and </w:t>
      </w:r>
      <w:r w:rsidR="00440FD3">
        <w:t>then test</w:t>
      </w:r>
      <w:r w:rsidR="006F2790">
        <w:t>ed</w:t>
      </w:r>
      <w:r w:rsidR="00440FD3">
        <w:t xml:space="preserve"> the</w:t>
      </w:r>
      <w:r>
        <w:t xml:space="preserve"> model for the 2008 – 2010 time period</w:t>
      </w:r>
      <w:r w:rsidR="00440FD3">
        <w:t xml:space="preserve">. </w:t>
      </w:r>
    </w:p>
    <w:p w:rsidR="00833D83" w:rsidRPr="00D329C7" w:rsidRDefault="00833D83" w:rsidP="00833D83">
      <w:pPr>
        <w:spacing w:after="160" w:line="259" w:lineRule="auto"/>
      </w:pPr>
      <w:r w:rsidRPr="00D329C7">
        <w:t xml:space="preserve">Tetra Tech updated the </w:t>
      </w:r>
      <w:r w:rsidRPr="0075753A">
        <w:t>existing PD-EFDC model to incorporate the light module from the DS-EFDC model. The existing PD-EFDC model included the following paramet</w:t>
      </w:r>
      <w:r w:rsidRPr="00D329C7">
        <w:t>ers:</w:t>
      </w:r>
    </w:p>
    <w:p w:rsidR="00833D83" w:rsidRPr="00D329C7" w:rsidRDefault="00F5600E" w:rsidP="00833D83">
      <w:pPr>
        <w:spacing w:after="120"/>
        <w:ind w:left="720"/>
      </w:pPr>
      <m:oMath>
        <m:sSub>
          <m:sSubPr>
            <m:ctrlPr>
              <w:rPr>
                <w:rFonts w:ascii="Cambria Math" w:hAnsi="Cambria Math"/>
                <w:i/>
              </w:rPr>
            </m:ctrlPr>
          </m:sSubPr>
          <m:e>
            <m:r>
              <w:rPr>
                <w:rFonts w:ascii="Cambria Math" w:hAnsi="Cambria Math"/>
              </w:rPr>
              <m:t>ke</m:t>
            </m:r>
          </m:e>
          <m:sub>
            <m:r>
              <w:rPr>
                <w:rFonts w:ascii="Cambria Math" w:hAnsi="Cambria Math"/>
              </w:rPr>
              <m:t>b</m:t>
            </m:r>
          </m:sub>
        </m:sSub>
      </m:oMath>
      <w:r w:rsidR="00833D83" w:rsidRPr="00D329C7">
        <w:t xml:space="preserve"> = background light extinction (m</w:t>
      </w:r>
      <w:r w:rsidR="00833D83" w:rsidRPr="00D329C7">
        <w:rPr>
          <w:vertAlign w:val="superscript"/>
        </w:rPr>
        <w:t>-1</w:t>
      </w:r>
      <w:r w:rsidR="00833D83" w:rsidRPr="00D329C7">
        <w:t>)</w:t>
      </w:r>
    </w:p>
    <w:p w:rsidR="00833D83" w:rsidRPr="00D329C7" w:rsidRDefault="00F5600E" w:rsidP="00833D83">
      <w:pPr>
        <w:spacing w:after="120"/>
        <w:ind w:left="720"/>
      </w:pPr>
      <m:oMath>
        <m:sSub>
          <m:sSubPr>
            <m:ctrlPr>
              <w:rPr>
                <w:rFonts w:ascii="Cambria Math" w:hAnsi="Cambria Math"/>
                <w:i/>
              </w:rPr>
            </m:ctrlPr>
          </m:sSubPr>
          <m:e>
            <m:r>
              <w:rPr>
                <w:rFonts w:ascii="Cambria Math" w:hAnsi="Cambria Math"/>
              </w:rPr>
              <m:t>ke</m:t>
            </m:r>
          </m:e>
          <m:sub>
            <m:r>
              <w:rPr>
                <w:rFonts w:ascii="Cambria Math" w:hAnsi="Cambria Math"/>
              </w:rPr>
              <m:t>TSS</m:t>
            </m:r>
          </m:sub>
        </m:sSub>
      </m:oMath>
      <w:r w:rsidR="00833D83" w:rsidRPr="00D329C7">
        <w:t xml:space="preserve"> = light extinction coefficient </w:t>
      </w:r>
      <w:r w:rsidR="00642939">
        <w:t>due to</w:t>
      </w:r>
      <w:r w:rsidR="00642939" w:rsidRPr="00D329C7">
        <w:t xml:space="preserve"> </w:t>
      </w:r>
      <w:r w:rsidR="00833D83" w:rsidRPr="00D329C7">
        <w:t>inorganic suspended solid (m</w:t>
      </w:r>
      <w:r w:rsidR="00833D83" w:rsidRPr="00D329C7">
        <w:rPr>
          <w:vertAlign w:val="superscript"/>
        </w:rPr>
        <w:t>-1</w:t>
      </w:r>
      <w:r w:rsidR="00833D83" w:rsidRPr="00D329C7">
        <w:t>)</w:t>
      </w:r>
    </w:p>
    <w:p w:rsidR="00833D83" w:rsidRPr="00D329C7" w:rsidRDefault="00F5600E" w:rsidP="00833D83">
      <w:pPr>
        <w:spacing w:after="120"/>
        <w:ind w:left="720"/>
      </w:pPr>
      <m:oMath>
        <m:sSub>
          <m:sSubPr>
            <m:ctrlPr>
              <w:rPr>
                <w:rFonts w:ascii="Cambria Math" w:hAnsi="Cambria Math"/>
                <w:i/>
              </w:rPr>
            </m:ctrlPr>
          </m:sSubPr>
          <m:e>
            <m:r>
              <w:rPr>
                <w:rFonts w:ascii="Cambria Math" w:hAnsi="Cambria Math"/>
              </w:rPr>
              <m:t>ke</m:t>
            </m:r>
          </m:e>
          <m:sub>
            <m:r>
              <w:rPr>
                <w:rFonts w:ascii="Cambria Math" w:hAnsi="Cambria Math"/>
              </w:rPr>
              <m:t>Chla</m:t>
            </m:r>
          </m:sub>
        </m:sSub>
      </m:oMath>
      <w:r w:rsidR="00833D83" w:rsidRPr="00D329C7">
        <w:t xml:space="preserve"> = light extinction due to algae chlorophyll</w:t>
      </w:r>
      <w:r w:rsidR="00833D83">
        <w:t>-</w:t>
      </w:r>
      <w:r w:rsidR="00833D83" w:rsidRPr="00D329C7">
        <w:rPr>
          <w:i/>
        </w:rPr>
        <w:t>a</w:t>
      </w:r>
      <w:r w:rsidR="00833D83" w:rsidRPr="00D329C7">
        <w:t xml:space="preserve"> (m</w:t>
      </w:r>
      <w:r w:rsidR="00833D83" w:rsidRPr="00D329C7">
        <w:rPr>
          <w:vertAlign w:val="superscript"/>
        </w:rPr>
        <w:t>-1</w:t>
      </w:r>
      <w:r w:rsidR="00833D83" w:rsidRPr="00D329C7">
        <w:t>)</w:t>
      </w:r>
      <w:r w:rsidR="00833D83">
        <w:t>,</w:t>
      </w:r>
      <w:r w:rsidR="00833D83" w:rsidRPr="00D329C7">
        <w:t xml:space="preserve"> either self-shading equation</w:t>
      </w:r>
      <w:r w:rsidR="00833D83">
        <w:t xml:space="preserve"> or simple coefficient equation</w:t>
      </w:r>
    </w:p>
    <w:p w:rsidR="00833D83" w:rsidRPr="00D329C7" w:rsidRDefault="00833D83" w:rsidP="00833D83">
      <w:r w:rsidRPr="00D329C7">
        <w:t>The following parameters were added to the PD-EFDC model:</w:t>
      </w:r>
    </w:p>
    <w:p w:rsidR="00833D83" w:rsidRPr="00D329C7" w:rsidRDefault="00F5600E" w:rsidP="00833D83">
      <w:pPr>
        <w:spacing w:after="120"/>
        <w:ind w:left="720"/>
      </w:pPr>
      <m:oMath>
        <m:sSub>
          <m:sSubPr>
            <m:ctrlPr>
              <w:rPr>
                <w:rFonts w:ascii="Cambria Math" w:hAnsi="Cambria Math"/>
                <w:i/>
              </w:rPr>
            </m:ctrlPr>
          </m:sSubPr>
          <m:e>
            <m:r>
              <w:rPr>
                <w:rFonts w:ascii="Cambria Math" w:hAnsi="Cambria Math"/>
              </w:rPr>
              <m:t>ke</m:t>
            </m:r>
          </m:e>
          <m:sub>
            <m:r>
              <w:rPr>
                <w:rFonts w:ascii="Cambria Math" w:hAnsi="Cambria Math"/>
              </w:rPr>
              <m:t>POC</m:t>
            </m:r>
          </m:sub>
        </m:sSub>
      </m:oMath>
      <w:r w:rsidR="00833D83" w:rsidRPr="00D329C7">
        <w:t xml:space="preserve">= </w:t>
      </w:r>
      <w:r w:rsidR="00642939" w:rsidRPr="00D329C7">
        <w:t xml:space="preserve">light extinction coefficient </w:t>
      </w:r>
      <w:r w:rsidR="00642939">
        <w:t>due to</w:t>
      </w:r>
      <w:r w:rsidR="00642939" w:rsidRPr="00D329C7">
        <w:t xml:space="preserve"> </w:t>
      </w:r>
      <w:r w:rsidR="00833D83" w:rsidRPr="00D329C7">
        <w:t>detrital particulate organic carbon (POC)</w:t>
      </w:r>
      <w:r w:rsidR="009F1562">
        <w:t xml:space="preserve">, which consists of </w:t>
      </w:r>
      <w:r w:rsidR="0086131D">
        <w:t>r</w:t>
      </w:r>
      <w:r w:rsidR="009F1562" w:rsidRPr="009F1562">
        <w:t xml:space="preserve">efractory </w:t>
      </w:r>
      <w:r w:rsidR="0086131D">
        <w:t>p</w:t>
      </w:r>
      <w:r w:rsidR="009F1562" w:rsidRPr="009F1562">
        <w:t xml:space="preserve">articulate </w:t>
      </w:r>
      <w:r w:rsidR="0086131D">
        <w:t>o</w:t>
      </w:r>
      <w:r w:rsidR="009F1562" w:rsidRPr="009F1562">
        <w:t xml:space="preserve">rganic </w:t>
      </w:r>
      <w:r w:rsidR="0086131D">
        <w:t>c</w:t>
      </w:r>
      <w:r w:rsidR="009F1562" w:rsidRPr="009F1562">
        <w:t>arbon</w:t>
      </w:r>
      <w:r w:rsidR="009F1562">
        <w:t xml:space="preserve"> (RPOC) and </w:t>
      </w:r>
      <w:r w:rsidR="0086131D">
        <w:t>l</w:t>
      </w:r>
      <w:r w:rsidR="009F1562">
        <w:t xml:space="preserve">abile </w:t>
      </w:r>
      <w:r w:rsidR="0086131D">
        <w:t>p</w:t>
      </w:r>
      <w:r w:rsidR="009F1562">
        <w:t xml:space="preserve">articulate </w:t>
      </w:r>
      <w:r w:rsidR="0086131D">
        <w:t>o</w:t>
      </w:r>
      <w:r w:rsidR="009F1562">
        <w:t xml:space="preserve">rganic </w:t>
      </w:r>
      <w:r w:rsidR="0086131D">
        <w:t>c</w:t>
      </w:r>
      <w:r w:rsidR="009F1562">
        <w:t>arbon (LPOC)</w:t>
      </w:r>
    </w:p>
    <w:p w:rsidR="00833D83" w:rsidRPr="00D329C7" w:rsidRDefault="00F5600E" w:rsidP="00833D83">
      <w:pPr>
        <w:ind w:left="720"/>
      </w:pPr>
      <m:oMath>
        <m:sSub>
          <m:sSubPr>
            <m:ctrlPr>
              <w:rPr>
                <w:rFonts w:ascii="Cambria Math" w:hAnsi="Cambria Math"/>
                <w:i/>
              </w:rPr>
            </m:ctrlPr>
          </m:sSubPr>
          <m:e>
            <m:r>
              <w:rPr>
                <w:rFonts w:ascii="Cambria Math" w:hAnsi="Cambria Math"/>
              </w:rPr>
              <m:t>ke</m:t>
            </m:r>
          </m:e>
          <m:sub>
            <m:r>
              <w:rPr>
                <w:rFonts w:ascii="Cambria Math" w:hAnsi="Cambria Math"/>
              </w:rPr>
              <m:t>DOC</m:t>
            </m:r>
          </m:sub>
        </m:sSub>
      </m:oMath>
      <w:r w:rsidR="00833D83" w:rsidRPr="00D329C7">
        <w:t xml:space="preserve">= </w:t>
      </w:r>
      <w:r w:rsidR="00642939" w:rsidRPr="00D329C7">
        <w:t xml:space="preserve">light extinction coefficient </w:t>
      </w:r>
      <w:r w:rsidR="00642939">
        <w:t>due to</w:t>
      </w:r>
      <w:r w:rsidR="00642939" w:rsidRPr="00D329C7">
        <w:t xml:space="preserve"> </w:t>
      </w:r>
      <w:r w:rsidR="00833D83" w:rsidRPr="00D329C7">
        <w:t xml:space="preserve">dissolved organic </w:t>
      </w:r>
      <w:r w:rsidR="00642939">
        <w:t>carbon</w:t>
      </w:r>
      <w:r w:rsidR="00642939" w:rsidRPr="00D329C7">
        <w:t xml:space="preserve"> </w:t>
      </w:r>
      <w:r w:rsidR="00833D83" w:rsidRPr="00D329C7">
        <w:t>(DO</w:t>
      </w:r>
      <w:r w:rsidR="00642939">
        <w:t>C</w:t>
      </w:r>
      <w:r w:rsidR="00833D83" w:rsidRPr="00D329C7">
        <w:t xml:space="preserve">) </w:t>
      </w:r>
    </w:p>
    <w:p w:rsidR="00833D83" w:rsidRPr="00D329C7" w:rsidRDefault="00833D83" w:rsidP="00833D83">
      <w:r w:rsidRPr="00D329C7">
        <w:t>The final light equation</w:t>
      </w:r>
      <w:r>
        <w:t xml:space="preserve"> in the updated PD-EFDC model</w:t>
      </w:r>
      <w:r w:rsidRPr="00D329C7">
        <w:t xml:space="preserve"> is:</w:t>
      </w:r>
    </w:p>
    <w:p w:rsidR="00833D83" w:rsidRPr="00D329C7" w:rsidRDefault="00642939" w:rsidP="00833D83">
      <w:pPr>
        <w:ind w:left="720"/>
      </w:pPr>
      <m:oMathPara>
        <m:oMath>
          <m:r>
            <w:rPr>
              <w:rFonts w:ascii="Cambria Math" w:hAnsi="Cambria Math"/>
            </w:rPr>
            <m:t xml:space="preserve">Ke = </m:t>
          </m:r>
          <m:sSub>
            <m:sSubPr>
              <m:ctrlPr>
                <w:rPr>
                  <w:rFonts w:ascii="Cambria Math" w:hAnsi="Cambria Math"/>
                  <w:i/>
                </w:rPr>
              </m:ctrlPr>
            </m:sSubPr>
            <m:e>
              <m:r>
                <w:rPr>
                  <w:rFonts w:ascii="Cambria Math" w:hAnsi="Cambria Math"/>
                </w:rPr>
                <m:t>ke</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ke</m:t>
              </m:r>
            </m:e>
            <m:sub>
              <m:r>
                <w:rPr>
                  <w:rFonts w:ascii="Cambria Math" w:hAnsi="Cambria Math"/>
                </w:rPr>
                <m:t>TSS</m:t>
              </m:r>
            </m:sub>
          </m:sSub>
          <m:d>
            <m:dPr>
              <m:ctrlPr>
                <w:rPr>
                  <w:rFonts w:ascii="Cambria Math" w:hAnsi="Cambria Math"/>
                  <w:i/>
                </w:rPr>
              </m:ctrlPr>
            </m:dPr>
            <m:e>
              <m:r>
                <w:rPr>
                  <w:rFonts w:ascii="Cambria Math" w:hAnsi="Cambria Math"/>
                </w:rPr>
                <m:t>TSS</m:t>
              </m:r>
            </m:e>
          </m:d>
          <m:r>
            <w:rPr>
              <w:rFonts w:ascii="Cambria Math" w:hAnsi="Cambria Math"/>
            </w:rPr>
            <m:t>+</m:t>
          </m:r>
          <m:sSub>
            <m:sSubPr>
              <m:ctrlPr>
                <w:rPr>
                  <w:rFonts w:ascii="Cambria Math" w:hAnsi="Cambria Math"/>
                  <w:i/>
                </w:rPr>
              </m:ctrlPr>
            </m:sSubPr>
            <m:e>
              <m:r>
                <w:rPr>
                  <w:rFonts w:ascii="Cambria Math" w:hAnsi="Cambria Math"/>
                </w:rPr>
                <m:t>ke</m:t>
              </m:r>
            </m:e>
            <m:sub>
              <m:r>
                <w:rPr>
                  <w:rFonts w:ascii="Cambria Math" w:hAnsi="Cambria Math"/>
                </w:rPr>
                <m:t>Chla</m:t>
              </m:r>
            </m:sub>
          </m:sSub>
          <m:d>
            <m:dPr>
              <m:ctrlPr>
                <w:rPr>
                  <w:rFonts w:ascii="Cambria Math" w:hAnsi="Cambria Math"/>
                  <w:i/>
                </w:rPr>
              </m:ctrlPr>
            </m:dPr>
            <m:e>
              <m:r>
                <w:rPr>
                  <w:rFonts w:ascii="Cambria Math" w:hAnsi="Cambria Math"/>
                </w:rPr>
                <m:t>Chla</m:t>
              </m:r>
            </m:e>
          </m:d>
          <m:r>
            <w:rPr>
              <w:rFonts w:ascii="Cambria Math" w:hAnsi="Cambria Math"/>
            </w:rPr>
            <m:t xml:space="preserve">+ </m:t>
          </m:r>
          <m:sSub>
            <m:sSubPr>
              <m:ctrlPr>
                <w:rPr>
                  <w:rFonts w:ascii="Cambria Math" w:hAnsi="Cambria Math"/>
                  <w:i/>
                </w:rPr>
              </m:ctrlPr>
            </m:sSubPr>
            <m:e>
              <m:r>
                <w:rPr>
                  <w:rFonts w:ascii="Cambria Math" w:hAnsi="Cambria Math"/>
                </w:rPr>
                <m:t>ke</m:t>
              </m:r>
            </m:e>
            <m:sub>
              <m:r>
                <w:rPr>
                  <w:rFonts w:ascii="Cambria Math" w:hAnsi="Cambria Math"/>
                </w:rPr>
                <m:t>POC</m:t>
              </m:r>
            </m:sub>
          </m:sSub>
          <m:r>
            <w:rPr>
              <w:rFonts w:ascii="Cambria Math" w:hAnsi="Cambria Math"/>
            </w:rPr>
            <m:t xml:space="preserve">(RPOC </m:t>
          </m:r>
          <m:r>
            <w:rPr>
              <w:rFonts w:ascii="Cambria Math" w:hAnsi="Cambria Math" w:cs="Times New Roman"/>
            </w:rPr>
            <m:t>+LPOC</m:t>
          </m:r>
          <m:r>
            <w:rPr>
              <w:rFonts w:ascii="Cambria Math" w:hAnsi="Cambria Math"/>
            </w:rPr>
            <m:t xml:space="preserve">) </m:t>
          </m:r>
          <m:r>
            <w:rPr>
              <w:rFonts w:ascii="Cambria Math" w:hAnsi="Cambria Math" w:hint="eastAsia"/>
            </w:rPr>
            <m:t xml:space="preserve"> + </m:t>
          </m:r>
          <m:sSub>
            <m:sSubPr>
              <m:ctrlPr>
                <w:rPr>
                  <w:rFonts w:ascii="Cambria Math" w:hAnsi="Cambria Math"/>
                  <w:i/>
                </w:rPr>
              </m:ctrlPr>
            </m:sSubPr>
            <m:e>
              <m:r>
                <w:rPr>
                  <w:rFonts w:ascii="Cambria Math" w:hAnsi="Cambria Math"/>
                </w:rPr>
                <m:t>ke</m:t>
              </m:r>
            </m:e>
            <m:sub>
              <m:r>
                <w:rPr>
                  <w:rFonts w:ascii="Cambria Math" w:hAnsi="Cambria Math"/>
                </w:rPr>
                <m:t>DOC</m:t>
              </m:r>
            </m:sub>
          </m:sSub>
          <m:r>
            <w:rPr>
              <w:rFonts w:ascii="Cambria Math" w:hAnsi="Cambria Math"/>
            </w:rPr>
            <m:t xml:space="preserve">(DOC) </m:t>
          </m:r>
        </m:oMath>
      </m:oMathPara>
    </w:p>
    <w:p w:rsidR="0086131D" w:rsidRDefault="00887A00" w:rsidP="00833D83">
      <w:r>
        <w:t xml:space="preserve">Additional information on the update can be found in the Task 4 memo. </w:t>
      </w:r>
      <w:r w:rsidR="00440FD3" w:rsidRPr="00440FD3">
        <w:t>The PD-EFDC hydrodynamic and water quality models were recalibrated to available data as part of Task 5 and Task 6, respectively.</w:t>
      </w:r>
    </w:p>
    <w:p w:rsidR="0086131D" w:rsidRDefault="0086131D">
      <w:pPr>
        <w:spacing w:after="0"/>
        <w:jc w:val="left"/>
      </w:pPr>
      <w:r>
        <w:br w:type="page"/>
      </w:r>
    </w:p>
    <w:p w:rsidR="00206692" w:rsidRDefault="00206692" w:rsidP="00206692">
      <w:pPr>
        <w:pStyle w:val="Heading1"/>
      </w:pPr>
      <w:r>
        <w:t>EFDC Model light Algorithms</w:t>
      </w:r>
    </w:p>
    <w:p w:rsidR="00206692" w:rsidRPr="00093F25" w:rsidRDefault="00206692" w:rsidP="00206692">
      <w:pPr>
        <w:rPr>
          <w:rFonts w:cs="Times New Roman"/>
        </w:rPr>
      </w:pPr>
      <w:r>
        <w:t xml:space="preserve">In the EFDC model, one of the factors controlling the vertical distribution of light in the water column is the extinction coefficient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e</m:t>
            </m:r>
          </m:sub>
        </m:sSub>
      </m:oMath>
      <w:r>
        <w:t xml:space="preserve"> (1/m), which reflects the attenuation of the incident light due to algae shading and particulate organic matter concentration. </w:t>
      </w:r>
      <w:r w:rsidRPr="00093F25">
        <w:rPr>
          <w:rFonts w:cs="Times New Roman"/>
        </w:rPr>
        <w:t xml:space="preserve">The equation used to compute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e</m:t>
            </m:r>
          </m:sub>
        </m:sSub>
      </m:oMath>
      <w:r w:rsidR="00B76BE2">
        <w:rPr>
          <w:rFonts w:cs="Times New Roman"/>
        </w:rPr>
        <w:t xml:space="preserve">, as stated in </w:t>
      </w:r>
      <w:r w:rsidR="00B76BE2" w:rsidRPr="007F6835">
        <w:rPr>
          <w:rFonts w:cs="Times New Roman"/>
          <w:b/>
        </w:rPr>
        <w:t xml:space="preserve">Section </w:t>
      </w:r>
      <w:r w:rsidR="00B76BE2" w:rsidRPr="007F6835">
        <w:rPr>
          <w:rFonts w:cs="Times New Roman"/>
          <w:b/>
        </w:rPr>
        <w:fldChar w:fldCharType="begin"/>
      </w:r>
      <w:r w:rsidR="00B76BE2" w:rsidRPr="007F6835">
        <w:rPr>
          <w:rFonts w:cs="Times New Roman"/>
          <w:b/>
        </w:rPr>
        <w:instrText xml:space="preserve"> REF _Ref466899238 \r \h </w:instrText>
      </w:r>
      <w:r w:rsidR="0086131D">
        <w:rPr>
          <w:rFonts w:cs="Times New Roman"/>
          <w:b/>
        </w:rPr>
        <w:instrText xml:space="preserve"> \* MERGEFORMAT </w:instrText>
      </w:r>
      <w:r w:rsidR="00B76BE2" w:rsidRPr="007F6835">
        <w:rPr>
          <w:rFonts w:cs="Times New Roman"/>
          <w:b/>
        </w:rPr>
      </w:r>
      <w:r w:rsidR="00B76BE2" w:rsidRPr="007F6835">
        <w:rPr>
          <w:rFonts w:cs="Times New Roman"/>
          <w:b/>
        </w:rPr>
        <w:fldChar w:fldCharType="separate"/>
      </w:r>
      <w:r w:rsidR="00E2646D" w:rsidRPr="007F6835">
        <w:rPr>
          <w:rFonts w:cs="Times New Roman"/>
          <w:b/>
        </w:rPr>
        <w:t>2.0</w:t>
      </w:r>
      <w:r w:rsidR="00B76BE2" w:rsidRPr="007F6835">
        <w:rPr>
          <w:rFonts w:cs="Times New Roman"/>
          <w:b/>
        </w:rPr>
        <w:fldChar w:fldCharType="end"/>
      </w:r>
      <w:r w:rsidR="00B76BE2">
        <w:rPr>
          <w:rFonts w:cs="Times New Roman"/>
        </w:rPr>
        <w:t>,</w:t>
      </w:r>
      <w:r w:rsidRPr="00093F25">
        <w:rPr>
          <w:rFonts w:cs="Times New Roman"/>
        </w:rPr>
        <w:t xml:space="preserve"> </w:t>
      </w:r>
      <w:r w:rsidR="00B76BE2">
        <w:rPr>
          <w:rFonts w:cs="Times New Roman"/>
        </w:rPr>
        <w:t xml:space="preserve">is </w:t>
      </w:r>
      <w:r w:rsidRPr="00093F25">
        <w:rPr>
          <w:rFonts w:cs="Times New Roman"/>
        </w:rPr>
        <w:t xml:space="preserve">given </w:t>
      </w:r>
      <w:r w:rsidR="00B76BE2">
        <w:rPr>
          <w:rFonts w:cs="Times New Roman"/>
        </w:rPr>
        <w:t>as the following</w:t>
      </w:r>
      <w:r w:rsidRPr="00093F25">
        <w:rPr>
          <w:rFonts w:cs="Times New Roman"/>
        </w:rPr>
        <w:t>:</w:t>
      </w:r>
    </w:p>
    <w:p w:rsidR="00B76BE2" w:rsidRPr="00D329C7" w:rsidRDefault="00B76BE2" w:rsidP="00B76BE2">
      <w:pPr>
        <w:ind w:left="720"/>
      </w:pPr>
      <m:oMathPara>
        <m:oMath>
          <m:r>
            <w:rPr>
              <w:rFonts w:ascii="Cambria Math" w:hAnsi="Cambria Math"/>
            </w:rPr>
            <m:t xml:space="preserve">Ke = </m:t>
          </m:r>
          <m:sSub>
            <m:sSubPr>
              <m:ctrlPr>
                <w:rPr>
                  <w:rFonts w:ascii="Cambria Math" w:hAnsi="Cambria Math"/>
                  <w:i/>
                </w:rPr>
              </m:ctrlPr>
            </m:sSubPr>
            <m:e>
              <m:r>
                <w:rPr>
                  <w:rFonts w:ascii="Cambria Math" w:hAnsi="Cambria Math"/>
                </w:rPr>
                <m:t>ke</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ke</m:t>
              </m:r>
            </m:e>
            <m:sub>
              <m:r>
                <w:rPr>
                  <w:rFonts w:ascii="Cambria Math" w:hAnsi="Cambria Math"/>
                </w:rPr>
                <m:t>TSS</m:t>
              </m:r>
            </m:sub>
          </m:sSub>
          <m:d>
            <m:dPr>
              <m:ctrlPr>
                <w:rPr>
                  <w:rFonts w:ascii="Cambria Math" w:hAnsi="Cambria Math"/>
                  <w:i/>
                </w:rPr>
              </m:ctrlPr>
            </m:dPr>
            <m:e>
              <m:r>
                <w:rPr>
                  <w:rFonts w:ascii="Cambria Math" w:hAnsi="Cambria Math"/>
                </w:rPr>
                <m:t>TSS</m:t>
              </m:r>
            </m:e>
          </m:d>
          <m:r>
            <w:rPr>
              <w:rFonts w:ascii="Cambria Math" w:hAnsi="Cambria Math"/>
            </w:rPr>
            <m:t>+</m:t>
          </m:r>
          <m:sSub>
            <m:sSubPr>
              <m:ctrlPr>
                <w:rPr>
                  <w:rFonts w:ascii="Cambria Math" w:hAnsi="Cambria Math"/>
                  <w:i/>
                </w:rPr>
              </m:ctrlPr>
            </m:sSubPr>
            <m:e>
              <m:r>
                <w:rPr>
                  <w:rFonts w:ascii="Cambria Math" w:hAnsi="Cambria Math"/>
                </w:rPr>
                <m:t>ke</m:t>
              </m:r>
            </m:e>
            <m:sub>
              <m:r>
                <w:rPr>
                  <w:rFonts w:ascii="Cambria Math" w:hAnsi="Cambria Math"/>
                </w:rPr>
                <m:t>Chla</m:t>
              </m:r>
            </m:sub>
          </m:sSub>
          <m:d>
            <m:dPr>
              <m:ctrlPr>
                <w:rPr>
                  <w:rFonts w:ascii="Cambria Math" w:hAnsi="Cambria Math"/>
                  <w:i/>
                </w:rPr>
              </m:ctrlPr>
            </m:dPr>
            <m:e>
              <m:r>
                <w:rPr>
                  <w:rFonts w:ascii="Cambria Math" w:hAnsi="Cambria Math"/>
                </w:rPr>
                <m:t>Chla</m:t>
              </m:r>
            </m:e>
          </m:d>
          <m:r>
            <w:rPr>
              <w:rFonts w:ascii="Cambria Math" w:hAnsi="Cambria Math"/>
            </w:rPr>
            <m:t xml:space="preserve">+ </m:t>
          </m:r>
          <m:sSub>
            <m:sSubPr>
              <m:ctrlPr>
                <w:rPr>
                  <w:rFonts w:ascii="Cambria Math" w:hAnsi="Cambria Math"/>
                  <w:i/>
                </w:rPr>
              </m:ctrlPr>
            </m:sSubPr>
            <m:e>
              <m:r>
                <w:rPr>
                  <w:rFonts w:ascii="Cambria Math" w:hAnsi="Cambria Math"/>
                </w:rPr>
                <m:t>ke</m:t>
              </m:r>
            </m:e>
            <m:sub>
              <m:r>
                <w:rPr>
                  <w:rFonts w:ascii="Cambria Math" w:hAnsi="Cambria Math"/>
                </w:rPr>
                <m:t>POC</m:t>
              </m:r>
            </m:sub>
          </m:sSub>
          <m:r>
            <w:rPr>
              <w:rFonts w:ascii="Cambria Math" w:hAnsi="Cambria Math"/>
            </w:rPr>
            <m:t xml:space="preserve">(RPOC </m:t>
          </m:r>
          <m:r>
            <w:rPr>
              <w:rFonts w:ascii="Cambria Math" w:hAnsi="Cambria Math" w:cs="Times New Roman"/>
            </w:rPr>
            <m:t>+LPOC</m:t>
          </m:r>
          <m:r>
            <w:rPr>
              <w:rFonts w:ascii="Cambria Math" w:hAnsi="Cambria Math"/>
            </w:rPr>
            <m:t xml:space="preserve">) </m:t>
          </m:r>
          <m:r>
            <w:rPr>
              <w:rFonts w:ascii="Cambria Math" w:hAnsi="Cambria Math" w:hint="eastAsia"/>
            </w:rPr>
            <m:t xml:space="preserve"> + </m:t>
          </m:r>
          <m:sSub>
            <m:sSubPr>
              <m:ctrlPr>
                <w:rPr>
                  <w:rFonts w:ascii="Cambria Math" w:hAnsi="Cambria Math"/>
                  <w:i/>
                </w:rPr>
              </m:ctrlPr>
            </m:sSubPr>
            <m:e>
              <m:r>
                <w:rPr>
                  <w:rFonts w:ascii="Cambria Math" w:hAnsi="Cambria Math"/>
                </w:rPr>
                <m:t>ke</m:t>
              </m:r>
            </m:e>
            <m:sub>
              <m:r>
                <w:rPr>
                  <w:rFonts w:ascii="Cambria Math" w:hAnsi="Cambria Math"/>
                </w:rPr>
                <m:t>DOC</m:t>
              </m:r>
            </m:sub>
          </m:sSub>
          <m:r>
            <w:rPr>
              <w:rFonts w:ascii="Cambria Math" w:hAnsi="Cambria Math"/>
            </w:rPr>
            <m:t xml:space="preserve">(DOC) </m:t>
          </m:r>
        </m:oMath>
      </m:oMathPara>
    </w:p>
    <w:p w:rsidR="00206692" w:rsidRPr="00093F25" w:rsidRDefault="00206692" w:rsidP="00206692">
      <w:pPr>
        <w:rPr>
          <w:rFonts w:cs="Times New Roman"/>
        </w:rPr>
      </w:pPr>
      <w:r>
        <w:rPr>
          <w:rFonts w:cs="Times New Roman"/>
        </w:rPr>
        <w:t xml:space="preserve">In this equation, </w:t>
      </w:r>
      <m:oMath>
        <m:sSub>
          <m:sSubPr>
            <m:ctrlPr>
              <w:rPr>
                <w:rFonts w:ascii="Cambria Math" w:hAnsi="Cambria Math" w:cs="Times New Roman"/>
                <w:i/>
              </w:rPr>
            </m:ctrlPr>
          </m:sSubPr>
          <m:e>
            <m:r>
              <w:rPr>
                <w:rFonts w:ascii="Cambria Math" w:hAnsi="Cambria Math" w:cs="Times New Roman"/>
              </w:rPr>
              <m:t>ke</m:t>
            </m:r>
          </m:e>
          <m:sub>
            <m:r>
              <w:rPr>
                <w:rFonts w:ascii="Cambria Math" w:hAnsi="Cambria Math" w:cs="Times New Roman"/>
              </w:rPr>
              <m:t>TSS</m:t>
            </m:r>
          </m:sub>
        </m:sSub>
      </m:oMath>
      <w:r w:rsidRPr="00093F25">
        <w:rPr>
          <w:rFonts w:cs="Times New Roman"/>
        </w:rPr>
        <w:t xml:space="preserve">, </w:t>
      </w:r>
      <m:oMath>
        <m:sSub>
          <m:sSubPr>
            <m:ctrlPr>
              <w:rPr>
                <w:rFonts w:ascii="Cambria Math" w:hAnsi="Cambria Math" w:cs="Times New Roman"/>
                <w:i/>
              </w:rPr>
            </m:ctrlPr>
          </m:sSubPr>
          <m:e>
            <m:r>
              <w:rPr>
                <w:rFonts w:ascii="Cambria Math" w:hAnsi="Cambria Math" w:cs="Times New Roman"/>
              </w:rPr>
              <m:t>ke</m:t>
            </m:r>
          </m:e>
          <m:sub>
            <m:r>
              <w:rPr>
                <w:rFonts w:ascii="Cambria Math" w:hAnsi="Cambria Math" w:cs="Times New Roman"/>
              </w:rPr>
              <m:t>Chla</m:t>
            </m:r>
          </m:sub>
        </m:sSub>
      </m:oMath>
      <w:r w:rsidRPr="00093F25">
        <w:rPr>
          <w:rFonts w:cs="Times New Roman"/>
        </w:rPr>
        <w:t xml:space="preserve">, </w:t>
      </w:r>
      <m:oMath>
        <m:sSub>
          <m:sSubPr>
            <m:ctrlPr>
              <w:rPr>
                <w:rFonts w:ascii="Cambria Math" w:hAnsi="Cambria Math" w:cs="Times New Roman"/>
                <w:i/>
              </w:rPr>
            </m:ctrlPr>
          </m:sSubPr>
          <m:e>
            <m:r>
              <w:rPr>
                <w:rFonts w:ascii="Cambria Math" w:hAnsi="Cambria Math" w:cs="Times New Roman"/>
              </w:rPr>
              <m:t>ke</m:t>
            </m:r>
          </m:e>
          <m:sub>
            <m:r>
              <w:rPr>
                <w:rFonts w:ascii="Cambria Math" w:hAnsi="Cambria Math" w:cs="Times New Roman"/>
              </w:rPr>
              <m:t>DOC</m:t>
            </m:r>
          </m:sub>
        </m:sSub>
      </m:oMath>
      <w:r>
        <w:rPr>
          <w:rFonts w:cs="Times New Roman"/>
        </w:rPr>
        <w:t>,</w:t>
      </w:r>
      <w:r w:rsidRPr="00093F25">
        <w:rPr>
          <w:rFonts w:cs="Times New Roman"/>
        </w:rPr>
        <w:t xml:space="preserve"> and  </w:t>
      </w:r>
      <m:oMath>
        <m:sSub>
          <m:sSubPr>
            <m:ctrlPr>
              <w:rPr>
                <w:rFonts w:ascii="Cambria Math" w:hAnsi="Cambria Math" w:cs="Times New Roman"/>
                <w:i/>
              </w:rPr>
            </m:ctrlPr>
          </m:sSubPr>
          <m:e>
            <m:r>
              <w:rPr>
                <w:rFonts w:ascii="Cambria Math" w:hAnsi="Cambria Math" w:cs="Times New Roman"/>
              </w:rPr>
              <m:t>ke</m:t>
            </m:r>
          </m:e>
          <m:sub>
            <m:r>
              <w:rPr>
                <w:rFonts w:ascii="Cambria Math" w:hAnsi="Cambria Math" w:cs="Times New Roman"/>
              </w:rPr>
              <m:t>POC</m:t>
            </m:r>
          </m:sub>
        </m:sSub>
      </m:oMath>
      <w:r w:rsidRPr="00093F25">
        <w:rPr>
          <w:rFonts w:cs="Times New Roman"/>
        </w:rPr>
        <w:t xml:space="preserve"> are calibration coefficients. </w:t>
      </w:r>
      <w:r w:rsidR="0000273A" w:rsidRPr="00093F25">
        <w:rPr>
          <w:rFonts w:cs="Times New Roman"/>
        </w:rPr>
        <w:t>The light extinction coefficient</w:t>
      </w:r>
      <w:r w:rsidR="0000273A">
        <w:rPr>
          <w:rFonts w:cs="Times New Roman"/>
        </w:rPr>
        <w:t>,</w:t>
      </w:r>
      <w:r w:rsidR="0000273A" w:rsidRPr="00093F25">
        <w:rPr>
          <w:rFonts w:cs="Times New Roman"/>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e</m:t>
            </m:r>
          </m:sub>
        </m:sSub>
      </m:oMath>
      <w:r w:rsidR="0000273A">
        <w:rPr>
          <w:rFonts w:cs="Times New Roman"/>
        </w:rPr>
        <w:t>,</w:t>
      </w:r>
      <w:r w:rsidR="0000273A" w:rsidRPr="00093F25">
        <w:rPr>
          <w:rFonts w:cs="Times New Roman"/>
        </w:rPr>
        <w:t xml:space="preserve"> is computed in </w:t>
      </w:r>
      <w:r w:rsidR="0000273A">
        <w:rPr>
          <w:rFonts w:cs="Times New Roman"/>
        </w:rPr>
        <w:t xml:space="preserve">the </w:t>
      </w:r>
      <w:r w:rsidR="0000273A" w:rsidRPr="00093F25">
        <w:rPr>
          <w:rFonts w:cs="Times New Roman"/>
        </w:rPr>
        <w:t xml:space="preserve">EFDC </w:t>
      </w:r>
      <w:r w:rsidR="0000273A">
        <w:rPr>
          <w:rFonts w:cs="Times New Roman"/>
        </w:rPr>
        <w:t xml:space="preserve">model </w:t>
      </w:r>
      <w:r w:rsidR="0000273A" w:rsidRPr="00093F25">
        <w:rPr>
          <w:rFonts w:cs="Times New Roman"/>
        </w:rPr>
        <w:t>as a linear function of the concentrations of total ino</w:t>
      </w:r>
      <w:r w:rsidR="0000273A">
        <w:rPr>
          <w:rFonts w:cs="Times New Roman"/>
        </w:rPr>
        <w:t>rganic suspended solids (TSS), c</w:t>
      </w:r>
      <w:r w:rsidR="0000273A" w:rsidRPr="00093F25">
        <w:rPr>
          <w:rFonts w:cs="Times New Roman"/>
        </w:rPr>
        <w:t>hlorophyll-</w:t>
      </w:r>
      <w:r w:rsidR="0000273A" w:rsidRPr="0087094D">
        <w:rPr>
          <w:rFonts w:cs="Times New Roman"/>
          <w:i/>
        </w:rPr>
        <w:t>a</w:t>
      </w:r>
      <w:r w:rsidR="0000273A" w:rsidRPr="00093F25">
        <w:rPr>
          <w:rFonts w:cs="Times New Roman"/>
        </w:rPr>
        <w:t xml:space="preserve"> (Chla), </w:t>
      </w:r>
      <w:r w:rsidR="0000273A">
        <w:rPr>
          <w:rFonts w:cs="Times New Roman"/>
        </w:rPr>
        <w:t>d</w:t>
      </w:r>
      <w:r w:rsidR="0000273A" w:rsidRPr="00093F25">
        <w:rPr>
          <w:rFonts w:cs="Times New Roman"/>
        </w:rPr>
        <w:t xml:space="preserve">issolved </w:t>
      </w:r>
      <w:r w:rsidR="0000273A">
        <w:rPr>
          <w:rFonts w:cs="Times New Roman"/>
        </w:rPr>
        <w:t>o</w:t>
      </w:r>
      <w:r w:rsidR="0000273A" w:rsidRPr="00093F25">
        <w:rPr>
          <w:rFonts w:cs="Times New Roman"/>
        </w:rPr>
        <w:t xml:space="preserve">rganic </w:t>
      </w:r>
      <w:r w:rsidR="0000273A">
        <w:rPr>
          <w:rFonts w:cs="Times New Roman"/>
        </w:rPr>
        <w:t>c</w:t>
      </w:r>
      <w:r w:rsidR="0000273A" w:rsidRPr="00093F25">
        <w:rPr>
          <w:rFonts w:cs="Times New Roman"/>
        </w:rPr>
        <w:t>arbon (DOC)</w:t>
      </w:r>
      <w:r w:rsidR="0086131D">
        <w:rPr>
          <w:rFonts w:cs="Times New Roman"/>
        </w:rPr>
        <w:t>,</w:t>
      </w:r>
      <w:r w:rsidR="0000273A" w:rsidRPr="00093F25">
        <w:rPr>
          <w:rFonts w:cs="Times New Roman"/>
        </w:rPr>
        <w:t xml:space="preserve"> and </w:t>
      </w:r>
      <w:r w:rsidR="0000273A">
        <w:rPr>
          <w:rFonts w:cs="Times New Roman"/>
        </w:rPr>
        <w:t>particulate o</w:t>
      </w:r>
      <w:r w:rsidR="0000273A" w:rsidRPr="00093F25">
        <w:rPr>
          <w:rFonts w:cs="Times New Roman"/>
        </w:rPr>
        <w:t xml:space="preserve">rganic </w:t>
      </w:r>
      <w:r w:rsidR="0000273A">
        <w:rPr>
          <w:rFonts w:cs="Times New Roman"/>
        </w:rPr>
        <w:t>c</w:t>
      </w:r>
      <w:r w:rsidR="0000273A" w:rsidRPr="00093F25">
        <w:rPr>
          <w:rFonts w:cs="Times New Roman"/>
        </w:rPr>
        <w:t>arbon (</w:t>
      </w:r>
      <w:r w:rsidR="00B76BE2">
        <w:rPr>
          <w:rFonts w:cs="Times New Roman"/>
        </w:rPr>
        <w:t>POC</w:t>
      </w:r>
      <w:r w:rsidR="0086131D">
        <w:rPr>
          <w:rFonts w:cs="Times New Roman"/>
        </w:rPr>
        <w:t>)</w:t>
      </w:r>
      <w:r w:rsidR="00B76BE2">
        <w:rPr>
          <w:rFonts w:cs="Times New Roman"/>
        </w:rPr>
        <w:t xml:space="preserve">, specifically </w:t>
      </w:r>
      <w:r w:rsidR="0000273A">
        <w:rPr>
          <w:rFonts w:cs="Times New Roman"/>
        </w:rPr>
        <w:t>r</w:t>
      </w:r>
      <w:r w:rsidR="0000273A" w:rsidRPr="00093F25">
        <w:rPr>
          <w:rFonts w:cs="Times New Roman"/>
        </w:rPr>
        <w:t xml:space="preserve">efractory </w:t>
      </w:r>
      <w:r w:rsidR="0000273A">
        <w:rPr>
          <w:rFonts w:cs="Times New Roman"/>
        </w:rPr>
        <w:t>p</w:t>
      </w:r>
      <w:r w:rsidR="0000273A" w:rsidRPr="00093F25">
        <w:rPr>
          <w:rFonts w:cs="Times New Roman"/>
        </w:rPr>
        <w:t xml:space="preserve">articulate </w:t>
      </w:r>
      <w:r w:rsidR="0000273A">
        <w:rPr>
          <w:rFonts w:cs="Times New Roman"/>
        </w:rPr>
        <w:t>o</w:t>
      </w:r>
      <w:r w:rsidR="0000273A" w:rsidRPr="00093F25">
        <w:rPr>
          <w:rFonts w:cs="Times New Roman"/>
        </w:rPr>
        <w:t xml:space="preserve">rganic </w:t>
      </w:r>
      <w:r w:rsidR="0000273A">
        <w:rPr>
          <w:rFonts w:cs="Times New Roman"/>
        </w:rPr>
        <w:t>c</w:t>
      </w:r>
      <w:r w:rsidR="0000273A" w:rsidRPr="00093F25">
        <w:rPr>
          <w:rFonts w:cs="Times New Roman"/>
        </w:rPr>
        <w:t>arbon</w:t>
      </w:r>
      <w:r w:rsidR="0086131D">
        <w:rPr>
          <w:rFonts w:cs="Times New Roman"/>
        </w:rPr>
        <w:t>(</w:t>
      </w:r>
      <w:r w:rsidR="0000273A" w:rsidRPr="00093F25">
        <w:rPr>
          <w:rFonts w:cs="Times New Roman"/>
        </w:rPr>
        <w:t>RPOC</w:t>
      </w:r>
      <w:r w:rsidR="0086131D">
        <w:rPr>
          <w:rFonts w:cs="Times New Roman"/>
        </w:rPr>
        <w:t>)</w:t>
      </w:r>
      <w:r w:rsidR="0000273A" w:rsidRPr="00093F25">
        <w:rPr>
          <w:rFonts w:cs="Times New Roman"/>
        </w:rPr>
        <w:t xml:space="preserve"> plus </w:t>
      </w:r>
      <w:r w:rsidR="0000273A">
        <w:rPr>
          <w:rFonts w:cs="Times New Roman"/>
        </w:rPr>
        <w:t>l</w:t>
      </w:r>
      <w:r w:rsidR="0000273A" w:rsidRPr="00093F25">
        <w:rPr>
          <w:rFonts w:cs="Times New Roman"/>
        </w:rPr>
        <w:t xml:space="preserve">abile </w:t>
      </w:r>
      <w:r w:rsidR="0000273A">
        <w:rPr>
          <w:rFonts w:cs="Times New Roman"/>
        </w:rPr>
        <w:t>o</w:t>
      </w:r>
      <w:r w:rsidR="0000273A" w:rsidRPr="00093F25">
        <w:rPr>
          <w:rFonts w:cs="Times New Roman"/>
        </w:rPr>
        <w:t xml:space="preserve">rganic </w:t>
      </w:r>
      <w:r w:rsidR="0000273A">
        <w:rPr>
          <w:rFonts w:cs="Times New Roman"/>
        </w:rPr>
        <w:t>c</w:t>
      </w:r>
      <w:r w:rsidR="0000273A" w:rsidRPr="00093F25">
        <w:rPr>
          <w:rFonts w:cs="Times New Roman"/>
        </w:rPr>
        <w:t xml:space="preserve">arbon </w:t>
      </w:r>
      <w:r w:rsidR="0086131D">
        <w:rPr>
          <w:rFonts w:cs="Times New Roman"/>
        </w:rPr>
        <w:t>(</w:t>
      </w:r>
      <w:r w:rsidR="0000273A" w:rsidRPr="00093F25">
        <w:rPr>
          <w:rFonts w:cs="Times New Roman"/>
        </w:rPr>
        <w:t xml:space="preserve">LPOC). </w:t>
      </w:r>
      <w:r w:rsidRPr="00093F25">
        <w:rPr>
          <w:rFonts w:cs="Times New Roman"/>
        </w:rPr>
        <w:t>Light distribution in the water column is simulated using the Beer-Lambert model</w:t>
      </w:r>
      <w:r>
        <w:rPr>
          <w:rFonts w:cs="Times New Roman"/>
        </w:rPr>
        <w:t>, which uses the calibrated extinction coefficient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e</m:t>
            </m:r>
          </m:sub>
        </m:sSub>
      </m:oMath>
      <w:r>
        <w:rPr>
          <w:rFonts w:cs="Times New Roman"/>
        </w:rPr>
        <w:t>)</w:t>
      </w:r>
      <w:r w:rsidRPr="00093F25">
        <w:rPr>
          <w:rFonts w:cs="Times New Roman"/>
        </w:rPr>
        <w:t>:</w:t>
      </w:r>
    </w:p>
    <w:p w:rsidR="00206692" w:rsidRPr="00093F25" w:rsidRDefault="00206692" w:rsidP="00206692">
      <w:pPr>
        <w:rPr>
          <w:rFonts w:cs="Times New Roman"/>
        </w:rPr>
      </w:pPr>
      <m:oMathPara>
        <m:oMath>
          <m:r>
            <w:rPr>
              <w:rFonts w:ascii="Cambria Math" w:hAnsi="Cambria Math" w:cs="Times New Roman"/>
            </w:rPr>
            <m:t>I</m:t>
          </m:r>
          <m:d>
            <m:dPr>
              <m:ctrlPr>
                <w:rPr>
                  <w:rFonts w:ascii="Cambria Math" w:hAnsi="Cambria Math" w:cs="Times New Roman"/>
                  <w:i/>
                </w:rPr>
              </m:ctrlPr>
            </m:dPr>
            <m:e>
              <m:r>
                <w:rPr>
                  <w:rFonts w:ascii="Cambria Math" w:hAnsi="Cambria Math" w:cs="Times New Roman"/>
                </w:rPr>
                <m:t>z</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o</m:t>
              </m:r>
            </m:sub>
          </m:sSub>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e</m:t>
                  </m:r>
                </m:sub>
              </m:sSub>
              <m:r>
                <w:rPr>
                  <w:rFonts w:ascii="Cambria Math" w:hAnsi="Cambria Math" w:cs="Times New Roman"/>
                </w:rPr>
                <m:t>z</m:t>
              </m:r>
            </m:sup>
          </m:sSup>
        </m:oMath>
      </m:oMathPara>
    </w:p>
    <w:p w:rsidR="00206692" w:rsidRPr="00093F25" w:rsidRDefault="00206692" w:rsidP="00206692">
      <w:pPr>
        <w:rPr>
          <w:rFonts w:cs="Times New Roman"/>
        </w:rPr>
      </w:pPr>
      <w:r>
        <w:rPr>
          <w:rFonts w:cs="Times New Roman"/>
        </w:rPr>
        <w:t>In the Beer-Lambert model,</w:t>
      </w:r>
      <w:r w:rsidRPr="00093F25">
        <w:rPr>
          <w:rFonts w:cs="Times New Roman"/>
        </w:rPr>
        <w:t xml:space="preserve"> </w:t>
      </w:r>
      <m:oMath>
        <m:r>
          <w:rPr>
            <w:rFonts w:ascii="Cambria Math" w:hAnsi="Cambria Math" w:cs="Times New Roman"/>
          </w:rPr>
          <m:t>I</m:t>
        </m:r>
        <m:d>
          <m:dPr>
            <m:ctrlPr>
              <w:rPr>
                <w:rFonts w:ascii="Cambria Math" w:hAnsi="Cambria Math" w:cs="Times New Roman"/>
                <w:i/>
              </w:rPr>
            </m:ctrlPr>
          </m:dPr>
          <m:e>
            <m:r>
              <w:rPr>
                <w:rFonts w:ascii="Cambria Math" w:hAnsi="Cambria Math" w:cs="Times New Roman"/>
              </w:rPr>
              <m:t>z</m:t>
            </m:r>
          </m:e>
        </m:d>
      </m:oMath>
      <w:r w:rsidRPr="00093F25">
        <w:rPr>
          <w:rFonts w:cs="Times New Roman"/>
        </w:rPr>
        <w:t xml:space="preserve"> is the light intensity at a specific depth (</w:t>
      </w:r>
      <m:oMath>
        <m:r>
          <w:rPr>
            <w:rFonts w:ascii="Cambria Math" w:hAnsi="Cambria Math" w:cs="Times New Roman"/>
          </w:rPr>
          <m:t>z</m:t>
        </m:r>
      </m:oMath>
      <w:r w:rsidRPr="00093F25">
        <w:rPr>
          <w:rFonts w:cs="Times New Roman"/>
        </w:rPr>
        <w:t xml:space="preserve">) from the water surface,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o</m:t>
            </m:r>
          </m:sub>
        </m:sSub>
      </m:oMath>
      <w:r w:rsidRPr="00093F25">
        <w:rPr>
          <w:rFonts w:cs="Times New Roman"/>
        </w:rPr>
        <w:t xml:space="preserve"> is the light intensity at the water surface</w:t>
      </w:r>
      <w:r>
        <w:rPr>
          <w:rFonts w:cs="Times New Roman"/>
        </w:rPr>
        <w:t>,</w:t>
      </w:r>
      <w:r w:rsidRPr="00093F25">
        <w:rPr>
          <w:rFonts w:cs="Times New Roman"/>
        </w:rPr>
        <w:t xml:space="preserve"> and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e</m:t>
            </m:r>
          </m:sub>
        </m:sSub>
      </m:oMath>
      <w:r w:rsidRPr="00093F25">
        <w:rPr>
          <w:rFonts w:cs="Times New Roman"/>
        </w:rPr>
        <w:t xml:space="preserve"> </w:t>
      </w:r>
      <w:r>
        <w:rPr>
          <w:rFonts w:cs="Times New Roman"/>
        </w:rPr>
        <w:t xml:space="preserve">is </w:t>
      </w:r>
      <w:r w:rsidRPr="00093F25">
        <w:rPr>
          <w:rFonts w:cs="Times New Roman"/>
        </w:rPr>
        <w:t>the light attenuation coefficient (units of distance</w:t>
      </w:r>
      <w:r w:rsidRPr="00093F25">
        <w:rPr>
          <w:rFonts w:cs="Times New Roman"/>
          <w:vertAlign w:val="superscript"/>
        </w:rPr>
        <w:t>-1</w:t>
      </w:r>
      <w:r w:rsidRPr="00093F25">
        <w:rPr>
          <w:rFonts w:cs="Times New Roman"/>
        </w:rPr>
        <w:t>). The impacts of light on phytoplankton production</w:t>
      </w:r>
      <w:r w:rsidR="00B76BE2">
        <w:rPr>
          <w:rFonts w:cs="Times New Roman"/>
        </w:rPr>
        <w:t xml:space="preserve"> (represented as chlorophyll-</w:t>
      </w:r>
      <w:r w:rsidR="00B76BE2" w:rsidRPr="00B76BE2">
        <w:rPr>
          <w:rFonts w:cs="Times New Roman"/>
          <w:i/>
        </w:rPr>
        <w:t>a</w:t>
      </w:r>
      <w:r w:rsidR="00B76BE2">
        <w:rPr>
          <w:rFonts w:cs="Times New Roman"/>
        </w:rPr>
        <w:t>)</w:t>
      </w:r>
      <w:r w:rsidRPr="00093F25">
        <w:rPr>
          <w:rFonts w:cs="Times New Roman"/>
        </w:rPr>
        <w:t xml:space="preserve"> are included in </w:t>
      </w:r>
      <w:r>
        <w:rPr>
          <w:rFonts w:cs="Times New Roman"/>
        </w:rPr>
        <w:t xml:space="preserve">the </w:t>
      </w:r>
      <w:r w:rsidRPr="00093F25">
        <w:rPr>
          <w:rFonts w:cs="Times New Roman"/>
        </w:rPr>
        <w:t xml:space="preserve">EFDC </w:t>
      </w:r>
      <w:r>
        <w:rPr>
          <w:rFonts w:cs="Times New Roman"/>
        </w:rPr>
        <w:t xml:space="preserve">model </w:t>
      </w:r>
      <w:r w:rsidRPr="00093F25">
        <w:rPr>
          <w:rFonts w:cs="Times New Roman"/>
        </w:rPr>
        <w:t xml:space="preserve">by assuming that production is directly proportional to the levels of light available in the water column. The general equation for phytoplankton production included in </w:t>
      </w:r>
      <w:r>
        <w:rPr>
          <w:rFonts w:cs="Times New Roman"/>
        </w:rPr>
        <w:t xml:space="preserve">the </w:t>
      </w:r>
      <w:r w:rsidRPr="00093F25">
        <w:rPr>
          <w:rFonts w:cs="Times New Roman"/>
        </w:rPr>
        <w:t>EFDC</w:t>
      </w:r>
      <w:r>
        <w:rPr>
          <w:rFonts w:cs="Times New Roman"/>
        </w:rPr>
        <w:t xml:space="preserve"> model</w:t>
      </w:r>
      <w:r w:rsidRPr="00093F25">
        <w:rPr>
          <w:rFonts w:cs="Times New Roman"/>
        </w:rPr>
        <w:t xml:space="preserve"> is expressed as</w:t>
      </w:r>
      <w:r>
        <w:rPr>
          <w:rFonts w:cs="Times New Roman"/>
        </w:rPr>
        <w:t>:</w:t>
      </w:r>
    </w:p>
    <w:p w:rsidR="00206692" w:rsidRPr="00093F25" w:rsidRDefault="00206692" w:rsidP="00206692">
      <w:pPr>
        <w:rPr>
          <w:rFonts w:cs="Times New Roman"/>
        </w:rPr>
      </w:pPr>
      <m:oMathPara>
        <m:oMath>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Max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3</m:t>
              </m:r>
            </m:sub>
          </m:sSub>
        </m:oMath>
      </m:oMathPara>
    </w:p>
    <w:p w:rsidR="00206692" w:rsidRPr="00093F25" w:rsidRDefault="00206692" w:rsidP="00206692">
      <w:pPr>
        <w:rPr>
          <w:rFonts w:cs="Times New Roman"/>
        </w:rPr>
      </w:pPr>
      <w:r>
        <w:rPr>
          <w:rFonts w:cs="Times New Roman"/>
        </w:rPr>
        <w:t>In the equation,</w:t>
      </w:r>
      <w:r w:rsidRPr="00093F25">
        <w:rPr>
          <w:rFonts w:cs="Times New Roman"/>
        </w:rPr>
        <w:t xml:space="preserv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Max</m:t>
            </m:r>
          </m:sub>
        </m:sSub>
      </m:oMath>
      <w:r w:rsidRPr="00093F25">
        <w:rPr>
          <w:rFonts w:cs="Times New Roman"/>
        </w:rPr>
        <w:t xml:space="preserve"> is the maximum rate of phytoplankton production under optimal conditions of nutrients, light</w:t>
      </w:r>
      <w:r>
        <w:rPr>
          <w:rFonts w:cs="Times New Roman"/>
        </w:rPr>
        <w:t>,</w:t>
      </w:r>
      <w:r w:rsidRPr="00093F25">
        <w:rPr>
          <w:rFonts w:cs="Times New Roman"/>
        </w:rPr>
        <w:t xml:space="preserve"> and temperature;</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m:t>
            </m:r>
          </m:sub>
        </m:sSub>
      </m:oMath>
      <w:r w:rsidRPr="00093F25">
        <w:rPr>
          <w:rFonts w:cs="Times New Roman"/>
        </w:rPr>
        <w:t xml:space="preserv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oMath>
      <w:r>
        <w:rPr>
          <w:rFonts w:cs="Times New Roman"/>
        </w:rPr>
        <w:t>,</w:t>
      </w:r>
      <w:r w:rsidRPr="00093F25">
        <w:rPr>
          <w:rFonts w:cs="Times New Roman"/>
        </w:rPr>
        <w:t xml:space="preserve"> and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3</m:t>
            </m:r>
          </m:sub>
        </m:sSub>
      </m:oMath>
      <w:r w:rsidRPr="00093F25">
        <w:rPr>
          <w:rFonts w:cs="Times New Roman"/>
        </w:rPr>
        <w:t xml:space="preserve"> (</w:t>
      </w:r>
      <m:oMath>
        <m:r>
          <w:rPr>
            <w:rFonts w:ascii="Cambria Math" w:hAnsi="Cambria Math" w:cs="Times New Roman"/>
          </w:rPr>
          <m:t>0≤</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m:t>
            </m:r>
          </m:sub>
        </m:sSub>
        <m:r>
          <w:rPr>
            <w:rFonts w:ascii="Cambria Math" w:hAnsi="Cambria Math" w:cs="Times New Roman"/>
          </w:rPr>
          <m:t>≤1</m:t>
        </m:r>
      </m:oMath>
      <w:r w:rsidRPr="00093F25">
        <w:rPr>
          <w:rFonts w:cs="Times New Roman"/>
        </w:rPr>
        <w:t>) are dimensionless limiting factors for phytoplankton growth due to nutrients, light</w:t>
      </w:r>
      <w:r>
        <w:rPr>
          <w:rFonts w:cs="Times New Roman"/>
        </w:rPr>
        <w:t>,</w:t>
      </w:r>
      <w:r w:rsidRPr="00093F25">
        <w:rPr>
          <w:rFonts w:cs="Times New Roman"/>
        </w:rPr>
        <w:t xml:space="preserve"> and temperature</w:t>
      </w:r>
      <w:r>
        <w:rPr>
          <w:rFonts w:cs="Times New Roman"/>
        </w:rPr>
        <w:t>,</w:t>
      </w:r>
      <w:r w:rsidRPr="00093F25">
        <w:rPr>
          <w:rFonts w:cs="Times New Roman"/>
        </w:rPr>
        <w:t xml:space="preserve"> respectively</w:t>
      </w:r>
      <w:r>
        <w:rPr>
          <w:rFonts w:cs="Times New Roman"/>
        </w:rPr>
        <w:t>;</w:t>
      </w:r>
      <w:r w:rsidRPr="00093F25">
        <w:rPr>
          <w:rFonts w:cs="Times New Roman"/>
        </w:rPr>
        <w:t xml:space="preserve"> and </w:t>
      </w:r>
      <m:oMath>
        <m:r>
          <w:rPr>
            <w:rFonts w:ascii="Cambria Math" w:hAnsi="Cambria Math" w:cs="Times New Roman"/>
          </w:rPr>
          <m:t>P</m:t>
        </m:r>
      </m:oMath>
      <w:r w:rsidRPr="00093F25">
        <w:rPr>
          <w:rFonts w:cs="Times New Roman"/>
        </w:rPr>
        <w:t xml:space="preserve"> is the resulting rate of phytoplankton production. The computational details of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m:t>
            </m:r>
          </m:sub>
        </m:sSub>
      </m:oMath>
      <w:r w:rsidRPr="00093F25">
        <w:rPr>
          <w:rFonts w:cs="Times New Roman"/>
        </w:rPr>
        <w:t xml:space="preserve"> and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3</m:t>
            </m:r>
          </m:sub>
        </m:sSub>
      </m:oMath>
      <w:r w:rsidRPr="00093F25">
        <w:rPr>
          <w:rFonts w:cs="Times New Roman"/>
        </w:rPr>
        <w:t xml:space="preserve"> are presented in Tetra Tech (2007). </w:t>
      </w:r>
      <w:r>
        <w:rPr>
          <w:rFonts w:cs="Times New Roman"/>
        </w:rPr>
        <w:t>T</w:t>
      </w:r>
      <w:r w:rsidRPr="00093F25">
        <w:rPr>
          <w:rFonts w:cs="Times New Roman"/>
        </w:rPr>
        <w:t xml:space="preserve">he limiting factor for light is computed in </w:t>
      </w:r>
      <w:r>
        <w:rPr>
          <w:rFonts w:cs="Times New Roman"/>
        </w:rPr>
        <w:t xml:space="preserve">the </w:t>
      </w:r>
      <w:r w:rsidRPr="00093F25">
        <w:rPr>
          <w:rFonts w:cs="Times New Roman"/>
        </w:rPr>
        <w:t>EFDC</w:t>
      </w:r>
      <w:r>
        <w:rPr>
          <w:rFonts w:cs="Times New Roman"/>
        </w:rPr>
        <w:t xml:space="preserve"> model</w:t>
      </w:r>
      <w:r w:rsidRPr="00093F25">
        <w:rPr>
          <w:rFonts w:cs="Times New Roman"/>
        </w:rPr>
        <w:t xml:space="preserve"> for each vertical layer using the Steele (1962) model:  </w:t>
      </w:r>
    </w:p>
    <w:p w:rsidR="00206692" w:rsidRPr="00093F25" w:rsidRDefault="00F5600E" w:rsidP="00206692">
      <w:pPr>
        <w:rPr>
          <w:rFonts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2.718*FD</m:t>
              </m:r>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b</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T</m:t>
                  </m:r>
                </m:sub>
              </m:sSub>
              <m:r>
                <w:rPr>
                  <w:rFonts w:ascii="Cambria Math" w:hAnsi="Cambria Math" w:cs="Times New Roman"/>
                </w:rPr>
                <m:t>)</m:t>
              </m:r>
            </m:den>
          </m:f>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-φ</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b</m:t>
                          </m:r>
                        </m:sub>
                      </m:sSub>
                    </m:sup>
                  </m:sSup>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-φ</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e</m:t>
                          </m:r>
                        </m:sub>
                      </m:sSub>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T</m:t>
                          </m:r>
                        </m:sub>
                      </m:sSub>
                    </m:sup>
                  </m:sSup>
                </m:sup>
              </m:sSup>
            </m:e>
          </m:d>
        </m:oMath>
      </m:oMathPara>
    </w:p>
    <w:p w:rsidR="0000273A" w:rsidRDefault="00206692" w:rsidP="0000273A">
      <w:pPr>
        <w:rPr>
          <w:rFonts w:cs="Times New Roman"/>
        </w:rPr>
      </w:pPr>
      <w:r>
        <w:rPr>
          <w:rFonts w:cs="Times New Roman"/>
        </w:rPr>
        <w:t xml:space="preserve">In the Steele (1962) model, </w:t>
      </w:r>
      <m:oMath>
        <m:r>
          <w:rPr>
            <w:rFonts w:ascii="Cambria Math" w:hAnsi="Cambria Math" w:cs="Times New Roman"/>
          </w:rPr>
          <m:t>φ=</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o</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s</m:t>
            </m:r>
          </m:sub>
        </m:sSub>
      </m:oMath>
      <w:r w:rsidRPr="00093F25">
        <w:rPr>
          <w:rFonts w:cs="Times New Roman"/>
        </w:rPr>
        <w:t xml:space="preserve"> </w:t>
      </w:r>
      <w:r>
        <w:rPr>
          <w:rFonts w:cs="Times New Roman"/>
        </w:rPr>
        <w:t>where</w:t>
      </w:r>
      <w:r w:rsidRPr="00093F25">
        <w:rPr>
          <w:rFonts w:cs="Times New Roman"/>
        </w:rPr>
        <w:t xml:space="preserv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s</m:t>
            </m:r>
          </m:sub>
        </m:sSub>
      </m:oMath>
      <w:r w:rsidRPr="00093F25">
        <w:rPr>
          <w:rFonts w:cs="Times New Roman"/>
        </w:rPr>
        <w:t xml:space="preserve"> is the optimal light intensity for phytoplankton production</w:t>
      </w:r>
      <w:r>
        <w:rPr>
          <w:rFonts w:cs="Times New Roman"/>
        </w:rPr>
        <w:t xml:space="preserve">, </w:t>
      </w: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b</m:t>
            </m:r>
          </m:sub>
        </m:sSub>
      </m:oMath>
      <w:r w:rsidRPr="00093F25">
        <w:rPr>
          <w:rFonts w:cs="Times New Roman"/>
        </w:rPr>
        <w:t xml:space="preserve"> and </w:t>
      </w: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T</m:t>
            </m:r>
          </m:sub>
        </m:sSub>
      </m:oMath>
      <w:r w:rsidRPr="00093F25">
        <w:rPr>
          <w:rFonts w:cs="Times New Roman"/>
        </w:rPr>
        <w:t xml:space="preserve"> are the depths of the bottom and top boundaries of a layer</w:t>
      </w:r>
      <w:r>
        <w:rPr>
          <w:rFonts w:cs="Times New Roman"/>
        </w:rPr>
        <w:t>,</w:t>
      </w:r>
      <w:r w:rsidRPr="00093F25">
        <w:rPr>
          <w:rFonts w:cs="Times New Roman"/>
        </w:rPr>
        <w:t xml:space="preserve"> and </w:t>
      </w:r>
      <m:oMath>
        <m:r>
          <w:rPr>
            <w:rFonts w:ascii="Cambria Math" w:hAnsi="Cambria Math" w:cs="Times New Roman"/>
          </w:rPr>
          <m:t>FD</m:t>
        </m:r>
      </m:oMath>
      <w:r w:rsidRPr="00093F25">
        <w:rPr>
          <w:rFonts w:cs="Times New Roman"/>
        </w:rPr>
        <w:t xml:space="preserve"> the fraction of day with light. </w:t>
      </w:r>
    </w:p>
    <w:p w:rsidR="005D2C38" w:rsidRPr="006F204E" w:rsidRDefault="00EB558B" w:rsidP="0000273A">
      <w:pPr>
        <w:pStyle w:val="Heading1"/>
      </w:pPr>
      <w:r>
        <w:t xml:space="preserve">efdc WATER QUALITY </w:t>
      </w:r>
      <w:r w:rsidR="00833D83">
        <w:t>Boundary Conditions</w:t>
      </w:r>
    </w:p>
    <w:p w:rsidR="00887A00" w:rsidRDefault="00887A00" w:rsidP="00833D83">
      <w:r w:rsidRPr="00B76BE2">
        <w:t>Task 6 focused on calibrating the Caloosahatchee River EFDC water quality model. As part of the calibration, water quality boundary conditions for both the open water and freshwater boundaries were input into the model. The open water boundaries</w:t>
      </w:r>
      <w:r w:rsidR="00B76BE2" w:rsidRPr="00B76BE2">
        <w:t>, located at the Gulf of Mexico, Matlacha Pass, and Pine Island Sound,</w:t>
      </w:r>
      <w:r w:rsidRPr="00B76BE2">
        <w:t xml:space="preserve"> </w:t>
      </w:r>
      <w:r w:rsidR="00B76BE2" w:rsidRPr="00B76BE2">
        <w:t xml:space="preserve">were determined </w:t>
      </w:r>
      <w:r w:rsidRPr="00B76BE2">
        <w:t>us</w:t>
      </w:r>
      <w:r w:rsidR="00EA0B75">
        <w:t>in</w:t>
      </w:r>
      <w:r w:rsidR="00B76BE2" w:rsidRPr="00B76BE2">
        <w:t>g</w:t>
      </w:r>
      <w:r w:rsidRPr="00B76BE2">
        <w:t xml:space="preserve"> measured data, and </w:t>
      </w:r>
      <w:r w:rsidR="00B76BE2" w:rsidRPr="00B76BE2">
        <w:t xml:space="preserve">freshwater boundaries, including flows </w:t>
      </w:r>
      <w:r w:rsidR="00B15249">
        <w:t>and water quality constituents</w:t>
      </w:r>
      <w:r w:rsidR="00B15249" w:rsidRPr="00B76BE2">
        <w:t xml:space="preserve"> </w:t>
      </w:r>
      <w:r w:rsidR="00B76BE2" w:rsidRPr="00B76BE2">
        <w:t xml:space="preserve">from S-79 and other tributaries, were supplied by the </w:t>
      </w:r>
      <w:r w:rsidRPr="00B76BE2">
        <w:t>Caloosahatchee River HSPF model. These boundary conditions were used to drive water quality in the Caloosahatchee River Estuary, which directly impacts the light attenuation calibration.</w:t>
      </w:r>
    </w:p>
    <w:p w:rsidR="00833D83" w:rsidRDefault="00833D83" w:rsidP="00833D83">
      <w:r w:rsidRPr="003B77A0">
        <w:t xml:space="preserve">Tetra Tech used available observations near the Matlacha Pass and Pine Island Sound northern </w:t>
      </w:r>
      <w:r>
        <w:t xml:space="preserve">model </w:t>
      </w:r>
      <w:r w:rsidRPr="003B77A0">
        <w:t xml:space="preserve">boundaries to construct </w:t>
      </w:r>
      <w:r>
        <w:t xml:space="preserve">the boundary </w:t>
      </w:r>
      <w:r w:rsidRPr="003B77A0">
        <w:t xml:space="preserve">time series of water quality concentrations. Monitoring stations in the immediate vicinity of the boundaries were selected as the basis to construct the water quality time series for </w:t>
      </w:r>
      <w:r w:rsidR="00887A00">
        <w:t xml:space="preserve">nutrients, </w:t>
      </w:r>
      <w:r w:rsidR="00887A00" w:rsidRPr="00C040C5">
        <w:t>phytoplankton biomass</w:t>
      </w:r>
      <w:r w:rsidR="00231BCC">
        <w:t>, and TSS</w:t>
      </w:r>
      <w:r w:rsidRPr="003B77A0">
        <w:t xml:space="preserve">. </w:t>
      </w:r>
      <w:r w:rsidRPr="003B77A0">
        <w:rPr>
          <w:b/>
        </w:rPr>
        <w:fldChar w:fldCharType="begin"/>
      </w:r>
      <w:r w:rsidRPr="003B77A0">
        <w:rPr>
          <w:b/>
        </w:rPr>
        <w:instrText xml:space="preserve"> REF _Ref452552401 \h  \* MERGEFORMAT </w:instrText>
      </w:r>
      <w:r w:rsidRPr="003B77A0">
        <w:rPr>
          <w:b/>
        </w:rPr>
      </w:r>
      <w:r w:rsidRPr="003B77A0">
        <w:rPr>
          <w:b/>
        </w:rPr>
        <w:fldChar w:fldCharType="separate"/>
      </w:r>
      <w:r w:rsidR="00E2646D" w:rsidRPr="00E2646D">
        <w:rPr>
          <w:b/>
        </w:rPr>
        <w:t xml:space="preserve">Table </w:t>
      </w:r>
      <w:r w:rsidR="00E2646D" w:rsidRPr="00E2646D">
        <w:rPr>
          <w:b/>
          <w:noProof/>
        </w:rPr>
        <w:t>1</w:t>
      </w:r>
      <w:r w:rsidRPr="003B77A0">
        <w:rPr>
          <w:b/>
        </w:rPr>
        <w:fldChar w:fldCharType="end"/>
      </w:r>
      <w:r w:rsidRPr="003B77A0">
        <w:t xml:space="preserve"> lists the stations used to de</w:t>
      </w:r>
      <w:r w:rsidR="00887A00">
        <w:t>velop the water quality boundaries</w:t>
      </w:r>
      <w:r w:rsidRPr="003B77A0">
        <w:t>.</w:t>
      </w:r>
      <w:r>
        <w:t xml:space="preserve"> The stations are in a variety of locations, including the deep channel and immediately adjacent to marsh outflows. By </w:t>
      </w:r>
      <w:r w:rsidRPr="003B77A0">
        <w:t xml:space="preserve">combining the available data from the stations into one time series, the open boundary is able to reflect the </w:t>
      </w:r>
      <w:r w:rsidRPr="00C040C5">
        <w:t xml:space="preserve">overall water quality inputs at the northern boundaries. </w:t>
      </w:r>
    </w:p>
    <w:p w:rsidR="00833D83" w:rsidRDefault="00833D83" w:rsidP="00833D83">
      <w:pPr>
        <w:pStyle w:val="Caption"/>
        <w:keepNext/>
        <w:spacing w:after="0"/>
      </w:pPr>
      <w:bookmarkStart w:id="1" w:name="_Ref452552401"/>
      <w:bookmarkStart w:id="2" w:name="_Toc456078283"/>
      <w:r>
        <w:t xml:space="preserve">Table </w:t>
      </w:r>
      <w:r w:rsidR="00F5600E">
        <w:fldChar w:fldCharType="begin"/>
      </w:r>
      <w:r w:rsidR="00F5600E">
        <w:instrText xml:space="preserve"> SEQ Table \* ARABIC </w:instrText>
      </w:r>
      <w:r w:rsidR="00F5600E">
        <w:fldChar w:fldCharType="separate"/>
      </w:r>
      <w:r w:rsidR="00E2646D">
        <w:rPr>
          <w:noProof/>
        </w:rPr>
        <w:t>1</w:t>
      </w:r>
      <w:r w:rsidR="00F5600E">
        <w:rPr>
          <w:noProof/>
        </w:rPr>
        <w:fldChar w:fldCharType="end"/>
      </w:r>
      <w:bookmarkEnd w:id="1"/>
      <w:r>
        <w:t>: Monitoring stations used to develop the water quality time series for the northern boundary cells</w:t>
      </w:r>
      <w:bookmarkEnd w:id="2"/>
    </w:p>
    <w:tbl>
      <w:tblPr>
        <w:tblW w:w="8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2"/>
        <w:gridCol w:w="2407"/>
      </w:tblGrid>
      <w:tr w:rsidR="00833D83" w:rsidRPr="00676B55" w:rsidTr="00653AAE">
        <w:trPr>
          <w:trHeight w:val="70"/>
          <w:tblHeader/>
          <w:jc w:val="center"/>
        </w:trPr>
        <w:tc>
          <w:tcPr>
            <w:tcW w:w="6582" w:type="dxa"/>
            <w:shd w:val="clear" w:color="auto" w:fill="D9D9D9" w:themeFill="background1" w:themeFillShade="D9"/>
            <w:vAlign w:val="center"/>
          </w:tcPr>
          <w:p w:rsidR="00833D83" w:rsidRPr="00676B55" w:rsidRDefault="00833D83" w:rsidP="00653AAE">
            <w:pPr>
              <w:keepNext/>
              <w:spacing w:after="0"/>
              <w:jc w:val="center"/>
              <w:rPr>
                <w:rFonts w:ascii="Arial" w:eastAsia="Times New Roman" w:hAnsi="Arial" w:cs="Arial"/>
                <w:b/>
                <w:color w:val="000000"/>
                <w:sz w:val="20"/>
              </w:rPr>
            </w:pPr>
            <w:r w:rsidRPr="00676B55">
              <w:rPr>
                <w:rFonts w:ascii="Arial" w:eastAsia="Times New Roman" w:hAnsi="Arial" w:cs="Arial"/>
                <w:b/>
                <w:color w:val="000000"/>
                <w:sz w:val="20"/>
              </w:rPr>
              <w:t>Location</w:t>
            </w:r>
          </w:p>
        </w:tc>
        <w:tc>
          <w:tcPr>
            <w:tcW w:w="2407" w:type="dxa"/>
            <w:shd w:val="clear" w:color="auto" w:fill="D9D9D9" w:themeFill="background1" w:themeFillShade="D9"/>
            <w:vAlign w:val="center"/>
          </w:tcPr>
          <w:p w:rsidR="00833D83" w:rsidRPr="00676B55" w:rsidRDefault="00833D83" w:rsidP="00653AAE">
            <w:pPr>
              <w:keepNext/>
              <w:spacing w:after="0"/>
              <w:jc w:val="center"/>
              <w:rPr>
                <w:rFonts w:ascii="Arial" w:eastAsia="Times New Roman" w:hAnsi="Arial" w:cs="Arial"/>
                <w:b/>
                <w:color w:val="000000"/>
                <w:sz w:val="20"/>
              </w:rPr>
            </w:pPr>
            <w:r w:rsidRPr="00676B55">
              <w:rPr>
                <w:rFonts w:ascii="Arial" w:eastAsia="Times New Roman" w:hAnsi="Arial" w:cs="Arial"/>
                <w:b/>
                <w:color w:val="000000"/>
                <w:sz w:val="20"/>
              </w:rPr>
              <w:t>Station ID</w:t>
            </w:r>
          </w:p>
        </w:tc>
      </w:tr>
      <w:tr w:rsidR="00833D83" w:rsidRPr="00676B55" w:rsidTr="00653AAE">
        <w:trPr>
          <w:trHeight w:val="70"/>
          <w:jc w:val="center"/>
        </w:trPr>
        <w:tc>
          <w:tcPr>
            <w:tcW w:w="6582" w:type="dxa"/>
            <w:vAlign w:val="center"/>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Matlacha Pass</w:t>
            </w:r>
          </w:p>
        </w:tc>
        <w:tc>
          <w:tcPr>
            <w:tcW w:w="2407" w:type="dxa"/>
            <w:vAlign w:val="bottom"/>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21FLCHARMPV001</w:t>
            </w:r>
          </w:p>
        </w:tc>
      </w:tr>
      <w:tr w:rsidR="00833D83" w:rsidRPr="00676B55" w:rsidTr="00653AAE">
        <w:trPr>
          <w:trHeight w:val="70"/>
          <w:jc w:val="center"/>
        </w:trPr>
        <w:tc>
          <w:tcPr>
            <w:tcW w:w="6582" w:type="dxa"/>
            <w:vAlign w:val="center"/>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Matlacha Pass</w:t>
            </w:r>
          </w:p>
        </w:tc>
        <w:tc>
          <w:tcPr>
            <w:tcW w:w="2407" w:type="dxa"/>
            <w:vAlign w:val="bottom"/>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21FLCHARMPV002</w:t>
            </w:r>
          </w:p>
        </w:tc>
      </w:tr>
      <w:tr w:rsidR="00833D83" w:rsidRPr="00676B55" w:rsidTr="00653AAE">
        <w:trPr>
          <w:trHeight w:val="70"/>
          <w:jc w:val="center"/>
        </w:trPr>
        <w:tc>
          <w:tcPr>
            <w:tcW w:w="6582" w:type="dxa"/>
            <w:vAlign w:val="center"/>
          </w:tcPr>
          <w:p w:rsidR="00833D83" w:rsidRPr="0043770F" w:rsidRDefault="00833D83" w:rsidP="00653AAE">
            <w:pPr>
              <w:keepNext/>
              <w:spacing w:after="0"/>
              <w:rPr>
                <w:rFonts w:ascii="Arial" w:eastAsia="Times New Roman" w:hAnsi="Arial" w:cs="Arial"/>
                <w:b/>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Matlacha Pass</w:t>
            </w:r>
          </w:p>
        </w:tc>
        <w:tc>
          <w:tcPr>
            <w:tcW w:w="2407" w:type="dxa"/>
            <w:vAlign w:val="bottom"/>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21FLEECOPI-0</w:t>
            </w:r>
            <w:r>
              <w:rPr>
                <w:rFonts w:ascii="Arial" w:eastAsia="Times New Roman" w:hAnsi="Arial" w:cs="Arial"/>
                <w:color w:val="000000"/>
                <w:sz w:val="20"/>
              </w:rPr>
              <w:t>3</w:t>
            </w:r>
          </w:p>
        </w:tc>
      </w:tr>
      <w:tr w:rsidR="00833D83" w:rsidRPr="00676B55" w:rsidTr="00653AAE">
        <w:trPr>
          <w:trHeight w:val="70"/>
          <w:jc w:val="center"/>
        </w:trPr>
        <w:tc>
          <w:tcPr>
            <w:tcW w:w="6582" w:type="dxa"/>
            <w:vAlign w:val="center"/>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Matlacha Pass</w:t>
            </w:r>
          </w:p>
        </w:tc>
        <w:tc>
          <w:tcPr>
            <w:tcW w:w="2407" w:type="dxa"/>
            <w:vAlign w:val="bottom"/>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21FLEECOPI-04</w:t>
            </w:r>
          </w:p>
        </w:tc>
      </w:tr>
      <w:tr w:rsidR="00833D83" w:rsidRPr="00676B55" w:rsidTr="00653AAE">
        <w:trPr>
          <w:trHeight w:val="70"/>
          <w:jc w:val="center"/>
        </w:trPr>
        <w:tc>
          <w:tcPr>
            <w:tcW w:w="6582" w:type="dxa"/>
            <w:vAlign w:val="center"/>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Matlacha Pass</w:t>
            </w:r>
          </w:p>
        </w:tc>
        <w:tc>
          <w:tcPr>
            <w:tcW w:w="2407" w:type="dxa"/>
            <w:vAlign w:val="bottom"/>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21FLEECOPI-05</w:t>
            </w:r>
          </w:p>
        </w:tc>
      </w:tr>
      <w:tr w:rsidR="00833D83" w:rsidRPr="00676B55" w:rsidTr="00653AAE">
        <w:trPr>
          <w:trHeight w:val="70"/>
          <w:jc w:val="center"/>
        </w:trPr>
        <w:tc>
          <w:tcPr>
            <w:tcW w:w="6582" w:type="dxa"/>
            <w:vAlign w:val="center"/>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Matlacha Pass</w:t>
            </w:r>
          </w:p>
        </w:tc>
        <w:tc>
          <w:tcPr>
            <w:tcW w:w="2407" w:type="dxa"/>
            <w:vAlign w:val="bottom"/>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21FLSEAS62SEAS020</w:t>
            </w:r>
          </w:p>
        </w:tc>
      </w:tr>
      <w:tr w:rsidR="00833D83" w:rsidRPr="00676B55" w:rsidTr="00653AAE">
        <w:trPr>
          <w:trHeight w:val="70"/>
          <w:jc w:val="center"/>
        </w:trPr>
        <w:tc>
          <w:tcPr>
            <w:tcW w:w="6582" w:type="dxa"/>
            <w:vAlign w:val="center"/>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Matlacha Pass</w:t>
            </w:r>
          </w:p>
        </w:tc>
        <w:tc>
          <w:tcPr>
            <w:tcW w:w="2407" w:type="dxa"/>
            <w:vAlign w:val="bottom"/>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21FLSEAS62SEAS401</w:t>
            </w:r>
          </w:p>
        </w:tc>
      </w:tr>
      <w:tr w:rsidR="00833D83" w:rsidRPr="00676B55" w:rsidTr="00653AAE">
        <w:trPr>
          <w:trHeight w:val="70"/>
          <w:jc w:val="center"/>
        </w:trPr>
        <w:tc>
          <w:tcPr>
            <w:tcW w:w="6582" w:type="dxa"/>
            <w:vAlign w:val="center"/>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J=44</w:t>
            </w:r>
            <w:r>
              <w:rPr>
                <w:rFonts w:ascii="Arial" w:eastAsia="Times New Roman" w:hAnsi="Arial" w:cs="Arial"/>
                <w:color w:val="000000"/>
                <w:sz w:val="20"/>
              </w:rPr>
              <w:t>, Pine Island Sound</w:t>
            </w:r>
          </w:p>
        </w:tc>
        <w:tc>
          <w:tcPr>
            <w:tcW w:w="2407" w:type="dxa"/>
            <w:vAlign w:val="bottom"/>
          </w:tcPr>
          <w:p w:rsidR="00833D83" w:rsidRPr="00676B55" w:rsidRDefault="00833D83" w:rsidP="00653AAE">
            <w:pPr>
              <w:keepNext/>
              <w:spacing w:after="0"/>
              <w:rPr>
                <w:rFonts w:ascii="Arial" w:eastAsia="Times New Roman" w:hAnsi="Arial" w:cs="Arial"/>
                <w:color w:val="000000"/>
                <w:sz w:val="20"/>
              </w:rPr>
            </w:pPr>
            <w:r w:rsidRPr="00676B55">
              <w:rPr>
                <w:rFonts w:ascii="Arial" w:eastAsia="Times New Roman" w:hAnsi="Arial" w:cs="Arial"/>
                <w:color w:val="000000"/>
                <w:sz w:val="20"/>
              </w:rPr>
              <w:t>21FLCHARPIV004</w:t>
            </w:r>
          </w:p>
        </w:tc>
      </w:tr>
      <w:tr w:rsidR="00833D83" w:rsidRPr="00676B55" w:rsidTr="00653AAE">
        <w:trPr>
          <w:trHeight w:val="70"/>
          <w:jc w:val="center"/>
        </w:trPr>
        <w:tc>
          <w:tcPr>
            <w:tcW w:w="6582" w:type="dxa"/>
          </w:tcPr>
          <w:p w:rsidR="00833D83" w:rsidRPr="00676B55" w:rsidRDefault="00833D83" w:rsidP="00653AAE">
            <w:pPr>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J=44</w:t>
            </w:r>
            <w:r>
              <w:rPr>
                <w:rFonts w:ascii="Arial" w:eastAsia="Times New Roman" w:hAnsi="Arial" w:cs="Arial"/>
                <w:color w:val="000000"/>
                <w:sz w:val="20"/>
              </w:rPr>
              <w:t>, Pine Island Sound</w:t>
            </w:r>
          </w:p>
        </w:tc>
        <w:tc>
          <w:tcPr>
            <w:tcW w:w="2407" w:type="dxa"/>
            <w:vAlign w:val="bottom"/>
          </w:tcPr>
          <w:p w:rsidR="00833D83" w:rsidRPr="00676B55" w:rsidRDefault="00833D83" w:rsidP="00653AAE">
            <w:pPr>
              <w:spacing w:after="0"/>
              <w:rPr>
                <w:rFonts w:ascii="Arial" w:eastAsia="Times New Roman" w:hAnsi="Arial" w:cs="Arial"/>
                <w:color w:val="000000"/>
                <w:sz w:val="20"/>
              </w:rPr>
            </w:pPr>
            <w:r w:rsidRPr="00676B55">
              <w:rPr>
                <w:rFonts w:ascii="Arial" w:eastAsia="Times New Roman" w:hAnsi="Arial" w:cs="Arial"/>
                <w:color w:val="000000"/>
                <w:sz w:val="20"/>
              </w:rPr>
              <w:t>21FLEECOPI-10</w:t>
            </w:r>
          </w:p>
        </w:tc>
      </w:tr>
      <w:tr w:rsidR="00833D83" w:rsidRPr="00676B55" w:rsidTr="00653AAE">
        <w:trPr>
          <w:trHeight w:val="70"/>
          <w:jc w:val="center"/>
        </w:trPr>
        <w:tc>
          <w:tcPr>
            <w:tcW w:w="6582" w:type="dxa"/>
          </w:tcPr>
          <w:p w:rsidR="00833D83" w:rsidRPr="00676B55" w:rsidRDefault="00833D83" w:rsidP="00653AAE">
            <w:pPr>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J=44</w:t>
            </w:r>
            <w:r>
              <w:rPr>
                <w:rFonts w:ascii="Arial" w:eastAsia="Times New Roman" w:hAnsi="Arial" w:cs="Arial"/>
                <w:color w:val="000000"/>
                <w:sz w:val="20"/>
              </w:rPr>
              <w:t>, Pine Island Sound</w:t>
            </w:r>
          </w:p>
        </w:tc>
        <w:tc>
          <w:tcPr>
            <w:tcW w:w="2407" w:type="dxa"/>
            <w:vAlign w:val="bottom"/>
          </w:tcPr>
          <w:p w:rsidR="00833D83" w:rsidRPr="00676B55" w:rsidRDefault="00833D83" w:rsidP="00653AAE">
            <w:pPr>
              <w:spacing w:after="0"/>
              <w:rPr>
                <w:rFonts w:ascii="Arial" w:eastAsia="Times New Roman" w:hAnsi="Arial" w:cs="Arial"/>
                <w:color w:val="000000"/>
                <w:sz w:val="20"/>
              </w:rPr>
            </w:pPr>
            <w:r w:rsidRPr="00676B55">
              <w:rPr>
                <w:rFonts w:ascii="Arial" w:eastAsia="Times New Roman" w:hAnsi="Arial" w:cs="Arial"/>
                <w:color w:val="000000"/>
                <w:sz w:val="20"/>
              </w:rPr>
              <w:t>21FLEECOPI-11</w:t>
            </w:r>
          </w:p>
        </w:tc>
      </w:tr>
    </w:tbl>
    <w:p w:rsidR="00440FD3" w:rsidRDefault="00440FD3" w:rsidP="00E62513">
      <w:pPr>
        <w:spacing w:after="0"/>
      </w:pPr>
    </w:p>
    <w:p w:rsidR="006558B8" w:rsidRDefault="00440FD3" w:rsidP="006558B8">
      <w:r w:rsidRPr="00C040C5">
        <w:t>The available water quality concentration data at each station were used to construct the water quality boundary condition time series for the simulation period</w:t>
      </w:r>
      <w:r w:rsidR="00E2646D">
        <w:t xml:space="preserve"> (</w:t>
      </w:r>
      <w:r w:rsidR="00E2646D" w:rsidRPr="00E2646D">
        <w:rPr>
          <w:b/>
        </w:rPr>
        <w:fldChar w:fldCharType="begin"/>
      </w:r>
      <w:r w:rsidR="00E2646D" w:rsidRPr="00E2646D">
        <w:rPr>
          <w:b/>
        </w:rPr>
        <w:instrText xml:space="preserve"> REF _Ref466904445 \h </w:instrText>
      </w:r>
      <w:r w:rsidR="00E2646D">
        <w:rPr>
          <w:b/>
        </w:rPr>
        <w:instrText xml:space="preserve"> \* MERGEFORMAT </w:instrText>
      </w:r>
      <w:r w:rsidR="00E2646D" w:rsidRPr="00E2646D">
        <w:rPr>
          <w:b/>
        </w:rPr>
      </w:r>
      <w:r w:rsidR="00E2646D" w:rsidRPr="00E2646D">
        <w:rPr>
          <w:b/>
        </w:rPr>
        <w:fldChar w:fldCharType="separate"/>
      </w:r>
      <w:r w:rsidR="00E2646D" w:rsidRPr="00E2646D">
        <w:rPr>
          <w:b/>
        </w:rPr>
        <w:t xml:space="preserve">Figure </w:t>
      </w:r>
      <w:r w:rsidR="00E2646D" w:rsidRPr="00E2646D">
        <w:rPr>
          <w:b/>
          <w:noProof/>
        </w:rPr>
        <w:t>1</w:t>
      </w:r>
      <w:r w:rsidR="00E2646D" w:rsidRPr="00E2646D">
        <w:rPr>
          <w:b/>
        </w:rPr>
        <w:fldChar w:fldCharType="end"/>
      </w:r>
      <w:r w:rsidR="00E2646D">
        <w:t xml:space="preserve"> through </w:t>
      </w:r>
      <w:r w:rsidR="00E2646D" w:rsidRPr="00E2646D">
        <w:rPr>
          <w:b/>
        </w:rPr>
        <w:fldChar w:fldCharType="begin"/>
      </w:r>
      <w:r w:rsidR="00E2646D" w:rsidRPr="00E2646D">
        <w:rPr>
          <w:b/>
        </w:rPr>
        <w:instrText xml:space="preserve"> REF _Ref466904451 \h </w:instrText>
      </w:r>
      <w:r w:rsidR="00E2646D">
        <w:rPr>
          <w:b/>
        </w:rPr>
        <w:instrText xml:space="preserve"> \* MERGEFORMAT </w:instrText>
      </w:r>
      <w:r w:rsidR="00E2646D" w:rsidRPr="00E2646D">
        <w:rPr>
          <w:b/>
        </w:rPr>
      </w:r>
      <w:r w:rsidR="00E2646D" w:rsidRPr="00E2646D">
        <w:rPr>
          <w:b/>
        </w:rPr>
        <w:fldChar w:fldCharType="separate"/>
      </w:r>
      <w:r w:rsidR="00E2646D" w:rsidRPr="00E2646D">
        <w:rPr>
          <w:b/>
        </w:rPr>
        <w:t xml:space="preserve">Figure </w:t>
      </w:r>
      <w:r w:rsidR="00E2646D" w:rsidRPr="00E2646D">
        <w:rPr>
          <w:b/>
          <w:noProof/>
        </w:rPr>
        <w:t>8</w:t>
      </w:r>
      <w:r w:rsidR="00E2646D" w:rsidRPr="00E2646D">
        <w:rPr>
          <w:b/>
        </w:rPr>
        <w:fldChar w:fldCharType="end"/>
      </w:r>
      <w:r w:rsidR="00E2646D">
        <w:t>)</w:t>
      </w:r>
      <w:r w:rsidRPr="00C040C5">
        <w:t>. The daily, monthly, and long-term water quality concentrations were similar among the stations. If data were available on a given day for more than one station, the data were averaged to provide a single water quality concentration value for that day for the boundary condition time series.</w:t>
      </w:r>
      <w:r w:rsidR="006558B8">
        <w:t xml:space="preserve"> The boundary conditions of phytoplankton biomass were constructed by converting the available observations of Chla to carbon units using a carbon-to-chlorophyll a ratio of 0.04 mgC/</w:t>
      </w:r>
      <w:r w:rsidR="006558B8">
        <w:rPr>
          <w:rFonts w:cs="Times New Roman"/>
        </w:rPr>
        <w:t>μ</w:t>
      </w:r>
      <w:r w:rsidR="006558B8">
        <w:t xml:space="preserve">gChla. This was necessary given that phytoplankton biomass is internally simulated in units of carbon in EFDC. </w:t>
      </w:r>
    </w:p>
    <w:p w:rsidR="00833D83" w:rsidRDefault="00833D83" w:rsidP="00833D83"/>
    <w:p w:rsidR="00314D05" w:rsidRDefault="00F97AB6" w:rsidP="00F97AB6">
      <w:pPr>
        <w:jc w:val="center"/>
      </w:pPr>
      <w:r>
        <w:rPr>
          <w:noProof/>
        </w:rPr>
        <w:drawing>
          <wp:inline distT="0" distB="0" distL="0" distR="0" wp14:anchorId="4AD30B66" wp14:editId="32127AA8">
            <wp:extent cx="6120765" cy="3304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3304540"/>
                    </a:xfrm>
                    <a:prstGeom prst="rect">
                      <a:avLst/>
                    </a:prstGeom>
                    <a:noFill/>
                  </pic:spPr>
                </pic:pic>
              </a:graphicData>
            </a:graphic>
          </wp:inline>
        </w:drawing>
      </w:r>
    </w:p>
    <w:p w:rsidR="00E2646D" w:rsidRDefault="00E2646D" w:rsidP="00E2646D">
      <w:pPr>
        <w:pStyle w:val="Caption"/>
      </w:pPr>
      <w:bookmarkStart w:id="3" w:name="_Ref466904445"/>
      <w:r>
        <w:t xml:space="preserve">Figure </w:t>
      </w:r>
      <w:r w:rsidR="00F5600E">
        <w:fldChar w:fldCharType="begin"/>
      </w:r>
      <w:r w:rsidR="00F5600E">
        <w:instrText xml:space="preserve"> SEQ Figure \* ARABIC </w:instrText>
      </w:r>
      <w:r w:rsidR="00F5600E">
        <w:fldChar w:fldCharType="separate"/>
      </w:r>
      <w:r>
        <w:rPr>
          <w:noProof/>
        </w:rPr>
        <w:t>1</w:t>
      </w:r>
      <w:r w:rsidR="00F5600E">
        <w:rPr>
          <w:noProof/>
        </w:rPr>
        <w:fldChar w:fldCharType="end"/>
      </w:r>
      <w:bookmarkEnd w:id="3"/>
      <w:r>
        <w:t>: Northern boundary 2017 Model input time series for NO</w:t>
      </w:r>
      <w:r w:rsidRPr="00E2646D">
        <w:rPr>
          <w:vertAlign w:val="subscript"/>
        </w:rPr>
        <w:t>3</w:t>
      </w:r>
      <w:r>
        <w:t xml:space="preserve"> (mg/L)</w:t>
      </w:r>
    </w:p>
    <w:p w:rsidR="00F97AB6" w:rsidRPr="00F97AB6" w:rsidRDefault="00F97AB6" w:rsidP="00F97AB6">
      <w:pPr>
        <w:pStyle w:val="TableNoSpacing"/>
      </w:pPr>
    </w:p>
    <w:p w:rsidR="00E2646D" w:rsidRDefault="00F97AB6" w:rsidP="00F97AB6">
      <w:pPr>
        <w:jc w:val="center"/>
      </w:pPr>
      <w:r>
        <w:rPr>
          <w:noProof/>
        </w:rPr>
        <w:drawing>
          <wp:inline distT="0" distB="0" distL="0" distR="0" wp14:anchorId="448E8029" wp14:editId="2BBF3817">
            <wp:extent cx="6120765" cy="3304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3304540"/>
                    </a:xfrm>
                    <a:prstGeom prst="rect">
                      <a:avLst/>
                    </a:prstGeom>
                    <a:noFill/>
                  </pic:spPr>
                </pic:pic>
              </a:graphicData>
            </a:graphic>
          </wp:inline>
        </w:drawing>
      </w:r>
    </w:p>
    <w:p w:rsidR="00E2646D" w:rsidRDefault="00E2646D" w:rsidP="00E2646D">
      <w:pPr>
        <w:pStyle w:val="Caption"/>
      </w:pPr>
      <w:r>
        <w:t xml:space="preserve">Figure </w:t>
      </w:r>
      <w:r w:rsidR="00F5600E">
        <w:fldChar w:fldCharType="begin"/>
      </w:r>
      <w:r w:rsidR="00F5600E">
        <w:instrText xml:space="preserve"> SEQ Figure \* ARABIC </w:instrText>
      </w:r>
      <w:r w:rsidR="00F5600E">
        <w:fldChar w:fldCharType="separate"/>
      </w:r>
      <w:r>
        <w:rPr>
          <w:noProof/>
        </w:rPr>
        <w:t>2</w:t>
      </w:r>
      <w:r w:rsidR="00F5600E">
        <w:rPr>
          <w:noProof/>
        </w:rPr>
        <w:fldChar w:fldCharType="end"/>
      </w:r>
      <w:r>
        <w:t>: Northern boundary 2017 Model input time series for NH</w:t>
      </w:r>
      <w:r>
        <w:rPr>
          <w:vertAlign w:val="subscript"/>
        </w:rPr>
        <w:t>4</w:t>
      </w:r>
      <w:r>
        <w:t xml:space="preserve"> (mg/L)</w:t>
      </w:r>
    </w:p>
    <w:p w:rsidR="00E2646D" w:rsidRDefault="00E2646D" w:rsidP="00E2646D">
      <w:pPr>
        <w:pStyle w:val="Caption"/>
      </w:pPr>
    </w:p>
    <w:p w:rsidR="00E2646D" w:rsidRDefault="00E2646D" w:rsidP="00833D83"/>
    <w:p w:rsidR="00314D05" w:rsidRDefault="00F97AB6" w:rsidP="00F97AB6">
      <w:pPr>
        <w:jc w:val="center"/>
      </w:pPr>
      <w:r>
        <w:rPr>
          <w:noProof/>
        </w:rPr>
        <w:drawing>
          <wp:inline distT="0" distB="0" distL="0" distR="0" wp14:anchorId="67CC6553" wp14:editId="205A8B15">
            <wp:extent cx="6120765" cy="33045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3304540"/>
                    </a:xfrm>
                    <a:prstGeom prst="rect">
                      <a:avLst/>
                    </a:prstGeom>
                    <a:noFill/>
                  </pic:spPr>
                </pic:pic>
              </a:graphicData>
            </a:graphic>
          </wp:inline>
        </w:drawing>
      </w:r>
    </w:p>
    <w:p w:rsidR="00E2646D" w:rsidRDefault="00E2646D" w:rsidP="00E2646D">
      <w:pPr>
        <w:pStyle w:val="Caption"/>
      </w:pPr>
      <w:r>
        <w:t xml:space="preserve">Figure </w:t>
      </w:r>
      <w:r w:rsidR="00F5600E">
        <w:fldChar w:fldCharType="begin"/>
      </w:r>
      <w:r w:rsidR="00F5600E">
        <w:instrText xml:space="preserve"> SEQ Figure \* ARABIC </w:instrText>
      </w:r>
      <w:r w:rsidR="00F5600E">
        <w:fldChar w:fldCharType="separate"/>
      </w:r>
      <w:r>
        <w:rPr>
          <w:noProof/>
        </w:rPr>
        <w:t>3</w:t>
      </w:r>
      <w:r w:rsidR="00F5600E">
        <w:rPr>
          <w:noProof/>
        </w:rPr>
        <w:fldChar w:fldCharType="end"/>
      </w:r>
      <w:r>
        <w:t>: Northern boundary 2017 Model input time series for OrgN (mg/L)</w:t>
      </w:r>
    </w:p>
    <w:p w:rsidR="00E2646D" w:rsidRDefault="00E2646D" w:rsidP="00833D83"/>
    <w:p w:rsidR="00314D05" w:rsidRDefault="00F97AB6" w:rsidP="00F97AB6">
      <w:pPr>
        <w:jc w:val="center"/>
      </w:pPr>
      <w:r>
        <w:rPr>
          <w:noProof/>
        </w:rPr>
        <w:drawing>
          <wp:inline distT="0" distB="0" distL="0" distR="0" wp14:anchorId="16D249C5" wp14:editId="61DE8628">
            <wp:extent cx="6120765" cy="33045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3304540"/>
                    </a:xfrm>
                    <a:prstGeom prst="rect">
                      <a:avLst/>
                    </a:prstGeom>
                    <a:noFill/>
                  </pic:spPr>
                </pic:pic>
              </a:graphicData>
            </a:graphic>
          </wp:inline>
        </w:drawing>
      </w:r>
    </w:p>
    <w:p w:rsidR="00E2646D" w:rsidRDefault="00E2646D" w:rsidP="00E2646D">
      <w:pPr>
        <w:pStyle w:val="Caption"/>
      </w:pPr>
      <w:r>
        <w:t xml:space="preserve">Figure </w:t>
      </w:r>
      <w:r w:rsidR="00F5600E">
        <w:fldChar w:fldCharType="begin"/>
      </w:r>
      <w:r w:rsidR="00F5600E">
        <w:instrText xml:space="preserve"> SEQ Figure \* ARABIC </w:instrText>
      </w:r>
      <w:r w:rsidR="00F5600E">
        <w:fldChar w:fldCharType="separate"/>
      </w:r>
      <w:r>
        <w:rPr>
          <w:noProof/>
        </w:rPr>
        <w:t>4</w:t>
      </w:r>
      <w:r w:rsidR="00F5600E">
        <w:rPr>
          <w:noProof/>
        </w:rPr>
        <w:fldChar w:fldCharType="end"/>
      </w:r>
      <w:r>
        <w:t>: Northern boundary 2017 Model input time series for PO</w:t>
      </w:r>
      <w:r>
        <w:rPr>
          <w:vertAlign w:val="subscript"/>
        </w:rPr>
        <w:t>4</w:t>
      </w:r>
      <w:r>
        <w:t xml:space="preserve"> (mg/L)</w:t>
      </w:r>
    </w:p>
    <w:p w:rsidR="00E2646D" w:rsidRDefault="00E2646D" w:rsidP="00833D83"/>
    <w:p w:rsidR="00314D05" w:rsidRDefault="00314D05" w:rsidP="00833D83"/>
    <w:p w:rsidR="00314D05" w:rsidRDefault="00F97AB6" w:rsidP="00F97AB6">
      <w:pPr>
        <w:jc w:val="center"/>
      </w:pPr>
      <w:r>
        <w:rPr>
          <w:noProof/>
        </w:rPr>
        <w:drawing>
          <wp:inline distT="0" distB="0" distL="0" distR="0" wp14:anchorId="705D9926" wp14:editId="21A77106">
            <wp:extent cx="6120765" cy="33045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3304540"/>
                    </a:xfrm>
                    <a:prstGeom prst="rect">
                      <a:avLst/>
                    </a:prstGeom>
                    <a:noFill/>
                  </pic:spPr>
                </pic:pic>
              </a:graphicData>
            </a:graphic>
          </wp:inline>
        </w:drawing>
      </w:r>
    </w:p>
    <w:p w:rsidR="00E2646D" w:rsidRDefault="00E2646D" w:rsidP="00E2646D">
      <w:pPr>
        <w:pStyle w:val="Caption"/>
      </w:pPr>
      <w:r>
        <w:t xml:space="preserve">Figure </w:t>
      </w:r>
      <w:r w:rsidR="00F5600E">
        <w:fldChar w:fldCharType="begin"/>
      </w:r>
      <w:r w:rsidR="00F5600E">
        <w:instrText xml:space="preserve"> SEQ Figure \* ARABIC </w:instrText>
      </w:r>
      <w:r w:rsidR="00F5600E">
        <w:fldChar w:fldCharType="separate"/>
      </w:r>
      <w:r>
        <w:rPr>
          <w:noProof/>
        </w:rPr>
        <w:t>5</w:t>
      </w:r>
      <w:r w:rsidR="00F5600E">
        <w:rPr>
          <w:noProof/>
        </w:rPr>
        <w:fldChar w:fldCharType="end"/>
      </w:r>
      <w:r>
        <w:t>: Northern boundary 2017 Model input time series for OrgP (mg/L)</w:t>
      </w:r>
    </w:p>
    <w:p w:rsidR="00314D05" w:rsidRDefault="00314D05" w:rsidP="00833D83"/>
    <w:p w:rsidR="00E2646D" w:rsidRDefault="00F97AB6" w:rsidP="00F97AB6">
      <w:pPr>
        <w:jc w:val="center"/>
        <w:rPr>
          <w:rFonts w:cs="Times New Roman"/>
        </w:rPr>
      </w:pPr>
      <w:r>
        <w:rPr>
          <w:rFonts w:cs="Times New Roman"/>
          <w:noProof/>
        </w:rPr>
        <w:drawing>
          <wp:inline distT="0" distB="0" distL="0" distR="0" wp14:anchorId="5C0C9EB4" wp14:editId="5C15FEAC">
            <wp:extent cx="6120765" cy="33045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3304540"/>
                    </a:xfrm>
                    <a:prstGeom prst="rect">
                      <a:avLst/>
                    </a:prstGeom>
                    <a:noFill/>
                  </pic:spPr>
                </pic:pic>
              </a:graphicData>
            </a:graphic>
          </wp:inline>
        </w:drawing>
      </w:r>
    </w:p>
    <w:p w:rsidR="00E2646D" w:rsidRDefault="00E2646D" w:rsidP="00E2646D">
      <w:pPr>
        <w:pStyle w:val="Caption"/>
      </w:pPr>
      <w:r>
        <w:t xml:space="preserve">Figure </w:t>
      </w:r>
      <w:r w:rsidR="00F5600E">
        <w:fldChar w:fldCharType="begin"/>
      </w:r>
      <w:r w:rsidR="00F5600E">
        <w:instrText xml:space="preserve"> SEQ Figure \* ARABIC </w:instrText>
      </w:r>
      <w:r w:rsidR="00F5600E">
        <w:fldChar w:fldCharType="separate"/>
      </w:r>
      <w:r>
        <w:rPr>
          <w:noProof/>
        </w:rPr>
        <w:t>6</w:t>
      </w:r>
      <w:r w:rsidR="00F5600E">
        <w:rPr>
          <w:noProof/>
        </w:rPr>
        <w:fldChar w:fldCharType="end"/>
      </w:r>
      <w:r>
        <w:t>: Northern boundary 2017 Model input time series for TOC (mg/L)</w:t>
      </w:r>
    </w:p>
    <w:p w:rsidR="00E2646D" w:rsidRDefault="00E2646D" w:rsidP="00E2646D">
      <w:pPr>
        <w:rPr>
          <w:rFonts w:cs="Times New Roman"/>
        </w:rPr>
      </w:pPr>
    </w:p>
    <w:p w:rsidR="00314D05" w:rsidRDefault="007F6835" w:rsidP="00F97AB6">
      <w:pPr>
        <w:jc w:val="center"/>
      </w:pPr>
      <w:r>
        <w:rPr>
          <w:noProof/>
        </w:rPr>
        <w:drawing>
          <wp:inline distT="0" distB="0" distL="0" distR="0" wp14:anchorId="633E565C" wp14:editId="54E8A9D3">
            <wp:extent cx="6120765" cy="33045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3304540"/>
                    </a:xfrm>
                    <a:prstGeom prst="rect">
                      <a:avLst/>
                    </a:prstGeom>
                    <a:noFill/>
                  </pic:spPr>
                </pic:pic>
              </a:graphicData>
            </a:graphic>
          </wp:inline>
        </w:drawing>
      </w:r>
    </w:p>
    <w:p w:rsidR="00E2646D" w:rsidRDefault="00E2646D" w:rsidP="00E2646D">
      <w:pPr>
        <w:pStyle w:val="Caption"/>
      </w:pPr>
      <w:r>
        <w:t xml:space="preserve">Figure </w:t>
      </w:r>
      <w:r w:rsidR="00F5600E">
        <w:fldChar w:fldCharType="begin"/>
      </w:r>
      <w:r w:rsidR="00F5600E">
        <w:instrText xml:space="preserve"> SEQ Figure \* ARABIC </w:instrText>
      </w:r>
      <w:r w:rsidR="00F5600E">
        <w:fldChar w:fldCharType="separate"/>
      </w:r>
      <w:r>
        <w:rPr>
          <w:noProof/>
        </w:rPr>
        <w:t>7</w:t>
      </w:r>
      <w:r w:rsidR="00F5600E">
        <w:rPr>
          <w:noProof/>
        </w:rPr>
        <w:fldChar w:fldCharType="end"/>
      </w:r>
      <w:r>
        <w:t>: Northern boundary 2017 Model input time series for Chla (mg/L)</w:t>
      </w:r>
    </w:p>
    <w:p w:rsidR="00314D05" w:rsidRDefault="00314D05" w:rsidP="00833D83">
      <w:pPr>
        <w:rPr>
          <w:rFonts w:cs="Times New Roman"/>
        </w:rPr>
      </w:pPr>
    </w:p>
    <w:p w:rsidR="00E2646D" w:rsidRDefault="00F97AB6" w:rsidP="00F97AB6">
      <w:pPr>
        <w:jc w:val="center"/>
      </w:pPr>
      <w:r>
        <w:rPr>
          <w:noProof/>
        </w:rPr>
        <w:drawing>
          <wp:inline distT="0" distB="0" distL="0" distR="0" wp14:anchorId="051FC582" wp14:editId="4787FB5D">
            <wp:extent cx="6120765" cy="33045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3304540"/>
                    </a:xfrm>
                    <a:prstGeom prst="rect">
                      <a:avLst/>
                    </a:prstGeom>
                    <a:noFill/>
                  </pic:spPr>
                </pic:pic>
              </a:graphicData>
            </a:graphic>
          </wp:inline>
        </w:drawing>
      </w:r>
    </w:p>
    <w:p w:rsidR="00E2646D" w:rsidRDefault="00E2646D" w:rsidP="00E2646D">
      <w:pPr>
        <w:pStyle w:val="Caption"/>
      </w:pPr>
      <w:bookmarkStart w:id="4" w:name="_Ref466904451"/>
      <w:r>
        <w:t xml:space="preserve">Figure </w:t>
      </w:r>
      <w:r w:rsidR="00F5600E">
        <w:fldChar w:fldCharType="begin"/>
      </w:r>
      <w:r w:rsidR="00F5600E">
        <w:instrText xml:space="preserve"> SEQ Figure \* ARABIC </w:instrText>
      </w:r>
      <w:r w:rsidR="00F5600E">
        <w:fldChar w:fldCharType="separate"/>
      </w:r>
      <w:r>
        <w:rPr>
          <w:noProof/>
        </w:rPr>
        <w:t>8</w:t>
      </w:r>
      <w:r w:rsidR="00F5600E">
        <w:rPr>
          <w:noProof/>
        </w:rPr>
        <w:fldChar w:fldCharType="end"/>
      </w:r>
      <w:bookmarkEnd w:id="4"/>
      <w:r>
        <w:t>: Northern boundary 2017 Model input time series for TSS (mg/L)</w:t>
      </w:r>
    </w:p>
    <w:p w:rsidR="00E2646D" w:rsidRDefault="00E2646D" w:rsidP="00E2646D"/>
    <w:p w:rsidR="00E2646D" w:rsidRDefault="00E2646D" w:rsidP="00E2646D"/>
    <w:p w:rsidR="00833D83" w:rsidRDefault="00833D83" w:rsidP="00833D83">
      <w:r w:rsidRPr="00C040C5">
        <w:t>At the southern boundary, there were</w:t>
      </w:r>
      <w:r w:rsidRPr="003B77A0">
        <w:t xml:space="preserve"> limited water quality observations to support the development of </w:t>
      </w:r>
      <w:r>
        <w:t xml:space="preserve">a </w:t>
      </w:r>
      <w:r w:rsidRPr="003B77A0">
        <w:t>water quality time series for the EFDC model</w:t>
      </w:r>
      <w:r w:rsidRPr="00C040C5">
        <w:t>. Therefore, the model was forced with constant concentrations for the differe</w:t>
      </w:r>
      <w:r w:rsidR="00887A00">
        <w:t xml:space="preserve">nt species of nutrients, </w:t>
      </w:r>
      <w:r w:rsidRPr="00C040C5">
        <w:t>phytoplankton biomass</w:t>
      </w:r>
      <w:r w:rsidR="00231BCC">
        <w:t>, and TSS</w:t>
      </w:r>
      <w:r w:rsidRPr="003B77A0">
        <w:t xml:space="preserve">. Such concentrations were defined based on the concentrations used in the 2014 Model and on recently measured data. Data at 12 stations close to the southern </w:t>
      </w:r>
      <w:r>
        <w:t>boundary</w:t>
      </w:r>
      <w:r w:rsidRPr="003B77A0">
        <w:t xml:space="preserve"> were reviewed </w:t>
      </w:r>
      <w:r>
        <w:t>to help define</w:t>
      </w:r>
      <w:r w:rsidRPr="003B77A0">
        <w:t xml:space="preserve"> the constant concentrations. </w:t>
      </w:r>
      <w:r w:rsidRPr="003B77A0">
        <w:rPr>
          <w:b/>
        </w:rPr>
        <w:fldChar w:fldCharType="begin"/>
      </w:r>
      <w:r w:rsidRPr="003B77A0">
        <w:rPr>
          <w:b/>
        </w:rPr>
        <w:instrText xml:space="preserve"> REF _Ref452552645 \h  \* MERGEFORMAT </w:instrText>
      </w:r>
      <w:r w:rsidRPr="003B77A0">
        <w:rPr>
          <w:b/>
        </w:rPr>
      </w:r>
      <w:r w:rsidRPr="003B77A0">
        <w:rPr>
          <w:b/>
        </w:rPr>
        <w:fldChar w:fldCharType="separate"/>
      </w:r>
      <w:r w:rsidR="00E2646D" w:rsidRPr="00E2646D">
        <w:rPr>
          <w:b/>
        </w:rPr>
        <w:t xml:space="preserve">Table </w:t>
      </w:r>
      <w:r w:rsidR="00E2646D" w:rsidRPr="00E2646D">
        <w:rPr>
          <w:b/>
          <w:noProof/>
        </w:rPr>
        <w:t>2</w:t>
      </w:r>
      <w:r w:rsidRPr="003B77A0">
        <w:rPr>
          <w:b/>
        </w:rPr>
        <w:fldChar w:fldCharType="end"/>
      </w:r>
      <w:r w:rsidRPr="003B77A0">
        <w:t xml:space="preserve"> summarizes the values used in t</w:t>
      </w:r>
      <w:r w:rsidR="00E2646D">
        <w:t xml:space="preserve">he 2017 </w:t>
      </w:r>
      <w:r w:rsidRPr="003B77A0">
        <w:t>Model compared to the values used in</w:t>
      </w:r>
      <w:r>
        <w:t xml:space="preserve"> the 2014 Model.</w:t>
      </w:r>
    </w:p>
    <w:p w:rsidR="00833D83" w:rsidRDefault="00833D83" w:rsidP="00833D83">
      <w:pPr>
        <w:pStyle w:val="Caption"/>
        <w:keepNext/>
        <w:spacing w:after="0"/>
      </w:pPr>
      <w:bookmarkStart w:id="5" w:name="_Ref452552645"/>
      <w:bookmarkStart w:id="6" w:name="_Toc456078284"/>
      <w:r>
        <w:t xml:space="preserve">Table </w:t>
      </w:r>
      <w:r w:rsidR="00F5600E">
        <w:fldChar w:fldCharType="begin"/>
      </w:r>
      <w:r w:rsidR="00F5600E">
        <w:instrText xml:space="preserve"> </w:instrText>
      </w:r>
      <w:r w:rsidR="00F5600E">
        <w:instrText xml:space="preserve">SEQ Table \* ARABIC </w:instrText>
      </w:r>
      <w:r w:rsidR="00F5600E">
        <w:fldChar w:fldCharType="separate"/>
      </w:r>
      <w:r w:rsidR="00E2646D">
        <w:rPr>
          <w:noProof/>
        </w:rPr>
        <w:t>2</w:t>
      </w:r>
      <w:r w:rsidR="00F5600E">
        <w:rPr>
          <w:noProof/>
        </w:rPr>
        <w:fldChar w:fldCharType="end"/>
      </w:r>
      <w:bookmarkEnd w:id="5"/>
      <w:r>
        <w:t>: Water quality concentrations assigned at the southern boundary cells</w:t>
      </w:r>
      <w:bookmarkEnd w:id="6"/>
    </w:p>
    <w:tbl>
      <w:tblPr>
        <w:tblStyle w:val="TableGrid"/>
        <w:tblW w:w="10183" w:type="dxa"/>
        <w:jc w:val="center"/>
        <w:tblLook w:val="04A0" w:firstRow="1" w:lastRow="0" w:firstColumn="1" w:lastColumn="0" w:noHBand="0" w:noVBand="1"/>
      </w:tblPr>
      <w:tblGrid>
        <w:gridCol w:w="1270"/>
        <w:gridCol w:w="2321"/>
        <w:gridCol w:w="2430"/>
        <w:gridCol w:w="4162"/>
      </w:tblGrid>
      <w:tr w:rsidR="00833D83" w:rsidRPr="00676B55" w:rsidTr="00653AAE">
        <w:trPr>
          <w:cantSplit/>
          <w:tblHeader/>
          <w:jc w:val="center"/>
        </w:trPr>
        <w:tc>
          <w:tcPr>
            <w:tcW w:w="1270" w:type="dxa"/>
            <w:shd w:val="clear" w:color="auto" w:fill="D9D9D9" w:themeFill="background1" w:themeFillShade="D9"/>
          </w:tcPr>
          <w:p w:rsidR="00833D83" w:rsidRPr="00676B55" w:rsidRDefault="00833D83" w:rsidP="00653AAE">
            <w:pPr>
              <w:spacing w:after="0"/>
              <w:ind w:left="-23" w:right="-89"/>
              <w:jc w:val="center"/>
              <w:rPr>
                <w:rFonts w:ascii="Arial" w:hAnsi="Arial" w:cs="Arial"/>
                <w:b/>
                <w:sz w:val="20"/>
                <w:szCs w:val="22"/>
              </w:rPr>
            </w:pPr>
            <w:r w:rsidRPr="00676B55">
              <w:rPr>
                <w:rFonts w:ascii="Arial" w:hAnsi="Arial" w:cs="Arial"/>
                <w:b/>
                <w:sz w:val="20"/>
                <w:szCs w:val="22"/>
              </w:rPr>
              <w:t>Parameter</w:t>
            </w:r>
          </w:p>
        </w:tc>
        <w:tc>
          <w:tcPr>
            <w:tcW w:w="2321" w:type="dxa"/>
            <w:shd w:val="clear" w:color="auto" w:fill="D9D9D9" w:themeFill="background1" w:themeFillShade="D9"/>
          </w:tcPr>
          <w:p w:rsidR="00833D83" w:rsidRPr="00676B55" w:rsidRDefault="00833D83" w:rsidP="00653AAE">
            <w:pPr>
              <w:spacing w:after="0"/>
              <w:ind w:left="-37" w:right="-108"/>
              <w:jc w:val="center"/>
              <w:rPr>
                <w:rFonts w:ascii="Arial" w:hAnsi="Arial" w:cs="Arial"/>
                <w:b/>
                <w:sz w:val="20"/>
                <w:szCs w:val="22"/>
              </w:rPr>
            </w:pPr>
            <w:r w:rsidRPr="00676B55">
              <w:rPr>
                <w:rFonts w:ascii="Arial" w:hAnsi="Arial" w:cs="Arial"/>
                <w:b/>
                <w:sz w:val="20"/>
                <w:szCs w:val="22"/>
              </w:rPr>
              <w:t>2014 Model</w:t>
            </w:r>
          </w:p>
        </w:tc>
        <w:tc>
          <w:tcPr>
            <w:tcW w:w="2430" w:type="dxa"/>
            <w:shd w:val="clear" w:color="auto" w:fill="D9D9D9" w:themeFill="background1" w:themeFillShade="D9"/>
          </w:tcPr>
          <w:p w:rsidR="00833D83" w:rsidRPr="00676B55" w:rsidRDefault="00833D83" w:rsidP="00653AAE">
            <w:pPr>
              <w:spacing w:after="0"/>
              <w:ind w:left="-18" w:right="-18"/>
              <w:jc w:val="center"/>
              <w:rPr>
                <w:rFonts w:ascii="Arial" w:hAnsi="Arial" w:cs="Arial"/>
                <w:b/>
                <w:sz w:val="20"/>
                <w:szCs w:val="22"/>
              </w:rPr>
            </w:pPr>
            <w:r w:rsidRPr="00676B55">
              <w:rPr>
                <w:rFonts w:ascii="Arial" w:hAnsi="Arial" w:cs="Arial"/>
                <w:b/>
                <w:sz w:val="20"/>
                <w:szCs w:val="22"/>
              </w:rPr>
              <w:t>2017 Model</w:t>
            </w:r>
          </w:p>
        </w:tc>
        <w:tc>
          <w:tcPr>
            <w:tcW w:w="4162" w:type="dxa"/>
            <w:shd w:val="clear" w:color="auto" w:fill="D9D9D9" w:themeFill="background1" w:themeFillShade="D9"/>
          </w:tcPr>
          <w:p w:rsidR="00833D83" w:rsidRPr="00676B55" w:rsidRDefault="00833D83" w:rsidP="00653AAE">
            <w:pPr>
              <w:spacing w:after="0"/>
              <w:ind w:left="-18" w:right="-113"/>
              <w:jc w:val="center"/>
              <w:rPr>
                <w:rFonts w:ascii="Arial" w:hAnsi="Arial" w:cs="Arial"/>
                <w:b/>
                <w:sz w:val="20"/>
                <w:szCs w:val="22"/>
              </w:rPr>
            </w:pPr>
            <w:r w:rsidRPr="00676B55">
              <w:rPr>
                <w:rFonts w:ascii="Arial" w:hAnsi="Arial" w:cs="Arial"/>
                <w:b/>
                <w:sz w:val="20"/>
                <w:szCs w:val="22"/>
              </w:rPr>
              <w:t>Observations</w:t>
            </w:r>
          </w:p>
        </w:tc>
      </w:tr>
      <w:tr w:rsidR="00231BCC" w:rsidRPr="00676B55" w:rsidTr="00653AAE">
        <w:trPr>
          <w:cantSplit/>
          <w:jc w:val="center"/>
        </w:trPr>
        <w:tc>
          <w:tcPr>
            <w:tcW w:w="1270" w:type="dxa"/>
            <w:vAlign w:val="center"/>
          </w:tcPr>
          <w:p w:rsidR="00231BCC" w:rsidRDefault="00231BCC" w:rsidP="00231BCC">
            <w:pPr>
              <w:spacing w:after="0"/>
              <w:ind w:left="-23" w:right="-89"/>
              <w:jc w:val="left"/>
              <w:rPr>
                <w:rFonts w:ascii="Arial" w:hAnsi="Arial" w:cs="Arial"/>
                <w:sz w:val="20"/>
                <w:szCs w:val="22"/>
              </w:rPr>
            </w:pPr>
            <w:r w:rsidRPr="00676B55">
              <w:rPr>
                <w:rFonts w:ascii="Arial" w:hAnsi="Arial" w:cs="Arial"/>
                <w:sz w:val="20"/>
                <w:szCs w:val="22"/>
              </w:rPr>
              <w:t>NO</w:t>
            </w:r>
            <w:r>
              <w:rPr>
                <w:rFonts w:ascii="Arial" w:hAnsi="Arial" w:cs="Arial"/>
                <w:sz w:val="20"/>
                <w:szCs w:val="22"/>
                <w:vertAlign w:val="subscript"/>
              </w:rPr>
              <w:t>x</w:t>
            </w:r>
          </w:p>
        </w:tc>
        <w:tc>
          <w:tcPr>
            <w:tcW w:w="2321" w:type="dxa"/>
            <w:vAlign w:val="center"/>
          </w:tcPr>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 xml:space="preserve">Constant concentration of 0.01 mg/L in Card 33. </w:t>
            </w:r>
          </w:p>
        </w:tc>
        <w:tc>
          <w:tcPr>
            <w:tcW w:w="2430" w:type="dxa"/>
            <w:vAlign w:val="center"/>
          </w:tcPr>
          <w:p w:rsidR="00231BCC" w:rsidRPr="00676B55" w:rsidRDefault="00231BCC" w:rsidP="00231BCC">
            <w:pPr>
              <w:spacing w:after="0"/>
              <w:ind w:left="-18" w:right="-18"/>
              <w:jc w:val="left"/>
              <w:rPr>
                <w:rFonts w:ascii="Arial" w:hAnsi="Arial" w:cs="Arial"/>
                <w:sz w:val="20"/>
                <w:szCs w:val="22"/>
              </w:rPr>
            </w:pPr>
            <w:r w:rsidRPr="00676B55">
              <w:rPr>
                <w:rFonts w:ascii="Arial" w:hAnsi="Arial" w:cs="Arial"/>
                <w:sz w:val="20"/>
                <w:szCs w:val="22"/>
              </w:rPr>
              <w:t>Not modified from 2014 Model setup.</w:t>
            </w:r>
          </w:p>
        </w:tc>
        <w:tc>
          <w:tcPr>
            <w:tcW w:w="4162" w:type="dxa"/>
            <w:vAlign w:val="center"/>
          </w:tcPr>
          <w:p w:rsidR="00231BCC" w:rsidRPr="00676B55" w:rsidRDefault="00231BCC" w:rsidP="00231BCC">
            <w:pPr>
              <w:spacing w:after="0"/>
              <w:ind w:left="-18" w:right="-113"/>
              <w:jc w:val="left"/>
              <w:rPr>
                <w:rFonts w:ascii="Arial" w:hAnsi="Arial" w:cs="Arial"/>
                <w:sz w:val="20"/>
                <w:szCs w:val="22"/>
              </w:rPr>
            </w:pPr>
            <w:r w:rsidRPr="00676B55">
              <w:rPr>
                <w:rFonts w:ascii="Arial" w:hAnsi="Arial" w:cs="Arial"/>
                <w:sz w:val="20"/>
                <w:szCs w:val="22"/>
              </w:rPr>
              <w:t>The average concentration of the available records is 0.007mg/L, which is within range of the concentration used in the 2014 Model.</w:t>
            </w:r>
          </w:p>
        </w:tc>
      </w:tr>
      <w:tr w:rsidR="00231BCC" w:rsidRPr="00676B55" w:rsidTr="00653AAE">
        <w:trPr>
          <w:cantSplit/>
          <w:jc w:val="center"/>
        </w:trPr>
        <w:tc>
          <w:tcPr>
            <w:tcW w:w="1270" w:type="dxa"/>
            <w:vAlign w:val="center"/>
          </w:tcPr>
          <w:p w:rsidR="00231BCC" w:rsidRDefault="00231BCC" w:rsidP="00231BCC">
            <w:pPr>
              <w:spacing w:after="0"/>
              <w:ind w:left="-23" w:right="-89"/>
              <w:jc w:val="left"/>
              <w:rPr>
                <w:rFonts w:ascii="Arial" w:hAnsi="Arial" w:cs="Arial"/>
                <w:sz w:val="20"/>
                <w:szCs w:val="22"/>
              </w:rPr>
            </w:pPr>
            <w:r w:rsidRPr="00676B55">
              <w:rPr>
                <w:rFonts w:ascii="Arial" w:hAnsi="Arial" w:cs="Arial"/>
                <w:sz w:val="20"/>
                <w:szCs w:val="22"/>
              </w:rPr>
              <w:t>NH</w:t>
            </w:r>
            <w:r w:rsidRPr="00676B55">
              <w:rPr>
                <w:rFonts w:ascii="Arial" w:hAnsi="Arial" w:cs="Arial"/>
                <w:sz w:val="20"/>
                <w:szCs w:val="22"/>
                <w:vertAlign w:val="subscript"/>
              </w:rPr>
              <w:t>4</w:t>
            </w:r>
          </w:p>
        </w:tc>
        <w:tc>
          <w:tcPr>
            <w:tcW w:w="2321" w:type="dxa"/>
            <w:vAlign w:val="center"/>
          </w:tcPr>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Constant concentration of 0.02 mg/L in Card 33.</w:t>
            </w:r>
          </w:p>
        </w:tc>
        <w:tc>
          <w:tcPr>
            <w:tcW w:w="2430" w:type="dxa"/>
            <w:vAlign w:val="center"/>
          </w:tcPr>
          <w:p w:rsidR="00231BCC" w:rsidRPr="00676B55" w:rsidRDefault="00231BCC" w:rsidP="00231BCC">
            <w:pPr>
              <w:spacing w:after="0"/>
              <w:ind w:left="-18" w:right="-18"/>
              <w:jc w:val="left"/>
              <w:rPr>
                <w:rFonts w:ascii="Arial" w:hAnsi="Arial" w:cs="Arial"/>
                <w:sz w:val="20"/>
                <w:szCs w:val="22"/>
              </w:rPr>
            </w:pPr>
            <w:r w:rsidRPr="00676B55">
              <w:rPr>
                <w:rFonts w:ascii="Arial" w:hAnsi="Arial" w:cs="Arial"/>
                <w:sz w:val="20"/>
                <w:szCs w:val="22"/>
              </w:rPr>
              <w:t>Constant concentration of 0.05 mg/L in Card 33.</w:t>
            </w:r>
          </w:p>
        </w:tc>
        <w:tc>
          <w:tcPr>
            <w:tcW w:w="4162" w:type="dxa"/>
            <w:vAlign w:val="center"/>
          </w:tcPr>
          <w:p w:rsidR="00231BCC" w:rsidRPr="00676B55" w:rsidRDefault="00231BCC" w:rsidP="00231BCC">
            <w:pPr>
              <w:spacing w:after="0"/>
              <w:ind w:left="-18" w:right="-113"/>
              <w:jc w:val="left"/>
              <w:rPr>
                <w:rFonts w:ascii="Arial" w:hAnsi="Arial" w:cs="Arial"/>
                <w:sz w:val="20"/>
                <w:szCs w:val="22"/>
              </w:rPr>
            </w:pPr>
            <w:r w:rsidRPr="00676B55">
              <w:rPr>
                <w:rFonts w:ascii="Arial" w:hAnsi="Arial" w:cs="Arial"/>
                <w:sz w:val="20"/>
                <w:szCs w:val="22"/>
              </w:rPr>
              <w:t>The average concentration of the available records is 0.05</w:t>
            </w:r>
            <w:r>
              <w:rPr>
                <w:rFonts w:ascii="Arial" w:hAnsi="Arial" w:cs="Arial"/>
                <w:sz w:val="20"/>
                <w:szCs w:val="22"/>
              </w:rPr>
              <w:t xml:space="preserve"> </w:t>
            </w:r>
            <w:r w:rsidRPr="00676B55">
              <w:rPr>
                <w:rFonts w:ascii="Arial" w:hAnsi="Arial" w:cs="Arial"/>
                <w:sz w:val="20"/>
                <w:szCs w:val="22"/>
              </w:rPr>
              <w:t>mg/L. This concentration has been included in the 2017 Model setup.</w:t>
            </w:r>
          </w:p>
        </w:tc>
      </w:tr>
      <w:tr w:rsidR="00231BCC" w:rsidRPr="00676B55" w:rsidTr="00653AAE">
        <w:trPr>
          <w:cantSplit/>
          <w:jc w:val="center"/>
        </w:trPr>
        <w:tc>
          <w:tcPr>
            <w:tcW w:w="1270" w:type="dxa"/>
            <w:vAlign w:val="center"/>
          </w:tcPr>
          <w:p w:rsidR="00231BCC" w:rsidRDefault="00231BCC" w:rsidP="00231BCC">
            <w:pPr>
              <w:spacing w:after="0"/>
              <w:ind w:left="-23" w:right="-89"/>
              <w:jc w:val="left"/>
              <w:rPr>
                <w:rFonts w:ascii="Arial" w:hAnsi="Arial" w:cs="Arial"/>
                <w:sz w:val="20"/>
                <w:szCs w:val="22"/>
              </w:rPr>
            </w:pPr>
            <w:r w:rsidRPr="00676B55">
              <w:rPr>
                <w:rFonts w:ascii="Arial" w:hAnsi="Arial" w:cs="Arial"/>
                <w:sz w:val="20"/>
                <w:szCs w:val="22"/>
              </w:rPr>
              <w:t>OrgN</w:t>
            </w:r>
          </w:p>
        </w:tc>
        <w:tc>
          <w:tcPr>
            <w:tcW w:w="2321" w:type="dxa"/>
            <w:vAlign w:val="center"/>
          </w:tcPr>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RPON = 0.3 mg/L</w:t>
            </w:r>
          </w:p>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LPON = 0.03 mg/L</w:t>
            </w:r>
          </w:p>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DON = 0.3 mg/L</w:t>
            </w:r>
          </w:p>
        </w:tc>
        <w:tc>
          <w:tcPr>
            <w:tcW w:w="2430" w:type="dxa"/>
            <w:vAlign w:val="center"/>
          </w:tcPr>
          <w:p w:rsidR="00231BCC" w:rsidRPr="00676B55" w:rsidRDefault="00231BCC" w:rsidP="00231BCC">
            <w:pPr>
              <w:spacing w:after="0"/>
              <w:ind w:left="-18" w:right="-18"/>
              <w:jc w:val="left"/>
              <w:rPr>
                <w:rFonts w:ascii="Arial" w:hAnsi="Arial" w:cs="Arial"/>
                <w:sz w:val="20"/>
                <w:szCs w:val="22"/>
              </w:rPr>
            </w:pPr>
            <w:r w:rsidRPr="00676B55">
              <w:rPr>
                <w:rFonts w:ascii="Arial" w:hAnsi="Arial" w:cs="Arial"/>
                <w:sz w:val="20"/>
                <w:szCs w:val="22"/>
              </w:rPr>
              <w:t>Constant concentrations as follows:</w:t>
            </w:r>
          </w:p>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RPON = 0.17 mg/L</w:t>
            </w:r>
          </w:p>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LPON = 0.017 mg/L</w:t>
            </w:r>
          </w:p>
          <w:p w:rsidR="00231BCC" w:rsidRPr="00676B55" w:rsidRDefault="00231BCC" w:rsidP="00231BCC">
            <w:pPr>
              <w:spacing w:after="0"/>
              <w:ind w:left="-18" w:right="-18"/>
              <w:jc w:val="left"/>
              <w:rPr>
                <w:rFonts w:ascii="Arial" w:hAnsi="Arial" w:cs="Arial"/>
                <w:sz w:val="20"/>
                <w:szCs w:val="22"/>
              </w:rPr>
            </w:pPr>
            <w:r w:rsidRPr="00676B55">
              <w:rPr>
                <w:rFonts w:ascii="Arial" w:hAnsi="Arial" w:cs="Arial"/>
                <w:sz w:val="20"/>
                <w:szCs w:val="22"/>
              </w:rPr>
              <w:t>DON = 0.17 mg/L</w:t>
            </w:r>
          </w:p>
        </w:tc>
        <w:tc>
          <w:tcPr>
            <w:tcW w:w="4162" w:type="dxa"/>
            <w:vAlign w:val="center"/>
          </w:tcPr>
          <w:p w:rsidR="00231BCC" w:rsidRPr="00676B55" w:rsidRDefault="00231BCC" w:rsidP="00231BCC">
            <w:pPr>
              <w:spacing w:after="0"/>
              <w:ind w:left="-18" w:right="-113"/>
              <w:jc w:val="left"/>
              <w:rPr>
                <w:rFonts w:ascii="Arial" w:hAnsi="Arial" w:cs="Arial"/>
                <w:sz w:val="20"/>
                <w:szCs w:val="22"/>
              </w:rPr>
            </w:pPr>
            <w:r w:rsidRPr="00676B55">
              <w:rPr>
                <w:rFonts w:ascii="Arial" w:hAnsi="Arial" w:cs="Arial"/>
                <w:sz w:val="20"/>
                <w:szCs w:val="22"/>
              </w:rPr>
              <w:t xml:space="preserve">The average OrgN concentration calculated from </w:t>
            </w:r>
            <w:r>
              <w:rPr>
                <w:rFonts w:ascii="Arial" w:hAnsi="Arial" w:cs="Arial"/>
                <w:sz w:val="20"/>
                <w:szCs w:val="22"/>
              </w:rPr>
              <w:t>total nitrogen (</w:t>
            </w:r>
            <w:r w:rsidRPr="00676B55">
              <w:rPr>
                <w:rFonts w:ascii="Arial" w:hAnsi="Arial" w:cs="Arial"/>
                <w:sz w:val="20"/>
                <w:szCs w:val="22"/>
              </w:rPr>
              <w:t>TN</w:t>
            </w:r>
            <w:r>
              <w:rPr>
                <w:rFonts w:ascii="Arial" w:hAnsi="Arial" w:cs="Arial"/>
                <w:sz w:val="20"/>
                <w:szCs w:val="22"/>
              </w:rPr>
              <w:t>)</w:t>
            </w:r>
            <w:r w:rsidRPr="00676B55">
              <w:rPr>
                <w:rFonts w:ascii="Arial" w:hAnsi="Arial" w:cs="Arial"/>
                <w:sz w:val="20"/>
                <w:szCs w:val="22"/>
              </w:rPr>
              <w:t xml:space="preserve"> and </w:t>
            </w:r>
            <w:r>
              <w:rPr>
                <w:rFonts w:ascii="Arial" w:hAnsi="Arial" w:cs="Arial"/>
                <w:sz w:val="20"/>
                <w:szCs w:val="22"/>
              </w:rPr>
              <w:t>total Kjeldahl n</w:t>
            </w:r>
            <w:r w:rsidRPr="00DF7FBE">
              <w:rPr>
                <w:rFonts w:ascii="Arial" w:hAnsi="Arial" w:cs="Arial"/>
                <w:sz w:val="20"/>
                <w:szCs w:val="22"/>
              </w:rPr>
              <w:t>itrogen</w:t>
            </w:r>
            <w:r>
              <w:rPr>
                <w:rFonts w:ascii="Arial" w:hAnsi="Arial" w:cs="Arial"/>
                <w:sz w:val="20"/>
                <w:szCs w:val="22"/>
              </w:rPr>
              <w:t xml:space="preserve"> (</w:t>
            </w:r>
            <w:r w:rsidRPr="00676B55">
              <w:rPr>
                <w:rFonts w:ascii="Arial" w:hAnsi="Arial" w:cs="Arial"/>
                <w:sz w:val="20"/>
                <w:szCs w:val="22"/>
              </w:rPr>
              <w:t>TKN</w:t>
            </w:r>
            <w:r>
              <w:rPr>
                <w:rFonts w:ascii="Arial" w:hAnsi="Arial" w:cs="Arial"/>
                <w:sz w:val="20"/>
                <w:szCs w:val="22"/>
              </w:rPr>
              <w:t>)</w:t>
            </w:r>
            <w:r w:rsidRPr="00676B55">
              <w:rPr>
                <w:rFonts w:ascii="Arial" w:hAnsi="Arial" w:cs="Arial"/>
                <w:sz w:val="20"/>
                <w:szCs w:val="22"/>
              </w:rPr>
              <w:t xml:space="preserve"> records is 0.35 mg/L. This concentration was partitioned into labile, refractory, and dissolved fractions using </w:t>
            </w:r>
            <w:r>
              <w:rPr>
                <w:rFonts w:ascii="Arial" w:hAnsi="Arial" w:cs="Arial"/>
                <w:sz w:val="20"/>
                <w:szCs w:val="22"/>
              </w:rPr>
              <w:t xml:space="preserve">the same </w:t>
            </w:r>
            <w:r w:rsidRPr="00676B55">
              <w:rPr>
                <w:rFonts w:ascii="Arial" w:hAnsi="Arial" w:cs="Arial"/>
                <w:sz w:val="20"/>
                <w:szCs w:val="22"/>
              </w:rPr>
              <w:t xml:space="preserve">ratios </w:t>
            </w:r>
            <w:r>
              <w:rPr>
                <w:rFonts w:ascii="Arial" w:hAnsi="Arial" w:cs="Arial"/>
                <w:sz w:val="20"/>
                <w:szCs w:val="22"/>
              </w:rPr>
              <w:t>as the 2014 Model.</w:t>
            </w:r>
          </w:p>
        </w:tc>
      </w:tr>
      <w:tr w:rsidR="00231BCC" w:rsidRPr="00676B55" w:rsidTr="00653AAE">
        <w:trPr>
          <w:cantSplit/>
          <w:jc w:val="center"/>
        </w:trPr>
        <w:tc>
          <w:tcPr>
            <w:tcW w:w="1270" w:type="dxa"/>
            <w:vAlign w:val="center"/>
          </w:tcPr>
          <w:p w:rsidR="00231BCC" w:rsidRDefault="00231BCC" w:rsidP="00231BCC">
            <w:pPr>
              <w:spacing w:after="0"/>
              <w:ind w:left="-23" w:right="-89"/>
              <w:jc w:val="left"/>
              <w:rPr>
                <w:rFonts w:ascii="Arial" w:hAnsi="Arial" w:cs="Arial"/>
                <w:sz w:val="20"/>
                <w:szCs w:val="22"/>
              </w:rPr>
            </w:pPr>
            <w:r w:rsidRPr="00676B55">
              <w:rPr>
                <w:rFonts w:ascii="Arial" w:hAnsi="Arial" w:cs="Arial"/>
                <w:sz w:val="20"/>
                <w:szCs w:val="22"/>
              </w:rPr>
              <w:t>PO</w:t>
            </w:r>
            <w:r w:rsidRPr="00676B55">
              <w:rPr>
                <w:rFonts w:ascii="Arial" w:hAnsi="Arial" w:cs="Arial"/>
                <w:sz w:val="20"/>
                <w:szCs w:val="22"/>
                <w:vertAlign w:val="subscript"/>
              </w:rPr>
              <w:t>4</w:t>
            </w:r>
          </w:p>
        </w:tc>
        <w:tc>
          <w:tcPr>
            <w:tcW w:w="2321" w:type="dxa"/>
            <w:vAlign w:val="center"/>
          </w:tcPr>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 xml:space="preserve">Constant concentration of 0.05 mg/L in Card 33. </w:t>
            </w:r>
          </w:p>
        </w:tc>
        <w:tc>
          <w:tcPr>
            <w:tcW w:w="2430" w:type="dxa"/>
            <w:vAlign w:val="center"/>
          </w:tcPr>
          <w:p w:rsidR="00231BCC" w:rsidRPr="00676B55" w:rsidRDefault="00231BCC" w:rsidP="00231BCC">
            <w:pPr>
              <w:spacing w:after="0"/>
              <w:ind w:left="-18" w:right="-18"/>
              <w:jc w:val="left"/>
              <w:rPr>
                <w:rFonts w:ascii="Arial" w:hAnsi="Arial" w:cs="Arial"/>
                <w:sz w:val="20"/>
                <w:szCs w:val="22"/>
              </w:rPr>
            </w:pPr>
            <w:r w:rsidRPr="00676B55">
              <w:rPr>
                <w:rFonts w:ascii="Arial" w:hAnsi="Arial" w:cs="Arial"/>
                <w:sz w:val="20"/>
                <w:szCs w:val="22"/>
              </w:rPr>
              <w:t>Constant concentration of 0.0</w:t>
            </w:r>
            <w:r>
              <w:rPr>
                <w:rFonts w:ascii="Arial" w:hAnsi="Arial" w:cs="Arial"/>
                <w:sz w:val="20"/>
                <w:szCs w:val="22"/>
              </w:rPr>
              <w:t>3</w:t>
            </w:r>
            <w:r w:rsidRPr="00676B55">
              <w:rPr>
                <w:rFonts w:ascii="Arial" w:hAnsi="Arial" w:cs="Arial"/>
                <w:sz w:val="20"/>
                <w:szCs w:val="22"/>
              </w:rPr>
              <w:t xml:space="preserve"> mg/L in Card 33</w:t>
            </w:r>
          </w:p>
        </w:tc>
        <w:tc>
          <w:tcPr>
            <w:tcW w:w="4162" w:type="dxa"/>
            <w:vAlign w:val="center"/>
          </w:tcPr>
          <w:p w:rsidR="00231BCC" w:rsidRPr="00676B55" w:rsidRDefault="00231BCC" w:rsidP="00231BCC">
            <w:pPr>
              <w:spacing w:after="0"/>
              <w:ind w:left="-18" w:right="-113"/>
              <w:jc w:val="left"/>
              <w:rPr>
                <w:rFonts w:ascii="Arial" w:hAnsi="Arial" w:cs="Arial"/>
                <w:sz w:val="20"/>
                <w:szCs w:val="22"/>
              </w:rPr>
            </w:pPr>
            <w:r w:rsidRPr="00676B55">
              <w:rPr>
                <w:rFonts w:ascii="Arial" w:hAnsi="Arial" w:cs="Arial"/>
                <w:sz w:val="20"/>
                <w:szCs w:val="22"/>
              </w:rPr>
              <w:t>The average concentration of the available records is 0.03 mg/L</w:t>
            </w:r>
            <w:r>
              <w:rPr>
                <w:rFonts w:ascii="Arial" w:hAnsi="Arial" w:cs="Arial"/>
                <w:sz w:val="20"/>
                <w:szCs w:val="22"/>
              </w:rPr>
              <w:t xml:space="preserve">. Boundary </w:t>
            </w:r>
            <w:r w:rsidRPr="00676B55">
              <w:rPr>
                <w:rFonts w:ascii="Arial" w:hAnsi="Arial" w:cs="Arial"/>
                <w:sz w:val="20"/>
                <w:szCs w:val="22"/>
              </w:rPr>
              <w:t>PO</w:t>
            </w:r>
            <w:r w:rsidRPr="00676B55">
              <w:rPr>
                <w:rFonts w:ascii="Arial" w:hAnsi="Arial" w:cs="Arial"/>
                <w:sz w:val="20"/>
                <w:szCs w:val="22"/>
                <w:vertAlign w:val="subscript"/>
              </w:rPr>
              <w:t>4</w:t>
            </w:r>
            <w:r>
              <w:rPr>
                <w:rFonts w:ascii="Arial" w:hAnsi="Arial" w:cs="Arial"/>
                <w:sz w:val="20"/>
                <w:szCs w:val="22"/>
                <w:vertAlign w:val="subscript"/>
              </w:rPr>
              <w:t xml:space="preserve"> </w:t>
            </w:r>
            <w:r>
              <w:rPr>
                <w:rFonts w:ascii="Arial" w:hAnsi="Arial" w:cs="Arial"/>
                <w:sz w:val="20"/>
                <w:szCs w:val="22"/>
              </w:rPr>
              <w:t>concentration has been updated to reflect the new value.</w:t>
            </w:r>
          </w:p>
        </w:tc>
      </w:tr>
      <w:tr w:rsidR="00231BCC" w:rsidRPr="00676B55" w:rsidTr="00653AAE">
        <w:trPr>
          <w:cantSplit/>
          <w:jc w:val="center"/>
        </w:trPr>
        <w:tc>
          <w:tcPr>
            <w:tcW w:w="1270" w:type="dxa"/>
            <w:vAlign w:val="center"/>
          </w:tcPr>
          <w:p w:rsidR="00231BCC" w:rsidRDefault="00231BCC" w:rsidP="00231BCC">
            <w:pPr>
              <w:spacing w:after="0"/>
              <w:ind w:left="-23" w:right="-89"/>
              <w:jc w:val="left"/>
              <w:rPr>
                <w:rFonts w:ascii="Arial" w:hAnsi="Arial" w:cs="Arial"/>
                <w:sz w:val="20"/>
                <w:szCs w:val="22"/>
              </w:rPr>
            </w:pPr>
            <w:r w:rsidRPr="00676B55">
              <w:rPr>
                <w:rFonts w:ascii="Arial" w:hAnsi="Arial" w:cs="Arial"/>
                <w:sz w:val="20"/>
                <w:szCs w:val="22"/>
              </w:rPr>
              <w:t>OrgP</w:t>
            </w:r>
          </w:p>
        </w:tc>
        <w:tc>
          <w:tcPr>
            <w:tcW w:w="2321" w:type="dxa"/>
            <w:vAlign w:val="center"/>
          </w:tcPr>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RPOP = 0.02 mg/L</w:t>
            </w:r>
          </w:p>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LPOP = 0.002 mg/L</w:t>
            </w:r>
          </w:p>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DOP = 0.02 mg/L</w:t>
            </w:r>
          </w:p>
        </w:tc>
        <w:tc>
          <w:tcPr>
            <w:tcW w:w="2430" w:type="dxa"/>
            <w:vAlign w:val="center"/>
          </w:tcPr>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 xml:space="preserve">RPOP = </w:t>
            </w:r>
            <w:r>
              <w:rPr>
                <w:rFonts w:ascii="Arial" w:hAnsi="Arial" w:cs="Arial"/>
                <w:sz w:val="20"/>
                <w:szCs w:val="22"/>
              </w:rPr>
              <w:t>0.005</w:t>
            </w:r>
            <w:r w:rsidRPr="00676B55">
              <w:rPr>
                <w:rFonts w:ascii="Arial" w:hAnsi="Arial" w:cs="Arial"/>
                <w:sz w:val="20"/>
                <w:szCs w:val="22"/>
              </w:rPr>
              <w:t xml:space="preserve"> mg/L</w:t>
            </w:r>
          </w:p>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LPOP = 0.002 mg/L</w:t>
            </w:r>
          </w:p>
          <w:p w:rsidR="00231BCC" w:rsidRPr="00676B55" w:rsidRDefault="00231BCC" w:rsidP="00231BCC">
            <w:pPr>
              <w:spacing w:after="0"/>
              <w:ind w:left="-18" w:right="-18"/>
              <w:jc w:val="left"/>
              <w:rPr>
                <w:rFonts w:ascii="Arial" w:hAnsi="Arial" w:cs="Arial"/>
                <w:sz w:val="20"/>
                <w:szCs w:val="22"/>
              </w:rPr>
            </w:pPr>
            <w:r w:rsidRPr="00676B55">
              <w:rPr>
                <w:rFonts w:ascii="Arial" w:hAnsi="Arial" w:cs="Arial"/>
                <w:sz w:val="20"/>
                <w:szCs w:val="22"/>
              </w:rPr>
              <w:t xml:space="preserve">DOP = </w:t>
            </w:r>
            <w:r>
              <w:rPr>
                <w:rFonts w:ascii="Arial" w:hAnsi="Arial" w:cs="Arial"/>
                <w:sz w:val="20"/>
                <w:szCs w:val="22"/>
              </w:rPr>
              <w:t>0.005</w:t>
            </w:r>
            <w:r w:rsidRPr="00676B55">
              <w:rPr>
                <w:rFonts w:ascii="Arial" w:hAnsi="Arial" w:cs="Arial"/>
                <w:sz w:val="20"/>
                <w:szCs w:val="22"/>
              </w:rPr>
              <w:t xml:space="preserve"> mg/L</w:t>
            </w:r>
          </w:p>
        </w:tc>
        <w:tc>
          <w:tcPr>
            <w:tcW w:w="4162" w:type="dxa"/>
            <w:vAlign w:val="center"/>
          </w:tcPr>
          <w:p w:rsidR="00231BCC" w:rsidRPr="00676B55" w:rsidRDefault="00231BCC" w:rsidP="00231BCC">
            <w:pPr>
              <w:spacing w:after="0"/>
              <w:ind w:left="-18" w:right="-113"/>
              <w:jc w:val="left"/>
              <w:rPr>
                <w:rFonts w:ascii="Arial" w:hAnsi="Arial" w:cs="Arial"/>
                <w:sz w:val="20"/>
                <w:szCs w:val="22"/>
              </w:rPr>
            </w:pPr>
            <w:r w:rsidRPr="00676B55">
              <w:rPr>
                <w:rFonts w:ascii="Arial" w:hAnsi="Arial" w:cs="Arial"/>
                <w:sz w:val="20"/>
                <w:szCs w:val="22"/>
              </w:rPr>
              <w:t xml:space="preserve">The average concentration of the available </w:t>
            </w:r>
            <w:r>
              <w:rPr>
                <w:rFonts w:ascii="Arial" w:hAnsi="Arial" w:cs="Arial"/>
                <w:sz w:val="20"/>
                <w:szCs w:val="22"/>
              </w:rPr>
              <w:t xml:space="preserve">Org P </w:t>
            </w:r>
            <w:r w:rsidRPr="00676B55">
              <w:rPr>
                <w:rFonts w:ascii="Arial" w:hAnsi="Arial" w:cs="Arial"/>
                <w:sz w:val="20"/>
                <w:szCs w:val="22"/>
              </w:rPr>
              <w:t>records is 0.0</w:t>
            </w:r>
            <w:r>
              <w:rPr>
                <w:rFonts w:ascii="Arial" w:hAnsi="Arial" w:cs="Arial"/>
                <w:sz w:val="20"/>
                <w:szCs w:val="22"/>
              </w:rPr>
              <w:t>12</w:t>
            </w:r>
            <w:r w:rsidRPr="00676B55">
              <w:rPr>
                <w:rFonts w:ascii="Arial" w:hAnsi="Arial" w:cs="Arial"/>
                <w:sz w:val="20"/>
                <w:szCs w:val="22"/>
              </w:rPr>
              <w:t xml:space="preserve"> mg/L</w:t>
            </w:r>
            <w:r>
              <w:rPr>
                <w:rFonts w:ascii="Arial" w:hAnsi="Arial" w:cs="Arial"/>
                <w:sz w:val="20"/>
                <w:szCs w:val="22"/>
              </w:rPr>
              <w:t>. Boundary concentrations of RPOP, LPOP, and DOP have been updated to reflect the new values.</w:t>
            </w:r>
          </w:p>
        </w:tc>
      </w:tr>
      <w:tr w:rsidR="00231BCC" w:rsidRPr="00676B55" w:rsidTr="00653AAE">
        <w:trPr>
          <w:cantSplit/>
          <w:jc w:val="center"/>
        </w:trPr>
        <w:tc>
          <w:tcPr>
            <w:tcW w:w="1270" w:type="dxa"/>
            <w:vAlign w:val="center"/>
          </w:tcPr>
          <w:p w:rsidR="00231BCC" w:rsidRPr="00676B55" w:rsidRDefault="00231BCC" w:rsidP="00231BCC">
            <w:pPr>
              <w:spacing w:after="0"/>
              <w:ind w:left="-23" w:right="-89"/>
              <w:jc w:val="left"/>
              <w:rPr>
                <w:rFonts w:ascii="Arial" w:hAnsi="Arial" w:cs="Arial"/>
                <w:sz w:val="20"/>
                <w:szCs w:val="22"/>
              </w:rPr>
            </w:pPr>
            <w:r>
              <w:rPr>
                <w:rFonts w:ascii="Arial" w:hAnsi="Arial" w:cs="Arial"/>
                <w:sz w:val="20"/>
                <w:szCs w:val="22"/>
              </w:rPr>
              <w:t>OrgC</w:t>
            </w:r>
          </w:p>
        </w:tc>
        <w:tc>
          <w:tcPr>
            <w:tcW w:w="2321" w:type="dxa"/>
            <w:vAlign w:val="center"/>
          </w:tcPr>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RPOC = 0.3 mg/L</w:t>
            </w:r>
          </w:p>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LPOC = 0.3 mg/L</w:t>
            </w:r>
          </w:p>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DOC = 2.5 mg/L</w:t>
            </w:r>
          </w:p>
        </w:tc>
        <w:tc>
          <w:tcPr>
            <w:tcW w:w="2430" w:type="dxa"/>
            <w:vAlign w:val="center"/>
          </w:tcPr>
          <w:p w:rsidR="00231BCC" w:rsidRPr="00676B55" w:rsidRDefault="00231BCC" w:rsidP="00231BCC">
            <w:pPr>
              <w:spacing w:after="0"/>
              <w:ind w:left="-18" w:right="-18"/>
              <w:jc w:val="left"/>
              <w:rPr>
                <w:rFonts w:ascii="Arial" w:hAnsi="Arial" w:cs="Arial"/>
                <w:sz w:val="20"/>
                <w:szCs w:val="22"/>
              </w:rPr>
            </w:pPr>
            <w:r w:rsidRPr="00676B55">
              <w:rPr>
                <w:rFonts w:ascii="Arial" w:hAnsi="Arial" w:cs="Arial"/>
                <w:sz w:val="20"/>
                <w:szCs w:val="22"/>
              </w:rPr>
              <w:t>Not modified from 2014 Model setup.</w:t>
            </w:r>
          </w:p>
        </w:tc>
        <w:tc>
          <w:tcPr>
            <w:tcW w:w="4162" w:type="dxa"/>
            <w:vAlign w:val="center"/>
          </w:tcPr>
          <w:p w:rsidR="00231BCC" w:rsidRPr="00676B55" w:rsidRDefault="00231BCC" w:rsidP="00231BCC">
            <w:pPr>
              <w:spacing w:after="0"/>
              <w:ind w:left="-18" w:right="-113"/>
              <w:jc w:val="left"/>
              <w:rPr>
                <w:rFonts w:ascii="Arial" w:hAnsi="Arial" w:cs="Arial"/>
                <w:sz w:val="20"/>
                <w:szCs w:val="22"/>
              </w:rPr>
            </w:pPr>
            <w:r w:rsidRPr="00676B55">
              <w:rPr>
                <w:rFonts w:ascii="Arial" w:hAnsi="Arial" w:cs="Arial"/>
                <w:sz w:val="20"/>
                <w:szCs w:val="22"/>
              </w:rPr>
              <w:t>Average concentration of available observations is 3.1 mg/L, which is the</w:t>
            </w:r>
            <w:r>
              <w:rPr>
                <w:rFonts w:ascii="Arial" w:hAnsi="Arial" w:cs="Arial"/>
                <w:sz w:val="20"/>
                <w:szCs w:val="22"/>
              </w:rPr>
              <w:t xml:space="preserve"> same</w:t>
            </w:r>
            <w:r w:rsidRPr="00676B55">
              <w:rPr>
                <w:rFonts w:ascii="Arial" w:hAnsi="Arial" w:cs="Arial"/>
                <w:sz w:val="20"/>
                <w:szCs w:val="22"/>
              </w:rPr>
              <w:t xml:space="preserve"> concentration used in the 2014 Model.</w:t>
            </w:r>
          </w:p>
        </w:tc>
      </w:tr>
      <w:tr w:rsidR="00231BCC" w:rsidRPr="00676B55" w:rsidTr="00653AAE">
        <w:trPr>
          <w:cantSplit/>
          <w:jc w:val="center"/>
        </w:trPr>
        <w:tc>
          <w:tcPr>
            <w:tcW w:w="1270" w:type="dxa"/>
            <w:vAlign w:val="center"/>
          </w:tcPr>
          <w:p w:rsidR="00231BCC" w:rsidRPr="00676B55" w:rsidRDefault="00231BCC" w:rsidP="00231BCC">
            <w:pPr>
              <w:spacing w:after="0"/>
              <w:ind w:left="-23" w:right="-89"/>
              <w:jc w:val="left"/>
              <w:rPr>
                <w:rFonts w:ascii="Arial" w:hAnsi="Arial" w:cs="Arial"/>
                <w:sz w:val="20"/>
                <w:szCs w:val="22"/>
              </w:rPr>
            </w:pPr>
            <w:r w:rsidRPr="00676B55">
              <w:rPr>
                <w:rFonts w:ascii="Arial" w:hAnsi="Arial" w:cs="Arial"/>
                <w:sz w:val="20"/>
                <w:szCs w:val="22"/>
              </w:rPr>
              <w:t>Chl</w:t>
            </w:r>
            <w:r>
              <w:rPr>
                <w:rFonts w:ascii="Arial" w:hAnsi="Arial" w:cs="Arial"/>
                <w:sz w:val="20"/>
                <w:szCs w:val="22"/>
              </w:rPr>
              <w:t>orophyll-</w:t>
            </w:r>
            <w:r w:rsidRPr="00B207EE">
              <w:rPr>
                <w:rFonts w:ascii="Arial" w:hAnsi="Arial" w:cs="Arial"/>
                <w:i/>
                <w:sz w:val="20"/>
                <w:szCs w:val="22"/>
              </w:rPr>
              <w:t>a</w:t>
            </w:r>
          </w:p>
        </w:tc>
        <w:tc>
          <w:tcPr>
            <w:tcW w:w="2321" w:type="dxa"/>
            <w:vAlign w:val="center"/>
          </w:tcPr>
          <w:p w:rsidR="00231BCC" w:rsidRPr="00676B55" w:rsidRDefault="00231BCC" w:rsidP="00231BCC">
            <w:pPr>
              <w:spacing w:after="0"/>
              <w:ind w:left="-37" w:right="-108"/>
              <w:jc w:val="left"/>
              <w:rPr>
                <w:rFonts w:ascii="Arial" w:hAnsi="Arial" w:cs="Arial"/>
                <w:sz w:val="20"/>
                <w:szCs w:val="22"/>
              </w:rPr>
            </w:pPr>
            <w:r w:rsidRPr="00676B55">
              <w:rPr>
                <w:rFonts w:ascii="Arial" w:hAnsi="Arial" w:cs="Arial"/>
                <w:sz w:val="20"/>
                <w:szCs w:val="22"/>
              </w:rPr>
              <w:t>Constant concentration of 1 µg/L for green algae</w:t>
            </w:r>
            <w:r>
              <w:rPr>
                <w:rFonts w:ascii="Arial" w:hAnsi="Arial" w:cs="Arial"/>
                <w:sz w:val="20"/>
                <w:szCs w:val="22"/>
              </w:rPr>
              <w:t xml:space="preserve"> and cyanobacteria</w:t>
            </w:r>
            <w:r w:rsidRPr="00676B55">
              <w:rPr>
                <w:rFonts w:ascii="Arial" w:hAnsi="Arial" w:cs="Arial"/>
                <w:sz w:val="20"/>
                <w:szCs w:val="22"/>
              </w:rPr>
              <w:t xml:space="preserve"> in Card 33. </w:t>
            </w:r>
          </w:p>
        </w:tc>
        <w:tc>
          <w:tcPr>
            <w:tcW w:w="2430" w:type="dxa"/>
            <w:vAlign w:val="center"/>
          </w:tcPr>
          <w:p w:rsidR="00231BCC" w:rsidRPr="00676B55" w:rsidRDefault="00231BCC" w:rsidP="00231BCC">
            <w:pPr>
              <w:spacing w:after="0"/>
              <w:ind w:left="-18" w:right="-18"/>
              <w:jc w:val="left"/>
              <w:rPr>
                <w:rFonts w:ascii="Arial" w:hAnsi="Arial" w:cs="Arial"/>
                <w:sz w:val="20"/>
                <w:szCs w:val="22"/>
              </w:rPr>
            </w:pPr>
            <w:r w:rsidRPr="00676B55">
              <w:rPr>
                <w:rFonts w:ascii="Arial" w:hAnsi="Arial" w:cs="Arial"/>
                <w:sz w:val="20"/>
                <w:szCs w:val="22"/>
              </w:rPr>
              <w:t>Not modified from 2014 Model setup.</w:t>
            </w:r>
          </w:p>
        </w:tc>
        <w:tc>
          <w:tcPr>
            <w:tcW w:w="4162" w:type="dxa"/>
            <w:vAlign w:val="center"/>
          </w:tcPr>
          <w:p w:rsidR="00231BCC" w:rsidRPr="00676B55" w:rsidRDefault="00231BCC" w:rsidP="00231BCC">
            <w:pPr>
              <w:spacing w:after="0"/>
              <w:ind w:left="-18" w:right="-113"/>
              <w:jc w:val="left"/>
              <w:rPr>
                <w:rFonts w:ascii="Arial" w:hAnsi="Arial" w:cs="Arial"/>
                <w:sz w:val="20"/>
                <w:szCs w:val="22"/>
              </w:rPr>
            </w:pPr>
            <w:r w:rsidRPr="00676B55">
              <w:rPr>
                <w:rFonts w:ascii="Arial" w:hAnsi="Arial" w:cs="Arial"/>
                <w:sz w:val="20"/>
                <w:szCs w:val="22"/>
              </w:rPr>
              <w:t>The average concentration of the available records is 1.4 µg/L, which is within range of the 2014 Model.</w:t>
            </w:r>
            <w:r>
              <w:rPr>
                <w:rFonts w:ascii="Arial" w:hAnsi="Arial" w:cs="Arial"/>
                <w:sz w:val="20"/>
                <w:szCs w:val="22"/>
              </w:rPr>
              <w:t xml:space="preserve"> The Chla concentration is input in EFDC in Carbon units using a Carbon-to-chlorophyll ratio of 0.04 mgC/µgChla.</w:t>
            </w:r>
          </w:p>
        </w:tc>
      </w:tr>
      <w:tr w:rsidR="00231BCC" w:rsidRPr="00676B55" w:rsidTr="00653AAE">
        <w:trPr>
          <w:cantSplit/>
          <w:jc w:val="center"/>
        </w:trPr>
        <w:tc>
          <w:tcPr>
            <w:tcW w:w="1270" w:type="dxa"/>
            <w:vAlign w:val="center"/>
          </w:tcPr>
          <w:p w:rsidR="00231BCC" w:rsidRPr="00676B55" w:rsidRDefault="00231BCC" w:rsidP="00231BCC">
            <w:pPr>
              <w:spacing w:after="0"/>
              <w:ind w:left="-23" w:right="-89"/>
              <w:jc w:val="left"/>
              <w:rPr>
                <w:rFonts w:ascii="Arial" w:hAnsi="Arial" w:cs="Arial"/>
                <w:sz w:val="20"/>
                <w:szCs w:val="22"/>
              </w:rPr>
            </w:pPr>
            <w:r>
              <w:rPr>
                <w:rFonts w:ascii="Arial" w:hAnsi="Arial" w:cs="Arial"/>
                <w:sz w:val="20"/>
                <w:szCs w:val="22"/>
              </w:rPr>
              <w:t>TSS</w:t>
            </w:r>
          </w:p>
        </w:tc>
        <w:tc>
          <w:tcPr>
            <w:tcW w:w="2321" w:type="dxa"/>
            <w:vAlign w:val="center"/>
          </w:tcPr>
          <w:p w:rsidR="00231BCC" w:rsidRPr="00676B55" w:rsidRDefault="00231BCC" w:rsidP="00231BCC">
            <w:pPr>
              <w:spacing w:after="0"/>
              <w:ind w:left="-37" w:right="-108"/>
              <w:jc w:val="left"/>
              <w:rPr>
                <w:rFonts w:ascii="Arial" w:hAnsi="Arial" w:cs="Arial"/>
                <w:sz w:val="20"/>
                <w:szCs w:val="22"/>
              </w:rPr>
            </w:pPr>
            <w:r>
              <w:rPr>
                <w:rFonts w:ascii="Arial" w:hAnsi="Arial" w:cs="Arial"/>
                <w:sz w:val="20"/>
                <w:szCs w:val="22"/>
              </w:rPr>
              <w:t xml:space="preserve">Constant concentration of 7 mg/L </w:t>
            </w:r>
          </w:p>
        </w:tc>
        <w:tc>
          <w:tcPr>
            <w:tcW w:w="2430" w:type="dxa"/>
            <w:vAlign w:val="center"/>
          </w:tcPr>
          <w:p w:rsidR="00231BCC" w:rsidRPr="00676B55" w:rsidRDefault="00231BCC" w:rsidP="00231BCC">
            <w:pPr>
              <w:spacing w:after="0"/>
              <w:ind w:left="-18" w:right="-18"/>
              <w:jc w:val="left"/>
              <w:rPr>
                <w:rFonts w:ascii="Arial" w:hAnsi="Arial" w:cs="Arial"/>
                <w:sz w:val="20"/>
                <w:szCs w:val="22"/>
              </w:rPr>
            </w:pPr>
            <w:r>
              <w:rPr>
                <w:rFonts w:ascii="Arial" w:hAnsi="Arial" w:cs="Arial"/>
                <w:sz w:val="20"/>
                <w:szCs w:val="22"/>
              </w:rPr>
              <w:t>Constant concentration of 20 mg/L</w:t>
            </w:r>
          </w:p>
        </w:tc>
        <w:tc>
          <w:tcPr>
            <w:tcW w:w="4162" w:type="dxa"/>
            <w:vAlign w:val="center"/>
          </w:tcPr>
          <w:p w:rsidR="00231BCC" w:rsidRPr="00676B55" w:rsidRDefault="00231BCC" w:rsidP="00231BCC">
            <w:pPr>
              <w:spacing w:after="0"/>
              <w:ind w:left="-18" w:right="-113"/>
              <w:jc w:val="left"/>
              <w:rPr>
                <w:rFonts w:ascii="Arial" w:hAnsi="Arial" w:cs="Arial"/>
                <w:sz w:val="20"/>
                <w:szCs w:val="22"/>
              </w:rPr>
            </w:pPr>
            <w:r>
              <w:rPr>
                <w:rFonts w:ascii="Arial" w:hAnsi="Arial" w:cs="Arial"/>
                <w:sz w:val="20"/>
                <w:szCs w:val="22"/>
              </w:rPr>
              <w:t>Average concentration of available data is 20 mg/L. This value was updated in the 2017 model.</w:t>
            </w:r>
          </w:p>
        </w:tc>
      </w:tr>
    </w:tbl>
    <w:p w:rsidR="00833D83" w:rsidRDefault="00833D83" w:rsidP="00E62513">
      <w:pPr>
        <w:spacing w:after="0"/>
      </w:pPr>
    </w:p>
    <w:p w:rsidR="009F1562" w:rsidRPr="00093F25" w:rsidRDefault="005D2C38" w:rsidP="009F1562">
      <w:pPr>
        <w:rPr>
          <w:rFonts w:cs="Times New Roman"/>
        </w:rPr>
      </w:pPr>
      <w:r w:rsidRPr="001D428B">
        <w:t xml:space="preserve">The water quality boundary conditions for the different tributaries of the Caloosahatchee River </w:t>
      </w:r>
      <w:r w:rsidR="00231BCC">
        <w:t xml:space="preserve">Estuary </w:t>
      </w:r>
      <w:r w:rsidRPr="001D428B">
        <w:t xml:space="preserve">were defined using the predictions from the HSPF model. However, given that in most cases the output water quality variables from the HSPF model do not directly match the variables simulated in the EFDC model, some processing was necessary to convert the outputs from the HSPF model into the forms simulated by the EFDC model. </w:t>
      </w:r>
      <w:r w:rsidR="000A3E97" w:rsidRPr="00887A00">
        <w:rPr>
          <w:b/>
        </w:rPr>
        <w:fldChar w:fldCharType="begin"/>
      </w:r>
      <w:r w:rsidR="000A3E97" w:rsidRPr="00887A00">
        <w:rPr>
          <w:b/>
        </w:rPr>
        <w:instrText xml:space="preserve"> REF _Ref466535780 \h </w:instrText>
      </w:r>
      <w:r w:rsidR="000A3E97">
        <w:rPr>
          <w:b/>
        </w:rPr>
        <w:instrText xml:space="preserve"> \* MERGEFORMAT </w:instrText>
      </w:r>
      <w:r w:rsidR="000A3E97" w:rsidRPr="00887A00">
        <w:rPr>
          <w:b/>
        </w:rPr>
      </w:r>
      <w:r w:rsidR="000A3E97" w:rsidRPr="00887A00">
        <w:rPr>
          <w:b/>
        </w:rPr>
        <w:fldChar w:fldCharType="separate"/>
      </w:r>
      <w:r w:rsidR="00E2646D" w:rsidRPr="00E2646D">
        <w:rPr>
          <w:b/>
        </w:rPr>
        <w:t xml:space="preserve">Table </w:t>
      </w:r>
      <w:r w:rsidR="00E2646D" w:rsidRPr="00E2646D">
        <w:rPr>
          <w:b/>
          <w:noProof/>
        </w:rPr>
        <w:t>3</w:t>
      </w:r>
      <w:r w:rsidR="000A3E97" w:rsidRPr="00887A00">
        <w:rPr>
          <w:b/>
        </w:rPr>
        <w:fldChar w:fldCharType="end"/>
      </w:r>
      <w:r w:rsidRPr="001D428B">
        <w:t xml:space="preserve"> presents a summary of the conversion process conducted to link the HSPF and EFDC models. In </w:t>
      </w:r>
      <w:r w:rsidR="000A3E97" w:rsidRPr="00887A00">
        <w:rPr>
          <w:b/>
        </w:rPr>
        <w:fldChar w:fldCharType="begin"/>
      </w:r>
      <w:r w:rsidR="000A3E97" w:rsidRPr="00887A00">
        <w:rPr>
          <w:b/>
        </w:rPr>
        <w:instrText xml:space="preserve"> REF _Ref466535780 \h </w:instrText>
      </w:r>
      <w:r w:rsidR="000A3E97">
        <w:rPr>
          <w:b/>
        </w:rPr>
        <w:instrText xml:space="preserve"> \* MERGEFORMAT </w:instrText>
      </w:r>
      <w:r w:rsidR="000A3E97" w:rsidRPr="00887A00">
        <w:rPr>
          <w:b/>
        </w:rPr>
      </w:r>
      <w:r w:rsidR="000A3E97" w:rsidRPr="00887A00">
        <w:rPr>
          <w:b/>
        </w:rPr>
        <w:fldChar w:fldCharType="separate"/>
      </w:r>
      <w:r w:rsidR="00E2646D" w:rsidRPr="00E2646D">
        <w:rPr>
          <w:b/>
        </w:rPr>
        <w:t xml:space="preserve">Table </w:t>
      </w:r>
      <w:r w:rsidR="00E2646D" w:rsidRPr="00E2646D">
        <w:rPr>
          <w:b/>
          <w:noProof/>
        </w:rPr>
        <w:t>3</w:t>
      </w:r>
      <w:r w:rsidR="000A3E97" w:rsidRPr="00887A00">
        <w:rPr>
          <w:b/>
        </w:rPr>
        <w:fldChar w:fldCharType="end"/>
      </w:r>
      <w:r w:rsidRPr="001D428B">
        <w:t>, it is important to note that the organic forms of nitrogen, phosphorus, and carbon from the HSPF model are further discretized into refractory, labile, and dissolved forms.</w:t>
      </w:r>
      <w:r w:rsidR="00372517">
        <w:t xml:space="preserve"> As an example, for carbon, the HSPF model provides two outputs: </w:t>
      </w:r>
      <w:r w:rsidR="00372517" w:rsidRPr="001D428B">
        <w:t>OrgC</w:t>
      </w:r>
      <w:r w:rsidR="00372517" w:rsidRPr="001D428B">
        <w:rPr>
          <w:vertAlign w:val="subscript"/>
        </w:rPr>
        <w:t>HSPF</w:t>
      </w:r>
      <w:r w:rsidR="00372517" w:rsidRPr="001D428B">
        <w:t xml:space="preserve"> </w:t>
      </w:r>
      <w:r w:rsidR="00372517">
        <w:t>(</w:t>
      </w:r>
      <w:r w:rsidR="00372517" w:rsidRPr="001D428B">
        <w:t>Total Organic Carbon</w:t>
      </w:r>
      <w:r w:rsidR="00372517">
        <w:t xml:space="preserve"> [TOC]) and </w:t>
      </w:r>
      <w:r w:rsidR="00372517" w:rsidRPr="001D428B">
        <w:t>ROC</w:t>
      </w:r>
      <w:r w:rsidR="00372517" w:rsidRPr="001D428B">
        <w:rPr>
          <w:vertAlign w:val="subscript"/>
        </w:rPr>
        <w:t>HSPF</w:t>
      </w:r>
      <w:r w:rsidR="00372517" w:rsidRPr="001D428B">
        <w:t xml:space="preserve"> </w:t>
      </w:r>
      <w:r w:rsidR="00372517">
        <w:t>(</w:t>
      </w:r>
      <w:r w:rsidR="00372517" w:rsidRPr="001D428B">
        <w:t>Refractory Organic Carbon</w:t>
      </w:r>
      <w:r w:rsidR="00372517">
        <w:t xml:space="preserve"> [ROP]). TOC contains dead refractory organic carbon, labile organic carbon, and live organic carbon. When linking the HSPF model to the EFDC model, three forms of organic carbon were input into the EFDC model from the two forms of output from the HSPF model.</w:t>
      </w:r>
      <w:r w:rsidR="009F1562">
        <w:t xml:space="preserve"> </w:t>
      </w:r>
      <w:r w:rsidR="009F1562" w:rsidRPr="00093F25">
        <w:rPr>
          <w:rFonts w:cs="Times New Roman"/>
        </w:rPr>
        <w:t xml:space="preserve">The values for </w:t>
      </w:r>
      <w:r w:rsidR="009F1562">
        <w:rPr>
          <w:rFonts w:cs="Times New Roman"/>
        </w:rPr>
        <w:t>the particulate fractions (</w:t>
      </w:r>
      <w:r w:rsidR="009F1562" w:rsidRPr="00093F25">
        <w:rPr>
          <w:rFonts w:cs="Times New Roman"/>
        </w:rPr>
        <w:t>FPc</w:t>
      </w:r>
      <w:r w:rsidR="009F1562">
        <w:rPr>
          <w:rFonts w:cs="Times New Roman"/>
        </w:rPr>
        <w:t>)</w:t>
      </w:r>
      <w:r w:rsidR="009F1562" w:rsidRPr="00093F25">
        <w:rPr>
          <w:rFonts w:cs="Times New Roman"/>
        </w:rPr>
        <w:t xml:space="preserve"> and </w:t>
      </w:r>
      <w:r w:rsidR="009F1562">
        <w:rPr>
          <w:rFonts w:cs="Times New Roman"/>
        </w:rPr>
        <w:t>dissolved fractions (</w:t>
      </w:r>
      <w:r w:rsidR="009F1562" w:rsidRPr="00093F25">
        <w:rPr>
          <w:rFonts w:cs="Times New Roman"/>
        </w:rPr>
        <w:t>FDc</w:t>
      </w:r>
      <w:r w:rsidR="009F1562">
        <w:rPr>
          <w:rFonts w:cs="Times New Roman"/>
        </w:rPr>
        <w:t>)</w:t>
      </w:r>
      <w:r w:rsidR="009F1562" w:rsidRPr="00093F25">
        <w:rPr>
          <w:rFonts w:cs="Times New Roman"/>
        </w:rPr>
        <w:t xml:space="preserve"> were assumed to be calibration parameters since ROC</w:t>
      </w:r>
      <w:r w:rsidR="009F1562" w:rsidRPr="00093F25">
        <w:rPr>
          <w:rFonts w:cs="Times New Roman"/>
          <w:vertAlign w:val="subscript"/>
        </w:rPr>
        <w:t>HSPF</w:t>
      </w:r>
      <w:r w:rsidR="009F1562">
        <w:rPr>
          <w:rFonts w:cs="Times New Roman"/>
        </w:rPr>
        <w:t xml:space="preserve"> is completely</w:t>
      </w:r>
      <w:r w:rsidR="009F1562" w:rsidRPr="00093F25">
        <w:rPr>
          <w:rFonts w:cs="Times New Roman"/>
        </w:rPr>
        <w:t xml:space="preserve"> dissolved.</w:t>
      </w:r>
    </w:p>
    <w:p w:rsidR="00EF7601" w:rsidRDefault="00EF7601" w:rsidP="00E62513">
      <w:pPr>
        <w:pStyle w:val="Caption"/>
        <w:keepNext/>
      </w:pPr>
      <w:bookmarkStart w:id="7" w:name="_Ref466535780"/>
      <w:r>
        <w:t xml:space="preserve">Table </w:t>
      </w:r>
      <w:r w:rsidR="00F5600E">
        <w:fldChar w:fldCharType="begin"/>
      </w:r>
      <w:r w:rsidR="00F5600E">
        <w:instrText xml:space="preserve"> SEQ Table \* ARABIC </w:instrText>
      </w:r>
      <w:r w:rsidR="00F5600E">
        <w:fldChar w:fldCharType="separate"/>
      </w:r>
      <w:r w:rsidR="00E2646D">
        <w:rPr>
          <w:noProof/>
        </w:rPr>
        <w:t>3</w:t>
      </w:r>
      <w:r w:rsidR="00F5600E">
        <w:rPr>
          <w:noProof/>
        </w:rPr>
        <w:fldChar w:fldCharType="end"/>
      </w:r>
      <w:bookmarkEnd w:id="7"/>
      <w:r>
        <w:t xml:space="preserve">: List of water quality variables simulated in the HSPF and EFDC models and conversion process to use the HSPF model outputs as boundaries conditions in the EFDC model </w:t>
      </w:r>
    </w:p>
    <w:tbl>
      <w:tblPr>
        <w:tblStyle w:val="TableGrid"/>
        <w:tblW w:w="0" w:type="auto"/>
        <w:jc w:val="center"/>
        <w:tblLook w:val="04A0" w:firstRow="1" w:lastRow="0" w:firstColumn="1" w:lastColumn="0" w:noHBand="0" w:noVBand="1"/>
      </w:tblPr>
      <w:tblGrid>
        <w:gridCol w:w="2335"/>
        <w:gridCol w:w="3060"/>
        <w:gridCol w:w="4675"/>
      </w:tblGrid>
      <w:tr w:rsidR="00231BCC" w:rsidRPr="00101D3D" w:rsidTr="0086131D">
        <w:trPr>
          <w:tblHeader/>
          <w:jc w:val="center"/>
        </w:trPr>
        <w:tc>
          <w:tcPr>
            <w:tcW w:w="2335" w:type="dxa"/>
            <w:shd w:val="clear" w:color="auto" w:fill="D9D9D9" w:themeFill="background1" w:themeFillShade="D9"/>
            <w:vAlign w:val="center"/>
          </w:tcPr>
          <w:p w:rsidR="00231BCC" w:rsidRPr="00101D3D" w:rsidRDefault="00231BCC" w:rsidP="0086131D">
            <w:pPr>
              <w:keepNext/>
              <w:spacing w:after="0"/>
              <w:jc w:val="center"/>
              <w:rPr>
                <w:rFonts w:ascii="Arial" w:hAnsi="Arial" w:cs="Arial"/>
                <w:b/>
                <w:sz w:val="20"/>
                <w:szCs w:val="20"/>
              </w:rPr>
            </w:pPr>
            <w:r w:rsidRPr="00101D3D">
              <w:rPr>
                <w:rFonts w:ascii="Arial" w:hAnsi="Arial" w:cs="Arial"/>
                <w:b/>
                <w:sz w:val="20"/>
                <w:szCs w:val="20"/>
              </w:rPr>
              <w:t>Variable</w:t>
            </w:r>
          </w:p>
        </w:tc>
        <w:tc>
          <w:tcPr>
            <w:tcW w:w="3060" w:type="dxa"/>
            <w:shd w:val="clear" w:color="auto" w:fill="D9D9D9" w:themeFill="background1" w:themeFillShade="D9"/>
            <w:vAlign w:val="center"/>
          </w:tcPr>
          <w:p w:rsidR="00231BCC" w:rsidRPr="00101D3D" w:rsidRDefault="00231BCC" w:rsidP="0086131D">
            <w:pPr>
              <w:keepNext/>
              <w:spacing w:after="0"/>
              <w:jc w:val="center"/>
              <w:rPr>
                <w:rFonts w:ascii="Arial" w:hAnsi="Arial" w:cs="Arial"/>
                <w:b/>
                <w:sz w:val="20"/>
                <w:szCs w:val="20"/>
              </w:rPr>
            </w:pPr>
            <w:r w:rsidRPr="00101D3D">
              <w:rPr>
                <w:rFonts w:ascii="Arial" w:hAnsi="Arial" w:cs="Arial"/>
                <w:b/>
                <w:sz w:val="20"/>
                <w:szCs w:val="20"/>
              </w:rPr>
              <w:t>Variable(s) predicted in HSPF</w:t>
            </w:r>
          </w:p>
        </w:tc>
        <w:tc>
          <w:tcPr>
            <w:tcW w:w="4675" w:type="dxa"/>
            <w:shd w:val="clear" w:color="auto" w:fill="D9D9D9" w:themeFill="background1" w:themeFillShade="D9"/>
            <w:vAlign w:val="center"/>
          </w:tcPr>
          <w:p w:rsidR="00231BCC" w:rsidRPr="00101D3D" w:rsidRDefault="00231BCC" w:rsidP="0086131D">
            <w:pPr>
              <w:keepNext/>
              <w:spacing w:after="0"/>
              <w:jc w:val="center"/>
              <w:rPr>
                <w:rFonts w:ascii="Arial" w:hAnsi="Arial" w:cs="Arial"/>
                <w:b/>
                <w:sz w:val="20"/>
                <w:szCs w:val="20"/>
              </w:rPr>
            </w:pPr>
            <w:r w:rsidRPr="00101D3D">
              <w:rPr>
                <w:rFonts w:ascii="Arial" w:hAnsi="Arial" w:cs="Arial"/>
                <w:b/>
                <w:sz w:val="20"/>
                <w:szCs w:val="20"/>
              </w:rPr>
              <w:t>Variable Simulated in EFDC and process to link HSPF to EFDC</w:t>
            </w:r>
          </w:p>
        </w:tc>
      </w:tr>
      <w:tr w:rsidR="00231BCC" w:rsidRPr="00101D3D" w:rsidTr="0086131D">
        <w:trPr>
          <w:jc w:val="center"/>
        </w:trPr>
        <w:tc>
          <w:tcPr>
            <w:tcW w:w="2335" w:type="dxa"/>
            <w:vAlign w:val="center"/>
          </w:tcPr>
          <w:p w:rsidR="00231BCC" w:rsidRPr="00101D3D" w:rsidRDefault="00231BCC" w:rsidP="0086131D">
            <w:pPr>
              <w:keepNext/>
              <w:spacing w:after="0"/>
              <w:jc w:val="center"/>
              <w:rPr>
                <w:rFonts w:ascii="Arial" w:hAnsi="Arial" w:cs="Arial"/>
                <w:sz w:val="20"/>
                <w:szCs w:val="20"/>
              </w:rPr>
            </w:pPr>
            <w:r w:rsidRPr="00101D3D">
              <w:rPr>
                <w:rFonts w:ascii="Arial" w:hAnsi="Arial" w:cs="Arial"/>
                <w:sz w:val="20"/>
                <w:szCs w:val="20"/>
              </w:rPr>
              <w:t>Organic Nitrogen (</w:t>
            </w:r>
            <w:r w:rsidRPr="00101D3D">
              <w:rPr>
                <w:rFonts w:ascii="Arial" w:hAnsi="Arial" w:cs="Arial"/>
                <w:b/>
                <w:sz w:val="20"/>
                <w:szCs w:val="20"/>
              </w:rPr>
              <w:t>OrgN</w:t>
            </w:r>
            <w:r w:rsidRPr="00101D3D">
              <w:rPr>
                <w:rFonts w:ascii="Arial" w:hAnsi="Arial" w:cs="Arial"/>
                <w:sz w:val="20"/>
                <w:szCs w:val="20"/>
              </w:rPr>
              <w:t>)</w:t>
            </w:r>
          </w:p>
        </w:tc>
        <w:tc>
          <w:tcPr>
            <w:tcW w:w="3060" w:type="dxa"/>
            <w:vAlign w:val="center"/>
          </w:tcPr>
          <w:p w:rsidR="00231BCC" w:rsidRPr="00101D3D" w:rsidRDefault="00231BCC" w:rsidP="00231BCC">
            <w:pPr>
              <w:pStyle w:val="ListParagraph"/>
              <w:keepNext/>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OrgN</w:t>
            </w:r>
            <w:r w:rsidRPr="00101D3D">
              <w:rPr>
                <w:rFonts w:ascii="Arial" w:hAnsi="Arial" w:cs="Arial"/>
                <w:b/>
                <w:sz w:val="20"/>
                <w:szCs w:val="20"/>
                <w:vertAlign w:val="subscript"/>
              </w:rPr>
              <w:t>HSPF</w:t>
            </w:r>
            <w:r w:rsidRPr="00101D3D">
              <w:rPr>
                <w:rFonts w:ascii="Arial" w:hAnsi="Arial" w:cs="Arial"/>
                <w:sz w:val="20"/>
                <w:szCs w:val="20"/>
              </w:rPr>
              <w:t xml:space="preserve"> = Total Organic Nitrogen </w:t>
            </w:r>
          </w:p>
          <w:p w:rsidR="00231BCC" w:rsidRPr="00101D3D" w:rsidRDefault="00231BCC" w:rsidP="0086131D">
            <w:pPr>
              <w:pStyle w:val="ListParagraph"/>
              <w:keepNext/>
              <w:tabs>
                <w:tab w:val="left" w:pos="311"/>
              </w:tabs>
              <w:spacing w:after="0"/>
              <w:ind w:left="82"/>
              <w:jc w:val="left"/>
              <w:rPr>
                <w:rFonts w:ascii="Arial" w:hAnsi="Arial" w:cs="Arial"/>
                <w:sz w:val="20"/>
                <w:szCs w:val="20"/>
              </w:rPr>
            </w:pPr>
          </w:p>
          <w:p w:rsidR="00231BCC" w:rsidRPr="00101D3D" w:rsidRDefault="00231BCC" w:rsidP="00231BCC">
            <w:pPr>
              <w:pStyle w:val="ListParagraph"/>
              <w:keepNext/>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RON</w:t>
            </w:r>
            <w:r w:rsidRPr="00101D3D">
              <w:rPr>
                <w:rFonts w:ascii="Arial" w:hAnsi="Arial" w:cs="Arial"/>
                <w:b/>
                <w:sz w:val="20"/>
                <w:szCs w:val="20"/>
                <w:vertAlign w:val="subscript"/>
              </w:rPr>
              <w:t>HSPF</w:t>
            </w:r>
            <w:r w:rsidRPr="00101D3D">
              <w:rPr>
                <w:rFonts w:ascii="Arial" w:hAnsi="Arial" w:cs="Arial"/>
                <w:sz w:val="20"/>
                <w:szCs w:val="20"/>
              </w:rPr>
              <w:t xml:space="preserve"> = Refractory Organic Nitrogen</w:t>
            </w:r>
          </w:p>
          <w:p w:rsidR="00231BCC" w:rsidRPr="00101D3D" w:rsidRDefault="00231BCC" w:rsidP="0086131D">
            <w:pPr>
              <w:pStyle w:val="ListParagraph"/>
              <w:keepNext/>
              <w:rPr>
                <w:rFonts w:ascii="Arial" w:hAnsi="Arial" w:cs="Arial"/>
                <w:sz w:val="20"/>
                <w:szCs w:val="20"/>
              </w:rPr>
            </w:pPr>
          </w:p>
          <w:p w:rsidR="00231BCC" w:rsidRPr="00101D3D" w:rsidRDefault="00231BCC" w:rsidP="0086131D">
            <w:pPr>
              <w:pStyle w:val="ListParagraph"/>
              <w:keepNext/>
              <w:tabs>
                <w:tab w:val="left" w:pos="311"/>
              </w:tabs>
              <w:spacing w:after="0"/>
              <w:ind w:left="82"/>
              <w:jc w:val="left"/>
              <w:rPr>
                <w:rFonts w:ascii="Arial" w:hAnsi="Arial" w:cs="Arial"/>
                <w:sz w:val="20"/>
                <w:szCs w:val="20"/>
              </w:rPr>
            </w:pPr>
            <w:r w:rsidRPr="00101D3D">
              <w:rPr>
                <w:rFonts w:ascii="Arial" w:hAnsi="Arial" w:cs="Arial"/>
                <w:sz w:val="20"/>
                <w:szCs w:val="20"/>
              </w:rPr>
              <w:t>In HSPF OrgN</w:t>
            </w:r>
            <w:r w:rsidRPr="00101D3D">
              <w:rPr>
                <w:rFonts w:ascii="Arial" w:hAnsi="Arial" w:cs="Arial"/>
                <w:sz w:val="20"/>
                <w:szCs w:val="20"/>
                <w:vertAlign w:val="subscript"/>
              </w:rPr>
              <w:t>HSPF</w:t>
            </w:r>
            <w:r w:rsidRPr="00101D3D">
              <w:rPr>
                <w:rFonts w:ascii="Arial" w:hAnsi="Arial" w:cs="Arial"/>
                <w:sz w:val="20"/>
                <w:szCs w:val="20"/>
              </w:rPr>
              <w:t xml:space="preserve"> and RON</w:t>
            </w:r>
            <w:r w:rsidRPr="00101D3D">
              <w:rPr>
                <w:rFonts w:ascii="Arial" w:hAnsi="Arial" w:cs="Arial"/>
                <w:sz w:val="20"/>
                <w:szCs w:val="20"/>
                <w:vertAlign w:val="subscript"/>
              </w:rPr>
              <w:t>HSPF</w:t>
            </w:r>
            <w:r w:rsidRPr="00101D3D">
              <w:rPr>
                <w:rFonts w:ascii="Arial" w:hAnsi="Arial" w:cs="Arial"/>
                <w:sz w:val="20"/>
                <w:szCs w:val="20"/>
              </w:rPr>
              <w:t xml:space="preserve"> are assumed</w:t>
            </w:r>
            <w:r>
              <w:rPr>
                <w:rFonts w:ascii="Arial" w:hAnsi="Arial" w:cs="Arial"/>
                <w:sz w:val="20"/>
                <w:szCs w:val="20"/>
              </w:rPr>
              <w:t xml:space="preserve"> to be</w:t>
            </w:r>
            <w:r w:rsidRPr="00101D3D">
              <w:rPr>
                <w:rFonts w:ascii="Arial" w:hAnsi="Arial" w:cs="Arial"/>
                <w:sz w:val="20"/>
                <w:szCs w:val="20"/>
              </w:rPr>
              <w:t xml:space="preserve"> dissolved.</w:t>
            </w:r>
          </w:p>
        </w:tc>
        <w:tc>
          <w:tcPr>
            <w:tcW w:w="4675" w:type="dxa"/>
          </w:tcPr>
          <w:p w:rsidR="00231BCC" w:rsidRPr="00101D3D" w:rsidRDefault="00231BCC" w:rsidP="0086131D">
            <w:pPr>
              <w:pStyle w:val="ListParagraph"/>
              <w:keepNext/>
              <w:tabs>
                <w:tab w:val="left" w:pos="311"/>
              </w:tabs>
              <w:spacing w:after="0"/>
              <w:ind w:left="82"/>
              <w:jc w:val="left"/>
              <w:rPr>
                <w:rFonts w:ascii="Arial" w:hAnsi="Arial" w:cs="Arial"/>
                <w:sz w:val="20"/>
                <w:szCs w:val="20"/>
              </w:rPr>
            </w:pPr>
            <w:r w:rsidRPr="00101D3D">
              <w:rPr>
                <w:rFonts w:ascii="Arial" w:hAnsi="Arial" w:cs="Arial"/>
                <w:b/>
                <w:sz w:val="20"/>
                <w:szCs w:val="20"/>
              </w:rPr>
              <w:t>OrgN</w:t>
            </w:r>
            <w:r w:rsidRPr="00101D3D">
              <w:rPr>
                <w:rFonts w:ascii="Arial" w:hAnsi="Arial" w:cs="Arial"/>
                <w:b/>
                <w:sz w:val="20"/>
                <w:szCs w:val="20"/>
                <w:vertAlign w:val="subscript"/>
              </w:rPr>
              <w:t>EFDC</w:t>
            </w:r>
            <w:r w:rsidRPr="00101D3D">
              <w:rPr>
                <w:rFonts w:ascii="Arial" w:hAnsi="Arial" w:cs="Arial"/>
                <w:b/>
                <w:sz w:val="20"/>
                <w:szCs w:val="20"/>
              </w:rPr>
              <w:t xml:space="preserve"> = RPON</w:t>
            </w:r>
            <w:r w:rsidRPr="00101D3D">
              <w:rPr>
                <w:rFonts w:ascii="Arial" w:hAnsi="Arial" w:cs="Arial"/>
                <w:b/>
                <w:sz w:val="20"/>
                <w:szCs w:val="20"/>
                <w:vertAlign w:val="subscript"/>
              </w:rPr>
              <w:t xml:space="preserve">EFDC </w:t>
            </w:r>
            <w:r w:rsidRPr="00101D3D">
              <w:rPr>
                <w:rFonts w:ascii="Arial" w:hAnsi="Arial" w:cs="Arial"/>
                <w:b/>
                <w:sz w:val="20"/>
                <w:szCs w:val="20"/>
              </w:rPr>
              <w:t>+ LPON</w:t>
            </w:r>
            <w:r w:rsidRPr="00101D3D">
              <w:rPr>
                <w:rFonts w:ascii="Arial" w:hAnsi="Arial" w:cs="Arial"/>
                <w:b/>
                <w:sz w:val="20"/>
                <w:szCs w:val="20"/>
                <w:vertAlign w:val="subscript"/>
              </w:rPr>
              <w:t>EFDC</w:t>
            </w:r>
            <w:r w:rsidRPr="00101D3D">
              <w:rPr>
                <w:rFonts w:ascii="Arial" w:hAnsi="Arial" w:cs="Arial"/>
                <w:b/>
                <w:sz w:val="20"/>
                <w:szCs w:val="20"/>
              </w:rPr>
              <w:t xml:space="preserve"> + DON</w:t>
            </w:r>
            <w:r w:rsidRPr="00101D3D">
              <w:rPr>
                <w:rFonts w:ascii="Arial" w:hAnsi="Arial" w:cs="Arial"/>
                <w:b/>
                <w:sz w:val="20"/>
                <w:szCs w:val="20"/>
                <w:vertAlign w:val="subscript"/>
              </w:rPr>
              <w:t>EFDC</w:t>
            </w:r>
          </w:p>
          <w:p w:rsidR="00231BCC" w:rsidRPr="00101D3D" w:rsidRDefault="00231BCC" w:rsidP="0086131D">
            <w:pPr>
              <w:pStyle w:val="ListParagraph"/>
              <w:keepNext/>
              <w:tabs>
                <w:tab w:val="left" w:pos="311"/>
              </w:tabs>
              <w:spacing w:after="0"/>
              <w:ind w:left="82"/>
              <w:jc w:val="left"/>
              <w:rPr>
                <w:rFonts w:ascii="Arial" w:hAnsi="Arial" w:cs="Arial"/>
                <w:sz w:val="20"/>
                <w:szCs w:val="20"/>
              </w:rPr>
            </w:pPr>
          </w:p>
          <w:p w:rsidR="00231BCC" w:rsidRPr="00101D3D" w:rsidRDefault="00231BCC" w:rsidP="00231BCC">
            <w:pPr>
              <w:pStyle w:val="ListParagraph"/>
              <w:keepNext/>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RPON</w:t>
            </w:r>
            <w:r w:rsidRPr="00101D3D">
              <w:rPr>
                <w:rFonts w:ascii="Arial" w:hAnsi="Arial" w:cs="Arial"/>
                <w:b/>
                <w:sz w:val="20"/>
                <w:szCs w:val="20"/>
                <w:vertAlign w:val="subscript"/>
              </w:rPr>
              <w:t>EFDC</w:t>
            </w:r>
            <w:r w:rsidRPr="00101D3D">
              <w:rPr>
                <w:rFonts w:ascii="Arial" w:hAnsi="Arial" w:cs="Arial"/>
                <w:sz w:val="20"/>
                <w:szCs w:val="20"/>
              </w:rPr>
              <w:t xml:space="preserve"> = Refractory Particulate Organic Nitrogen:</w:t>
            </w:r>
          </w:p>
          <w:p w:rsidR="00231BCC" w:rsidRPr="00101D3D" w:rsidRDefault="00231BCC" w:rsidP="0086131D">
            <w:pPr>
              <w:pStyle w:val="ListParagraph"/>
              <w:keepNext/>
              <w:tabs>
                <w:tab w:val="left" w:pos="311"/>
              </w:tabs>
              <w:spacing w:after="0"/>
              <w:ind w:left="82"/>
              <w:jc w:val="left"/>
              <w:rPr>
                <w:rFonts w:ascii="Arial" w:hAnsi="Arial" w:cs="Arial"/>
                <w:sz w:val="20"/>
                <w:szCs w:val="20"/>
              </w:rPr>
            </w:pPr>
          </w:p>
          <w:p w:rsidR="00231BCC" w:rsidRPr="00101D3D" w:rsidRDefault="00231BCC" w:rsidP="0086131D">
            <w:pPr>
              <w:keepNext/>
              <w:tabs>
                <w:tab w:val="left" w:pos="342"/>
              </w:tabs>
              <w:spacing w:after="0"/>
              <w:ind w:left="342"/>
              <w:rPr>
                <w:rFonts w:ascii="Arial" w:hAnsi="Arial" w:cs="Arial"/>
                <w:sz w:val="20"/>
                <w:szCs w:val="20"/>
              </w:rPr>
            </w:pPr>
            <w:r w:rsidRPr="00101D3D">
              <w:rPr>
                <w:rFonts w:ascii="Arial" w:hAnsi="Arial" w:cs="Arial"/>
                <w:sz w:val="20"/>
                <w:szCs w:val="20"/>
              </w:rPr>
              <w:t>RPON</w:t>
            </w:r>
            <w:r w:rsidRPr="00101D3D">
              <w:rPr>
                <w:rFonts w:ascii="Arial" w:hAnsi="Arial" w:cs="Arial"/>
                <w:sz w:val="20"/>
                <w:szCs w:val="20"/>
                <w:vertAlign w:val="subscript"/>
              </w:rPr>
              <w:t>EFDC</w:t>
            </w:r>
            <w:r w:rsidRPr="00101D3D">
              <w:rPr>
                <w:rFonts w:ascii="Arial" w:hAnsi="Arial" w:cs="Arial"/>
                <w:sz w:val="20"/>
                <w:szCs w:val="20"/>
              </w:rPr>
              <w:t>=FP</w:t>
            </w:r>
            <w:r w:rsidRPr="00101D3D">
              <w:rPr>
                <w:rFonts w:ascii="Arial" w:hAnsi="Arial" w:cs="Arial"/>
                <w:sz w:val="20"/>
                <w:szCs w:val="20"/>
                <w:vertAlign w:val="subscript"/>
              </w:rPr>
              <w:t>N</w:t>
            </w:r>
            <w:r w:rsidRPr="00101D3D">
              <w:rPr>
                <w:rFonts w:ascii="Arial" w:hAnsi="Arial" w:cs="Arial"/>
                <w:sz w:val="20"/>
                <w:szCs w:val="20"/>
              </w:rPr>
              <w:t>* RON</w:t>
            </w:r>
            <w:r w:rsidRPr="00101D3D">
              <w:rPr>
                <w:rFonts w:ascii="Arial" w:hAnsi="Arial" w:cs="Arial"/>
                <w:sz w:val="20"/>
                <w:szCs w:val="20"/>
                <w:vertAlign w:val="subscript"/>
              </w:rPr>
              <w:t>HSPF</w:t>
            </w:r>
          </w:p>
          <w:p w:rsidR="00231BCC" w:rsidRPr="00101D3D" w:rsidRDefault="00231BCC" w:rsidP="0086131D">
            <w:pPr>
              <w:keepNext/>
              <w:spacing w:after="0"/>
              <w:rPr>
                <w:rFonts w:ascii="Arial" w:hAnsi="Arial" w:cs="Arial"/>
                <w:sz w:val="20"/>
                <w:szCs w:val="20"/>
              </w:rPr>
            </w:pPr>
          </w:p>
          <w:p w:rsidR="00231BCC" w:rsidRPr="00101D3D" w:rsidRDefault="00231BCC" w:rsidP="00231BCC">
            <w:pPr>
              <w:pStyle w:val="ListParagraph"/>
              <w:keepNext/>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LPON</w:t>
            </w:r>
            <w:r w:rsidRPr="00101D3D">
              <w:rPr>
                <w:rFonts w:ascii="Arial" w:hAnsi="Arial" w:cs="Arial"/>
                <w:b/>
                <w:sz w:val="20"/>
                <w:szCs w:val="20"/>
                <w:vertAlign w:val="subscript"/>
              </w:rPr>
              <w:t>EFDC</w:t>
            </w:r>
            <w:r w:rsidRPr="00101D3D">
              <w:rPr>
                <w:rFonts w:ascii="Arial" w:hAnsi="Arial" w:cs="Arial"/>
                <w:sz w:val="20"/>
                <w:szCs w:val="20"/>
              </w:rPr>
              <w:t xml:space="preserve"> = Labile Particulate Organic Nitrogen</w:t>
            </w:r>
          </w:p>
          <w:p w:rsidR="00231BCC" w:rsidRPr="00101D3D" w:rsidRDefault="00231BCC" w:rsidP="0086131D">
            <w:pPr>
              <w:pStyle w:val="ListParagraph"/>
              <w:keepNext/>
              <w:tabs>
                <w:tab w:val="left" w:pos="311"/>
              </w:tabs>
              <w:spacing w:after="0"/>
              <w:ind w:left="82"/>
              <w:jc w:val="left"/>
              <w:rPr>
                <w:rFonts w:ascii="Arial" w:hAnsi="Arial" w:cs="Arial"/>
                <w:sz w:val="20"/>
                <w:szCs w:val="20"/>
              </w:rPr>
            </w:pPr>
          </w:p>
          <w:p w:rsidR="00231BCC" w:rsidRPr="00101D3D" w:rsidRDefault="00231BCC" w:rsidP="0086131D">
            <w:pPr>
              <w:keepNext/>
              <w:spacing w:after="0"/>
              <w:ind w:left="342"/>
              <w:rPr>
                <w:rFonts w:ascii="Arial" w:hAnsi="Arial" w:cs="Arial"/>
                <w:sz w:val="20"/>
                <w:szCs w:val="20"/>
                <w:vertAlign w:val="subscript"/>
              </w:rPr>
            </w:pPr>
            <w:r w:rsidRPr="00101D3D">
              <w:rPr>
                <w:rFonts w:ascii="Arial" w:hAnsi="Arial" w:cs="Arial"/>
                <w:sz w:val="20"/>
                <w:szCs w:val="20"/>
              </w:rPr>
              <w:t>LPON</w:t>
            </w:r>
            <w:r w:rsidRPr="00101D3D">
              <w:rPr>
                <w:rFonts w:ascii="Arial" w:hAnsi="Arial" w:cs="Arial"/>
                <w:sz w:val="20"/>
                <w:szCs w:val="20"/>
                <w:vertAlign w:val="subscript"/>
              </w:rPr>
              <w:t>EFDC</w:t>
            </w:r>
            <w:r w:rsidRPr="00101D3D">
              <w:rPr>
                <w:rFonts w:ascii="Arial" w:hAnsi="Arial" w:cs="Arial"/>
                <w:sz w:val="20"/>
                <w:szCs w:val="20"/>
              </w:rPr>
              <w:t xml:space="preserve"> = OrgN</w:t>
            </w:r>
            <w:r w:rsidRPr="00101D3D">
              <w:rPr>
                <w:rFonts w:ascii="Arial" w:hAnsi="Arial" w:cs="Arial"/>
                <w:sz w:val="20"/>
                <w:szCs w:val="20"/>
                <w:vertAlign w:val="subscript"/>
              </w:rPr>
              <w:t>HSPF</w:t>
            </w:r>
            <w:r w:rsidRPr="00101D3D">
              <w:rPr>
                <w:rFonts w:ascii="Arial" w:hAnsi="Arial" w:cs="Arial"/>
                <w:sz w:val="20"/>
                <w:szCs w:val="20"/>
              </w:rPr>
              <w:t xml:space="preserve"> - RON</w:t>
            </w:r>
            <w:r w:rsidRPr="00101D3D">
              <w:rPr>
                <w:rFonts w:ascii="Arial" w:hAnsi="Arial" w:cs="Arial"/>
                <w:sz w:val="20"/>
                <w:szCs w:val="20"/>
                <w:vertAlign w:val="subscript"/>
              </w:rPr>
              <w:t>HSPF</w:t>
            </w:r>
          </w:p>
          <w:p w:rsidR="00231BCC" w:rsidRPr="00101D3D" w:rsidRDefault="00231BCC" w:rsidP="0086131D">
            <w:pPr>
              <w:keepNext/>
              <w:spacing w:after="0"/>
              <w:rPr>
                <w:rFonts w:ascii="Arial" w:hAnsi="Arial" w:cs="Arial"/>
                <w:sz w:val="20"/>
                <w:szCs w:val="20"/>
                <w:vertAlign w:val="subscript"/>
              </w:rPr>
            </w:pPr>
          </w:p>
          <w:p w:rsidR="00231BCC" w:rsidRPr="00101D3D" w:rsidRDefault="00231BCC" w:rsidP="00231BCC">
            <w:pPr>
              <w:pStyle w:val="ListParagraph"/>
              <w:keepNext/>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DON</w:t>
            </w:r>
            <w:r w:rsidRPr="00101D3D">
              <w:rPr>
                <w:rFonts w:ascii="Arial" w:hAnsi="Arial" w:cs="Arial"/>
                <w:b/>
                <w:sz w:val="20"/>
                <w:szCs w:val="20"/>
                <w:vertAlign w:val="subscript"/>
              </w:rPr>
              <w:t>EFDC</w:t>
            </w:r>
            <w:r w:rsidRPr="00101D3D">
              <w:rPr>
                <w:rFonts w:ascii="Arial" w:hAnsi="Arial" w:cs="Arial"/>
                <w:sz w:val="20"/>
                <w:szCs w:val="20"/>
              </w:rPr>
              <w:t xml:space="preserve"> = Dissolved Organic Nitrogen</w:t>
            </w:r>
          </w:p>
          <w:p w:rsidR="00231BCC" w:rsidRPr="00101D3D" w:rsidRDefault="00231BCC" w:rsidP="0086131D">
            <w:pPr>
              <w:keepNext/>
              <w:tabs>
                <w:tab w:val="left" w:pos="311"/>
              </w:tabs>
              <w:spacing w:after="0"/>
              <w:jc w:val="left"/>
              <w:rPr>
                <w:rFonts w:ascii="Arial" w:hAnsi="Arial" w:cs="Arial"/>
                <w:sz w:val="20"/>
                <w:szCs w:val="20"/>
              </w:rPr>
            </w:pPr>
          </w:p>
          <w:p w:rsidR="00231BCC" w:rsidRPr="00101D3D" w:rsidRDefault="00231BCC" w:rsidP="0086131D">
            <w:pPr>
              <w:keepNext/>
              <w:spacing w:after="0"/>
              <w:ind w:left="342"/>
              <w:rPr>
                <w:rFonts w:ascii="Arial" w:hAnsi="Arial" w:cs="Arial"/>
                <w:sz w:val="20"/>
                <w:szCs w:val="20"/>
              </w:rPr>
            </w:pPr>
            <w:r w:rsidRPr="00101D3D">
              <w:rPr>
                <w:rFonts w:ascii="Arial" w:hAnsi="Arial" w:cs="Arial"/>
                <w:sz w:val="20"/>
                <w:szCs w:val="20"/>
              </w:rPr>
              <w:t>DON</w:t>
            </w:r>
            <w:r w:rsidRPr="00101D3D">
              <w:rPr>
                <w:rFonts w:ascii="Arial" w:hAnsi="Arial" w:cs="Arial"/>
                <w:sz w:val="20"/>
                <w:szCs w:val="20"/>
                <w:vertAlign w:val="subscript"/>
              </w:rPr>
              <w:t>EFDC</w:t>
            </w:r>
            <w:r w:rsidRPr="00101D3D">
              <w:rPr>
                <w:rFonts w:ascii="Arial" w:hAnsi="Arial" w:cs="Arial"/>
                <w:sz w:val="20"/>
                <w:szCs w:val="20"/>
              </w:rPr>
              <w:t>=FD</w:t>
            </w:r>
            <w:r w:rsidRPr="00101D3D">
              <w:rPr>
                <w:rFonts w:ascii="Arial" w:hAnsi="Arial" w:cs="Arial"/>
                <w:sz w:val="20"/>
                <w:szCs w:val="20"/>
                <w:vertAlign w:val="subscript"/>
              </w:rPr>
              <w:t>N</w:t>
            </w:r>
            <w:r w:rsidRPr="00101D3D">
              <w:rPr>
                <w:rFonts w:ascii="Arial" w:hAnsi="Arial" w:cs="Arial"/>
                <w:sz w:val="20"/>
                <w:szCs w:val="20"/>
              </w:rPr>
              <w:t>* RON</w:t>
            </w:r>
            <w:r w:rsidRPr="00101D3D">
              <w:rPr>
                <w:rFonts w:ascii="Arial" w:hAnsi="Arial" w:cs="Arial"/>
                <w:sz w:val="20"/>
                <w:szCs w:val="20"/>
                <w:vertAlign w:val="subscript"/>
              </w:rPr>
              <w:t>HSPF</w:t>
            </w:r>
          </w:p>
          <w:p w:rsidR="00231BCC" w:rsidRPr="00101D3D" w:rsidRDefault="00231BCC" w:rsidP="0086131D">
            <w:pPr>
              <w:keepNext/>
              <w:spacing w:after="0"/>
              <w:rPr>
                <w:rFonts w:ascii="Arial" w:hAnsi="Arial" w:cs="Arial"/>
                <w:sz w:val="20"/>
                <w:szCs w:val="20"/>
              </w:rPr>
            </w:pPr>
          </w:p>
          <w:p w:rsidR="00231BCC" w:rsidRPr="00101D3D" w:rsidRDefault="00231BCC" w:rsidP="0086131D">
            <w:pPr>
              <w:keepNext/>
              <w:spacing w:after="0"/>
              <w:rPr>
                <w:rFonts w:ascii="Arial" w:hAnsi="Arial" w:cs="Arial"/>
                <w:sz w:val="20"/>
                <w:szCs w:val="20"/>
              </w:rPr>
            </w:pPr>
            <w:r w:rsidRPr="00101D3D">
              <w:rPr>
                <w:rFonts w:ascii="Arial" w:hAnsi="Arial" w:cs="Arial"/>
                <w:sz w:val="20"/>
                <w:szCs w:val="20"/>
              </w:rPr>
              <w:t>FP</w:t>
            </w:r>
            <w:r w:rsidRPr="00101D3D">
              <w:rPr>
                <w:rFonts w:ascii="Arial" w:hAnsi="Arial" w:cs="Arial"/>
                <w:sz w:val="20"/>
                <w:szCs w:val="20"/>
                <w:vertAlign w:val="subscript"/>
              </w:rPr>
              <w:t>N</w:t>
            </w:r>
            <w:r w:rsidRPr="00101D3D">
              <w:rPr>
                <w:rFonts w:ascii="Arial" w:hAnsi="Arial" w:cs="Arial"/>
                <w:sz w:val="20"/>
                <w:szCs w:val="20"/>
              </w:rPr>
              <w:t xml:space="preserve"> and FD</w:t>
            </w:r>
            <w:r w:rsidRPr="00101D3D">
              <w:rPr>
                <w:rFonts w:ascii="Arial" w:hAnsi="Arial" w:cs="Arial"/>
                <w:sz w:val="20"/>
                <w:szCs w:val="20"/>
                <w:vertAlign w:val="subscript"/>
              </w:rPr>
              <w:t>N</w:t>
            </w:r>
            <w:r w:rsidRPr="00101D3D">
              <w:rPr>
                <w:rFonts w:ascii="Arial" w:hAnsi="Arial" w:cs="Arial"/>
                <w:sz w:val="20"/>
                <w:szCs w:val="20"/>
              </w:rPr>
              <w:t xml:space="preserve"> are prescribed fractions of particulate and dissolved phases of the RON</w:t>
            </w:r>
            <w:r w:rsidRPr="00101D3D">
              <w:rPr>
                <w:rFonts w:ascii="Arial" w:hAnsi="Arial" w:cs="Arial"/>
                <w:sz w:val="20"/>
                <w:szCs w:val="20"/>
                <w:vertAlign w:val="subscript"/>
              </w:rPr>
              <w:t xml:space="preserve">HSPF </w:t>
            </w:r>
            <w:r w:rsidRPr="00101D3D">
              <w:rPr>
                <w:rFonts w:ascii="Arial" w:hAnsi="Arial" w:cs="Arial"/>
                <w:sz w:val="20"/>
                <w:szCs w:val="20"/>
              </w:rPr>
              <w:t>for EFDC:</w:t>
            </w:r>
          </w:p>
          <w:p w:rsidR="00231BCC" w:rsidRPr="00101D3D" w:rsidRDefault="00231BCC" w:rsidP="0086131D">
            <w:pPr>
              <w:keepNext/>
              <w:spacing w:after="0"/>
              <w:rPr>
                <w:rFonts w:ascii="Arial" w:hAnsi="Arial" w:cs="Arial"/>
                <w:sz w:val="20"/>
                <w:szCs w:val="20"/>
              </w:rPr>
            </w:pPr>
          </w:p>
          <w:p w:rsidR="00231BCC" w:rsidRPr="00101D3D" w:rsidRDefault="00231BCC" w:rsidP="0086131D">
            <w:pPr>
              <w:keepNext/>
              <w:spacing w:after="0"/>
              <w:rPr>
                <w:rFonts w:ascii="Arial" w:hAnsi="Arial" w:cs="Arial"/>
                <w:sz w:val="20"/>
                <w:szCs w:val="20"/>
              </w:rPr>
            </w:pPr>
            <w:r w:rsidRPr="00101D3D">
              <w:rPr>
                <w:rFonts w:ascii="Arial" w:hAnsi="Arial" w:cs="Arial"/>
                <w:sz w:val="20"/>
                <w:szCs w:val="20"/>
              </w:rPr>
              <w:t>FP</w:t>
            </w:r>
            <w:r w:rsidRPr="00101D3D">
              <w:rPr>
                <w:rFonts w:ascii="Arial" w:hAnsi="Arial" w:cs="Arial"/>
                <w:sz w:val="20"/>
                <w:szCs w:val="20"/>
                <w:vertAlign w:val="subscript"/>
              </w:rPr>
              <w:t>N</w:t>
            </w:r>
            <w:r w:rsidRPr="00101D3D">
              <w:rPr>
                <w:rFonts w:ascii="Arial" w:hAnsi="Arial" w:cs="Arial"/>
                <w:sz w:val="20"/>
                <w:szCs w:val="20"/>
              </w:rPr>
              <w:t>=0.35</w:t>
            </w:r>
          </w:p>
          <w:p w:rsidR="00231BCC" w:rsidRPr="00101D3D" w:rsidRDefault="00231BCC" w:rsidP="0086131D">
            <w:pPr>
              <w:keepNext/>
              <w:spacing w:after="0"/>
              <w:rPr>
                <w:rFonts w:ascii="Arial" w:hAnsi="Arial" w:cs="Arial"/>
                <w:sz w:val="20"/>
                <w:szCs w:val="20"/>
              </w:rPr>
            </w:pPr>
            <w:r w:rsidRPr="00101D3D">
              <w:rPr>
                <w:rFonts w:ascii="Arial" w:hAnsi="Arial" w:cs="Arial"/>
                <w:sz w:val="20"/>
                <w:szCs w:val="20"/>
              </w:rPr>
              <w:t>FD</w:t>
            </w:r>
            <w:r w:rsidRPr="00101D3D">
              <w:rPr>
                <w:rFonts w:ascii="Arial" w:hAnsi="Arial" w:cs="Arial"/>
                <w:sz w:val="20"/>
                <w:szCs w:val="20"/>
                <w:vertAlign w:val="subscript"/>
              </w:rPr>
              <w:t>N</w:t>
            </w:r>
            <w:r w:rsidRPr="00101D3D">
              <w:rPr>
                <w:rFonts w:ascii="Arial" w:hAnsi="Arial" w:cs="Arial"/>
                <w:sz w:val="20"/>
                <w:szCs w:val="20"/>
              </w:rPr>
              <w:t>=0.65</w:t>
            </w:r>
          </w:p>
        </w:tc>
      </w:tr>
      <w:tr w:rsidR="00231BCC" w:rsidRPr="00101D3D" w:rsidTr="0086131D">
        <w:trPr>
          <w:jc w:val="center"/>
        </w:trPr>
        <w:tc>
          <w:tcPr>
            <w:tcW w:w="2335" w:type="dxa"/>
            <w:vAlign w:val="center"/>
          </w:tcPr>
          <w:p w:rsidR="00231BCC" w:rsidRPr="00101D3D" w:rsidRDefault="00231BCC" w:rsidP="0086131D">
            <w:pPr>
              <w:spacing w:after="0"/>
              <w:jc w:val="center"/>
              <w:rPr>
                <w:rFonts w:ascii="Arial" w:hAnsi="Arial" w:cs="Arial"/>
                <w:sz w:val="20"/>
                <w:szCs w:val="20"/>
              </w:rPr>
            </w:pPr>
            <w:r w:rsidRPr="00101D3D">
              <w:rPr>
                <w:rFonts w:ascii="Arial" w:hAnsi="Arial" w:cs="Arial"/>
                <w:sz w:val="20"/>
                <w:szCs w:val="20"/>
              </w:rPr>
              <w:t>Ammonium</w:t>
            </w:r>
          </w:p>
          <w:p w:rsidR="00231BCC" w:rsidRPr="00101D3D" w:rsidRDefault="00231BCC" w:rsidP="0086131D">
            <w:pPr>
              <w:spacing w:after="0"/>
              <w:jc w:val="center"/>
              <w:rPr>
                <w:rFonts w:ascii="Arial" w:hAnsi="Arial" w:cs="Arial"/>
                <w:sz w:val="20"/>
                <w:szCs w:val="20"/>
              </w:rPr>
            </w:pPr>
            <w:r w:rsidRPr="00101D3D">
              <w:rPr>
                <w:rFonts w:ascii="Arial" w:hAnsi="Arial" w:cs="Arial"/>
                <w:sz w:val="20"/>
                <w:szCs w:val="20"/>
              </w:rPr>
              <w:t>(</w:t>
            </w:r>
            <w:r w:rsidRPr="00101D3D">
              <w:rPr>
                <w:rFonts w:ascii="Arial" w:hAnsi="Arial" w:cs="Arial"/>
                <w:b/>
                <w:sz w:val="20"/>
                <w:szCs w:val="20"/>
              </w:rPr>
              <w:t>NH</w:t>
            </w:r>
            <w:r w:rsidRPr="00101D3D">
              <w:rPr>
                <w:rFonts w:ascii="Arial" w:hAnsi="Arial" w:cs="Arial"/>
                <w:b/>
                <w:sz w:val="20"/>
                <w:szCs w:val="20"/>
                <w:vertAlign w:val="subscript"/>
              </w:rPr>
              <w:t>4</w:t>
            </w:r>
            <w:r w:rsidRPr="00101D3D">
              <w:rPr>
                <w:rFonts w:ascii="Arial" w:hAnsi="Arial" w:cs="Arial"/>
                <w:sz w:val="20"/>
                <w:szCs w:val="20"/>
              </w:rPr>
              <w:t>)</w:t>
            </w:r>
          </w:p>
        </w:tc>
        <w:tc>
          <w:tcPr>
            <w:tcW w:w="3060" w:type="dxa"/>
            <w:vAlign w:val="center"/>
          </w:tcPr>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TAM</w:t>
            </w:r>
            <w:r w:rsidRPr="00101D3D">
              <w:rPr>
                <w:rFonts w:ascii="Arial" w:hAnsi="Arial" w:cs="Arial"/>
                <w:b/>
                <w:sz w:val="20"/>
                <w:szCs w:val="20"/>
                <w:vertAlign w:val="subscript"/>
              </w:rPr>
              <w:t>HSPF</w:t>
            </w:r>
            <w:r w:rsidRPr="00101D3D">
              <w:rPr>
                <w:rFonts w:ascii="Arial" w:hAnsi="Arial" w:cs="Arial"/>
                <w:b/>
                <w:sz w:val="20"/>
                <w:szCs w:val="20"/>
              </w:rPr>
              <w:t xml:space="preserve"> = </w:t>
            </w:r>
            <w:r w:rsidRPr="00101D3D">
              <w:rPr>
                <w:rFonts w:ascii="Arial" w:hAnsi="Arial" w:cs="Arial"/>
                <w:sz w:val="20"/>
                <w:szCs w:val="20"/>
              </w:rPr>
              <w:t>Total Ammonium</w:t>
            </w:r>
          </w:p>
        </w:tc>
        <w:tc>
          <w:tcPr>
            <w:tcW w:w="4675" w:type="dxa"/>
            <w:vAlign w:val="center"/>
          </w:tcPr>
          <w:p w:rsidR="00231BCC" w:rsidRPr="00101D3D" w:rsidRDefault="00231BCC" w:rsidP="0086131D">
            <w:pPr>
              <w:spacing w:after="0"/>
              <w:jc w:val="left"/>
              <w:rPr>
                <w:rFonts w:ascii="Arial" w:hAnsi="Arial" w:cs="Arial"/>
                <w:sz w:val="20"/>
                <w:szCs w:val="20"/>
              </w:rPr>
            </w:pPr>
            <w:r w:rsidRPr="00101D3D">
              <w:rPr>
                <w:rFonts w:ascii="Arial" w:hAnsi="Arial" w:cs="Arial"/>
                <w:sz w:val="20"/>
                <w:szCs w:val="20"/>
              </w:rPr>
              <w:t>NH4</w:t>
            </w:r>
            <w:r w:rsidRPr="00101D3D">
              <w:rPr>
                <w:rFonts w:ascii="Arial" w:hAnsi="Arial" w:cs="Arial"/>
                <w:sz w:val="20"/>
                <w:szCs w:val="20"/>
                <w:vertAlign w:val="subscript"/>
              </w:rPr>
              <w:t>EFDC</w:t>
            </w:r>
            <w:r w:rsidRPr="00101D3D">
              <w:rPr>
                <w:rFonts w:ascii="Arial" w:hAnsi="Arial" w:cs="Arial"/>
                <w:sz w:val="20"/>
                <w:szCs w:val="20"/>
              </w:rPr>
              <w:t>=TAM</w:t>
            </w:r>
            <w:r w:rsidRPr="00101D3D">
              <w:rPr>
                <w:rFonts w:ascii="Arial" w:hAnsi="Arial" w:cs="Arial"/>
                <w:bCs/>
                <w:sz w:val="20"/>
                <w:szCs w:val="20"/>
                <w:vertAlign w:val="subscript"/>
              </w:rPr>
              <w:t>HPSF</w:t>
            </w:r>
          </w:p>
        </w:tc>
      </w:tr>
      <w:tr w:rsidR="00231BCC" w:rsidRPr="00101D3D" w:rsidTr="0086131D">
        <w:trPr>
          <w:jc w:val="center"/>
        </w:trPr>
        <w:tc>
          <w:tcPr>
            <w:tcW w:w="2335" w:type="dxa"/>
            <w:vAlign w:val="center"/>
          </w:tcPr>
          <w:p w:rsidR="00231BCC" w:rsidRPr="00101D3D" w:rsidRDefault="00231BCC" w:rsidP="0086131D">
            <w:pPr>
              <w:spacing w:after="0"/>
              <w:jc w:val="center"/>
              <w:rPr>
                <w:rFonts w:ascii="Arial" w:hAnsi="Arial" w:cs="Arial"/>
                <w:sz w:val="20"/>
                <w:szCs w:val="20"/>
              </w:rPr>
            </w:pPr>
            <w:r w:rsidRPr="00101D3D">
              <w:rPr>
                <w:rFonts w:ascii="Arial" w:hAnsi="Arial" w:cs="Arial"/>
                <w:sz w:val="20"/>
                <w:szCs w:val="20"/>
              </w:rPr>
              <w:t>Nitrate</w:t>
            </w:r>
            <w:r>
              <w:rPr>
                <w:rFonts w:ascii="Arial" w:hAnsi="Arial" w:cs="Arial"/>
                <w:sz w:val="20"/>
                <w:szCs w:val="20"/>
              </w:rPr>
              <w:t xml:space="preserve"> </w:t>
            </w:r>
            <w:r w:rsidRPr="00101D3D">
              <w:rPr>
                <w:rFonts w:ascii="Arial" w:hAnsi="Arial" w:cs="Arial"/>
                <w:sz w:val="20"/>
                <w:szCs w:val="20"/>
              </w:rPr>
              <w:t>+</w:t>
            </w:r>
            <w:r>
              <w:rPr>
                <w:rFonts w:ascii="Arial" w:hAnsi="Arial" w:cs="Arial"/>
                <w:sz w:val="20"/>
                <w:szCs w:val="20"/>
              </w:rPr>
              <w:t xml:space="preserve"> </w:t>
            </w:r>
            <w:r w:rsidRPr="00101D3D">
              <w:rPr>
                <w:rFonts w:ascii="Arial" w:hAnsi="Arial" w:cs="Arial"/>
                <w:sz w:val="20"/>
                <w:szCs w:val="20"/>
              </w:rPr>
              <w:t>Nitrate</w:t>
            </w:r>
          </w:p>
          <w:p w:rsidR="00231BCC" w:rsidRPr="00101D3D" w:rsidRDefault="00231BCC" w:rsidP="0086131D">
            <w:pPr>
              <w:spacing w:after="0"/>
              <w:jc w:val="center"/>
              <w:rPr>
                <w:rFonts w:ascii="Arial" w:hAnsi="Arial" w:cs="Arial"/>
                <w:sz w:val="20"/>
                <w:szCs w:val="20"/>
              </w:rPr>
            </w:pPr>
            <w:r w:rsidRPr="00101D3D">
              <w:rPr>
                <w:rFonts w:ascii="Arial" w:hAnsi="Arial" w:cs="Arial"/>
                <w:sz w:val="20"/>
                <w:szCs w:val="20"/>
              </w:rPr>
              <w:t>(</w:t>
            </w:r>
            <w:r w:rsidRPr="00101D3D">
              <w:rPr>
                <w:rFonts w:ascii="Arial" w:hAnsi="Arial" w:cs="Arial"/>
                <w:b/>
                <w:bCs/>
                <w:sz w:val="20"/>
                <w:szCs w:val="20"/>
              </w:rPr>
              <w:t>NO</w:t>
            </w:r>
            <w:r w:rsidRPr="00101D3D">
              <w:rPr>
                <w:rFonts w:ascii="Arial" w:hAnsi="Arial" w:cs="Arial"/>
                <w:b/>
                <w:bCs/>
                <w:sz w:val="20"/>
                <w:szCs w:val="20"/>
                <w:vertAlign w:val="subscript"/>
              </w:rPr>
              <w:t>3</w:t>
            </w:r>
            <w:r w:rsidRPr="00101D3D">
              <w:rPr>
                <w:rFonts w:ascii="Arial" w:hAnsi="Arial" w:cs="Arial"/>
                <w:b/>
                <w:bCs/>
                <w:sz w:val="20"/>
                <w:szCs w:val="20"/>
              </w:rPr>
              <w:t xml:space="preserve"> + NO</w:t>
            </w:r>
            <w:r w:rsidRPr="00101D3D">
              <w:rPr>
                <w:rFonts w:ascii="Arial" w:hAnsi="Arial" w:cs="Arial"/>
                <w:b/>
                <w:bCs/>
                <w:sz w:val="20"/>
                <w:szCs w:val="20"/>
                <w:vertAlign w:val="subscript"/>
              </w:rPr>
              <w:t>2</w:t>
            </w:r>
            <w:r w:rsidRPr="00101D3D">
              <w:rPr>
                <w:rFonts w:ascii="Arial" w:hAnsi="Arial" w:cs="Arial"/>
                <w:sz w:val="20"/>
                <w:szCs w:val="20"/>
              </w:rPr>
              <w:t>)</w:t>
            </w:r>
          </w:p>
        </w:tc>
        <w:tc>
          <w:tcPr>
            <w:tcW w:w="3060" w:type="dxa"/>
            <w:vAlign w:val="center"/>
          </w:tcPr>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b/>
                <w:sz w:val="20"/>
                <w:szCs w:val="20"/>
              </w:rPr>
            </w:pPr>
            <w:r w:rsidRPr="00101D3D">
              <w:rPr>
                <w:rFonts w:ascii="Arial" w:hAnsi="Arial" w:cs="Arial"/>
                <w:b/>
                <w:sz w:val="20"/>
                <w:szCs w:val="20"/>
              </w:rPr>
              <w:t>NO3</w:t>
            </w:r>
            <w:r w:rsidRPr="00101D3D">
              <w:rPr>
                <w:rFonts w:ascii="Arial" w:hAnsi="Arial" w:cs="Arial"/>
                <w:b/>
                <w:sz w:val="20"/>
                <w:szCs w:val="20"/>
                <w:vertAlign w:val="subscript"/>
              </w:rPr>
              <w:t>HSPF</w:t>
            </w:r>
            <w:r w:rsidRPr="00101D3D">
              <w:rPr>
                <w:rFonts w:ascii="Arial" w:hAnsi="Arial" w:cs="Arial"/>
                <w:b/>
                <w:sz w:val="20"/>
                <w:szCs w:val="20"/>
              </w:rPr>
              <w:t xml:space="preserve"> + NO2</w:t>
            </w:r>
            <w:r w:rsidRPr="00101D3D">
              <w:rPr>
                <w:rFonts w:ascii="Arial" w:hAnsi="Arial" w:cs="Arial"/>
                <w:b/>
                <w:sz w:val="20"/>
                <w:szCs w:val="20"/>
                <w:vertAlign w:val="subscript"/>
              </w:rPr>
              <w:t>HSPF</w:t>
            </w:r>
            <w:r w:rsidRPr="00101D3D">
              <w:rPr>
                <w:rFonts w:ascii="Arial" w:hAnsi="Arial" w:cs="Arial"/>
                <w:b/>
                <w:sz w:val="20"/>
                <w:szCs w:val="20"/>
              </w:rPr>
              <w:t xml:space="preserve"> </w:t>
            </w:r>
          </w:p>
          <w:p w:rsidR="00231BCC" w:rsidRPr="00101D3D" w:rsidRDefault="00231BCC" w:rsidP="0086131D">
            <w:pPr>
              <w:spacing w:after="0"/>
              <w:jc w:val="left"/>
              <w:rPr>
                <w:rFonts w:ascii="Arial" w:hAnsi="Arial" w:cs="Arial"/>
                <w:bCs/>
                <w:sz w:val="20"/>
                <w:szCs w:val="20"/>
              </w:rPr>
            </w:pPr>
          </w:p>
          <w:p w:rsidR="00231BCC" w:rsidRPr="00101D3D" w:rsidRDefault="00231BCC" w:rsidP="0086131D">
            <w:pPr>
              <w:spacing w:after="0"/>
              <w:jc w:val="left"/>
              <w:rPr>
                <w:rFonts w:ascii="Arial" w:hAnsi="Arial" w:cs="Arial"/>
                <w:sz w:val="20"/>
                <w:szCs w:val="20"/>
              </w:rPr>
            </w:pPr>
            <w:r w:rsidRPr="00101D3D">
              <w:rPr>
                <w:rFonts w:ascii="Arial" w:hAnsi="Arial" w:cs="Arial"/>
                <w:bCs/>
                <w:sz w:val="20"/>
                <w:szCs w:val="20"/>
              </w:rPr>
              <w:t>Typically NO</w:t>
            </w:r>
            <w:r w:rsidRPr="00101D3D">
              <w:rPr>
                <w:rFonts w:ascii="Arial" w:hAnsi="Arial" w:cs="Arial"/>
                <w:bCs/>
                <w:sz w:val="20"/>
                <w:szCs w:val="20"/>
                <w:vertAlign w:val="subscript"/>
              </w:rPr>
              <w:t>2</w:t>
            </w:r>
            <w:r w:rsidRPr="00101D3D">
              <w:rPr>
                <w:rFonts w:ascii="Arial" w:hAnsi="Arial" w:cs="Arial"/>
                <w:bCs/>
                <w:sz w:val="20"/>
                <w:szCs w:val="20"/>
              </w:rPr>
              <w:t xml:space="preserve"> is only a small fraction of NOx (&lt;5%)</w:t>
            </w:r>
          </w:p>
        </w:tc>
        <w:tc>
          <w:tcPr>
            <w:tcW w:w="4675" w:type="dxa"/>
            <w:vAlign w:val="center"/>
          </w:tcPr>
          <w:p w:rsidR="00231BCC" w:rsidRPr="00101D3D" w:rsidRDefault="00231BCC" w:rsidP="0086131D">
            <w:pPr>
              <w:spacing w:after="0"/>
              <w:jc w:val="left"/>
              <w:rPr>
                <w:rFonts w:ascii="Arial" w:hAnsi="Arial" w:cs="Arial"/>
                <w:sz w:val="20"/>
                <w:szCs w:val="20"/>
              </w:rPr>
            </w:pPr>
            <w:r w:rsidRPr="00101D3D">
              <w:rPr>
                <w:rFonts w:ascii="Arial" w:hAnsi="Arial" w:cs="Arial"/>
                <w:sz w:val="20"/>
                <w:szCs w:val="20"/>
              </w:rPr>
              <w:t>NOx</w:t>
            </w:r>
            <w:r w:rsidRPr="00101D3D">
              <w:rPr>
                <w:rFonts w:ascii="Arial" w:hAnsi="Arial" w:cs="Arial"/>
                <w:sz w:val="20"/>
                <w:szCs w:val="20"/>
                <w:vertAlign w:val="subscript"/>
              </w:rPr>
              <w:t xml:space="preserve"> EFDC</w:t>
            </w:r>
            <w:r w:rsidRPr="00101D3D">
              <w:rPr>
                <w:rFonts w:ascii="Arial" w:hAnsi="Arial" w:cs="Arial"/>
                <w:sz w:val="20"/>
                <w:szCs w:val="20"/>
              </w:rPr>
              <w:t xml:space="preserve"> = </w:t>
            </w:r>
            <w:r w:rsidRPr="00101D3D">
              <w:rPr>
                <w:rFonts w:ascii="Arial" w:hAnsi="Arial" w:cs="Arial"/>
                <w:bCs/>
                <w:sz w:val="20"/>
                <w:szCs w:val="20"/>
              </w:rPr>
              <w:t>NO3</w:t>
            </w:r>
            <w:r w:rsidRPr="00101D3D">
              <w:rPr>
                <w:rFonts w:ascii="Arial" w:hAnsi="Arial" w:cs="Arial"/>
                <w:bCs/>
                <w:sz w:val="20"/>
                <w:szCs w:val="20"/>
                <w:vertAlign w:val="subscript"/>
              </w:rPr>
              <w:t>HPSF</w:t>
            </w:r>
            <w:r w:rsidRPr="00101D3D">
              <w:rPr>
                <w:rFonts w:ascii="Arial" w:hAnsi="Arial" w:cs="Arial"/>
                <w:bCs/>
                <w:sz w:val="20"/>
                <w:szCs w:val="20"/>
              </w:rPr>
              <w:t xml:space="preserve"> + NO2</w:t>
            </w:r>
            <w:r w:rsidRPr="00101D3D">
              <w:rPr>
                <w:rFonts w:ascii="Arial" w:hAnsi="Arial" w:cs="Arial"/>
                <w:bCs/>
                <w:sz w:val="20"/>
                <w:szCs w:val="20"/>
                <w:vertAlign w:val="subscript"/>
              </w:rPr>
              <w:t>HPSF</w:t>
            </w:r>
          </w:p>
        </w:tc>
      </w:tr>
      <w:tr w:rsidR="00231BCC" w:rsidRPr="00101D3D" w:rsidTr="0086131D">
        <w:trPr>
          <w:trHeight w:val="4868"/>
          <w:jc w:val="center"/>
        </w:trPr>
        <w:tc>
          <w:tcPr>
            <w:tcW w:w="2335" w:type="dxa"/>
            <w:vAlign w:val="center"/>
          </w:tcPr>
          <w:p w:rsidR="00231BCC" w:rsidRPr="00101D3D" w:rsidRDefault="00231BCC" w:rsidP="0086131D">
            <w:pPr>
              <w:spacing w:after="0"/>
              <w:jc w:val="center"/>
              <w:rPr>
                <w:rFonts w:ascii="Arial" w:hAnsi="Arial" w:cs="Arial"/>
                <w:sz w:val="20"/>
                <w:szCs w:val="20"/>
              </w:rPr>
            </w:pPr>
            <w:r w:rsidRPr="00101D3D">
              <w:rPr>
                <w:rFonts w:ascii="Arial" w:hAnsi="Arial" w:cs="Arial"/>
                <w:sz w:val="20"/>
                <w:szCs w:val="20"/>
              </w:rPr>
              <w:t>Organic Phosphorus (</w:t>
            </w:r>
            <w:r>
              <w:rPr>
                <w:rFonts w:ascii="Arial" w:hAnsi="Arial" w:cs="Arial"/>
                <w:b/>
                <w:sz w:val="20"/>
                <w:szCs w:val="20"/>
              </w:rPr>
              <w:t>OrgP</w:t>
            </w:r>
            <w:r w:rsidRPr="00101D3D">
              <w:rPr>
                <w:rFonts w:ascii="Arial" w:hAnsi="Arial" w:cs="Arial"/>
                <w:sz w:val="20"/>
                <w:szCs w:val="20"/>
              </w:rPr>
              <w:t>)</w:t>
            </w:r>
          </w:p>
        </w:tc>
        <w:tc>
          <w:tcPr>
            <w:tcW w:w="3060" w:type="dxa"/>
            <w:vAlign w:val="center"/>
          </w:tcPr>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OrgP</w:t>
            </w:r>
            <w:r w:rsidRPr="00101D3D">
              <w:rPr>
                <w:rFonts w:ascii="Arial" w:hAnsi="Arial" w:cs="Arial"/>
                <w:b/>
                <w:sz w:val="20"/>
                <w:szCs w:val="20"/>
                <w:vertAlign w:val="subscript"/>
              </w:rPr>
              <w:t>HSPF</w:t>
            </w:r>
            <w:r w:rsidRPr="00101D3D">
              <w:rPr>
                <w:rFonts w:ascii="Arial" w:hAnsi="Arial" w:cs="Arial"/>
                <w:sz w:val="20"/>
                <w:szCs w:val="20"/>
              </w:rPr>
              <w:t xml:space="preserve"> = Total Organic Phosphorus </w:t>
            </w:r>
          </w:p>
          <w:p w:rsidR="00231BCC" w:rsidRPr="00101D3D" w:rsidRDefault="00231BCC" w:rsidP="0086131D">
            <w:pPr>
              <w:pStyle w:val="ListParagraph"/>
              <w:tabs>
                <w:tab w:val="left" w:pos="311"/>
              </w:tabs>
              <w:spacing w:after="0"/>
              <w:ind w:left="82"/>
              <w:jc w:val="left"/>
              <w:rPr>
                <w:rFonts w:ascii="Arial" w:hAnsi="Arial" w:cs="Arial"/>
                <w:sz w:val="20"/>
                <w:szCs w:val="20"/>
              </w:rPr>
            </w:pPr>
          </w:p>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ROP</w:t>
            </w:r>
            <w:r w:rsidRPr="00101D3D">
              <w:rPr>
                <w:rFonts w:ascii="Arial" w:hAnsi="Arial" w:cs="Arial"/>
                <w:b/>
                <w:sz w:val="20"/>
                <w:szCs w:val="20"/>
                <w:vertAlign w:val="subscript"/>
              </w:rPr>
              <w:t>HSPF</w:t>
            </w:r>
            <w:r w:rsidRPr="00101D3D">
              <w:rPr>
                <w:rFonts w:ascii="Arial" w:hAnsi="Arial" w:cs="Arial"/>
                <w:sz w:val="20"/>
                <w:szCs w:val="20"/>
              </w:rPr>
              <w:t xml:space="preserve"> = Refractory Organic Phosphorus</w:t>
            </w:r>
          </w:p>
          <w:p w:rsidR="00231BCC" w:rsidRPr="00101D3D" w:rsidRDefault="00231BCC" w:rsidP="0086131D">
            <w:pPr>
              <w:pStyle w:val="ListParagraph"/>
              <w:rPr>
                <w:rFonts w:ascii="Arial" w:hAnsi="Arial" w:cs="Arial"/>
                <w:sz w:val="20"/>
                <w:szCs w:val="20"/>
              </w:rPr>
            </w:pPr>
          </w:p>
          <w:p w:rsidR="00231BCC" w:rsidRPr="00101D3D" w:rsidRDefault="00231BCC" w:rsidP="0086131D">
            <w:pPr>
              <w:tabs>
                <w:tab w:val="left" w:pos="311"/>
              </w:tabs>
              <w:spacing w:after="0"/>
              <w:jc w:val="left"/>
              <w:rPr>
                <w:rFonts w:ascii="Arial" w:hAnsi="Arial" w:cs="Arial"/>
                <w:b/>
                <w:sz w:val="20"/>
                <w:szCs w:val="20"/>
              </w:rPr>
            </w:pPr>
            <w:r w:rsidRPr="00101D3D">
              <w:rPr>
                <w:rFonts w:ascii="Arial" w:hAnsi="Arial" w:cs="Arial"/>
                <w:sz w:val="20"/>
                <w:szCs w:val="20"/>
              </w:rPr>
              <w:t>In HSPF OrgP</w:t>
            </w:r>
            <w:r w:rsidRPr="00101D3D">
              <w:rPr>
                <w:rFonts w:ascii="Arial" w:hAnsi="Arial" w:cs="Arial"/>
                <w:sz w:val="20"/>
                <w:szCs w:val="20"/>
                <w:vertAlign w:val="subscript"/>
              </w:rPr>
              <w:t>HSPF</w:t>
            </w:r>
            <w:r w:rsidRPr="00101D3D">
              <w:rPr>
                <w:rFonts w:ascii="Arial" w:hAnsi="Arial" w:cs="Arial"/>
                <w:sz w:val="20"/>
                <w:szCs w:val="20"/>
              </w:rPr>
              <w:t xml:space="preserve"> and ROP</w:t>
            </w:r>
            <w:r w:rsidRPr="00101D3D">
              <w:rPr>
                <w:rFonts w:ascii="Arial" w:hAnsi="Arial" w:cs="Arial"/>
                <w:sz w:val="20"/>
                <w:szCs w:val="20"/>
                <w:vertAlign w:val="subscript"/>
              </w:rPr>
              <w:t>HSPF</w:t>
            </w:r>
            <w:r w:rsidRPr="00101D3D">
              <w:rPr>
                <w:rFonts w:ascii="Arial" w:hAnsi="Arial" w:cs="Arial"/>
                <w:sz w:val="20"/>
                <w:szCs w:val="20"/>
              </w:rPr>
              <w:t xml:space="preserve"> are assumed</w:t>
            </w:r>
            <w:r>
              <w:rPr>
                <w:rFonts w:ascii="Arial" w:hAnsi="Arial" w:cs="Arial"/>
                <w:sz w:val="20"/>
                <w:szCs w:val="20"/>
              </w:rPr>
              <w:t xml:space="preserve"> to be </w:t>
            </w:r>
            <w:r w:rsidRPr="00101D3D">
              <w:rPr>
                <w:rFonts w:ascii="Arial" w:hAnsi="Arial" w:cs="Arial"/>
                <w:sz w:val="20"/>
                <w:szCs w:val="20"/>
              </w:rPr>
              <w:t>dissolved.</w:t>
            </w:r>
          </w:p>
        </w:tc>
        <w:tc>
          <w:tcPr>
            <w:tcW w:w="4675" w:type="dxa"/>
          </w:tcPr>
          <w:p w:rsidR="00231BCC" w:rsidRPr="00101D3D" w:rsidRDefault="00231BCC" w:rsidP="0086131D">
            <w:pPr>
              <w:pStyle w:val="ListParagraph"/>
              <w:tabs>
                <w:tab w:val="left" w:pos="311"/>
              </w:tabs>
              <w:spacing w:after="0"/>
              <w:ind w:left="82"/>
              <w:jc w:val="left"/>
              <w:rPr>
                <w:rFonts w:ascii="Arial" w:hAnsi="Arial" w:cs="Arial"/>
                <w:sz w:val="20"/>
                <w:szCs w:val="20"/>
              </w:rPr>
            </w:pPr>
            <w:r w:rsidRPr="00101D3D">
              <w:rPr>
                <w:rFonts w:ascii="Arial" w:hAnsi="Arial" w:cs="Arial"/>
                <w:b/>
                <w:sz w:val="20"/>
                <w:szCs w:val="20"/>
              </w:rPr>
              <w:t>OrgP</w:t>
            </w:r>
            <w:r w:rsidRPr="00101D3D">
              <w:rPr>
                <w:rFonts w:ascii="Arial" w:hAnsi="Arial" w:cs="Arial"/>
                <w:b/>
                <w:sz w:val="20"/>
                <w:szCs w:val="20"/>
                <w:vertAlign w:val="subscript"/>
              </w:rPr>
              <w:t>EFDC</w:t>
            </w:r>
            <w:r w:rsidRPr="00101D3D">
              <w:rPr>
                <w:rFonts w:ascii="Arial" w:hAnsi="Arial" w:cs="Arial"/>
                <w:b/>
                <w:sz w:val="20"/>
                <w:szCs w:val="20"/>
              </w:rPr>
              <w:t xml:space="preserve"> = RPOP</w:t>
            </w:r>
            <w:r w:rsidRPr="00101D3D">
              <w:rPr>
                <w:rFonts w:ascii="Arial" w:hAnsi="Arial" w:cs="Arial"/>
                <w:b/>
                <w:sz w:val="20"/>
                <w:szCs w:val="20"/>
                <w:vertAlign w:val="subscript"/>
              </w:rPr>
              <w:t xml:space="preserve">EFDC </w:t>
            </w:r>
            <w:r w:rsidRPr="00101D3D">
              <w:rPr>
                <w:rFonts w:ascii="Arial" w:hAnsi="Arial" w:cs="Arial"/>
                <w:b/>
                <w:sz w:val="20"/>
                <w:szCs w:val="20"/>
              </w:rPr>
              <w:t>+ LPOP</w:t>
            </w:r>
            <w:r w:rsidRPr="00101D3D">
              <w:rPr>
                <w:rFonts w:ascii="Arial" w:hAnsi="Arial" w:cs="Arial"/>
                <w:b/>
                <w:sz w:val="20"/>
                <w:szCs w:val="20"/>
                <w:vertAlign w:val="subscript"/>
              </w:rPr>
              <w:t>EFDC</w:t>
            </w:r>
            <w:r w:rsidRPr="00101D3D">
              <w:rPr>
                <w:rFonts w:ascii="Arial" w:hAnsi="Arial" w:cs="Arial"/>
                <w:b/>
                <w:sz w:val="20"/>
                <w:szCs w:val="20"/>
              </w:rPr>
              <w:t xml:space="preserve"> + DOP</w:t>
            </w:r>
            <w:r w:rsidRPr="00101D3D">
              <w:rPr>
                <w:rFonts w:ascii="Arial" w:hAnsi="Arial" w:cs="Arial"/>
                <w:b/>
                <w:sz w:val="20"/>
                <w:szCs w:val="20"/>
                <w:vertAlign w:val="subscript"/>
              </w:rPr>
              <w:t>EFDC</w:t>
            </w:r>
          </w:p>
          <w:p w:rsidR="00231BCC" w:rsidRPr="00101D3D" w:rsidRDefault="00231BCC" w:rsidP="0086131D">
            <w:pPr>
              <w:pStyle w:val="ListParagraph"/>
              <w:tabs>
                <w:tab w:val="left" w:pos="311"/>
              </w:tabs>
              <w:ind w:left="82"/>
              <w:jc w:val="left"/>
              <w:rPr>
                <w:rFonts w:ascii="Arial" w:hAnsi="Arial" w:cs="Arial"/>
                <w:sz w:val="20"/>
                <w:szCs w:val="20"/>
              </w:rPr>
            </w:pPr>
          </w:p>
          <w:p w:rsidR="00231BCC" w:rsidRPr="00101D3D" w:rsidRDefault="00231BCC" w:rsidP="00231BCC">
            <w:pPr>
              <w:pStyle w:val="ListParagraph"/>
              <w:numPr>
                <w:ilvl w:val="0"/>
                <w:numId w:val="41"/>
              </w:numPr>
              <w:tabs>
                <w:tab w:val="left" w:pos="311"/>
              </w:tabs>
              <w:ind w:left="41" w:firstLine="41"/>
              <w:jc w:val="left"/>
              <w:rPr>
                <w:rFonts w:ascii="Arial" w:hAnsi="Arial" w:cs="Arial"/>
                <w:sz w:val="20"/>
                <w:szCs w:val="20"/>
              </w:rPr>
            </w:pPr>
            <w:r w:rsidRPr="00101D3D">
              <w:rPr>
                <w:rFonts w:ascii="Arial" w:hAnsi="Arial" w:cs="Arial"/>
                <w:b/>
                <w:sz w:val="20"/>
                <w:szCs w:val="20"/>
              </w:rPr>
              <w:t>RPOP</w:t>
            </w:r>
            <w:r w:rsidRPr="00101D3D">
              <w:rPr>
                <w:rFonts w:ascii="Arial" w:hAnsi="Arial" w:cs="Arial"/>
                <w:b/>
                <w:sz w:val="20"/>
                <w:szCs w:val="20"/>
                <w:vertAlign w:val="subscript"/>
              </w:rPr>
              <w:t>EFDC</w:t>
            </w:r>
            <w:r w:rsidRPr="00101D3D">
              <w:rPr>
                <w:rFonts w:ascii="Arial" w:hAnsi="Arial" w:cs="Arial"/>
                <w:sz w:val="20"/>
                <w:szCs w:val="20"/>
              </w:rPr>
              <w:t xml:space="preserve"> = Refractory Particulate Organic Phosphorus:</w:t>
            </w:r>
          </w:p>
          <w:p w:rsidR="00231BCC" w:rsidRPr="00101D3D" w:rsidRDefault="00231BCC" w:rsidP="0086131D">
            <w:pPr>
              <w:pStyle w:val="ListParagraph"/>
              <w:tabs>
                <w:tab w:val="left" w:pos="311"/>
              </w:tabs>
              <w:spacing w:after="0"/>
              <w:ind w:left="82"/>
              <w:jc w:val="left"/>
              <w:rPr>
                <w:rFonts w:ascii="Arial" w:hAnsi="Arial" w:cs="Arial"/>
                <w:sz w:val="20"/>
                <w:szCs w:val="20"/>
              </w:rPr>
            </w:pPr>
          </w:p>
          <w:p w:rsidR="00231BCC" w:rsidRPr="00101D3D" w:rsidRDefault="00231BCC" w:rsidP="0086131D">
            <w:pPr>
              <w:tabs>
                <w:tab w:val="left" w:pos="342"/>
              </w:tabs>
              <w:spacing w:after="0"/>
              <w:ind w:left="342"/>
              <w:rPr>
                <w:rFonts w:ascii="Arial" w:hAnsi="Arial" w:cs="Arial"/>
                <w:sz w:val="20"/>
                <w:szCs w:val="20"/>
              </w:rPr>
            </w:pPr>
            <w:r w:rsidRPr="00101D3D">
              <w:rPr>
                <w:rFonts w:ascii="Arial" w:hAnsi="Arial" w:cs="Arial"/>
                <w:sz w:val="20"/>
                <w:szCs w:val="20"/>
              </w:rPr>
              <w:t>RPOP</w:t>
            </w:r>
            <w:r w:rsidRPr="00101D3D">
              <w:rPr>
                <w:rFonts w:ascii="Arial" w:hAnsi="Arial" w:cs="Arial"/>
                <w:sz w:val="20"/>
                <w:szCs w:val="20"/>
                <w:vertAlign w:val="subscript"/>
              </w:rPr>
              <w:t>EFDC</w:t>
            </w:r>
            <w:r w:rsidRPr="00101D3D">
              <w:rPr>
                <w:rFonts w:ascii="Arial" w:hAnsi="Arial" w:cs="Arial"/>
                <w:sz w:val="20"/>
                <w:szCs w:val="20"/>
              </w:rPr>
              <w:t>=FP</w:t>
            </w:r>
            <w:r w:rsidRPr="00101D3D">
              <w:rPr>
                <w:rFonts w:ascii="Arial" w:hAnsi="Arial" w:cs="Arial"/>
                <w:sz w:val="20"/>
                <w:szCs w:val="20"/>
                <w:vertAlign w:val="subscript"/>
              </w:rPr>
              <w:t>P</w:t>
            </w:r>
            <w:r w:rsidRPr="00101D3D">
              <w:rPr>
                <w:rFonts w:ascii="Arial" w:hAnsi="Arial" w:cs="Arial"/>
                <w:sz w:val="20"/>
                <w:szCs w:val="20"/>
              </w:rPr>
              <w:t>* ROP</w:t>
            </w:r>
            <w:r w:rsidRPr="00101D3D">
              <w:rPr>
                <w:rFonts w:ascii="Arial" w:hAnsi="Arial" w:cs="Arial"/>
                <w:sz w:val="20"/>
                <w:szCs w:val="20"/>
                <w:vertAlign w:val="subscript"/>
              </w:rPr>
              <w:t>HSPF</w:t>
            </w:r>
          </w:p>
          <w:p w:rsidR="00231BCC" w:rsidRPr="00101D3D" w:rsidRDefault="00231BCC" w:rsidP="0086131D">
            <w:pPr>
              <w:spacing w:after="0"/>
              <w:rPr>
                <w:rFonts w:ascii="Arial" w:hAnsi="Arial" w:cs="Arial"/>
                <w:sz w:val="20"/>
                <w:szCs w:val="20"/>
              </w:rPr>
            </w:pPr>
          </w:p>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LPOP</w:t>
            </w:r>
            <w:r w:rsidRPr="00101D3D">
              <w:rPr>
                <w:rFonts w:ascii="Arial" w:hAnsi="Arial" w:cs="Arial"/>
                <w:b/>
                <w:sz w:val="20"/>
                <w:szCs w:val="20"/>
                <w:vertAlign w:val="subscript"/>
              </w:rPr>
              <w:t>EFDC</w:t>
            </w:r>
            <w:r w:rsidRPr="00101D3D">
              <w:rPr>
                <w:rFonts w:ascii="Arial" w:hAnsi="Arial" w:cs="Arial"/>
                <w:sz w:val="20"/>
                <w:szCs w:val="20"/>
              </w:rPr>
              <w:t xml:space="preserve"> = Labile Particulate Organic Phosphorus</w:t>
            </w:r>
          </w:p>
          <w:p w:rsidR="00231BCC" w:rsidRPr="00101D3D" w:rsidRDefault="00231BCC" w:rsidP="0086131D">
            <w:pPr>
              <w:pStyle w:val="ListParagraph"/>
              <w:tabs>
                <w:tab w:val="left" w:pos="311"/>
              </w:tabs>
              <w:spacing w:after="0"/>
              <w:ind w:left="82"/>
              <w:jc w:val="left"/>
              <w:rPr>
                <w:rFonts w:ascii="Arial" w:hAnsi="Arial" w:cs="Arial"/>
                <w:sz w:val="20"/>
                <w:szCs w:val="20"/>
              </w:rPr>
            </w:pPr>
          </w:p>
          <w:p w:rsidR="00231BCC" w:rsidRPr="00101D3D" w:rsidRDefault="00231BCC" w:rsidP="0086131D">
            <w:pPr>
              <w:spacing w:after="0"/>
              <w:ind w:left="342"/>
              <w:rPr>
                <w:rFonts w:ascii="Arial" w:hAnsi="Arial" w:cs="Arial"/>
                <w:sz w:val="20"/>
                <w:szCs w:val="20"/>
                <w:vertAlign w:val="subscript"/>
              </w:rPr>
            </w:pPr>
            <w:r w:rsidRPr="00101D3D">
              <w:rPr>
                <w:rFonts w:ascii="Arial" w:hAnsi="Arial" w:cs="Arial"/>
                <w:sz w:val="20"/>
                <w:szCs w:val="20"/>
              </w:rPr>
              <w:t>LPOP</w:t>
            </w:r>
            <w:r w:rsidRPr="00101D3D">
              <w:rPr>
                <w:rFonts w:ascii="Arial" w:hAnsi="Arial" w:cs="Arial"/>
                <w:sz w:val="20"/>
                <w:szCs w:val="20"/>
                <w:vertAlign w:val="subscript"/>
              </w:rPr>
              <w:t>EFDC</w:t>
            </w:r>
            <w:r w:rsidRPr="00101D3D">
              <w:rPr>
                <w:rFonts w:ascii="Arial" w:hAnsi="Arial" w:cs="Arial"/>
                <w:sz w:val="20"/>
                <w:szCs w:val="20"/>
              </w:rPr>
              <w:t xml:space="preserve"> = OrgP</w:t>
            </w:r>
            <w:r w:rsidRPr="00101D3D">
              <w:rPr>
                <w:rFonts w:ascii="Arial" w:hAnsi="Arial" w:cs="Arial"/>
                <w:sz w:val="20"/>
                <w:szCs w:val="20"/>
                <w:vertAlign w:val="subscript"/>
              </w:rPr>
              <w:t>HSPF</w:t>
            </w:r>
            <w:r w:rsidRPr="00101D3D">
              <w:rPr>
                <w:rFonts w:ascii="Arial" w:hAnsi="Arial" w:cs="Arial"/>
                <w:sz w:val="20"/>
                <w:szCs w:val="20"/>
              </w:rPr>
              <w:t xml:space="preserve"> - ROP</w:t>
            </w:r>
            <w:r w:rsidRPr="00101D3D">
              <w:rPr>
                <w:rFonts w:ascii="Arial" w:hAnsi="Arial" w:cs="Arial"/>
                <w:sz w:val="20"/>
                <w:szCs w:val="20"/>
                <w:vertAlign w:val="subscript"/>
              </w:rPr>
              <w:t>HSPF</w:t>
            </w:r>
          </w:p>
          <w:p w:rsidR="00231BCC" w:rsidRPr="00101D3D" w:rsidRDefault="00231BCC" w:rsidP="0086131D">
            <w:pPr>
              <w:spacing w:after="0"/>
              <w:rPr>
                <w:rFonts w:ascii="Arial" w:hAnsi="Arial" w:cs="Arial"/>
                <w:sz w:val="20"/>
                <w:szCs w:val="20"/>
                <w:vertAlign w:val="subscript"/>
              </w:rPr>
            </w:pPr>
          </w:p>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DOP</w:t>
            </w:r>
            <w:r w:rsidRPr="00101D3D">
              <w:rPr>
                <w:rFonts w:ascii="Arial" w:hAnsi="Arial" w:cs="Arial"/>
                <w:b/>
                <w:sz w:val="20"/>
                <w:szCs w:val="20"/>
                <w:vertAlign w:val="subscript"/>
              </w:rPr>
              <w:t>EFDC</w:t>
            </w:r>
            <w:r w:rsidRPr="00101D3D">
              <w:rPr>
                <w:rFonts w:ascii="Arial" w:hAnsi="Arial" w:cs="Arial"/>
                <w:sz w:val="20"/>
                <w:szCs w:val="20"/>
              </w:rPr>
              <w:t xml:space="preserve"> = Dissolved Organic Phosphorus</w:t>
            </w:r>
          </w:p>
          <w:p w:rsidR="00231BCC" w:rsidRPr="00101D3D" w:rsidRDefault="00231BCC" w:rsidP="0086131D">
            <w:pPr>
              <w:tabs>
                <w:tab w:val="left" w:pos="311"/>
              </w:tabs>
              <w:spacing w:after="0"/>
              <w:jc w:val="left"/>
              <w:rPr>
                <w:rFonts w:ascii="Arial" w:hAnsi="Arial" w:cs="Arial"/>
                <w:sz w:val="20"/>
                <w:szCs w:val="20"/>
              </w:rPr>
            </w:pPr>
          </w:p>
          <w:p w:rsidR="00231BCC" w:rsidRPr="00101D3D" w:rsidRDefault="00231BCC" w:rsidP="0086131D">
            <w:pPr>
              <w:spacing w:after="0"/>
              <w:ind w:left="342"/>
              <w:rPr>
                <w:rFonts w:ascii="Arial" w:hAnsi="Arial" w:cs="Arial"/>
                <w:sz w:val="20"/>
                <w:szCs w:val="20"/>
              </w:rPr>
            </w:pPr>
            <w:r w:rsidRPr="00101D3D">
              <w:rPr>
                <w:rFonts w:ascii="Arial" w:hAnsi="Arial" w:cs="Arial"/>
                <w:sz w:val="20"/>
                <w:szCs w:val="20"/>
              </w:rPr>
              <w:t>DOP</w:t>
            </w:r>
            <w:r w:rsidRPr="00101D3D">
              <w:rPr>
                <w:rFonts w:ascii="Arial" w:hAnsi="Arial" w:cs="Arial"/>
                <w:sz w:val="20"/>
                <w:szCs w:val="20"/>
                <w:vertAlign w:val="subscript"/>
              </w:rPr>
              <w:t>EFDC</w:t>
            </w:r>
            <w:r w:rsidRPr="00101D3D">
              <w:rPr>
                <w:rFonts w:ascii="Arial" w:hAnsi="Arial" w:cs="Arial"/>
                <w:sz w:val="20"/>
                <w:szCs w:val="20"/>
              </w:rPr>
              <w:t>=FD</w:t>
            </w:r>
            <w:r w:rsidRPr="00101D3D">
              <w:rPr>
                <w:rFonts w:ascii="Arial" w:hAnsi="Arial" w:cs="Arial"/>
                <w:sz w:val="20"/>
                <w:szCs w:val="20"/>
                <w:vertAlign w:val="subscript"/>
              </w:rPr>
              <w:t>P</w:t>
            </w:r>
            <w:r w:rsidRPr="00101D3D">
              <w:rPr>
                <w:rFonts w:ascii="Arial" w:hAnsi="Arial" w:cs="Arial"/>
                <w:sz w:val="20"/>
                <w:szCs w:val="20"/>
              </w:rPr>
              <w:t>* ROP</w:t>
            </w:r>
            <w:r w:rsidRPr="00101D3D">
              <w:rPr>
                <w:rFonts w:ascii="Arial" w:hAnsi="Arial" w:cs="Arial"/>
                <w:sz w:val="20"/>
                <w:szCs w:val="20"/>
                <w:vertAlign w:val="subscript"/>
              </w:rPr>
              <w:t>HSPF</w:t>
            </w:r>
          </w:p>
          <w:p w:rsidR="00231BCC" w:rsidRPr="00101D3D" w:rsidRDefault="00231BCC" w:rsidP="0086131D">
            <w:pPr>
              <w:spacing w:after="0"/>
              <w:rPr>
                <w:rFonts w:ascii="Arial" w:hAnsi="Arial" w:cs="Arial"/>
                <w:sz w:val="20"/>
                <w:szCs w:val="20"/>
              </w:rPr>
            </w:pPr>
          </w:p>
          <w:p w:rsidR="00231BCC" w:rsidRPr="00101D3D" w:rsidRDefault="00231BCC" w:rsidP="0086131D">
            <w:pPr>
              <w:spacing w:after="0"/>
              <w:rPr>
                <w:rFonts w:ascii="Arial" w:hAnsi="Arial" w:cs="Arial"/>
                <w:sz w:val="20"/>
                <w:szCs w:val="20"/>
              </w:rPr>
            </w:pPr>
            <w:r w:rsidRPr="00101D3D">
              <w:rPr>
                <w:rFonts w:ascii="Arial" w:hAnsi="Arial" w:cs="Arial"/>
                <w:sz w:val="20"/>
                <w:szCs w:val="20"/>
              </w:rPr>
              <w:t>FP</w:t>
            </w:r>
            <w:r w:rsidRPr="00101D3D">
              <w:rPr>
                <w:rFonts w:ascii="Arial" w:hAnsi="Arial" w:cs="Arial"/>
                <w:sz w:val="20"/>
                <w:szCs w:val="20"/>
                <w:vertAlign w:val="subscript"/>
              </w:rPr>
              <w:t>P</w:t>
            </w:r>
            <w:r w:rsidRPr="00101D3D">
              <w:rPr>
                <w:rFonts w:ascii="Arial" w:hAnsi="Arial" w:cs="Arial"/>
                <w:sz w:val="20"/>
                <w:szCs w:val="20"/>
              </w:rPr>
              <w:t xml:space="preserve"> and FD</w:t>
            </w:r>
            <w:r w:rsidRPr="00101D3D">
              <w:rPr>
                <w:rFonts w:ascii="Arial" w:hAnsi="Arial" w:cs="Arial"/>
                <w:sz w:val="20"/>
                <w:szCs w:val="20"/>
                <w:vertAlign w:val="subscript"/>
              </w:rPr>
              <w:t>P</w:t>
            </w:r>
            <w:r w:rsidRPr="00101D3D">
              <w:rPr>
                <w:rFonts w:ascii="Arial" w:hAnsi="Arial" w:cs="Arial"/>
                <w:sz w:val="20"/>
                <w:szCs w:val="20"/>
              </w:rPr>
              <w:t xml:space="preserve"> are prescribed fractions of particulate and dissolved phases of the ROP</w:t>
            </w:r>
            <w:r w:rsidRPr="00101D3D">
              <w:rPr>
                <w:rFonts w:ascii="Arial" w:hAnsi="Arial" w:cs="Arial"/>
                <w:sz w:val="20"/>
                <w:szCs w:val="20"/>
                <w:vertAlign w:val="subscript"/>
              </w:rPr>
              <w:t xml:space="preserve">HSPF </w:t>
            </w:r>
            <w:r w:rsidRPr="00101D3D">
              <w:rPr>
                <w:rFonts w:ascii="Arial" w:hAnsi="Arial" w:cs="Arial"/>
                <w:sz w:val="20"/>
                <w:szCs w:val="20"/>
              </w:rPr>
              <w:t>for EFDC:</w:t>
            </w:r>
          </w:p>
          <w:p w:rsidR="00231BCC" w:rsidRPr="00101D3D" w:rsidRDefault="00231BCC" w:rsidP="0086131D">
            <w:pPr>
              <w:spacing w:after="0"/>
              <w:rPr>
                <w:rFonts w:ascii="Arial" w:hAnsi="Arial" w:cs="Arial"/>
                <w:sz w:val="20"/>
                <w:szCs w:val="20"/>
              </w:rPr>
            </w:pPr>
          </w:p>
          <w:p w:rsidR="00231BCC" w:rsidRPr="00101D3D" w:rsidRDefault="00231BCC" w:rsidP="0086131D">
            <w:pPr>
              <w:spacing w:after="0"/>
              <w:rPr>
                <w:rFonts w:ascii="Arial" w:hAnsi="Arial" w:cs="Arial"/>
                <w:sz w:val="20"/>
                <w:szCs w:val="20"/>
              </w:rPr>
            </w:pPr>
            <w:r w:rsidRPr="00101D3D">
              <w:rPr>
                <w:rFonts w:ascii="Arial" w:hAnsi="Arial" w:cs="Arial"/>
                <w:sz w:val="20"/>
                <w:szCs w:val="20"/>
              </w:rPr>
              <w:t>FP=0.35</w:t>
            </w:r>
          </w:p>
          <w:p w:rsidR="00231BCC" w:rsidRPr="00101D3D" w:rsidRDefault="00231BCC" w:rsidP="0086131D">
            <w:pPr>
              <w:spacing w:after="0"/>
              <w:rPr>
                <w:rFonts w:ascii="Arial" w:hAnsi="Arial" w:cs="Arial"/>
                <w:sz w:val="20"/>
                <w:szCs w:val="20"/>
              </w:rPr>
            </w:pPr>
            <w:r w:rsidRPr="00101D3D">
              <w:rPr>
                <w:rFonts w:ascii="Arial" w:hAnsi="Arial" w:cs="Arial"/>
                <w:sz w:val="20"/>
                <w:szCs w:val="20"/>
              </w:rPr>
              <w:t>FD=0.65</w:t>
            </w:r>
          </w:p>
        </w:tc>
      </w:tr>
      <w:tr w:rsidR="00231BCC" w:rsidRPr="00101D3D" w:rsidTr="0086131D">
        <w:trPr>
          <w:jc w:val="center"/>
        </w:trPr>
        <w:tc>
          <w:tcPr>
            <w:tcW w:w="2335" w:type="dxa"/>
            <w:vAlign w:val="center"/>
          </w:tcPr>
          <w:p w:rsidR="00231BCC" w:rsidRPr="00101D3D" w:rsidRDefault="00231BCC" w:rsidP="0086131D">
            <w:pPr>
              <w:spacing w:after="0"/>
              <w:jc w:val="center"/>
              <w:rPr>
                <w:rFonts w:ascii="Arial" w:hAnsi="Arial" w:cs="Arial"/>
                <w:sz w:val="20"/>
                <w:szCs w:val="20"/>
              </w:rPr>
            </w:pPr>
            <w:r w:rsidRPr="00101D3D">
              <w:rPr>
                <w:rFonts w:ascii="Arial" w:hAnsi="Arial" w:cs="Arial"/>
                <w:sz w:val="20"/>
                <w:szCs w:val="20"/>
              </w:rPr>
              <w:t>Orthophosphate</w:t>
            </w:r>
          </w:p>
          <w:p w:rsidR="00231BCC" w:rsidRPr="00101D3D" w:rsidRDefault="00231BCC" w:rsidP="0086131D">
            <w:pPr>
              <w:spacing w:after="0"/>
              <w:jc w:val="center"/>
              <w:rPr>
                <w:rFonts w:ascii="Arial" w:hAnsi="Arial" w:cs="Arial"/>
                <w:sz w:val="20"/>
                <w:szCs w:val="20"/>
              </w:rPr>
            </w:pPr>
            <w:r w:rsidRPr="00101D3D">
              <w:rPr>
                <w:rFonts w:ascii="Arial" w:hAnsi="Arial" w:cs="Arial"/>
                <w:sz w:val="20"/>
                <w:szCs w:val="20"/>
              </w:rPr>
              <w:t>(</w:t>
            </w:r>
            <w:r w:rsidRPr="00101D3D">
              <w:rPr>
                <w:rFonts w:ascii="Arial" w:hAnsi="Arial" w:cs="Arial"/>
                <w:b/>
                <w:sz w:val="20"/>
                <w:szCs w:val="20"/>
              </w:rPr>
              <w:t>PO</w:t>
            </w:r>
            <w:r w:rsidRPr="00101D3D">
              <w:rPr>
                <w:rFonts w:ascii="Arial" w:hAnsi="Arial" w:cs="Arial"/>
                <w:b/>
                <w:sz w:val="20"/>
                <w:szCs w:val="20"/>
                <w:vertAlign w:val="subscript"/>
              </w:rPr>
              <w:t>4</w:t>
            </w:r>
            <w:r w:rsidRPr="00101D3D">
              <w:rPr>
                <w:rFonts w:ascii="Arial" w:hAnsi="Arial" w:cs="Arial"/>
                <w:sz w:val="20"/>
                <w:szCs w:val="20"/>
              </w:rPr>
              <w:t>)</w:t>
            </w:r>
          </w:p>
        </w:tc>
        <w:tc>
          <w:tcPr>
            <w:tcW w:w="3060" w:type="dxa"/>
            <w:vAlign w:val="center"/>
          </w:tcPr>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b/>
                <w:sz w:val="20"/>
                <w:szCs w:val="20"/>
              </w:rPr>
            </w:pPr>
            <w:r w:rsidRPr="00101D3D">
              <w:rPr>
                <w:rFonts w:ascii="Arial" w:hAnsi="Arial" w:cs="Arial"/>
                <w:b/>
                <w:sz w:val="20"/>
                <w:szCs w:val="20"/>
              </w:rPr>
              <w:t>PO4</w:t>
            </w:r>
            <w:r w:rsidRPr="00101D3D">
              <w:rPr>
                <w:rFonts w:ascii="Arial" w:hAnsi="Arial" w:cs="Arial"/>
                <w:b/>
                <w:sz w:val="20"/>
                <w:szCs w:val="20"/>
                <w:vertAlign w:val="subscript"/>
              </w:rPr>
              <w:t>HSPF</w:t>
            </w:r>
          </w:p>
        </w:tc>
        <w:tc>
          <w:tcPr>
            <w:tcW w:w="4675" w:type="dxa"/>
            <w:vAlign w:val="center"/>
          </w:tcPr>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sz w:val="20"/>
                <w:szCs w:val="20"/>
              </w:rPr>
            </w:pPr>
            <w:r w:rsidRPr="00101D3D">
              <w:rPr>
                <w:rFonts w:ascii="Arial" w:hAnsi="Arial" w:cs="Arial"/>
                <w:sz w:val="20"/>
                <w:szCs w:val="20"/>
              </w:rPr>
              <w:t>PO4</w:t>
            </w:r>
            <w:r w:rsidRPr="00101D3D">
              <w:rPr>
                <w:rFonts w:ascii="Arial" w:hAnsi="Arial" w:cs="Arial"/>
                <w:sz w:val="20"/>
                <w:szCs w:val="20"/>
                <w:vertAlign w:val="subscript"/>
              </w:rPr>
              <w:t>EFDC</w:t>
            </w:r>
            <w:r w:rsidRPr="00101D3D">
              <w:rPr>
                <w:rFonts w:ascii="Arial" w:hAnsi="Arial" w:cs="Arial"/>
                <w:sz w:val="20"/>
                <w:szCs w:val="20"/>
              </w:rPr>
              <w:t>= PO4</w:t>
            </w:r>
            <w:r w:rsidRPr="00101D3D">
              <w:rPr>
                <w:rFonts w:ascii="Arial" w:hAnsi="Arial" w:cs="Arial"/>
                <w:sz w:val="20"/>
                <w:szCs w:val="20"/>
                <w:vertAlign w:val="subscript"/>
              </w:rPr>
              <w:t>HSPF</w:t>
            </w:r>
          </w:p>
        </w:tc>
      </w:tr>
      <w:tr w:rsidR="00231BCC" w:rsidRPr="00101D3D" w:rsidTr="0086131D">
        <w:trPr>
          <w:jc w:val="center"/>
        </w:trPr>
        <w:tc>
          <w:tcPr>
            <w:tcW w:w="2335" w:type="dxa"/>
            <w:vAlign w:val="center"/>
          </w:tcPr>
          <w:p w:rsidR="00231BCC" w:rsidRPr="00101D3D" w:rsidRDefault="00231BCC" w:rsidP="0086131D">
            <w:pPr>
              <w:spacing w:after="0"/>
              <w:jc w:val="center"/>
              <w:rPr>
                <w:rFonts w:ascii="Arial" w:hAnsi="Arial" w:cs="Arial"/>
                <w:sz w:val="20"/>
                <w:szCs w:val="20"/>
              </w:rPr>
            </w:pPr>
            <w:r w:rsidRPr="00101D3D">
              <w:rPr>
                <w:rFonts w:ascii="Arial" w:hAnsi="Arial" w:cs="Arial"/>
                <w:sz w:val="20"/>
                <w:szCs w:val="20"/>
              </w:rPr>
              <w:t>Organic Carbon (</w:t>
            </w:r>
            <w:r w:rsidRPr="00101D3D">
              <w:rPr>
                <w:rFonts w:ascii="Arial" w:hAnsi="Arial" w:cs="Arial"/>
                <w:b/>
                <w:sz w:val="20"/>
                <w:szCs w:val="20"/>
              </w:rPr>
              <w:t>OrgC</w:t>
            </w:r>
            <w:r w:rsidRPr="00101D3D">
              <w:rPr>
                <w:rFonts w:ascii="Arial" w:hAnsi="Arial" w:cs="Arial"/>
                <w:sz w:val="20"/>
                <w:szCs w:val="20"/>
              </w:rPr>
              <w:t>)</w:t>
            </w:r>
          </w:p>
          <w:p w:rsidR="00231BCC" w:rsidRPr="00101D3D" w:rsidRDefault="00231BCC" w:rsidP="0086131D">
            <w:pPr>
              <w:spacing w:after="0"/>
              <w:rPr>
                <w:rFonts w:ascii="Arial" w:hAnsi="Arial" w:cs="Arial"/>
                <w:sz w:val="20"/>
                <w:szCs w:val="20"/>
              </w:rPr>
            </w:pPr>
          </w:p>
        </w:tc>
        <w:tc>
          <w:tcPr>
            <w:tcW w:w="3060" w:type="dxa"/>
            <w:vAlign w:val="center"/>
          </w:tcPr>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OrgC</w:t>
            </w:r>
            <w:r w:rsidRPr="00101D3D">
              <w:rPr>
                <w:rFonts w:ascii="Arial" w:hAnsi="Arial" w:cs="Arial"/>
                <w:b/>
                <w:sz w:val="20"/>
                <w:szCs w:val="20"/>
                <w:vertAlign w:val="subscript"/>
              </w:rPr>
              <w:t>HSPF</w:t>
            </w:r>
            <w:r w:rsidRPr="00101D3D">
              <w:rPr>
                <w:rFonts w:ascii="Arial" w:hAnsi="Arial" w:cs="Arial"/>
                <w:sz w:val="20"/>
                <w:szCs w:val="20"/>
              </w:rPr>
              <w:t xml:space="preserve"> = Total Organic Carbon</w:t>
            </w:r>
          </w:p>
          <w:p w:rsidR="00231BCC" w:rsidRPr="00101D3D" w:rsidRDefault="00231BCC" w:rsidP="0086131D">
            <w:pPr>
              <w:pStyle w:val="ListParagraph"/>
              <w:tabs>
                <w:tab w:val="left" w:pos="311"/>
              </w:tabs>
              <w:spacing w:after="0"/>
              <w:ind w:left="82"/>
              <w:jc w:val="left"/>
              <w:rPr>
                <w:rFonts w:ascii="Arial" w:hAnsi="Arial" w:cs="Arial"/>
                <w:sz w:val="20"/>
                <w:szCs w:val="20"/>
              </w:rPr>
            </w:pPr>
          </w:p>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ROC</w:t>
            </w:r>
            <w:r w:rsidRPr="00101D3D">
              <w:rPr>
                <w:rFonts w:ascii="Arial" w:hAnsi="Arial" w:cs="Arial"/>
                <w:b/>
                <w:sz w:val="20"/>
                <w:szCs w:val="20"/>
                <w:vertAlign w:val="subscript"/>
              </w:rPr>
              <w:t>HSPF</w:t>
            </w:r>
            <w:r w:rsidRPr="00101D3D">
              <w:rPr>
                <w:rFonts w:ascii="Arial" w:hAnsi="Arial" w:cs="Arial"/>
                <w:sz w:val="20"/>
                <w:szCs w:val="20"/>
              </w:rPr>
              <w:t xml:space="preserve"> = Refractory Organic Carbon</w:t>
            </w:r>
          </w:p>
          <w:p w:rsidR="00231BCC" w:rsidRPr="00101D3D" w:rsidRDefault="00231BCC" w:rsidP="0086131D">
            <w:pPr>
              <w:pStyle w:val="ListParagraph"/>
              <w:rPr>
                <w:rFonts w:ascii="Arial" w:hAnsi="Arial" w:cs="Arial"/>
                <w:sz w:val="20"/>
                <w:szCs w:val="20"/>
              </w:rPr>
            </w:pPr>
          </w:p>
          <w:p w:rsidR="00231BCC" w:rsidRPr="00101D3D" w:rsidRDefault="00231BCC" w:rsidP="0086131D">
            <w:pPr>
              <w:tabs>
                <w:tab w:val="left" w:pos="311"/>
              </w:tabs>
              <w:spacing w:after="0"/>
              <w:jc w:val="left"/>
              <w:rPr>
                <w:rFonts w:ascii="Arial" w:hAnsi="Arial" w:cs="Arial"/>
                <w:b/>
                <w:sz w:val="20"/>
                <w:szCs w:val="20"/>
              </w:rPr>
            </w:pPr>
            <w:r w:rsidRPr="00101D3D">
              <w:rPr>
                <w:rFonts w:ascii="Arial" w:hAnsi="Arial" w:cs="Arial"/>
                <w:sz w:val="20"/>
                <w:szCs w:val="20"/>
              </w:rPr>
              <w:t>In HSPF OrgC</w:t>
            </w:r>
            <w:r w:rsidRPr="00101D3D">
              <w:rPr>
                <w:rFonts w:ascii="Arial" w:hAnsi="Arial" w:cs="Arial"/>
                <w:sz w:val="20"/>
                <w:szCs w:val="20"/>
                <w:vertAlign w:val="subscript"/>
              </w:rPr>
              <w:t>HSPF</w:t>
            </w:r>
            <w:r w:rsidRPr="00101D3D">
              <w:rPr>
                <w:rFonts w:ascii="Arial" w:hAnsi="Arial" w:cs="Arial"/>
                <w:sz w:val="20"/>
                <w:szCs w:val="20"/>
              </w:rPr>
              <w:t xml:space="preserve"> and ROC</w:t>
            </w:r>
            <w:r w:rsidRPr="00101D3D">
              <w:rPr>
                <w:rFonts w:ascii="Arial" w:hAnsi="Arial" w:cs="Arial"/>
                <w:sz w:val="20"/>
                <w:szCs w:val="20"/>
                <w:vertAlign w:val="subscript"/>
              </w:rPr>
              <w:t>HSPF</w:t>
            </w:r>
            <w:r w:rsidRPr="00101D3D">
              <w:rPr>
                <w:rFonts w:ascii="Arial" w:hAnsi="Arial" w:cs="Arial"/>
                <w:sz w:val="20"/>
                <w:szCs w:val="20"/>
              </w:rPr>
              <w:t xml:space="preserve"> are assumed </w:t>
            </w:r>
            <w:r>
              <w:rPr>
                <w:rFonts w:ascii="Arial" w:hAnsi="Arial" w:cs="Arial"/>
                <w:sz w:val="20"/>
                <w:szCs w:val="20"/>
              </w:rPr>
              <w:t xml:space="preserve">to be </w:t>
            </w:r>
            <w:r w:rsidRPr="00101D3D">
              <w:rPr>
                <w:rFonts w:ascii="Arial" w:hAnsi="Arial" w:cs="Arial"/>
                <w:sz w:val="20"/>
                <w:szCs w:val="20"/>
              </w:rPr>
              <w:t>dissolved.</w:t>
            </w:r>
          </w:p>
        </w:tc>
        <w:tc>
          <w:tcPr>
            <w:tcW w:w="4675" w:type="dxa"/>
          </w:tcPr>
          <w:p w:rsidR="00231BCC" w:rsidRPr="00101D3D" w:rsidRDefault="00231BCC" w:rsidP="0086131D">
            <w:pPr>
              <w:pStyle w:val="ListParagraph"/>
              <w:tabs>
                <w:tab w:val="left" w:pos="311"/>
              </w:tabs>
              <w:spacing w:after="0"/>
              <w:ind w:left="82"/>
              <w:jc w:val="left"/>
              <w:rPr>
                <w:rFonts w:ascii="Arial" w:hAnsi="Arial" w:cs="Arial"/>
                <w:sz w:val="20"/>
                <w:szCs w:val="20"/>
              </w:rPr>
            </w:pPr>
            <w:r w:rsidRPr="00101D3D">
              <w:rPr>
                <w:rFonts w:ascii="Arial" w:hAnsi="Arial" w:cs="Arial"/>
                <w:b/>
                <w:sz w:val="20"/>
                <w:szCs w:val="20"/>
              </w:rPr>
              <w:t>OrgC</w:t>
            </w:r>
            <w:r w:rsidRPr="00101D3D">
              <w:rPr>
                <w:rFonts w:ascii="Arial" w:hAnsi="Arial" w:cs="Arial"/>
                <w:b/>
                <w:sz w:val="20"/>
                <w:szCs w:val="20"/>
                <w:vertAlign w:val="subscript"/>
              </w:rPr>
              <w:t>EFDC</w:t>
            </w:r>
            <w:r w:rsidRPr="00101D3D">
              <w:rPr>
                <w:rFonts w:ascii="Arial" w:hAnsi="Arial" w:cs="Arial"/>
                <w:b/>
                <w:sz w:val="20"/>
                <w:szCs w:val="20"/>
              </w:rPr>
              <w:t xml:space="preserve"> = RPOC</w:t>
            </w:r>
            <w:r w:rsidRPr="00101D3D">
              <w:rPr>
                <w:rFonts w:ascii="Arial" w:hAnsi="Arial" w:cs="Arial"/>
                <w:b/>
                <w:sz w:val="20"/>
                <w:szCs w:val="20"/>
                <w:vertAlign w:val="subscript"/>
              </w:rPr>
              <w:t xml:space="preserve">EFDC </w:t>
            </w:r>
            <w:r w:rsidRPr="00101D3D">
              <w:rPr>
                <w:rFonts w:ascii="Arial" w:hAnsi="Arial" w:cs="Arial"/>
                <w:b/>
                <w:sz w:val="20"/>
                <w:szCs w:val="20"/>
              </w:rPr>
              <w:t>+ LPOC</w:t>
            </w:r>
            <w:r w:rsidRPr="00101D3D">
              <w:rPr>
                <w:rFonts w:ascii="Arial" w:hAnsi="Arial" w:cs="Arial"/>
                <w:b/>
                <w:sz w:val="20"/>
                <w:szCs w:val="20"/>
                <w:vertAlign w:val="subscript"/>
              </w:rPr>
              <w:t>EFDC</w:t>
            </w:r>
            <w:r w:rsidRPr="00101D3D">
              <w:rPr>
                <w:rFonts w:ascii="Arial" w:hAnsi="Arial" w:cs="Arial"/>
                <w:b/>
                <w:sz w:val="20"/>
                <w:szCs w:val="20"/>
              </w:rPr>
              <w:t xml:space="preserve"> + DOC</w:t>
            </w:r>
            <w:r w:rsidRPr="00101D3D">
              <w:rPr>
                <w:rFonts w:ascii="Arial" w:hAnsi="Arial" w:cs="Arial"/>
                <w:b/>
                <w:sz w:val="20"/>
                <w:szCs w:val="20"/>
                <w:vertAlign w:val="subscript"/>
              </w:rPr>
              <w:t>EFDC</w:t>
            </w:r>
          </w:p>
          <w:p w:rsidR="00231BCC" w:rsidRPr="00101D3D" w:rsidRDefault="00231BCC" w:rsidP="0086131D">
            <w:pPr>
              <w:tabs>
                <w:tab w:val="left" w:pos="311"/>
              </w:tabs>
              <w:spacing w:after="0"/>
              <w:jc w:val="left"/>
              <w:rPr>
                <w:rFonts w:ascii="Arial" w:hAnsi="Arial" w:cs="Arial"/>
                <w:sz w:val="20"/>
                <w:szCs w:val="20"/>
              </w:rPr>
            </w:pPr>
          </w:p>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RPOC</w:t>
            </w:r>
            <w:r w:rsidRPr="00101D3D">
              <w:rPr>
                <w:rFonts w:ascii="Arial" w:hAnsi="Arial" w:cs="Arial"/>
                <w:b/>
                <w:sz w:val="20"/>
                <w:szCs w:val="20"/>
                <w:vertAlign w:val="subscript"/>
              </w:rPr>
              <w:t>EFDC</w:t>
            </w:r>
            <w:r w:rsidRPr="00101D3D">
              <w:rPr>
                <w:rFonts w:ascii="Arial" w:hAnsi="Arial" w:cs="Arial"/>
                <w:sz w:val="20"/>
                <w:szCs w:val="20"/>
              </w:rPr>
              <w:t xml:space="preserve"> = Refractory Particulate Organic Carbon:</w:t>
            </w:r>
          </w:p>
          <w:p w:rsidR="00231BCC" w:rsidRPr="00101D3D" w:rsidRDefault="00231BCC" w:rsidP="0086131D">
            <w:pPr>
              <w:pStyle w:val="ListParagraph"/>
              <w:tabs>
                <w:tab w:val="left" w:pos="311"/>
              </w:tabs>
              <w:spacing w:after="0"/>
              <w:ind w:left="82"/>
              <w:jc w:val="left"/>
              <w:rPr>
                <w:rFonts w:ascii="Arial" w:hAnsi="Arial" w:cs="Arial"/>
                <w:sz w:val="20"/>
                <w:szCs w:val="20"/>
              </w:rPr>
            </w:pPr>
          </w:p>
          <w:p w:rsidR="00231BCC" w:rsidRPr="00101D3D" w:rsidRDefault="00231BCC" w:rsidP="0086131D">
            <w:pPr>
              <w:tabs>
                <w:tab w:val="left" w:pos="342"/>
              </w:tabs>
              <w:spacing w:after="0"/>
              <w:ind w:left="342"/>
              <w:rPr>
                <w:rFonts w:ascii="Arial" w:hAnsi="Arial" w:cs="Arial"/>
                <w:sz w:val="20"/>
                <w:szCs w:val="20"/>
              </w:rPr>
            </w:pPr>
            <w:r w:rsidRPr="00101D3D">
              <w:rPr>
                <w:rFonts w:ascii="Arial" w:hAnsi="Arial" w:cs="Arial"/>
                <w:sz w:val="20"/>
                <w:szCs w:val="20"/>
              </w:rPr>
              <w:t>RPOP</w:t>
            </w:r>
            <w:r w:rsidRPr="00101D3D">
              <w:rPr>
                <w:rFonts w:ascii="Arial" w:hAnsi="Arial" w:cs="Arial"/>
                <w:sz w:val="20"/>
                <w:szCs w:val="20"/>
                <w:vertAlign w:val="subscript"/>
              </w:rPr>
              <w:t>EFDC</w:t>
            </w:r>
            <w:r w:rsidRPr="00101D3D">
              <w:rPr>
                <w:rFonts w:ascii="Arial" w:hAnsi="Arial" w:cs="Arial"/>
                <w:sz w:val="20"/>
                <w:szCs w:val="20"/>
              </w:rPr>
              <w:t>=FP</w:t>
            </w:r>
            <w:r w:rsidRPr="00101D3D">
              <w:rPr>
                <w:rFonts w:ascii="Arial" w:hAnsi="Arial" w:cs="Arial"/>
                <w:sz w:val="20"/>
                <w:szCs w:val="20"/>
                <w:vertAlign w:val="subscript"/>
              </w:rPr>
              <w:t>C</w:t>
            </w:r>
            <w:r w:rsidRPr="00101D3D">
              <w:rPr>
                <w:rFonts w:ascii="Arial" w:hAnsi="Arial" w:cs="Arial"/>
                <w:sz w:val="20"/>
                <w:szCs w:val="20"/>
              </w:rPr>
              <w:t>* ROP</w:t>
            </w:r>
            <w:r w:rsidRPr="00101D3D">
              <w:rPr>
                <w:rFonts w:ascii="Arial" w:hAnsi="Arial" w:cs="Arial"/>
                <w:sz w:val="20"/>
                <w:szCs w:val="20"/>
                <w:vertAlign w:val="subscript"/>
              </w:rPr>
              <w:t>HSPF</w:t>
            </w:r>
          </w:p>
          <w:p w:rsidR="00231BCC" w:rsidRPr="00101D3D" w:rsidRDefault="00231BCC" w:rsidP="0086131D">
            <w:pPr>
              <w:spacing w:after="0"/>
              <w:ind w:left="72"/>
              <w:rPr>
                <w:rFonts w:ascii="Arial" w:hAnsi="Arial" w:cs="Arial"/>
                <w:sz w:val="20"/>
                <w:szCs w:val="20"/>
              </w:rPr>
            </w:pPr>
          </w:p>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LPOC</w:t>
            </w:r>
            <w:r w:rsidRPr="00101D3D">
              <w:rPr>
                <w:rFonts w:ascii="Arial" w:hAnsi="Arial" w:cs="Arial"/>
                <w:b/>
                <w:sz w:val="20"/>
                <w:szCs w:val="20"/>
                <w:vertAlign w:val="subscript"/>
              </w:rPr>
              <w:t>EFDC</w:t>
            </w:r>
            <w:r w:rsidRPr="00101D3D">
              <w:rPr>
                <w:rFonts w:ascii="Arial" w:hAnsi="Arial" w:cs="Arial"/>
                <w:sz w:val="20"/>
                <w:szCs w:val="20"/>
              </w:rPr>
              <w:t xml:space="preserve"> = Labile Particulate Organic Carbon</w:t>
            </w:r>
          </w:p>
          <w:p w:rsidR="00231BCC" w:rsidRPr="00101D3D" w:rsidRDefault="00231BCC" w:rsidP="0086131D">
            <w:pPr>
              <w:pStyle w:val="ListParagraph"/>
              <w:tabs>
                <w:tab w:val="left" w:pos="311"/>
              </w:tabs>
              <w:spacing w:after="0"/>
              <w:ind w:left="82"/>
              <w:jc w:val="left"/>
              <w:rPr>
                <w:rFonts w:ascii="Arial" w:hAnsi="Arial" w:cs="Arial"/>
                <w:sz w:val="20"/>
                <w:szCs w:val="20"/>
              </w:rPr>
            </w:pPr>
          </w:p>
          <w:p w:rsidR="00231BCC" w:rsidRPr="00101D3D" w:rsidRDefault="00231BCC" w:rsidP="0086131D">
            <w:pPr>
              <w:spacing w:after="0"/>
              <w:ind w:left="342"/>
              <w:rPr>
                <w:rFonts w:ascii="Arial" w:hAnsi="Arial" w:cs="Arial"/>
                <w:sz w:val="20"/>
                <w:szCs w:val="20"/>
                <w:vertAlign w:val="subscript"/>
              </w:rPr>
            </w:pPr>
            <w:r w:rsidRPr="00101D3D">
              <w:rPr>
                <w:rFonts w:ascii="Arial" w:hAnsi="Arial" w:cs="Arial"/>
                <w:sz w:val="20"/>
                <w:szCs w:val="20"/>
              </w:rPr>
              <w:t>LPOP</w:t>
            </w:r>
            <w:r w:rsidRPr="00101D3D">
              <w:rPr>
                <w:rFonts w:ascii="Arial" w:hAnsi="Arial" w:cs="Arial"/>
                <w:sz w:val="20"/>
                <w:szCs w:val="20"/>
                <w:vertAlign w:val="subscript"/>
              </w:rPr>
              <w:t>EFDC</w:t>
            </w:r>
            <w:r w:rsidRPr="00101D3D">
              <w:rPr>
                <w:rFonts w:ascii="Arial" w:hAnsi="Arial" w:cs="Arial"/>
                <w:sz w:val="20"/>
                <w:szCs w:val="20"/>
              </w:rPr>
              <w:t xml:space="preserve"> = OrgP</w:t>
            </w:r>
            <w:r w:rsidRPr="00101D3D">
              <w:rPr>
                <w:rFonts w:ascii="Arial" w:hAnsi="Arial" w:cs="Arial"/>
                <w:sz w:val="20"/>
                <w:szCs w:val="20"/>
                <w:vertAlign w:val="subscript"/>
              </w:rPr>
              <w:t>HSPF</w:t>
            </w:r>
            <w:r w:rsidRPr="00101D3D">
              <w:rPr>
                <w:rFonts w:ascii="Arial" w:hAnsi="Arial" w:cs="Arial"/>
                <w:sz w:val="20"/>
                <w:szCs w:val="20"/>
              </w:rPr>
              <w:t xml:space="preserve"> - ROP</w:t>
            </w:r>
            <w:r w:rsidRPr="00101D3D">
              <w:rPr>
                <w:rFonts w:ascii="Arial" w:hAnsi="Arial" w:cs="Arial"/>
                <w:sz w:val="20"/>
                <w:szCs w:val="20"/>
                <w:vertAlign w:val="subscript"/>
              </w:rPr>
              <w:t>HSPF</w:t>
            </w:r>
          </w:p>
          <w:p w:rsidR="00231BCC" w:rsidRPr="00101D3D" w:rsidRDefault="00231BCC" w:rsidP="0086131D">
            <w:pPr>
              <w:spacing w:after="0"/>
              <w:rPr>
                <w:rFonts w:ascii="Arial" w:hAnsi="Arial" w:cs="Arial"/>
                <w:sz w:val="20"/>
                <w:szCs w:val="20"/>
                <w:vertAlign w:val="subscript"/>
              </w:rPr>
            </w:pPr>
          </w:p>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sz w:val="20"/>
                <w:szCs w:val="20"/>
              </w:rPr>
            </w:pPr>
            <w:r w:rsidRPr="00101D3D">
              <w:rPr>
                <w:rFonts w:ascii="Arial" w:hAnsi="Arial" w:cs="Arial"/>
                <w:b/>
                <w:sz w:val="20"/>
                <w:szCs w:val="20"/>
              </w:rPr>
              <w:t>DOC</w:t>
            </w:r>
            <w:r w:rsidRPr="00101D3D">
              <w:rPr>
                <w:rFonts w:ascii="Arial" w:hAnsi="Arial" w:cs="Arial"/>
                <w:b/>
                <w:sz w:val="20"/>
                <w:szCs w:val="20"/>
                <w:vertAlign w:val="subscript"/>
              </w:rPr>
              <w:t>EFDC</w:t>
            </w:r>
            <w:r w:rsidRPr="00101D3D">
              <w:rPr>
                <w:rFonts w:ascii="Arial" w:hAnsi="Arial" w:cs="Arial"/>
                <w:sz w:val="20"/>
                <w:szCs w:val="20"/>
              </w:rPr>
              <w:t xml:space="preserve"> = Dissolved Organic Carbon</w:t>
            </w:r>
          </w:p>
          <w:p w:rsidR="00231BCC" w:rsidRPr="00101D3D" w:rsidRDefault="00231BCC" w:rsidP="0086131D">
            <w:pPr>
              <w:tabs>
                <w:tab w:val="left" w:pos="311"/>
              </w:tabs>
              <w:spacing w:after="0"/>
              <w:jc w:val="left"/>
              <w:rPr>
                <w:rFonts w:ascii="Arial" w:hAnsi="Arial" w:cs="Arial"/>
                <w:sz w:val="20"/>
                <w:szCs w:val="20"/>
              </w:rPr>
            </w:pPr>
          </w:p>
          <w:p w:rsidR="00231BCC" w:rsidRPr="00101D3D" w:rsidRDefault="00231BCC" w:rsidP="0086131D">
            <w:pPr>
              <w:spacing w:after="0"/>
              <w:ind w:left="252"/>
              <w:rPr>
                <w:rFonts w:ascii="Arial" w:hAnsi="Arial" w:cs="Arial"/>
                <w:sz w:val="20"/>
                <w:szCs w:val="20"/>
              </w:rPr>
            </w:pPr>
            <w:r w:rsidRPr="00101D3D">
              <w:rPr>
                <w:rFonts w:ascii="Arial" w:hAnsi="Arial" w:cs="Arial"/>
                <w:sz w:val="20"/>
                <w:szCs w:val="20"/>
              </w:rPr>
              <w:t>DOC</w:t>
            </w:r>
            <w:r w:rsidRPr="00101D3D">
              <w:rPr>
                <w:rFonts w:ascii="Arial" w:hAnsi="Arial" w:cs="Arial"/>
                <w:sz w:val="20"/>
                <w:szCs w:val="20"/>
                <w:vertAlign w:val="subscript"/>
              </w:rPr>
              <w:t>EFDC</w:t>
            </w:r>
            <w:r w:rsidRPr="00101D3D">
              <w:rPr>
                <w:rFonts w:ascii="Arial" w:hAnsi="Arial" w:cs="Arial"/>
                <w:sz w:val="20"/>
                <w:szCs w:val="20"/>
              </w:rPr>
              <w:t>=FD</w:t>
            </w:r>
            <w:r w:rsidRPr="00101D3D">
              <w:rPr>
                <w:rFonts w:ascii="Arial" w:hAnsi="Arial" w:cs="Arial"/>
                <w:sz w:val="20"/>
                <w:szCs w:val="20"/>
                <w:vertAlign w:val="subscript"/>
              </w:rPr>
              <w:t>C</w:t>
            </w:r>
            <w:r w:rsidRPr="00101D3D">
              <w:rPr>
                <w:rFonts w:ascii="Arial" w:hAnsi="Arial" w:cs="Arial"/>
                <w:sz w:val="20"/>
                <w:szCs w:val="20"/>
              </w:rPr>
              <w:t>* ROC</w:t>
            </w:r>
            <w:r w:rsidRPr="00101D3D">
              <w:rPr>
                <w:rFonts w:ascii="Arial" w:hAnsi="Arial" w:cs="Arial"/>
                <w:sz w:val="20"/>
                <w:szCs w:val="20"/>
                <w:vertAlign w:val="subscript"/>
              </w:rPr>
              <w:t xml:space="preserve">HSPF </w:t>
            </w:r>
          </w:p>
          <w:p w:rsidR="00231BCC" w:rsidRPr="00101D3D" w:rsidRDefault="00231BCC" w:rsidP="0086131D">
            <w:pPr>
              <w:tabs>
                <w:tab w:val="left" w:pos="311"/>
              </w:tabs>
              <w:spacing w:after="0"/>
              <w:jc w:val="left"/>
              <w:rPr>
                <w:rFonts w:ascii="Arial" w:hAnsi="Arial" w:cs="Arial"/>
                <w:sz w:val="20"/>
                <w:szCs w:val="20"/>
              </w:rPr>
            </w:pPr>
          </w:p>
          <w:p w:rsidR="00231BCC" w:rsidRPr="00101D3D" w:rsidRDefault="00231BCC" w:rsidP="0086131D">
            <w:pPr>
              <w:spacing w:after="0"/>
              <w:rPr>
                <w:rFonts w:ascii="Arial" w:hAnsi="Arial" w:cs="Arial"/>
                <w:sz w:val="20"/>
                <w:szCs w:val="20"/>
              </w:rPr>
            </w:pPr>
            <w:r w:rsidRPr="00101D3D">
              <w:rPr>
                <w:rFonts w:ascii="Arial" w:hAnsi="Arial" w:cs="Arial"/>
                <w:sz w:val="20"/>
                <w:szCs w:val="20"/>
              </w:rPr>
              <w:t>FP</w:t>
            </w:r>
            <w:r w:rsidRPr="00101D3D">
              <w:rPr>
                <w:rFonts w:ascii="Arial" w:hAnsi="Arial" w:cs="Arial"/>
                <w:sz w:val="20"/>
                <w:szCs w:val="20"/>
                <w:vertAlign w:val="subscript"/>
              </w:rPr>
              <w:t>C</w:t>
            </w:r>
            <w:r w:rsidRPr="00101D3D">
              <w:rPr>
                <w:rFonts w:ascii="Arial" w:hAnsi="Arial" w:cs="Arial"/>
                <w:sz w:val="20"/>
                <w:szCs w:val="20"/>
              </w:rPr>
              <w:t xml:space="preserve"> and FD</w:t>
            </w:r>
            <w:r w:rsidRPr="00101D3D">
              <w:rPr>
                <w:rFonts w:ascii="Arial" w:hAnsi="Arial" w:cs="Arial"/>
                <w:sz w:val="20"/>
                <w:szCs w:val="20"/>
                <w:vertAlign w:val="subscript"/>
              </w:rPr>
              <w:t>C</w:t>
            </w:r>
            <w:r w:rsidRPr="00101D3D">
              <w:rPr>
                <w:rFonts w:ascii="Arial" w:hAnsi="Arial" w:cs="Arial"/>
                <w:sz w:val="20"/>
                <w:szCs w:val="20"/>
              </w:rPr>
              <w:t xml:space="preserve"> are prescribed fractions of particulate and dissolved phases of the ROC</w:t>
            </w:r>
            <w:r w:rsidRPr="00101D3D">
              <w:rPr>
                <w:rFonts w:ascii="Arial" w:hAnsi="Arial" w:cs="Arial"/>
                <w:sz w:val="20"/>
                <w:szCs w:val="20"/>
                <w:vertAlign w:val="subscript"/>
              </w:rPr>
              <w:t xml:space="preserve">HSPF </w:t>
            </w:r>
            <w:r w:rsidRPr="00101D3D">
              <w:rPr>
                <w:rFonts w:ascii="Arial" w:hAnsi="Arial" w:cs="Arial"/>
                <w:sz w:val="20"/>
                <w:szCs w:val="20"/>
              </w:rPr>
              <w:t>for EFDC:</w:t>
            </w:r>
          </w:p>
          <w:p w:rsidR="00231BCC" w:rsidRPr="00101D3D" w:rsidRDefault="00231BCC" w:rsidP="0086131D">
            <w:pPr>
              <w:spacing w:after="0"/>
              <w:rPr>
                <w:rFonts w:ascii="Arial" w:hAnsi="Arial" w:cs="Arial"/>
                <w:sz w:val="20"/>
                <w:szCs w:val="20"/>
              </w:rPr>
            </w:pPr>
          </w:p>
          <w:p w:rsidR="00231BCC" w:rsidRPr="00101D3D" w:rsidRDefault="00231BCC" w:rsidP="0086131D">
            <w:pPr>
              <w:spacing w:after="0"/>
              <w:rPr>
                <w:rFonts w:ascii="Arial" w:hAnsi="Arial" w:cs="Arial"/>
                <w:sz w:val="20"/>
                <w:szCs w:val="20"/>
              </w:rPr>
            </w:pPr>
            <w:r w:rsidRPr="00101D3D">
              <w:rPr>
                <w:rFonts w:ascii="Arial" w:hAnsi="Arial" w:cs="Arial"/>
                <w:sz w:val="20"/>
                <w:szCs w:val="20"/>
              </w:rPr>
              <w:t>FPc=0.35</w:t>
            </w:r>
          </w:p>
          <w:p w:rsidR="00231BCC" w:rsidRPr="00101D3D" w:rsidRDefault="00231BCC" w:rsidP="0086131D">
            <w:pPr>
              <w:spacing w:after="0"/>
              <w:rPr>
                <w:rFonts w:ascii="Arial" w:hAnsi="Arial" w:cs="Arial"/>
                <w:sz w:val="20"/>
                <w:szCs w:val="20"/>
              </w:rPr>
            </w:pPr>
            <w:r w:rsidRPr="00101D3D">
              <w:rPr>
                <w:rFonts w:ascii="Arial" w:hAnsi="Arial" w:cs="Arial"/>
                <w:sz w:val="20"/>
                <w:szCs w:val="20"/>
              </w:rPr>
              <w:t>FDc=0.65</w:t>
            </w:r>
          </w:p>
        </w:tc>
      </w:tr>
      <w:tr w:rsidR="00231BCC" w:rsidRPr="00101D3D" w:rsidTr="0086131D">
        <w:trPr>
          <w:jc w:val="center"/>
        </w:trPr>
        <w:tc>
          <w:tcPr>
            <w:tcW w:w="2335" w:type="dxa"/>
            <w:vAlign w:val="center"/>
          </w:tcPr>
          <w:p w:rsidR="00231BCC" w:rsidRPr="00101D3D" w:rsidRDefault="00231BCC" w:rsidP="0086131D">
            <w:pPr>
              <w:spacing w:after="0"/>
              <w:jc w:val="center"/>
              <w:rPr>
                <w:rFonts w:ascii="Arial" w:hAnsi="Arial" w:cs="Arial"/>
                <w:sz w:val="20"/>
                <w:szCs w:val="20"/>
              </w:rPr>
            </w:pPr>
            <w:r>
              <w:rPr>
                <w:rFonts w:ascii="Arial" w:hAnsi="Arial" w:cs="Arial"/>
                <w:sz w:val="20"/>
                <w:szCs w:val="20"/>
              </w:rPr>
              <w:t xml:space="preserve">Total Suspended </w:t>
            </w:r>
            <w:r w:rsidR="00F97AB6">
              <w:rPr>
                <w:rFonts w:ascii="Arial" w:hAnsi="Arial" w:cs="Arial"/>
                <w:sz w:val="20"/>
                <w:szCs w:val="20"/>
              </w:rPr>
              <w:t>Solid</w:t>
            </w:r>
            <w:r w:rsidR="007F6835">
              <w:rPr>
                <w:rFonts w:ascii="Arial" w:hAnsi="Arial" w:cs="Arial"/>
                <w:sz w:val="20"/>
                <w:szCs w:val="20"/>
              </w:rPr>
              <w:t>s</w:t>
            </w:r>
          </w:p>
          <w:p w:rsidR="00231BCC" w:rsidRPr="00101D3D" w:rsidRDefault="00231BCC" w:rsidP="0086131D">
            <w:pPr>
              <w:spacing w:after="0"/>
              <w:jc w:val="center"/>
              <w:rPr>
                <w:rFonts w:ascii="Arial" w:hAnsi="Arial" w:cs="Arial"/>
                <w:sz w:val="20"/>
                <w:szCs w:val="20"/>
              </w:rPr>
            </w:pPr>
            <w:r w:rsidRPr="00101D3D">
              <w:rPr>
                <w:rFonts w:ascii="Arial" w:hAnsi="Arial" w:cs="Arial"/>
                <w:sz w:val="20"/>
                <w:szCs w:val="20"/>
              </w:rPr>
              <w:t>(</w:t>
            </w:r>
            <w:r>
              <w:rPr>
                <w:rFonts w:ascii="Arial" w:hAnsi="Arial" w:cs="Arial"/>
                <w:b/>
                <w:sz w:val="20"/>
                <w:szCs w:val="20"/>
              </w:rPr>
              <w:t>TSS</w:t>
            </w:r>
            <w:r w:rsidRPr="00101D3D">
              <w:rPr>
                <w:rFonts w:ascii="Arial" w:hAnsi="Arial" w:cs="Arial"/>
                <w:sz w:val="20"/>
                <w:szCs w:val="20"/>
              </w:rPr>
              <w:t>)</w:t>
            </w:r>
          </w:p>
        </w:tc>
        <w:tc>
          <w:tcPr>
            <w:tcW w:w="3060" w:type="dxa"/>
            <w:vAlign w:val="center"/>
          </w:tcPr>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b/>
                <w:sz w:val="20"/>
                <w:szCs w:val="20"/>
              </w:rPr>
            </w:pPr>
            <w:r>
              <w:rPr>
                <w:rFonts w:ascii="Arial" w:hAnsi="Arial" w:cs="Arial"/>
                <w:b/>
                <w:sz w:val="20"/>
                <w:szCs w:val="20"/>
              </w:rPr>
              <w:t>TSS</w:t>
            </w:r>
            <w:r w:rsidRPr="00101D3D">
              <w:rPr>
                <w:rFonts w:ascii="Arial" w:hAnsi="Arial" w:cs="Arial"/>
                <w:b/>
                <w:sz w:val="20"/>
                <w:szCs w:val="20"/>
                <w:vertAlign w:val="subscript"/>
              </w:rPr>
              <w:t>HSPF</w:t>
            </w:r>
          </w:p>
        </w:tc>
        <w:tc>
          <w:tcPr>
            <w:tcW w:w="4675" w:type="dxa"/>
            <w:vAlign w:val="center"/>
          </w:tcPr>
          <w:p w:rsidR="00231BCC" w:rsidRPr="00101D3D" w:rsidRDefault="00231BCC" w:rsidP="00231BCC">
            <w:pPr>
              <w:pStyle w:val="ListParagraph"/>
              <w:numPr>
                <w:ilvl w:val="0"/>
                <w:numId w:val="41"/>
              </w:numPr>
              <w:tabs>
                <w:tab w:val="left" w:pos="311"/>
              </w:tabs>
              <w:spacing w:after="0"/>
              <w:ind w:left="41" w:firstLine="41"/>
              <w:jc w:val="left"/>
              <w:rPr>
                <w:rFonts w:ascii="Arial" w:hAnsi="Arial" w:cs="Arial"/>
                <w:sz w:val="20"/>
                <w:szCs w:val="20"/>
              </w:rPr>
            </w:pPr>
            <w:r>
              <w:rPr>
                <w:rFonts w:ascii="Arial" w:hAnsi="Arial" w:cs="Arial"/>
                <w:sz w:val="20"/>
                <w:szCs w:val="20"/>
              </w:rPr>
              <w:t>TSS</w:t>
            </w:r>
            <w:r w:rsidRPr="00101D3D">
              <w:rPr>
                <w:rFonts w:ascii="Arial" w:hAnsi="Arial" w:cs="Arial"/>
                <w:sz w:val="20"/>
                <w:szCs w:val="20"/>
                <w:vertAlign w:val="subscript"/>
              </w:rPr>
              <w:t xml:space="preserve">EFDC </w:t>
            </w:r>
            <w:r w:rsidRPr="00101D3D">
              <w:rPr>
                <w:rFonts w:ascii="Arial" w:hAnsi="Arial" w:cs="Arial"/>
                <w:sz w:val="20"/>
                <w:szCs w:val="20"/>
              </w:rPr>
              <w:t xml:space="preserve">= </w:t>
            </w:r>
            <w:r>
              <w:rPr>
                <w:rFonts w:ascii="Arial" w:hAnsi="Arial" w:cs="Arial"/>
                <w:sz w:val="20"/>
                <w:szCs w:val="20"/>
              </w:rPr>
              <w:t>TSS</w:t>
            </w:r>
            <w:r w:rsidRPr="00101D3D">
              <w:rPr>
                <w:rFonts w:ascii="Arial" w:hAnsi="Arial" w:cs="Arial"/>
                <w:sz w:val="20"/>
                <w:szCs w:val="20"/>
                <w:vertAlign w:val="subscript"/>
              </w:rPr>
              <w:t>HSPF</w:t>
            </w:r>
          </w:p>
        </w:tc>
      </w:tr>
    </w:tbl>
    <w:p w:rsidR="00EF7601" w:rsidRDefault="00EF7601" w:rsidP="00E62513">
      <w:pPr>
        <w:spacing w:after="0"/>
      </w:pPr>
    </w:p>
    <w:p w:rsidR="00E2646D" w:rsidRDefault="00E2646D">
      <w:pPr>
        <w:spacing w:after="0"/>
        <w:jc w:val="left"/>
      </w:pPr>
      <w:r>
        <w:br w:type="page"/>
      </w:r>
    </w:p>
    <w:p w:rsidR="00231BCC" w:rsidRDefault="00231BCC" w:rsidP="00231BCC">
      <w:r>
        <w:t xml:space="preserve">For phytoplankton, a constant “seeding” value of 0.05 mgC/L (1.25 </w:t>
      </w:r>
      <w:r>
        <w:rPr>
          <w:rFonts w:cs="Times New Roman"/>
        </w:rPr>
        <w:t>µ</w:t>
      </w:r>
      <w:r>
        <w:t xml:space="preserve">gChla/L) for green algae and 0.05 mgC/L (1.25 </w:t>
      </w:r>
      <w:r>
        <w:rPr>
          <w:rFonts w:cs="Times New Roman"/>
        </w:rPr>
        <w:t>µ</w:t>
      </w:r>
      <w:r>
        <w:t xml:space="preserve">gChla/L) for cyanobacteria (a total phytoplankton concentration of 2.5 </w:t>
      </w:r>
      <w:r>
        <w:rPr>
          <w:rFonts w:cs="Times New Roman"/>
        </w:rPr>
        <w:t>µ</w:t>
      </w:r>
      <w:r>
        <w:t>gChla/L for a carbon to chlorophyll-</w:t>
      </w:r>
      <w:r w:rsidRPr="00101D3D">
        <w:rPr>
          <w:i/>
        </w:rPr>
        <w:t>a</w:t>
      </w:r>
      <w:r>
        <w:t xml:space="preserve"> ratio of 0.04 mgC/</w:t>
      </w:r>
      <w:r>
        <w:rPr>
          <w:rFonts w:cs="Times New Roman"/>
        </w:rPr>
        <w:t>µ</w:t>
      </w:r>
      <w:r>
        <w:t>gChla) is currently prescribed in all freshwater boundaries. The outputs from the HSPF model were not directly used for this variable because p</w:t>
      </w:r>
      <w:r w:rsidRPr="00AF6DAB">
        <w:t>hytoplankton</w:t>
      </w:r>
      <w:r w:rsidRPr="00370BB7">
        <w:t xml:space="preserve"> populations from the watershed (freshwater) are usually </w:t>
      </w:r>
      <w:r>
        <w:t xml:space="preserve">different than those encountered in the estuary. The former are generally </w:t>
      </w:r>
      <w:r w:rsidRPr="00370BB7">
        <w:t>subject to salinity toxicity and substantial population decay in the estuarine environment.</w:t>
      </w:r>
      <w:r>
        <w:t xml:space="preserve"> Therefore, </w:t>
      </w:r>
      <w:r w:rsidRPr="00370BB7">
        <w:t xml:space="preserve">freshwater phytoplankton generally </w:t>
      </w:r>
      <w:r>
        <w:t>do not</w:t>
      </w:r>
      <w:r w:rsidRPr="00370BB7">
        <w:t xml:space="preserve"> dictate the evolution of phytoplankton in the </w:t>
      </w:r>
      <w:r>
        <w:t>saline environment. For modeling purposes, this means that</w:t>
      </w:r>
      <w:r w:rsidRPr="00370BB7">
        <w:t xml:space="preserve"> the freshwater boundary conditions can be simplified to reflect only a seeding condition (small </w:t>
      </w:r>
      <w:r>
        <w:t xml:space="preserve">constant </w:t>
      </w:r>
      <w:r w:rsidRPr="00370BB7">
        <w:t xml:space="preserve">phytoplankton </w:t>
      </w:r>
      <w:r>
        <w:t>load</w:t>
      </w:r>
      <w:r w:rsidRPr="00370BB7">
        <w:t xml:space="preserve"> to </w:t>
      </w:r>
      <w:r>
        <w:t>allow</w:t>
      </w:r>
      <w:r w:rsidRPr="00370BB7">
        <w:t xml:space="preserve"> growth in the estuary)</w:t>
      </w:r>
      <w:r>
        <w:t>.</w:t>
      </w:r>
    </w:p>
    <w:p w:rsidR="005D2C38" w:rsidRPr="00053A46" w:rsidRDefault="005D2C38" w:rsidP="005D2C38">
      <w:pPr>
        <w:pStyle w:val="Heading2"/>
        <w:numPr>
          <w:ilvl w:val="2"/>
          <w:numId w:val="42"/>
        </w:numPr>
        <w:spacing w:before="360" w:line="280" w:lineRule="exact"/>
        <w:ind w:left="0" w:firstLine="0"/>
      </w:pPr>
      <w:r>
        <w:rPr>
          <w:rFonts w:cs="Arial"/>
          <w:sz w:val="20"/>
          <w:szCs w:val="20"/>
        </w:rPr>
        <w:br w:type="page"/>
      </w:r>
    </w:p>
    <w:p w:rsidR="00833D83" w:rsidRDefault="00833D83" w:rsidP="00833D83">
      <w:pPr>
        <w:pStyle w:val="Heading1"/>
      </w:pPr>
      <w:r>
        <w:t xml:space="preserve">Light </w:t>
      </w:r>
      <w:r w:rsidR="001C5FF4">
        <w:t>Extinction Coefficient Calibration</w:t>
      </w:r>
    </w:p>
    <w:p w:rsidR="00206692" w:rsidRPr="00093F25" w:rsidRDefault="00206692" w:rsidP="00206692">
      <w:pPr>
        <w:rPr>
          <w:rFonts w:cs="Times New Roman"/>
        </w:rPr>
      </w:pPr>
      <w:r>
        <w:rPr>
          <w:rFonts w:cs="Times New Roman"/>
        </w:rPr>
        <w:t>As part of the calibration</w:t>
      </w:r>
      <w:r w:rsidR="00D734FC">
        <w:rPr>
          <w:rFonts w:cs="Times New Roman"/>
        </w:rPr>
        <w:t xml:space="preserve"> of the light extinction coefficient </w:t>
      </w:r>
      <m:oMath>
        <m:r>
          <w:rPr>
            <w:rFonts w:ascii="Cambria Math" w:hAnsi="Cambria Math"/>
          </w:rPr>
          <m:t>Ke</m:t>
        </m:r>
      </m:oMath>
      <w:r>
        <w:rPr>
          <w:rFonts w:cs="Times New Roman"/>
        </w:rPr>
        <w:t>, the</w:t>
      </w:r>
      <w:r w:rsidR="00D734FC">
        <w:rPr>
          <w:rFonts w:cs="Times New Roman"/>
        </w:rPr>
        <w:t xml:space="preserve"> </w:t>
      </w:r>
      <w:r>
        <w:rPr>
          <w:rFonts w:cs="Times New Roman"/>
        </w:rPr>
        <w:t xml:space="preserve">coefficients </w:t>
      </w:r>
      <m:oMath>
        <m:sSub>
          <m:sSubPr>
            <m:ctrlPr>
              <w:rPr>
                <w:rFonts w:ascii="Cambria Math" w:hAnsi="Cambria Math" w:cs="Times New Roman"/>
                <w:i/>
              </w:rPr>
            </m:ctrlPr>
          </m:sSubPr>
          <m:e>
            <m:r>
              <w:rPr>
                <w:rFonts w:ascii="Cambria Math" w:hAnsi="Cambria Math" w:cs="Times New Roman"/>
              </w:rPr>
              <m:t>ke</m:t>
            </m:r>
          </m:e>
          <m:sub>
            <m:r>
              <w:rPr>
                <w:rFonts w:ascii="Cambria Math" w:hAnsi="Cambria Math" w:cs="Times New Roman"/>
              </w:rPr>
              <m:t>TSS</m:t>
            </m:r>
          </m:sub>
        </m:sSub>
      </m:oMath>
      <w:r w:rsidR="00D734FC" w:rsidRPr="00093F25">
        <w:rPr>
          <w:rFonts w:cs="Times New Roman"/>
        </w:rPr>
        <w:t xml:space="preserve">, </w:t>
      </w:r>
      <m:oMath>
        <m:sSub>
          <m:sSubPr>
            <m:ctrlPr>
              <w:rPr>
                <w:rFonts w:ascii="Cambria Math" w:hAnsi="Cambria Math" w:cs="Times New Roman"/>
                <w:i/>
              </w:rPr>
            </m:ctrlPr>
          </m:sSubPr>
          <m:e>
            <m:r>
              <w:rPr>
                <w:rFonts w:ascii="Cambria Math" w:hAnsi="Cambria Math" w:cs="Times New Roman"/>
              </w:rPr>
              <m:t>ke</m:t>
            </m:r>
          </m:e>
          <m:sub>
            <m:r>
              <w:rPr>
                <w:rFonts w:ascii="Cambria Math" w:hAnsi="Cambria Math" w:cs="Times New Roman"/>
              </w:rPr>
              <m:t>Chla</m:t>
            </m:r>
          </m:sub>
        </m:sSub>
      </m:oMath>
      <w:r w:rsidR="00D734FC" w:rsidRPr="00093F25">
        <w:rPr>
          <w:rFonts w:cs="Times New Roman"/>
        </w:rPr>
        <w:t xml:space="preserve">, </w:t>
      </w:r>
      <m:oMath>
        <m:sSub>
          <m:sSubPr>
            <m:ctrlPr>
              <w:rPr>
                <w:rFonts w:ascii="Cambria Math" w:hAnsi="Cambria Math" w:cs="Times New Roman"/>
                <w:i/>
              </w:rPr>
            </m:ctrlPr>
          </m:sSubPr>
          <m:e>
            <m:r>
              <w:rPr>
                <w:rFonts w:ascii="Cambria Math" w:hAnsi="Cambria Math" w:cs="Times New Roman"/>
              </w:rPr>
              <m:t>ke</m:t>
            </m:r>
          </m:e>
          <m:sub>
            <m:r>
              <w:rPr>
                <w:rFonts w:ascii="Cambria Math" w:hAnsi="Cambria Math" w:cs="Times New Roman"/>
              </w:rPr>
              <m:t>DOC</m:t>
            </m:r>
          </m:sub>
        </m:sSub>
      </m:oMath>
      <w:r w:rsidR="00D734FC">
        <w:rPr>
          <w:rFonts w:cs="Times New Roman"/>
        </w:rPr>
        <w:t>,</w:t>
      </w:r>
      <w:r w:rsidR="00D734FC" w:rsidRPr="00093F25">
        <w:rPr>
          <w:rFonts w:cs="Times New Roman"/>
        </w:rPr>
        <w:t xml:space="preserve"> and  </w:t>
      </w:r>
      <m:oMath>
        <m:sSub>
          <m:sSubPr>
            <m:ctrlPr>
              <w:rPr>
                <w:rFonts w:ascii="Cambria Math" w:hAnsi="Cambria Math" w:cs="Times New Roman"/>
                <w:i/>
              </w:rPr>
            </m:ctrlPr>
          </m:sSubPr>
          <m:e>
            <m:r>
              <w:rPr>
                <w:rFonts w:ascii="Cambria Math" w:hAnsi="Cambria Math" w:cs="Times New Roman"/>
              </w:rPr>
              <m:t>ke</m:t>
            </m:r>
          </m:e>
          <m:sub>
            <m:r>
              <w:rPr>
                <w:rFonts w:ascii="Cambria Math" w:hAnsi="Cambria Math" w:cs="Times New Roman"/>
              </w:rPr>
              <m:t>POC</m:t>
            </m:r>
          </m:sub>
        </m:sSub>
      </m:oMath>
      <w:r w:rsidR="00D734FC">
        <w:rPr>
          <w:rFonts w:cs="Times New Roman"/>
        </w:rPr>
        <w:t xml:space="preserve"> </w:t>
      </w:r>
      <w:r>
        <w:rPr>
          <w:rFonts w:cs="Times New Roman"/>
        </w:rPr>
        <w:t xml:space="preserve">were varied and refined in order to match observations of the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e</m:t>
            </m:r>
          </m:sub>
        </m:sSub>
      </m:oMath>
      <w:r>
        <w:rPr>
          <w:rFonts w:cs="Times New Roman"/>
        </w:rPr>
        <w:t xml:space="preserve"> coefficient. In the Caloosahatchee River EFDC model, the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e</m:t>
            </m:r>
          </m:sub>
        </m:sSub>
      </m:oMath>
      <w:r>
        <w:rPr>
          <w:rFonts w:cs="Times New Roman"/>
        </w:rPr>
        <w:t xml:space="preserve"> is defined as</w:t>
      </w:r>
      <w:r w:rsidR="009F1562">
        <w:rPr>
          <w:rFonts w:cs="Times New Roman"/>
        </w:rPr>
        <w:t>:</w:t>
      </w:r>
    </w:p>
    <w:p w:rsidR="009F1562" w:rsidRDefault="009F1562" w:rsidP="00206692">
      <w:pPr>
        <w:rPr>
          <w:rFonts w:cs="Times New Roman"/>
        </w:rPr>
      </w:pPr>
      <m:oMathPara>
        <m:oMath>
          <m:r>
            <w:rPr>
              <w:rFonts w:ascii="Cambria Math" w:hAnsi="Cambria Math"/>
            </w:rPr>
            <m:t xml:space="preserve">Ke = </m:t>
          </m:r>
          <m:sSub>
            <m:sSubPr>
              <m:ctrlPr>
                <w:rPr>
                  <w:rFonts w:ascii="Cambria Math" w:hAnsi="Cambria Math"/>
                  <w:i/>
                </w:rPr>
              </m:ctrlPr>
            </m:sSubPr>
            <m:e>
              <m:r>
                <w:rPr>
                  <w:rFonts w:ascii="Cambria Math" w:hAnsi="Cambria Math"/>
                </w:rPr>
                <m:t>ke</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ke</m:t>
              </m:r>
            </m:e>
            <m:sub>
              <m:r>
                <w:rPr>
                  <w:rFonts w:ascii="Cambria Math" w:hAnsi="Cambria Math"/>
                </w:rPr>
                <m:t>TSS</m:t>
              </m:r>
            </m:sub>
          </m:sSub>
          <m:d>
            <m:dPr>
              <m:ctrlPr>
                <w:rPr>
                  <w:rFonts w:ascii="Cambria Math" w:hAnsi="Cambria Math"/>
                  <w:i/>
                </w:rPr>
              </m:ctrlPr>
            </m:dPr>
            <m:e>
              <m:r>
                <w:rPr>
                  <w:rFonts w:ascii="Cambria Math" w:hAnsi="Cambria Math"/>
                </w:rPr>
                <m:t>TSS</m:t>
              </m:r>
            </m:e>
          </m:d>
          <m:r>
            <w:rPr>
              <w:rFonts w:ascii="Cambria Math" w:hAnsi="Cambria Math"/>
            </w:rPr>
            <m:t>+</m:t>
          </m:r>
          <m:sSub>
            <m:sSubPr>
              <m:ctrlPr>
                <w:rPr>
                  <w:rFonts w:ascii="Cambria Math" w:hAnsi="Cambria Math"/>
                  <w:i/>
                </w:rPr>
              </m:ctrlPr>
            </m:sSubPr>
            <m:e>
              <m:r>
                <w:rPr>
                  <w:rFonts w:ascii="Cambria Math" w:hAnsi="Cambria Math"/>
                </w:rPr>
                <m:t>ke</m:t>
              </m:r>
            </m:e>
            <m:sub>
              <m:r>
                <w:rPr>
                  <w:rFonts w:ascii="Cambria Math" w:hAnsi="Cambria Math"/>
                </w:rPr>
                <m:t>Chla</m:t>
              </m:r>
            </m:sub>
          </m:sSub>
          <m:d>
            <m:dPr>
              <m:ctrlPr>
                <w:rPr>
                  <w:rFonts w:ascii="Cambria Math" w:hAnsi="Cambria Math"/>
                  <w:i/>
                </w:rPr>
              </m:ctrlPr>
            </m:dPr>
            <m:e>
              <m:r>
                <w:rPr>
                  <w:rFonts w:ascii="Cambria Math" w:hAnsi="Cambria Math"/>
                </w:rPr>
                <m:t>Chla</m:t>
              </m:r>
            </m:e>
          </m:d>
          <m:r>
            <w:rPr>
              <w:rFonts w:ascii="Cambria Math" w:hAnsi="Cambria Math"/>
            </w:rPr>
            <m:t xml:space="preserve">+ </m:t>
          </m:r>
          <m:sSub>
            <m:sSubPr>
              <m:ctrlPr>
                <w:rPr>
                  <w:rFonts w:ascii="Cambria Math" w:hAnsi="Cambria Math"/>
                  <w:i/>
                </w:rPr>
              </m:ctrlPr>
            </m:sSubPr>
            <m:e>
              <m:r>
                <w:rPr>
                  <w:rFonts w:ascii="Cambria Math" w:hAnsi="Cambria Math"/>
                </w:rPr>
                <m:t>ke</m:t>
              </m:r>
            </m:e>
            <m:sub>
              <m:r>
                <w:rPr>
                  <w:rFonts w:ascii="Cambria Math" w:hAnsi="Cambria Math"/>
                </w:rPr>
                <m:t>POC</m:t>
              </m:r>
            </m:sub>
          </m:sSub>
          <m:r>
            <w:rPr>
              <w:rFonts w:ascii="Cambria Math" w:hAnsi="Cambria Math"/>
            </w:rPr>
            <m:t xml:space="preserve">(RPOC </m:t>
          </m:r>
          <m:r>
            <w:rPr>
              <w:rFonts w:ascii="Cambria Math" w:hAnsi="Cambria Math" w:cs="Times New Roman"/>
            </w:rPr>
            <m:t>+LPOC</m:t>
          </m:r>
          <m:r>
            <w:rPr>
              <w:rFonts w:ascii="Cambria Math" w:hAnsi="Cambria Math"/>
            </w:rPr>
            <m:t xml:space="preserve">) </m:t>
          </m:r>
          <m:r>
            <w:rPr>
              <w:rFonts w:ascii="Cambria Math" w:hAnsi="Cambria Math" w:hint="eastAsia"/>
            </w:rPr>
            <m:t xml:space="preserve"> + </m:t>
          </m:r>
          <m:sSub>
            <m:sSubPr>
              <m:ctrlPr>
                <w:rPr>
                  <w:rFonts w:ascii="Cambria Math" w:hAnsi="Cambria Math"/>
                  <w:i/>
                </w:rPr>
              </m:ctrlPr>
            </m:sSubPr>
            <m:e>
              <m:r>
                <w:rPr>
                  <w:rFonts w:ascii="Cambria Math" w:hAnsi="Cambria Math"/>
                </w:rPr>
                <m:t>ke</m:t>
              </m:r>
            </m:e>
            <m:sub>
              <m:r>
                <w:rPr>
                  <w:rFonts w:ascii="Cambria Math" w:hAnsi="Cambria Math"/>
                </w:rPr>
                <m:t>DOC</m:t>
              </m:r>
            </m:sub>
          </m:sSub>
          <m:r>
            <w:rPr>
              <w:rFonts w:ascii="Cambria Math" w:hAnsi="Cambria Math"/>
            </w:rPr>
            <m:t>(DOC)</m:t>
          </m:r>
        </m:oMath>
      </m:oMathPara>
    </w:p>
    <w:p w:rsidR="00206692" w:rsidRDefault="00D734FC" w:rsidP="00206692">
      <w:r>
        <w:rPr>
          <w:rFonts w:cs="Times New Roman"/>
        </w:rPr>
        <w:t>Available</w:t>
      </w:r>
      <w:r w:rsidR="00206692">
        <w:t xml:space="preserve"> measurements </w:t>
      </w:r>
      <w:r>
        <w:t xml:space="preserve">of </w:t>
      </w:r>
      <m:oMath>
        <m:r>
          <w:rPr>
            <w:rFonts w:ascii="Cambria Math" w:hAnsi="Cambria Math"/>
          </w:rPr>
          <m:t>Ke</m:t>
        </m:r>
      </m:oMath>
      <w:r>
        <w:t xml:space="preserve"> </w:t>
      </w:r>
      <w:r w:rsidR="00206692">
        <w:t xml:space="preserve">collected during 2000 through 2002 indicate that the levels of light extinction in the system can vary between 0.1 (1/m) and 1.5 (1/m) with an average of 0.5 (1/m). To reproduce these values, a background light extinction coefficient of 0.05 (1/m) was prescribed in the model, and the coefficients related to algae concentration and organic matter concentration were adjusted during calibration. </w:t>
      </w:r>
    </w:p>
    <w:p w:rsidR="00206692" w:rsidRDefault="00206692" w:rsidP="00206692">
      <w:pPr>
        <w:rPr>
          <w:rFonts w:cs="Times New Roman"/>
        </w:rPr>
      </w:pPr>
      <w:r w:rsidRPr="00093F25">
        <w:rPr>
          <w:rFonts w:cs="Times New Roman"/>
        </w:rPr>
        <w:t xml:space="preserve">A list of the values currently included in the EFDC model is presented in </w:t>
      </w:r>
      <w:r w:rsidRPr="00E62513">
        <w:rPr>
          <w:rFonts w:cs="Times New Roman"/>
          <w:b/>
        </w:rPr>
        <w:fldChar w:fldCharType="begin"/>
      </w:r>
      <w:r w:rsidRPr="00E62513">
        <w:rPr>
          <w:rFonts w:cs="Times New Roman"/>
          <w:b/>
        </w:rPr>
        <w:instrText xml:space="preserve"> REF _Ref466381494 \h  \* MERGEFORMAT </w:instrText>
      </w:r>
      <w:r w:rsidRPr="00E62513">
        <w:rPr>
          <w:rFonts w:cs="Times New Roman"/>
          <w:b/>
        </w:rPr>
      </w:r>
      <w:r w:rsidRPr="00E62513">
        <w:rPr>
          <w:rFonts w:cs="Times New Roman"/>
          <w:b/>
        </w:rPr>
        <w:fldChar w:fldCharType="separate"/>
      </w:r>
      <w:r w:rsidR="00E2646D" w:rsidRPr="00E2646D">
        <w:rPr>
          <w:rFonts w:cs="Times New Roman"/>
          <w:b/>
        </w:rPr>
        <w:t xml:space="preserve">Table </w:t>
      </w:r>
      <w:r w:rsidR="00E2646D" w:rsidRPr="00E2646D">
        <w:rPr>
          <w:rFonts w:cs="Times New Roman"/>
          <w:b/>
          <w:noProof/>
        </w:rPr>
        <w:t>4</w:t>
      </w:r>
      <w:r w:rsidRPr="00E62513">
        <w:rPr>
          <w:rFonts w:cs="Times New Roman"/>
          <w:b/>
        </w:rPr>
        <w:fldChar w:fldCharType="end"/>
      </w:r>
      <w:r w:rsidRPr="00093F25">
        <w:rPr>
          <w:rFonts w:cs="Times New Roman"/>
        </w:rPr>
        <w:t xml:space="preserve">. These values were defined based upon the values included in the 2009 </w:t>
      </w:r>
      <w:r w:rsidR="00E2646D">
        <w:rPr>
          <w:rFonts w:cs="Times New Roman"/>
        </w:rPr>
        <w:t xml:space="preserve">EFDC </w:t>
      </w:r>
      <w:r>
        <w:rPr>
          <w:rFonts w:cs="Times New Roman"/>
        </w:rPr>
        <w:t>M</w:t>
      </w:r>
      <w:r w:rsidRPr="00093F25">
        <w:rPr>
          <w:rFonts w:cs="Times New Roman"/>
        </w:rPr>
        <w:t>odel (Bailey et al. 2009), and refined and calibrated based on comparisons between predicted and observed extinction coefficients available during the period 2000-2002 at different locations of the estuary (</w:t>
      </w:r>
      <w:r w:rsidRPr="00E62513">
        <w:rPr>
          <w:rFonts w:cs="Times New Roman"/>
          <w:b/>
        </w:rPr>
        <w:fldChar w:fldCharType="begin"/>
      </w:r>
      <w:r w:rsidRPr="00E62513">
        <w:rPr>
          <w:rFonts w:cs="Times New Roman"/>
          <w:b/>
        </w:rPr>
        <w:instrText xml:space="preserve"> REF _Ref452551185 \h  \* MERGEFORMAT </w:instrText>
      </w:r>
      <w:r w:rsidRPr="00E62513">
        <w:rPr>
          <w:rFonts w:cs="Times New Roman"/>
          <w:b/>
        </w:rPr>
      </w:r>
      <w:r w:rsidRPr="00E62513">
        <w:rPr>
          <w:rFonts w:cs="Times New Roman"/>
          <w:b/>
        </w:rPr>
        <w:fldChar w:fldCharType="separate"/>
      </w:r>
      <w:r w:rsidR="00E2646D" w:rsidRPr="00E2646D">
        <w:rPr>
          <w:rFonts w:cs="Times New Roman"/>
          <w:b/>
        </w:rPr>
        <w:t xml:space="preserve">Figure </w:t>
      </w:r>
      <w:r w:rsidR="00E2646D" w:rsidRPr="00E2646D">
        <w:rPr>
          <w:rFonts w:cs="Times New Roman"/>
          <w:b/>
          <w:noProof/>
        </w:rPr>
        <w:t>9</w:t>
      </w:r>
      <w:r w:rsidRPr="00E62513">
        <w:rPr>
          <w:rFonts w:cs="Times New Roman"/>
          <w:b/>
        </w:rPr>
        <w:fldChar w:fldCharType="end"/>
      </w:r>
      <w:r w:rsidRPr="00093F25">
        <w:rPr>
          <w:rFonts w:cs="Times New Roman"/>
        </w:rPr>
        <w:t xml:space="preserve">). </w:t>
      </w:r>
    </w:p>
    <w:p w:rsidR="00206692" w:rsidRPr="00AA39A7" w:rsidRDefault="00206692" w:rsidP="00206692">
      <w:pPr>
        <w:pStyle w:val="Caption"/>
        <w:keepNext/>
        <w:rPr>
          <w:rFonts w:cs="Arial"/>
          <w:sz w:val="20"/>
          <w:szCs w:val="20"/>
        </w:rPr>
      </w:pPr>
      <w:bookmarkStart w:id="8" w:name="_Ref466381494"/>
      <w:r w:rsidRPr="00AA39A7">
        <w:t xml:space="preserve">Table </w:t>
      </w:r>
      <w:r w:rsidR="00F5600E">
        <w:fldChar w:fldCharType="begin"/>
      </w:r>
      <w:r w:rsidR="00F5600E">
        <w:instrText xml:space="preserve"> SEQ Table \* ARABIC </w:instrText>
      </w:r>
      <w:r w:rsidR="00F5600E">
        <w:fldChar w:fldCharType="separate"/>
      </w:r>
      <w:r w:rsidR="00E2646D">
        <w:rPr>
          <w:noProof/>
        </w:rPr>
        <w:t>4</w:t>
      </w:r>
      <w:r w:rsidR="00F5600E">
        <w:rPr>
          <w:noProof/>
        </w:rPr>
        <w:fldChar w:fldCharType="end"/>
      </w:r>
      <w:bookmarkEnd w:id="8"/>
      <w:r>
        <w:t xml:space="preserve">: Calibrated parameters of the light extinction model </w:t>
      </w:r>
      <m:oMath>
        <m:sSub>
          <m:sSubPr>
            <m:ctrlPr>
              <w:rPr>
                <w:rFonts w:ascii="Cambria Math" w:hAnsi="Cambria Math" w:cs="Arial"/>
                <w:i/>
                <w:sz w:val="20"/>
                <w:szCs w:val="20"/>
              </w:rPr>
            </m:ctrlPr>
          </m:sSubPr>
          <m:e>
            <m:r>
              <m:rPr>
                <m:sty m:val="bi"/>
              </m:rPr>
              <w:rPr>
                <w:rFonts w:ascii="Cambria Math" w:hAnsi="Cambria Math" w:cs="Arial"/>
                <w:sz w:val="20"/>
                <w:szCs w:val="20"/>
              </w:rPr>
              <m:t>K</m:t>
            </m:r>
          </m:e>
          <m:sub>
            <m:r>
              <m:rPr>
                <m:sty m:val="bi"/>
              </m:rPr>
              <w:rPr>
                <w:rFonts w:ascii="Cambria Math" w:hAnsi="Cambria Math" w:cs="Arial"/>
                <w:sz w:val="20"/>
                <w:szCs w:val="20"/>
              </w:rPr>
              <m:t>e</m:t>
            </m:r>
          </m:sub>
        </m:sSub>
      </m:oMath>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62"/>
        <w:gridCol w:w="1525"/>
        <w:gridCol w:w="1525"/>
      </w:tblGrid>
      <w:tr w:rsidR="00206692" w:rsidTr="00582EC2">
        <w:trPr>
          <w:jc w:val="center"/>
        </w:trPr>
        <w:tc>
          <w:tcPr>
            <w:tcW w:w="1462" w:type="dxa"/>
            <w:shd w:val="clear" w:color="auto" w:fill="BFBFBF" w:themeFill="background1" w:themeFillShade="BF"/>
            <w:tcMar>
              <w:top w:w="0" w:type="dxa"/>
              <w:left w:w="108" w:type="dxa"/>
              <w:bottom w:w="0" w:type="dxa"/>
              <w:right w:w="108" w:type="dxa"/>
            </w:tcMar>
            <w:vAlign w:val="center"/>
          </w:tcPr>
          <w:p w:rsidR="00206692" w:rsidRPr="00AA39A7" w:rsidRDefault="00206692" w:rsidP="00582EC2">
            <w:pPr>
              <w:keepNext/>
              <w:spacing w:after="0"/>
              <w:jc w:val="center"/>
              <w:rPr>
                <w:rFonts w:ascii="Arial" w:hAnsi="Arial" w:cs="Arial"/>
                <w:b/>
                <w:sz w:val="20"/>
                <w:szCs w:val="20"/>
              </w:rPr>
            </w:pPr>
            <w:r>
              <w:rPr>
                <w:rFonts w:ascii="Arial" w:hAnsi="Arial" w:cs="Arial"/>
                <w:b/>
                <w:sz w:val="20"/>
                <w:szCs w:val="20"/>
              </w:rPr>
              <w:t>Parameter</w:t>
            </w:r>
          </w:p>
        </w:tc>
        <w:tc>
          <w:tcPr>
            <w:tcW w:w="1525" w:type="dxa"/>
            <w:shd w:val="clear" w:color="auto" w:fill="BFBFBF" w:themeFill="background1" w:themeFillShade="BF"/>
            <w:tcMar>
              <w:top w:w="0" w:type="dxa"/>
              <w:left w:w="108" w:type="dxa"/>
              <w:bottom w:w="0" w:type="dxa"/>
              <w:right w:w="108" w:type="dxa"/>
            </w:tcMar>
            <w:vAlign w:val="center"/>
          </w:tcPr>
          <w:p w:rsidR="00206692" w:rsidRPr="00AA39A7" w:rsidRDefault="00206692" w:rsidP="00582EC2">
            <w:pPr>
              <w:keepNext/>
              <w:spacing w:after="0"/>
              <w:jc w:val="center"/>
              <w:rPr>
                <w:rFonts w:ascii="Arial" w:hAnsi="Arial" w:cs="Arial"/>
                <w:b/>
                <w:sz w:val="20"/>
                <w:szCs w:val="20"/>
              </w:rPr>
            </w:pPr>
            <w:r>
              <w:rPr>
                <w:rFonts w:ascii="Arial" w:hAnsi="Arial" w:cs="Arial"/>
                <w:b/>
                <w:sz w:val="20"/>
                <w:szCs w:val="20"/>
              </w:rPr>
              <w:t>2017 Model Value</w:t>
            </w:r>
          </w:p>
        </w:tc>
        <w:tc>
          <w:tcPr>
            <w:tcW w:w="1525" w:type="dxa"/>
            <w:shd w:val="clear" w:color="auto" w:fill="BFBFBF" w:themeFill="background1" w:themeFillShade="BF"/>
            <w:vAlign w:val="center"/>
          </w:tcPr>
          <w:p w:rsidR="00206692" w:rsidRPr="00AA39A7" w:rsidRDefault="00206692" w:rsidP="00582EC2">
            <w:pPr>
              <w:keepNext/>
              <w:spacing w:after="0"/>
              <w:jc w:val="center"/>
              <w:rPr>
                <w:rFonts w:ascii="Arial" w:hAnsi="Arial" w:cs="Arial"/>
                <w:b/>
                <w:sz w:val="20"/>
                <w:szCs w:val="20"/>
              </w:rPr>
            </w:pPr>
            <w:r>
              <w:rPr>
                <w:rFonts w:ascii="Arial" w:hAnsi="Arial" w:cs="Arial"/>
                <w:b/>
                <w:sz w:val="20"/>
                <w:szCs w:val="20"/>
              </w:rPr>
              <w:t>2009 Model Value</w:t>
            </w:r>
          </w:p>
        </w:tc>
      </w:tr>
      <w:tr w:rsidR="00206692" w:rsidTr="00E2646D">
        <w:trPr>
          <w:jc w:val="center"/>
        </w:trPr>
        <w:tc>
          <w:tcPr>
            <w:tcW w:w="1462" w:type="dxa"/>
            <w:tcMar>
              <w:top w:w="0" w:type="dxa"/>
              <w:left w:w="108" w:type="dxa"/>
              <w:bottom w:w="0" w:type="dxa"/>
              <w:right w:w="108" w:type="dxa"/>
            </w:tcMar>
          </w:tcPr>
          <w:p w:rsidR="00206692" w:rsidRDefault="00F5600E" w:rsidP="00582EC2">
            <w:pPr>
              <w:spacing w:after="0"/>
              <w:jc w:val="center"/>
              <w:rPr>
                <w:b/>
                <w:bCs/>
              </w:rPr>
            </w:pPr>
            <m:oMathPara>
              <m:oMath>
                <m:sSub>
                  <m:sSubPr>
                    <m:ctrlPr>
                      <w:rPr>
                        <w:rFonts w:ascii="Cambria Math" w:hAnsi="Cambria Math"/>
                        <w:i/>
                      </w:rPr>
                    </m:ctrlPr>
                  </m:sSubPr>
                  <m:e>
                    <m:r>
                      <w:rPr>
                        <w:rFonts w:ascii="Cambria Math" w:hAnsi="Cambria Math"/>
                      </w:rPr>
                      <m:t>k</m:t>
                    </m:r>
                  </m:e>
                  <m:sub>
                    <m:r>
                      <w:rPr>
                        <w:rFonts w:ascii="Cambria Math" w:hAnsi="Cambria Math"/>
                      </w:rPr>
                      <m:t>background</m:t>
                    </m:r>
                  </m:sub>
                </m:sSub>
              </m:oMath>
            </m:oMathPara>
          </w:p>
        </w:tc>
        <w:tc>
          <w:tcPr>
            <w:tcW w:w="1525" w:type="dxa"/>
            <w:tcMar>
              <w:top w:w="0" w:type="dxa"/>
              <w:left w:w="108" w:type="dxa"/>
              <w:bottom w:w="0" w:type="dxa"/>
              <w:right w:w="108" w:type="dxa"/>
            </w:tcMar>
            <w:vAlign w:val="center"/>
          </w:tcPr>
          <w:p w:rsidR="00206692" w:rsidRPr="007F6835" w:rsidRDefault="00206692" w:rsidP="00E2646D">
            <w:pPr>
              <w:spacing w:after="0"/>
              <w:jc w:val="center"/>
              <w:rPr>
                <w:rFonts w:ascii="Arial" w:hAnsi="Arial" w:cs="Arial"/>
                <w:bCs/>
                <w:sz w:val="20"/>
              </w:rPr>
            </w:pPr>
            <w:r w:rsidRPr="007F6835">
              <w:rPr>
                <w:rFonts w:ascii="Arial" w:hAnsi="Arial" w:cs="Arial"/>
                <w:bCs/>
                <w:sz w:val="20"/>
              </w:rPr>
              <w:t>0.050</w:t>
            </w:r>
          </w:p>
        </w:tc>
        <w:tc>
          <w:tcPr>
            <w:tcW w:w="1525" w:type="dxa"/>
            <w:vAlign w:val="center"/>
          </w:tcPr>
          <w:p w:rsidR="00206692" w:rsidRPr="007F6835" w:rsidRDefault="00206692" w:rsidP="00E2646D">
            <w:pPr>
              <w:spacing w:after="0"/>
              <w:jc w:val="center"/>
              <w:rPr>
                <w:rFonts w:ascii="Arial" w:hAnsi="Arial" w:cs="Arial"/>
                <w:bCs/>
                <w:sz w:val="20"/>
              </w:rPr>
            </w:pPr>
            <w:r w:rsidRPr="007F6835">
              <w:rPr>
                <w:rFonts w:ascii="Arial" w:hAnsi="Arial" w:cs="Arial"/>
                <w:bCs/>
                <w:sz w:val="20"/>
              </w:rPr>
              <w:t>N/A</w:t>
            </w:r>
          </w:p>
        </w:tc>
      </w:tr>
      <w:tr w:rsidR="00206692" w:rsidTr="00E2646D">
        <w:trPr>
          <w:jc w:val="center"/>
        </w:trPr>
        <w:tc>
          <w:tcPr>
            <w:tcW w:w="1462" w:type="dxa"/>
            <w:tcMar>
              <w:top w:w="0" w:type="dxa"/>
              <w:left w:w="108" w:type="dxa"/>
              <w:bottom w:w="0" w:type="dxa"/>
              <w:right w:w="108" w:type="dxa"/>
            </w:tcMar>
          </w:tcPr>
          <w:p w:rsidR="00206692" w:rsidRDefault="00F5600E" w:rsidP="00582EC2">
            <w:pPr>
              <w:spacing w:after="0"/>
            </w:pPr>
            <m:oMathPara>
              <m:oMath>
                <m:sSub>
                  <m:sSubPr>
                    <m:ctrlPr>
                      <w:rPr>
                        <w:rFonts w:ascii="Cambria Math" w:hAnsi="Cambria Math"/>
                        <w:i/>
                      </w:rPr>
                    </m:ctrlPr>
                  </m:sSubPr>
                  <m:e>
                    <m:r>
                      <w:rPr>
                        <w:rFonts w:ascii="Cambria Math" w:hAnsi="Cambria Math"/>
                      </w:rPr>
                      <m:t>ke</m:t>
                    </m:r>
                  </m:e>
                  <m:sub>
                    <m:r>
                      <w:rPr>
                        <w:rFonts w:ascii="Cambria Math" w:hAnsi="Cambria Math"/>
                      </w:rPr>
                      <m:t>TSS</m:t>
                    </m:r>
                  </m:sub>
                </m:sSub>
              </m:oMath>
            </m:oMathPara>
          </w:p>
        </w:tc>
        <w:tc>
          <w:tcPr>
            <w:tcW w:w="1525" w:type="dxa"/>
            <w:tcMar>
              <w:top w:w="0" w:type="dxa"/>
              <w:left w:w="108" w:type="dxa"/>
              <w:bottom w:w="0" w:type="dxa"/>
              <w:right w:w="108" w:type="dxa"/>
            </w:tcMar>
            <w:vAlign w:val="center"/>
          </w:tcPr>
          <w:p w:rsidR="00206692" w:rsidRPr="007F6835" w:rsidRDefault="00206692" w:rsidP="00E2646D">
            <w:pPr>
              <w:spacing w:after="0"/>
              <w:jc w:val="center"/>
              <w:rPr>
                <w:rFonts w:ascii="Arial" w:hAnsi="Arial" w:cs="Arial"/>
                <w:sz w:val="20"/>
              </w:rPr>
            </w:pPr>
            <w:r w:rsidRPr="007F6835">
              <w:rPr>
                <w:rFonts w:ascii="Arial" w:hAnsi="Arial" w:cs="Arial"/>
                <w:sz w:val="20"/>
              </w:rPr>
              <w:t>0.052</w:t>
            </w:r>
          </w:p>
        </w:tc>
        <w:tc>
          <w:tcPr>
            <w:tcW w:w="1525" w:type="dxa"/>
            <w:vAlign w:val="center"/>
          </w:tcPr>
          <w:p w:rsidR="00206692" w:rsidRPr="007F6835" w:rsidRDefault="00206692" w:rsidP="00E2646D">
            <w:pPr>
              <w:spacing w:after="0"/>
              <w:jc w:val="center"/>
              <w:rPr>
                <w:rFonts w:ascii="Arial" w:hAnsi="Arial" w:cs="Arial"/>
                <w:sz w:val="20"/>
              </w:rPr>
            </w:pPr>
            <w:r w:rsidRPr="007F6835">
              <w:rPr>
                <w:rFonts w:ascii="Arial" w:hAnsi="Arial" w:cs="Arial"/>
                <w:sz w:val="20"/>
              </w:rPr>
              <w:t>0.052</w:t>
            </w:r>
          </w:p>
        </w:tc>
      </w:tr>
      <w:tr w:rsidR="00206692" w:rsidTr="00E2646D">
        <w:trPr>
          <w:jc w:val="center"/>
        </w:trPr>
        <w:tc>
          <w:tcPr>
            <w:tcW w:w="1462" w:type="dxa"/>
            <w:tcMar>
              <w:top w:w="0" w:type="dxa"/>
              <w:left w:w="108" w:type="dxa"/>
              <w:bottom w:w="0" w:type="dxa"/>
              <w:right w:w="108" w:type="dxa"/>
            </w:tcMar>
          </w:tcPr>
          <w:p w:rsidR="00206692" w:rsidRDefault="00F5600E" w:rsidP="00582EC2">
            <w:pPr>
              <w:spacing w:after="0"/>
            </w:pPr>
            <m:oMathPara>
              <m:oMath>
                <m:sSub>
                  <m:sSubPr>
                    <m:ctrlPr>
                      <w:rPr>
                        <w:rFonts w:ascii="Cambria Math" w:hAnsi="Cambria Math"/>
                        <w:i/>
                      </w:rPr>
                    </m:ctrlPr>
                  </m:sSubPr>
                  <m:e>
                    <m:r>
                      <w:rPr>
                        <w:rFonts w:ascii="Cambria Math" w:hAnsi="Cambria Math"/>
                      </w:rPr>
                      <m:t>ke</m:t>
                    </m:r>
                  </m:e>
                  <m:sub>
                    <m:r>
                      <w:rPr>
                        <w:rFonts w:ascii="Cambria Math" w:hAnsi="Cambria Math"/>
                      </w:rPr>
                      <m:t>Chla</m:t>
                    </m:r>
                  </m:sub>
                </m:sSub>
              </m:oMath>
            </m:oMathPara>
          </w:p>
        </w:tc>
        <w:tc>
          <w:tcPr>
            <w:tcW w:w="1525" w:type="dxa"/>
            <w:tcMar>
              <w:top w:w="0" w:type="dxa"/>
              <w:left w:w="108" w:type="dxa"/>
              <w:bottom w:w="0" w:type="dxa"/>
              <w:right w:w="108" w:type="dxa"/>
            </w:tcMar>
            <w:vAlign w:val="center"/>
          </w:tcPr>
          <w:p w:rsidR="00206692" w:rsidRPr="007F6835" w:rsidRDefault="00206692" w:rsidP="00E2646D">
            <w:pPr>
              <w:spacing w:after="0"/>
              <w:jc w:val="center"/>
              <w:rPr>
                <w:rFonts w:ascii="Arial" w:hAnsi="Arial" w:cs="Arial"/>
                <w:sz w:val="20"/>
              </w:rPr>
            </w:pPr>
            <w:r w:rsidRPr="007F6835">
              <w:rPr>
                <w:rFonts w:ascii="Arial" w:hAnsi="Arial" w:cs="Arial"/>
                <w:sz w:val="20"/>
              </w:rPr>
              <w:t>0.040</w:t>
            </w:r>
          </w:p>
        </w:tc>
        <w:tc>
          <w:tcPr>
            <w:tcW w:w="1525" w:type="dxa"/>
            <w:vAlign w:val="center"/>
          </w:tcPr>
          <w:p w:rsidR="00206692" w:rsidRPr="007F6835" w:rsidRDefault="00206692" w:rsidP="00E2646D">
            <w:pPr>
              <w:spacing w:after="0"/>
              <w:jc w:val="center"/>
              <w:rPr>
                <w:rFonts w:ascii="Arial" w:hAnsi="Arial" w:cs="Arial"/>
                <w:sz w:val="20"/>
              </w:rPr>
            </w:pPr>
            <w:r w:rsidRPr="007F6835">
              <w:rPr>
                <w:rFonts w:ascii="Arial" w:hAnsi="Arial" w:cs="Arial"/>
                <w:sz w:val="20"/>
              </w:rPr>
              <w:t>0.031</w:t>
            </w:r>
          </w:p>
        </w:tc>
      </w:tr>
      <w:tr w:rsidR="00206692" w:rsidTr="00E2646D">
        <w:trPr>
          <w:jc w:val="center"/>
        </w:trPr>
        <w:tc>
          <w:tcPr>
            <w:tcW w:w="1462" w:type="dxa"/>
            <w:tcMar>
              <w:top w:w="0" w:type="dxa"/>
              <w:left w:w="108" w:type="dxa"/>
              <w:bottom w:w="0" w:type="dxa"/>
              <w:right w:w="108" w:type="dxa"/>
            </w:tcMar>
          </w:tcPr>
          <w:p w:rsidR="00206692" w:rsidRDefault="00F5600E" w:rsidP="00582EC2">
            <w:pPr>
              <w:spacing w:after="0"/>
            </w:pPr>
            <m:oMathPara>
              <m:oMath>
                <m:sSub>
                  <m:sSubPr>
                    <m:ctrlPr>
                      <w:rPr>
                        <w:rFonts w:ascii="Cambria Math" w:hAnsi="Cambria Math"/>
                        <w:i/>
                      </w:rPr>
                    </m:ctrlPr>
                  </m:sSubPr>
                  <m:e>
                    <m:r>
                      <w:rPr>
                        <w:rFonts w:ascii="Cambria Math" w:hAnsi="Cambria Math"/>
                      </w:rPr>
                      <m:t>ke</m:t>
                    </m:r>
                  </m:e>
                  <m:sub>
                    <m:r>
                      <w:rPr>
                        <w:rFonts w:ascii="Cambria Math" w:hAnsi="Cambria Math"/>
                      </w:rPr>
                      <m:t>DOC</m:t>
                    </m:r>
                  </m:sub>
                </m:sSub>
              </m:oMath>
            </m:oMathPara>
          </w:p>
        </w:tc>
        <w:tc>
          <w:tcPr>
            <w:tcW w:w="1525" w:type="dxa"/>
            <w:tcMar>
              <w:top w:w="0" w:type="dxa"/>
              <w:left w:w="108" w:type="dxa"/>
              <w:bottom w:w="0" w:type="dxa"/>
              <w:right w:w="108" w:type="dxa"/>
            </w:tcMar>
            <w:vAlign w:val="center"/>
          </w:tcPr>
          <w:p w:rsidR="00206692" w:rsidRPr="007F6835" w:rsidRDefault="00206692" w:rsidP="00E2646D">
            <w:pPr>
              <w:spacing w:after="0"/>
              <w:jc w:val="center"/>
              <w:rPr>
                <w:rFonts w:ascii="Arial" w:hAnsi="Arial" w:cs="Arial"/>
                <w:sz w:val="20"/>
              </w:rPr>
            </w:pPr>
            <w:r w:rsidRPr="007F6835">
              <w:rPr>
                <w:rFonts w:ascii="Arial" w:hAnsi="Arial" w:cs="Arial"/>
                <w:sz w:val="20"/>
              </w:rPr>
              <w:t>0.060</w:t>
            </w:r>
          </w:p>
        </w:tc>
        <w:tc>
          <w:tcPr>
            <w:tcW w:w="1525" w:type="dxa"/>
            <w:vAlign w:val="center"/>
          </w:tcPr>
          <w:p w:rsidR="00206692" w:rsidRPr="007F6835" w:rsidRDefault="00206692" w:rsidP="00E2646D">
            <w:pPr>
              <w:spacing w:after="0"/>
              <w:jc w:val="center"/>
              <w:rPr>
                <w:rFonts w:ascii="Arial" w:hAnsi="Arial" w:cs="Arial"/>
                <w:sz w:val="20"/>
              </w:rPr>
            </w:pPr>
            <w:r w:rsidRPr="007F6835">
              <w:rPr>
                <w:rFonts w:ascii="Arial" w:hAnsi="Arial" w:cs="Arial"/>
                <w:sz w:val="20"/>
              </w:rPr>
              <w:t>0.014</w:t>
            </w:r>
          </w:p>
        </w:tc>
      </w:tr>
      <w:tr w:rsidR="00206692" w:rsidTr="00E2646D">
        <w:trPr>
          <w:jc w:val="center"/>
        </w:trPr>
        <w:tc>
          <w:tcPr>
            <w:tcW w:w="1462" w:type="dxa"/>
            <w:tcMar>
              <w:top w:w="0" w:type="dxa"/>
              <w:left w:w="108" w:type="dxa"/>
              <w:bottom w:w="0" w:type="dxa"/>
              <w:right w:w="108" w:type="dxa"/>
            </w:tcMar>
            <w:hideMark/>
          </w:tcPr>
          <w:p w:rsidR="00206692" w:rsidRDefault="00F5600E" w:rsidP="00582EC2">
            <w:pPr>
              <w:spacing w:after="0"/>
            </w:pPr>
            <m:oMathPara>
              <m:oMath>
                <m:sSub>
                  <m:sSubPr>
                    <m:ctrlPr>
                      <w:rPr>
                        <w:rFonts w:ascii="Cambria Math" w:hAnsi="Cambria Math"/>
                        <w:i/>
                      </w:rPr>
                    </m:ctrlPr>
                  </m:sSubPr>
                  <m:e>
                    <m:r>
                      <w:rPr>
                        <w:rFonts w:ascii="Cambria Math" w:hAnsi="Cambria Math"/>
                      </w:rPr>
                      <m:t>ke</m:t>
                    </m:r>
                  </m:e>
                  <m:sub>
                    <m:r>
                      <w:rPr>
                        <w:rFonts w:ascii="Cambria Math" w:hAnsi="Cambria Math"/>
                      </w:rPr>
                      <m:t>POC</m:t>
                    </m:r>
                  </m:sub>
                </m:sSub>
              </m:oMath>
            </m:oMathPara>
          </w:p>
        </w:tc>
        <w:tc>
          <w:tcPr>
            <w:tcW w:w="1525" w:type="dxa"/>
            <w:tcMar>
              <w:top w:w="0" w:type="dxa"/>
              <w:left w:w="108" w:type="dxa"/>
              <w:bottom w:w="0" w:type="dxa"/>
              <w:right w:w="108" w:type="dxa"/>
            </w:tcMar>
            <w:vAlign w:val="center"/>
            <w:hideMark/>
          </w:tcPr>
          <w:p w:rsidR="00206692" w:rsidRPr="007F6835" w:rsidRDefault="00206692" w:rsidP="00E2646D">
            <w:pPr>
              <w:spacing w:after="0"/>
              <w:jc w:val="center"/>
              <w:rPr>
                <w:rFonts w:ascii="Arial" w:hAnsi="Arial" w:cs="Arial"/>
                <w:sz w:val="20"/>
              </w:rPr>
            </w:pPr>
            <w:r w:rsidRPr="007F6835">
              <w:rPr>
                <w:rFonts w:ascii="Arial" w:hAnsi="Arial" w:cs="Arial"/>
                <w:sz w:val="20"/>
              </w:rPr>
              <w:t>0.060</w:t>
            </w:r>
          </w:p>
        </w:tc>
        <w:tc>
          <w:tcPr>
            <w:tcW w:w="1525" w:type="dxa"/>
            <w:vAlign w:val="center"/>
          </w:tcPr>
          <w:p w:rsidR="00206692" w:rsidRPr="007F6835" w:rsidRDefault="00206692" w:rsidP="00E2646D">
            <w:pPr>
              <w:spacing w:after="0"/>
              <w:jc w:val="center"/>
              <w:rPr>
                <w:rFonts w:ascii="Arial" w:hAnsi="Arial" w:cs="Arial"/>
                <w:sz w:val="20"/>
              </w:rPr>
            </w:pPr>
            <w:r w:rsidRPr="007F6835">
              <w:rPr>
                <w:rFonts w:ascii="Arial" w:hAnsi="Arial" w:cs="Arial"/>
                <w:sz w:val="20"/>
              </w:rPr>
              <w:t>0.078</w:t>
            </w:r>
          </w:p>
        </w:tc>
      </w:tr>
    </w:tbl>
    <w:p w:rsidR="00206692" w:rsidRDefault="00206692" w:rsidP="00E2646D">
      <w:pPr>
        <w:spacing w:before="240"/>
      </w:pPr>
      <w:r w:rsidRPr="00093F25">
        <w:rPr>
          <w:rFonts w:cs="Times New Roman"/>
        </w:rPr>
        <w:t xml:space="preserve">The level of agreement achieved during calibration between the observed and predicted extinction coefficients is presented </w:t>
      </w:r>
      <w:r>
        <w:rPr>
          <w:rFonts w:cs="Times New Roman"/>
        </w:rPr>
        <w:t>in</w:t>
      </w:r>
      <w:r w:rsidRPr="00093F25">
        <w:rPr>
          <w:rFonts w:cs="Times New Roman"/>
        </w:rPr>
        <w:t xml:space="preserve"> </w:t>
      </w:r>
      <w:r w:rsidRPr="00E62513">
        <w:rPr>
          <w:rFonts w:cs="Times New Roman"/>
          <w:b/>
        </w:rPr>
        <w:fldChar w:fldCharType="begin"/>
      </w:r>
      <w:r w:rsidRPr="00E62513">
        <w:rPr>
          <w:rFonts w:cs="Times New Roman"/>
          <w:b/>
        </w:rPr>
        <w:instrText xml:space="preserve"> REF _Ref466382326 \h  \* MERGEFORMAT </w:instrText>
      </w:r>
      <w:r w:rsidRPr="00E62513">
        <w:rPr>
          <w:rFonts w:cs="Times New Roman"/>
          <w:b/>
        </w:rPr>
      </w:r>
      <w:r w:rsidRPr="00E62513">
        <w:rPr>
          <w:rFonts w:cs="Times New Roman"/>
          <w:b/>
        </w:rPr>
        <w:fldChar w:fldCharType="separate"/>
      </w:r>
      <w:r w:rsidR="00E2646D" w:rsidRPr="00E2646D">
        <w:rPr>
          <w:rFonts w:cs="Times New Roman"/>
          <w:b/>
        </w:rPr>
        <w:t xml:space="preserve">Figure </w:t>
      </w:r>
      <w:r w:rsidR="00E2646D" w:rsidRPr="00E2646D">
        <w:rPr>
          <w:rFonts w:cs="Times New Roman"/>
          <w:b/>
          <w:noProof/>
        </w:rPr>
        <w:t>10</w:t>
      </w:r>
      <w:r w:rsidRPr="00E62513">
        <w:rPr>
          <w:rFonts w:cs="Times New Roman"/>
          <w:b/>
        </w:rPr>
        <w:fldChar w:fldCharType="end"/>
      </w:r>
      <w:r w:rsidRPr="00093F25">
        <w:rPr>
          <w:rFonts w:cs="Times New Roman"/>
        </w:rPr>
        <w:t xml:space="preserve"> </w:t>
      </w:r>
      <w:r>
        <w:rPr>
          <w:rFonts w:cs="Times New Roman"/>
        </w:rPr>
        <w:t>through</w:t>
      </w:r>
      <w:r w:rsidRPr="00093F25">
        <w:rPr>
          <w:rFonts w:cs="Times New Roman"/>
        </w:rPr>
        <w:t xml:space="preserve"> </w:t>
      </w:r>
      <w:r w:rsidRPr="00E62513">
        <w:rPr>
          <w:rFonts w:cs="Times New Roman"/>
          <w:b/>
        </w:rPr>
        <w:fldChar w:fldCharType="begin"/>
      </w:r>
      <w:r w:rsidRPr="00E62513">
        <w:rPr>
          <w:rFonts w:cs="Times New Roman"/>
          <w:b/>
        </w:rPr>
        <w:instrText xml:space="preserve"> REF _Ref466382331 \h  \* MERGEFORMAT </w:instrText>
      </w:r>
      <w:r w:rsidRPr="00E62513">
        <w:rPr>
          <w:rFonts w:cs="Times New Roman"/>
          <w:b/>
        </w:rPr>
      </w:r>
      <w:r w:rsidRPr="00E62513">
        <w:rPr>
          <w:rFonts w:cs="Times New Roman"/>
          <w:b/>
        </w:rPr>
        <w:fldChar w:fldCharType="separate"/>
      </w:r>
      <w:r w:rsidR="00E2646D" w:rsidRPr="00E2646D">
        <w:rPr>
          <w:rFonts w:cs="Times New Roman"/>
          <w:b/>
        </w:rPr>
        <w:t xml:space="preserve">Figure </w:t>
      </w:r>
      <w:r w:rsidR="00E2646D" w:rsidRPr="00E2646D">
        <w:rPr>
          <w:rFonts w:cs="Times New Roman"/>
          <w:b/>
          <w:noProof/>
        </w:rPr>
        <w:t>16</w:t>
      </w:r>
      <w:r w:rsidRPr="00E62513">
        <w:rPr>
          <w:rFonts w:cs="Times New Roman"/>
          <w:b/>
        </w:rPr>
        <w:fldChar w:fldCharType="end"/>
      </w:r>
      <w:r w:rsidRPr="00093F25">
        <w:rPr>
          <w:rFonts w:cs="Times New Roman"/>
        </w:rPr>
        <w:t>. The results indicate that the model is general</w:t>
      </w:r>
      <w:r>
        <w:rPr>
          <w:rFonts w:cs="Times New Roman"/>
        </w:rPr>
        <w:t>ly</w:t>
      </w:r>
      <w:r w:rsidRPr="00093F25">
        <w:rPr>
          <w:rFonts w:cs="Times New Roman"/>
        </w:rPr>
        <w:t xml:space="preserve"> able to capture the magnitudes and range of variability of light extinction observed in the system. </w:t>
      </w:r>
      <w:r>
        <w:t xml:space="preserve">The comparison between the model predictions and observations of light extinction indicate that the model is able to simulate the average levels of light extinction in the system with values between 0.6 (1/m) and 1.0 (1/m). The simulations are also able to capture the trends and variability of the observations. </w:t>
      </w:r>
    </w:p>
    <w:p w:rsidR="00833D83" w:rsidRDefault="00833D83" w:rsidP="00833D83">
      <w:pPr>
        <w:rPr>
          <w:rFonts w:cs="Times New Roman"/>
        </w:rPr>
      </w:pPr>
      <w:r w:rsidRPr="00093F25">
        <w:rPr>
          <w:rFonts w:cs="Times New Roman"/>
        </w:rPr>
        <w:t>A detailed evaluation of the factors impacting the light extinction coefficient suggest that inorganic suspended solids can explain up to 70% of the variability of the light extinction coefficients followed by DOC (16%), Chla (8%)</w:t>
      </w:r>
      <w:r>
        <w:rPr>
          <w:rFonts w:cs="Times New Roman"/>
        </w:rPr>
        <w:t>,</w:t>
      </w:r>
      <w:r w:rsidRPr="00093F25">
        <w:rPr>
          <w:rFonts w:cs="Times New Roman"/>
        </w:rPr>
        <w:t xml:space="preserve"> and POC (5%). These values are in good agreement with the values reported in previous investigations of the Caloosahatchee River. Bailey et. al. (2009)</w:t>
      </w:r>
      <w:r w:rsidR="00884A0C">
        <w:rPr>
          <w:rFonts w:cs="Times New Roman"/>
        </w:rPr>
        <w:t>,</w:t>
      </w:r>
      <w:r w:rsidRPr="00093F25">
        <w:rPr>
          <w:rFonts w:cs="Times New Roman"/>
        </w:rPr>
        <w:t xml:space="preserve"> citing studies in Charlotte Harbor (the major watershed north of the Caloosahatchee River) and other regions of the Caloosahatchee River</w:t>
      </w:r>
      <w:r w:rsidR="00884A0C">
        <w:rPr>
          <w:rFonts w:cs="Times New Roman"/>
        </w:rPr>
        <w:t>,</w:t>
      </w:r>
      <w:r w:rsidRPr="00093F25">
        <w:rPr>
          <w:rFonts w:cs="Times New Roman"/>
        </w:rPr>
        <w:t xml:space="preserve"> indicated that non</w:t>
      </w:r>
      <w:r>
        <w:rPr>
          <w:rFonts w:cs="Times New Roman"/>
        </w:rPr>
        <w:t>-Chla</w:t>
      </w:r>
      <w:r w:rsidRPr="00093F25">
        <w:rPr>
          <w:rFonts w:cs="Times New Roman"/>
        </w:rPr>
        <w:t xml:space="preserve"> matter</w:t>
      </w:r>
      <w:r>
        <w:rPr>
          <w:rFonts w:cs="Times New Roman"/>
        </w:rPr>
        <w:t>,</w:t>
      </w:r>
      <w:r w:rsidRPr="00093F25">
        <w:rPr>
          <w:rFonts w:cs="Times New Roman"/>
        </w:rPr>
        <w:t xml:space="preserve"> </w:t>
      </w:r>
      <w:r w:rsidR="001C5FF4">
        <w:rPr>
          <w:rFonts w:cs="Times New Roman"/>
        </w:rPr>
        <w:t xml:space="preserve">consisting </w:t>
      </w:r>
      <w:r w:rsidRPr="001C5FF4">
        <w:rPr>
          <w:rFonts w:cs="Times New Roman"/>
        </w:rPr>
        <w:t>main</w:t>
      </w:r>
      <w:r w:rsidR="00884A0C" w:rsidRPr="001C5FF4">
        <w:rPr>
          <w:rFonts w:cs="Times New Roman"/>
        </w:rPr>
        <w:t>l</w:t>
      </w:r>
      <w:r w:rsidRPr="001C5FF4">
        <w:rPr>
          <w:rFonts w:cs="Times New Roman"/>
        </w:rPr>
        <w:t>y</w:t>
      </w:r>
      <w:r w:rsidRPr="00093F25">
        <w:rPr>
          <w:rFonts w:cs="Times New Roman"/>
        </w:rPr>
        <w:t xml:space="preserve"> </w:t>
      </w:r>
      <w:r w:rsidR="001C5FF4">
        <w:rPr>
          <w:rFonts w:cs="Times New Roman"/>
        </w:rPr>
        <w:t xml:space="preserve">of </w:t>
      </w:r>
      <w:r w:rsidRPr="00093F25">
        <w:rPr>
          <w:rFonts w:cs="Times New Roman"/>
        </w:rPr>
        <w:t>detritus (POC)</w:t>
      </w:r>
      <w:r>
        <w:rPr>
          <w:rFonts w:cs="Times New Roman"/>
        </w:rPr>
        <w:t>,</w:t>
      </w:r>
      <w:r w:rsidRPr="00093F25">
        <w:rPr>
          <w:rFonts w:cs="Times New Roman"/>
        </w:rPr>
        <w:t xml:space="preserve"> </w:t>
      </w:r>
      <w:r w:rsidR="00884A0C">
        <w:rPr>
          <w:rFonts w:cs="Times New Roman"/>
        </w:rPr>
        <w:t>as well as</w:t>
      </w:r>
      <w:r w:rsidRPr="00093F25">
        <w:rPr>
          <w:rFonts w:cs="Times New Roman"/>
        </w:rPr>
        <w:t xml:space="preserve"> minerals (TSS)</w:t>
      </w:r>
      <w:r w:rsidR="00DC79DC">
        <w:rPr>
          <w:rFonts w:cs="Times New Roman"/>
        </w:rPr>
        <w:t>,</w:t>
      </w:r>
      <w:r w:rsidRPr="00093F25">
        <w:rPr>
          <w:rFonts w:cs="Times New Roman"/>
        </w:rPr>
        <w:t xml:space="preserve"> accounted for approximately 72% of the light extinction in the water column, while color in the form o</w:t>
      </w:r>
      <w:r w:rsidR="00884A0C">
        <w:rPr>
          <w:rFonts w:cs="Times New Roman"/>
        </w:rPr>
        <w:t>f</w:t>
      </w:r>
      <w:r w:rsidRPr="00093F25">
        <w:rPr>
          <w:rFonts w:cs="Times New Roman"/>
        </w:rPr>
        <w:t xml:space="preserve"> DOC accounted for 21% and Chla for 4% (see also McPherson and Miller 1987). Other studies indicate that detritus and minerals can represent between 30</w:t>
      </w:r>
      <w:r>
        <w:rPr>
          <w:rFonts w:cs="Times New Roman"/>
        </w:rPr>
        <w:t>%</w:t>
      </w:r>
      <w:r w:rsidRPr="00093F25">
        <w:rPr>
          <w:rFonts w:cs="Times New Roman"/>
        </w:rPr>
        <w:t xml:space="preserve"> and 72% of the light extinction in the estuary, dissolved organic matter between 13</w:t>
      </w:r>
      <w:r>
        <w:rPr>
          <w:rFonts w:cs="Times New Roman"/>
        </w:rPr>
        <w:t>%</w:t>
      </w:r>
      <w:r w:rsidRPr="00093F25">
        <w:rPr>
          <w:rFonts w:cs="Times New Roman"/>
        </w:rPr>
        <w:t xml:space="preserve"> and 66%</w:t>
      </w:r>
      <w:r>
        <w:rPr>
          <w:rFonts w:cs="Times New Roman"/>
        </w:rPr>
        <w:t>,</w:t>
      </w:r>
      <w:r w:rsidRPr="00093F25">
        <w:rPr>
          <w:rFonts w:cs="Times New Roman"/>
        </w:rPr>
        <w:t xml:space="preserve"> and Chla between 4</w:t>
      </w:r>
      <w:r>
        <w:rPr>
          <w:rFonts w:cs="Times New Roman"/>
        </w:rPr>
        <w:t>%</w:t>
      </w:r>
      <w:r w:rsidRPr="00093F25">
        <w:rPr>
          <w:rFonts w:cs="Times New Roman"/>
        </w:rPr>
        <w:t xml:space="preserve"> </w:t>
      </w:r>
      <w:r w:rsidR="00884A0C">
        <w:rPr>
          <w:rFonts w:cs="Times New Roman"/>
        </w:rPr>
        <w:t>and</w:t>
      </w:r>
      <w:r w:rsidRPr="00093F25">
        <w:rPr>
          <w:rFonts w:cs="Times New Roman"/>
        </w:rPr>
        <w:t xml:space="preserve"> 18% (McPherson and Miller 1994; Dixon and Kirkpatrick, 1999). </w:t>
      </w:r>
    </w:p>
    <w:p w:rsidR="005D2C38" w:rsidRDefault="005D2C38" w:rsidP="00884A0C">
      <w:pPr>
        <w:spacing w:after="0"/>
        <w:jc w:val="center"/>
        <w:rPr>
          <w:rFonts w:ascii="Arial" w:hAnsi="Arial" w:cs="Arial"/>
          <w:sz w:val="20"/>
          <w:szCs w:val="20"/>
        </w:rPr>
      </w:pPr>
      <w:r>
        <w:rPr>
          <w:rFonts w:ascii="Arial" w:hAnsi="Arial" w:cs="Arial"/>
          <w:noProof/>
          <w:sz w:val="20"/>
          <w:szCs w:val="20"/>
        </w:rPr>
        <w:drawing>
          <wp:inline distT="0" distB="0" distL="0" distR="0" wp14:anchorId="0617970F" wp14:editId="39CA9673">
            <wp:extent cx="5765819" cy="7356654"/>
            <wp:effectExtent l="0" t="0" r="6350" b="0"/>
            <wp:docPr id="15" name="Picture 15" descr="Monitoring stations with measurements of light extin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ightStations.jpg"/>
                    <pic:cNvPicPr/>
                  </pic:nvPicPr>
                  <pic:blipFill rotWithShape="1">
                    <a:blip r:embed="rId19" cstate="print">
                      <a:extLst>
                        <a:ext uri="{28A0092B-C50C-407E-A947-70E740481C1C}">
                          <a14:useLocalDpi xmlns:a14="http://schemas.microsoft.com/office/drawing/2010/main" val="0"/>
                        </a:ext>
                      </a:extLst>
                    </a:blip>
                    <a:srcRect l="918" t="4516" r="2063"/>
                    <a:stretch/>
                  </pic:blipFill>
                  <pic:spPr bwMode="auto">
                    <a:xfrm>
                      <a:off x="0" y="0"/>
                      <a:ext cx="5766392" cy="7357385"/>
                    </a:xfrm>
                    <a:prstGeom prst="rect">
                      <a:avLst/>
                    </a:prstGeom>
                    <a:ln>
                      <a:noFill/>
                    </a:ln>
                    <a:extLst>
                      <a:ext uri="{53640926-AAD7-44D8-BBD7-CCE9431645EC}">
                        <a14:shadowObscured xmlns:a14="http://schemas.microsoft.com/office/drawing/2010/main"/>
                      </a:ext>
                    </a:extLst>
                  </pic:spPr>
                </pic:pic>
              </a:graphicData>
            </a:graphic>
          </wp:inline>
        </w:drawing>
      </w:r>
    </w:p>
    <w:p w:rsidR="005D2C38" w:rsidRDefault="005D2C38" w:rsidP="005D2C38">
      <w:pPr>
        <w:pStyle w:val="Caption"/>
      </w:pPr>
      <w:bookmarkStart w:id="9" w:name="_Ref452551185"/>
      <w:r>
        <w:t xml:space="preserve">Figure </w:t>
      </w:r>
      <w:r w:rsidR="00F5600E">
        <w:fldChar w:fldCharType="begin"/>
      </w:r>
      <w:r w:rsidR="00F5600E">
        <w:instrText xml:space="preserve"> SEQ Figure \* ARABIC </w:instrText>
      </w:r>
      <w:r w:rsidR="00F5600E">
        <w:fldChar w:fldCharType="separate"/>
      </w:r>
      <w:r w:rsidR="00E2646D">
        <w:rPr>
          <w:noProof/>
        </w:rPr>
        <w:t>9</w:t>
      </w:r>
      <w:r w:rsidR="00F5600E">
        <w:rPr>
          <w:noProof/>
        </w:rPr>
        <w:fldChar w:fldCharType="end"/>
      </w:r>
      <w:bookmarkEnd w:id="9"/>
      <w:r>
        <w:t xml:space="preserve">: Monitoring stations with measurements of light extinction </w:t>
      </w:r>
    </w:p>
    <w:p w:rsidR="005D2C38" w:rsidRDefault="005D2C38" w:rsidP="00884A0C">
      <w:pPr>
        <w:jc w:val="center"/>
      </w:pPr>
      <w:r>
        <w:rPr>
          <w:noProof/>
        </w:rPr>
        <w:drawing>
          <wp:inline distT="0" distB="0" distL="0" distR="0" wp14:anchorId="0476842B" wp14:editId="304BD931">
            <wp:extent cx="5943600" cy="2971800"/>
            <wp:effectExtent l="0" t="0" r="0" b="0"/>
            <wp:docPr id="8" name="Picture 8" descr="Observed versus predicted light extinction at 21FLSWMROOK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ght-21FLSFWMROOK47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5D2C38" w:rsidRDefault="005D2C38" w:rsidP="005D2C38">
      <w:pPr>
        <w:pStyle w:val="Caption"/>
      </w:pPr>
      <w:bookmarkStart w:id="10" w:name="_Ref466382326"/>
      <w:r>
        <w:t xml:space="preserve">Figure </w:t>
      </w:r>
      <w:r w:rsidR="00F5600E">
        <w:fldChar w:fldCharType="begin"/>
      </w:r>
      <w:r w:rsidR="00F5600E">
        <w:instrText xml:space="preserve"> SEQ Figure \* ARABIC </w:instrText>
      </w:r>
      <w:r w:rsidR="00F5600E">
        <w:fldChar w:fldCharType="separate"/>
      </w:r>
      <w:r w:rsidR="00E2646D">
        <w:rPr>
          <w:noProof/>
        </w:rPr>
        <w:t>10</w:t>
      </w:r>
      <w:r w:rsidR="00F5600E">
        <w:rPr>
          <w:noProof/>
        </w:rPr>
        <w:fldChar w:fldCharType="end"/>
      </w:r>
      <w:bookmarkEnd w:id="10"/>
      <w:r>
        <w:t>: Observed versus predicted light extinction at 21FLSWMROOK471</w:t>
      </w:r>
    </w:p>
    <w:p w:rsidR="005D2C38" w:rsidRDefault="005D2C38" w:rsidP="005D2C38">
      <w:pPr>
        <w:pStyle w:val="Caption"/>
      </w:pPr>
      <w:r>
        <w:t xml:space="preserve"> </w:t>
      </w:r>
    </w:p>
    <w:p w:rsidR="005D2C38" w:rsidRDefault="005D2C38" w:rsidP="00884A0C">
      <w:pPr>
        <w:jc w:val="center"/>
      </w:pPr>
      <w:r>
        <w:rPr>
          <w:noProof/>
        </w:rPr>
        <w:drawing>
          <wp:inline distT="0" distB="0" distL="0" distR="0" wp14:anchorId="460D19DB" wp14:editId="0999768A">
            <wp:extent cx="5943600" cy="2971800"/>
            <wp:effectExtent l="0" t="0" r="0" b="0"/>
            <wp:docPr id="1" name="Picture 1" descr="Observed versus predicted light extinction at 21FLSWMROOK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ight-21FLSFWMROOK47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5D2C38" w:rsidRDefault="005D2C38" w:rsidP="005D2C38">
      <w:pPr>
        <w:pStyle w:val="Caption"/>
      </w:pPr>
      <w:r>
        <w:t xml:space="preserve">Figure </w:t>
      </w:r>
      <w:r w:rsidR="00F5600E">
        <w:fldChar w:fldCharType="begin"/>
      </w:r>
      <w:r w:rsidR="00F5600E">
        <w:instrText xml:space="preserve"> SEQ Figure \* ARABIC </w:instrText>
      </w:r>
      <w:r w:rsidR="00F5600E">
        <w:fldChar w:fldCharType="separate"/>
      </w:r>
      <w:r w:rsidR="00E2646D">
        <w:rPr>
          <w:noProof/>
        </w:rPr>
        <w:t>11</w:t>
      </w:r>
      <w:r w:rsidR="00F5600E">
        <w:rPr>
          <w:noProof/>
        </w:rPr>
        <w:fldChar w:fldCharType="end"/>
      </w:r>
      <w:r>
        <w:t>: Observed versus predicted light extinction at 21FLSWMROOK472</w:t>
      </w:r>
    </w:p>
    <w:p w:rsidR="005D2C38" w:rsidRDefault="005D2C38" w:rsidP="00884A0C">
      <w:pPr>
        <w:jc w:val="center"/>
      </w:pPr>
      <w:r>
        <w:rPr>
          <w:noProof/>
        </w:rPr>
        <w:drawing>
          <wp:inline distT="0" distB="0" distL="0" distR="0" wp14:anchorId="156E13BF" wp14:editId="667BF4B1">
            <wp:extent cx="5943600" cy="2971800"/>
            <wp:effectExtent l="0" t="0" r="0" b="0"/>
            <wp:docPr id="10" name="Picture 10" descr="Observed versus predicted light extinction at 21FLSWMROOK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ght-21FLSFWMROOK47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5D2C38" w:rsidRDefault="005D2C38" w:rsidP="005D2C38">
      <w:pPr>
        <w:pStyle w:val="Caption"/>
      </w:pPr>
      <w:r>
        <w:t xml:space="preserve">Figure </w:t>
      </w:r>
      <w:r w:rsidR="00F5600E">
        <w:fldChar w:fldCharType="begin"/>
      </w:r>
      <w:r w:rsidR="00F5600E">
        <w:instrText xml:space="preserve"> SEQ Figure \* ARABIC </w:instrText>
      </w:r>
      <w:r w:rsidR="00F5600E">
        <w:fldChar w:fldCharType="separate"/>
      </w:r>
      <w:r w:rsidR="00E2646D">
        <w:rPr>
          <w:noProof/>
        </w:rPr>
        <w:t>12</w:t>
      </w:r>
      <w:r w:rsidR="00F5600E">
        <w:rPr>
          <w:noProof/>
        </w:rPr>
        <w:fldChar w:fldCharType="end"/>
      </w:r>
      <w:r>
        <w:t>: Observed versus predicted light extinction at 21FLSWMROOK473</w:t>
      </w:r>
    </w:p>
    <w:p w:rsidR="005D2C38" w:rsidRDefault="005D2C38" w:rsidP="005D2C38"/>
    <w:p w:rsidR="005D2C38" w:rsidRDefault="005D2C38" w:rsidP="00884A0C">
      <w:pPr>
        <w:jc w:val="center"/>
      </w:pPr>
      <w:r>
        <w:rPr>
          <w:noProof/>
        </w:rPr>
        <w:drawing>
          <wp:inline distT="0" distB="0" distL="0" distR="0" wp14:anchorId="60E4988A" wp14:editId="0791A312">
            <wp:extent cx="5943600" cy="2971800"/>
            <wp:effectExtent l="0" t="0" r="0" b="0"/>
            <wp:docPr id="11" name="Picture 11" descr="Observed versus predicted light extinction at 21FLSWMROOK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ght-21FLSFWMROOK47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5D2C38" w:rsidRDefault="005D2C38" w:rsidP="005D2C38">
      <w:pPr>
        <w:pStyle w:val="Caption"/>
      </w:pPr>
      <w:r>
        <w:t xml:space="preserve">Figure </w:t>
      </w:r>
      <w:r w:rsidR="00F5600E">
        <w:fldChar w:fldCharType="begin"/>
      </w:r>
      <w:r w:rsidR="00F5600E">
        <w:instrText xml:space="preserve"> SEQ Figure \* ARABIC </w:instrText>
      </w:r>
      <w:r w:rsidR="00F5600E">
        <w:fldChar w:fldCharType="separate"/>
      </w:r>
      <w:r w:rsidR="00E2646D">
        <w:rPr>
          <w:noProof/>
        </w:rPr>
        <w:t>13</w:t>
      </w:r>
      <w:r w:rsidR="00F5600E">
        <w:rPr>
          <w:noProof/>
        </w:rPr>
        <w:fldChar w:fldCharType="end"/>
      </w:r>
      <w:r>
        <w:t>: Observed versus predicted light extinction at 21FLSWMROOK474</w:t>
      </w:r>
    </w:p>
    <w:p w:rsidR="005D2C38" w:rsidRDefault="005D2C38" w:rsidP="00884A0C">
      <w:pPr>
        <w:jc w:val="center"/>
      </w:pPr>
      <w:r>
        <w:rPr>
          <w:noProof/>
        </w:rPr>
        <w:drawing>
          <wp:inline distT="0" distB="0" distL="0" distR="0" wp14:anchorId="34001862" wp14:editId="5DDF969C">
            <wp:extent cx="5943600" cy="2971800"/>
            <wp:effectExtent l="0" t="0" r="0" b="0"/>
            <wp:docPr id="17" name="Picture 17" descr="Observed versus predicted light extinction at 21FLSWMROOK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ght-21FLSFWMROOK47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5D2C38" w:rsidRDefault="005D2C38" w:rsidP="005D2C38">
      <w:pPr>
        <w:pStyle w:val="Caption"/>
      </w:pPr>
      <w:r>
        <w:t xml:space="preserve">Figure </w:t>
      </w:r>
      <w:r w:rsidR="00F5600E">
        <w:fldChar w:fldCharType="begin"/>
      </w:r>
      <w:r w:rsidR="00F5600E">
        <w:instrText xml:space="preserve"> SEQ Figure \* ARABIC </w:instrText>
      </w:r>
      <w:r w:rsidR="00F5600E">
        <w:fldChar w:fldCharType="separate"/>
      </w:r>
      <w:r w:rsidR="00E2646D">
        <w:rPr>
          <w:noProof/>
        </w:rPr>
        <w:t>14</w:t>
      </w:r>
      <w:r w:rsidR="00F5600E">
        <w:rPr>
          <w:noProof/>
        </w:rPr>
        <w:fldChar w:fldCharType="end"/>
      </w:r>
      <w:r>
        <w:t>: Observed versus predicted light extinction at 21FLSWMROOK475</w:t>
      </w:r>
    </w:p>
    <w:p w:rsidR="005D2C38" w:rsidRPr="00005163" w:rsidRDefault="005D2C38" w:rsidP="005D2C38"/>
    <w:p w:rsidR="005D2C38" w:rsidRDefault="005D2C38" w:rsidP="00884A0C">
      <w:pPr>
        <w:jc w:val="center"/>
      </w:pPr>
      <w:r>
        <w:rPr>
          <w:noProof/>
        </w:rPr>
        <w:drawing>
          <wp:inline distT="0" distB="0" distL="0" distR="0" wp14:anchorId="5736E99F" wp14:editId="2D746108">
            <wp:extent cx="5943600" cy="2971800"/>
            <wp:effectExtent l="0" t="0" r="0" b="0"/>
            <wp:docPr id="13" name="Picture 13" descr="Observed versus predicted light extinction at 21FLSWMROOK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ght-21FLSFWMROOK47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5D2C38" w:rsidRDefault="005D2C38" w:rsidP="005D2C38">
      <w:pPr>
        <w:pStyle w:val="Caption"/>
      </w:pPr>
      <w:r>
        <w:t xml:space="preserve">Figure </w:t>
      </w:r>
      <w:r w:rsidR="00F5600E">
        <w:fldChar w:fldCharType="begin"/>
      </w:r>
      <w:r w:rsidR="00F5600E">
        <w:instrText xml:space="preserve"> SEQ Figure \* ARABIC </w:instrText>
      </w:r>
      <w:r w:rsidR="00F5600E">
        <w:fldChar w:fldCharType="separate"/>
      </w:r>
      <w:r w:rsidR="00E2646D">
        <w:rPr>
          <w:noProof/>
        </w:rPr>
        <w:t>15</w:t>
      </w:r>
      <w:r w:rsidR="00F5600E">
        <w:rPr>
          <w:noProof/>
        </w:rPr>
        <w:fldChar w:fldCharType="end"/>
      </w:r>
      <w:r>
        <w:t>: Observed versus predicted light extinction at 21FLSWMROOK476</w:t>
      </w:r>
    </w:p>
    <w:p w:rsidR="005D2C38" w:rsidRDefault="005D2C38" w:rsidP="005D2C38"/>
    <w:p w:rsidR="005D2C38" w:rsidRDefault="005D2C38" w:rsidP="00884A0C">
      <w:pPr>
        <w:jc w:val="center"/>
      </w:pPr>
      <w:r>
        <w:rPr>
          <w:noProof/>
        </w:rPr>
        <w:drawing>
          <wp:inline distT="0" distB="0" distL="0" distR="0" wp14:anchorId="43890F28" wp14:editId="66C8FAE5">
            <wp:extent cx="5943600" cy="2971800"/>
            <wp:effectExtent l="0" t="0" r="0" b="0"/>
            <wp:docPr id="14" name="Picture 14" descr="Observed versus predicted light extinction at 21FLSWMROOK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ght-21FLSFWMROOK47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5D2C38" w:rsidRDefault="005D2C38" w:rsidP="005D2C38">
      <w:pPr>
        <w:pStyle w:val="Caption"/>
      </w:pPr>
      <w:bookmarkStart w:id="11" w:name="_Ref466382331"/>
      <w:r>
        <w:t xml:space="preserve">Figure </w:t>
      </w:r>
      <w:r w:rsidR="00F5600E">
        <w:fldChar w:fldCharType="begin"/>
      </w:r>
      <w:r w:rsidR="00F5600E">
        <w:instrText xml:space="preserve"> SEQ Figure \* ARABIC </w:instrText>
      </w:r>
      <w:r w:rsidR="00F5600E">
        <w:fldChar w:fldCharType="separate"/>
      </w:r>
      <w:r w:rsidR="00E2646D">
        <w:rPr>
          <w:noProof/>
        </w:rPr>
        <w:t>16</w:t>
      </w:r>
      <w:r w:rsidR="00F5600E">
        <w:rPr>
          <w:noProof/>
        </w:rPr>
        <w:fldChar w:fldCharType="end"/>
      </w:r>
      <w:bookmarkEnd w:id="11"/>
      <w:r>
        <w:t>: Observed versus predicted light extinction at 21FLSWMROOK477</w:t>
      </w:r>
    </w:p>
    <w:p w:rsidR="00FC6E3A" w:rsidRPr="00E62513" w:rsidRDefault="00FC6E3A" w:rsidP="00E62513">
      <w:pPr>
        <w:pStyle w:val="TableNoSpacing"/>
      </w:pPr>
    </w:p>
    <w:p w:rsidR="005D2C38" w:rsidRPr="006F204E" w:rsidRDefault="005D2C38" w:rsidP="00E1609C">
      <w:pPr>
        <w:pStyle w:val="Heading1"/>
      </w:pPr>
      <w:r>
        <w:t>references</w:t>
      </w:r>
    </w:p>
    <w:p w:rsidR="005D2C38" w:rsidRPr="00093F25" w:rsidRDefault="005D2C38" w:rsidP="005D2C38">
      <w:pPr>
        <w:pStyle w:val="TableNoSpacing"/>
        <w:rPr>
          <w:rFonts w:cs="Times New Roman"/>
        </w:rPr>
      </w:pPr>
      <w:r w:rsidRPr="00093F25">
        <w:rPr>
          <w:rFonts w:cs="Times New Roman"/>
        </w:rPr>
        <w:t>Bailey N., Magley W., Mandrup-Poulsen J., O’Donnell K. and</w:t>
      </w:r>
      <w:r w:rsidR="0087094D">
        <w:rPr>
          <w:rFonts w:cs="Times New Roman"/>
        </w:rPr>
        <w:t xml:space="preserve"> Peets R. 2</w:t>
      </w:r>
      <w:r w:rsidRPr="00093F25">
        <w:rPr>
          <w:rFonts w:cs="Times New Roman"/>
        </w:rPr>
        <w:t>009. Nutrient TMDL for the</w:t>
      </w:r>
    </w:p>
    <w:p w:rsidR="005D2C38" w:rsidRPr="00093F25" w:rsidRDefault="005D2C38" w:rsidP="005D2C38">
      <w:pPr>
        <w:pStyle w:val="TableNoSpacing"/>
        <w:rPr>
          <w:rFonts w:cs="Times New Roman"/>
        </w:rPr>
      </w:pPr>
      <w:r w:rsidRPr="00093F25">
        <w:rPr>
          <w:rFonts w:cs="Times New Roman"/>
        </w:rPr>
        <w:t>Caloosahatchee Estuary. Final Report. Florida Department of Environmental Protection.</w:t>
      </w:r>
    </w:p>
    <w:p w:rsidR="005D2C38" w:rsidRPr="00093F25" w:rsidRDefault="005D2C38" w:rsidP="005D2C38">
      <w:pPr>
        <w:pStyle w:val="TableNoSpacing"/>
        <w:rPr>
          <w:rFonts w:cs="Times New Roman"/>
        </w:rPr>
      </w:pPr>
    </w:p>
    <w:p w:rsidR="005D2C38" w:rsidRPr="00093F25" w:rsidRDefault="005D2C38" w:rsidP="005D2C38">
      <w:pPr>
        <w:pStyle w:val="TableNoSpacing"/>
        <w:rPr>
          <w:rFonts w:cs="Times New Roman"/>
        </w:rPr>
      </w:pPr>
      <w:r w:rsidRPr="00093F25">
        <w:rPr>
          <w:rFonts w:cs="Times New Roman"/>
        </w:rPr>
        <w:t xml:space="preserve">Dixon, L.K., and G.J. Kirkpatrick. 1999. </w:t>
      </w:r>
      <w:r w:rsidRPr="00093F25">
        <w:rPr>
          <w:rFonts w:cs="Times New Roman"/>
          <w:iCs/>
        </w:rPr>
        <w:t xml:space="preserve">Causes of light attenuation with respect to seagrasses in upper and Lower Charlotte Harbor. </w:t>
      </w:r>
      <w:r w:rsidRPr="00093F25">
        <w:rPr>
          <w:rFonts w:cs="Times New Roman"/>
        </w:rPr>
        <w:t>Report to the Southwest Florida Water Management District, Surface Water Improvement and Management Program, Tampa, FL, and Charlotte Harbor National Estuary Program.</w:t>
      </w:r>
    </w:p>
    <w:p w:rsidR="005D2C38" w:rsidRPr="00093F25" w:rsidRDefault="005D2C38" w:rsidP="005D2C38">
      <w:pPr>
        <w:pStyle w:val="TableNoSpacing"/>
        <w:rPr>
          <w:rFonts w:cs="Times New Roman"/>
        </w:rPr>
      </w:pPr>
    </w:p>
    <w:p w:rsidR="005D2C38" w:rsidRPr="00093F25" w:rsidRDefault="005D2C38" w:rsidP="005D2C38">
      <w:pPr>
        <w:pStyle w:val="Default"/>
        <w:rPr>
          <w:rFonts w:ascii="Times New Roman" w:hAnsi="Times New Roman" w:cs="Times New Roman"/>
          <w:iCs/>
        </w:rPr>
      </w:pPr>
      <w:r w:rsidRPr="00093F25">
        <w:rPr>
          <w:rFonts w:ascii="Times New Roman" w:hAnsi="Times New Roman" w:cs="Times New Roman"/>
        </w:rPr>
        <w:t xml:space="preserve">McPherson, B.F. and R.L. Miller. 1987. The vertical attenuation of light in Charlotte Harbor, a shallow, subtropical estuary, southwestern Florida. </w:t>
      </w:r>
      <w:r w:rsidRPr="00093F25">
        <w:rPr>
          <w:rFonts w:ascii="Times New Roman" w:hAnsi="Times New Roman" w:cs="Times New Roman"/>
          <w:iCs/>
        </w:rPr>
        <w:t xml:space="preserve">Estuarine Coastal Shelf Science 25: 21-737. </w:t>
      </w:r>
    </w:p>
    <w:p w:rsidR="005D2C38" w:rsidRPr="00093F25" w:rsidRDefault="005D2C38" w:rsidP="005D2C38">
      <w:pPr>
        <w:pStyle w:val="Default"/>
        <w:rPr>
          <w:rFonts w:ascii="Times New Roman" w:hAnsi="Times New Roman" w:cs="Times New Roman"/>
        </w:rPr>
      </w:pPr>
    </w:p>
    <w:p w:rsidR="005D2C38" w:rsidRPr="00093F25" w:rsidRDefault="005D2C38" w:rsidP="005D2C38">
      <w:pPr>
        <w:pStyle w:val="TableNoSpacing"/>
        <w:rPr>
          <w:rFonts w:cs="Times New Roman"/>
          <w:iCs/>
        </w:rPr>
      </w:pPr>
      <w:r w:rsidRPr="00093F25">
        <w:rPr>
          <w:rFonts w:cs="Times New Roman"/>
        </w:rPr>
        <w:t xml:space="preserve">McPherson, B.F. and R.L. Miller. 1994. Causes of light attenuation in Tampa Bay and Charlotte Harbor, southwestern Florida. </w:t>
      </w:r>
      <w:r w:rsidRPr="00093F25">
        <w:rPr>
          <w:rFonts w:cs="Times New Roman"/>
          <w:iCs/>
        </w:rPr>
        <w:t>Water Resources Bulletin 30(1): 43-53.</w:t>
      </w:r>
    </w:p>
    <w:p w:rsidR="005D2C38" w:rsidRPr="00093F25" w:rsidRDefault="005D2C38" w:rsidP="005D2C38">
      <w:pPr>
        <w:pStyle w:val="TableNoSpacing"/>
        <w:rPr>
          <w:rFonts w:cs="Times New Roman"/>
          <w:iCs/>
        </w:rPr>
      </w:pPr>
    </w:p>
    <w:p w:rsidR="005D2C38" w:rsidRDefault="005D2C38" w:rsidP="005D2C38">
      <w:pPr>
        <w:pStyle w:val="TableNoSpacing"/>
        <w:rPr>
          <w:rFonts w:cs="Times New Roman"/>
        </w:rPr>
      </w:pPr>
      <w:r w:rsidRPr="00093F25">
        <w:rPr>
          <w:rFonts w:cs="Times New Roman"/>
        </w:rPr>
        <w:t>Steele, J.H. 1962. Environmental control of photosynthesis in the sea. Limnology and Oceanography, 7(2): 137-150.</w:t>
      </w:r>
    </w:p>
    <w:p w:rsidR="005D2C38" w:rsidRDefault="005D2C38" w:rsidP="005D2C38">
      <w:pPr>
        <w:pStyle w:val="TableNoSpacing"/>
        <w:rPr>
          <w:rFonts w:cs="Times New Roman"/>
        </w:rPr>
      </w:pPr>
    </w:p>
    <w:p w:rsidR="005A6F80" w:rsidRPr="0087094D" w:rsidRDefault="0087094D" w:rsidP="00054E50">
      <w:pPr>
        <w:pStyle w:val="TableNoSpacing"/>
        <w:rPr>
          <w:rFonts w:cs="Times New Roman"/>
        </w:rPr>
      </w:pPr>
      <w:r>
        <w:rPr>
          <w:rFonts w:cs="Times New Roman"/>
        </w:rPr>
        <w:t xml:space="preserve">Tetra Tech. </w:t>
      </w:r>
      <w:r w:rsidR="005D2C38">
        <w:rPr>
          <w:rFonts w:cs="Times New Roman"/>
        </w:rPr>
        <w:t xml:space="preserve">2007. </w:t>
      </w:r>
      <w:r w:rsidR="005D2C38" w:rsidRPr="00093F25">
        <w:rPr>
          <w:rFonts w:cs="Times New Roman"/>
        </w:rPr>
        <w:t>The Environmental Fluid Dynamics Code</w:t>
      </w:r>
      <w:r w:rsidR="005D2C38">
        <w:rPr>
          <w:rFonts w:cs="Times New Roman"/>
        </w:rPr>
        <w:t xml:space="preserve"> </w:t>
      </w:r>
      <w:r w:rsidR="005D2C38" w:rsidRPr="00093F25">
        <w:rPr>
          <w:rFonts w:cs="Times New Roman"/>
        </w:rPr>
        <w:t>Theory and Computation</w:t>
      </w:r>
      <w:r w:rsidR="005D2C38">
        <w:rPr>
          <w:rFonts w:cs="Times New Roman"/>
        </w:rPr>
        <w:t xml:space="preserve"> </w:t>
      </w:r>
      <w:r w:rsidR="005D2C38" w:rsidRPr="00093F25">
        <w:rPr>
          <w:rFonts w:cs="Times New Roman"/>
        </w:rPr>
        <w:t>Volume 3: Water Quality Module</w:t>
      </w:r>
      <w:r w:rsidR="005D2C38">
        <w:rPr>
          <w:rFonts w:cs="Times New Roman"/>
        </w:rPr>
        <w:t xml:space="preserve">. </w:t>
      </w:r>
      <w:r w:rsidR="005D2C38" w:rsidRPr="00093F25">
        <w:rPr>
          <w:rFonts w:cs="Times New Roman"/>
        </w:rPr>
        <w:t>Fairfax, VA</w:t>
      </w:r>
    </w:p>
    <w:sectPr w:rsidR="005A6F80" w:rsidRPr="0087094D" w:rsidSect="00DA539E">
      <w:headerReference w:type="default" r:id="rId27"/>
      <w:footerReference w:type="default" r:id="rId28"/>
      <w:headerReference w:type="first" r:id="rId29"/>
      <w:footerReference w:type="first" r:id="rId30"/>
      <w:pgSz w:w="12240" w:h="15840"/>
      <w:pgMar w:top="1440" w:right="1080" w:bottom="1440" w:left="1080" w:header="648" w:footer="64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00E" w:rsidRDefault="00F5600E" w:rsidP="00F859C6">
      <w:r>
        <w:separator/>
      </w:r>
    </w:p>
    <w:p w:rsidR="00F5600E" w:rsidRDefault="00F5600E"/>
  </w:endnote>
  <w:endnote w:type="continuationSeparator" w:id="0">
    <w:p w:rsidR="00F5600E" w:rsidRDefault="00F5600E" w:rsidP="00F859C6">
      <w:r>
        <w:continuationSeparator/>
      </w:r>
    </w:p>
    <w:p w:rsidR="00F5600E" w:rsidRDefault="00F5600E"/>
  </w:endnote>
  <w:endnote w:type="continuationNotice" w:id="1">
    <w:p w:rsidR="00F5600E" w:rsidRDefault="00F5600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31D" w:rsidRPr="00C7060F" w:rsidRDefault="0086131D" w:rsidP="004F4DAA">
    <w:pPr>
      <w:pStyle w:val="Header"/>
      <w:jc w:val="right"/>
      <w:rPr>
        <w:rFonts w:ascii="Arial" w:hAnsi="Arial" w:cs="Arial"/>
        <w:noProof/>
      </w:rPr>
    </w:pPr>
    <w:r w:rsidRPr="00C7060F">
      <w:rPr>
        <w:rFonts w:ascii="Arial" w:hAnsi="Arial" w:cs="Arial"/>
        <w:color w:val="005596"/>
      </w:rPr>
      <w:t>TETRA TECH</w:t>
    </w:r>
    <w:r w:rsidRPr="00C7060F">
      <w:rPr>
        <w:rFonts w:ascii="Arial" w:hAnsi="Arial" w:cs="Arial"/>
        <w:color w:val="005596"/>
        <w:sz w:val="22"/>
        <w:szCs w:val="21"/>
      </w:rPr>
      <w:ptab w:relativeTo="margin" w:alignment="center" w:leader="none"/>
    </w:r>
    <w:r w:rsidRPr="00C7060F">
      <w:rPr>
        <w:rFonts w:ascii="Arial" w:hAnsi="Arial" w:cs="Arial"/>
        <w:color w:val="005596"/>
        <w:sz w:val="22"/>
        <w:szCs w:val="21"/>
      </w:rPr>
      <w:ptab w:relativeTo="margin" w:alignment="right" w:leader="none"/>
    </w:r>
    <w:r w:rsidRPr="00C7060F">
      <w:rPr>
        <w:rFonts w:ascii="Arial" w:hAnsi="Arial" w:cs="Arial"/>
        <w:color w:val="808080" w:themeColor="background1" w:themeShade="80"/>
        <w:sz w:val="22"/>
        <w:szCs w:val="21"/>
      </w:rPr>
      <w:t>page</w:t>
    </w:r>
    <w:r w:rsidRPr="00C7060F">
      <w:rPr>
        <w:rFonts w:ascii="Arial" w:hAnsi="Arial" w:cs="Arial"/>
        <w:color w:val="005596"/>
        <w:sz w:val="22"/>
        <w:szCs w:val="21"/>
      </w:rPr>
      <w:t xml:space="preserve"> </w:t>
    </w:r>
    <w:sdt>
      <w:sdtPr>
        <w:rPr>
          <w:rFonts w:ascii="Arial" w:hAnsi="Arial" w:cs="Arial"/>
        </w:rPr>
        <w:id w:val="-1306848322"/>
        <w:docPartObj>
          <w:docPartGallery w:val="Page Numbers (Top of Page)"/>
          <w:docPartUnique/>
        </w:docPartObj>
      </w:sdtPr>
      <w:sdtEndPr>
        <w:rPr>
          <w:noProof/>
          <w:color w:val="808080" w:themeColor="background1" w:themeShade="80"/>
        </w:rPr>
      </w:sdtEndPr>
      <w:sdtContent>
        <w:r w:rsidRPr="00684FFD">
          <w:rPr>
            <w:rFonts w:ascii="Arial" w:hAnsi="Arial" w:cs="Arial"/>
            <w:color w:val="808080" w:themeColor="background1" w:themeShade="80"/>
          </w:rPr>
          <w:fldChar w:fldCharType="begin"/>
        </w:r>
        <w:r w:rsidRPr="00684FFD">
          <w:rPr>
            <w:rFonts w:ascii="Arial" w:hAnsi="Arial" w:cs="Arial"/>
            <w:color w:val="808080" w:themeColor="background1" w:themeShade="80"/>
          </w:rPr>
          <w:instrText xml:space="preserve"> PAGE   \* MERGEFORMAT </w:instrText>
        </w:r>
        <w:r w:rsidRPr="00684FFD">
          <w:rPr>
            <w:rFonts w:ascii="Arial" w:hAnsi="Arial" w:cs="Arial"/>
            <w:color w:val="808080" w:themeColor="background1" w:themeShade="80"/>
          </w:rPr>
          <w:fldChar w:fldCharType="separate"/>
        </w:r>
        <w:r w:rsidR="00804F4F">
          <w:rPr>
            <w:rFonts w:ascii="Arial" w:hAnsi="Arial" w:cs="Arial"/>
            <w:noProof/>
            <w:color w:val="808080" w:themeColor="background1" w:themeShade="80"/>
          </w:rPr>
          <w:t>4</w:t>
        </w:r>
        <w:r w:rsidRPr="00684FFD">
          <w:rPr>
            <w:rFonts w:ascii="Arial" w:hAnsi="Arial" w:cs="Arial"/>
            <w:noProof/>
            <w:color w:val="808080" w:themeColor="background1" w:themeShade="80"/>
          </w:rPr>
          <w:fldChar w:fldCharType="end"/>
        </w:r>
        <w:r w:rsidRPr="00684FFD">
          <w:rPr>
            <w:rFonts w:ascii="Arial" w:hAnsi="Arial" w:cs="Arial"/>
            <w:noProof/>
            <w:color w:val="808080" w:themeColor="background1" w:themeShade="80"/>
          </w:rPr>
          <w:t xml:space="preserve"> of </w:t>
        </w:r>
      </w:sdtContent>
    </w:sdt>
    <w:r w:rsidRPr="00684FFD">
      <w:rPr>
        <w:rFonts w:ascii="Arial" w:hAnsi="Arial" w:cs="Arial"/>
        <w:bCs/>
        <w:noProof/>
        <w:color w:val="808080" w:themeColor="background1" w:themeShade="80"/>
      </w:rPr>
      <w:fldChar w:fldCharType="begin"/>
    </w:r>
    <w:r w:rsidRPr="00684FFD">
      <w:rPr>
        <w:rFonts w:ascii="Arial" w:hAnsi="Arial" w:cs="Arial"/>
        <w:bCs/>
        <w:noProof/>
        <w:color w:val="808080" w:themeColor="background1" w:themeShade="80"/>
      </w:rPr>
      <w:instrText xml:space="preserve"> NUMPAGES  </w:instrText>
    </w:r>
    <w:r w:rsidRPr="00684FFD">
      <w:rPr>
        <w:rFonts w:ascii="Arial" w:hAnsi="Arial" w:cs="Arial"/>
        <w:bCs/>
        <w:noProof/>
        <w:color w:val="808080" w:themeColor="background1" w:themeShade="80"/>
      </w:rPr>
      <w:fldChar w:fldCharType="separate"/>
    </w:r>
    <w:r w:rsidR="00804F4F">
      <w:rPr>
        <w:rFonts w:ascii="Arial" w:hAnsi="Arial" w:cs="Arial"/>
        <w:bCs/>
        <w:noProof/>
        <w:color w:val="808080" w:themeColor="background1" w:themeShade="80"/>
      </w:rPr>
      <w:t>18</w:t>
    </w:r>
    <w:r w:rsidRPr="00684FFD">
      <w:rPr>
        <w:rFonts w:ascii="Arial" w:hAnsi="Arial" w:cs="Arial"/>
        <w:noProof/>
        <w:color w:val="808080" w:themeColor="background1" w:themeShade="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31D" w:rsidRPr="00045E39" w:rsidRDefault="0086131D" w:rsidP="00045E39">
    <w:pPr>
      <w:pStyle w:val="TtFooter-EntityName"/>
    </w:pPr>
    <w:r>
      <w:t>Tetra Tech, Inc.</w:t>
    </w:r>
  </w:p>
  <w:p w:rsidR="0086131D" w:rsidRPr="00D12DB0" w:rsidRDefault="0086131D" w:rsidP="00D12DB0">
    <w:pPr>
      <w:pStyle w:val="Footer"/>
      <w:jc w:val="right"/>
    </w:pPr>
    <w:r w:rsidRPr="00045E39">
      <w:rPr>
        <w:rStyle w:val="TtFooter-LabelChar"/>
      </w:rPr>
      <w:t>tetratech.com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00E" w:rsidRDefault="00F5600E" w:rsidP="00F859C6">
      <w:r>
        <w:separator/>
      </w:r>
    </w:p>
    <w:p w:rsidR="00F5600E" w:rsidRDefault="00F5600E"/>
  </w:footnote>
  <w:footnote w:type="continuationSeparator" w:id="0">
    <w:p w:rsidR="00F5600E" w:rsidRDefault="00F5600E" w:rsidP="00F859C6">
      <w:r>
        <w:continuationSeparator/>
      </w:r>
    </w:p>
    <w:p w:rsidR="00F5600E" w:rsidRDefault="00F5600E"/>
  </w:footnote>
  <w:footnote w:type="continuationNotice" w:id="1">
    <w:p w:rsidR="00F5600E" w:rsidRDefault="00F5600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31D" w:rsidRPr="00C7060F" w:rsidRDefault="0086131D">
    <w:pPr>
      <w:pStyle w:val="Header"/>
      <w:rPr>
        <w:rFonts w:ascii="Arial" w:hAnsi="Arial" w:cs="Arial"/>
        <w:color w:val="808080" w:themeColor="background1" w:themeShade="80"/>
        <w:sz w:val="22"/>
      </w:rPr>
    </w:pPr>
    <w:r w:rsidRPr="00C7060F">
      <w:rPr>
        <w:rFonts w:ascii="Arial" w:hAnsi="Arial" w:cs="Arial"/>
        <w:color w:val="808080" w:themeColor="background1" w:themeShade="80"/>
        <w:sz w:val="22"/>
      </w:rPr>
      <w:t>Caloosahatchee Modeling Support</w:t>
    </w:r>
    <w:r w:rsidRPr="00C7060F">
      <w:rPr>
        <w:rFonts w:ascii="Arial" w:hAnsi="Arial" w:cs="Arial"/>
        <w:color w:val="808080" w:themeColor="background1" w:themeShade="80"/>
        <w:sz w:val="22"/>
      </w:rPr>
      <w:ptab w:relativeTo="margin" w:alignment="center" w:leader="none"/>
    </w:r>
    <w:r w:rsidRPr="00C7060F">
      <w:rPr>
        <w:rFonts w:ascii="Arial" w:hAnsi="Arial" w:cs="Arial"/>
        <w:color w:val="808080" w:themeColor="background1" w:themeShade="80"/>
        <w:sz w:val="22"/>
      </w:rPr>
      <w:ptab w:relativeTo="margin" w:alignment="right" w:leader="none"/>
    </w:r>
    <w:r>
      <w:rPr>
        <w:rFonts w:ascii="Arial" w:hAnsi="Arial" w:cs="Arial"/>
        <w:color w:val="808080" w:themeColor="background1" w:themeShade="80"/>
        <w:sz w:val="22"/>
      </w:rPr>
      <w:t>Light Calibration</w:t>
    </w:r>
  </w:p>
  <w:p w:rsidR="0086131D" w:rsidRPr="00C7060F" w:rsidRDefault="0086131D" w:rsidP="004F4DAA">
    <w:pPr>
      <w:pStyle w:val="Header"/>
      <w:jc w:val="right"/>
      <w:rPr>
        <w:rFonts w:ascii="Arial" w:hAnsi="Arial" w:cs="Arial"/>
        <w:color w:val="808080" w:themeColor="background1" w:themeShade="80"/>
        <w:sz w:val="22"/>
      </w:rPr>
    </w:pPr>
    <w:r>
      <w:rPr>
        <w:rFonts w:ascii="Arial" w:hAnsi="Arial" w:cs="Arial"/>
        <w:color w:val="808080" w:themeColor="background1" w:themeShade="80"/>
        <w:sz w:val="22"/>
      </w:rPr>
      <w:t>November 15</w:t>
    </w:r>
    <w:r w:rsidRPr="00C7060F">
      <w:rPr>
        <w:rFonts w:ascii="Arial" w:hAnsi="Arial" w:cs="Arial"/>
        <w:color w:val="808080" w:themeColor="background1" w:themeShade="80"/>
        <w:sz w:val="22"/>
      </w:rPr>
      <w:t>, 2016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31D" w:rsidRPr="00A4707C" w:rsidRDefault="0086131D" w:rsidP="00001C2E">
    <w:pPr>
      <w:pStyle w:val="TtHeader-Title1"/>
    </w:pPr>
    <w:r w:rsidRPr="00A4707C">
      <w:t>MEMO</w:t>
    </w:r>
    <w:r w:rsidRPr="00A4707C">
      <w:rPr>
        <w:noProof/>
      </w:rPr>
      <w:drawing>
        <wp:anchor distT="0" distB="594360" distL="0" distR="0" simplePos="0" relativeHeight="251659264" behindDoc="0" locked="0" layoutInCell="1" allowOverlap="1" wp14:anchorId="36EE6C7D" wp14:editId="73C4BA05">
          <wp:simplePos x="0" y="0"/>
          <wp:positionH relativeFrom="column">
            <wp:posOffset>0</wp:posOffset>
          </wp:positionH>
          <wp:positionV relativeFrom="paragraph">
            <wp:posOffset>0</wp:posOffset>
          </wp:positionV>
          <wp:extent cx="1943100" cy="506095"/>
          <wp:effectExtent l="0" t="0" r="12700" b="190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06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21C"/>
    <w:multiLevelType w:val="multilevel"/>
    <w:tmpl w:val="856ACDC0"/>
    <w:lvl w:ilvl="0">
      <w:start w:val="1"/>
      <w:numFmt w:val="bullet"/>
      <w:pStyle w:val="TableBullet"/>
      <w:lvlText w:val=""/>
      <w:lvlJc w:val="left"/>
      <w:pPr>
        <w:tabs>
          <w:tab w:val="num" w:pos="288"/>
        </w:tabs>
        <w:ind w:left="288" w:hanging="216"/>
      </w:pPr>
      <w:rPr>
        <w:rFonts w:ascii="Symbol" w:hAnsi="Symbol"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32A32"/>
    <w:multiLevelType w:val="hybridMultilevel"/>
    <w:tmpl w:val="DFFA32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6260FF7"/>
    <w:multiLevelType w:val="hybridMultilevel"/>
    <w:tmpl w:val="2E0A79D6"/>
    <w:lvl w:ilvl="0" w:tplc="6FAEE318">
      <w:start w:val="1"/>
      <w:numFmt w:val="bullet"/>
      <w:pStyle w:val="TableBullet2"/>
      <w:lvlText w:val="o"/>
      <w:lvlJc w:val="left"/>
      <w:pPr>
        <w:tabs>
          <w:tab w:val="num" w:pos="504"/>
        </w:tabs>
        <w:ind w:left="504" w:hanging="216"/>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21F61"/>
    <w:multiLevelType w:val="hybridMultilevel"/>
    <w:tmpl w:val="7E94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8719E"/>
    <w:multiLevelType w:val="multilevel"/>
    <w:tmpl w:val="DBA87A80"/>
    <w:styleLink w:val="Headings"/>
    <w:lvl w:ilvl="0">
      <w:start w:val="1"/>
      <w:numFmt w:val="decimal"/>
      <w:suff w:val="space"/>
      <w:lvlText w:val="%1.0"/>
      <w:lvlJc w:val="left"/>
      <w:pPr>
        <w:ind w:left="792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5" w15:restartNumberingAfterBreak="0">
    <w:nsid w:val="0C5A11D6"/>
    <w:multiLevelType w:val="hybridMultilevel"/>
    <w:tmpl w:val="EF8447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16080"/>
    <w:multiLevelType w:val="hybridMultilevel"/>
    <w:tmpl w:val="BE2C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862877"/>
    <w:multiLevelType w:val="hybridMultilevel"/>
    <w:tmpl w:val="0ED6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9D3E1B"/>
    <w:multiLevelType w:val="hybridMultilevel"/>
    <w:tmpl w:val="38CA1D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A83FF6"/>
    <w:multiLevelType w:val="hybridMultilevel"/>
    <w:tmpl w:val="8C96F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BF7622"/>
    <w:multiLevelType w:val="hybridMultilevel"/>
    <w:tmpl w:val="6B66A36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EEC0460"/>
    <w:multiLevelType w:val="hybridMultilevel"/>
    <w:tmpl w:val="3134E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E6DBF"/>
    <w:multiLevelType w:val="hybridMultilevel"/>
    <w:tmpl w:val="316C8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C33D4"/>
    <w:multiLevelType w:val="hybridMultilevel"/>
    <w:tmpl w:val="0750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61012E"/>
    <w:multiLevelType w:val="hybridMultilevel"/>
    <w:tmpl w:val="23DC08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2FC634C2">
      <w:start w:val="1"/>
      <w:numFmt w:val="decimal"/>
      <w:lvlText w:val="%3"/>
      <w:lvlJc w:val="left"/>
      <w:pPr>
        <w:ind w:left="2400" w:hanging="4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6E42CB"/>
    <w:multiLevelType w:val="multilevel"/>
    <w:tmpl w:val="60922F94"/>
    <w:lvl w:ilvl="0">
      <w:start w:val="1"/>
      <w:numFmt w:val="bullet"/>
      <w:lvlText w:val=""/>
      <w:lvlJc w:val="left"/>
      <w:pPr>
        <w:tabs>
          <w:tab w:val="num" w:pos="720"/>
        </w:tabs>
        <w:ind w:left="720" w:hanging="360"/>
      </w:pPr>
      <w:rPr>
        <w:rFonts w:ascii="Symbol" w:hAnsi="Symbol" w:hint="default"/>
        <w:sz w:val="20"/>
      </w:rPr>
    </w:lvl>
    <w:lvl w:ilvl="1">
      <w:start w:val="1"/>
      <w:numFmt w:val="bullet"/>
      <w:pStyle w:val="ListBullet2"/>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C72874"/>
    <w:multiLevelType w:val="hybridMultilevel"/>
    <w:tmpl w:val="0754A32A"/>
    <w:lvl w:ilvl="0" w:tplc="2AE4DF46">
      <w:start w:val="1"/>
      <w:numFmt w:val="decimal"/>
      <w:pStyle w:val="FigureTitle2-1"/>
      <w:lvlText w:val="Figure 3-%1."/>
      <w:lvlJc w:val="left"/>
      <w:pPr>
        <w:tabs>
          <w:tab w:val="num" w:pos="2520"/>
        </w:tabs>
        <w:ind w:left="720" w:hanging="360"/>
      </w:pPr>
    </w:lvl>
    <w:lvl w:ilvl="1" w:tplc="4C746544">
      <w:start w:val="1"/>
      <w:numFmt w:val="decimal"/>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43218FF"/>
    <w:multiLevelType w:val="hybridMultilevel"/>
    <w:tmpl w:val="389AE4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034803"/>
    <w:multiLevelType w:val="hybridMultilevel"/>
    <w:tmpl w:val="EF7E48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9D4C94"/>
    <w:multiLevelType w:val="hybridMultilevel"/>
    <w:tmpl w:val="28164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282181"/>
    <w:multiLevelType w:val="hybridMultilevel"/>
    <w:tmpl w:val="1C98465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84175"/>
    <w:multiLevelType w:val="hybridMultilevel"/>
    <w:tmpl w:val="BE3222D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2230130"/>
    <w:multiLevelType w:val="hybridMultilevel"/>
    <w:tmpl w:val="3580F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EC151D"/>
    <w:multiLevelType w:val="hybridMultilevel"/>
    <w:tmpl w:val="69FC86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651230"/>
    <w:multiLevelType w:val="hybridMultilevel"/>
    <w:tmpl w:val="DB8E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814C3D"/>
    <w:multiLevelType w:val="hybridMultilevel"/>
    <w:tmpl w:val="1E006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94713"/>
    <w:multiLevelType w:val="hybridMultilevel"/>
    <w:tmpl w:val="F32A37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830777D"/>
    <w:multiLevelType w:val="hybridMultilevel"/>
    <w:tmpl w:val="998AF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B66464"/>
    <w:multiLevelType w:val="hybridMultilevel"/>
    <w:tmpl w:val="1D1AF73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CAB55FE"/>
    <w:multiLevelType w:val="hybridMultilevel"/>
    <w:tmpl w:val="7CEE48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F851A1"/>
    <w:multiLevelType w:val="hybridMultilevel"/>
    <w:tmpl w:val="DB840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632020"/>
    <w:multiLevelType w:val="hybridMultilevel"/>
    <w:tmpl w:val="F7CCF2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1936CE"/>
    <w:multiLevelType w:val="hybridMultilevel"/>
    <w:tmpl w:val="DC68261C"/>
    <w:lvl w:ilvl="0" w:tplc="5E346BCC">
      <w:start w:val="1"/>
      <w:numFmt w:val="decimal"/>
      <w:pStyle w:val="TableTitle3-1"/>
      <w:lvlText w:val="Table 3-%1."/>
      <w:lvlJc w:val="left"/>
      <w:pPr>
        <w:tabs>
          <w:tab w:val="num" w:pos="21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6D1B6B09"/>
    <w:multiLevelType w:val="hybridMultilevel"/>
    <w:tmpl w:val="F36A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31691F"/>
    <w:multiLevelType w:val="hybridMultilevel"/>
    <w:tmpl w:val="AD18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9E3727"/>
    <w:multiLevelType w:val="hybridMultilevel"/>
    <w:tmpl w:val="7AC2E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C8363B"/>
    <w:multiLevelType w:val="hybridMultilevel"/>
    <w:tmpl w:val="FD5EA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4D60438"/>
    <w:multiLevelType w:val="multilevel"/>
    <w:tmpl w:val="CFBCF8CE"/>
    <w:lvl w:ilvl="0">
      <w:start w:val="1"/>
      <w:numFmt w:val="decimal"/>
      <w:pStyle w:val="Heading1"/>
      <w:suff w:val="space"/>
      <w:lvlText w:val="%1.0"/>
      <w:lvlJc w:val="left"/>
      <w:pPr>
        <w:ind w:left="7920" w:hanging="792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8" w15:restartNumberingAfterBreak="0">
    <w:nsid w:val="77485F8A"/>
    <w:multiLevelType w:val="hybridMultilevel"/>
    <w:tmpl w:val="E034B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F2099"/>
    <w:multiLevelType w:val="hybridMultilevel"/>
    <w:tmpl w:val="F2F09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EB00090"/>
    <w:multiLevelType w:val="multilevel"/>
    <w:tmpl w:val="FEE66EA0"/>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pStyle w:val="ListBullet3"/>
      <w:lvlText w:val=""/>
      <w:lvlJc w:val="left"/>
      <w:pPr>
        <w:tabs>
          <w:tab w:val="num" w:pos="2160"/>
        </w:tabs>
        <w:ind w:left="2160" w:hanging="360"/>
      </w:pPr>
      <w:rPr>
        <w:rFonts w:ascii="Wingdings" w:hAnsi="Wingdings" w:hint="default"/>
        <w:sz w:val="20"/>
      </w:rPr>
    </w:lvl>
    <w:lvl w:ilvl="3">
      <w:start w:val="1"/>
      <w:numFmt w:val="bullet"/>
      <w:pStyle w:val="ListBullet4"/>
      <w:lvlText w:val=""/>
      <w:lvlJc w:val="left"/>
      <w:pPr>
        <w:tabs>
          <w:tab w:val="num" w:pos="2880"/>
        </w:tabs>
        <w:ind w:left="2880" w:hanging="360"/>
      </w:pPr>
      <w:rPr>
        <w:rFonts w:ascii="Wingdings" w:hAnsi="Wingdings" w:hint="default"/>
        <w:sz w:val="20"/>
      </w:rPr>
    </w:lvl>
    <w:lvl w:ilvl="4">
      <w:start w:val="1"/>
      <w:numFmt w:val="bullet"/>
      <w:pStyle w:val="ListBullet5"/>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357DF"/>
    <w:multiLevelType w:val="hybridMultilevel"/>
    <w:tmpl w:val="95601720"/>
    <w:lvl w:ilvl="0" w:tplc="F9DE59E8">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0"/>
  </w:num>
  <w:num w:numId="3">
    <w:abstractNumId w:val="41"/>
  </w:num>
  <w:num w:numId="4">
    <w:abstractNumId w:val="15"/>
  </w:num>
  <w:num w:numId="5">
    <w:abstractNumId w:val="2"/>
  </w:num>
  <w:num w:numId="6">
    <w:abstractNumId w:val="4"/>
  </w:num>
  <w:num w:numId="7">
    <w:abstractNumId w:val="37"/>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4"/>
  </w:num>
  <w:num w:numId="12">
    <w:abstractNumId w:val="33"/>
  </w:num>
  <w:num w:numId="13">
    <w:abstractNumId w:val="7"/>
  </w:num>
  <w:num w:numId="14">
    <w:abstractNumId w:val="1"/>
  </w:num>
  <w:num w:numId="15">
    <w:abstractNumId w:val="25"/>
  </w:num>
  <w:num w:numId="16">
    <w:abstractNumId w:val="9"/>
  </w:num>
  <w:num w:numId="17">
    <w:abstractNumId w:val="39"/>
  </w:num>
  <w:num w:numId="18">
    <w:abstractNumId w:val="10"/>
  </w:num>
  <w:num w:numId="19">
    <w:abstractNumId w:val="26"/>
  </w:num>
  <w:num w:numId="20">
    <w:abstractNumId w:val="28"/>
  </w:num>
  <w:num w:numId="21">
    <w:abstractNumId w:val="8"/>
  </w:num>
  <w:num w:numId="22">
    <w:abstractNumId w:val="17"/>
  </w:num>
  <w:num w:numId="23">
    <w:abstractNumId w:val="31"/>
  </w:num>
  <w:num w:numId="24">
    <w:abstractNumId w:val="21"/>
  </w:num>
  <w:num w:numId="25">
    <w:abstractNumId w:val="18"/>
  </w:num>
  <w:num w:numId="26">
    <w:abstractNumId w:val="29"/>
  </w:num>
  <w:num w:numId="27">
    <w:abstractNumId w:val="36"/>
  </w:num>
  <w:num w:numId="28">
    <w:abstractNumId w:val="20"/>
  </w:num>
  <w:num w:numId="29">
    <w:abstractNumId w:val="5"/>
  </w:num>
  <w:num w:numId="30">
    <w:abstractNumId w:val="13"/>
  </w:num>
  <w:num w:numId="31">
    <w:abstractNumId w:val="16"/>
  </w:num>
  <w:num w:numId="32">
    <w:abstractNumId w:val="38"/>
  </w:num>
  <w:num w:numId="33">
    <w:abstractNumId w:val="34"/>
  </w:num>
  <w:num w:numId="34">
    <w:abstractNumId w:val="12"/>
  </w:num>
  <w:num w:numId="35">
    <w:abstractNumId w:val="27"/>
  </w:num>
  <w:num w:numId="36">
    <w:abstractNumId w:val="22"/>
  </w:num>
  <w:num w:numId="37">
    <w:abstractNumId w:val="35"/>
  </w:num>
  <w:num w:numId="38">
    <w:abstractNumId w:val="3"/>
  </w:num>
  <w:num w:numId="39">
    <w:abstractNumId w:val="19"/>
  </w:num>
  <w:num w:numId="40">
    <w:abstractNumId w:val="11"/>
  </w:num>
  <w:num w:numId="41">
    <w:abstractNumId w:val="30"/>
  </w:num>
  <w:num w:numId="42">
    <w:abstractNumId w:val="14"/>
  </w:num>
  <w:num w:numId="43">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DawMLY0szQ0MTMxNjBR0lEKTi0uzszPAykwqgUACApw9iwAAAA="/>
  </w:docVars>
  <w:rsids>
    <w:rsidRoot w:val="004D126F"/>
    <w:rsid w:val="000005B1"/>
    <w:rsid w:val="000012B3"/>
    <w:rsid w:val="00001AF7"/>
    <w:rsid w:val="00001C2E"/>
    <w:rsid w:val="0000273A"/>
    <w:rsid w:val="0000509F"/>
    <w:rsid w:val="00005182"/>
    <w:rsid w:val="000059E7"/>
    <w:rsid w:val="00006573"/>
    <w:rsid w:val="000124E9"/>
    <w:rsid w:val="0001395D"/>
    <w:rsid w:val="00016EDE"/>
    <w:rsid w:val="00017381"/>
    <w:rsid w:val="00020AD8"/>
    <w:rsid w:val="00023F96"/>
    <w:rsid w:val="00025336"/>
    <w:rsid w:val="0002574A"/>
    <w:rsid w:val="0002756F"/>
    <w:rsid w:val="00027BC8"/>
    <w:rsid w:val="00027FD3"/>
    <w:rsid w:val="00030539"/>
    <w:rsid w:val="000307FD"/>
    <w:rsid w:val="00030EF6"/>
    <w:rsid w:val="00031E84"/>
    <w:rsid w:val="000320B7"/>
    <w:rsid w:val="00032ABC"/>
    <w:rsid w:val="00036517"/>
    <w:rsid w:val="000365D9"/>
    <w:rsid w:val="00037587"/>
    <w:rsid w:val="000401F3"/>
    <w:rsid w:val="00041AAA"/>
    <w:rsid w:val="00042774"/>
    <w:rsid w:val="00043229"/>
    <w:rsid w:val="00043B9E"/>
    <w:rsid w:val="00045972"/>
    <w:rsid w:val="00045AC3"/>
    <w:rsid w:val="00045E39"/>
    <w:rsid w:val="000461DD"/>
    <w:rsid w:val="000470B7"/>
    <w:rsid w:val="000473A1"/>
    <w:rsid w:val="000509E6"/>
    <w:rsid w:val="00050E16"/>
    <w:rsid w:val="00050F6D"/>
    <w:rsid w:val="000511A9"/>
    <w:rsid w:val="000532E4"/>
    <w:rsid w:val="00054E50"/>
    <w:rsid w:val="00054FBC"/>
    <w:rsid w:val="00057530"/>
    <w:rsid w:val="00060104"/>
    <w:rsid w:val="000603CF"/>
    <w:rsid w:val="00060849"/>
    <w:rsid w:val="00062D7E"/>
    <w:rsid w:val="00064026"/>
    <w:rsid w:val="00064919"/>
    <w:rsid w:val="00064C8B"/>
    <w:rsid w:val="00064DDB"/>
    <w:rsid w:val="00065234"/>
    <w:rsid w:val="000662C7"/>
    <w:rsid w:val="00067461"/>
    <w:rsid w:val="00071E6C"/>
    <w:rsid w:val="00071F9B"/>
    <w:rsid w:val="00071FCE"/>
    <w:rsid w:val="000720FB"/>
    <w:rsid w:val="00074F53"/>
    <w:rsid w:val="00075087"/>
    <w:rsid w:val="000761D7"/>
    <w:rsid w:val="0007633F"/>
    <w:rsid w:val="00076B35"/>
    <w:rsid w:val="00077142"/>
    <w:rsid w:val="00081DEE"/>
    <w:rsid w:val="00084E78"/>
    <w:rsid w:val="000869C2"/>
    <w:rsid w:val="00087556"/>
    <w:rsid w:val="00093E66"/>
    <w:rsid w:val="000A0234"/>
    <w:rsid w:val="000A0B8E"/>
    <w:rsid w:val="000A0FD8"/>
    <w:rsid w:val="000A2C30"/>
    <w:rsid w:val="000A3E97"/>
    <w:rsid w:val="000A70FE"/>
    <w:rsid w:val="000A777A"/>
    <w:rsid w:val="000A7A15"/>
    <w:rsid w:val="000B017C"/>
    <w:rsid w:val="000B1232"/>
    <w:rsid w:val="000B3C98"/>
    <w:rsid w:val="000B5815"/>
    <w:rsid w:val="000B7C84"/>
    <w:rsid w:val="000B7D7A"/>
    <w:rsid w:val="000B7FE4"/>
    <w:rsid w:val="000C0DEA"/>
    <w:rsid w:val="000C13C0"/>
    <w:rsid w:val="000C4A89"/>
    <w:rsid w:val="000C558D"/>
    <w:rsid w:val="000C5EA4"/>
    <w:rsid w:val="000C61AA"/>
    <w:rsid w:val="000C6A1B"/>
    <w:rsid w:val="000D03B3"/>
    <w:rsid w:val="000D1CBC"/>
    <w:rsid w:val="000D1FC2"/>
    <w:rsid w:val="000D2CDF"/>
    <w:rsid w:val="000D33FE"/>
    <w:rsid w:val="000D3B6A"/>
    <w:rsid w:val="000D5227"/>
    <w:rsid w:val="000D5541"/>
    <w:rsid w:val="000D5A5C"/>
    <w:rsid w:val="000D615E"/>
    <w:rsid w:val="000D78D3"/>
    <w:rsid w:val="000E02D0"/>
    <w:rsid w:val="000E053D"/>
    <w:rsid w:val="000E1123"/>
    <w:rsid w:val="000E1556"/>
    <w:rsid w:val="000E15BC"/>
    <w:rsid w:val="000E2454"/>
    <w:rsid w:val="000E398F"/>
    <w:rsid w:val="000E3B25"/>
    <w:rsid w:val="000E5493"/>
    <w:rsid w:val="000E5BD6"/>
    <w:rsid w:val="000E6270"/>
    <w:rsid w:val="000E6410"/>
    <w:rsid w:val="000E6E56"/>
    <w:rsid w:val="000E781E"/>
    <w:rsid w:val="000F0D0D"/>
    <w:rsid w:val="000F5D65"/>
    <w:rsid w:val="000F5F7A"/>
    <w:rsid w:val="000F6605"/>
    <w:rsid w:val="000F75A3"/>
    <w:rsid w:val="0010059F"/>
    <w:rsid w:val="00101463"/>
    <w:rsid w:val="00101812"/>
    <w:rsid w:val="001019D1"/>
    <w:rsid w:val="00101E51"/>
    <w:rsid w:val="00101ECE"/>
    <w:rsid w:val="00103204"/>
    <w:rsid w:val="00105F72"/>
    <w:rsid w:val="00107986"/>
    <w:rsid w:val="00110CAF"/>
    <w:rsid w:val="0011121B"/>
    <w:rsid w:val="00114446"/>
    <w:rsid w:val="001156DE"/>
    <w:rsid w:val="00115A61"/>
    <w:rsid w:val="0011716C"/>
    <w:rsid w:val="001171E4"/>
    <w:rsid w:val="00117E1D"/>
    <w:rsid w:val="00120223"/>
    <w:rsid w:val="00122917"/>
    <w:rsid w:val="001240C9"/>
    <w:rsid w:val="00124654"/>
    <w:rsid w:val="001265BA"/>
    <w:rsid w:val="00127308"/>
    <w:rsid w:val="00132E94"/>
    <w:rsid w:val="0013301B"/>
    <w:rsid w:val="00133408"/>
    <w:rsid w:val="00140025"/>
    <w:rsid w:val="0014049F"/>
    <w:rsid w:val="00142372"/>
    <w:rsid w:val="00142E65"/>
    <w:rsid w:val="0014416A"/>
    <w:rsid w:val="00144CA6"/>
    <w:rsid w:val="00145886"/>
    <w:rsid w:val="00145A1F"/>
    <w:rsid w:val="00145B4A"/>
    <w:rsid w:val="001461CF"/>
    <w:rsid w:val="001476F8"/>
    <w:rsid w:val="00150095"/>
    <w:rsid w:val="001502C6"/>
    <w:rsid w:val="00151779"/>
    <w:rsid w:val="001522A4"/>
    <w:rsid w:val="00153422"/>
    <w:rsid w:val="00153C79"/>
    <w:rsid w:val="001540FF"/>
    <w:rsid w:val="0015592D"/>
    <w:rsid w:val="00155FA9"/>
    <w:rsid w:val="00156F1F"/>
    <w:rsid w:val="00157522"/>
    <w:rsid w:val="001579EA"/>
    <w:rsid w:val="00161254"/>
    <w:rsid w:val="00162F4B"/>
    <w:rsid w:val="001657EA"/>
    <w:rsid w:val="00165B38"/>
    <w:rsid w:val="0016680C"/>
    <w:rsid w:val="00166CC6"/>
    <w:rsid w:val="001676C3"/>
    <w:rsid w:val="00167886"/>
    <w:rsid w:val="0017091C"/>
    <w:rsid w:val="00171560"/>
    <w:rsid w:val="00173AE5"/>
    <w:rsid w:val="00173E81"/>
    <w:rsid w:val="001801BE"/>
    <w:rsid w:val="0018119A"/>
    <w:rsid w:val="00181D04"/>
    <w:rsid w:val="00185A24"/>
    <w:rsid w:val="00186C25"/>
    <w:rsid w:val="0018796A"/>
    <w:rsid w:val="0019004B"/>
    <w:rsid w:val="00190662"/>
    <w:rsid w:val="0019145F"/>
    <w:rsid w:val="00191879"/>
    <w:rsid w:val="001934E2"/>
    <w:rsid w:val="0019526C"/>
    <w:rsid w:val="00195988"/>
    <w:rsid w:val="001967CE"/>
    <w:rsid w:val="0019724E"/>
    <w:rsid w:val="001A1015"/>
    <w:rsid w:val="001A240D"/>
    <w:rsid w:val="001A2516"/>
    <w:rsid w:val="001A27F9"/>
    <w:rsid w:val="001A2D3A"/>
    <w:rsid w:val="001A3A94"/>
    <w:rsid w:val="001A3C1A"/>
    <w:rsid w:val="001A3E27"/>
    <w:rsid w:val="001B0979"/>
    <w:rsid w:val="001B2072"/>
    <w:rsid w:val="001B2E68"/>
    <w:rsid w:val="001B42DB"/>
    <w:rsid w:val="001B5D0E"/>
    <w:rsid w:val="001B7DA1"/>
    <w:rsid w:val="001C0A15"/>
    <w:rsid w:val="001C16BF"/>
    <w:rsid w:val="001C2259"/>
    <w:rsid w:val="001C58B0"/>
    <w:rsid w:val="001C58E6"/>
    <w:rsid w:val="001C5F5E"/>
    <w:rsid w:val="001C5FF4"/>
    <w:rsid w:val="001C708D"/>
    <w:rsid w:val="001C731F"/>
    <w:rsid w:val="001C7C76"/>
    <w:rsid w:val="001C7CEF"/>
    <w:rsid w:val="001D12FA"/>
    <w:rsid w:val="001D1915"/>
    <w:rsid w:val="001D2103"/>
    <w:rsid w:val="001D2240"/>
    <w:rsid w:val="001D4ECA"/>
    <w:rsid w:val="001D7053"/>
    <w:rsid w:val="001D78B1"/>
    <w:rsid w:val="001E14BE"/>
    <w:rsid w:val="001E164B"/>
    <w:rsid w:val="001E25EC"/>
    <w:rsid w:val="001E337B"/>
    <w:rsid w:val="001E4472"/>
    <w:rsid w:val="001E530B"/>
    <w:rsid w:val="001E5C1F"/>
    <w:rsid w:val="001E6C24"/>
    <w:rsid w:val="001F1E45"/>
    <w:rsid w:val="001F2712"/>
    <w:rsid w:val="001F2B1D"/>
    <w:rsid w:val="001F3089"/>
    <w:rsid w:val="001F3242"/>
    <w:rsid w:val="001F37B8"/>
    <w:rsid w:val="001F5233"/>
    <w:rsid w:val="001F5C83"/>
    <w:rsid w:val="001F7F47"/>
    <w:rsid w:val="00201264"/>
    <w:rsid w:val="0020190E"/>
    <w:rsid w:val="00202B05"/>
    <w:rsid w:val="00203C5B"/>
    <w:rsid w:val="00203CE3"/>
    <w:rsid w:val="002052CD"/>
    <w:rsid w:val="00206692"/>
    <w:rsid w:val="002130E1"/>
    <w:rsid w:val="00213B19"/>
    <w:rsid w:val="00213C21"/>
    <w:rsid w:val="00214183"/>
    <w:rsid w:val="00214D70"/>
    <w:rsid w:val="002154F9"/>
    <w:rsid w:val="00216762"/>
    <w:rsid w:val="00217331"/>
    <w:rsid w:val="002176F1"/>
    <w:rsid w:val="002207C9"/>
    <w:rsid w:val="00220E9D"/>
    <w:rsid w:val="0022185E"/>
    <w:rsid w:val="00222FAB"/>
    <w:rsid w:val="00223C5E"/>
    <w:rsid w:val="00224F8E"/>
    <w:rsid w:val="00224F95"/>
    <w:rsid w:val="00224FCE"/>
    <w:rsid w:val="002257DB"/>
    <w:rsid w:val="002266E8"/>
    <w:rsid w:val="00227534"/>
    <w:rsid w:val="002313B3"/>
    <w:rsid w:val="00231BCC"/>
    <w:rsid w:val="00234E44"/>
    <w:rsid w:val="00235434"/>
    <w:rsid w:val="00235DCF"/>
    <w:rsid w:val="00236248"/>
    <w:rsid w:val="00236637"/>
    <w:rsid w:val="00236735"/>
    <w:rsid w:val="00237C36"/>
    <w:rsid w:val="00240350"/>
    <w:rsid w:val="00241164"/>
    <w:rsid w:val="00242354"/>
    <w:rsid w:val="002437B9"/>
    <w:rsid w:val="002437E0"/>
    <w:rsid w:val="00246581"/>
    <w:rsid w:val="00246899"/>
    <w:rsid w:val="00251B6D"/>
    <w:rsid w:val="0025287B"/>
    <w:rsid w:val="002533B3"/>
    <w:rsid w:val="00255B7D"/>
    <w:rsid w:val="0025789A"/>
    <w:rsid w:val="00260F5C"/>
    <w:rsid w:val="002625DF"/>
    <w:rsid w:val="002632F4"/>
    <w:rsid w:val="002635B7"/>
    <w:rsid w:val="00264A91"/>
    <w:rsid w:val="0026574B"/>
    <w:rsid w:val="002707ED"/>
    <w:rsid w:val="00273C7B"/>
    <w:rsid w:val="00277908"/>
    <w:rsid w:val="00280ADB"/>
    <w:rsid w:val="0028120B"/>
    <w:rsid w:val="00281BA7"/>
    <w:rsid w:val="00282C48"/>
    <w:rsid w:val="002832DF"/>
    <w:rsid w:val="002839EB"/>
    <w:rsid w:val="00283FBF"/>
    <w:rsid w:val="00285EAF"/>
    <w:rsid w:val="002928D3"/>
    <w:rsid w:val="00293722"/>
    <w:rsid w:val="0029381E"/>
    <w:rsid w:val="00293942"/>
    <w:rsid w:val="00294350"/>
    <w:rsid w:val="002959BB"/>
    <w:rsid w:val="00295A44"/>
    <w:rsid w:val="0029644C"/>
    <w:rsid w:val="002972C4"/>
    <w:rsid w:val="002A14FD"/>
    <w:rsid w:val="002A1C1F"/>
    <w:rsid w:val="002A27BB"/>
    <w:rsid w:val="002A2B93"/>
    <w:rsid w:val="002A336C"/>
    <w:rsid w:val="002A389D"/>
    <w:rsid w:val="002A5449"/>
    <w:rsid w:val="002A58D3"/>
    <w:rsid w:val="002A634D"/>
    <w:rsid w:val="002A7C3D"/>
    <w:rsid w:val="002B03DD"/>
    <w:rsid w:val="002B0C83"/>
    <w:rsid w:val="002B1494"/>
    <w:rsid w:val="002B5147"/>
    <w:rsid w:val="002B6F4B"/>
    <w:rsid w:val="002C03FF"/>
    <w:rsid w:val="002C0CCC"/>
    <w:rsid w:val="002C1D87"/>
    <w:rsid w:val="002C4A36"/>
    <w:rsid w:val="002C5535"/>
    <w:rsid w:val="002C6108"/>
    <w:rsid w:val="002C67D2"/>
    <w:rsid w:val="002C724F"/>
    <w:rsid w:val="002C7CB5"/>
    <w:rsid w:val="002D1964"/>
    <w:rsid w:val="002D25B2"/>
    <w:rsid w:val="002D4971"/>
    <w:rsid w:val="002D4EB8"/>
    <w:rsid w:val="002D4FC6"/>
    <w:rsid w:val="002D5322"/>
    <w:rsid w:val="002D74B2"/>
    <w:rsid w:val="002E05FE"/>
    <w:rsid w:val="002E17D5"/>
    <w:rsid w:val="002E726E"/>
    <w:rsid w:val="002F0BDD"/>
    <w:rsid w:val="002F37F3"/>
    <w:rsid w:val="002F56F1"/>
    <w:rsid w:val="002F6993"/>
    <w:rsid w:val="002F6B72"/>
    <w:rsid w:val="002F6B88"/>
    <w:rsid w:val="00300F05"/>
    <w:rsid w:val="00302220"/>
    <w:rsid w:val="0030395A"/>
    <w:rsid w:val="00304A61"/>
    <w:rsid w:val="0030560E"/>
    <w:rsid w:val="00305C6D"/>
    <w:rsid w:val="00305D39"/>
    <w:rsid w:val="00307045"/>
    <w:rsid w:val="00307117"/>
    <w:rsid w:val="00307C96"/>
    <w:rsid w:val="003104D5"/>
    <w:rsid w:val="00311315"/>
    <w:rsid w:val="0031347C"/>
    <w:rsid w:val="00314C9D"/>
    <w:rsid w:val="00314D05"/>
    <w:rsid w:val="00316461"/>
    <w:rsid w:val="0031666C"/>
    <w:rsid w:val="0031765B"/>
    <w:rsid w:val="003234E0"/>
    <w:rsid w:val="00324A61"/>
    <w:rsid w:val="0032549D"/>
    <w:rsid w:val="00327310"/>
    <w:rsid w:val="00330C24"/>
    <w:rsid w:val="00331927"/>
    <w:rsid w:val="00333A09"/>
    <w:rsid w:val="00337119"/>
    <w:rsid w:val="003402F0"/>
    <w:rsid w:val="0034030B"/>
    <w:rsid w:val="003417A4"/>
    <w:rsid w:val="003439BA"/>
    <w:rsid w:val="003453DA"/>
    <w:rsid w:val="00345E64"/>
    <w:rsid w:val="0035078A"/>
    <w:rsid w:val="00350C3E"/>
    <w:rsid w:val="0035104E"/>
    <w:rsid w:val="003515C0"/>
    <w:rsid w:val="00352C33"/>
    <w:rsid w:val="0035417C"/>
    <w:rsid w:val="00356F2B"/>
    <w:rsid w:val="00360EC9"/>
    <w:rsid w:val="003614DA"/>
    <w:rsid w:val="00362A19"/>
    <w:rsid w:val="00362A6A"/>
    <w:rsid w:val="003630F9"/>
    <w:rsid w:val="00363CB2"/>
    <w:rsid w:val="00365611"/>
    <w:rsid w:val="00365D86"/>
    <w:rsid w:val="003675AC"/>
    <w:rsid w:val="00367E6C"/>
    <w:rsid w:val="00370311"/>
    <w:rsid w:val="00371500"/>
    <w:rsid w:val="00371D95"/>
    <w:rsid w:val="00372517"/>
    <w:rsid w:val="00372674"/>
    <w:rsid w:val="00372AFB"/>
    <w:rsid w:val="0037558F"/>
    <w:rsid w:val="00376038"/>
    <w:rsid w:val="00377610"/>
    <w:rsid w:val="003805EB"/>
    <w:rsid w:val="003810A1"/>
    <w:rsid w:val="00382636"/>
    <w:rsid w:val="003836D3"/>
    <w:rsid w:val="00384AC9"/>
    <w:rsid w:val="00385D5A"/>
    <w:rsid w:val="003867E5"/>
    <w:rsid w:val="00386EAF"/>
    <w:rsid w:val="003871C4"/>
    <w:rsid w:val="00387313"/>
    <w:rsid w:val="00387672"/>
    <w:rsid w:val="00390DA6"/>
    <w:rsid w:val="00391C81"/>
    <w:rsid w:val="003938E8"/>
    <w:rsid w:val="00394407"/>
    <w:rsid w:val="00395002"/>
    <w:rsid w:val="0039536F"/>
    <w:rsid w:val="00395A2A"/>
    <w:rsid w:val="00395D6E"/>
    <w:rsid w:val="00396A79"/>
    <w:rsid w:val="003A0F35"/>
    <w:rsid w:val="003A4624"/>
    <w:rsid w:val="003A68CA"/>
    <w:rsid w:val="003A75BE"/>
    <w:rsid w:val="003A75E0"/>
    <w:rsid w:val="003B0B70"/>
    <w:rsid w:val="003B2465"/>
    <w:rsid w:val="003B3673"/>
    <w:rsid w:val="003B5CAB"/>
    <w:rsid w:val="003B5E4B"/>
    <w:rsid w:val="003B6285"/>
    <w:rsid w:val="003B73E6"/>
    <w:rsid w:val="003B79EC"/>
    <w:rsid w:val="003C0A14"/>
    <w:rsid w:val="003C1DD8"/>
    <w:rsid w:val="003C69FC"/>
    <w:rsid w:val="003C6F9A"/>
    <w:rsid w:val="003C7687"/>
    <w:rsid w:val="003D1F6B"/>
    <w:rsid w:val="003D250B"/>
    <w:rsid w:val="003D2A46"/>
    <w:rsid w:val="003D3391"/>
    <w:rsid w:val="003D47F9"/>
    <w:rsid w:val="003D61B1"/>
    <w:rsid w:val="003D6D8C"/>
    <w:rsid w:val="003E2D0D"/>
    <w:rsid w:val="003E2F01"/>
    <w:rsid w:val="003E3FA9"/>
    <w:rsid w:val="003E45EA"/>
    <w:rsid w:val="003E5A77"/>
    <w:rsid w:val="003E5EEF"/>
    <w:rsid w:val="003E689D"/>
    <w:rsid w:val="003E6C78"/>
    <w:rsid w:val="003E763B"/>
    <w:rsid w:val="003E7886"/>
    <w:rsid w:val="003F0B2E"/>
    <w:rsid w:val="003F16A5"/>
    <w:rsid w:val="003F267F"/>
    <w:rsid w:val="003F3355"/>
    <w:rsid w:val="003F73A5"/>
    <w:rsid w:val="00401EEB"/>
    <w:rsid w:val="004035D9"/>
    <w:rsid w:val="00403CA2"/>
    <w:rsid w:val="004045D1"/>
    <w:rsid w:val="0040488D"/>
    <w:rsid w:val="00404A11"/>
    <w:rsid w:val="00405422"/>
    <w:rsid w:val="00405700"/>
    <w:rsid w:val="00405756"/>
    <w:rsid w:val="00405A5E"/>
    <w:rsid w:val="004074F0"/>
    <w:rsid w:val="004100FB"/>
    <w:rsid w:val="004103FF"/>
    <w:rsid w:val="00411112"/>
    <w:rsid w:val="00413008"/>
    <w:rsid w:val="00413FB6"/>
    <w:rsid w:val="00414858"/>
    <w:rsid w:val="004149FB"/>
    <w:rsid w:val="00415713"/>
    <w:rsid w:val="00416C43"/>
    <w:rsid w:val="004214C8"/>
    <w:rsid w:val="004216AB"/>
    <w:rsid w:val="00426256"/>
    <w:rsid w:val="00426B98"/>
    <w:rsid w:val="00427220"/>
    <w:rsid w:val="0042791F"/>
    <w:rsid w:val="00430A31"/>
    <w:rsid w:val="00430AF2"/>
    <w:rsid w:val="00430E24"/>
    <w:rsid w:val="00431F77"/>
    <w:rsid w:val="00433C37"/>
    <w:rsid w:val="004340C8"/>
    <w:rsid w:val="004351BB"/>
    <w:rsid w:val="004352F9"/>
    <w:rsid w:val="004367A1"/>
    <w:rsid w:val="0044058E"/>
    <w:rsid w:val="00440ACB"/>
    <w:rsid w:val="00440FD3"/>
    <w:rsid w:val="00441CDE"/>
    <w:rsid w:val="00444441"/>
    <w:rsid w:val="004445F1"/>
    <w:rsid w:val="00444E54"/>
    <w:rsid w:val="00447332"/>
    <w:rsid w:val="00450DDA"/>
    <w:rsid w:val="00451E5C"/>
    <w:rsid w:val="0045238A"/>
    <w:rsid w:val="00454880"/>
    <w:rsid w:val="004553D9"/>
    <w:rsid w:val="00455F95"/>
    <w:rsid w:val="00457BBC"/>
    <w:rsid w:val="004608DF"/>
    <w:rsid w:val="00460B3D"/>
    <w:rsid w:val="00461DB0"/>
    <w:rsid w:val="004620E3"/>
    <w:rsid w:val="00464372"/>
    <w:rsid w:val="004658ED"/>
    <w:rsid w:val="004669CE"/>
    <w:rsid w:val="00466E39"/>
    <w:rsid w:val="00467891"/>
    <w:rsid w:val="0047162B"/>
    <w:rsid w:val="00472CC2"/>
    <w:rsid w:val="00473CD1"/>
    <w:rsid w:val="00474FBF"/>
    <w:rsid w:val="00475582"/>
    <w:rsid w:val="0047598B"/>
    <w:rsid w:val="00475D2A"/>
    <w:rsid w:val="00475E3C"/>
    <w:rsid w:val="00476288"/>
    <w:rsid w:val="004769B0"/>
    <w:rsid w:val="004773BF"/>
    <w:rsid w:val="00477C5C"/>
    <w:rsid w:val="00480E56"/>
    <w:rsid w:val="00482A83"/>
    <w:rsid w:val="00482AD9"/>
    <w:rsid w:val="004835C7"/>
    <w:rsid w:val="00483D51"/>
    <w:rsid w:val="00483D9D"/>
    <w:rsid w:val="00484BAD"/>
    <w:rsid w:val="0048519B"/>
    <w:rsid w:val="00485EB4"/>
    <w:rsid w:val="00487238"/>
    <w:rsid w:val="0048786E"/>
    <w:rsid w:val="004915AF"/>
    <w:rsid w:val="00492A53"/>
    <w:rsid w:val="004950D6"/>
    <w:rsid w:val="0049607D"/>
    <w:rsid w:val="00497429"/>
    <w:rsid w:val="00497885"/>
    <w:rsid w:val="004A0003"/>
    <w:rsid w:val="004A1F66"/>
    <w:rsid w:val="004A397B"/>
    <w:rsid w:val="004A5251"/>
    <w:rsid w:val="004A5254"/>
    <w:rsid w:val="004A5727"/>
    <w:rsid w:val="004A5ADA"/>
    <w:rsid w:val="004A5DDE"/>
    <w:rsid w:val="004B0D38"/>
    <w:rsid w:val="004B0E1E"/>
    <w:rsid w:val="004B0F56"/>
    <w:rsid w:val="004B132D"/>
    <w:rsid w:val="004B2B87"/>
    <w:rsid w:val="004B364D"/>
    <w:rsid w:val="004B6860"/>
    <w:rsid w:val="004B7947"/>
    <w:rsid w:val="004C1CAC"/>
    <w:rsid w:val="004C245C"/>
    <w:rsid w:val="004C4D6B"/>
    <w:rsid w:val="004D126F"/>
    <w:rsid w:val="004D2117"/>
    <w:rsid w:val="004D2514"/>
    <w:rsid w:val="004D34A8"/>
    <w:rsid w:val="004D373A"/>
    <w:rsid w:val="004D41A8"/>
    <w:rsid w:val="004D46A9"/>
    <w:rsid w:val="004D49F0"/>
    <w:rsid w:val="004D4AFA"/>
    <w:rsid w:val="004D4C67"/>
    <w:rsid w:val="004D4CB7"/>
    <w:rsid w:val="004E003C"/>
    <w:rsid w:val="004E15F0"/>
    <w:rsid w:val="004E17F3"/>
    <w:rsid w:val="004E18D3"/>
    <w:rsid w:val="004E3ED0"/>
    <w:rsid w:val="004E4771"/>
    <w:rsid w:val="004E4ABC"/>
    <w:rsid w:val="004F1314"/>
    <w:rsid w:val="004F184B"/>
    <w:rsid w:val="004F1C18"/>
    <w:rsid w:val="004F25BB"/>
    <w:rsid w:val="004F4DAA"/>
    <w:rsid w:val="004F5AE3"/>
    <w:rsid w:val="004F7979"/>
    <w:rsid w:val="004F7BFA"/>
    <w:rsid w:val="0050181C"/>
    <w:rsid w:val="0050295A"/>
    <w:rsid w:val="00504822"/>
    <w:rsid w:val="005066CD"/>
    <w:rsid w:val="00511189"/>
    <w:rsid w:val="005121F0"/>
    <w:rsid w:val="0051358C"/>
    <w:rsid w:val="005151F0"/>
    <w:rsid w:val="00516A0A"/>
    <w:rsid w:val="0051745E"/>
    <w:rsid w:val="00517CE6"/>
    <w:rsid w:val="0052005D"/>
    <w:rsid w:val="00520C13"/>
    <w:rsid w:val="005232FE"/>
    <w:rsid w:val="00523439"/>
    <w:rsid w:val="00523F22"/>
    <w:rsid w:val="00526A00"/>
    <w:rsid w:val="0053133C"/>
    <w:rsid w:val="00532690"/>
    <w:rsid w:val="00533E42"/>
    <w:rsid w:val="00534000"/>
    <w:rsid w:val="0053440A"/>
    <w:rsid w:val="00534F21"/>
    <w:rsid w:val="005400B8"/>
    <w:rsid w:val="00540418"/>
    <w:rsid w:val="00540A40"/>
    <w:rsid w:val="00540BFF"/>
    <w:rsid w:val="00541A4A"/>
    <w:rsid w:val="005424C1"/>
    <w:rsid w:val="00542C05"/>
    <w:rsid w:val="00543523"/>
    <w:rsid w:val="00545174"/>
    <w:rsid w:val="00545AAB"/>
    <w:rsid w:val="005465C3"/>
    <w:rsid w:val="00547B59"/>
    <w:rsid w:val="00550EBE"/>
    <w:rsid w:val="00551709"/>
    <w:rsid w:val="005533A9"/>
    <w:rsid w:val="00554627"/>
    <w:rsid w:val="005554E1"/>
    <w:rsid w:val="00555860"/>
    <w:rsid w:val="00555C43"/>
    <w:rsid w:val="005605AF"/>
    <w:rsid w:val="005612A7"/>
    <w:rsid w:val="00561995"/>
    <w:rsid w:val="00561DC8"/>
    <w:rsid w:val="00563858"/>
    <w:rsid w:val="00563BDF"/>
    <w:rsid w:val="00564833"/>
    <w:rsid w:val="0056692B"/>
    <w:rsid w:val="00567CE3"/>
    <w:rsid w:val="00570803"/>
    <w:rsid w:val="0057127A"/>
    <w:rsid w:val="00571E12"/>
    <w:rsid w:val="00571FAC"/>
    <w:rsid w:val="0057353B"/>
    <w:rsid w:val="00574458"/>
    <w:rsid w:val="005749F5"/>
    <w:rsid w:val="00574C27"/>
    <w:rsid w:val="005752A0"/>
    <w:rsid w:val="00576BC9"/>
    <w:rsid w:val="00580272"/>
    <w:rsid w:val="00582EC2"/>
    <w:rsid w:val="005830E7"/>
    <w:rsid w:val="00585527"/>
    <w:rsid w:val="00585C27"/>
    <w:rsid w:val="00585C6E"/>
    <w:rsid w:val="005862A2"/>
    <w:rsid w:val="005863A1"/>
    <w:rsid w:val="005863D2"/>
    <w:rsid w:val="00587ED3"/>
    <w:rsid w:val="005914D4"/>
    <w:rsid w:val="0059196C"/>
    <w:rsid w:val="005924DD"/>
    <w:rsid w:val="00592B50"/>
    <w:rsid w:val="005939C7"/>
    <w:rsid w:val="00593C39"/>
    <w:rsid w:val="00595A46"/>
    <w:rsid w:val="005960EA"/>
    <w:rsid w:val="005A1A84"/>
    <w:rsid w:val="005A2AFD"/>
    <w:rsid w:val="005A35C0"/>
    <w:rsid w:val="005A371F"/>
    <w:rsid w:val="005A4099"/>
    <w:rsid w:val="005A441D"/>
    <w:rsid w:val="005A4A45"/>
    <w:rsid w:val="005A4BAD"/>
    <w:rsid w:val="005A4ED3"/>
    <w:rsid w:val="005A556A"/>
    <w:rsid w:val="005A6389"/>
    <w:rsid w:val="005A64D6"/>
    <w:rsid w:val="005A6F80"/>
    <w:rsid w:val="005A7FCF"/>
    <w:rsid w:val="005B0A92"/>
    <w:rsid w:val="005B0B2C"/>
    <w:rsid w:val="005B26A0"/>
    <w:rsid w:val="005B5308"/>
    <w:rsid w:val="005B5E7B"/>
    <w:rsid w:val="005B6D79"/>
    <w:rsid w:val="005B6EAC"/>
    <w:rsid w:val="005C007B"/>
    <w:rsid w:val="005C0148"/>
    <w:rsid w:val="005C027B"/>
    <w:rsid w:val="005C1B07"/>
    <w:rsid w:val="005C3711"/>
    <w:rsid w:val="005C4852"/>
    <w:rsid w:val="005C591A"/>
    <w:rsid w:val="005C5B73"/>
    <w:rsid w:val="005D0732"/>
    <w:rsid w:val="005D2C38"/>
    <w:rsid w:val="005D330C"/>
    <w:rsid w:val="005D355A"/>
    <w:rsid w:val="005D6BF1"/>
    <w:rsid w:val="005D7109"/>
    <w:rsid w:val="005E246F"/>
    <w:rsid w:val="005E2D2E"/>
    <w:rsid w:val="005E5E2C"/>
    <w:rsid w:val="005E603A"/>
    <w:rsid w:val="005E6352"/>
    <w:rsid w:val="005E67A2"/>
    <w:rsid w:val="005E6C69"/>
    <w:rsid w:val="005F06DF"/>
    <w:rsid w:val="005F0C6E"/>
    <w:rsid w:val="005F130D"/>
    <w:rsid w:val="005F22AF"/>
    <w:rsid w:val="005F2908"/>
    <w:rsid w:val="005F6839"/>
    <w:rsid w:val="005F6854"/>
    <w:rsid w:val="005F7503"/>
    <w:rsid w:val="00600914"/>
    <w:rsid w:val="00600B30"/>
    <w:rsid w:val="006016C8"/>
    <w:rsid w:val="00603C8E"/>
    <w:rsid w:val="00603FC6"/>
    <w:rsid w:val="006045FC"/>
    <w:rsid w:val="006048B0"/>
    <w:rsid w:val="00607606"/>
    <w:rsid w:val="00607751"/>
    <w:rsid w:val="00610C11"/>
    <w:rsid w:val="0061127A"/>
    <w:rsid w:val="006167F5"/>
    <w:rsid w:val="00621060"/>
    <w:rsid w:val="006211A1"/>
    <w:rsid w:val="00621CEA"/>
    <w:rsid w:val="00621D1D"/>
    <w:rsid w:val="006223F1"/>
    <w:rsid w:val="00622B98"/>
    <w:rsid w:val="0062443C"/>
    <w:rsid w:val="00624623"/>
    <w:rsid w:val="00626816"/>
    <w:rsid w:val="00627DAB"/>
    <w:rsid w:val="0063043F"/>
    <w:rsid w:val="00631D9B"/>
    <w:rsid w:val="006322C1"/>
    <w:rsid w:val="00632B2E"/>
    <w:rsid w:val="00633909"/>
    <w:rsid w:val="00636906"/>
    <w:rsid w:val="00637D7D"/>
    <w:rsid w:val="00641C27"/>
    <w:rsid w:val="00641F7D"/>
    <w:rsid w:val="00642939"/>
    <w:rsid w:val="00643215"/>
    <w:rsid w:val="006432ED"/>
    <w:rsid w:val="006438EA"/>
    <w:rsid w:val="00643C78"/>
    <w:rsid w:val="00643FA9"/>
    <w:rsid w:val="00645276"/>
    <w:rsid w:val="00646000"/>
    <w:rsid w:val="00646F73"/>
    <w:rsid w:val="006471D9"/>
    <w:rsid w:val="0064726E"/>
    <w:rsid w:val="0065117F"/>
    <w:rsid w:val="00653AAE"/>
    <w:rsid w:val="006558B8"/>
    <w:rsid w:val="00655BB4"/>
    <w:rsid w:val="00664A8A"/>
    <w:rsid w:val="006653A0"/>
    <w:rsid w:val="006663DE"/>
    <w:rsid w:val="00666BAB"/>
    <w:rsid w:val="00666C70"/>
    <w:rsid w:val="00666C98"/>
    <w:rsid w:val="00667D11"/>
    <w:rsid w:val="006700BC"/>
    <w:rsid w:val="00670A27"/>
    <w:rsid w:val="00670CC8"/>
    <w:rsid w:val="00671253"/>
    <w:rsid w:val="00671C71"/>
    <w:rsid w:val="00671F51"/>
    <w:rsid w:val="006722F1"/>
    <w:rsid w:val="00672396"/>
    <w:rsid w:val="00672A37"/>
    <w:rsid w:val="0067506A"/>
    <w:rsid w:val="006751DC"/>
    <w:rsid w:val="00675B00"/>
    <w:rsid w:val="00677FA9"/>
    <w:rsid w:val="00680571"/>
    <w:rsid w:val="00684FFD"/>
    <w:rsid w:val="00686D6B"/>
    <w:rsid w:val="00687DAD"/>
    <w:rsid w:val="0069076D"/>
    <w:rsid w:val="006921C8"/>
    <w:rsid w:val="00692E93"/>
    <w:rsid w:val="00693037"/>
    <w:rsid w:val="00693D69"/>
    <w:rsid w:val="00694826"/>
    <w:rsid w:val="00695574"/>
    <w:rsid w:val="00695F47"/>
    <w:rsid w:val="0069626F"/>
    <w:rsid w:val="006A07CD"/>
    <w:rsid w:val="006A14D7"/>
    <w:rsid w:val="006A1708"/>
    <w:rsid w:val="006A5167"/>
    <w:rsid w:val="006A52EC"/>
    <w:rsid w:val="006A569B"/>
    <w:rsid w:val="006A72E9"/>
    <w:rsid w:val="006A7653"/>
    <w:rsid w:val="006B0375"/>
    <w:rsid w:val="006B0F82"/>
    <w:rsid w:val="006B268A"/>
    <w:rsid w:val="006B380B"/>
    <w:rsid w:val="006B3D65"/>
    <w:rsid w:val="006B42E7"/>
    <w:rsid w:val="006C01ED"/>
    <w:rsid w:val="006C0817"/>
    <w:rsid w:val="006C0917"/>
    <w:rsid w:val="006C594D"/>
    <w:rsid w:val="006C678D"/>
    <w:rsid w:val="006C6866"/>
    <w:rsid w:val="006C6BEF"/>
    <w:rsid w:val="006C7298"/>
    <w:rsid w:val="006C7716"/>
    <w:rsid w:val="006D0505"/>
    <w:rsid w:val="006D0E93"/>
    <w:rsid w:val="006D1AA5"/>
    <w:rsid w:val="006D20B2"/>
    <w:rsid w:val="006D41E0"/>
    <w:rsid w:val="006D6D50"/>
    <w:rsid w:val="006E034B"/>
    <w:rsid w:val="006E370B"/>
    <w:rsid w:val="006E4000"/>
    <w:rsid w:val="006E456A"/>
    <w:rsid w:val="006E5DC8"/>
    <w:rsid w:val="006E7D14"/>
    <w:rsid w:val="006F0113"/>
    <w:rsid w:val="006F2790"/>
    <w:rsid w:val="006F4AB9"/>
    <w:rsid w:val="006F59BD"/>
    <w:rsid w:val="0070034E"/>
    <w:rsid w:val="00700C87"/>
    <w:rsid w:val="007042B7"/>
    <w:rsid w:val="00704594"/>
    <w:rsid w:val="00704CDA"/>
    <w:rsid w:val="00705254"/>
    <w:rsid w:val="00705308"/>
    <w:rsid w:val="00705835"/>
    <w:rsid w:val="00707F70"/>
    <w:rsid w:val="00714018"/>
    <w:rsid w:val="0072303F"/>
    <w:rsid w:val="00723561"/>
    <w:rsid w:val="0072550E"/>
    <w:rsid w:val="00726798"/>
    <w:rsid w:val="00726C03"/>
    <w:rsid w:val="00727AF2"/>
    <w:rsid w:val="007305BF"/>
    <w:rsid w:val="00730837"/>
    <w:rsid w:val="007315F5"/>
    <w:rsid w:val="00731F94"/>
    <w:rsid w:val="00742657"/>
    <w:rsid w:val="0074269F"/>
    <w:rsid w:val="00742A78"/>
    <w:rsid w:val="00743C5B"/>
    <w:rsid w:val="007456F3"/>
    <w:rsid w:val="0074697C"/>
    <w:rsid w:val="0074781D"/>
    <w:rsid w:val="007506C1"/>
    <w:rsid w:val="00756A59"/>
    <w:rsid w:val="00757CEB"/>
    <w:rsid w:val="00762954"/>
    <w:rsid w:val="007639B6"/>
    <w:rsid w:val="00765E02"/>
    <w:rsid w:val="00765EE3"/>
    <w:rsid w:val="007679DA"/>
    <w:rsid w:val="007712C4"/>
    <w:rsid w:val="00773A32"/>
    <w:rsid w:val="00773D5E"/>
    <w:rsid w:val="00773DA5"/>
    <w:rsid w:val="00774A39"/>
    <w:rsid w:val="00775234"/>
    <w:rsid w:val="007815A4"/>
    <w:rsid w:val="00783EBE"/>
    <w:rsid w:val="00786B54"/>
    <w:rsid w:val="00786E18"/>
    <w:rsid w:val="00787D2D"/>
    <w:rsid w:val="007912CA"/>
    <w:rsid w:val="00792531"/>
    <w:rsid w:val="0079365D"/>
    <w:rsid w:val="00793EFA"/>
    <w:rsid w:val="00795EEE"/>
    <w:rsid w:val="00797033"/>
    <w:rsid w:val="00797D1A"/>
    <w:rsid w:val="007A01E1"/>
    <w:rsid w:val="007A11C5"/>
    <w:rsid w:val="007A1719"/>
    <w:rsid w:val="007A23C6"/>
    <w:rsid w:val="007A2F6B"/>
    <w:rsid w:val="007A35DB"/>
    <w:rsid w:val="007A4A36"/>
    <w:rsid w:val="007A5933"/>
    <w:rsid w:val="007A5C50"/>
    <w:rsid w:val="007A624D"/>
    <w:rsid w:val="007A6CDD"/>
    <w:rsid w:val="007A77BF"/>
    <w:rsid w:val="007B0044"/>
    <w:rsid w:val="007B059B"/>
    <w:rsid w:val="007B2326"/>
    <w:rsid w:val="007B274F"/>
    <w:rsid w:val="007B52B6"/>
    <w:rsid w:val="007B5C2F"/>
    <w:rsid w:val="007B5F7E"/>
    <w:rsid w:val="007C0CEF"/>
    <w:rsid w:val="007C224B"/>
    <w:rsid w:val="007C22E8"/>
    <w:rsid w:val="007C259E"/>
    <w:rsid w:val="007C2B9B"/>
    <w:rsid w:val="007C4442"/>
    <w:rsid w:val="007C59B3"/>
    <w:rsid w:val="007C619C"/>
    <w:rsid w:val="007C65CE"/>
    <w:rsid w:val="007D1011"/>
    <w:rsid w:val="007D2443"/>
    <w:rsid w:val="007D2ED3"/>
    <w:rsid w:val="007D338A"/>
    <w:rsid w:val="007D5BBE"/>
    <w:rsid w:val="007E1677"/>
    <w:rsid w:val="007E23B3"/>
    <w:rsid w:val="007E317B"/>
    <w:rsid w:val="007E36E3"/>
    <w:rsid w:val="007E4404"/>
    <w:rsid w:val="007E502B"/>
    <w:rsid w:val="007E683A"/>
    <w:rsid w:val="007E6917"/>
    <w:rsid w:val="007F10C3"/>
    <w:rsid w:val="007F1BD4"/>
    <w:rsid w:val="007F1EA7"/>
    <w:rsid w:val="007F26D5"/>
    <w:rsid w:val="007F3325"/>
    <w:rsid w:val="007F5304"/>
    <w:rsid w:val="007F6835"/>
    <w:rsid w:val="007F75C2"/>
    <w:rsid w:val="007F7EF1"/>
    <w:rsid w:val="00800982"/>
    <w:rsid w:val="00801340"/>
    <w:rsid w:val="00802721"/>
    <w:rsid w:val="008033B5"/>
    <w:rsid w:val="00804070"/>
    <w:rsid w:val="00804F4F"/>
    <w:rsid w:val="00807139"/>
    <w:rsid w:val="0080715F"/>
    <w:rsid w:val="00807270"/>
    <w:rsid w:val="00812D07"/>
    <w:rsid w:val="0081456A"/>
    <w:rsid w:val="00815BF8"/>
    <w:rsid w:val="00816F47"/>
    <w:rsid w:val="00817792"/>
    <w:rsid w:val="00821B82"/>
    <w:rsid w:val="00823301"/>
    <w:rsid w:val="0082631E"/>
    <w:rsid w:val="00826946"/>
    <w:rsid w:val="008275D9"/>
    <w:rsid w:val="00830424"/>
    <w:rsid w:val="0083076D"/>
    <w:rsid w:val="00830B35"/>
    <w:rsid w:val="0083351D"/>
    <w:rsid w:val="00833D83"/>
    <w:rsid w:val="00833F23"/>
    <w:rsid w:val="00834D65"/>
    <w:rsid w:val="00836402"/>
    <w:rsid w:val="00836894"/>
    <w:rsid w:val="00836F8F"/>
    <w:rsid w:val="008402CD"/>
    <w:rsid w:val="008408B8"/>
    <w:rsid w:val="008427FD"/>
    <w:rsid w:val="008458FE"/>
    <w:rsid w:val="00845EBA"/>
    <w:rsid w:val="00846A01"/>
    <w:rsid w:val="00847C58"/>
    <w:rsid w:val="00850554"/>
    <w:rsid w:val="008508DE"/>
    <w:rsid w:val="00850E2D"/>
    <w:rsid w:val="00853BAA"/>
    <w:rsid w:val="00855BFF"/>
    <w:rsid w:val="00857659"/>
    <w:rsid w:val="00857751"/>
    <w:rsid w:val="0086131D"/>
    <w:rsid w:val="00861C56"/>
    <w:rsid w:val="00862744"/>
    <w:rsid w:val="00862ED4"/>
    <w:rsid w:val="00863125"/>
    <w:rsid w:val="00863B2A"/>
    <w:rsid w:val="008659D8"/>
    <w:rsid w:val="00866E58"/>
    <w:rsid w:val="0087094D"/>
    <w:rsid w:val="008713B1"/>
    <w:rsid w:val="008743BA"/>
    <w:rsid w:val="008744A1"/>
    <w:rsid w:val="00874950"/>
    <w:rsid w:val="0087620D"/>
    <w:rsid w:val="008800D1"/>
    <w:rsid w:val="008816AE"/>
    <w:rsid w:val="00882224"/>
    <w:rsid w:val="00884A0C"/>
    <w:rsid w:val="008852A0"/>
    <w:rsid w:val="00885355"/>
    <w:rsid w:val="00885C0E"/>
    <w:rsid w:val="00886387"/>
    <w:rsid w:val="00886742"/>
    <w:rsid w:val="00887A00"/>
    <w:rsid w:val="00893A90"/>
    <w:rsid w:val="00894517"/>
    <w:rsid w:val="008948B2"/>
    <w:rsid w:val="00895836"/>
    <w:rsid w:val="00895E23"/>
    <w:rsid w:val="00896BD2"/>
    <w:rsid w:val="008A0B08"/>
    <w:rsid w:val="008A21CC"/>
    <w:rsid w:val="008A2E97"/>
    <w:rsid w:val="008A35B8"/>
    <w:rsid w:val="008A3C2A"/>
    <w:rsid w:val="008A4E18"/>
    <w:rsid w:val="008A5393"/>
    <w:rsid w:val="008A5B88"/>
    <w:rsid w:val="008A7C9A"/>
    <w:rsid w:val="008B4352"/>
    <w:rsid w:val="008B686D"/>
    <w:rsid w:val="008B7E5B"/>
    <w:rsid w:val="008B7F2E"/>
    <w:rsid w:val="008C0C0D"/>
    <w:rsid w:val="008C33A5"/>
    <w:rsid w:val="008C4730"/>
    <w:rsid w:val="008C4B57"/>
    <w:rsid w:val="008C6157"/>
    <w:rsid w:val="008C7E7A"/>
    <w:rsid w:val="008D06A2"/>
    <w:rsid w:val="008D0EBE"/>
    <w:rsid w:val="008D1BD6"/>
    <w:rsid w:val="008D3176"/>
    <w:rsid w:val="008D3C9E"/>
    <w:rsid w:val="008D5CD5"/>
    <w:rsid w:val="008D6224"/>
    <w:rsid w:val="008E0F7F"/>
    <w:rsid w:val="008E1DD1"/>
    <w:rsid w:val="008E34A7"/>
    <w:rsid w:val="008E34F6"/>
    <w:rsid w:val="008E4EF1"/>
    <w:rsid w:val="008E5717"/>
    <w:rsid w:val="008E5733"/>
    <w:rsid w:val="008E583D"/>
    <w:rsid w:val="008E69B1"/>
    <w:rsid w:val="008E6CC3"/>
    <w:rsid w:val="008E7702"/>
    <w:rsid w:val="008E7C87"/>
    <w:rsid w:val="008F0677"/>
    <w:rsid w:val="008F18C7"/>
    <w:rsid w:val="008F2A65"/>
    <w:rsid w:val="008F5718"/>
    <w:rsid w:val="008F5CB0"/>
    <w:rsid w:val="008F600D"/>
    <w:rsid w:val="008F7877"/>
    <w:rsid w:val="008F7C6F"/>
    <w:rsid w:val="009009E0"/>
    <w:rsid w:val="00901B07"/>
    <w:rsid w:val="00902B20"/>
    <w:rsid w:val="009038D5"/>
    <w:rsid w:val="0090466F"/>
    <w:rsid w:val="0090487B"/>
    <w:rsid w:val="00906026"/>
    <w:rsid w:val="0091019A"/>
    <w:rsid w:val="0091243A"/>
    <w:rsid w:val="00912C80"/>
    <w:rsid w:val="00913070"/>
    <w:rsid w:val="009132C6"/>
    <w:rsid w:val="00914803"/>
    <w:rsid w:val="00914E46"/>
    <w:rsid w:val="00915988"/>
    <w:rsid w:val="00915BE4"/>
    <w:rsid w:val="00915D2B"/>
    <w:rsid w:val="009207F1"/>
    <w:rsid w:val="00920FCA"/>
    <w:rsid w:val="00922412"/>
    <w:rsid w:val="00922958"/>
    <w:rsid w:val="00922C6C"/>
    <w:rsid w:val="0092303A"/>
    <w:rsid w:val="00924054"/>
    <w:rsid w:val="00926626"/>
    <w:rsid w:val="009268CF"/>
    <w:rsid w:val="00927F4D"/>
    <w:rsid w:val="00931289"/>
    <w:rsid w:val="009317DD"/>
    <w:rsid w:val="00933114"/>
    <w:rsid w:val="00933E55"/>
    <w:rsid w:val="009410E5"/>
    <w:rsid w:val="00943914"/>
    <w:rsid w:val="00944871"/>
    <w:rsid w:val="00945F99"/>
    <w:rsid w:val="00946106"/>
    <w:rsid w:val="009466D7"/>
    <w:rsid w:val="009472A0"/>
    <w:rsid w:val="009503A4"/>
    <w:rsid w:val="0095074C"/>
    <w:rsid w:val="00951A5B"/>
    <w:rsid w:val="00952985"/>
    <w:rsid w:val="00953173"/>
    <w:rsid w:val="00953DBA"/>
    <w:rsid w:val="00954982"/>
    <w:rsid w:val="00954B7C"/>
    <w:rsid w:val="00955030"/>
    <w:rsid w:val="00956013"/>
    <w:rsid w:val="0095646C"/>
    <w:rsid w:val="00957E81"/>
    <w:rsid w:val="00957FFE"/>
    <w:rsid w:val="00960BCB"/>
    <w:rsid w:val="009623FD"/>
    <w:rsid w:val="009665D6"/>
    <w:rsid w:val="00970D1C"/>
    <w:rsid w:val="00970E81"/>
    <w:rsid w:val="009724C2"/>
    <w:rsid w:val="009726A3"/>
    <w:rsid w:val="009728CC"/>
    <w:rsid w:val="00973B47"/>
    <w:rsid w:val="009759BF"/>
    <w:rsid w:val="0097777A"/>
    <w:rsid w:val="00977F05"/>
    <w:rsid w:val="009800ED"/>
    <w:rsid w:val="00983CEC"/>
    <w:rsid w:val="00984253"/>
    <w:rsid w:val="00990FB1"/>
    <w:rsid w:val="0099108C"/>
    <w:rsid w:val="00991B18"/>
    <w:rsid w:val="00993E18"/>
    <w:rsid w:val="009943EB"/>
    <w:rsid w:val="00994E7A"/>
    <w:rsid w:val="009974C8"/>
    <w:rsid w:val="00997EBD"/>
    <w:rsid w:val="009A28A7"/>
    <w:rsid w:val="009A404D"/>
    <w:rsid w:val="009A4821"/>
    <w:rsid w:val="009A537F"/>
    <w:rsid w:val="009A7706"/>
    <w:rsid w:val="009A7AB7"/>
    <w:rsid w:val="009A7F18"/>
    <w:rsid w:val="009B3EDE"/>
    <w:rsid w:val="009B5BDE"/>
    <w:rsid w:val="009B6FB6"/>
    <w:rsid w:val="009B778F"/>
    <w:rsid w:val="009C03C8"/>
    <w:rsid w:val="009C0911"/>
    <w:rsid w:val="009C1376"/>
    <w:rsid w:val="009C2075"/>
    <w:rsid w:val="009C3257"/>
    <w:rsid w:val="009C43EF"/>
    <w:rsid w:val="009C4613"/>
    <w:rsid w:val="009C63DC"/>
    <w:rsid w:val="009C653B"/>
    <w:rsid w:val="009C7E6C"/>
    <w:rsid w:val="009D0A71"/>
    <w:rsid w:val="009D1991"/>
    <w:rsid w:val="009D747E"/>
    <w:rsid w:val="009E0DAD"/>
    <w:rsid w:val="009E114A"/>
    <w:rsid w:val="009E1F14"/>
    <w:rsid w:val="009E2555"/>
    <w:rsid w:val="009E3EE1"/>
    <w:rsid w:val="009E472F"/>
    <w:rsid w:val="009E4AE1"/>
    <w:rsid w:val="009E748F"/>
    <w:rsid w:val="009E763D"/>
    <w:rsid w:val="009F07E2"/>
    <w:rsid w:val="009F1562"/>
    <w:rsid w:val="009F2134"/>
    <w:rsid w:val="009F4229"/>
    <w:rsid w:val="009F7935"/>
    <w:rsid w:val="009F7AAD"/>
    <w:rsid w:val="00A01A40"/>
    <w:rsid w:val="00A02207"/>
    <w:rsid w:val="00A02F31"/>
    <w:rsid w:val="00A03D3E"/>
    <w:rsid w:val="00A05576"/>
    <w:rsid w:val="00A066A1"/>
    <w:rsid w:val="00A06D38"/>
    <w:rsid w:val="00A06DB1"/>
    <w:rsid w:val="00A07D11"/>
    <w:rsid w:val="00A10CFA"/>
    <w:rsid w:val="00A11376"/>
    <w:rsid w:val="00A1253B"/>
    <w:rsid w:val="00A1394C"/>
    <w:rsid w:val="00A140B6"/>
    <w:rsid w:val="00A14EE4"/>
    <w:rsid w:val="00A16038"/>
    <w:rsid w:val="00A17026"/>
    <w:rsid w:val="00A1702A"/>
    <w:rsid w:val="00A20297"/>
    <w:rsid w:val="00A209E9"/>
    <w:rsid w:val="00A22AF0"/>
    <w:rsid w:val="00A246AF"/>
    <w:rsid w:val="00A24745"/>
    <w:rsid w:val="00A253FC"/>
    <w:rsid w:val="00A30733"/>
    <w:rsid w:val="00A325F0"/>
    <w:rsid w:val="00A32D69"/>
    <w:rsid w:val="00A32DBB"/>
    <w:rsid w:val="00A33D19"/>
    <w:rsid w:val="00A34A6A"/>
    <w:rsid w:val="00A36FFA"/>
    <w:rsid w:val="00A37448"/>
    <w:rsid w:val="00A40C4C"/>
    <w:rsid w:val="00A41AAD"/>
    <w:rsid w:val="00A4444B"/>
    <w:rsid w:val="00A44A68"/>
    <w:rsid w:val="00A456ED"/>
    <w:rsid w:val="00A45A5E"/>
    <w:rsid w:val="00A45E16"/>
    <w:rsid w:val="00A45E37"/>
    <w:rsid w:val="00A46789"/>
    <w:rsid w:val="00A50C04"/>
    <w:rsid w:val="00A50EA0"/>
    <w:rsid w:val="00A51358"/>
    <w:rsid w:val="00A53216"/>
    <w:rsid w:val="00A53BCE"/>
    <w:rsid w:val="00A53EBC"/>
    <w:rsid w:val="00A61504"/>
    <w:rsid w:val="00A61A7F"/>
    <w:rsid w:val="00A61E9C"/>
    <w:rsid w:val="00A637BB"/>
    <w:rsid w:val="00A63A43"/>
    <w:rsid w:val="00A6553E"/>
    <w:rsid w:val="00A71D59"/>
    <w:rsid w:val="00A75742"/>
    <w:rsid w:val="00A75ACA"/>
    <w:rsid w:val="00A75F13"/>
    <w:rsid w:val="00A7620C"/>
    <w:rsid w:val="00A7624A"/>
    <w:rsid w:val="00A8085B"/>
    <w:rsid w:val="00A818D7"/>
    <w:rsid w:val="00A87098"/>
    <w:rsid w:val="00A904E7"/>
    <w:rsid w:val="00A90887"/>
    <w:rsid w:val="00A90ACB"/>
    <w:rsid w:val="00A90C4B"/>
    <w:rsid w:val="00A911BF"/>
    <w:rsid w:val="00A949C8"/>
    <w:rsid w:val="00A958BF"/>
    <w:rsid w:val="00AA00FA"/>
    <w:rsid w:val="00AA0CE6"/>
    <w:rsid w:val="00AA12EA"/>
    <w:rsid w:val="00AA1AE1"/>
    <w:rsid w:val="00AA1F5D"/>
    <w:rsid w:val="00AA287F"/>
    <w:rsid w:val="00AA3540"/>
    <w:rsid w:val="00AA599E"/>
    <w:rsid w:val="00AA5D91"/>
    <w:rsid w:val="00AA64B9"/>
    <w:rsid w:val="00AA68A6"/>
    <w:rsid w:val="00AA7AD6"/>
    <w:rsid w:val="00AA7F80"/>
    <w:rsid w:val="00AB198B"/>
    <w:rsid w:val="00AB3547"/>
    <w:rsid w:val="00AB4518"/>
    <w:rsid w:val="00AB5D2A"/>
    <w:rsid w:val="00AB6105"/>
    <w:rsid w:val="00AB6A22"/>
    <w:rsid w:val="00AB7835"/>
    <w:rsid w:val="00AC1E9F"/>
    <w:rsid w:val="00AC2E5C"/>
    <w:rsid w:val="00AC45BB"/>
    <w:rsid w:val="00AC4C38"/>
    <w:rsid w:val="00AC6504"/>
    <w:rsid w:val="00AC765D"/>
    <w:rsid w:val="00AD02AE"/>
    <w:rsid w:val="00AD15E9"/>
    <w:rsid w:val="00AD70D6"/>
    <w:rsid w:val="00AE01F8"/>
    <w:rsid w:val="00AE0A11"/>
    <w:rsid w:val="00AE1F90"/>
    <w:rsid w:val="00AE27EF"/>
    <w:rsid w:val="00AF0F78"/>
    <w:rsid w:val="00AF1158"/>
    <w:rsid w:val="00AF4E1D"/>
    <w:rsid w:val="00AF5A5C"/>
    <w:rsid w:val="00AF6E23"/>
    <w:rsid w:val="00B05578"/>
    <w:rsid w:val="00B07F0C"/>
    <w:rsid w:val="00B10BAF"/>
    <w:rsid w:val="00B15249"/>
    <w:rsid w:val="00B21AE2"/>
    <w:rsid w:val="00B24624"/>
    <w:rsid w:val="00B24EB2"/>
    <w:rsid w:val="00B25482"/>
    <w:rsid w:val="00B32DB6"/>
    <w:rsid w:val="00B33E23"/>
    <w:rsid w:val="00B35A9E"/>
    <w:rsid w:val="00B3686E"/>
    <w:rsid w:val="00B36A30"/>
    <w:rsid w:val="00B36DC0"/>
    <w:rsid w:val="00B36F58"/>
    <w:rsid w:val="00B37D22"/>
    <w:rsid w:val="00B403FC"/>
    <w:rsid w:val="00B41720"/>
    <w:rsid w:val="00B42582"/>
    <w:rsid w:val="00B42D4C"/>
    <w:rsid w:val="00B447CD"/>
    <w:rsid w:val="00B44B04"/>
    <w:rsid w:val="00B44B84"/>
    <w:rsid w:val="00B4566D"/>
    <w:rsid w:val="00B45E14"/>
    <w:rsid w:val="00B4639B"/>
    <w:rsid w:val="00B46404"/>
    <w:rsid w:val="00B46797"/>
    <w:rsid w:val="00B46969"/>
    <w:rsid w:val="00B52B44"/>
    <w:rsid w:val="00B52EC2"/>
    <w:rsid w:val="00B535A3"/>
    <w:rsid w:val="00B55E4E"/>
    <w:rsid w:val="00B5782F"/>
    <w:rsid w:val="00B57F01"/>
    <w:rsid w:val="00B60E50"/>
    <w:rsid w:val="00B612A4"/>
    <w:rsid w:val="00B63F50"/>
    <w:rsid w:val="00B64597"/>
    <w:rsid w:val="00B6468F"/>
    <w:rsid w:val="00B6487F"/>
    <w:rsid w:val="00B6563F"/>
    <w:rsid w:val="00B6779B"/>
    <w:rsid w:val="00B67A02"/>
    <w:rsid w:val="00B70284"/>
    <w:rsid w:val="00B70D38"/>
    <w:rsid w:val="00B70DB6"/>
    <w:rsid w:val="00B717C8"/>
    <w:rsid w:val="00B71A22"/>
    <w:rsid w:val="00B73237"/>
    <w:rsid w:val="00B73511"/>
    <w:rsid w:val="00B74A10"/>
    <w:rsid w:val="00B75B16"/>
    <w:rsid w:val="00B7670A"/>
    <w:rsid w:val="00B76BE2"/>
    <w:rsid w:val="00B77B84"/>
    <w:rsid w:val="00B77E3F"/>
    <w:rsid w:val="00B8066D"/>
    <w:rsid w:val="00B808FF"/>
    <w:rsid w:val="00B80C5C"/>
    <w:rsid w:val="00B817D0"/>
    <w:rsid w:val="00B81B46"/>
    <w:rsid w:val="00B820C8"/>
    <w:rsid w:val="00B82707"/>
    <w:rsid w:val="00B83296"/>
    <w:rsid w:val="00B848BE"/>
    <w:rsid w:val="00B851F5"/>
    <w:rsid w:val="00B905B4"/>
    <w:rsid w:val="00B91A6E"/>
    <w:rsid w:val="00B91C3C"/>
    <w:rsid w:val="00B92F81"/>
    <w:rsid w:val="00B94B90"/>
    <w:rsid w:val="00B95E06"/>
    <w:rsid w:val="00B975DB"/>
    <w:rsid w:val="00BA150F"/>
    <w:rsid w:val="00BA16C9"/>
    <w:rsid w:val="00BA1C0A"/>
    <w:rsid w:val="00BA1C6D"/>
    <w:rsid w:val="00BA471B"/>
    <w:rsid w:val="00BA541E"/>
    <w:rsid w:val="00BA6265"/>
    <w:rsid w:val="00BA6A5B"/>
    <w:rsid w:val="00BA6D2C"/>
    <w:rsid w:val="00BB0AE2"/>
    <w:rsid w:val="00BB129B"/>
    <w:rsid w:val="00BB1404"/>
    <w:rsid w:val="00BB25BF"/>
    <w:rsid w:val="00BB2C2D"/>
    <w:rsid w:val="00BB3EEB"/>
    <w:rsid w:val="00BB472F"/>
    <w:rsid w:val="00BB62EA"/>
    <w:rsid w:val="00BB799C"/>
    <w:rsid w:val="00BB7C8F"/>
    <w:rsid w:val="00BC0B6A"/>
    <w:rsid w:val="00BC175C"/>
    <w:rsid w:val="00BC330D"/>
    <w:rsid w:val="00BC335C"/>
    <w:rsid w:val="00BC3926"/>
    <w:rsid w:val="00BD07FC"/>
    <w:rsid w:val="00BD1463"/>
    <w:rsid w:val="00BD2C50"/>
    <w:rsid w:val="00BD3BC5"/>
    <w:rsid w:val="00BD4895"/>
    <w:rsid w:val="00BD6B26"/>
    <w:rsid w:val="00BD6F38"/>
    <w:rsid w:val="00BD770A"/>
    <w:rsid w:val="00BE2E49"/>
    <w:rsid w:val="00BE33D7"/>
    <w:rsid w:val="00BE4027"/>
    <w:rsid w:val="00BE6722"/>
    <w:rsid w:val="00BE73C3"/>
    <w:rsid w:val="00BE76ED"/>
    <w:rsid w:val="00BE7E7F"/>
    <w:rsid w:val="00BF0191"/>
    <w:rsid w:val="00BF0A82"/>
    <w:rsid w:val="00BF2685"/>
    <w:rsid w:val="00BF30A8"/>
    <w:rsid w:val="00BF324F"/>
    <w:rsid w:val="00C00AF5"/>
    <w:rsid w:val="00C02919"/>
    <w:rsid w:val="00C044C1"/>
    <w:rsid w:val="00C046A0"/>
    <w:rsid w:val="00C04A19"/>
    <w:rsid w:val="00C04B42"/>
    <w:rsid w:val="00C06026"/>
    <w:rsid w:val="00C072EB"/>
    <w:rsid w:val="00C073FC"/>
    <w:rsid w:val="00C07A7F"/>
    <w:rsid w:val="00C07DDC"/>
    <w:rsid w:val="00C1070F"/>
    <w:rsid w:val="00C10F3B"/>
    <w:rsid w:val="00C115C9"/>
    <w:rsid w:val="00C12D7A"/>
    <w:rsid w:val="00C1354A"/>
    <w:rsid w:val="00C13B35"/>
    <w:rsid w:val="00C13E30"/>
    <w:rsid w:val="00C146D1"/>
    <w:rsid w:val="00C14BBF"/>
    <w:rsid w:val="00C1590D"/>
    <w:rsid w:val="00C16B79"/>
    <w:rsid w:val="00C1771D"/>
    <w:rsid w:val="00C21B13"/>
    <w:rsid w:val="00C22597"/>
    <w:rsid w:val="00C22BCF"/>
    <w:rsid w:val="00C22F9E"/>
    <w:rsid w:val="00C23237"/>
    <w:rsid w:val="00C232EF"/>
    <w:rsid w:val="00C2431F"/>
    <w:rsid w:val="00C24D4E"/>
    <w:rsid w:val="00C27D4E"/>
    <w:rsid w:val="00C30943"/>
    <w:rsid w:val="00C30F15"/>
    <w:rsid w:val="00C315C2"/>
    <w:rsid w:val="00C32C10"/>
    <w:rsid w:val="00C3345D"/>
    <w:rsid w:val="00C348F2"/>
    <w:rsid w:val="00C35564"/>
    <w:rsid w:val="00C35A0B"/>
    <w:rsid w:val="00C36425"/>
    <w:rsid w:val="00C3665F"/>
    <w:rsid w:val="00C36783"/>
    <w:rsid w:val="00C36A2F"/>
    <w:rsid w:val="00C36DCE"/>
    <w:rsid w:val="00C40A0A"/>
    <w:rsid w:val="00C40C85"/>
    <w:rsid w:val="00C411FD"/>
    <w:rsid w:val="00C431C8"/>
    <w:rsid w:val="00C44137"/>
    <w:rsid w:val="00C4447B"/>
    <w:rsid w:val="00C4618A"/>
    <w:rsid w:val="00C4633A"/>
    <w:rsid w:val="00C466EE"/>
    <w:rsid w:val="00C46D69"/>
    <w:rsid w:val="00C46EF9"/>
    <w:rsid w:val="00C477E9"/>
    <w:rsid w:val="00C502DB"/>
    <w:rsid w:val="00C52A4B"/>
    <w:rsid w:val="00C52D7F"/>
    <w:rsid w:val="00C553C2"/>
    <w:rsid w:val="00C57303"/>
    <w:rsid w:val="00C6028F"/>
    <w:rsid w:val="00C605C5"/>
    <w:rsid w:val="00C620A0"/>
    <w:rsid w:val="00C6210E"/>
    <w:rsid w:val="00C64E66"/>
    <w:rsid w:val="00C654FA"/>
    <w:rsid w:val="00C662A6"/>
    <w:rsid w:val="00C67182"/>
    <w:rsid w:val="00C70092"/>
    <w:rsid w:val="00C70488"/>
    <w:rsid w:val="00C7060F"/>
    <w:rsid w:val="00C70E31"/>
    <w:rsid w:val="00C70FEC"/>
    <w:rsid w:val="00C71489"/>
    <w:rsid w:val="00C72714"/>
    <w:rsid w:val="00C73E9E"/>
    <w:rsid w:val="00C73F7B"/>
    <w:rsid w:val="00C74734"/>
    <w:rsid w:val="00C7496B"/>
    <w:rsid w:val="00C761C6"/>
    <w:rsid w:val="00C76299"/>
    <w:rsid w:val="00C76944"/>
    <w:rsid w:val="00C80310"/>
    <w:rsid w:val="00C81219"/>
    <w:rsid w:val="00C81E7B"/>
    <w:rsid w:val="00C82AF9"/>
    <w:rsid w:val="00C846DD"/>
    <w:rsid w:val="00C86801"/>
    <w:rsid w:val="00C92388"/>
    <w:rsid w:val="00C92DD3"/>
    <w:rsid w:val="00C92DF5"/>
    <w:rsid w:val="00C945E9"/>
    <w:rsid w:val="00C953A5"/>
    <w:rsid w:val="00C96220"/>
    <w:rsid w:val="00C96C8E"/>
    <w:rsid w:val="00C973D4"/>
    <w:rsid w:val="00C9754E"/>
    <w:rsid w:val="00C97DD2"/>
    <w:rsid w:val="00CA0510"/>
    <w:rsid w:val="00CA639A"/>
    <w:rsid w:val="00CB1DAF"/>
    <w:rsid w:val="00CB4D41"/>
    <w:rsid w:val="00CB5E81"/>
    <w:rsid w:val="00CC0494"/>
    <w:rsid w:val="00CC0882"/>
    <w:rsid w:val="00CC28F9"/>
    <w:rsid w:val="00CC2DAB"/>
    <w:rsid w:val="00CC3BEA"/>
    <w:rsid w:val="00CC3BF6"/>
    <w:rsid w:val="00CC6194"/>
    <w:rsid w:val="00CC65C3"/>
    <w:rsid w:val="00CC76E7"/>
    <w:rsid w:val="00CD0F4C"/>
    <w:rsid w:val="00CD19F5"/>
    <w:rsid w:val="00CD3BF1"/>
    <w:rsid w:val="00CD4B18"/>
    <w:rsid w:val="00CD4EAA"/>
    <w:rsid w:val="00CD531D"/>
    <w:rsid w:val="00CD5D0A"/>
    <w:rsid w:val="00CD6940"/>
    <w:rsid w:val="00CD742C"/>
    <w:rsid w:val="00CD7584"/>
    <w:rsid w:val="00CE05EB"/>
    <w:rsid w:val="00CE0B45"/>
    <w:rsid w:val="00CE0D99"/>
    <w:rsid w:val="00CE0E84"/>
    <w:rsid w:val="00CE2134"/>
    <w:rsid w:val="00CE2EA2"/>
    <w:rsid w:val="00CE4AF6"/>
    <w:rsid w:val="00CE53D8"/>
    <w:rsid w:val="00CE7ABB"/>
    <w:rsid w:val="00CE7BAA"/>
    <w:rsid w:val="00CE7CED"/>
    <w:rsid w:val="00CF1AFF"/>
    <w:rsid w:val="00CF46BD"/>
    <w:rsid w:val="00CF52B3"/>
    <w:rsid w:val="00CF52EB"/>
    <w:rsid w:val="00CF7DDE"/>
    <w:rsid w:val="00D00845"/>
    <w:rsid w:val="00D017CB"/>
    <w:rsid w:val="00D02BAB"/>
    <w:rsid w:val="00D06033"/>
    <w:rsid w:val="00D06EC6"/>
    <w:rsid w:val="00D120AE"/>
    <w:rsid w:val="00D12973"/>
    <w:rsid w:val="00D12CBE"/>
    <w:rsid w:val="00D12DB0"/>
    <w:rsid w:val="00D13ACC"/>
    <w:rsid w:val="00D14158"/>
    <w:rsid w:val="00D15E82"/>
    <w:rsid w:val="00D17363"/>
    <w:rsid w:val="00D17EFE"/>
    <w:rsid w:val="00D20235"/>
    <w:rsid w:val="00D212BF"/>
    <w:rsid w:val="00D21594"/>
    <w:rsid w:val="00D21D25"/>
    <w:rsid w:val="00D22969"/>
    <w:rsid w:val="00D22E86"/>
    <w:rsid w:val="00D23D3F"/>
    <w:rsid w:val="00D248FF"/>
    <w:rsid w:val="00D253B5"/>
    <w:rsid w:val="00D25931"/>
    <w:rsid w:val="00D30009"/>
    <w:rsid w:val="00D326D2"/>
    <w:rsid w:val="00D32FFF"/>
    <w:rsid w:val="00D33726"/>
    <w:rsid w:val="00D3402D"/>
    <w:rsid w:val="00D353B0"/>
    <w:rsid w:val="00D3611F"/>
    <w:rsid w:val="00D368AB"/>
    <w:rsid w:val="00D37B22"/>
    <w:rsid w:val="00D4123E"/>
    <w:rsid w:val="00D41267"/>
    <w:rsid w:val="00D42716"/>
    <w:rsid w:val="00D43489"/>
    <w:rsid w:val="00D44316"/>
    <w:rsid w:val="00D45CFE"/>
    <w:rsid w:val="00D4699D"/>
    <w:rsid w:val="00D46AEF"/>
    <w:rsid w:val="00D46EFF"/>
    <w:rsid w:val="00D47115"/>
    <w:rsid w:val="00D478BC"/>
    <w:rsid w:val="00D47BB2"/>
    <w:rsid w:val="00D50AAE"/>
    <w:rsid w:val="00D50D6A"/>
    <w:rsid w:val="00D52167"/>
    <w:rsid w:val="00D53D0E"/>
    <w:rsid w:val="00D5501E"/>
    <w:rsid w:val="00D5720B"/>
    <w:rsid w:val="00D6010C"/>
    <w:rsid w:val="00D60434"/>
    <w:rsid w:val="00D60C50"/>
    <w:rsid w:val="00D62A04"/>
    <w:rsid w:val="00D6356B"/>
    <w:rsid w:val="00D645B1"/>
    <w:rsid w:val="00D64D0C"/>
    <w:rsid w:val="00D64F0B"/>
    <w:rsid w:val="00D65FCC"/>
    <w:rsid w:val="00D67337"/>
    <w:rsid w:val="00D71859"/>
    <w:rsid w:val="00D7242F"/>
    <w:rsid w:val="00D734D9"/>
    <w:rsid w:val="00D734FC"/>
    <w:rsid w:val="00D75184"/>
    <w:rsid w:val="00D7732E"/>
    <w:rsid w:val="00D77811"/>
    <w:rsid w:val="00D81758"/>
    <w:rsid w:val="00D824E5"/>
    <w:rsid w:val="00D82552"/>
    <w:rsid w:val="00D82FCA"/>
    <w:rsid w:val="00D83E67"/>
    <w:rsid w:val="00D84631"/>
    <w:rsid w:val="00D87A9E"/>
    <w:rsid w:val="00D87E63"/>
    <w:rsid w:val="00D92462"/>
    <w:rsid w:val="00D9390E"/>
    <w:rsid w:val="00D9782C"/>
    <w:rsid w:val="00D97866"/>
    <w:rsid w:val="00DA06F1"/>
    <w:rsid w:val="00DA1FAA"/>
    <w:rsid w:val="00DA28C4"/>
    <w:rsid w:val="00DA2ADF"/>
    <w:rsid w:val="00DA35D5"/>
    <w:rsid w:val="00DA4D9D"/>
    <w:rsid w:val="00DA539E"/>
    <w:rsid w:val="00DA53E4"/>
    <w:rsid w:val="00DB05F6"/>
    <w:rsid w:val="00DB1006"/>
    <w:rsid w:val="00DB3A18"/>
    <w:rsid w:val="00DB3EB2"/>
    <w:rsid w:val="00DB4BB8"/>
    <w:rsid w:val="00DB50F0"/>
    <w:rsid w:val="00DB5B4E"/>
    <w:rsid w:val="00DB657D"/>
    <w:rsid w:val="00DB6941"/>
    <w:rsid w:val="00DB6B93"/>
    <w:rsid w:val="00DB6D52"/>
    <w:rsid w:val="00DC3D40"/>
    <w:rsid w:val="00DC5EF7"/>
    <w:rsid w:val="00DC6CEE"/>
    <w:rsid w:val="00DC79DC"/>
    <w:rsid w:val="00DD0443"/>
    <w:rsid w:val="00DD1E60"/>
    <w:rsid w:val="00DD2A0A"/>
    <w:rsid w:val="00DD3132"/>
    <w:rsid w:val="00DD32FB"/>
    <w:rsid w:val="00DD3D8F"/>
    <w:rsid w:val="00DD5490"/>
    <w:rsid w:val="00DE01D7"/>
    <w:rsid w:val="00DE188E"/>
    <w:rsid w:val="00DE1C3C"/>
    <w:rsid w:val="00DE1C43"/>
    <w:rsid w:val="00DE1DE3"/>
    <w:rsid w:val="00DE37F4"/>
    <w:rsid w:val="00DF0590"/>
    <w:rsid w:val="00DF106A"/>
    <w:rsid w:val="00DF1BE8"/>
    <w:rsid w:val="00DF1C62"/>
    <w:rsid w:val="00DF22EB"/>
    <w:rsid w:val="00DF357F"/>
    <w:rsid w:val="00DF3C28"/>
    <w:rsid w:val="00DF4C1C"/>
    <w:rsid w:val="00DF56B3"/>
    <w:rsid w:val="00DF6010"/>
    <w:rsid w:val="00DF76BE"/>
    <w:rsid w:val="00E02516"/>
    <w:rsid w:val="00E0588D"/>
    <w:rsid w:val="00E058A9"/>
    <w:rsid w:val="00E05D0F"/>
    <w:rsid w:val="00E05E5B"/>
    <w:rsid w:val="00E07261"/>
    <w:rsid w:val="00E07A7B"/>
    <w:rsid w:val="00E1283A"/>
    <w:rsid w:val="00E1609C"/>
    <w:rsid w:val="00E165DD"/>
    <w:rsid w:val="00E16636"/>
    <w:rsid w:val="00E16B91"/>
    <w:rsid w:val="00E17DB7"/>
    <w:rsid w:val="00E21DF5"/>
    <w:rsid w:val="00E23C78"/>
    <w:rsid w:val="00E24ED0"/>
    <w:rsid w:val="00E2646D"/>
    <w:rsid w:val="00E3045F"/>
    <w:rsid w:val="00E3099C"/>
    <w:rsid w:val="00E337DA"/>
    <w:rsid w:val="00E338BC"/>
    <w:rsid w:val="00E34BEC"/>
    <w:rsid w:val="00E35CD3"/>
    <w:rsid w:val="00E35FC9"/>
    <w:rsid w:val="00E37620"/>
    <w:rsid w:val="00E37C63"/>
    <w:rsid w:val="00E4025F"/>
    <w:rsid w:val="00E40B54"/>
    <w:rsid w:val="00E417CF"/>
    <w:rsid w:val="00E42101"/>
    <w:rsid w:val="00E44456"/>
    <w:rsid w:val="00E446F0"/>
    <w:rsid w:val="00E45D17"/>
    <w:rsid w:val="00E467D4"/>
    <w:rsid w:val="00E46EF7"/>
    <w:rsid w:val="00E531E2"/>
    <w:rsid w:val="00E5354E"/>
    <w:rsid w:val="00E54E10"/>
    <w:rsid w:val="00E55AAB"/>
    <w:rsid w:val="00E56EED"/>
    <w:rsid w:val="00E57631"/>
    <w:rsid w:val="00E60EFF"/>
    <w:rsid w:val="00E61439"/>
    <w:rsid w:val="00E62254"/>
    <w:rsid w:val="00E62513"/>
    <w:rsid w:val="00E6353F"/>
    <w:rsid w:val="00E6372E"/>
    <w:rsid w:val="00E65F94"/>
    <w:rsid w:val="00E6666B"/>
    <w:rsid w:val="00E6686E"/>
    <w:rsid w:val="00E710A6"/>
    <w:rsid w:val="00E72D9C"/>
    <w:rsid w:val="00E73D37"/>
    <w:rsid w:val="00E7616E"/>
    <w:rsid w:val="00E76A37"/>
    <w:rsid w:val="00E83782"/>
    <w:rsid w:val="00E84A68"/>
    <w:rsid w:val="00E90C72"/>
    <w:rsid w:val="00E92A7B"/>
    <w:rsid w:val="00E93F7A"/>
    <w:rsid w:val="00E944C7"/>
    <w:rsid w:val="00E951D4"/>
    <w:rsid w:val="00E9660A"/>
    <w:rsid w:val="00E96B4B"/>
    <w:rsid w:val="00E97DAC"/>
    <w:rsid w:val="00EA0B75"/>
    <w:rsid w:val="00EA0B9D"/>
    <w:rsid w:val="00EA0DE9"/>
    <w:rsid w:val="00EA1918"/>
    <w:rsid w:val="00EA256D"/>
    <w:rsid w:val="00EA3C30"/>
    <w:rsid w:val="00EA5C71"/>
    <w:rsid w:val="00EA5F41"/>
    <w:rsid w:val="00EA619F"/>
    <w:rsid w:val="00EA65C8"/>
    <w:rsid w:val="00EA73AB"/>
    <w:rsid w:val="00EA7C9F"/>
    <w:rsid w:val="00EB1FDA"/>
    <w:rsid w:val="00EB2687"/>
    <w:rsid w:val="00EB2BCC"/>
    <w:rsid w:val="00EB2DB6"/>
    <w:rsid w:val="00EB558B"/>
    <w:rsid w:val="00EB63F7"/>
    <w:rsid w:val="00EB6946"/>
    <w:rsid w:val="00EB6B8D"/>
    <w:rsid w:val="00EB6D85"/>
    <w:rsid w:val="00EB7114"/>
    <w:rsid w:val="00EC04AF"/>
    <w:rsid w:val="00EC0A7D"/>
    <w:rsid w:val="00EC0F3F"/>
    <w:rsid w:val="00EC4697"/>
    <w:rsid w:val="00EC558D"/>
    <w:rsid w:val="00EC6F44"/>
    <w:rsid w:val="00ED008E"/>
    <w:rsid w:val="00ED064A"/>
    <w:rsid w:val="00ED0D17"/>
    <w:rsid w:val="00ED1443"/>
    <w:rsid w:val="00ED1746"/>
    <w:rsid w:val="00ED192A"/>
    <w:rsid w:val="00ED1980"/>
    <w:rsid w:val="00ED1C9F"/>
    <w:rsid w:val="00ED2A2E"/>
    <w:rsid w:val="00ED33FB"/>
    <w:rsid w:val="00ED3CDC"/>
    <w:rsid w:val="00ED3F0A"/>
    <w:rsid w:val="00ED40A3"/>
    <w:rsid w:val="00ED5FA2"/>
    <w:rsid w:val="00ED68AE"/>
    <w:rsid w:val="00EE101F"/>
    <w:rsid w:val="00EE1E4C"/>
    <w:rsid w:val="00EE3F55"/>
    <w:rsid w:val="00EE5AAB"/>
    <w:rsid w:val="00EE5E71"/>
    <w:rsid w:val="00EE63D7"/>
    <w:rsid w:val="00EF0954"/>
    <w:rsid w:val="00EF0964"/>
    <w:rsid w:val="00EF0BA5"/>
    <w:rsid w:val="00EF0CB8"/>
    <w:rsid w:val="00EF0D50"/>
    <w:rsid w:val="00EF2A1D"/>
    <w:rsid w:val="00EF2A3B"/>
    <w:rsid w:val="00EF6328"/>
    <w:rsid w:val="00EF6792"/>
    <w:rsid w:val="00EF7516"/>
    <w:rsid w:val="00EF7601"/>
    <w:rsid w:val="00F02323"/>
    <w:rsid w:val="00F03B30"/>
    <w:rsid w:val="00F04468"/>
    <w:rsid w:val="00F0530D"/>
    <w:rsid w:val="00F060B0"/>
    <w:rsid w:val="00F10132"/>
    <w:rsid w:val="00F10DAF"/>
    <w:rsid w:val="00F11100"/>
    <w:rsid w:val="00F1256B"/>
    <w:rsid w:val="00F15267"/>
    <w:rsid w:val="00F162A1"/>
    <w:rsid w:val="00F16B7E"/>
    <w:rsid w:val="00F20356"/>
    <w:rsid w:val="00F207D7"/>
    <w:rsid w:val="00F22309"/>
    <w:rsid w:val="00F23084"/>
    <w:rsid w:val="00F2426C"/>
    <w:rsid w:val="00F24591"/>
    <w:rsid w:val="00F24BA1"/>
    <w:rsid w:val="00F25132"/>
    <w:rsid w:val="00F275DF"/>
    <w:rsid w:val="00F304F7"/>
    <w:rsid w:val="00F31A3F"/>
    <w:rsid w:val="00F31AB3"/>
    <w:rsid w:val="00F31FFC"/>
    <w:rsid w:val="00F325FF"/>
    <w:rsid w:val="00F32881"/>
    <w:rsid w:val="00F343CB"/>
    <w:rsid w:val="00F3601D"/>
    <w:rsid w:val="00F40D09"/>
    <w:rsid w:val="00F429BA"/>
    <w:rsid w:val="00F42DA2"/>
    <w:rsid w:val="00F43BFF"/>
    <w:rsid w:val="00F46974"/>
    <w:rsid w:val="00F50A29"/>
    <w:rsid w:val="00F51957"/>
    <w:rsid w:val="00F553B3"/>
    <w:rsid w:val="00F5600E"/>
    <w:rsid w:val="00F564D7"/>
    <w:rsid w:val="00F638EE"/>
    <w:rsid w:val="00F638FF"/>
    <w:rsid w:val="00F666A2"/>
    <w:rsid w:val="00F67547"/>
    <w:rsid w:val="00F67672"/>
    <w:rsid w:val="00F67BEF"/>
    <w:rsid w:val="00F67D52"/>
    <w:rsid w:val="00F729EB"/>
    <w:rsid w:val="00F735D3"/>
    <w:rsid w:val="00F74FD2"/>
    <w:rsid w:val="00F75EAA"/>
    <w:rsid w:val="00F7764B"/>
    <w:rsid w:val="00F83C77"/>
    <w:rsid w:val="00F83F5F"/>
    <w:rsid w:val="00F84ADC"/>
    <w:rsid w:val="00F859C6"/>
    <w:rsid w:val="00F86200"/>
    <w:rsid w:val="00F91158"/>
    <w:rsid w:val="00F914EF"/>
    <w:rsid w:val="00F93026"/>
    <w:rsid w:val="00F9500F"/>
    <w:rsid w:val="00F95021"/>
    <w:rsid w:val="00F962FB"/>
    <w:rsid w:val="00F97475"/>
    <w:rsid w:val="00F97AB6"/>
    <w:rsid w:val="00FA5A1B"/>
    <w:rsid w:val="00FA70D6"/>
    <w:rsid w:val="00FA7B4E"/>
    <w:rsid w:val="00FB197B"/>
    <w:rsid w:val="00FB4E9F"/>
    <w:rsid w:val="00FB5045"/>
    <w:rsid w:val="00FB58E2"/>
    <w:rsid w:val="00FB61BD"/>
    <w:rsid w:val="00FB6979"/>
    <w:rsid w:val="00FB780E"/>
    <w:rsid w:val="00FB7E6E"/>
    <w:rsid w:val="00FC39DB"/>
    <w:rsid w:val="00FC3E42"/>
    <w:rsid w:val="00FC4546"/>
    <w:rsid w:val="00FC58E4"/>
    <w:rsid w:val="00FC5C85"/>
    <w:rsid w:val="00FC626D"/>
    <w:rsid w:val="00FC63B9"/>
    <w:rsid w:val="00FC6428"/>
    <w:rsid w:val="00FC69B0"/>
    <w:rsid w:val="00FC6E3A"/>
    <w:rsid w:val="00FD5BC2"/>
    <w:rsid w:val="00FD5E18"/>
    <w:rsid w:val="00FD7A2D"/>
    <w:rsid w:val="00FE179D"/>
    <w:rsid w:val="00FE3D51"/>
    <w:rsid w:val="00FE4EAF"/>
    <w:rsid w:val="00FE5C72"/>
    <w:rsid w:val="00FE7A69"/>
    <w:rsid w:val="00FF1006"/>
    <w:rsid w:val="00FF15C5"/>
    <w:rsid w:val="00FF2156"/>
    <w:rsid w:val="00FF23D7"/>
    <w:rsid w:val="00FF2970"/>
    <w:rsid w:val="00FF3553"/>
    <w:rsid w:val="00FF3900"/>
    <w:rsid w:val="00FF4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54DE04"/>
  <w15:docId w15:val="{3BF6C3EB-EF4E-4512-808F-22A694C9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qFormat="1"/>
    <w:lsdException w:name="Intense Emphasis" w:uiPriority="3" w:qFormat="1"/>
    <w:lsdException w:name="Subtle Reference" w:uiPriority="31" w:qFormat="1"/>
    <w:lsdException w:name="Intense Reference" w:uiPriority="32" w:qFormat="1"/>
    <w:lsdException w:name="Book Title" w:uiPriority="33" w:qFormat="1"/>
    <w:lsdException w:name="Bibliography" w:semiHidden="1" w:uiPriority="40"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CC76E7"/>
    <w:pPr>
      <w:spacing w:after="240"/>
      <w:jc w:val="both"/>
    </w:pPr>
    <w:rPr>
      <w:rFonts w:ascii="Times New Roman" w:hAnsi="Times New Roman"/>
    </w:rPr>
  </w:style>
  <w:style w:type="paragraph" w:styleId="Heading1">
    <w:name w:val="heading 1"/>
    <w:basedOn w:val="Normal"/>
    <w:next w:val="Normal"/>
    <w:link w:val="Heading1Char"/>
    <w:uiPriority w:val="1"/>
    <w:qFormat/>
    <w:rsid w:val="00C92388"/>
    <w:pPr>
      <w:keepNext/>
      <w:keepLines/>
      <w:numPr>
        <w:numId w:val="7"/>
      </w:numPr>
      <w:pBdr>
        <w:top w:val="single" w:sz="48" w:space="1" w:color="17365D" w:themeColor="text2" w:themeShade="BF"/>
        <w:bottom w:val="single" w:sz="48" w:space="1" w:color="17365D" w:themeColor="text2" w:themeShade="BF"/>
      </w:pBdr>
      <w:shd w:val="clear" w:color="auto" w:fill="17365D" w:themeFill="text2" w:themeFillShade="BF"/>
      <w:spacing w:before="120" w:after="360" w:line="440" w:lineRule="exact"/>
      <w:outlineLvl w:val="0"/>
    </w:pPr>
    <w:rPr>
      <w:rFonts w:ascii="Arial" w:eastAsiaTheme="majorEastAsia" w:hAnsi="Arial" w:cstheme="majorBidi"/>
      <w:b/>
      <w:bCs/>
      <w:caps/>
      <w:color w:val="FFFFFF" w:themeColor="background1"/>
      <w:sz w:val="36"/>
      <w:szCs w:val="32"/>
    </w:rPr>
  </w:style>
  <w:style w:type="paragraph" w:styleId="Heading2">
    <w:name w:val="heading 2"/>
    <w:basedOn w:val="Heading1"/>
    <w:next w:val="Normal"/>
    <w:link w:val="Heading2Char"/>
    <w:uiPriority w:val="1"/>
    <w:qFormat/>
    <w:rsid w:val="003836D3"/>
    <w:pPr>
      <w:numPr>
        <w:ilvl w:val="1"/>
      </w:numPr>
      <w:pBdr>
        <w:top w:val="none" w:sz="0" w:space="0" w:color="auto"/>
        <w:bottom w:val="single" w:sz="18" w:space="3" w:color="005596"/>
      </w:pBdr>
      <w:shd w:val="clear" w:color="auto" w:fill="auto"/>
      <w:outlineLvl w:val="1"/>
    </w:pPr>
    <w:rPr>
      <w:color w:val="17365D" w:themeColor="text2" w:themeShade="BF"/>
      <w:sz w:val="30"/>
      <w:szCs w:val="28"/>
    </w:rPr>
  </w:style>
  <w:style w:type="paragraph" w:styleId="Heading3">
    <w:name w:val="heading 3"/>
    <w:basedOn w:val="Heading2"/>
    <w:next w:val="Normal"/>
    <w:link w:val="Heading3Char"/>
    <w:uiPriority w:val="1"/>
    <w:qFormat/>
    <w:rsid w:val="00BE6722"/>
    <w:pPr>
      <w:numPr>
        <w:ilvl w:val="2"/>
      </w:numPr>
      <w:pBdr>
        <w:bottom w:val="none" w:sz="0" w:space="0" w:color="auto"/>
      </w:pBdr>
      <w:spacing w:after="240"/>
      <w:outlineLvl w:val="2"/>
    </w:pPr>
    <w:rPr>
      <w:caps w:val="0"/>
    </w:rPr>
  </w:style>
  <w:style w:type="paragraph" w:styleId="Heading4">
    <w:name w:val="heading 4"/>
    <w:basedOn w:val="Heading3"/>
    <w:next w:val="Normal"/>
    <w:link w:val="Heading4Char"/>
    <w:uiPriority w:val="1"/>
    <w:qFormat/>
    <w:rsid w:val="0092303A"/>
    <w:pPr>
      <w:numPr>
        <w:ilvl w:val="3"/>
      </w:numPr>
      <w:spacing w:line="240" w:lineRule="auto"/>
      <w:outlineLvl w:val="3"/>
    </w:pPr>
    <w:rPr>
      <w:bCs w:val="0"/>
      <w:iCs/>
      <w:color w:val="000000" w:themeColor="text1"/>
      <w:sz w:val="24"/>
    </w:rPr>
  </w:style>
  <w:style w:type="paragraph" w:styleId="Heading5">
    <w:name w:val="heading 5"/>
    <w:basedOn w:val="Normal"/>
    <w:next w:val="Normal"/>
    <w:link w:val="Heading5Char"/>
    <w:uiPriority w:val="9"/>
    <w:semiHidden/>
    <w:qFormat/>
    <w:rsid w:val="0001395D"/>
    <w:pPr>
      <w:keepNext/>
      <w:keepLines/>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qFormat/>
    <w:rsid w:val="0001395D"/>
    <w:pPr>
      <w:keepNext/>
      <w:keepLines/>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qFormat/>
    <w:rsid w:val="0001395D"/>
    <w:pPr>
      <w:keepNext/>
      <w:keepLines/>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qFormat/>
    <w:rsid w:val="0001395D"/>
    <w:pPr>
      <w:keepNext/>
      <w:keepLines/>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qFormat/>
    <w:rsid w:val="0001395D"/>
    <w:pPr>
      <w:keepNext/>
      <w:keepLines/>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0715F"/>
    <w:pPr>
      <w:tabs>
        <w:tab w:val="center" w:pos="4320"/>
        <w:tab w:val="right" w:pos="8640"/>
      </w:tabs>
      <w:spacing w:after="0"/>
    </w:pPr>
  </w:style>
  <w:style w:type="character" w:customStyle="1" w:styleId="HeaderChar">
    <w:name w:val="Header Char"/>
    <w:basedOn w:val="DefaultParagraphFont"/>
    <w:link w:val="Header"/>
    <w:uiPriority w:val="99"/>
    <w:rsid w:val="0063043F"/>
    <w:rPr>
      <w:rFonts w:ascii="Arial" w:hAnsi="Arial"/>
      <w:sz w:val="20"/>
    </w:rPr>
  </w:style>
  <w:style w:type="paragraph" w:styleId="Footer">
    <w:name w:val="footer"/>
    <w:basedOn w:val="Normal"/>
    <w:link w:val="FooterChar"/>
    <w:uiPriority w:val="99"/>
    <w:rsid w:val="0080715F"/>
    <w:pPr>
      <w:tabs>
        <w:tab w:val="center" w:pos="4320"/>
        <w:tab w:val="right" w:pos="8640"/>
      </w:tabs>
      <w:spacing w:after="0"/>
    </w:pPr>
  </w:style>
  <w:style w:type="character" w:customStyle="1" w:styleId="FooterChar">
    <w:name w:val="Footer Char"/>
    <w:basedOn w:val="DefaultParagraphFont"/>
    <w:link w:val="Footer"/>
    <w:uiPriority w:val="99"/>
    <w:rsid w:val="0063043F"/>
    <w:rPr>
      <w:rFonts w:ascii="Arial" w:hAnsi="Arial"/>
      <w:sz w:val="20"/>
    </w:rPr>
  </w:style>
  <w:style w:type="paragraph" w:styleId="BalloonText">
    <w:name w:val="Balloon Text"/>
    <w:basedOn w:val="Normal"/>
    <w:link w:val="BalloonTextChar"/>
    <w:uiPriority w:val="99"/>
    <w:semiHidden/>
    <w:rsid w:val="00F859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03DD"/>
    <w:rPr>
      <w:rFonts w:ascii="Lucida Grande" w:hAnsi="Lucida Grande" w:cs="Lucida Grande"/>
      <w:sz w:val="18"/>
      <w:szCs w:val="18"/>
    </w:rPr>
  </w:style>
  <w:style w:type="table" w:styleId="TableGrid">
    <w:name w:val="Table Grid"/>
    <w:basedOn w:val="TableNormal"/>
    <w:uiPriority w:val="39"/>
    <w:rsid w:val="00F85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F859C6"/>
  </w:style>
  <w:style w:type="character" w:customStyle="1" w:styleId="Heading1Char">
    <w:name w:val="Heading 1 Char"/>
    <w:basedOn w:val="DefaultParagraphFont"/>
    <w:link w:val="Heading1"/>
    <w:uiPriority w:val="1"/>
    <w:rsid w:val="00C92388"/>
    <w:rPr>
      <w:rFonts w:ascii="Arial" w:eastAsiaTheme="majorEastAsia" w:hAnsi="Arial" w:cstheme="majorBidi"/>
      <w:b/>
      <w:bCs/>
      <w:caps/>
      <w:color w:val="FFFFFF" w:themeColor="background1"/>
      <w:sz w:val="36"/>
      <w:szCs w:val="32"/>
      <w:shd w:val="clear" w:color="auto" w:fill="17365D" w:themeFill="text2" w:themeFillShade="BF"/>
    </w:rPr>
  </w:style>
  <w:style w:type="character" w:customStyle="1" w:styleId="Heading2Char">
    <w:name w:val="Heading 2 Char"/>
    <w:basedOn w:val="DefaultParagraphFont"/>
    <w:link w:val="Heading2"/>
    <w:uiPriority w:val="1"/>
    <w:rsid w:val="003836D3"/>
    <w:rPr>
      <w:rFonts w:ascii="Arial" w:eastAsiaTheme="majorEastAsia" w:hAnsi="Arial" w:cstheme="majorBidi"/>
      <w:b/>
      <w:bCs/>
      <w:caps/>
      <w:color w:val="17365D" w:themeColor="text2" w:themeShade="BF"/>
      <w:sz w:val="30"/>
      <w:szCs w:val="28"/>
    </w:rPr>
  </w:style>
  <w:style w:type="character" w:customStyle="1" w:styleId="Heading3Char">
    <w:name w:val="Heading 3 Char"/>
    <w:basedOn w:val="DefaultParagraphFont"/>
    <w:link w:val="Heading3"/>
    <w:uiPriority w:val="1"/>
    <w:rsid w:val="00BE6722"/>
    <w:rPr>
      <w:rFonts w:ascii="Arial" w:eastAsiaTheme="majorEastAsia" w:hAnsi="Arial" w:cstheme="majorBidi"/>
      <w:b/>
      <w:bCs/>
      <w:color w:val="17365D" w:themeColor="text2" w:themeShade="BF"/>
      <w:sz w:val="30"/>
      <w:szCs w:val="28"/>
    </w:rPr>
  </w:style>
  <w:style w:type="character" w:customStyle="1" w:styleId="Heading4Char">
    <w:name w:val="Heading 4 Char"/>
    <w:basedOn w:val="DefaultParagraphFont"/>
    <w:link w:val="Heading4"/>
    <w:uiPriority w:val="1"/>
    <w:rsid w:val="00EF0BA5"/>
    <w:rPr>
      <w:rFonts w:ascii="Arial" w:eastAsiaTheme="majorEastAsia" w:hAnsi="Arial" w:cstheme="majorBidi"/>
      <w:b/>
      <w:iCs/>
      <w:color w:val="000000" w:themeColor="text1"/>
      <w:szCs w:val="28"/>
    </w:rPr>
  </w:style>
  <w:style w:type="character" w:customStyle="1" w:styleId="Heading5Char">
    <w:name w:val="Heading 5 Char"/>
    <w:basedOn w:val="DefaultParagraphFont"/>
    <w:link w:val="Heading5"/>
    <w:uiPriority w:val="9"/>
    <w:semiHidden/>
    <w:rsid w:val="002B03DD"/>
    <w:rPr>
      <w:rFonts w:ascii="Arial" w:eastAsiaTheme="majorEastAsia" w:hAnsi="Arial" w:cstheme="majorBidi"/>
      <w:color w:val="243F60" w:themeColor="accent1" w:themeShade="7F"/>
      <w:sz w:val="20"/>
    </w:rPr>
  </w:style>
  <w:style w:type="character" w:customStyle="1" w:styleId="Heading6Char">
    <w:name w:val="Heading 6 Char"/>
    <w:basedOn w:val="DefaultParagraphFont"/>
    <w:link w:val="Heading6"/>
    <w:uiPriority w:val="9"/>
    <w:semiHidden/>
    <w:rsid w:val="002B03DD"/>
    <w:rPr>
      <w:rFonts w:ascii="Arial" w:eastAsiaTheme="majorEastAsia" w:hAnsi="Arial" w:cstheme="majorBidi"/>
      <w:i/>
      <w:iCs/>
      <w:color w:val="243F60" w:themeColor="accent1" w:themeShade="7F"/>
      <w:sz w:val="20"/>
    </w:rPr>
  </w:style>
  <w:style w:type="character" w:customStyle="1" w:styleId="Heading7Char">
    <w:name w:val="Heading 7 Char"/>
    <w:basedOn w:val="DefaultParagraphFont"/>
    <w:link w:val="Heading7"/>
    <w:uiPriority w:val="9"/>
    <w:semiHidden/>
    <w:rsid w:val="002B03DD"/>
    <w:rPr>
      <w:rFonts w:ascii="Arial" w:eastAsiaTheme="majorEastAsia" w:hAnsi="Arial" w:cstheme="majorBidi"/>
      <w:i/>
      <w:iCs/>
      <w:color w:val="404040" w:themeColor="text1" w:themeTint="BF"/>
      <w:sz w:val="20"/>
    </w:rPr>
  </w:style>
  <w:style w:type="character" w:customStyle="1" w:styleId="Heading8Char">
    <w:name w:val="Heading 8 Char"/>
    <w:basedOn w:val="DefaultParagraphFont"/>
    <w:link w:val="Heading8"/>
    <w:uiPriority w:val="9"/>
    <w:semiHidden/>
    <w:rsid w:val="002B03DD"/>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B03DD"/>
    <w:rPr>
      <w:rFonts w:ascii="Arial" w:eastAsiaTheme="majorEastAsia" w:hAnsi="Arial" w:cstheme="majorBidi"/>
      <w:i/>
      <w:iCs/>
      <w:color w:val="404040" w:themeColor="text1" w:themeTint="BF"/>
      <w:sz w:val="20"/>
      <w:szCs w:val="20"/>
    </w:rPr>
  </w:style>
  <w:style w:type="paragraph" w:styleId="TOCHeading">
    <w:name w:val="TOC Heading"/>
    <w:basedOn w:val="Normal"/>
    <w:next w:val="Normal"/>
    <w:uiPriority w:val="8"/>
    <w:unhideWhenUsed/>
    <w:qFormat/>
    <w:rsid w:val="00997EBD"/>
    <w:pPr>
      <w:pBdr>
        <w:bottom w:val="single" w:sz="18" w:space="3" w:color="C4BC96"/>
      </w:pBdr>
      <w:spacing w:after="200"/>
    </w:pPr>
    <w:rPr>
      <w:b/>
      <w:bCs/>
      <w:caps/>
      <w:color w:val="005596"/>
      <w:sz w:val="28"/>
      <w:szCs w:val="28"/>
    </w:rPr>
  </w:style>
  <w:style w:type="paragraph" w:styleId="TOC1">
    <w:name w:val="toc 1"/>
    <w:basedOn w:val="Normal"/>
    <w:next w:val="Normal"/>
    <w:uiPriority w:val="39"/>
    <w:unhideWhenUsed/>
    <w:rsid w:val="008F2A65"/>
    <w:pPr>
      <w:tabs>
        <w:tab w:val="right" w:leader="dot" w:pos="10070"/>
      </w:tabs>
      <w:spacing w:before="120"/>
    </w:pPr>
    <w:rPr>
      <w:b/>
      <w:caps/>
      <w:noProof/>
      <w:szCs w:val="22"/>
    </w:rPr>
  </w:style>
  <w:style w:type="paragraph" w:styleId="TOC2">
    <w:name w:val="toc 2"/>
    <w:basedOn w:val="TOC1"/>
    <w:next w:val="Normal"/>
    <w:autoRedefine/>
    <w:uiPriority w:val="39"/>
    <w:unhideWhenUsed/>
    <w:rsid w:val="008F2A65"/>
    <w:pPr>
      <w:ind w:left="360"/>
    </w:pPr>
    <w:rPr>
      <w:b w:val="0"/>
      <w:caps w:val="0"/>
    </w:rPr>
  </w:style>
  <w:style w:type="paragraph" w:styleId="TOC3">
    <w:name w:val="toc 3"/>
    <w:basedOn w:val="TOC2"/>
    <w:next w:val="Normal"/>
    <w:autoRedefine/>
    <w:uiPriority w:val="39"/>
    <w:unhideWhenUsed/>
    <w:rsid w:val="008F2A65"/>
    <w:pPr>
      <w:ind w:left="720"/>
    </w:pPr>
  </w:style>
  <w:style w:type="paragraph" w:styleId="TOC4">
    <w:name w:val="toc 4"/>
    <w:basedOn w:val="TOC3"/>
    <w:next w:val="Normal"/>
    <w:autoRedefine/>
    <w:uiPriority w:val="39"/>
    <w:unhideWhenUsed/>
    <w:rsid w:val="008F2A65"/>
    <w:pPr>
      <w:ind w:left="1080"/>
    </w:pPr>
    <w:rPr>
      <w:szCs w:val="18"/>
    </w:rPr>
  </w:style>
  <w:style w:type="paragraph" w:styleId="TOC5">
    <w:name w:val="toc 5"/>
    <w:basedOn w:val="Normal"/>
    <w:next w:val="Normal"/>
    <w:autoRedefine/>
    <w:uiPriority w:val="39"/>
    <w:semiHidden/>
    <w:rsid w:val="005D330C"/>
    <w:pPr>
      <w:ind w:left="800"/>
    </w:pPr>
    <w:rPr>
      <w:rFonts w:asciiTheme="minorHAnsi" w:hAnsiTheme="minorHAnsi"/>
      <w:sz w:val="18"/>
      <w:szCs w:val="18"/>
    </w:rPr>
  </w:style>
  <w:style w:type="paragraph" w:styleId="TOC6">
    <w:name w:val="toc 6"/>
    <w:basedOn w:val="Normal"/>
    <w:next w:val="Normal"/>
    <w:autoRedefine/>
    <w:uiPriority w:val="39"/>
    <w:semiHidden/>
    <w:rsid w:val="005D330C"/>
    <w:pPr>
      <w:ind w:left="1000"/>
    </w:pPr>
    <w:rPr>
      <w:rFonts w:asciiTheme="minorHAnsi" w:hAnsiTheme="minorHAnsi"/>
      <w:sz w:val="18"/>
      <w:szCs w:val="18"/>
    </w:rPr>
  </w:style>
  <w:style w:type="paragraph" w:styleId="TOC7">
    <w:name w:val="toc 7"/>
    <w:basedOn w:val="Normal"/>
    <w:next w:val="Normal"/>
    <w:autoRedefine/>
    <w:uiPriority w:val="39"/>
    <w:semiHidden/>
    <w:rsid w:val="005D330C"/>
    <w:pPr>
      <w:ind w:left="1200"/>
    </w:pPr>
    <w:rPr>
      <w:rFonts w:asciiTheme="minorHAnsi" w:hAnsiTheme="minorHAnsi"/>
      <w:sz w:val="18"/>
      <w:szCs w:val="18"/>
    </w:rPr>
  </w:style>
  <w:style w:type="paragraph" w:styleId="TOC8">
    <w:name w:val="toc 8"/>
    <w:basedOn w:val="Normal"/>
    <w:next w:val="Normal"/>
    <w:autoRedefine/>
    <w:uiPriority w:val="39"/>
    <w:semiHidden/>
    <w:rsid w:val="005D330C"/>
    <w:pPr>
      <w:ind w:left="1400"/>
    </w:pPr>
    <w:rPr>
      <w:rFonts w:asciiTheme="minorHAnsi" w:hAnsiTheme="minorHAnsi"/>
      <w:sz w:val="18"/>
      <w:szCs w:val="18"/>
    </w:rPr>
  </w:style>
  <w:style w:type="paragraph" w:styleId="TOC9">
    <w:name w:val="toc 9"/>
    <w:basedOn w:val="Normal"/>
    <w:next w:val="Normal"/>
    <w:autoRedefine/>
    <w:uiPriority w:val="39"/>
    <w:semiHidden/>
    <w:rsid w:val="005D330C"/>
    <w:pPr>
      <w:ind w:left="1600"/>
    </w:pPr>
    <w:rPr>
      <w:rFonts w:asciiTheme="minorHAnsi" w:hAnsiTheme="minorHAnsi"/>
      <w:sz w:val="18"/>
      <w:szCs w:val="18"/>
    </w:rPr>
  </w:style>
  <w:style w:type="paragraph" w:styleId="NormalWeb">
    <w:name w:val="Normal (Web)"/>
    <w:basedOn w:val="Normal"/>
    <w:uiPriority w:val="99"/>
    <w:semiHidden/>
    <w:rsid w:val="00850554"/>
    <w:pPr>
      <w:spacing w:before="100" w:beforeAutospacing="1" w:after="100" w:afterAutospacing="1"/>
    </w:pPr>
    <w:rPr>
      <w:rFonts w:ascii="Times" w:hAnsi="Times" w:cs="Times New Roman"/>
      <w:szCs w:val="20"/>
    </w:rPr>
  </w:style>
  <w:style w:type="paragraph" w:styleId="ListBullet">
    <w:name w:val="List Bullet"/>
    <w:basedOn w:val="Normal"/>
    <w:uiPriority w:val="4"/>
    <w:unhideWhenUsed/>
    <w:rsid w:val="006438EA"/>
    <w:pPr>
      <w:numPr>
        <w:numId w:val="3"/>
      </w:numPr>
      <w:spacing w:after="120"/>
      <w:ind w:left="1267" w:right="720"/>
    </w:pPr>
    <w:rPr>
      <w:i/>
    </w:rPr>
  </w:style>
  <w:style w:type="paragraph" w:styleId="ListBullet2">
    <w:name w:val="List Bullet 2"/>
    <w:basedOn w:val="ListBullet"/>
    <w:next w:val="ListBullet"/>
    <w:uiPriority w:val="4"/>
    <w:unhideWhenUsed/>
    <w:rsid w:val="00167886"/>
    <w:pPr>
      <w:numPr>
        <w:ilvl w:val="1"/>
        <w:numId w:val="4"/>
      </w:numPr>
    </w:pPr>
  </w:style>
  <w:style w:type="paragraph" w:styleId="ListBullet3">
    <w:name w:val="List Bullet 3"/>
    <w:basedOn w:val="ListBullet"/>
    <w:uiPriority w:val="4"/>
    <w:unhideWhenUsed/>
    <w:rsid w:val="001C0A15"/>
    <w:pPr>
      <w:numPr>
        <w:ilvl w:val="2"/>
        <w:numId w:val="2"/>
      </w:numPr>
    </w:pPr>
  </w:style>
  <w:style w:type="paragraph" w:styleId="ListBullet4">
    <w:name w:val="List Bullet 4"/>
    <w:basedOn w:val="ListBullet"/>
    <w:uiPriority w:val="4"/>
    <w:unhideWhenUsed/>
    <w:rsid w:val="001C0A15"/>
    <w:pPr>
      <w:numPr>
        <w:ilvl w:val="3"/>
        <w:numId w:val="2"/>
      </w:numPr>
    </w:pPr>
  </w:style>
  <w:style w:type="paragraph" w:styleId="ListBullet5">
    <w:name w:val="List Bullet 5"/>
    <w:basedOn w:val="ListBullet"/>
    <w:uiPriority w:val="4"/>
    <w:unhideWhenUsed/>
    <w:rsid w:val="001C0A15"/>
    <w:pPr>
      <w:numPr>
        <w:ilvl w:val="4"/>
        <w:numId w:val="2"/>
      </w:numPr>
    </w:pPr>
  </w:style>
  <w:style w:type="paragraph" w:styleId="List3">
    <w:name w:val="List 3"/>
    <w:basedOn w:val="Normal"/>
    <w:uiPriority w:val="99"/>
    <w:semiHidden/>
    <w:rsid w:val="006C01ED"/>
    <w:pPr>
      <w:ind w:left="1080" w:hanging="360"/>
      <w:contextualSpacing/>
    </w:pPr>
  </w:style>
  <w:style w:type="character" w:styleId="Strong">
    <w:name w:val="Strong"/>
    <w:basedOn w:val="DefaultParagraphFont"/>
    <w:uiPriority w:val="22"/>
    <w:qFormat/>
    <w:rsid w:val="00680571"/>
    <w:rPr>
      <w:b/>
      <w:bCs/>
    </w:rPr>
  </w:style>
  <w:style w:type="character" w:styleId="Emphasis">
    <w:name w:val="Emphasis"/>
    <w:basedOn w:val="DefaultParagraphFont"/>
    <w:uiPriority w:val="20"/>
    <w:qFormat/>
    <w:rsid w:val="00AB7835"/>
    <w:rPr>
      <w:i/>
      <w:iCs/>
      <w:color w:val="005596"/>
    </w:rPr>
  </w:style>
  <w:style w:type="character" w:styleId="IntenseEmphasis">
    <w:name w:val="Intense Emphasis"/>
    <w:basedOn w:val="DefaultParagraphFont"/>
    <w:uiPriority w:val="3"/>
    <w:qFormat/>
    <w:rsid w:val="00AB7835"/>
    <w:rPr>
      <w:b/>
      <w:bCs/>
      <w:i/>
      <w:iCs/>
      <w:color w:val="auto"/>
    </w:rPr>
  </w:style>
  <w:style w:type="character" w:styleId="Hyperlink">
    <w:name w:val="Hyperlink"/>
    <w:basedOn w:val="DefaultParagraphFont"/>
    <w:uiPriority w:val="99"/>
    <w:rsid w:val="009728CC"/>
    <w:rPr>
      <w:color w:val="005596"/>
      <w:u w:val="single"/>
    </w:rPr>
  </w:style>
  <w:style w:type="paragraph" w:styleId="Index1">
    <w:name w:val="index 1"/>
    <w:basedOn w:val="Normal"/>
    <w:next w:val="Normal"/>
    <w:autoRedefine/>
    <w:uiPriority w:val="99"/>
    <w:semiHidden/>
    <w:rsid w:val="00901B07"/>
    <w:pPr>
      <w:spacing w:after="0"/>
      <w:ind w:left="200" w:hanging="200"/>
    </w:pPr>
  </w:style>
  <w:style w:type="paragraph" w:styleId="Caption">
    <w:name w:val="caption"/>
    <w:basedOn w:val="Normal"/>
    <w:next w:val="TableNoSpacing"/>
    <w:uiPriority w:val="35"/>
    <w:qFormat/>
    <w:rsid w:val="00054E50"/>
    <w:pPr>
      <w:spacing w:after="120"/>
      <w:jc w:val="center"/>
    </w:pPr>
    <w:rPr>
      <w:rFonts w:ascii="Arial" w:hAnsi="Arial"/>
      <w:b/>
      <w:bCs/>
      <w:sz w:val="22"/>
      <w:szCs w:val="18"/>
    </w:rPr>
  </w:style>
  <w:style w:type="paragraph" w:styleId="NoSpacing">
    <w:name w:val="No Spacing"/>
    <w:link w:val="NoSpacingChar"/>
    <w:uiPriority w:val="1"/>
    <w:qFormat/>
    <w:rsid w:val="00460B3D"/>
    <w:rPr>
      <w:rFonts w:ascii="Arial" w:hAnsi="Arial"/>
      <w:sz w:val="20"/>
    </w:rPr>
  </w:style>
  <w:style w:type="paragraph" w:customStyle="1" w:styleId="TableNoSpacing">
    <w:name w:val="Table No Spacing"/>
    <w:basedOn w:val="Normal"/>
    <w:uiPriority w:val="6"/>
    <w:qFormat/>
    <w:rsid w:val="001C0A15"/>
    <w:pPr>
      <w:spacing w:after="0"/>
    </w:pPr>
  </w:style>
  <w:style w:type="paragraph" w:customStyle="1" w:styleId="TableBullet">
    <w:name w:val="Table Bullet"/>
    <w:basedOn w:val="ListBullet"/>
    <w:uiPriority w:val="6"/>
    <w:qFormat/>
    <w:rsid w:val="005B26A0"/>
    <w:pPr>
      <w:numPr>
        <w:numId w:val="1"/>
      </w:numPr>
      <w:spacing w:after="0"/>
    </w:pPr>
  </w:style>
  <w:style w:type="paragraph" w:customStyle="1" w:styleId="TableBullet2">
    <w:name w:val="Table Bullet 2"/>
    <w:basedOn w:val="ListBullet2"/>
    <w:uiPriority w:val="6"/>
    <w:qFormat/>
    <w:rsid w:val="005B26A0"/>
    <w:pPr>
      <w:numPr>
        <w:ilvl w:val="0"/>
        <w:numId w:val="5"/>
      </w:numPr>
      <w:spacing w:after="0"/>
      <w:contextualSpacing/>
    </w:pPr>
  </w:style>
  <w:style w:type="character" w:styleId="SubtleEmphasis">
    <w:name w:val="Subtle Emphasis"/>
    <w:basedOn w:val="DefaultParagraphFont"/>
    <w:uiPriority w:val="3"/>
    <w:qFormat/>
    <w:rsid w:val="00AB7835"/>
    <w:rPr>
      <w:i/>
      <w:iCs/>
      <w:color w:val="auto"/>
    </w:rPr>
  </w:style>
  <w:style w:type="paragraph" w:styleId="ListParagraph">
    <w:name w:val="List Paragraph"/>
    <w:basedOn w:val="Normal"/>
    <w:uiPriority w:val="34"/>
    <w:qFormat/>
    <w:rsid w:val="00574C27"/>
    <w:pPr>
      <w:ind w:left="720"/>
      <w:contextualSpacing/>
    </w:pPr>
  </w:style>
  <w:style w:type="table" w:customStyle="1" w:styleId="TableCustom">
    <w:name w:val="Table Custom"/>
    <w:basedOn w:val="TableNormal"/>
    <w:uiPriority w:val="99"/>
    <w:rsid w:val="008B686D"/>
    <w:rPr>
      <w:sz w:val="20"/>
    </w:rPr>
    <w:tblPr>
      <w:tblStyleRowBandSize w:val="1"/>
      <w:tblStyleColBandSize w:val="1"/>
      <w:tblBorders>
        <w:top w:val="single" w:sz="12" w:space="0" w:color="005596"/>
        <w:bottom w:val="single" w:sz="12" w:space="0" w:color="005596"/>
        <w:insideH w:val="single" w:sz="4" w:space="0" w:color="B8CCE4" w:themeColor="accent1" w:themeTint="66"/>
        <w:insideV w:val="single" w:sz="4" w:space="0" w:color="B8CCE4" w:themeColor="accent1" w:themeTint="66"/>
      </w:tblBorders>
      <w:tblCellMar>
        <w:top w:w="43" w:type="dxa"/>
        <w:left w:w="115" w:type="dxa"/>
        <w:bottom w:w="43" w:type="dxa"/>
        <w:right w:w="115" w:type="dxa"/>
      </w:tblCellMar>
    </w:tblPr>
    <w:tcPr>
      <w:shd w:val="clear" w:color="auto" w:fill="auto"/>
    </w:tcPr>
    <w:tblStylePr w:type="firstRow">
      <w:rPr>
        <w:rFonts w:ascii="Arial" w:hAnsi="Arial"/>
        <w:b/>
        <w:color w:val="FFFFFF" w:themeColor="background1"/>
        <w:sz w:val="20"/>
      </w:rPr>
      <w:tblPr/>
      <w:tcPr>
        <w:shd w:val="clear" w:color="auto" w:fill="005596"/>
      </w:tcPr>
    </w:tblStylePr>
    <w:tblStylePr w:type="lastRow">
      <w:tblPr/>
      <w:tcPr>
        <w:shd w:val="clear" w:color="auto" w:fill="EDF2F4"/>
      </w:tcPr>
    </w:tblStylePr>
    <w:tblStylePr w:type="firstCol">
      <w:rPr>
        <w:b w:val="0"/>
      </w:rPr>
      <w:tblPr/>
      <w:tcPr>
        <w:shd w:val="clear" w:color="auto" w:fill="EDF2F4"/>
      </w:tcPr>
    </w:tblStylePr>
    <w:tblStylePr w:type="lastCol">
      <w:tblPr/>
      <w:tcPr>
        <w:shd w:val="clear" w:color="auto" w:fill="EDF2F4"/>
      </w:tcPr>
    </w:tblStylePr>
    <w:tblStylePr w:type="band1Vert">
      <w:tblPr/>
      <w:tcPr>
        <w:shd w:val="clear" w:color="auto" w:fill="EDF2F4"/>
      </w:tcPr>
    </w:tblStylePr>
    <w:tblStylePr w:type="band2Horz">
      <w:tblPr/>
      <w:tcPr>
        <w:shd w:val="clear" w:color="auto" w:fill="EDF2F4"/>
      </w:tcPr>
    </w:tblStylePr>
  </w:style>
  <w:style w:type="character" w:customStyle="1" w:styleId="StrongBlue">
    <w:name w:val="Strong Blue"/>
    <w:basedOn w:val="Strong"/>
    <w:uiPriority w:val="2"/>
    <w:qFormat/>
    <w:rsid w:val="00AB7835"/>
    <w:rPr>
      <w:b/>
      <w:bCs/>
      <w:color w:val="005596"/>
    </w:rPr>
  </w:style>
  <w:style w:type="character" w:customStyle="1" w:styleId="IntenseEmphasisBlue">
    <w:name w:val="Intense Emphasis Blue"/>
    <w:basedOn w:val="IntenseEmphasis"/>
    <w:uiPriority w:val="3"/>
    <w:qFormat/>
    <w:rsid w:val="00AB7835"/>
    <w:rPr>
      <w:b/>
      <w:bCs/>
      <w:i/>
      <w:iCs/>
      <w:color w:val="005596"/>
    </w:rPr>
  </w:style>
  <w:style w:type="numbering" w:customStyle="1" w:styleId="Headings">
    <w:name w:val="Headings"/>
    <w:uiPriority w:val="99"/>
    <w:rsid w:val="00E35CD3"/>
    <w:pPr>
      <w:numPr>
        <w:numId w:val="6"/>
      </w:numPr>
    </w:pPr>
  </w:style>
  <w:style w:type="paragraph" w:customStyle="1" w:styleId="CoverSheetTitle">
    <w:name w:val="Cover Sheet Title"/>
    <w:basedOn w:val="Normal"/>
    <w:qFormat/>
    <w:rsid w:val="00BE7E7F"/>
    <w:rPr>
      <w:b/>
      <w:color w:val="005596"/>
      <w:sz w:val="48"/>
      <w:szCs w:val="56"/>
    </w:rPr>
  </w:style>
  <w:style w:type="character" w:customStyle="1" w:styleId="NoSpacingChar">
    <w:name w:val="No Spacing Char"/>
    <w:basedOn w:val="DefaultParagraphFont"/>
    <w:link w:val="NoSpacing"/>
    <w:uiPriority w:val="1"/>
    <w:rsid w:val="001F7F47"/>
    <w:rPr>
      <w:rFonts w:ascii="Arial" w:hAnsi="Arial"/>
      <w:sz w:val="20"/>
    </w:rPr>
  </w:style>
  <w:style w:type="paragraph" w:styleId="Bibliography">
    <w:name w:val="Bibliography"/>
    <w:basedOn w:val="Normal"/>
    <w:next w:val="Normal"/>
    <w:uiPriority w:val="40"/>
    <w:unhideWhenUsed/>
    <w:rsid w:val="00F23084"/>
  </w:style>
  <w:style w:type="paragraph" w:styleId="FootnoteText">
    <w:name w:val="footnote text"/>
    <w:basedOn w:val="Normal"/>
    <w:link w:val="FootnoteTextChar"/>
    <w:uiPriority w:val="99"/>
    <w:semiHidden/>
    <w:rsid w:val="00F23084"/>
    <w:pPr>
      <w:spacing w:after="0"/>
    </w:pPr>
    <w:rPr>
      <w:szCs w:val="20"/>
    </w:rPr>
  </w:style>
  <w:style w:type="character" w:customStyle="1" w:styleId="FootnoteTextChar">
    <w:name w:val="Footnote Text Char"/>
    <w:basedOn w:val="DefaultParagraphFont"/>
    <w:link w:val="FootnoteText"/>
    <w:uiPriority w:val="99"/>
    <w:semiHidden/>
    <w:rsid w:val="00F23084"/>
    <w:rPr>
      <w:rFonts w:ascii="Arial" w:hAnsi="Arial"/>
      <w:sz w:val="20"/>
      <w:szCs w:val="20"/>
    </w:rPr>
  </w:style>
  <w:style w:type="character" w:styleId="FootnoteReference">
    <w:name w:val="footnote reference"/>
    <w:basedOn w:val="DefaultParagraphFont"/>
    <w:uiPriority w:val="99"/>
    <w:semiHidden/>
    <w:rsid w:val="00F23084"/>
    <w:rPr>
      <w:vertAlign w:val="superscript"/>
    </w:rPr>
  </w:style>
  <w:style w:type="paragraph" w:customStyle="1" w:styleId="AppendixHeading">
    <w:name w:val="Appendix Heading"/>
    <w:basedOn w:val="Heading1"/>
    <w:next w:val="Normal"/>
    <w:uiPriority w:val="41"/>
    <w:qFormat/>
    <w:rsid w:val="006A14D7"/>
    <w:pPr>
      <w:numPr>
        <w:numId w:val="0"/>
      </w:numPr>
    </w:pPr>
  </w:style>
  <w:style w:type="paragraph" w:styleId="TableofFigures">
    <w:name w:val="table of figures"/>
    <w:basedOn w:val="Normal"/>
    <w:next w:val="Normal"/>
    <w:uiPriority w:val="99"/>
    <w:rsid w:val="001F3242"/>
    <w:pPr>
      <w:spacing w:after="0"/>
    </w:pPr>
  </w:style>
  <w:style w:type="paragraph" w:customStyle="1" w:styleId="TtFooter-EntityName">
    <w:name w:val="Tt Footer - Entity Name"/>
    <w:link w:val="TtFooter-EntityNameChar"/>
    <w:uiPriority w:val="74"/>
    <w:qFormat/>
    <w:rsid w:val="00C24D4E"/>
    <w:pPr>
      <w:spacing w:line="240" w:lineRule="exact"/>
      <w:jc w:val="right"/>
    </w:pPr>
    <w:rPr>
      <w:rFonts w:ascii="Gill Sans MT" w:hAnsi="Gill Sans MT"/>
      <w:color w:val="005596"/>
      <w:sz w:val="22"/>
      <w:szCs w:val="21"/>
    </w:rPr>
  </w:style>
  <w:style w:type="paragraph" w:customStyle="1" w:styleId="TtFooter-Label">
    <w:name w:val="Tt Footer - Label"/>
    <w:basedOn w:val="Footer"/>
    <w:link w:val="TtFooter-LabelChar"/>
    <w:uiPriority w:val="74"/>
    <w:qFormat/>
    <w:rsid w:val="00C24D4E"/>
    <w:pPr>
      <w:spacing w:line="210" w:lineRule="exact"/>
      <w:jc w:val="right"/>
    </w:pPr>
    <w:rPr>
      <w:rFonts w:ascii="Gill Sans MT" w:hAnsi="Gill Sans MT"/>
      <w:color w:val="005596"/>
      <w:szCs w:val="17"/>
    </w:rPr>
  </w:style>
  <w:style w:type="paragraph" w:customStyle="1" w:styleId="TtFooter-AddressLine">
    <w:name w:val="Tt Footer - Address Line"/>
    <w:basedOn w:val="Footer"/>
    <w:link w:val="TtFooter-AddressLineChar"/>
    <w:uiPriority w:val="74"/>
    <w:qFormat/>
    <w:rsid w:val="00C24D4E"/>
    <w:pPr>
      <w:spacing w:line="240" w:lineRule="exact"/>
      <w:jc w:val="right"/>
    </w:pPr>
    <w:rPr>
      <w:rFonts w:ascii="Gill Sans MT" w:hAnsi="Gill Sans MT"/>
      <w:color w:val="808080" w:themeColor="background1" w:themeShade="80"/>
      <w:szCs w:val="17"/>
    </w:rPr>
  </w:style>
  <w:style w:type="paragraph" w:customStyle="1" w:styleId="TtFooter-Text">
    <w:name w:val="Tt Footer - Text"/>
    <w:link w:val="TtFooter-TextChar"/>
    <w:uiPriority w:val="74"/>
    <w:qFormat/>
    <w:rsid w:val="00C24D4E"/>
    <w:pPr>
      <w:jc w:val="right"/>
    </w:pPr>
    <w:rPr>
      <w:rFonts w:ascii="Gill Sans MT" w:hAnsi="Gill Sans MT"/>
      <w:color w:val="808080" w:themeColor="background1" w:themeShade="80"/>
      <w:sz w:val="20"/>
      <w:szCs w:val="17"/>
    </w:rPr>
  </w:style>
  <w:style w:type="character" w:customStyle="1" w:styleId="TtFooter-TextChar">
    <w:name w:val="Tt Footer - Text Char"/>
    <w:basedOn w:val="DefaultParagraphFont"/>
    <w:link w:val="TtFooter-Text"/>
    <w:uiPriority w:val="74"/>
    <w:rsid w:val="00C24D4E"/>
    <w:rPr>
      <w:rFonts w:ascii="Gill Sans MT" w:hAnsi="Gill Sans MT"/>
      <w:color w:val="808080" w:themeColor="background1" w:themeShade="80"/>
      <w:sz w:val="20"/>
      <w:szCs w:val="17"/>
    </w:rPr>
  </w:style>
  <w:style w:type="character" w:customStyle="1" w:styleId="TtFooter-LabelChar">
    <w:name w:val="Tt Footer - Label Char"/>
    <w:basedOn w:val="FooterChar"/>
    <w:link w:val="TtFooter-Label"/>
    <w:uiPriority w:val="74"/>
    <w:rsid w:val="00C24D4E"/>
    <w:rPr>
      <w:rFonts w:ascii="Gill Sans MT" w:hAnsi="Gill Sans MT"/>
      <w:color w:val="005596"/>
      <w:sz w:val="20"/>
      <w:szCs w:val="17"/>
    </w:rPr>
  </w:style>
  <w:style w:type="character" w:customStyle="1" w:styleId="TtFooter-EntityNameChar">
    <w:name w:val="Tt Footer - Entity Name Char"/>
    <w:basedOn w:val="DefaultParagraphFont"/>
    <w:link w:val="TtFooter-EntityName"/>
    <w:uiPriority w:val="74"/>
    <w:rsid w:val="00C24D4E"/>
    <w:rPr>
      <w:rFonts w:ascii="Gill Sans MT" w:hAnsi="Gill Sans MT"/>
      <w:color w:val="005596"/>
      <w:sz w:val="22"/>
      <w:szCs w:val="21"/>
    </w:rPr>
  </w:style>
  <w:style w:type="character" w:customStyle="1" w:styleId="TtFooter-AddressLineChar">
    <w:name w:val="Tt Footer - Address Line Char"/>
    <w:basedOn w:val="FooterChar"/>
    <w:link w:val="TtFooter-AddressLine"/>
    <w:uiPriority w:val="74"/>
    <w:rsid w:val="00C24D4E"/>
    <w:rPr>
      <w:rFonts w:ascii="Gill Sans MT" w:hAnsi="Gill Sans MT"/>
      <w:color w:val="808080" w:themeColor="background1" w:themeShade="80"/>
      <w:sz w:val="20"/>
      <w:szCs w:val="17"/>
    </w:rPr>
  </w:style>
  <w:style w:type="character" w:styleId="PlaceholderText">
    <w:name w:val="Placeholder Text"/>
    <w:basedOn w:val="DefaultParagraphFont"/>
    <w:uiPriority w:val="99"/>
    <w:semiHidden/>
    <w:rsid w:val="00001C2E"/>
    <w:rPr>
      <w:color w:val="808080"/>
    </w:rPr>
  </w:style>
  <w:style w:type="paragraph" w:customStyle="1" w:styleId="TtHeader-Title1">
    <w:name w:val="Tt Header - Title 1"/>
    <w:basedOn w:val="Heading1"/>
    <w:link w:val="TtHeader-Title1Char"/>
    <w:uiPriority w:val="74"/>
    <w:qFormat/>
    <w:rsid w:val="00001C2E"/>
    <w:pPr>
      <w:keepNext w:val="0"/>
      <w:keepLines w:val="0"/>
      <w:numPr>
        <w:numId w:val="0"/>
      </w:numPr>
      <w:pBdr>
        <w:top w:val="none" w:sz="0" w:space="0" w:color="auto"/>
        <w:bottom w:val="none" w:sz="0" w:space="0" w:color="auto"/>
      </w:pBdr>
      <w:shd w:val="clear" w:color="auto" w:fill="auto"/>
      <w:tabs>
        <w:tab w:val="left" w:pos="1800"/>
      </w:tabs>
      <w:spacing w:before="0" w:after="0" w:line="240" w:lineRule="auto"/>
      <w:jc w:val="right"/>
    </w:pPr>
    <w:rPr>
      <w:rFonts w:ascii="Gill Sans MT" w:hAnsi="Gill Sans MT"/>
      <w:b w:val="0"/>
      <w:bCs w:val="0"/>
      <w:caps w:val="0"/>
      <w:color w:val="005596"/>
      <w:sz w:val="72"/>
      <w:szCs w:val="72"/>
    </w:rPr>
  </w:style>
  <w:style w:type="character" w:customStyle="1" w:styleId="TtHeader-Title1Char">
    <w:name w:val="Tt Header - Title 1 Char"/>
    <w:basedOn w:val="Heading1Char"/>
    <w:link w:val="TtHeader-Title1"/>
    <w:uiPriority w:val="74"/>
    <w:rsid w:val="00E45D17"/>
    <w:rPr>
      <w:rFonts w:ascii="Gill Sans MT" w:eastAsiaTheme="majorEastAsia" w:hAnsi="Gill Sans MT" w:cstheme="majorBidi"/>
      <w:b w:val="0"/>
      <w:bCs w:val="0"/>
      <w:caps w:val="0"/>
      <w:color w:val="005596"/>
      <w:sz w:val="72"/>
      <w:szCs w:val="72"/>
      <w:shd w:val="clear" w:color="auto" w:fill="005596"/>
    </w:rPr>
  </w:style>
  <w:style w:type="character" w:styleId="CommentReference">
    <w:name w:val="annotation reference"/>
    <w:basedOn w:val="DefaultParagraphFont"/>
    <w:uiPriority w:val="99"/>
    <w:semiHidden/>
    <w:unhideWhenUsed/>
    <w:rsid w:val="00F11100"/>
    <w:rPr>
      <w:sz w:val="16"/>
      <w:szCs w:val="16"/>
    </w:rPr>
  </w:style>
  <w:style w:type="paragraph" w:styleId="CommentText">
    <w:name w:val="annotation text"/>
    <w:basedOn w:val="Normal"/>
    <w:link w:val="CommentTextChar"/>
    <w:uiPriority w:val="99"/>
    <w:unhideWhenUsed/>
    <w:rsid w:val="00F11100"/>
    <w:rPr>
      <w:szCs w:val="20"/>
    </w:rPr>
  </w:style>
  <w:style w:type="character" w:customStyle="1" w:styleId="CommentTextChar">
    <w:name w:val="Comment Text Char"/>
    <w:basedOn w:val="DefaultParagraphFont"/>
    <w:link w:val="CommentText"/>
    <w:uiPriority w:val="99"/>
    <w:rsid w:val="00F1110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11100"/>
    <w:rPr>
      <w:b/>
      <w:bCs/>
    </w:rPr>
  </w:style>
  <w:style w:type="character" w:customStyle="1" w:styleId="CommentSubjectChar">
    <w:name w:val="Comment Subject Char"/>
    <w:basedOn w:val="CommentTextChar"/>
    <w:link w:val="CommentSubject"/>
    <w:uiPriority w:val="99"/>
    <w:semiHidden/>
    <w:rsid w:val="00F11100"/>
    <w:rPr>
      <w:rFonts w:ascii="Arial" w:hAnsi="Arial"/>
      <w:b/>
      <w:bCs/>
      <w:sz w:val="20"/>
      <w:szCs w:val="20"/>
    </w:rPr>
  </w:style>
  <w:style w:type="paragraph" w:styleId="Revision">
    <w:name w:val="Revision"/>
    <w:hidden/>
    <w:uiPriority w:val="99"/>
    <w:semiHidden/>
    <w:rsid w:val="003A4624"/>
    <w:rPr>
      <w:rFonts w:ascii="Times New Roman" w:hAnsi="Times New Roman"/>
    </w:rPr>
  </w:style>
  <w:style w:type="paragraph" w:styleId="BodyText">
    <w:name w:val="Body Text"/>
    <w:basedOn w:val="Normal"/>
    <w:link w:val="BodyTextChar"/>
    <w:uiPriority w:val="99"/>
    <w:semiHidden/>
    <w:unhideWhenUsed/>
    <w:rsid w:val="008743BA"/>
    <w:pPr>
      <w:spacing w:after="120"/>
      <w:jc w:val="left"/>
    </w:pPr>
    <w:rPr>
      <w:rFonts w:eastAsiaTheme="minorHAnsi" w:cs="Times New Roman"/>
      <w:sz w:val="22"/>
      <w:szCs w:val="22"/>
    </w:rPr>
  </w:style>
  <w:style w:type="character" w:customStyle="1" w:styleId="BodyTextChar">
    <w:name w:val="Body Text Char"/>
    <w:basedOn w:val="DefaultParagraphFont"/>
    <w:link w:val="BodyText"/>
    <w:uiPriority w:val="99"/>
    <w:semiHidden/>
    <w:rsid w:val="008743BA"/>
    <w:rPr>
      <w:rFonts w:ascii="Times New Roman" w:eastAsiaTheme="minorHAnsi" w:hAnsi="Times New Roman" w:cs="Times New Roman"/>
      <w:sz w:val="22"/>
      <w:szCs w:val="22"/>
    </w:rPr>
  </w:style>
  <w:style w:type="paragraph" w:customStyle="1" w:styleId="TableHeading">
    <w:name w:val="Table Heading"/>
    <w:basedOn w:val="Normal"/>
    <w:rsid w:val="008743BA"/>
    <w:pPr>
      <w:spacing w:before="120" w:after="120"/>
      <w:jc w:val="center"/>
    </w:pPr>
    <w:rPr>
      <w:rFonts w:ascii="Arial" w:eastAsiaTheme="minorHAnsi" w:hAnsi="Arial" w:cs="Arial"/>
      <w:b/>
      <w:bCs/>
      <w:sz w:val="18"/>
      <w:szCs w:val="18"/>
    </w:rPr>
  </w:style>
  <w:style w:type="paragraph" w:customStyle="1" w:styleId="TableText">
    <w:name w:val="Table Text"/>
    <w:basedOn w:val="Normal"/>
    <w:rsid w:val="008743BA"/>
    <w:pPr>
      <w:spacing w:before="80" w:after="80"/>
      <w:jc w:val="left"/>
    </w:pPr>
    <w:rPr>
      <w:rFonts w:ascii="Arial" w:eastAsiaTheme="minorHAnsi" w:hAnsi="Arial" w:cs="Arial"/>
      <w:sz w:val="18"/>
      <w:szCs w:val="18"/>
    </w:rPr>
  </w:style>
  <w:style w:type="paragraph" w:customStyle="1" w:styleId="TableTitle3-1">
    <w:name w:val="Table Title 3-1"/>
    <w:basedOn w:val="Normal"/>
    <w:rsid w:val="008743BA"/>
    <w:pPr>
      <w:numPr>
        <w:numId w:val="8"/>
      </w:numPr>
      <w:spacing w:before="120" w:after="120"/>
      <w:ind w:left="1260" w:hanging="1260"/>
      <w:jc w:val="left"/>
    </w:pPr>
    <w:rPr>
      <w:rFonts w:ascii="Arial" w:eastAsiaTheme="minorHAnsi" w:hAnsi="Arial" w:cs="Arial"/>
      <w:b/>
      <w:bCs/>
      <w:sz w:val="20"/>
      <w:szCs w:val="20"/>
    </w:rPr>
  </w:style>
  <w:style w:type="paragraph" w:customStyle="1" w:styleId="FigureTitle2-1">
    <w:name w:val="Figure Title 2-1"/>
    <w:basedOn w:val="Normal"/>
    <w:rsid w:val="008743BA"/>
    <w:pPr>
      <w:numPr>
        <w:numId w:val="9"/>
      </w:numPr>
      <w:spacing w:before="120" w:after="120"/>
      <w:ind w:left="1260" w:hanging="1260"/>
      <w:jc w:val="left"/>
    </w:pPr>
    <w:rPr>
      <w:rFonts w:ascii="Arial" w:eastAsiaTheme="minorHAnsi" w:hAnsi="Arial" w:cs="Arial"/>
      <w:b/>
      <w:bCs/>
      <w:sz w:val="20"/>
      <w:szCs w:val="20"/>
    </w:rPr>
  </w:style>
  <w:style w:type="character" w:customStyle="1" w:styleId="FigureTitle3-1Char">
    <w:name w:val="Figure Title 3-1 Char"/>
    <w:basedOn w:val="DefaultParagraphFont"/>
    <w:link w:val="FigureTitle3-1"/>
    <w:locked/>
    <w:rsid w:val="008743BA"/>
    <w:rPr>
      <w:rFonts w:ascii="Arial" w:hAnsi="Arial" w:cs="Arial"/>
      <w:b/>
      <w:bCs/>
    </w:rPr>
  </w:style>
  <w:style w:type="paragraph" w:customStyle="1" w:styleId="FigureTitle3-1">
    <w:name w:val="Figure Title 3-1"/>
    <w:basedOn w:val="Normal"/>
    <w:link w:val="FigureTitle3-1Char"/>
    <w:rsid w:val="008743BA"/>
    <w:pPr>
      <w:spacing w:before="120" w:after="120"/>
      <w:ind w:left="1260" w:hanging="1260"/>
      <w:jc w:val="left"/>
    </w:pPr>
    <w:rPr>
      <w:rFonts w:ascii="Arial" w:hAnsi="Arial" w:cs="Arial"/>
      <w:b/>
      <w:bCs/>
    </w:rPr>
  </w:style>
  <w:style w:type="paragraph" w:customStyle="1" w:styleId="References">
    <w:name w:val="References"/>
    <w:basedOn w:val="BodyText"/>
    <w:autoRedefine/>
    <w:rsid w:val="00A246AF"/>
    <w:pPr>
      <w:spacing w:before="120"/>
      <w:ind w:left="288" w:hanging="288"/>
      <w:jc w:val="both"/>
    </w:pPr>
    <w:rPr>
      <w:rFonts w:eastAsia="Times New Roman"/>
      <w:bCs/>
      <w:szCs w:val="24"/>
    </w:rPr>
  </w:style>
  <w:style w:type="character" w:styleId="FollowedHyperlink">
    <w:name w:val="FollowedHyperlink"/>
    <w:basedOn w:val="DefaultParagraphFont"/>
    <w:uiPriority w:val="99"/>
    <w:semiHidden/>
    <w:unhideWhenUsed/>
    <w:rsid w:val="008E1DD1"/>
    <w:rPr>
      <w:color w:val="800080" w:themeColor="followedHyperlink"/>
      <w:u w:val="single"/>
    </w:rPr>
  </w:style>
  <w:style w:type="paragraph" w:customStyle="1" w:styleId="xl63">
    <w:name w:val="xl63"/>
    <w:basedOn w:val="Normal"/>
    <w:rsid w:val="0012730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64">
    <w:name w:val="xl64"/>
    <w:basedOn w:val="Normal"/>
    <w:rsid w:val="00127308"/>
    <w:pPr>
      <w:pBdr>
        <w:top w:val="single" w:sz="8" w:space="0" w:color="auto"/>
        <w:bottom w:val="single" w:sz="8" w:space="0" w:color="auto"/>
      </w:pBdr>
      <w:spacing w:before="100" w:beforeAutospacing="1" w:after="100" w:afterAutospacing="1"/>
      <w:jc w:val="center"/>
    </w:pPr>
    <w:rPr>
      <w:rFonts w:eastAsia="Times New Roman" w:cs="Times New Roman"/>
    </w:rPr>
  </w:style>
  <w:style w:type="paragraph" w:customStyle="1" w:styleId="xl65">
    <w:name w:val="xl65"/>
    <w:basedOn w:val="Normal"/>
    <w:rsid w:val="00127308"/>
    <w:pPr>
      <w:pBdr>
        <w:left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66">
    <w:name w:val="xl66"/>
    <w:basedOn w:val="Normal"/>
    <w:rsid w:val="00127308"/>
    <w:pPr>
      <w:spacing w:before="100" w:beforeAutospacing="1" w:after="100" w:afterAutospacing="1"/>
      <w:jc w:val="center"/>
    </w:pPr>
    <w:rPr>
      <w:rFonts w:eastAsia="Times New Roman" w:cs="Times New Roman"/>
    </w:rPr>
  </w:style>
  <w:style w:type="paragraph" w:customStyle="1" w:styleId="xl67">
    <w:name w:val="xl67"/>
    <w:basedOn w:val="Normal"/>
    <w:rsid w:val="00127308"/>
    <w:pPr>
      <w:pBdr>
        <w:left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68">
    <w:name w:val="xl68"/>
    <w:basedOn w:val="Normal"/>
    <w:rsid w:val="00127308"/>
    <w:pPr>
      <w:pBdr>
        <w:top w:val="single" w:sz="8" w:space="0" w:color="auto"/>
        <w:bottom w:val="single" w:sz="8" w:space="0" w:color="auto"/>
      </w:pBdr>
      <w:spacing w:before="100" w:beforeAutospacing="1" w:after="100" w:afterAutospacing="1"/>
      <w:jc w:val="center"/>
    </w:pPr>
    <w:rPr>
      <w:rFonts w:eastAsia="Times New Roman" w:cs="Times New Roman"/>
    </w:rPr>
  </w:style>
  <w:style w:type="paragraph" w:customStyle="1" w:styleId="xl69">
    <w:name w:val="xl69"/>
    <w:basedOn w:val="Normal"/>
    <w:rsid w:val="0012730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rPr>
  </w:style>
  <w:style w:type="paragraph" w:customStyle="1" w:styleId="xl70">
    <w:name w:val="xl70"/>
    <w:basedOn w:val="Normal"/>
    <w:rsid w:val="00127308"/>
    <w:pPr>
      <w:pBdr>
        <w:top w:val="single" w:sz="8" w:space="0" w:color="auto"/>
        <w:left w:val="single" w:sz="8" w:space="0" w:color="auto"/>
        <w:bottom w:val="single" w:sz="8" w:space="0" w:color="auto"/>
      </w:pBdr>
      <w:spacing w:before="100" w:beforeAutospacing="1" w:after="100" w:afterAutospacing="1"/>
      <w:jc w:val="center"/>
    </w:pPr>
    <w:rPr>
      <w:rFonts w:eastAsia="Times New Roman" w:cs="Times New Roman"/>
      <w:b/>
      <w:bCs/>
    </w:rPr>
  </w:style>
  <w:style w:type="paragraph" w:customStyle="1" w:styleId="xl71">
    <w:name w:val="xl71"/>
    <w:basedOn w:val="Normal"/>
    <w:rsid w:val="00127308"/>
    <w:pPr>
      <w:pBdr>
        <w:top w:val="single" w:sz="8" w:space="0" w:color="auto"/>
        <w:bottom w:val="single" w:sz="8" w:space="0" w:color="auto"/>
        <w:right w:val="single" w:sz="8" w:space="0" w:color="auto"/>
      </w:pBdr>
      <w:spacing w:before="100" w:beforeAutospacing="1" w:after="100" w:afterAutospacing="1"/>
      <w:jc w:val="center"/>
    </w:pPr>
    <w:rPr>
      <w:rFonts w:eastAsia="Times New Roman" w:cs="Times New Roman"/>
      <w:b/>
      <w:bCs/>
    </w:rPr>
  </w:style>
  <w:style w:type="paragraph" w:customStyle="1" w:styleId="xl72">
    <w:name w:val="xl72"/>
    <w:basedOn w:val="Normal"/>
    <w:rsid w:val="00127308"/>
    <w:pPr>
      <w:pBdr>
        <w:top w:val="single" w:sz="8" w:space="0" w:color="auto"/>
        <w:bottom w:val="single" w:sz="8" w:space="0" w:color="auto"/>
      </w:pBdr>
      <w:spacing w:before="100" w:beforeAutospacing="1" w:after="100" w:afterAutospacing="1"/>
      <w:jc w:val="center"/>
    </w:pPr>
    <w:rPr>
      <w:rFonts w:eastAsia="Times New Roman" w:cs="Times New Roman"/>
      <w:b/>
      <w:bCs/>
    </w:rPr>
  </w:style>
  <w:style w:type="character" w:customStyle="1" w:styleId="apple-converted-space">
    <w:name w:val="apple-converted-space"/>
    <w:basedOn w:val="DefaultParagraphFont"/>
    <w:rsid w:val="00783EBE"/>
  </w:style>
  <w:style w:type="paragraph" w:customStyle="1" w:styleId="Reference">
    <w:name w:val="Reference"/>
    <w:basedOn w:val="Normal"/>
    <w:rsid w:val="00672396"/>
    <w:pPr>
      <w:spacing w:before="120" w:after="120"/>
      <w:ind w:left="360" w:hanging="360"/>
      <w:jc w:val="left"/>
    </w:pPr>
    <w:rPr>
      <w:rFonts w:eastAsia="Times New Roman" w:cs="Times New Roman"/>
      <w:noProof/>
      <w:sz w:val="22"/>
      <w:szCs w:val="22"/>
    </w:rPr>
  </w:style>
  <w:style w:type="paragraph" w:customStyle="1" w:styleId="Default">
    <w:name w:val="Default"/>
    <w:rsid w:val="005D2C38"/>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0566">
      <w:bodyDiv w:val="1"/>
      <w:marLeft w:val="0"/>
      <w:marRight w:val="0"/>
      <w:marTop w:val="0"/>
      <w:marBottom w:val="0"/>
      <w:divBdr>
        <w:top w:val="none" w:sz="0" w:space="0" w:color="auto"/>
        <w:left w:val="none" w:sz="0" w:space="0" w:color="auto"/>
        <w:bottom w:val="none" w:sz="0" w:space="0" w:color="auto"/>
        <w:right w:val="none" w:sz="0" w:space="0" w:color="auto"/>
      </w:divBdr>
    </w:div>
    <w:div w:id="48267098">
      <w:bodyDiv w:val="1"/>
      <w:marLeft w:val="0"/>
      <w:marRight w:val="0"/>
      <w:marTop w:val="0"/>
      <w:marBottom w:val="0"/>
      <w:divBdr>
        <w:top w:val="none" w:sz="0" w:space="0" w:color="auto"/>
        <w:left w:val="none" w:sz="0" w:space="0" w:color="auto"/>
        <w:bottom w:val="none" w:sz="0" w:space="0" w:color="auto"/>
        <w:right w:val="none" w:sz="0" w:space="0" w:color="auto"/>
      </w:divBdr>
    </w:div>
    <w:div w:id="76706659">
      <w:bodyDiv w:val="1"/>
      <w:marLeft w:val="0"/>
      <w:marRight w:val="0"/>
      <w:marTop w:val="0"/>
      <w:marBottom w:val="0"/>
      <w:divBdr>
        <w:top w:val="none" w:sz="0" w:space="0" w:color="auto"/>
        <w:left w:val="none" w:sz="0" w:space="0" w:color="auto"/>
        <w:bottom w:val="none" w:sz="0" w:space="0" w:color="auto"/>
        <w:right w:val="none" w:sz="0" w:space="0" w:color="auto"/>
      </w:divBdr>
    </w:div>
    <w:div w:id="169221820">
      <w:bodyDiv w:val="1"/>
      <w:marLeft w:val="0"/>
      <w:marRight w:val="0"/>
      <w:marTop w:val="0"/>
      <w:marBottom w:val="0"/>
      <w:divBdr>
        <w:top w:val="none" w:sz="0" w:space="0" w:color="auto"/>
        <w:left w:val="none" w:sz="0" w:space="0" w:color="auto"/>
        <w:bottom w:val="none" w:sz="0" w:space="0" w:color="auto"/>
        <w:right w:val="none" w:sz="0" w:space="0" w:color="auto"/>
      </w:divBdr>
    </w:div>
    <w:div w:id="182402367">
      <w:bodyDiv w:val="1"/>
      <w:marLeft w:val="0"/>
      <w:marRight w:val="0"/>
      <w:marTop w:val="0"/>
      <w:marBottom w:val="0"/>
      <w:divBdr>
        <w:top w:val="none" w:sz="0" w:space="0" w:color="auto"/>
        <w:left w:val="none" w:sz="0" w:space="0" w:color="auto"/>
        <w:bottom w:val="none" w:sz="0" w:space="0" w:color="auto"/>
        <w:right w:val="none" w:sz="0" w:space="0" w:color="auto"/>
      </w:divBdr>
    </w:div>
    <w:div w:id="215508835">
      <w:bodyDiv w:val="1"/>
      <w:marLeft w:val="0"/>
      <w:marRight w:val="0"/>
      <w:marTop w:val="0"/>
      <w:marBottom w:val="0"/>
      <w:divBdr>
        <w:top w:val="none" w:sz="0" w:space="0" w:color="auto"/>
        <w:left w:val="none" w:sz="0" w:space="0" w:color="auto"/>
        <w:bottom w:val="none" w:sz="0" w:space="0" w:color="auto"/>
        <w:right w:val="none" w:sz="0" w:space="0" w:color="auto"/>
      </w:divBdr>
    </w:div>
    <w:div w:id="280915943">
      <w:bodyDiv w:val="1"/>
      <w:marLeft w:val="0"/>
      <w:marRight w:val="0"/>
      <w:marTop w:val="0"/>
      <w:marBottom w:val="0"/>
      <w:divBdr>
        <w:top w:val="none" w:sz="0" w:space="0" w:color="auto"/>
        <w:left w:val="none" w:sz="0" w:space="0" w:color="auto"/>
        <w:bottom w:val="none" w:sz="0" w:space="0" w:color="auto"/>
        <w:right w:val="none" w:sz="0" w:space="0" w:color="auto"/>
      </w:divBdr>
    </w:div>
    <w:div w:id="349793376">
      <w:bodyDiv w:val="1"/>
      <w:marLeft w:val="0"/>
      <w:marRight w:val="0"/>
      <w:marTop w:val="0"/>
      <w:marBottom w:val="0"/>
      <w:divBdr>
        <w:top w:val="none" w:sz="0" w:space="0" w:color="auto"/>
        <w:left w:val="none" w:sz="0" w:space="0" w:color="auto"/>
        <w:bottom w:val="none" w:sz="0" w:space="0" w:color="auto"/>
        <w:right w:val="none" w:sz="0" w:space="0" w:color="auto"/>
      </w:divBdr>
    </w:div>
    <w:div w:id="357464679">
      <w:bodyDiv w:val="1"/>
      <w:marLeft w:val="0"/>
      <w:marRight w:val="0"/>
      <w:marTop w:val="0"/>
      <w:marBottom w:val="0"/>
      <w:divBdr>
        <w:top w:val="none" w:sz="0" w:space="0" w:color="auto"/>
        <w:left w:val="none" w:sz="0" w:space="0" w:color="auto"/>
        <w:bottom w:val="none" w:sz="0" w:space="0" w:color="auto"/>
        <w:right w:val="none" w:sz="0" w:space="0" w:color="auto"/>
      </w:divBdr>
    </w:div>
    <w:div w:id="381560129">
      <w:bodyDiv w:val="1"/>
      <w:marLeft w:val="0"/>
      <w:marRight w:val="0"/>
      <w:marTop w:val="0"/>
      <w:marBottom w:val="0"/>
      <w:divBdr>
        <w:top w:val="none" w:sz="0" w:space="0" w:color="auto"/>
        <w:left w:val="none" w:sz="0" w:space="0" w:color="auto"/>
        <w:bottom w:val="none" w:sz="0" w:space="0" w:color="auto"/>
        <w:right w:val="none" w:sz="0" w:space="0" w:color="auto"/>
      </w:divBdr>
    </w:div>
    <w:div w:id="399786822">
      <w:bodyDiv w:val="1"/>
      <w:marLeft w:val="0"/>
      <w:marRight w:val="0"/>
      <w:marTop w:val="0"/>
      <w:marBottom w:val="0"/>
      <w:divBdr>
        <w:top w:val="none" w:sz="0" w:space="0" w:color="auto"/>
        <w:left w:val="none" w:sz="0" w:space="0" w:color="auto"/>
        <w:bottom w:val="none" w:sz="0" w:space="0" w:color="auto"/>
        <w:right w:val="none" w:sz="0" w:space="0" w:color="auto"/>
      </w:divBdr>
    </w:div>
    <w:div w:id="452210525">
      <w:bodyDiv w:val="1"/>
      <w:marLeft w:val="0"/>
      <w:marRight w:val="0"/>
      <w:marTop w:val="0"/>
      <w:marBottom w:val="0"/>
      <w:divBdr>
        <w:top w:val="none" w:sz="0" w:space="0" w:color="auto"/>
        <w:left w:val="none" w:sz="0" w:space="0" w:color="auto"/>
        <w:bottom w:val="none" w:sz="0" w:space="0" w:color="auto"/>
        <w:right w:val="none" w:sz="0" w:space="0" w:color="auto"/>
      </w:divBdr>
    </w:div>
    <w:div w:id="461771034">
      <w:bodyDiv w:val="1"/>
      <w:marLeft w:val="0"/>
      <w:marRight w:val="0"/>
      <w:marTop w:val="0"/>
      <w:marBottom w:val="0"/>
      <w:divBdr>
        <w:top w:val="none" w:sz="0" w:space="0" w:color="auto"/>
        <w:left w:val="none" w:sz="0" w:space="0" w:color="auto"/>
        <w:bottom w:val="none" w:sz="0" w:space="0" w:color="auto"/>
        <w:right w:val="none" w:sz="0" w:space="0" w:color="auto"/>
      </w:divBdr>
    </w:div>
    <w:div w:id="466514852">
      <w:bodyDiv w:val="1"/>
      <w:marLeft w:val="0"/>
      <w:marRight w:val="0"/>
      <w:marTop w:val="0"/>
      <w:marBottom w:val="0"/>
      <w:divBdr>
        <w:top w:val="none" w:sz="0" w:space="0" w:color="auto"/>
        <w:left w:val="none" w:sz="0" w:space="0" w:color="auto"/>
        <w:bottom w:val="none" w:sz="0" w:space="0" w:color="auto"/>
        <w:right w:val="none" w:sz="0" w:space="0" w:color="auto"/>
      </w:divBdr>
    </w:div>
    <w:div w:id="468671833">
      <w:bodyDiv w:val="1"/>
      <w:marLeft w:val="0"/>
      <w:marRight w:val="0"/>
      <w:marTop w:val="0"/>
      <w:marBottom w:val="0"/>
      <w:divBdr>
        <w:top w:val="none" w:sz="0" w:space="0" w:color="auto"/>
        <w:left w:val="none" w:sz="0" w:space="0" w:color="auto"/>
        <w:bottom w:val="none" w:sz="0" w:space="0" w:color="auto"/>
        <w:right w:val="none" w:sz="0" w:space="0" w:color="auto"/>
      </w:divBdr>
    </w:div>
    <w:div w:id="513149190">
      <w:bodyDiv w:val="1"/>
      <w:marLeft w:val="0"/>
      <w:marRight w:val="0"/>
      <w:marTop w:val="0"/>
      <w:marBottom w:val="0"/>
      <w:divBdr>
        <w:top w:val="none" w:sz="0" w:space="0" w:color="auto"/>
        <w:left w:val="none" w:sz="0" w:space="0" w:color="auto"/>
        <w:bottom w:val="none" w:sz="0" w:space="0" w:color="auto"/>
        <w:right w:val="none" w:sz="0" w:space="0" w:color="auto"/>
      </w:divBdr>
    </w:div>
    <w:div w:id="567496227">
      <w:bodyDiv w:val="1"/>
      <w:marLeft w:val="0"/>
      <w:marRight w:val="0"/>
      <w:marTop w:val="0"/>
      <w:marBottom w:val="0"/>
      <w:divBdr>
        <w:top w:val="none" w:sz="0" w:space="0" w:color="auto"/>
        <w:left w:val="none" w:sz="0" w:space="0" w:color="auto"/>
        <w:bottom w:val="none" w:sz="0" w:space="0" w:color="auto"/>
        <w:right w:val="none" w:sz="0" w:space="0" w:color="auto"/>
      </w:divBdr>
    </w:div>
    <w:div w:id="597257588">
      <w:bodyDiv w:val="1"/>
      <w:marLeft w:val="0"/>
      <w:marRight w:val="0"/>
      <w:marTop w:val="0"/>
      <w:marBottom w:val="0"/>
      <w:divBdr>
        <w:top w:val="none" w:sz="0" w:space="0" w:color="auto"/>
        <w:left w:val="none" w:sz="0" w:space="0" w:color="auto"/>
        <w:bottom w:val="none" w:sz="0" w:space="0" w:color="auto"/>
        <w:right w:val="none" w:sz="0" w:space="0" w:color="auto"/>
      </w:divBdr>
    </w:div>
    <w:div w:id="598753201">
      <w:bodyDiv w:val="1"/>
      <w:marLeft w:val="0"/>
      <w:marRight w:val="0"/>
      <w:marTop w:val="0"/>
      <w:marBottom w:val="0"/>
      <w:divBdr>
        <w:top w:val="none" w:sz="0" w:space="0" w:color="auto"/>
        <w:left w:val="none" w:sz="0" w:space="0" w:color="auto"/>
        <w:bottom w:val="none" w:sz="0" w:space="0" w:color="auto"/>
        <w:right w:val="none" w:sz="0" w:space="0" w:color="auto"/>
      </w:divBdr>
    </w:div>
    <w:div w:id="631597575">
      <w:bodyDiv w:val="1"/>
      <w:marLeft w:val="0"/>
      <w:marRight w:val="0"/>
      <w:marTop w:val="0"/>
      <w:marBottom w:val="0"/>
      <w:divBdr>
        <w:top w:val="none" w:sz="0" w:space="0" w:color="auto"/>
        <w:left w:val="none" w:sz="0" w:space="0" w:color="auto"/>
        <w:bottom w:val="none" w:sz="0" w:space="0" w:color="auto"/>
        <w:right w:val="none" w:sz="0" w:space="0" w:color="auto"/>
      </w:divBdr>
    </w:div>
    <w:div w:id="645596949">
      <w:bodyDiv w:val="1"/>
      <w:marLeft w:val="0"/>
      <w:marRight w:val="0"/>
      <w:marTop w:val="0"/>
      <w:marBottom w:val="0"/>
      <w:divBdr>
        <w:top w:val="none" w:sz="0" w:space="0" w:color="auto"/>
        <w:left w:val="none" w:sz="0" w:space="0" w:color="auto"/>
        <w:bottom w:val="none" w:sz="0" w:space="0" w:color="auto"/>
        <w:right w:val="none" w:sz="0" w:space="0" w:color="auto"/>
      </w:divBdr>
    </w:div>
    <w:div w:id="652638701">
      <w:bodyDiv w:val="1"/>
      <w:marLeft w:val="0"/>
      <w:marRight w:val="0"/>
      <w:marTop w:val="0"/>
      <w:marBottom w:val="0"/>
      <w:divBdr>
        <w:top w:val="none" w:sz="0" w:space="0" w:color="auto"/>
        <w:left w:val="none" w:sz="0" w:space="0" w:color="auto"/>
        <w:bottom w:val="none" w:sz="0" w:space="0" w:color="auto"/>
        <w:right w:val="none" w:sz="0" w:space="0" w:color="auto"/>
      </w:divBdr>
    </w:div>
    <w:div w:id="679504597">
      <w:bodyDiv w:val="1"/>
      <w:marLeft w:val="0"/>
      <w:marRight w:val="0"/>
      <w:marTop w:val="0"/>
      <w:marBottom w:val="0"/>
      <w:divBdr>
        <w:top w:val="none" w:sz="0" w:space="0" w:color="auto"/>
        <w:left w:val="none" w:sz="0" w:space="0" w:color="auto"/>
        <w:bottom w:val="none" w:sz="0" w:space="0" w:color="auto"/>
        <w:right w:val="none" w:sz="0" w:space="0" w:color="auto"/>
      </w:divBdr>
    </w:div>
    <w:div w:id="680351104">
      <w:bodyDiv w:val="1"/>
      <w:marLeft w:val="0"/>
      <w:marRight w:val="0"/>
      <w:marTop w:val="0"/>
      <w:marBottom w:val="0"/>
      <w:divBdr>
        <w:top w:val="none" w:sz="0" w:space="0" w:color="auto"/>
        <w:left w:val="none" w:sz="0" w:space="0" w:color="auto"/>
        <w:bottom w:val="none" w:sz="0" w:space="0" w:color="auto"/>
        <w:right w:val="none" w:sz="0" w:space="0" w:color="auto"/>
      </w:divBdr>
    </w:div>
    <w:div w:id="713581847">
      <w:bodyDiv w:val="1"/>
      <w:marLeft w:val="0"/>
      <w:marRight w:val="0"/>
      <w:marTop w:val="0"/>
      <w:marBottom w:val="0"/>
      <w:divBdr>
        <w:top w:val="none" w:sz="0" w:space="0" w:color="auto"/>
        <w:left w:val="none" w:sz="0" w:space="0" w:color="auto"/>
        <w:bottom w:val="none" w:sz="0" w:space="0" w:color="auto"/>
        <w:right w:val="none" w:sz="0" w:space="0" w:color="auto"/>
      </w:divBdr>
    </w:div>
    <w:div w:id="735862714">
      <w:bodyDiv w:val="1"/>
      <w:marLeft w:val="0"/>
      <w:marRight w:val="0"/>
      <w:marTop w:val="0"/>
      <w:marBottom w:val="0"/>
      <w:divBdr>
        <w:top w:val="none" w:sz="0" w:space="0" w:color="auto"/>
        <w:left w:val="none" w:sz="0" w:space="0" w:color="auto"/>
        <w:bottom w:val="none" w:sz="0" w:space="0" w:color="auto"/>
        <w:right w:val="none" w:sz="0" w:space="0" w:color="auto"/>
      </w:divBdr>
    </w:div>
    <w:div w:id="820384748">
      <w:bodyDiv w:val="1"/>
      <w:marLeft w:val="0"/>
      <w:marRight w:val="0"/>
      <w:marTop w:val="0"/>
      <w:marBottom w:val="0"/>
      <w:divBdr>
        <w:top w:val="none" w:sz="0" w:space="0" w:color="auto"/>
        <w:left w:val="none" w:sz="0" w:space="0" w:color="auto"/>
        <w:bottom w:val="none" w:sz="0" w:space="0" w:color="auto"/>
        <w:right w:val="none" w:sz="0" w:space="0" w:color="auto"/>
      </w:divBdr>
    </w:div>
    <w:div w:id="822358241">
      <w:bodyDiv w:val="1"/>
      <w:marLeft w:val="0"/>
      <w:marRight w:val="0"/>
      <w:marTop w:val="0"/>
      <w:marBottom w:val="0"/>
      <w:divBdr>
        <w:top w:val="none" w:sz="0" w:space="0" w:color="auto"/>
        <w:left w:val="none" w:sz="0" w:space="0" w:color="auto"/>
        <w:bottom w:val="none" w:sz="0" w:space="0" w:color="auto"/>
        <w:right w:val="none" w:sz="0" w:space="0" w:color="auto"/>
      </w:divBdr>
      <w:divsChild>
        <w:div w:id="79252689">
          <w:marLeft w:val="0"/>
          <w:marRight w:val="0"/>
          <w:marTop w:val="0"/>
          <w:marBottom w:val="0"/>
          <w:divBdr>
            <w:top w:val="none" w:sz="0" w:space="0" w:color="auto"/>
            <w:left w:val="none" w:sz="0" w:space="0" w:color="auto"/>
            <w:bottom w:val="none" w:sz="0" w:space="0" w:color="auto"/>
            <w:right w:val="none" w:sz="0" w:space="0" w:color="auto"/>
          </w:divBdr>
        </w:div>
        <w:div w:id="432433714">
          <w:marLeft w:val="0"/>
          <w:marRight w:val="0"/>
          <w:marTop w:val="0"/>
          <w:marBottom w:val="0"/>
          <w:divBdr>
            <w:top w:val="none" w:sz="0" w:space="0" w:color="auto"/>
            <w:left w:val="none" w:sz="0" w:space="0" w:color="auto"/>
            <w:bottom w:val="none" w:sz="0" w:space="0" w:color="auto"/>
            <w:right w:val="none" w:sz="0" w:space="0" w:color="auto"/>
          </w:divBdr>
        </w:div>
        <w:div w:id="1314484225">
          <w:marLeft w:val="0"/>
          <w:marRight w:val="0"/>
          <w:marTop w:val="0"/>
          <w:marBottom w:val="0"/>
          <w:divBdr>
            <w:top w:val="none" w:sz="0" w:space="0" w:color="auto"/>
            <w:left w:val="none" w:sz="0" w:space="0" w:color="auto"/>
            <w:bottom w:val="none" w:sz="0" w:space="0" w:color="auto"/>
            <w:right w:val="none" w:sz="0" w:space="0" w:color="auto"/>
          </w:divBdr>
        </w:div>
      </w:divsChild>
    </w:div>
    <w:div w:id="867182223">
      <w:bodyDiv w:val="1"/>
      <w:marLeft w:val="0"/>
      <w:marRight w:val="0"/>
      <w:marTop w:val="0"/>
      <w:marBottom w:val="0"/>
      <w:divBdr>
        <w:top w:val="none" w:sz="0" w:space="0" w:color="auto"/>
        <w:left w:val="none" w:sz="0" w:space="0" w:color="auto"/>
        <w:bottom w:val="none" w:sz="0" w:space="0" w:color="auto"/>
        <w:right w:val="none" w:sz="0" w:space="0" w:color="auto"/>
      </w:divBdr>
    </w:div>
    <w:div w:id="884219430">
      <w:bodyDiv w:val="1"/>
      <w:marLeft w:val="0"/>
      <w:marRight w:val="0"/>
      <w:marTop w:val="0"/>
      <w:marBottom w:val="0"/>
      <w:divBdr>
        <w:top w:val="none" w:sz="0" w:space="0" w:color="auto"/>
        <w:left w:val="none" w:sz="0" w:space="0" w:color="auto"/>
        <w:bottom w:val="none" w:sz="0" w:space="0" w:color="auto"/>
        <w:right w:val="none" w:sz="0" w:space="0" w:color="auto"/>
      </w:divBdr>
    </w:div>
    <w:div w:id="884677609">
      <w:bodyDiv w:val="1"/>
      <w:marLeft w:val="0"/>
      <w:marRight w:val="0"/>
      <w:marTop w:val="0"/>
      <w:marBottom w:val="0"/>
      <w:divBdr>
        <w:top w:val="none" w:sz="0" w:space="0" w:color="auto"/>
        <w:left w:val="none" w:sz="0" w:space="0" w:color="auto"/>
        <w:bottom w:val="none" w:sz="0" w:space="0" w:color="auto"/>
        <w:right w:val="none" w:sz="0" w:space="0" w:color="auto"/>
      </w:divBdr>
    </w:div>
    <w:div w:id="924263754">
      <w:bodyDiv w:val="1"/>
      <w:marLeft w:val="0"/>
      <w:marRight w:val="0"/>
      <w:marTop w:val="0"/>
      <w:marBottom w:val="0"/>
      <w:divBdr>
        <w:top w:val="none" w:sz="0" w:space="0" w:color="auto"/>
        <w:left w:val="none" w:sz="0" w:space="0" w:color="auto"/>
        <w:bottom w:val="none" w:sz="0" w:space="0" w:color="auto"/>
        <w:right w:val="none" w:sz="0" w:space="0" w:color="auto"/>
      </w:divBdr>
    </w:div>
    <w:div w:id="928275173">
      <w:bodyDiv w:val="1"/>
      <w:marLeft w:val="0"/>
      <w:marRight w:val="0"/>
      <w:marTop w:val="0"/>
      <w:marBottom w:val="0"/>
      <w:divBdr>
        <w:top w:val="none" w:sz="0" w:space="0" w:color="auto"/>
        <w:left w:val="none" w:sz="0" w:space="0" w:color="auto"/>
        <w:bottom w:val="none" w:sz="0" w:space="0" w:color="auto"/>
        <w:right w:val="none" w:sz="0" w:space="0" w:color="auto"/>
      </w:divBdr>
    </w:div>
    <w:div w:id="958796765">
      <w:bodyDiv w:val="1"/>
      <w:marLeft w:val="0"/>
      <w:marRight w:val="0"/>
      <w:marTop w:val="0"/>
      <w:marBottom w:val="0"/>
      <w:divBdr>
        <w:top w:val="none" w:sz="0" w:space="0" w:color="auto"/>
        <w:left w:val="none" w:sz="0" w:space="0" w:color="auto"/>
        <w:bottom w:val="none" w:sz="0" w:space="0" w:color="auto"/>
        <w:right w:val="none" w:sz="0" w:space="0" w:color="auto"/>
      </w:divBdr>
    </w:div>
    <w:div w:id="976491065">
      <w:bodyDiv w:val="1"/>
      <w:marLeft w:val="0"/>
      <w:marRight w:val="0"/>
      <w:marTop w:val="0"/>
      <w:marBottom w:val="0"/>
      <w:divBdr>
        <w:top w:val="none" w:sz="0" w:space="0" w:color="auto"/>
        <w:left w:val="none" w:sz="0" w:space="0" w:color="auto"/>
        <w:bottom w:val="none" w:sz="0" w:space="0" w:color="auto"/>
        <w:right w:val="none" w:sz="0" w:space="0" w:color="auto"/>
      </w:divBdr>
    </w:div>
    <w:div w:id="1009141576">
      <w:bodyDiv w:val="1"/>
      <w:marLeft w:val="0"/>
      <w:marRight w:val="0"/>
      <w:marTop w:val="0"/>
      <w:marBottom w:val="0"/>
      <w:divBdr>
        <w:top w:val="none" w:sz="0" w:space="0" w:color="auto"/>
        <w:left w:val="none" w:sz="0" w:space="0" w:color="auto"/>
        <w:bottom w:val="none" w:sz="0" w:space="0" w:color="auto"/>
        <w:right w:val="none" w:sz="0" w:space="0" w:color="auto"/>
      </w:divBdr>
    </w:div>
    <w:div w:id="1025719140">
      <w:bodyDiv w:val="1"/>
      <w:marLeft w:val="0"/>
      <w:marRight w:val="0"/>
      <w:marTop w:val="0"/>
      <w:marBottom w:val="0"/>
      <w:divBdr>
        <w:top w:val="none" w:sz="0" w:space="0" w:color="auto"/>
        <w:left w:val="none" w:sz="0" w:space="0" w:color="auto"/>
        <w:bottom w:val="none" w:sz="0" w:space="0" w:color="auto"/>
        <w:right w:val="none" w:sz="0" w:space="0" w:color="auto"/>
      </w:divBdr>
    </w:div>
    <w:div w:id="1049765288">
      <w:bodyDiv w:val="1"/>
      <w:marLeft w:val="0"/>
      <w:marRight w:val="0"/>
      <w:marTop w:val="0"/>
      <w:marBottom w:val="0"/>
      <w:divBdr>
        <w:top w:val="none" w:sz="0" w:space="0" w:color="auto"/>
        <w:left w:val="none" w:sz="0" w:space="0" w:color="auto"/>
        <w:bottom w:val="none" w:sz="0" w:space="0" w:color="auto"/>
        <w:right w:val="none" w:sz="0" w:space="0" w:color="auto"/>
      </w:divBdr>
    </w:div>
    <w:div w:id="1119105411">
      <w:bodyDiv w:val="1"/>
      <w:marLeft w:val="0"/>
      <w:marRight w:val="0"/>
      <w:marTop w:val="0"/>
      <w:marBottom w:val="0"/>
      <w:divBdr>
        <w:top w:val="none" w:sz="0" w:space="0" w:color="auto"/>
        <w:left w:val="none" w:sz="0" w:space="0" w:color="auto"/>
        <w:bottom w:val="none" w:sz="0" w:space="0" w:color="auto"/>
        <w:right w:val="none" w:sz="0" w:space="0" w:color="auto"/>
      </w:divBdr>
    </w:div>
    <w:div w:id="1131366329">
      <w:bodyDiv w:val="1"/>
      <w:marLeft w:val="0"/>
      <w:marRight w:val="0"/>
      <w:marTop w:val="0"/>
      <w:marBottom w:val="0"/>
      <w:divBdr>
        <w:top w:val="none" w:sz="0" w:space="0" w:color="auto"/>
        <w:left w:val="none" w:sz="0" w:space="0" w:color="auto"/>
        <w:bottom w:val="none" w:sz="0" w:space="0" w:color="auto"/>
        <w:right w:val="none" w:sz="0" w:space="0" w:color="auto"/>
      </w:divBdr>
    </w:div>
    <w:div w:id="1132134681">
      <w:bodyDiv w:val="1"/>
      <w:marLeft w:val="0"/>
      <w:marRight w:val="0"/>
      <w:marTop w:val="0"/>
      <w:marBottom w:val="0"/>
      <w:divBdr>
        <w:top w:val="none" w:sz="0" w:space="0" w:color="auto"/>
        <w:left w:val="none" w:sz="0" w:space="0" w:color="auto"/>
        <w:bottom w:val="none" w:sz="0" w:space="0" w:color="auto"/>
        <w:right w:val="none" w:sz="0" w:space="0" w:color="auto"/>
      </w:divBdr>
    </w:div>
    <w:div w:id="1150638113">
      <w:bodyDiv w:val="1"/>
      <w:marLeft w:val="0"/>
      <w:marRight w:val="0"/>
      <w:marTop w:val="0"/>
      <w:marBottom w:val="0"/>
      <w:divBdr>
        <w:top w:val="none" w:sz="0" w:space="0" w:color="auto"/>
        <w:left w:val="none" w:sz="0" w:space="0" w:color="auto"/>
        <w:bottom w:val="none" w:sz="0" w:space="0" w:color="auto"/>
        <w:right w:val="none" w:sz="0" w:space="0" w:color="auto"/>
      </w:divBdr>
    </w:div>
    <w:div w:id="1209296354">
      <w:bodyDiv w:val="1"/>
      <w:marLeft w:val="0"/>
      <w:marRight w:val="0"/>
      <w:marTop w:val="0"/>
      <w:marBottom w:val="0"/>
      <w:divBdr>
        <w:top w:val="none" w:sz="0" w:space="0" w:color="auto"/>
        <w:left w:val="none" w:sz="0" w:space="0" w:color="auto"/>
        <w:bottom w:val="none" w:sz="0" w:space="0" w:color="auto"/>
        <w:right w:val="none" w:sz="0" w:space="0" w:color="auto"/>
      </w:divBdr>
    </w:div>
    <w:div w:id="1226254864">
      <w:bodyDiv w:val="1"/>
      <w:marLeft w:val="0"/>
      <w:marRight w:val="0"/>
      <w:marTop w:val="0"/>
      <w:marBottom w:val="0"/>
      <w:divBdr>
        <w:top w:val="none" w:sz="0" w:space="0" w:color="auto"/>
        <w:left w:val="none" w:sz="0" w:space="0" w:color="auto"/>
        <w:bottom w:val="none" w:sz="0" w:space="0" w:color="auto"/>
        <w:right w:val="none" w:sz="0" w:space="0" w:color="auto"/>
      </w:divBdr>
    </w:div>
    <w:div w:id="1308516872">
      <w:bodyDiv w:val="1"/>
      <w:marLeft w:val="0"/>
      <w:marRight w:val="0"/>
      <w:marTop w:val="0"/>
      <w:marBottom w:val="0"/>
      <w:divBdr>
        <w:top w:val="none" w:sz="0" w:space="0" w:color="auto"/>
        <w:left w:val="none" w:sz="0" w:space="0" w:color="auto"/>
        <w:bottom w:val="none" w:sz="0" w:space="0" w:color="auto"/>
        <w:right w:val="none" w:sz="0" w:space="0" w:color="auto"/>
      </w:divBdr>
    </w:div>
    <w:div w:id="1316182251">
      <w:bodyDiv w:val="1"/>
      <w:marLeft w:val="0"/>
      <w:marRight w:val="0"/>
      <w:marTop w:val="0"/>
      <w:marBottom w:val="0"/>
      <w:divBdr>
        <w:top w:val="none" w:sz="0" w:space="0" w:color="auto"/>
        <w:left w:val="none" w:sz="0" w:space="0" w:color="auto"/>
        <w:bottom w:val="none" w:sz="0" w:space="0" w:color="auto"/>
        <w:right w:val="none" w:sz="0" w:space="0" w:color="auto"/>
      </w:divBdr>
    </w:div>
    <w:div w:id="1381324727">
      <w:bodyDiv w:val="1"/>
      <w:marLeft w:val="0"/>
      <w:marRight w:val="0"/>
      <w:marTop w:val="0"/>
      <w:marBottom w:val="0"/>
      <w:divBdr>
        <w:top w:val="none" w:sz="0" w:space="0" w:color="auto"/>
        <w:left w:val="none" w:sz="0" w:space="0" w:color="auto"/>
        <w:bottom w:val="none" w:sz="0" w:space="0" w:color="auto"/>
        <w:right w:val="none" w:sz="0" w:space="0" w:color="auto"/>
      </w:divBdr>
    </w:div>
    <w:div w:id="1403723247">
      <w:bodyDiv w:val="1"/>
      <w:marLeft w:val="0"/>
      <w:marRight w:val="0"/>
      <w:marTop w:val="0"/>
      <w:marBottom w:val="0"/>
      <w:divBdr>
        <w:top w:val="none" w:sz="0" w:space="0" w:color="auto"/>
        <w:left w:val="none" w:sz="0" w:space="0" w:color="auto"/>
        <w:bottom w:val="none" w:sz="0" w:space="0" w:color="auto"/>
        <w:right w:val="none" w:sz="0" w:space="0" w:color="auto"/>
      </w:divBdr>
    </w:div>
    <w:div w:id="1412963810">
      <w:bodyDiv w:val="1"/>
      <w:marLeft w:val="0"/>
      <w:marRight w:val="0"/>
      <w:marTop w:val="0"/>
      <w:marBottom w:val="0"/>
      <w:divBdr>
        <w:top w:val="none" w:sz="0" w:space="0" w:color="auto"/>
        <w:left w:val="none" w:sz="0" w:space="0" w:color="auto"/>
        <w:bottom w:val="none" w:sz="0" w:space="0" w:color="auto"/>
        <w:right w:val="none" w:sz="0" w:space="0" w:color="auto"/>
      </w:divBdr>
      <w:divsChild>
        <w:div w:id="762143313">
          <w:marLeft w:val="0"/>
          <w:marRight w:val="0"/>
          <w:marTop w:val="0"/>
          <w:marBottom w:val="0"/>
          <w:divBdr>
            <w:top w:val="none" w:sz="0" w:space="0" w:color="auto"/>
            <w:left w:val="none" w:sz="0" w:space="0" w:color="auto"/>
            <w:bottom w:val="none" w:sz="0" w:space="0" w:color="auto"/>
            <w:right w:val="none" w:sz="0" w:space="0" w:color="auto"/>
          </w:divBdr>
        </w:div>
        <w:div w:id="1631742305">
          <w:marLeft w:val="0"/>
          <w:marRight w:val="0"/>
          <w:marTop w:val="0"/>
          <w:marBottom w:val="0"/>
          <w:divBdr>
            <w:top w:val="none" w:sz="0" w:space="0" w:color="auto"/>
            <w:left w:val="none" w:sz="0" w:space="0" w:color="auto"/>
            <w:bottom w:val="none" w:sz="0" w:space="0" w:color="auto"/>
            <w:right w:val="none" w:sz="0" w:space="0" w:color="auto"/>
          </w:divBdr>
        </w:div>
      </w:divsChild>
    </w:div>
    <w:div w:id="1446002014">
      <w:bodyDiv w:val="1"/>
      <w:marLeft w:val="0"/>
      <w:marRight w:val="0"/>
      <w:marTop w:val="0"/>
      <w:marBottom w:val="0"/>
      <w:divBdr>
        <w:top w:val="none" w:sz="0" w:space="0" w:color="auto"/>
        <w:left w:val="none" w:sz="0" w:space="0" w:color="auto"/>
        <w:bottom w:val="none" w:sz="0" w:space="0" w:color="auto"/>
        <w:right w:val="none" w:sz="0" w:space="0" w:color="auto"/>
      </w:divBdr>
      <w:divsChild>
        <w:div w:id="510989963">
          <w:marLeft w:val="0"/>
          <w:marRight w:val="0"/>
          <w:marTop w:val="0"/>
          <w:marBottom w:val="0"/>
          <w:divBdr>
            <w:top w:val="none" w:sz="0" w:space="0" w:color="auto"/>
            <w:left w:val="none" w:sz="0" w:space="0" w:color="auto"/>
            <w:bottom w:val="none" w:sz="0" w:space="0" w:color="auto"/>
            <w:right w:val="none" w:sz="0" w:space="0" w:color="auto"/>
          </w:divBdr>
        </w:div>
        <w:div w:id="1157721298">
          <w:marLeft w:val="0"/>
          <w:marRight w:val="0"/>
          <w:marTop w:val="0"/>
          <w:marBottom w:val="0"/>
          <w:divBdr>
            <w:top w:val="none" w:sz="0" w:space="0" w:color="auto"/>
            <w:left w:val="none" w:sz="0" w:space="0" w:color="auto"/>
            <w:bottom w:val="none" w:sz="0" w:space="0" w:color="auto"/>
            <w:right w:val="none" w:sz="0" w:space="0" w:color="auto"/>
          </w:divBdr>
        </w:div>
        <w:div w:id="1506478212">
          <w:marLeft w:val="0"/>
          <w:marRight w:val="0"/>
          <w:marTop w:val="0"/>
          <w:marBottom w:val="0"/>
          <w:divBdr>
            <w:top w:val="none" w:sz="0" w:space="0" w:color="auto"/>
            <w:left w:val="none" w:sz="0" w:space="0" w:color="auto"/>
            <w:bottom w:val="none" w:sz="0" w:space="0" w:color="auto"/>
            <w:right w:val="none" w:sz="0" w:space="0" w:color="auto"/>
          </w:divBdr>
        </w:div>
        <w:div w:id="1752388820">
          <w:marLeft w:val="0"/>
          <w:marRight w:val="0"/>
          <w:marTop w:val="0"/>
          <w:marBottom w:val="0"/>
          <w:divBdr>
            <w:top w:val="none" w:sz="0" w:space="0" w:color="auto"/>
            <w:left w:val="none" w:sz="0" w:space="0" w:color="auto"/>
            <w:bottom w:val="none" w:sz="0" w:space="0" w:color="auto"/>
            <w:right w:val="none" w:sz="0" w:space="0" w:color="auto"/>
          </w:divBdr>
        </w:div>
      </w:divsChild>
    </w:div>
    <w:div w:id="1576889354">
      <w:bodyDiv w:val="1"/>
      <w:marLeft w:val="0"/>
      <w:marRight w:val="0"/>
      <w:marTop w:val="0"/>
      <w:marBottom w:val="0"/>
      <w:divBdr>
        <w:top w:val="none" w:sz="0" w:space="0" w:color="auto"/>
        <w:left w:val="none" w:sz="0" w:space="0" w:color="auto"/>
        <w:bottom w:val="none" w:sz="0" w:space="0" w:color="auto"/>
        <w:right w:val="none" w:sz="0" w:space="0" w:color="auto"/>
      </w:divBdr>
    </w:div>
    <w:div w:id="1598711133">
      <w:bodyDiv w:val="1"/>
      <w:marLeft w:val="0"/>
      <w:marRight w:val="0"/>
      <w:marTop w:val="0"/>
      <w:marBottom w:val="0"/>
      <w:divBdr>
        <w:top w:val="none" w:sz="0" w:space="0" w:color="auto"/>
        <w:left w:val="none" w:sz="0" w:space="0" w:color="auto"/>
        <w:bottom w:val="none" w:sz="0" w:space="0" w:color="auto"/>
        <w:right w:val="none" w:sz="0" w:space="0" w:color="auto"/>
      </w:divBdr>
    </w:div>
    <w:div w:id="1629699164">
      <w:bodyDiv w:val="1"/>
      <w:marLeft w:val="0"/>
      <w:marRight w:val="0"/>
      <w:marTop w:val="0"/>
      <w:marBottom w:val="0"/>
      <w:divBdr>
        <w:top w:val="none" w:sz="0" w:space="0" w:color="auto"/>
        <w:left w:val="none" w:sz="0" w:space="0" w:color="auto"/>
        <w:bottom w:val="none" w:sz="0" w:space="0" w:color="auto"/>
        <w:right w:val="none" w:sz="0" w:space="0" w:color="auto"/>
      </w:divBdr>
    </w:div>
    <w:div w:id="1751610286">
      <w:bodyDiv w:val="1"/>
      <w:marLeft w:val="0"/>
      <w:marRight w:val="0"/>
      <w:marTop w:val="0"/>
      <w:marBottom w:val="0"/>
      <w:divBdr>
        <w:top w:val="none" w:sz="0" w:space="0" w:color="auto"/>
        <w:left w:val="none" w:sz="0" w:space="0" w:color="auto"/>
        <w:bottom w:val="none" w:sz="0" w:space="0" w:color="auto"/>
        <w:right w:val="none" w:sz="0" w:space="0" w:color="auto"/>
      </w:divBdr>
    </w:div>
    <w:div w:id="1761830199">
      <w:bodyDiv w:val="1"/>
      <w:marLeft w:val="0"/>
      <w:marRight w:val="0"/>
      <w:marTop w:val="0"/>
      <w:marBottom w:val="0"/>
      <w:divBdr>
        <w:top w:val="none" w:sz="0" w:space="0" w:color="auto"/>
        <w:left w:val="none" w:sz="0" w:space="0" w:color="auto"/>
        <w:bottom w:val="none" w:sz="0" w:space="0" w:color="auto"/>
        <w:right w:val="none" w:sz="0" w:space="0" w:color="auto"/>
      </w:divBdr>
    </w:div>
    <w:div w:id="1773670693">
      <w:bodyDiv w:val="1"/>
      <w:marLeft w:val="0"/>
      <w:marRight w:val="0"/>
      <w:marTop w:val="0"/>
      <w:marBottom w:val="0"/>
      <w:divBdr>
        <w:top w:val="none" w:sz="0" w:space="0" w:color="auto"/>
        <w:left w:val="none" w:sz="0" w:space="0" w:color="auto"/>
        <w:bottom w:val="none" w:sz="0" w:space="0" w:color="auto"/>
        <w:right w:val="none" w:sz="0" w:space="0" w:color="auto"/>
      </w:divBdr>
    </w:div>
    <w:div w:id="1898738348">
      <w:bodyDiv w:val="1"/>
      <w:marLeft w:val="0"/>
      <w:marRight w:val="0"/>
      <w:marTop w:val="0"/>
      <w:marBottom w:val="0"/>
      <w:divBdr>
        <w:top w:val="none" w:sz="0" w:space="0" w:color="auto"/>
        <w:left w:val="none" w:sz="0" w:space="0" w:color="auto"/>
        <w:bottom w:val="none" w:sz="0" w:space="0" w:color="auto"/>
        <w:right w:val="none" w:sz="0" w:space="0" w:color="auto"/>
      </w:divBdr>
    </w:div>
    <w:div w:id="1946884358">
      <w:bodyDiv w:val="1"/>
      <w:marLeft w:val="0"/>
      <w:marRight w:val="0"/>
      <w:marTop w:val="0"/>
      <w:marBottom w:val="0"/>
      <w:divBdr>
        <w:top w:val="none" w:sz="0" w:space="0" w:color="auto"/>
        <w:left w:val="none" w:sz="0" w:space="0" w:color="auto"/>
        <w:bottom w:val="none" w:sz="0" w:space="0" w:color="auto"/>
        <w:right w:val="none" w:sz="0" w:space="0" w:color="auto"/>
      </w:divBdr>
    </w:div>
    <w:div w:id="1947539940">
      <w:bodyDiv w:val="1"/>
      <w:marLeft w:val="0"/>
      <w:marRight w:val="0"/>
      <w:marTop w:val="0"/>
      <w:marBottom w:val="0"/>
      <w:divBdr>
        <w:top w:val="none" w:sz="0" w:space="0" w:color="auto"/>
        <w:left w:val="none" w:sz="0" w:space="0" w:color="auto"/>
        <w:bottom w:val="none" w:sz="0" w:space="0" w:color="auto"/>
        <w:right w:val="none" w:sz="0" w:space="0" w:color="auto"/>
      </w:divBdr>
    </w:div>
    <w:div w:id="1987931510">
      <w:bodyDiv w:val="1"/>
      <w:marLeft w:val="0"/>
      <w:marRight w:val="0"/>
      <w:marTop w:val="0"/>
      <w:marBottom w:val="0"/>
      <w:divBdr>
        <w:top w:val="none" w:sz="0" w:space="0" w:color="auto"/>
        <w:left w:val="none" w:sz="0" w:space="0" w:color="auto"/>
        <w:bottom w:val="none" w:sz="0" w:space="0" w:color="auto"/>
        <w:right w:val="none" w:sz="0" w:space="0" w:color="auto"/>
      </w:divBdr>
    </w:div>
    <w:div w:id="2081756419">
      <w:bodyDiv w:val="1"/>
      <w:marLeft w:val="0"/>
      <w:marRight w:val="0"/>
      <w:marTop w:val="0"/>
      <w:marBottom w:val="0"/>
      <w:divBdr>
        <w:top w:val="none" w:sz="0" w:space="0" w:color="auto"/>
        <w:left w:val="none" w:sz="0" w:space="0" w:color="auto"/>
        <w:bottom w:val="none" w:sz="0" w:space="0" w:color="auto"/>
        <w:right w:val="none" w:sz="0" w:space="0" w:color="auto"/>
      </w:divBdr>
    </w:div>
    <w:div w:id="2101557203">
      <w:bodyDiv w:val="1"/>
      <w:marLeft w:val="0"/>
      <w:marRight w:val="0"/>
      <w:marTop w:val="0"/>
      <w:marBottom w:val="0"/>
      <w:divBdr>
        <w:top w:val="none" w:sz="0" w:space="0" w:color="auto"/>
        <w:left w:val="none" w:sz="0" w:space="0" w:color="auto"/>
        <w:bottom w:val="none" w:sz="0" w:space="0" w:color="auto"/>
        <w:right w:val="none" w:sz="0" w:space="0" w:color="auto"/>
      </w:divBdr>
    </w:div>
    <w:div w:id="2127503839">
      <w:bodyDiv w:val="1"/>
      <w:marLeft w:val="0"/>
      <w:marRight w:val="0"/>
      <w:marTop w:val="0"/>
      <w:marBottom w:val="0"/>
      <w:divBdr>
        <w:top w:val="none" w:sz="0" w:space="0" w:color="auto"/>
        <w:left w:val="none" w:sz="0" w:space="0" w:color="auto"/>
        <w:bottom w:val="none" w:sz="0" w:space="0" w:color="auto"/>
        <w:right w:val="none" w:sz="0" w:space="0" w:color="auto"/>
      </w:divBdr>
      <w:divsChild>
        <w:div w:id="425228957">
          <w:marLeft w:val="0"/>
          <w:marRight w:val="0"/>
          <w:marTop w:val="0"/>
          <w:marBottom w:val="0"/>
          <w:divBdr>
            <w:top w:val="none" w:sz="0" w:space="0" w:color="auto"/>
            <w:left w:val="none" w:sz="0" w:space="0" w:color="auto"/>
            <w:bottom w:val="none" w:sz="0" w:space="0" w:color="auto"/>
            <w:right w:val="none" w:sz="0" w:space="0" w:color="auto"/>
          </w:divBdr>
        </w:div>
        <w:div w:id="473841065">
          <w:marLeft w:val="0"/>
          <w:marRight w:val="0"/>
          <w:marTop w:val="0"/>
          <w:marBottom w:val="0"/>
          <w:divBdr>
            <w:top w:val="none" w:sz="0" w:space="0" w:color="auto"/>
            <w:left w:val="none" w:sz="0" w:space="0" w:color="auto"/>
            <w:bottom w:val="none" w:sz="0" w:space="0" w:color="auto"/>
            <w:right w:val="none" w:sz="0" w:space="0" w:color="auto"/>
          </w:divBdr>
        </w:div>
        <w:div w:id="5332770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E66DC9E41DB8438CCD6E6BF1DC12E9" ma:contentTypeVersion="0" ma:contentTypeDescription="Create a new document." ma:contentTypeScope="" ma:versionID="317717c794bcd22b55492817bb8fa14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b:Source>
    <b:Tag>AutYY</b:Tag>
    <b:SourceType>Book</b:SourceType>
    <b:Guid>{75EF971F-68EE-4E29-9C6D-BBB53F1CC34E}</b:Guid>
    <b:Author>
      <b:Author>
        <b:NameList>
          <b:Person>
            <b:Last>Author</b:Last>
          </b:Person>
        </b:NameList>
      </b:Author>
      <b:Editor>
        <b:NameList>
          <b:Person>
            <b:Last>Editor</b:Last>
          </b:Person>
        </b:NameList>
      </b:Editor>
    </b:Author>
    <b:Title>Title</b:Title>
    <b:Year>YYYY</b:Year>
    <b:City>City</b:City>
    <b:Publisher>Publisher</b:Publisher>
    <b:Volume>Volume</b:Volume>
    <b:RefOrder>1</b:RefOrder>
  </b:Source>
</b:Sources>
</file>

<file path=customXml/itemProps1.xml><?xml version="1.0" encoding="utf-8"?>
<ds:datastoreItem xmlns:ds="http://schemas.openxmlformats.org/officeDocument/2006/customXml" ds:itemID="{8C36E45A-62FF-4181-ACB1-D9ED520FB77B}">
  <ds:schemaRefs>
    <ds:schemaRef ds:uri="http://schemas.microsoft.com/sharepoint/v3/contenttype/forms"/>
  </ds:schemaRefs>
</ds:datastoreItem>
</file>

<file path=customXml/itemProps2.xml><?xml version="1.0" encoding="utf-8"?>
<ds:datastoreItem xmlns:ds="http://schemas.openxmlformats.org/officeDocument/2006/customXml" ds:itemID="{F31AB4F3-D48E-42EE-8A01-592DD3466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04947D8-2B48-4F94-BA20-4BBB76803B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1B25D2-3687-47CF-9C3A-4D07A0BBB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3496</Words>
  <Characters>19932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Tetra Tech Inc.</Company>
  <LinksUpToDate>false</LinksUpToDate>
  <CharactersWithSpaces>23382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Sayem</dc:creator>
  <cp:keywords/>
  <dc:description/>
  <cp:lastModifiedBy>Gilbert, Douglas</cp:lastModifiedBy>
  <cp:revision>3</cp:revision>
  <cp:lastPrinted>2016-07-05T19:35:00Z</cp:lastPrinted>
  <dcterms:created xsi:type="dcterms:W3CDTF">2016-11-17T12:28:00Z</dcterms:created>
  <dcterms:modified xsi:type="dcterms:W3CDTF">2016-11-18T18:23:00Z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0x010100CEE66DC9E41DB8438CCD6E6BF1DC12E9</vt:lpwstr>
  </property>
</Properties>
</file>