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005" w:rsidRDefault="00D33005" w:rsidP="00D33005">
      <w:pPr>
        <w:rPr>
          <w:rFonts w:ascii="Arial" w:hAnsi="Arial" w:cs="Arial"/>
          <w:color w:val="000080"/>
          <w:sz w:val="20"/>
          <w:szCs w:val="20"/>
        </w:rPr>
      </w:pPr>
      <w:r>
        <w:rPr>
          <w:rFonts w:ascii="Arial" w:hAnsi="Arial" w:cs="Arial"/>
          <w:color w:val="000080"/>
          <w:sz w:val="20"/>
          <w:szCs w:val="20"/>
        </w:rPr>
        <w:t xml:space="preserve">I have uploaded to our FTP site GIS files for the BMAP including 1) a draft polygon coverage of Lee County’s MS4 (File origin: I erased (opposite of clipped in GIS) the State managed lands, special districts &amp; cities from a polygon derived from the original Lee County </w:t>
      </w:r>
      <w:proofErr w:type="spellStart"/>
      <w:r>
        <w:rPr>
          <w:rFonts w:ascii="Arial" w:hAnsi="Arial" w:cs="Arial"/>
          <w:color w:val="000080"/>
          <w:sz w:val="20"/>
          <w:szCs w:val="20"/>
        </w:rPr>
        <w:t>polyline</w:t>
      </w:r>
      <w:proofErr w:type="spellEnd"/>
      <w:r>
        <w:rPr>
          <w:rFonts w:ascii="Arial" w:hAnsi="Arial" w:cs="Arial"/>
          <w:color w:val="000080"/>
          <w:sz w:val="20"/>
          <w:szCs w:val="20"/>
        </w:rPr>
        <w:t xml:space="preserve"> boundary file), 2) our latest county maintained weir, canal &amp; road point &amp; line files that identify where within the Draft MS4 polygon our maintained roads and drainages exist and 3) a SFWMD ERP derived coverage of those developments that are not county or city maintained areas and may be Phase II or Phase I NPDES co-</w:t>
      </w:r>
      <w:proofErr w:type="spellStart"/>
      <w:r>
        <w:rPr>
          <w:rFonts w:ascii="Arial" w:hAnsi="Arial" w:cs="Arial"/>
          <w:color w:val="000080"/>
          <w:sz w:val="20"/>
          <w:szCs w:val="20"/>
        </w:rPr>
        <w:t>permitee</w:t>
      </w:r>
      <w:proofErr w:type="spellEnd"/>
      <w:r>
        <w:rPr>
          <w:rFonts w:ascii="Arial" w:hAnsi="Arial" w:cs="Arial"/>
          <w:color w:val="000080"/>
          <w:sz w:val="20"/>
          <w:szCs w:val="20"/>
        </w:rPr>
        <w:t xml:space="preserve"> eligible. 4) The “Special Districts” coverage that identifies </w:t>
      </w:r>
      <w:smartTag w:uri="urn:schemas-microsoft-com:office:smarttags" w:element="place">
        <w:smartTag w:uri="urn:schemas-microsoft-com:office:smarttags" w:element="PlaceName">
          <w:r>
            <w:rPr>
              <w:rFonts w:ascii="Arial" w:hAnsi="Arial" w:cs="Arial"/>
              <w:color w:val="000080"/>
              <w:sz w:val="20"/>
              <w:szCs w:val="20"/>
            </w:rPr>
            <w:t>Lee</w:t>
          </w:r>
        </w:smartTag>
        <w:r>
          <w:rPr>
            <w:rFonts w:ascii="Arial" w:hAnsi="Arial" w:cs="Arial"/>
            <w:color w:val="000080"/>
            <w:sz w:val="20"/>
            <w:szCs w:val="20"/>
          </w:rPr>
          <w:t xml:space="preserve"> </w:t>
        </w:r>
        <w:smartTag w:uri="urn:schemas-microsoft-com:office:smarttags" w:element="PlaceName">
          <w:r>
            <w:rPr>
              <w:rFonts w:ascii="Arial" w:hAnsi="Arial" w:cs="Arial"/>
              <w:color w:val="000080"/>
              <w:sz w:val="20"/>
              <w:szCs w:val="20"/>
            </w:rPr>
            <w:t>County</w:t>
          </w:r>
        </w:smartTag>
      </w:smartTag>
      <w:r>
        <w:rPr>
          <w:rFonts w:ascii="Arial" w:hAnsi="Arial" w:cs="Arial"/>
          <w:color w:val="000080"/>
          <w:sz w:val="20"/>
          <w:szCs w:val="20"/>
        </w:rPr>
        <w:t xml:space="preserve"> co-</w:t>
      </w:r>
      <w:proofErr w:type="spellStart"/>
      <w:r>
        <w:rPr>
          <w:rFonts w:ascii="Arial" w:hAnsi="Arial" w:cs="Arial"/>
          <w:color w:val="000080"/>
          <w:sz w:val="20"/>
          <w:szCs w:val="20"/>
        </w:rPr>
        <w:t>permitee</w:t>
      </w:r>
      <w:proofErr w:type="spellEnd"/>
      <w:r>
        <w:rPr>
          <w:rFonts w:ascii="Arial" w:hAnsi="Arial" w:cs="Arial"/>
          <w:color w:val="000080"/>
          <w:sz w:val="20"/>
          <w:szCs w:val="20"/>
        </w:rPr>
        <w:t xml:space="preserve"> managed areas. All of these </w:t>
      </w:r>
      <w:proofErr w:type="spellStart"/>
      <w:r>
        <w:rPr>
          <w:rFonts w:ascii="Arial" w:hAnsi="Arial" w:cs="Arial"/>
          <w:color w:val="000080"/>
          <w:sz w:val="20"/>
          <w:szCs w:val="20"/>
        </w:rPr>
        <w:t>coverages</w:t>
      </w:r>
      <w:proofErr w:type="spellEnd"/>
      <w:r>
        <w:rPr>
          <w:rFonts w:ascii="Arial" w:hAnsi="Arial" w:cs="Arial"/>
          <w:color w:val="000080"/>
          <w:sz w:val="20"/>
          <w:szCs w:val="20"/>
        </w:rPr>
        <w:t xml:space="preserve"> dove-tail with the exception of the Phase II Eligible which overlaps the County &amp; City </w:t>
      </w:r>
      <w:proofErr w:type="spellStart"/>
      <w:r>
        <w:rPr>
          <w:rFonts w:ascii="Arial" w:hAnsi="Arial" w:cs="Arial"/>
          <w:color w:val="000080"/>
          <w:sz w:val="20"/>
          <w:szCs w:val="20"/>
        </w:rPr>
        <w:t>coverages</w:t>
      </w:r>
      <w:proofErr w:type="spellEnd"/>
      <w:r>
        <w:rPr>
          <w:rFonts w:ascii="Arial" w:hAnsi="Arial" w:cs="Arial"/>
          <w:color w:val="000080"/>
          <w:sz w:val="20"/>
          <w:szCs w:val="20"/>
        </w:rPr>
        <w:t xml:space="preserve"> as these are private developments that fall within the municipal political boundaries. </w:t>
      </w:r>
    </w:p>
    <w:p w:rsidR="00D33005" w:rsidRDefault="00D33005" w:rsidP="00D33005">
      <w:pPr>
        <w:rPr>
          <w:rFonts w:ascii="Arial" w:hAnsi="Arial" w:cs="Arial"/>
          <w:color w:val="000080"/>
          <w:sz w:val="20"/>
          <w:szCs w:val="20"/>
        </w:rPr>
      </w:pPr>
    </w:p>
    <w:p w:rsidR="00D33005" w:rsidRDefault="00D33005" w:rsidP="00D33005">
      <w:pPr>
        <w:rPr>
          <w:rFonts w:ascii="Arial" w:hAnsi="Arial" w:cs="Arial"/>
          <w:color w:val="000080"/>
          <w:sz w:val="20"/>
          <w:szCs w:val="20"/>
        </w:rPr>
      </w:pPr>
      <w:r>
        <w:rPr>
          <w:rFonts w:ascii="Arial" w:hAnsi="Arial" w:cs="Arial"/>
          <w:color w:val="000080"/>
          <w:sz w:val="20"/>
          <w:szCs w:val="20"/>
        </w:rPr>
        <w:t xml:space="preserve">I am submitting the Phase II Eligible coverage for your consideration as these areas are WMD permitted for stormwater detention and discharge subject to WMD permit requirements (presumed compliance based on design criteria, Stormwater Rules), are private developments with their own stormwater management systems and the monitoring data that they generate are not submitted to DEP for TMDL evaluation. These areas are not monitored or maintained by the municipalities but do discharge either directly to waters of the state or to our MS4. This is one topic that the stakeholders will be asking questions about at the February meetings. </w:t>
      </w:r>
    </w:p>
    <w:p w:rsidR="001F1A4B" w:rsidRDefault="001F1A4B"/>
    <w:sectPr w:rsidR="001F1A4B" w:rsidSect="001F1A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3005"/>
    <w:rsid w:val="001F1A4B"/>
    <w:rsid w:val="00D330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00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15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1322</Characters>
  <Application>Microsoft Office Word</Application>
  <DocSecurity>0</DocSecurity>
  <Lines>11</Lines>
  <Paragraphs>3</Paragraphs>
  <ScaleCrop>false</ScaleCrop>
  <Company> </Company>
  <LinksUpToDate>false</LinksUpToDate>
  <CharactersWithSpaces>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alvi_e</dc:creator>
  <cp:keywords/>
  <dc:description/>
  <cp:lastModifiedBy>alvi_e</cp:lastModifiedBy>
  <cp:revision>1</cp:revision>
  <dcterms:created xsi:type="dcterms:W3CDTF">2010-02-11T15:01:00Z</dcterms:created>
  <dcterms:modified xsi:type="dcterms:W3CDTF">2010-02-11T15:02:00Z</dcterms:modified>
</cp:coreProperties>
</file>