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B45" w:rsidRDefault="00CA3782">
      <w:r>
        <w:rPr>
          <w:rFonts w:eastAsia="Times New Roman"/>
        </w:rPr>
        <w:t>For the problem that flow paths passing through water bodies, you may take a look at Section 3.4.5 (page 3-10) of the user manual (</w:t>
      </w:r>
      <w:hyperlink r:id="rId4" w:history="1">
        <w:r>
          <w:rPr>
            <w:rStyle w:val="Hyperlink"/>
            <w:rFonts w:eastAsia="Times New Roman"/>
          </w:rPr>
          <w:t>http://people.sc.fsu.edu/~mye/ArcNLET/users_manual.pdf</w:t>
        </w:r>
      </w:hyperlink>
      <w:r>
        <w:rPr>
          <w:rFonts w:eastAsia="Times New Roman"/>
        </w:rPr>
        <w:t>).</w:t>
      </w:r>
      <w:r>
        <w:rPr>
          <w:rFonts w:eastAsia="Times New Roman"/>
        </w:rPr>
        <w:br/>
      </w:r>
      <w:r>
        <w:rPr>
          <w:rFonts w:eastAsia="Times New Roman"/>
        </w:rPr>
        <w:br/>
        <w:t>Another relevant section is about post-processing plumes described in Section 3.3.2 (page 3-16) of the technical manual (</w:t>
      </w:r>
      <w:hyperlink r:id="rId5" w:history="1">
        <w:r>
          <w:rPr>
            <w:rStyle w:val="Hyperlink"/>
            <w:rFonts w:eastAsia="Times New Roman"/>
          </w:rPr>
          <w:t>http://people.sc.fsu.edu/~mye/ArcNLET/technical_manual.pdf</w:t>
        </w:r>
      </w:hyperlink>
      <w:r>
        <w:rPr>
          <w:rFonts w:eastAsia="Times New Roman"/>
        </w:rPr>
        <w:t>).</w:t>
      </w:r>
      <w:r>
        <w:rPr>
          <w:rFonts w:eastAsia="Times New Roman"/>
        </w:rPr>
        <w:br/>
      </w:r>
      <w:r>
        <w:rPr>
          <w:rFonts w:eastAsia="Times New Roman"/>
        </w:rPr>
        <w:br/>
        <w:t>For the option of sink filling for flat area, the description is given in Section 2.3.2 (page 2-7) of the technical manual (</w:t>
      </w:r>
      <w:hyperlink r:id="rId6" w:history="1">
        <w:r>
          <w:rPr>
            <w:rStyle w:val="Hyperlink"/>
            <w:rFonts w:eastAsia="Times New Roman"/>
          </w:rPr>
          <w:t>http://people.sc.fsu.edu/~mye/ArcNLET/technical_manual.pdf</w:t>
        </w:r>
      </w:hyperlink>
      <w:r>
        <w:rPr>
          <w:rFonts w:eastAsia="Times New Roman"/>
        </w:rPr>
        <w:t>). However, if the area is too flat, a solution is to run the Groundwater Flow and Particle Tracking modules for an area larger than the domain of interest so that the reasonably large DEM difference is available. In fact, this is always necessary to avoid effect of domain boundary on the smoothing.</w:t>
      </w:r>
      <w:bookmarkStart w:id="0" w:name="_GoBack"/>
      <w:bookmarkEnd w:id="0"/>
    </w:p>
    <w:sectPr w:rsidR="00065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98C"/>
    <w:rsid w:val="00065B45"/>
    <w:rsid w:val="0020498C"/>
    <w:rsid w:val="00892E63"/>
    <w:rsid w:val="00CA3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3FB41-0E5B-4428-A74C-DAED0950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378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eople.sc.fsu.edu/~mye/ArcNLET/technical_manual.pdf" TargetMode="External"/><Relationship Id="rId5" Type="http://schemas.openxmlformats.org/officeDocument/2006/relationships/hyperlink" Target="http://people.sc.fsu.edu/~mye/ArcNLET/technical_manual.pdf" TargetMode="External"/><Relationship Id="rId4" Type="http://schemas.openxmlformats.org/officeDocument/2006/relationships/hyperlink" Target="http://people.sc.fsu.edu/~mye/ArcNLET/users_manu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Sara C.</dc:creator>
  <cp:keywords/>
  <dc:description/>
  <cp:lastModifiedBy>Davis, Sara C.</cp:lastModifiedBy>
  <cp:revision>2</cp:revision>
  <dcterms:created xsi:type="dcterms:W3CDTF">2016-06-28T15:09:00Z</dcterms:created>
  <dcterms:modified xsi:type="dcterms:W3CDTF">2016-06-28T16:30:00Z</dcterms:modified>
</cp:coreProperties>
</file>