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5FB02" w14:textId="520E693C" w:rsidR="003A5073" w:rsidRDefault="009662CA">
      <w:r>
        <w:t>Hotspot Methods</w:t>
      </w:r>
      <w:r w:rsidR="006701D2">
        <w:t xml:space="preserve"> - DRAFT</w:t>
      </w:r>
    </w:p>
    <w:p w14:paraId="14B0C6C4" w14:textId="052F1C87" w:rsidR="00BC302B" w:rsidRDefault="00BC302B">
      <w:r>
        <w:t>202</w:t>
      </w:r>
      <w:r w:rsidR="006F5993">
        <w:t>4</w:t>
      </w:r>
      <w:r w:rsidR="00803A8F">
        <w:t xml:space="preserve"> </w:t>
      </w:r>
      <w:r w:rsidR="006F5993">
        <w:t>Jan 19</w:t>
      </w:r>
    </w:p>
    <w:p w14:paraId="69B66801" w14:textId="77777777" w:rsidR="006F5993" w:rsidRDefault="006F5993"/>
    <w:p w14:paraId="16BB1600" w14:textId="4CF384D8" w:rsidR="006F5993" w:rsidRDefault="006F5993">
      <w:r>
        <w:t xml:space="preserve">This </w:t>
      </w:r>
      <w:r w:rsidR="00BD199F">
        <w:t>method for finding hotspots</w:t>
      </w:r>
      <w:r>
        <w:t xml:space="preserve"> </w:t>
      </w:r>
      <w:r w:rsidR="00BD199F">
        <w:t xml:space="preserve">in BMAP areas is being developed to </w:t>
      </w:r>
      <w:r w:rsidR="001C565A">
        <w:t xml:space="preserve">identify </w:t>
      </w:r>
      <w:r w:rsidR="00BD199F">
        <w:t>areas where</w:t>
      </w:r>
      <w:r w:rsidR="001C565A">
        <w:t xml:space="preserve"> </w:t>
      </w:r>
      <w:r w:rsidR="006F7409">
        <w:t>nutrient concentrations are consistently elevated relative to other areas within the BMAP. The hotspot areas highlight where</w:t>
      </w:r>
      <w:r w:rsidR="00BD199F">
        <w:t xml:space="preserve"> targeted restoration activities are needed, and thus areas where funding for projects should be prioritized. It may also highlight areas where existing or ongoing restoration projects are having relatively stronger impacts. This analysis is not used to determine regulatory compliance with BMAPs, TMDLs, or other permitting activities. </w:t>
      </w:r>
    </w:p>
    <w:p w14:paraId="004C4D3D" w14:textId="77777777" w:rsidR="00BD199F" w:rsidRDefault="00BD199F"/>
    <w:p w14:paraId="31756946" w14:textId="41FAEBC4" w:rsidR="00BD199F" w:rsidRDefault="00BD199F">
      <w:r>
        <w:t xml:space="preserve">The methodology outlined here is being used across all of the surface water nutrient BMAPs, so some of the terms used are meant to be general and are </w:t>
      </w:r>
      <w:r w:rsidR="006F6613">
        <w:t>defined</w:t>
      </w:r>
      <w:r>
        <w:t xml:space="preserve"> in the table below. </w:t>
      </w:r>
    </w:p>
    <w:p w14:paraId="2F72816B" w14:textId="77777777" w:rsidR="00BD199F" w:rsidRDefault="00BD199F"/>
    <w:tbl>
      <w:tblPr>
        <w:tblW w:w="3789" w:type="pct"/>
        <w:jc w:val="center"/>
        <w:tblLook w:val="04A0" w:firstRow="1" w:lastRow="0" w:firstColumn="1" w:lastColumn="0" w:noHBand="0" w:noVBand="1"/>
      </w:tblPr>
      <w:tblGrid>
        <w:gridCol w:w="1395"/>
        <w:gridCol w:w="2948"/>
        <w:gridCol w:w="2924"/>
      </w:tblGrid>
      <w:tr w:rsidR="002E2DF6" w:rsidRPr="00044672" w14:paraId="248CEE08" w14:textId="77777777" w:rsidTr="3597AE9D">
        <w:trPr>
          <w:trHeight w:val="300"/>
          <w:jc w:val="center"/>
        </w:trPr>
        <w:tc>
          <w:tcPr>
            <w:tcW w:w="9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64DF01" w14:textId="77777777" w:rsidR="002E2DF6" w:rsidRPr="009F31D1" w:rsidRDefault="002E2DF6" w:rsidP="003A5073">
            <w:pPr>
              <w:jc w:val="center"/>
              <w:rPr>
                <w:rFonts w:eastAsia="Times New Roman" w:cs="Times New Roman"/>
                <w:b/>
                <w:bCs/>
                <w:color w:val="000000"/>
                <w:sz w:val="22"/>
              </w:rPr>
            </w:pPr>
            <w:r w:rsidRPr="009F31D1">
              <w:rPr>
                <w:rFonts w:eastAsia="Times New Roman" w:cs="Times New Roman"/>
                <w:b/>
                <w:bCs/>
                <w:color w:val="000000"/>
                <w:sz w:val="22"/>
              </w:rPr>
              <w:t>BMAP</w:t>
            </w:r>
          </w:p>
        </w:tc>
        <w:tc>
          <w:tcPr>
            <w:tcW w:w="2008" w:type="pct"/>
            <w:tcBorders>
              <w:top w:val="single" w:sz="4" w:space="0" w:color="auto"/>
              <w:left w:val="nil"/>
              <w:bottom w:val="single" w:sz="4" w:space="0" w:color="auto"/>
              <w:right w:val="single" w:sz="4" w:space="0" w:color="auto"/>
            </w:tcBorders>
            <w:shd w:val="clear" w:color="auto" w:fill="auto"/>
            <w:noWrap/>
            <w:vAlign w:val="center"/>
            <w:hideMark/>
          </w:tcPr>
          <w:p w14:paraId="3DCBFE2F" w14:textId="055B0F0D" w:rsidR="002E2DF6" w:rsidRPr="009F31D1" w:rsidRDefault="002E2DF6" w:rsidP="5A2B38D8">
            <w:pPr>
              <w:jc w:val="center"/>
              <w:rPr>
                <w:rFonts w:eastAsia="Times New Roman" w:cs="Times New Roman"/>
                <w:b/>
                <w:bCs/>
                <w:color w:val="000000"/>
                <w:sz w:val="22"/>
              </w:rPr>
            </w:pPr>
            <w:r w:rsidRPr="5A2B38D8">
              <w:rPr>
                <w:rFonts w:eastAsia="Times New Roman" w:cs="Times New Roman"/>
                <w:b/>
                <w:bCs/>
                <w:color w:val="000000" w:themeColor="text1"/>
                <w:sz w:val="22"/>
              </w:rPr>
              <w:t>BMAP Threshold TN</w:t>
            </w:r>
            <w:r w:rsidR="363518D9" w:rsidRPr="5A2B38D8">
              <w:rPr>
                <w:rFonts w:eastAsia="Times New Roman" w:cs="Times New Roman"/>
                <w:b/>
                <w:bCs/>
                <w:color w:val="000000" w:themeColor="text1"/>
                <w:sz w:val="22"/>
              </w:rPr>
              <w:t xml:space="preserve"> (mg/L)</w:t>
            </w:r>
          </w:p>
        </w:tc>
        <w:tc>
          <w:tcPr>
            <w:tcW w:w="2008" w:type="pct"/>
            <w:tcBorders>
              <w:top w:val="single" w:sz="4" w:space="0" w:color="auto"/>
              <w:left w:val="nil"/>
              <w:bottom w:val="single" w:sz="4" w:space="0" w:color="auto"/>
              <w:right w:val="single" w:sz="4" w:space="0" w:color="auto"/>
            </w:tcBorders>
            <w:shd w:val="clear" w:color="auto" w:fill="auto"/>
            <w:noWrap/>
            <w:vAlign w:val="center"/>
            <w:hideMark/>
          </w:tcPr>
          <w:p w14:paraId="55E31C3A" w14:textId="6F4A1280" w:rsidR="002E2DF6" w:rsidRPr="009F31D1" w:rsidRDefault="002E2DF6" w:rsidP="5A2B38D8">
            <w:pPr>
              <w:jc w:val="center"/>
              <w:rPr>
                <w:rFonts w:eastAsia="Times New Roman" w:cs="Times New Roman"/>
                <w:b/>
                <w:bCs/>
                <w:color w:val="000000"/>
                <w:sz w:val="22"/>
              </w:rPr>
            </w:pPr>
            <w:r w:rsidRPr="5A2B38D8">
              <w:rPr>
                <w:rFonts w:eastAsia="Times New Roman" w:cs="Times New Roman"/>
                <w:b/>
                <w:bCs/>
                <w:color w:val="000000" w:themeColor="text1"/>
                <w:sz w:val="22"/>
              </w:rPr>
              <w:t>BMAP Threshold TP</w:t>
            </w:r>
            <w:r w:rsidR="38BA80CD" w:rsidRPr="5A2B38D8">
              <w:rPr>
                <w:rFonts w:eastAsia="Times New Roman" w:cs="Times New Roman"/>
                <w:b/>
                <w:bCs/>
                <w:color w:val="000000" w:themeColor="text1"/>
                <w:sz w:val="22"/>
              </w:rPr>
              <w:t xml:space="preserve"> (mg/L)</w:t>
            </w:r>
          </w:p>
        </w:tc>
      </w:tr>
      <w:tr w:rsidR="002E2DF6" w:rsidRPr="00044672" w14:paraId="76D083AB" w14:textId="77777777" w:rsidTr="3597AE9D">
        <w:trPr>
          <w:trHeight w:val="300"/>
          <w:jc w:val="center"/>
        </w:trPr>
        <w:tc>
          <w:tcPr>
            <w:tcW w:w="984" w:type="pct"/>
            <w:tcBorders>
              <w:top w:val="nil"/>
              <w:left w:val="single" w:sz="4" w:space="0" w:color="auto"/>
              <w:bottom w:val="single" w:sz="4" w:space="0" w:color="auto"/>
              <w:right w:val="single" w:sz="4" w:space="0" w:color="auto"/>
            </w:tcBorders>
            <w:shd w:val="clear" w:color="auto" w:fill="auto"/>
            <w:noWrap/>
            <w:vAlign w:val="center"/>
            <w:hideMark/>
          </w:tcPr>
          <w:p w14:paraId="4D947A6D" w14:textId="270BB75A" w:rsidR="002E2DF6" w:rsidRPr="009F31D1" w:rsidRDefault="002E2DF6" w:rsidP="003A5073">
            <w:pPr>
              <w:jc w:val="center"/>
              <w:rPr>
                <w:rFonts w:eastAsia="Times New Roman" w:cs="Times New Roman"/>
                <w:color w:val="000000"/>
                <w:sz w:val="22"/>
              </w:rPr>
            </w:pPr>
            <w:r w:rsidRPr="009F31D1">
              <w:rPr>
                <w:rFonts w:eastAsia="Times New Roman" w:cs="Times New Roman"/>
                <w:color w:val="000000"/>
                <w:sz w:val="22"/>
              </w:rPr>
              <w:t>JESU</w:t>
            </w:r>
          </w:p>
        </w:tc>
        <w:tc>
          <w:tcPr>
            <w:tcW w:w="2008" w:type="pct"/>
            <w:tcBorders>
              <w:top w:val="nil"/>
              <w:left w:val="nil"/>
              <w:bottom w:val="single" w:sz="4" w:space="0" w:color="auto"/>
              <w:right w:val="single" w:sz="4" w:space="0" w:color="auto"/>
            </w:tcBorders>
            <w:shd w:val="clear" w:color="auto" w:fill="auto"/>
            <w:noWrap/>
            <w:vAlign w:val="center"/>
            <w:hideMark/>
          </w:tcPr>
          <w:p w14:paraId="5429996A" w14:textId="33362364" w:rsidR="002E2DF6" w:rsidRPr="009F31D1" w:rsidRDefault="632BA0E6" w:rsidP="5A2B38D8">
            <w:pPr>
              <w:jc w:val="center"/>
              <w:rPr>
                <w:rFonts w:eastAsia="Times New Roman" w:cs="Times New Roman"/>
                <w:color w:val="000000"/>
                <w:sz w:val="22"/>
              </w:rPr>
            </w:pPr>
            <w:r w:rsidRPr="5A2B38D8">
              <w:rPr>
                <w:rFonts w:eastAsia="Times New Roman" w:cs="Times New Roman"/>
                <w:color w:val="000000" w:themeColor="text1"/>
                <w:sz w:val="22"/>
              </w:rPr>
              <w:t>1.27</w:t>
            </w:r>
          </w:p>
        </w:tc>
        <w:tc>
          <w:tcPr>
            <w:tcW w:w="2008" w:type="pct"/>
            <w:tcBorders>
              <w:top w:val="nil"/>
              <w:left w:val="nil"/>
              <w:bottom w:val="single" w:sz="4" w:space="0" w:color="auto"/>
              <w:right w:val="single" w:sz="4" w:space="0" w:color="auto"/>
            </w:tcBorders>
            <w:shd w:val="clear" w:color="auto" w:fill="auto"/>
            <w:noWrap/>
            <w:vAlign w:val="center"/>
            <w:hideMark/>
          </w:tcPr>
          <w:p w14:paraId="5AEF4DF9" w14:textId="7CB1E5D9" w:rsidR="002E2DF6" w:rsidRPr="009F31D1" w:rsidRDefault="632BA0E6" w:rsidP="5A2B38D8">
            <w:pPr>
              <w:jc w:val="center"/>
              <w:rPr>
                <w:rFonts w:eastAsia="Times New Roman" w:cs="Times New Roman"/>
                <w:color w:val="000000"/>
                <w:sz w:val="22"/>
              </w:rPr>
            </w:pPr>
            <w:r w:rsidRPr="5A2B38D8">
              <w:rPr>
                <w:rFonts w:eastAsia="Times New Roman" w:cs="Times New Roman"/>
                <w:color w:val="000000" w:themeColor="text1"/>
                <w:sz w:val="22"/>
              </w:rPr>
              <w:t>0.096</w:t>
            </w:r>
          </w:p>
        </w:tc>
      </w:tr>
      <w:tr w:rsidR="5A2B38D8" w14:paraId="3C4BBC2C" w14:textId="77777777" w:rsidTr="3597AE9D">
        <w:trPr>
          <w:trHeight w:val="300"/>
          <w:jc w:val="center"/>
        </w:trPr>
        <w:tc>
          <w:tcPr>
            <w:tcW w:w="1395" w:type="dxa"/>
            <w:tcBorders>
              <w:top w:val="nil"/>
              <w:left w:val="single" w:sz="4" w:space="0" w:color="auto"/>
              <w:bottom w:val="single" w:sz="4" w:space="0" w:color="auto"/>
              <w:right w:val="single" w:sz="4" w:space="0" w:color="auto"/>
            </w:tcBorders>
            <w:shd w:val="clear" w:color="auto" w:fill="auto"/>
            <w:noWrap/>
            <w:vAlign w:val="center"/>
            <w:hideMark/>
          </w:tcPr>
          <w:p w14:paraId="276871DD" w14:textId="21D6333A" w:rsidR="5B267488" w:rsidRDefault="5B267488" w:rsidP="5A2B38D8">
            <w:pPr>
              <w:jc w:val="center"/>
              <w:rPr>
                <w:rFonts w:eastAsia="Times New Roman" w:cs="Times New Roman"/>
                <w:color w:val="000000" w:themeColor="text1"/>
                <w:sz w:val="22"/>
              </w:rPr>
            </w:pPr>
            <w:r w:rsidRPr="5A2B38D8">
              <w:rPr>
                <w:rFonts w:eastAsia="Times New Roman" w:cs="Times New Roman"/>
                <w:color w:val="000000" w:themeColor="text1"/>
                <w:sz w:val="22"/>
              </w:rPr>
              <w:t>HAMO</w:t>
            </w:r>
          </w:p>
        </w:tc>
        <w:tc>
          <w:tcPr>
            <w:tcW w:w="2845" w:type="dxa"/>
            <w:tcBorders>
              <w:top w:val="nil"/>
              <w:left w:val="nil"/>
              <w:bottom w:val="single" w:sz="4" w:space="0" w:color="auto"/>
              <w:right w:val="single" w:sz="4" w:space="0" w:color="auto"/>
            </w:tcBorders>
            <w:shd w:val="clear" w:color="auto" w:fill="auto"/>
            <w:noWrap/>
            <w:vAlign w:val="center"/>
            <w:hideMark/>
          </w:tcPr>
          <w:p w14:paraId="27CD8779" w14:textId="57BAC445" w:rsidR="2BCDA821" w:rsidRDefault="2BCDA821" w:rsidP="5A2B38D8">
            <w:pPr>
              <w:jc w:val="center"/>
              <w:rPr>
                <w:rFonts w:eastAsia="Times New Roman" w:cs="Times New Roman"/>
                <w:color w:val="000000" w:themeColor="text1"/>
                <w:sz w:val="22"/>
              </w:rPr>
            </w:pPr>
            <w:r w:rsidRPr="5A2B38D8">
              <w:rPr>
                <w:rFonts w:eastAsia="Times New Roman" w:cs="Times New Roman"/>
                <w:color w:val="000000" w:themeColor="text1"/>
                <w:sz w:val="22"/>
              </w:rPr>
              <w:t>1.18</w:t>
            </w:r>
          </w:p>
        </w:tc>
        <w:tc>
          <w:tcPr>
            <w:tcW w:w="2845" w:type="dxa"/>
            <w:tcBorders>
              <w:top w:val="nil"/>
              <w:left w:val="nil"/>
              <w:bottom w:val="single" w:sz="4" w:space="0" w:color="auto"/>
              <w:right w:val="single" w:sz="4" w:space="0" w:color="auto"/>
            </w:tcBorders>
            <w:shd w:val="clear" w:color="auto" w:fill="auto"/>
            <w:noWrap/>
            <w:vAlign w:val="center"/>
            <w:hideMark/>
          </w:tcPr>
          <w:p w14:paraId="09361DC6" w14:textId="1C968A28" w:rsidR="2BCDA821" w:rsidRDefault="2BCDA821" w:rsidP="5A2B38D8">
            <w:pPr>
              <w:jc w:val="center"/>
              <w:rPr>
                <w:rFonts w:eastAsia="Times New Roman" w:cs="Times New Roman"/>
                <w:color w:val="000000" w:themeColor="text1"/>
                <w:sz w:val="22"/>
              </w:rPr>
            </w:pPr>
            <w:r w:rsidRPr="5A2B38D8">
              <w:rPr>
                <w:rFonts w:eastAsia="Times New Roman" w:cs="Times New Roman"/>
                <w:color w:val="000000" w:themeColor="text1"/>
                <w:sz w:val="22"/>
              </w:rPr>
              <w:t>0.07</w:t>
            </w:r>
          </w:p>
        </w:tc>
      </w:tr>
      <w:tr w:rsidR="002E2DF6" w:rsidRPr="00044672" w14:paraId="50950F08" w14:textId="77777777" w:rsidTr="3597AE9D">
        <w:trPr>
          <w:trHeight w:val="300"/>
          <w:jc w:val="center"/>
        </w:trPr>
        <w:tc>
          <w:tcPr>
            <w:tcW w:w="984" w:type="pct"/>
            <w:tcBorders>
              <w:top w:val="nil"/>
              <w:left w:val="single" w:sz="4" w:space="0" w:color="auto"/>
              <w:bottom w:val="single" w:sz="4" w:space="0" w:color="auto"/>
              <w:right w:val="single" w:sz="4" w:space="0" w:color="auto"/>
            </w:tcBorders>
            <w:shd w:val="clear" w:color="auto" w:fill="auto"/>
            <w:noWrap/>
            <w:vAlign w:val="center"/>
            <w:hideMark/>
          </w:tcPr>
          <w:p w14:paraId="587057CF" w14:textId="27BECC9B" w:rsidR="002E2DF6" w:rsidRPr="009F31D1" w:rsidRDefault="002E2DF6" w:rsidP="003A5073">
            <w:pPr>
              <w:jc w:val="center"/>
              <w:rPr>
                <w:rFonts w:eastAsia="Times New Roman" w:cs="Times New Roman"/>
                <w:color w:val="000000"/>
                <w:sz w:val="22"/>
              </w:rPr>
            </w:pPr>
            <w:r w:rsidRPr="009F31D1">
              <w:rPr>
                <w:rFonts w:eastAsia="Times New Roman" w:cs="Times New Roman"/>
                <w:color w:val="000000"/>
                <w:sz w:val="22"/>
              </w:rPr>
              <w:t>LSJR</w:t>
            </w:r>
          </w:p>
        </w:tc>
        <w:tc>
          <w:tcPr>
            <w:tcW w:w="2008" w:type="pct"/>
            <w:tcBorders>
              <w:top w:val="nil"/>
              <w:left w:val="nil"/>
              <w:bottom w:val="single" w:sz="4" w:space="0" w:color="auto"/>
              <w:right w:val="single" w:sz="4" w:space="0" w:color="auto"/>
            </w:tcBorders>
            <w:shd w:val="clear" w:color="auto" w:fill="auto"/>
            <w:noWrap/>
            <w:vAlign w:val="center"/>
            <w:hideMark/>
          </w:tcPr>
          <w:p w14:paraId="68E58068" w14:textId="45910F6A" w:rsidR="002E2DF6" w:rsidRPr="009F31D1" w:rsidRDefault="246FCF8E" w:rsidP="3597AE9D">
            <w:pPr>
              <w:jc w:val="center"/>
              <w:rPr>
                <w:rFonts w:eastAsia="Times New Roman" w:cs="Times New Roman"/>
                <w:color w:val="000000"/>
                <w:sz w:val="22"/>
              </w:rPr>
            </w:pPr>
            <w:r w:rsidRPr="3597AE9D">
              <w:rPr>
                <w:rFonts w:eastAsia="Times New Roman" w:cs="Times New Roman"/>
                <w:color w:val="000000" w:themeColor="text1"/>
                <w:sz w:val="22"/>
              </w:rPr>
              <w:t>1.16</w:t>
            </w:r>
          </w:p>
        </w:tc>
        <w:tc>
          <w:tcPr>
            <w:tcW w:w="2008" w:type="pct"/>
            <w:tcBorders>
              <w:top w:val="nil"/>
              <w:left w:val="nil"/>
              <w:bottom w:val="single" w:sz="4" w:space="0" w:color="auto"/>
              <w:right w:val="single" w:sz="4" w:space="0" w:color="auto"/>
            </w:tcBorders>
            <w:shd w:val="clear" w:color="auto" w:fill="auto"/>
            <w:noWrap/>
            <w:vAlign w:val="center"/>
            <w:hideMark/>
          </w:tcPr>
          <w:p w14:paraId="477BF850" w14:textId="138AD7BD" w:rsidR="002E2DF6" w:rsidRPr="009F31D1" w:rsidRDefault="246FCF8E" w:rsidP="3597AE9D">
            <w:pPr>
              <w:jc w:val="center"/>
              <w:rPr>
                <w:rFonts w:eastAsia="Times New Roman" w:cs="Times New Roman"/>
                <w:color w:val="000000"/>
                <w:sz w:val="22"/>
              </w:rPr>
            </w:pPr>
            <w:r w:rsidRPr="3597AE9D">
              <w:rPr>
                <w:rFonts w:eastAsia="Times New Roman" w:cs="Times New Roman"/>
                <w:color w:val="000000" w:themeColor="text1"/>
                <w:sz w:val="22"/>
              </w:rPr>
              <w:t>0.05</w:t>
            </w:r>
          </w:p>
        </w:tc>
      </w:tr>
      <w:tr w:rsidR="002E2DF6" w:rsidRPr="00044672" w14:paraId="4801270F" w14:textId="77777777" w:rsidTr="3597AE9D">
        <w:trPr>
          <w:trHeight w:val="300"/>
          <w:jc w:val="center"/>
        </w:trPr>
        <w:tc>
          <w:tcPr>
            <w:tcW w:w="984" w:type="pct"/>
            <w:tcBorders>
              <w:top w:val="nil"/>
              <w:left w:val="single" w:sz="4" w:space="0" w:color="auto"/>
              <w:bottom w:val="single" w:sz="4" w:space="0" w:color="auto"/>
              <w:right w:val="single" w:sz="4" w:space="0" w:color="auto"/>
            </w:tcBorders>
            <w:shd w:val="clear" w:color="auto" w:fill="auto"/>
            <w:noWrap/>
            <w:vAlign w:val="center"/>
            <w:hideMark/>
          </w:tcPr>
          <w:p w14:paraId="016E794E" w14:textId="13402524" w:rsidR="002E2DF6" w:rsidRPr="009F31D1" w:rsidRDefault="002E2DF6" w:rsidP="003A5073">
            <w:pPr>
              <w:jc w:val="center"/>
              <w:rPr>
                <w:rFonts w:eastAsia="Times New Roman" w:cs="Times New Roman"/>
                <w:color w:val="000000"/>
                <w:sz w:val="22"/>
              </w:rPr>
            </w:pPr>
            <w:r w:rsidRPr="009F31D1">
              <w:rPr>
                <w:rFonts w:eastAsia="Times New Roman" w:cs="Times New Roman"/>
                <w:color w:val="000000"/>
                <w:sz w:val="22"/>
              </w:rPr>
              <w:t>ORCR</w:t>
            </w:r>
          </w:p>
        </w:tc>
        <w:tc>
          <w:tcPr>
            <w:tcW w:w="2008" w:type="pct"/>
            <w:tcBorders>
              <w:top w:val="nil"/>
              <w:left w:val="nil"/>
              <w:bottom w:val="single" w:sz="4" w:space="0" w:color="auto"/>
              <w:right w:val="single" w:sz="4" w:space="0" w:color="auto"/>
            </w:tcBorders>
            <w:shd w:val="clear" w:color="auto" w:fill="auto"/>
            <w:noWrap/>
            <w:vAlign w:val="center"/>
            <w:hideMark/>
          </w:tcPr>
          <w:p w14:paraId="06305F2F" w14:textId="11716E91" w:rsidR="002E2DF6" w:rsidRPr="009F31D1" w:rsidRDefault="5D379F86" w:rsidP="1B7835F6">
            <w:pPr>
              <w:jc w:val="center"/>
              <w:rPr>
                <w:rFonts w:eastAsia="Times New Roman" w:cs="Times New Roman"/>
                <w:color w:val="000000"/>
                <w:sz w:val="22"/>
              </w:rPr>
            </w:pPr>
            <w:r w:rsidRPr="3597AE9D">
              <w:rPr>
                <w:rFonts w:eastAsia="Times New Roman" w:cs="Times New Roman"/>
                <w:color w:val="000000" w:themeColor="text1"/>
                <w:sz w:val="22"/>
              </w:rPr>
              <w:t>0.97</w:t>
            </w:r>
          </w:p>
        </w:tc>
        <w:tc>
          <w:tcPr>
            <w:tcW w:w="2008" w:type="pct"/>
            <w:tcBorders>
              <w:top w:val="nil"/>
              <w:left w:val="nil"/>
              <w:bottom w:val="single" w:sz="4" w:space="0" w:color="auto"/>
              <w:right w:val="single" w:sz="4" w:space="0" w:color="auto"/>
            </w:tcBorders>
            <w:shd w:val="clear" w:color="auto" w:fill="auto"/>
            <w:noWrap/>
            <w:vAlign w:val="center"/>
            <w:hideMark/>
          </w:tcPr>
          <w:p w14:paraId="08C04A3F" w14:textId="4BBE7667" w:rsidR="002E2DF6" w:rsidRPr="009F31D1" w:rsidRDefault="5D379F86" w:rsidP="1B7835F6">
            <w:pPr>
              <w:jc w:val="center"/>
              <w:rPr>
                <w:rFonts w:eastAsia="Times New Roman" w:cs="Times New Roman"/>
                <w:color w:val="000000"/>
                <w:sz w:val="22"/>
              </w:rPr>
            </w:pPr>
            <w:r w:rsidRPr="3597AE9D">
              <w:rPr>
                <w:rFonts w:eastAsia="Times New Roman" w:cs="Times New Roman"/>
                <w:color w:val="000000" w:themeColor="text1"/>
                <w:sz w:val="22"/>
              </w:rPr>
              <w:t>0.031</w:t>
            </w:r>
          </w:p>
        </w:tc>
      </w:tr>
      <w:tr w:rsidR="002E2DF6" w:rsidRPr="00044672" w14:paraId="19E77106" w14:textId="77777777" w:rsidTr="3597AE9D">
        <w:trPr>
          <w:trHeight w:val="300"/>
          <w:jc w:val="center"/>
        </w:trPr>
        <w:tc>
          <w:tcPr>
            <w:tcW w:w="984" w:type="pct"/>
            <w:tcBorders>
              <w:top w:val="nil"/>
              <w:left w:val="single" w:sz="4" w:space="0" w:color="auto"/>
              <w:bottom w:val="single" w:sz="4" w:space="0" w:color="auto"/>
              <w:right w:val="single" w:sz="4" w:space="0" w:color="auto"/>
            </w:tcBorders>
            <w:shd w:val="clear" w:color="auto" w:fill="auto"/>
            <w:noWrap/>
            <w:vAlign w:val="center"/>
            <w:hideMark/>
          </w:tcPr>
          <w:p w14:paraId="12F8C8AF" w14:textId="1E60141D" w:rsidR="002E2DF6" w:rsidRPr="009F31D1" w:rsidRDefault="002E2DF6" w:rsidP="003A5073">
            <w:pPr>
              <w:jc w:val="center"/>
              <w:rPr>
                <w:rFonts w:eastAsia="Times New Roman" w:cs="Times New Roman"/>
                <w:color w:val="000000"/>
                <w:sz w:val="22"/>
              </w:rPr>
            </w:pPr>
            <w:r w:rsidRPr="009F31D1">
              <w:rPr>
                <w:rFonts w:eastAsia="Times New Roman" w:cs="Times New Roman"/>
                <w:color w:val="000000"/>
                <w:sz w:val="22"/>
              </w:rPr>
              <w:t>OKLA</w:t>
            </w:r>
          </w:p>
        </w:tc>
        <w:tc>
          <w:tcPr>
            <w:tcW w:w="2008" w:type="pct"/>
            <w:tcBorders>
              <w:top w:val="nil"/>
              <w:left w:val="nil"/>
              <w:bottom w:val="single" w:sz="4" w:space="0" w:color="auto"/>
              <w:right w:val="single" w:sz="4" w:space="0" w:color="auto"/>
            </w:tcBorders>
            <w:shd w:val="clear" w:color="auto" w:fill="auto"/>
            <w:noWrap/>
            <w:vAlign w:val="center"/>
            <w:hideMark/>
          </w:tcPr>
          <w:p w14:paraId="6D378ADB" w14:textId="57E39B39" w:rsidR="002E2DF6" w:rsidRPr="009F31D1" w:rsidRDefault="2B6240B8" w:rsidP="1B7835F6">
            <w:pPr>
              <w:jc w:val="center"/>
              <w:rPr>
                <w:rFonts w:eastAsia="Times New Roman" w:cs="Times New Roman"/>
                <w:color w:val="000000"/>
                <w:sz w:val="22"/>
              </w:rPr>
            </w:pPr>
            <w:r w:rsidRPr="3597AE9D">
              <w:rPr>
                <w:rFonts w:eastAsia="Times New Roman" w:cs="Times New Roman"/>
                <w:color w:val="000000" w:themeColor="text1"/>
                <w:sz w:val="22"/>
              </w:rPr>
              <w:t>0.78</w:t>
            </w:r>
          </w:p>
        </w:tc>
        <w:tc>
          <w:tcPr>
            <w:tcW w:w="2008" w:type="pct"/>
            <w:tcBorders>
              <w:top w:val="nil"/>
              <w:left w:val="nil"/>
              <w:bottom w:val="single" w:sz="4" w:space="0" w:color="auto"/>
              <w:right w:val="single" w:sz="4" w:space="0" w:color="auto"/>
            </w:tcBorders>
            <w:shd w:val="clear" w:color="auto" w:fill="auto"/>
            <w:noWrap/>
            <w:vAlign w:val="center"/>
            <w:hideMark/>
          </w:tcPr>
          <w:p w14:paraId="06D6F6FD" w14:textId="55EC90B5" w:rsidR="002E2DF6" w:rsidRPr="009F31D1" w:rsidRDefault="2B6240B8" w:rsidP="1B7835F6">
            <w:pPr>
              <w:jc w:val="center"/>
              <w:rPr>
                <w:rFonts w:eastAsia="Times New Roman" w:cs="Times New Roman"/>
                <w:color w:val="000000"/>
                <w:sz w:val="22"/>
              </w:rPr>
            </w:pPr>
            <w:r w:rsidRPr="3597AE9D">
              <w:rPr>
                <w:rFonts w:eastAsia="Times New Roman" w:cs="Times New Roman"/>
                <w:color w:val="000000" w:themeColor="text1"/>
                <w:sz w:val="22"/>
              </w:rPr>
              <w:t>0.02</w:t>
            </w:r>
          </w:p>
        </w:tc>
      </w:tr>
    </w:tbl>
    <w:p w14:paraId="6D0DAC79" w14:textId="409E95B1" w:rsidR="00B11FDF" w:rsidRDefault="00B11FDF"/>
    <w:p w14:paraId="0C73CE1D" w14:textId="77777777" w:rsidR="00AD368B" w:rsidRDefault="00F2453A" w:rsidP="00E07029">
      <w:pPr>
        <w:pStyle w:val="ListParagraph"/>
        <w:numPr>
          <w:ilvl w:val="0"/>
          <w:numId w:val="1"/>
        </w:numPr>
      </w:pPr>
      <w:r>
        <w:t xml:space="preserve">Duration: </w:t>
      </w:r>
      <w:r w:rsidR="00B11FDF">
        <w:t xml:space="preserve">Extract a </w:t>
      </w:r>
      <w:r w:rsidR="00ED7F8C">
        <w:t>5</w:t>
      </w:r>
      <w:r w:rsidR="00B11FDF">
        <w:t>-year period of record from your BMAPs</w:t>
      </w:r>
    </w:p>
    <w:p w14:paraId="3664CF99" w14:textId="354AF8EA" w:rsidR="00E07029" w:rsidRDefault="00E07029" w:rsidP="00AD368B">
      <w:pPr>
        <w:pStyle w:val="ListParagraph"/>
        <w:numPr>
          <w:ilvl w:val="1"/>
          <w:numId w:val="1"/>
        </w:numPr>
      </w:pPr>
      <w:r w:rsidRPr="00EF7384">
        <w:rPr>
          <w:b/>
          <w:bCs/>
        </w:rPr>
        <w:t>Max 5 Years, at least 2 years</w:t>
      </w:r>
      <w:r w:rsidR="004A0F6C" w:rsidRPr="00EF7384">
        <w:rPr>
          <w:b/>
          <w:bCs/>
        </w:rPr>
        <w:t xml:space="preserve"> of data</w:t>
      </w:r>
      <w:r w:rsidR="004A0F6C">
        <w:t>.</w:t>
      </w:r>
    </w:p>
    <w:p w14:paraId="3C281A4D" w14:textId="5E48890A" w:rsidR="00A66B2B" w:rsidRPr="00A66B2B" w:rsidRDefault="00A66B2B" w:rsidP="00AD368B">
      <w:pPr>
        <w:pStyle w:val="ListParagraph"/>
        <w:numPr>
          <w:ilvl w:val="1"/>
          <w:numId w:val="1"/>
        </w:numPr>
      </w:pPr>
      <w:r w:rsidRPr="009F31D1">
        <w:t>Data should be from the most recent available years.</w:t>
      </w:r>
    </w:p>
    <w:p w14:paraId="0781C1B9" w14:textId="164F177F" w:rsidR="00F2453A" w:rsidRDefault="00F2453A" w:rsidP="00B11FDF">
      <w:pPr>
        <w:pStyle w:val="ListParagraph"/>
        <w:numPr>
          <w:ilvl w:val="0"/>
          <w:numId w:val="1"/>
        </w:numPr>
      </w:pPr>
      <w:r>
        <w:t>Filter:</w:t>
      </w:r>
    </w:p>
    <w:p w14:paraId="5190A110" w14:textId="33E33866" w:rsidR="00B11FDF" w:rsidRDefault="00B11FDF" w:rsidP="00F2453A">
      <w:pPr>
        <w:pStyle w:val="ListParagraph"/>
        <w:numPr>
          <w:ilvl w:val="1"/>
          <w:numId w:val="1"/>
        </w:numPr>
      </w:pPr>
      <w:r>
        <w:t xml:space="preserve">Check your datasets </w:t>
      </w:r>
      <w:r w:rsidR="009C0F30">
        <w:t>to ensure</w:t>
      </w:r>
      <w:r>
        <w:t xml:space="preserve"> stations</w:t>
      </w:r>
      <w:r w:rsidR="1D20BC9A">
        <w:t xml:space="preserve"> </w:t>
      </w:r>
      <w:r w:rsidR="009C0F30">
        <w:t>have</w:t>
      </w:r>
      <w:r>
        <w:t xml:space="preserve"> at least </w:t>
      </w:r>
      <w:r w:rsidR="00DD7A6E" w:rsidRPr="21A84662">
        <w:rPr>
          <w:b/>
          <w:bCs/>
        </w:rPr>
        <w:t>4</w:t>
      </w:r>
      <w:r w:rsidRPr="21A84662">
        <w:rPr>
          <w:b/>
          <w:bCs/>
        </w:rPr>
        <w:t xml:space="preserve"> samples per year</w:t>
      </w:r>
      <w:r>
        <w:t>, preferably taken in the wet and dry season of the region.</w:t>
      </w:r>
    </w:p>
    <w:p w14:paraId="6496FC54" w14:textId="501D6D3F" w:rsidR="00B11FDF" w:rsidRDefault="00B11FDF" w:rsidP="00F2453A">
      <w:pPr>
        <w:pStyle w:val="ListParagraph"/>
        <w:numPr>
          <w:ilvl w:val="1"/>
          <w:numId w:val="1"/>
        </w:numPr>
      </w:pPr>
      <w:r>
        <w:t>Check your stations for outliers</w:t>
      </w:r>
      <w:r w:rsidR="00AB38FA">
        <w:t xml:space="preserve"> by</w:t>
      </w:r>
      <w:r w:rsidR="00ED7F8C">
        <w:t xml:space="preserve"> look</w:t>
      </w:r>
      <w:r w:rsidR="00AB38FA">
        <w:t>ing</w:t>
      </w:r>
      <w:r w:rsidR="00ED7F8C">
        <w:t xml:space="preserve"> at the data by station</w:t>
      </w:r>
      <w:r>
        <w:t>.</w:t>
      </w:r>
    </w:p>
    <w:p w14:paraId="733F79C6" w14:textId="6B0B8BAC" w:rsidR="00AD368B" w:rsidRDefault="00AD368B" w:rsidP="00AD368B">
      <w:pPr>
        <w:pStyle w:val="ListParagraph"/>
        <w:numPr>
          <w:ilvl w:val="2"/>
          <w:numId w:val="1"/>
        </w:numPr>
      </w:pPr>
      <w:r>
        <w:t xml:space="preserve">It is better to look at the </w:t>
      </w:r>
      <w:proofErr w:type="gramStart"/>
      <w:r>
        <w:t>data by</w:t>
      </w:r>
      <w:proofErr w:type="gramEnd"/>
      <w:r w:rsidR="004A0F6C">
        <w:t>-</w:t>
      </w:r>
      <w:r>
        <w:t xml:space="preserve">eye and determine what values are truly outside of typical ranges for the </w:t>
      </w:r>
      <w:r w:rsidR="004724B6">
        <w:t>s</w:t>
      </w:r>
      <w:r w:rsidR="69B5413A">
        <w:t>tation</w:t>
      </w:r>
      <w:r>
        <w:t>.</w:t>
      </w:r>
    </w:p>
    <w:p w14:paraId="5D9E4564" w14:textId="0A1A1025" w:rsidR="00DD7A6E" w:rsidRDefault="00DD7A6E" w:rsidP="00AD368B">
      <w:pPr>
        <w:pStyle w:val="ListParagraph"/>
        <w:numPr>
          <w:ilvl w:val="2"/>
          <w:numId w:val="1"/>
        </w:numPr>
      </w:pPr>
      <w:r>
        <w:t>Suggest starting with values that are more than 3x the interquartile range</w:t>
      </w:r>
      <w:r w:rsidR="005077FD">
        <w:t>.</w:t>
      </w:r>
    </w:p>
    <w:p w14:paraId="3B3BB293" w14:textId="0D4B1296" w:rsidR="00DD7A6E" w:rsidRDefault="00DD7A6E" w:rsidP="00C84E72">
      <w:pPr>
        <w:pStyle w:val="ListParagraph"/>
        <w:numPr>
          <w:ilvl w:val="3"/>
          <w:numId w:val="1"/>
        </w:numPr>
      </w:pPr>
      <w:r>
        <w:t xml:space="preserve">If looking at </w:t>
      </w:r>
      <w:proofErr w:type="gramStart"/>
      <w:r w:rsidR="004724B6">
        <w:t>s</w:t>
      </w:r>
      <w:r w:rsidR="5801B9E8">
        <w:t>tation</w:t>
      </w:r>
      <w:proofErr w:type="gramEnd"/>
      <w:r>
        <w:t xml:space="preserve"> with low data, be careful of percentile calculations.</w:t>
      </w:r>
    </w:p>
    <w:p w14:paraId="107D4B0E" w14:textId="64DE2E70" w:rsidR="006E549F" w:rsidRDefault="006E549F" w:rsidP="006E549F">
      <w:pPr>
        <w:pStyle w:val="ListParagraph"/>
        <w:numPr>
          <w:ilvl w:val="2"/>
          <w:numId w:val="1"/>
        </w:numPr>
      </w:pPr>
      <w:r>
        <w:t>Strongly suggest consulting with other coordinators on outlier choice if determination is not easily made</w:t>
      </w:r>
      <w:r w:rsidR="008D5078">
        <w:t>.</w:t>
      </w:r>
    </w:p>
    <w:p w14:paraId="1704DDC0" w14:textId="7DF215AD" w:rsidR="008D5078" w:rsidRDefault="008D5078" w:rsidP="006E549F">
      <w:pPr>
        <w:pStyle w:val="ListParagraph"/>
        <w:numPr>
          <w:ilvl w:val="2"/>
          <w:numId w:val="1"/>
        </w:numPr>
      </w:pPr>
      <w:r>
        <w:t>Any outliers are then removed from the dataset before conducting the subsequent evaluation steps.</w:t>
      </w:r>
    </w:p>
    <w:p w14:paraId="4E2D59C1" w14:textId="77777777" w:rsidR="00F2453A" w:rsidRDefault="00F2453A" w:rsidP="00B11FDF">
      <w:pPr>
        <w:pStyle w:val="ListParagraph"/>
        <w:numPr>
          <w:ilvl w:val="0"/>
          <w:numId w:val="1"/>
        </w:numPr>
      </w:pPr>
      <w:r>
        <w:t>Calculate:</w:t>
      </w:r>
    </w:p>
    <w:p w14:paraId="7FC0227F" w14:textId="4EE650C1" w:rsidR="00BE0026" w:rsidRDefault="00BE0026" w:rsidP="00BE0026">
      <w:pPr>
        <w:pStyle w:val="ListParagraph"/>
        <w:numPr>
          <w:ilvl w:val="1"/>
          <w:numId w:val="1"/>
        </w:numPr>
      </w:pPr>
      <w:r>
        <w:t xml:space="preserve">Calculate average, standard deviation (SD), </w:t>
      </w:r>
      <w:r w:rsidR="00643318">
        <w:t xml:space="preserve">and </w:t>
      </w:r>
      <w:r>
        <w:t>90</w:t>
      </w:r>
      <w:r w:rsidR="006701D2">
        <w:t>th</w:t>
      </w:r>
      <w:r>
        <w:t xml:space="preserve"> percentile</w:t>
      </w:r>
      <w:r w:rsidR="00643318">
        <w:t xml:space="preserve"> </w:t>
      </w:r>
      <w:r>
        <w:t xml:space="preserve">for the </w:t>
      </w:r>
      <w:r w:rsidR="00AD368B" w:rsidRPr="21A84662">
        <w:rPr>
          <w:b/>
          <w:bCs/>
        </w:rPr>
        <w:t xml:space="preserve">whole </w:t>
      </w:r>
      <w:r w:rsidRPr="21A84662">
        <w:rPr>
          <w:b/>
          <w:bCs/>
        </w:rPr>
        <w:t>BMAP</w:t>
      </w:r>
      <w:r>
        <w:t xml:space="preserve"> with remaining data</w:t>
      </w:r>
      <w:r w:rsidR="00FE24E1">
        <w:t xml:space="preserve"> (outliers removed)</w:t>
      </w:r>
      <w:r>
        <w:t>.</w:t>
      </w:r>
      <w:r w:rsidR="00DD7A6E">
        <w:t xml:space="preserve"> These are important for ranking </w:t>
      </w:r>
      <w:r w:rsidR="004724B6">
        <w:t>s</w:t>
      </w:r>
      <w:r w:rsidR="5B857777">
        <w:t>tation</w:t>
      </w:r>
      <w:r w:rsidR="00DD7A6E">
        <w:t xml:space="preserve"> averages against.</w:t>
      </w:r>
    </w:p>
    <w:p w14:paraId="2C8901E3" w14:textId="46AAEC07" w:rsidR="005121CC" w:rsidRDefault="005121CC" w:rsidP="009F31D1">
      <w:pPr>
        <w:pStyle w:val="ListParagraph"/>
        <w:numPr>
          <w:ilvl w:val="2"/>
          <w:numId w:val="1"/>
        </w:numPr>
      </w:pPr>
      <w:r>
        <w:t xml:space="preserve">The </w:t>
      </w:r>
      <w:r w:rsidR="007C1915">
        <w:t xml:space="preserve">BMAP-wide average, BMAP-wide SD, and BMAP-wide </w:t>
      </w:r>
      <w:r w:rsidR="00DA1D10">
        <w:t xml:space="preserve">90th percentile </w:t>
      </w:r>
      <w:proofErr w:type="gramStart"/>
      <w:r w:rsidR="00DA1D10">
        <w:t>are</w:t>
      </w:r>
      <w:proofErr w:type="gramEnd"/>
      <w:r w:rsidR="00DA1D10">
        <w:t xml:space="preserve"> defined as the “BMAP threshold” that the </w:t>
      </w:r>
      <w:r w:rsidR="00703E6D">
        <w:t>s</w:t>
      </w:r>
      <w:r w:rsidR="3458CBB8">
        <w:t>tation</w:t>
      </w:r>
      <w:r w:rsidR="00703E6D">
        <w:t xml:space="preserve"> average, SD, and 90th percentile are compared against.</w:t>
      </w:r>
      <w:r w:rsidR="007C1915">
        <w:t xml:space="preserve"> </w:t>
      </w:r>
    </w:p>
    <w:p w14:paraId="08F86916" w14:textId="509C76D0" w:rsidR="00BE0026" w:rsidRDefault="00AD368B" w:rsidP="009F31D1">
      <w:pPr>
        <w:pStyle w:val="ListParagraph"/>
        <w:numPr>
          <w:ilvl w:val="1"/>
          <w:numId w:val="1"/>
        </w:numPr>
      </w:pPr>
      <w:r>
        <w:t>Create a “percent exceedance”</w:t>
      </w:r>
      <w:r w:rsidR="00DD7A6E">
        <w:t xml:space="preserve"> for each </w:t>
      </w:r>
      <w:r w:rsidR="004724B6">
        <w:t>s</w:t>
      </w:r>
      <w:r w:rsidR="3F1B8680">
        <w:t>tation</w:t>
      </w:r>
      <w:r>
        <w:t xml:space="preserve"> using the number of exceedances</w:t>
      </w:r>
      <w:r w:rsidR="00DD7A6E">
        <w:t xml:space="preserve"> (number of samples per </w:t>
      </w:r>
      <w:r w:rsidR="004724B6">
        <w:t>s</w:t>
      </w:r>
      <w:r w:rsidR="2FBD197B">
        <w:t>t</w:t>
      </w:r>
      <w:r w:rsidR="004724B6">
        <w:t>ation</w:t>
      </w:r>
      <w:r w:rsidR="00DD7A6E">
        <w:t xml:space="preserve"> over BMAP threshold)</w:t>
      </w:r>
      <w:r>
        <w:t xml:space="preserve"> divided by the number of samples for the </w:t>
      </w:r>
      <w:r w:rsidR="004724B6">
        <w:t>s</w:t>
      </w:r>
      <w:r w:rsidR="765EE900">
        <w:t>t</w:t>
      </w:r>
      <w:r w:rsidR="004724B6">
        <w:t>ation</w:t>
      </w:r>
      <w:r w:rsidR="00BE0026">
        <w:t>.</w:t>
      </w:r>
    </w:p>
    <w:p w14:paraId="2FF37ED1" w14:textId="262508A2" w:rsidR="00AD368B" w:rsidRDefault="00BE0026" w:rsidP="009F31D1">
      <w:pPr>
        <w:pStyle w:val="ListParagraph"/>
        <w:numPr>
          <w:ilvl w:val="1"/>
          <w:numId w:val="1"/>
        </w:numPr>
      </w:pPr>
      <w:r>
        <w:lastRenderedPageBreak/>
        <w:t xml:space="preserve">Determine meaningful ranking values for </w:t>
      </w:r>
      <w:r w:rsidR="00DD7A6E">
        <w:t xml:space="preserve">percent </w:t>
      </w:r>
      <w:r>
        <w:t xml:space="preserve">exceedances by </w:t>
      </w:r>
      <w:r w:rsidR="00012593">
        <w:t>BMAP.</w:t>
      </w:r>
    </w:p>
    <w:p w14:paraId="3CE429B7" w14:textId="0F2E9CB4" w:rsidR="00BE0026" w:rsidRPr="00640960" w:rsidRDefault="00AD368B" w:rsidP="009F31D1">
      <w:pPr>
        <w:pStyle w:val="ListParagraph"/>
        <w:numPr>
          <w:ilvl w:val="2"/>
          <w:numId w:val="1"/>
        </w:numPr>
      </w:pPr>
      <w:r>
        <w:t xml:space="preserve">Currently using &gt; 50% is a rank of 2 and </w:t>
      </w:r>
      <w:r w:rsidR="00E0472E">
        <w:t>&lt;</w:t>
      </w:r>
      <w:r>
        <w:t xml:space="preserve"> 5% is a rank of 0</w:t>
      </w:r>
      <w:r w:rsidR="00BE0026">
        <w:t>.</w:t>
      </w:r>
      <w:r w:rsidR="006701D2">
        <w:t xml:space="preserve"> </w:t>
      </w:r>
      <w:r w:rsidR="006701D2" w:rsidRPr="00C84E72">
        <w:rPr>
          <w:b/>
          <w:bCs/>
        </w:rPr>
        <w:t>These may need to be modified by BMAP</w:t>
      </w:r>
      <w:r w:rsidRPr="00C84E72">
        <w:rPr>
          <w:b/>
          <w:bCs/>
        </w:rPr>
        <w:t>.</w:t>
      </w:r>
    </w:p>
    <w:p w14:paraId="774FC70D" w14:textId="78AE4782" w:rsidR="00640960" w:rsidRDefault="00640960" w:rsidP="00640960">
      <w:pPr>
        <w:jc w:val="right"/>
      </w:pPr>
      <w:r w:rsidRPr="00640960">
        <w:rPr>
          <w:noProof/>
        </w:rPr>
        <w:drawing>
          <wp:inline distT="0" distB="0" distL="0" distR="0" wp14:anchorId="50FA454E" wp14:editId="6FAD0CBF">
            <wp:extent cx="5813946" cy="1111250"/>
            <wp:effectExtent l="0" t="0" r="0" b="0"/>
            <wp:docPr id="1918263717" name="Picture 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263717" name="Picture 1" descr="A screenshot of a computer&#10;&#10;Description automatically generated with medium confidence"/>
                    <pic:cNvPicPr/>
                  </pic:nvPicPr>
                  <pic:blipFill rotWithShape="1">
                    <a:blip r:embed="rId8"/>
                    <a:srcRect r="2181"/>
                    <a:stretch/>
                  </pic:blipFill>
                  <pic:spPr bwMode="auto">
                    <a:xfrm>
                      <a:off x="0" y="0"/>
                      <a:ext cx="5813946" cy="1111250"/>
                    </a:xfrm>
                    <a:prstGeom prst="rect">
                      <a:avLst/>
                    </a:prstGeom>
                    <a:ln>
                      <a:noFill/>
                    </a:ln>
                    <a:extLst>
                      <a:ext uri="{53640926-AAD7-44D8-BBD7-CCE9431645EC}">
                        <a14:shadowObscured xmlns:a14="http://schemas.microsoft.com/office/drawing/2010/main"/>
                      </a:ext>
                    </a:extLst>
                  </pic:spPr>
                </pic:pic>
              </a:graphicData>
            </a:graphic>
          </wp:inline>
        </w:drawing>
      </w:r>
    </w:p>
    <w:p w14:paraId="18211837" w14:textId="0C3964DC" w:rsidR="00BE0026" w:rsidRDefault="00BE0026" w:rsidP="00BE0026">
      <w:pPr>
        <w:pStyle w:val="ListParagraph"/>
        <w:numPr>
          <w:ilvl w:val="2"/>
          <w:numId w:val="1"/>
        </w:numPr>
      </w:pPr>
      <w:r>
        <w:t xml:space="preserve">Add </w:t>
      </w:r>
      <w:r w:rsidR="00387FDB">
        <w:t>BMAP</w:t>
      </w:r>
      <w:r w:rsidR="00DD7A6E">
        <w:t xml:space="preserve"> </w:t>
      </w:r>
      <w:r>
        <w:t>average to 0.5 SD and 1 SD to calculate SD ranking values.</w:t>
      </w:r>
    </w:p>
    <w:p w14:paraId="48AABB70" w14:textId="62F37508" w:rsidR="00BE0026" w:rsidRPr="008F6C81" w:rsidRDefault="00BE0026" w:rsidP="00BE0026">
      <w:pPr>
        <w:pStyle w:val="ListParagraph"/>
        <w:numPr>
          <w:ilvl w:val="1"/>
          <w:numId w:val="1"/>
        </w:numPr>
      </w:pPr>
      <w:r w:rsidRPr="00EF7384">
        <w:t xml:space="preserve">Determine </w:t>
      </w:r>
      <w:r w:rsidR="005F4A60">
        <w:t xml:space="preserve">BMAP </w:t>
      </w:r>
      <w:r w:rsidRPr="00EF7384">
        <w:t>threshold for values of no concern (TMDL, NNC, etc.)</w:t>
      </w:r>
      <w:r w:rsidR="0008724D">
        <w:t xml:space="preserve"> (see above table)</w:t>
      </w:r>
      <w:r w:rsidRPr="00EF7384">
        <w:t>.</w:t>
      </w:r>
    </w:p>
    <w:p w14:paraId="50DF572B" w14:textId="48BBE25A" w:rsidR="001D0881" w:rsidRDefault="001D6318" w:rsidP="00EF7384">
      <w:pPr>
        <w:pStyle w:val="ListParagraph"/>
        <w:numPr>
          <w:ilvl w:val="2"/>
          <w:numId w:val="1"/>
        </w:numPr>
      </w:pPr>
      <w:r w:rsidRPr="00EF7384">
        <w:t>If a BMAP has multiple TMDLs</w:t>
      </w:r>
      <w:r w:rsidR="001D0881">
        <w:t xml:space="preserve"> two options are:</w:t>
      </w:r>
    </w:p>
    <w:p w14:paraId="2AE15472" w14:textId="3C572493" w:rsidR="001D0881" w:rsidRDefault="001D0881" w:rsidP="001D0881">
      <w:pPr>
        <w:pStyle w:val="ListParagraph"/>
        <w:numPr>
          <w:ilvl w:val="3"/>
          <w:numId w:val="1"/>
        </w:numPr>
      </w:pPr>
      <w:r>
        <w:t>Use the most stringent TMDL as threshold for values of no concern for BMAP as a whole.</w:t>
      </w:r>
    </w:p>
    <w:p w14:paraId="5CC84C91" w14:textId="6FFCB4D6" w:rsidR="001D6318" w:rsidRPr="00EF7384" w:rsidRDefault="001D0881" w:rsidP="001D0881">
      <w:pPr>
        <w:pStyle w:val="ListParagraph"/>
        <w:numPr>
          <w:ilvl w:val="3"/>
          <w:numId w:val="1"/>
        </w:numPr>
      </w:pPr>
      <w:r>
        <w:t>Split areas by TMDL and run comparisons multiple times</w:t>
      </w:r>
      <w:r w:rsidR="00EF7384">
        <w:t>.</w:t>
      </w:r>
    </w:p>
    <w:p w14:paraId="58E5A023" w14:textId="7F86314E" w:rsidR="00BE0026" w:rsidRPr="00EF7384" w:rsidRDefault="00BE0026" w:rsidP="00BE0026">
      <w:pPr>
        <w:pStyle w:val="ListParagraph"/>
        <w:numPr>
          <w:ilvl w:val="1"/>
          <w:numId w:val="1"/>
        </w:numPr>
      </w:pPr>
      <w:r>
        <w:t xml:space="preserve">Rank the </w:t>
      </w:r>
      <w:r w:rsidR="001D0881">
        <w:t>s</w:t>
      </w:r>
      <w:r w:rsidR="0D304F68">
        <w:t>tation</w:t>
      </w:r>
      <w:r>
        <w:t xml:space="preserve"> against the above values and threshold.</w:t>
      </w:r>
    </w:p>
    <w:p w14:paraId="3D3DE993" w14:textId="7AC3A53A" w:rsidR="00EF7384" w:rsidRDefault="00EF7384" w:rsidP="00BE0026">
      <w:pPr>
        <w:pStyle w:val="ListParagraph"/>
        <w:numPr>
          <w:ilvl w:val="2"/>
          <w:numId w:val="1"/>
        </w:numPr>
      </w:pPr>
      <w:r w:rsidRPr="00EF7384">
        <w:t>Average Rank:</w:t>
      </w:r>
    </w:p>
    <w:p w14:paraId="7C1A6600" w14:textId="0A938A9A" w:rsidR="00EF7384" w:rsidRPr="00EF7384" w:rsidRDefault="00EF7384" w:rsidP="21A84662">
      <w:pPr>
        <w:pStyle w:val="ListParagraph"/>
        <w:numPr>
          <w:ilvl w:val="3"/>
          <w:numId w:val="1"/>
        </w:numPr>
        <w:rPr>
          <w:rFonts w:eastAsia="Calibri"/>
          <w:szCs w:val="24"/>
        </w:rPr>
      </w:pPr>
      <w:r>
        <w:t xml:space="preserve">Rank 0: </w:t>
      </w:r>
      <w:r w:rsidR="441C4194">
        <w:t>station</w:t>
      </w:r>
      <w:r>
        <w:t xml:space="preserve"> average below BMAP threshold.</w:t>
      </w:r>
    </w:p>
    <w:p w14:paraId="628B4D05" w14:textId="13F85567" w:rsidR="00EF7384" w:rsidRPr="00EF7384" w:rsidRDefault="00EF7384" w:rsidP="21A84662">
      <w:pPr>
        <w:pStyle w:val="ListParagraph"/>
        <w:numPr>
          <w:ilvl w:val="3"/>
          <w:numId w:val="1"/>
        </w:numPr>
        <w:rPr>
          <w:rFonts w:eastAsia="Calibri"/>
          <w:szCs w:val="24"/>
        </w:rPr>
      </w:pPr>
      <w:r>
        <w:t xml:space="preserve">Rank 1: </w:t>
      </w:r>
      <w:r w:rsidR="2AB7CD95">
        <w:t xml:space="preserve">station </w:t>
      </w:r>
      <w:r>
        <w:t>average above threshold but below BMAP average.</w:t>
      </w:r>
    </w:p>
    <w:p w14:paraId="5650FD83" w14:textId="7F465FCF" w:rsidR="00EF7384" w:rsidRDefault="00EF7384" w:rsidP="21A84662">
      <w:pPr>
        <w:pStyle w:val="ListParagraph"/>
        <w:numPr>
          <w:ilvl w:val="3"/>
          <w:numId w:val="1"/>
        </w:numPr>
        <w:rPr>
          <w:rFonts w:eastAsia="Calibri"/>
          <w:szCs w:val="24"/>
        </w:rPr>
      </w:pPr>
      <w:r>
        <w:t xml:space="preserve">Rank 2: </w:t>
      </w:r>
      <w:r w:rsidR="1DC90B20">
        <w:t xml:space="preserve">station </w:t>
      </w:r>
      <w:r>
        <w:t>average 2x above average (depending on BMAP).</w:t>
      </w:r>
    </w:p>
    <w:p w14:paraId="278C2B38" w14:textId="6A7A8BBC" w:rsidR="00EF7384" w:rsidRDefault="00EF7384" w:rsidP="00EF7384">
      <w:pPr>
        <w:pStyle w:val="ListParagraph"/>
        <w:numPr>
          <w:ilvl w:val="2"/>
          <w:numId w:val="1"/>
        </w:numPr>
      </w:pPr>
      <w:r w:rsidRPr="00EF7384">
        <w:t>Percentiles Rank:</w:t>
      </w:r>
    </w:p>
    <w:p w14:paraId="63B0F8D3" w14:textId="238D943A" w:rsidR="00EF7384" w:rsidRDefault="00EF7384" w:rsidP="21A84662">
      <w:pPr>
        <w:pStyle w:val="ListParagraph"/>
        <w:numPr>
          <w:ilvl w:val="3"/>
          <w:numId w:val="1"/>
        </w:numPr>
        <w:rPr>
          <w:rFonts w:eastAsia="Calibri"/>
          <w:szCs w:val="24"/>
        </w:rPr>
      </w:pPr>
      <w:r>
        <w:t xml:space="preserve">Rank 0: </w:t>
      </w:r>
      <w:r w:rsidR="79E0D082">
        <w:t xml:space="preserve">station </w:t>
      </w:r>
      <w:r>
        <w:t>average below BMAP threshold.</w:t>
      </w:r>
    </w:p>
    <w:p w14:paraId="77C26B02" w14:textId="6FCEA9A3" w:rsidR="00EF7384" w:rsidRPr="00EF7384" w:rsidRDefault="00EF7384" w:rsidP="21A84662">
      <w:pPr>
        <w:pStyle w:val="ListParagraph"/>
        <w:numPr>
          <w:ilvl w:val="3"/>
          <w:numId w:val="1"/>
        </w:numPr>
        <w:rPr>
          <w:rFonts w:eastAsia="Calibri"/>
          <w:szCs w:val="24"/>
        </w:rPr>
      </w:pPr>
      <w:r>
        <w:t xml:space="preserve">Rank 1: </w:t>
      </w:r>
      <w:r w:rsidR="4EE0199D">
        <w:t xml:space="preserve">station </w:t>
      </w:r>
      <w:r>
        <w:t>average above threshold but below 90th percentile.</w:t>
      </w:r>
    </w:p>
    <w:p w14:paraId="5AE7555B" w14:textId="64EC71F4" w:rsidR="00EF7384" w:rsidRDefault="00EF7384" w:rsidP="2D55DFE8">
      <w:pPr>
        <w:pStyle w:val="ListParagraph"/>
        <w:numPr>
          <w:ilvl w:val="3"/>
          <w:numId w:val="1"/>
        </w:numPr>
        <w:rPr>
          <w:rFonts w:eastAsia="Calibri"/>
          <w:szCs w:val="24"/>
        </w:rPr>
      </w:pPr>
      <w:r>
        <w:t xml:space="preserve">Rank 2: </w:t>
      </w:r>
      <w:r w:rsidR="368E2803">
        <w:t>station</w:t>
      </w:r>
      <w:r>
        <w:t xml:space="preserve"> average above 90th percentile.</w:t>
      </w:r>
    </w:p>
    <w:p w14:paraId="301F2705" w14:textId="527A9A0D" w:rsidR="00EF7384" w:rsidRDefault="00EF7384" w:rsidP="00EF7384">
      <w:pPr>
        <w:pStyle w:val="ListParagraph"/>
        <w:numPr>
          <w:ilvl w:val="2"/>
          <w:numId w:val="1"/>
        </w:numPr>
      </w:pPr>
      <w:r w:rsidRPr="00EF7384">
        <w:t>Sta</w:t>
      </w:r>
      <w:r>
        <w:t>n</w:t>
      </w:r>
      <w:r w:rsidRPr="00EF7384">
        <w:t>dard Deviation Rank:</w:t>
      </w:r>
    </w:p>
    <w:p w14:paraId="365034F0" w14:textId="3F762ADF" w:rsidR="00EF7384" w:rsidRPr="00EF7384" w:rsidRDefault="00EF7384" w:rsidP="2D55DFE8">
      <w:pPr>
        <w:pStyle w:val="ListParagraph"/>
        <w:numPr>
          <w:ilvl w:val="3"/>
          <w:numId w:val="1"/>
        </w:numPr>
        <w:rPr>
          <w:rFonts w:eastAsia="Calibri"/>
          <w:szCs w:val="24"/>
        </w:rPr>
      </w:pPr>
      <w:r>
        <w:t xml:space="preserve">Rank 0: </w:t>
      </w:r>
      <w:r w:rsidR="6B79DC19">
        <w:t>station</w:t>
      </w:r>
      <w:r>
        <w:t xml:space="preserve"> average below BMAP average + 0.5 SD.</w:t>
      </w:r>
    </w:p>
    <w:p w14:paraId="6149896E" w14:textId="0BC300A5" w:rsidR="00EF7384" w:rsidRPr="00EF7384" w:rsidRDefault="00EF7384" w:rsidP="2D55DFE8">
      <w:pPr>
        <w:pStyle w:val="ListParagraph"/>
        <w:numPr>
          <w:ilvl w:val="3"/>
          <w:numId w:val="1"/>
        </w:numPr>
        <w:rPr>
          <w:rFonts w:eastAsia="Calibri"/>
          <w:szCs w:val="24"/>
        </w:rPr>
      </w:pPr>
      <w:r>
        <w:t xml:space="preserve">Rank 1: </w:t>
      </w:r>
      <w:r w:rsidR="44C101E9">
        <w:t>station</w:t>
      </w:r>
      <w:r>
        <w:t xml:space="preserve"> average at or above average + 0.5 SD but less than BMAP average + 1 SD.</w:t>
      </w:r>
    </w:p>
    <w:p w14:paraId="588F2EA9" w14:textId="7C85F2AE" w:rsidR="00EF7384" w:rsidRDefault="00EF7384" w:rsidP="2D55DFE8">
      <w:pPr>
        <w:pStyle w:val="ListParagraph"/>
        <w:numPr>
          <w:ilvl w:val="3"/>
          <w:numId w:val="1"/>
        </w:numPr>
        <w:rPr>
          <w:rFonts w:eastAsia="Calibri"/>
          <w:szCs w:val="24"/>
        </w:rPr>
      </w:pPr>
      <w:r>
        <w:t xml:space="preserve">Rank 2: </w:t>
      </w:r>
      <w:r w:rsidR="4ACBA7D9">
        <w:t>station</w:t>
      </w:r>
      <w:r>
        <w:t xml:space="preserve"> average at or above BMAP average + 1SD.</w:t>
      </w:r>
    </w:p>
    <w:p w14:paraId="7C3D407E" w14:textId="4848DDDB" w:rsidR="00BE0026" w:rsidRPr="00EF7384" w:rsidRDefault="00EF7384" w:rsidP="00EF7384">
      <w:pPr>
        <w:pStyle w:val="ListParagraph"/>
        <w:numPr>
          <w:ilvl w:val="2"/>
          <w:numId w:val="1"/>
        </w:numPr>
      </w:pPr>
      <w:r w:rsidRPr="00EF7384">
        <w:t>Frequency Rank:</w:t>
      </w:r>
    </w:p>
    <w:p w14:paraId="44114EC8" w14:textId="13955154" w:rsidR="00012593" w:rsidRPr="00EF7384" w:rsidRDefault="00EF7384" w:rsidP="2D55DFE8">
      <w:pPr>
        <w:pStyle w:val="ListParagraph"/>
        <w:numPr>
          <w:ilvl w:val="3"/>
          <w:numId w:val="1"/>
        </w:numPr>
        <w:rPr>
          <w:rFonts w:eastAsia="Calibri"/>
          <w:szCs w:val="24"/>
        </w:rPr>
      </w:pPr>
      <w:r>
        <w:t xml:space="preserve">Rank 0: </w:t>
      </w:r>
      <w:r w:rsidR="223E8943">
        <w:t>station</w:t>
      </w:r>
      <w:r w:rsidR="00012593">
        <w:t xml:space="preserve"> percent exceedance below 5%.</w:t>
      </w:r>
    </w:p>
    <w:p w14:paraId="3803061F" w14:textId="3B8C2BDE" w:rsidR="00803A8F" w:rsidRPr="00EF7384" w:rsidRDefault="00803A8F" w:rsidP="00E0472E">
      <w:pPr>
        <w:pStyle w:val="ListParagraph"/>
        <w:numPr>
          <w:ilvl w:val="4"/>
          <w:numId w:val="1"/>
        </w:numPr>
      </w:pPr>
      <w:r>
        <w:t>Exceedance thresholds are likely dependent on BMAP.</w:t>
      </w:r>
    </w:p>
    <w:p w14:paraId="52E69386" w14:textId="7A12FEDA" w:rsidR="00783260" w:rsidRPr="00EF7384" w:rsidRDefault="00EF7384" w:rsidP="21A84662">
      <w:pPr>
        <w:pStyle w:val="ListParagraph"/>
        <w:numPr>
          <w:ilvl w:val="3"/>
          <w:numId w:val="1"/>
        </w:numPr>
        <w:rPr>
          <w:rFonts w:eastAsia="Calibri"/>
          <w:szCs w:val="24"/>
        </w:rPr>
      </w:pPr>
      <w:r>
        <w:t xml:space="preserve">Rank 1: </w:t>
      </w:r>
      <w:r w:rsidR="7DEAF87A">
        <w:t>station</w:t>
      </w:r>
      <w:r w:rsidR="00012593">
        <w:t xml:space="preserve"> </w:t>
      </w:r>
      <w:r w:rsidR="00BE0026">
        <w:t xml:space="preserve">exceedances between </w:t>
      </w:r>
      <w:r w:rsidR="006701D2">
        <w:t>5%</w:t>
      </w:r>
      <w:r w:rsidR="00BE0026">
        <w:t xml:space="preserve"> and </w:t>
      </w:r>
      <w:r w:rsidR="006701D2">
        <w:t>49% of samples</w:t>
      </w:r>
      <w:r w:rsidR="00BE0026">
        <w:t>.</w:t>
      </w:r>
    </w:p>
    <w:p w14:paraId="35C0A2C7" w14:textId="6869EFF8" w:rsidR="00BE0026" w:rsidRPr="00EF7384" w:rsidRDefault="00EF7384" w:rsidP="21A84662">
      <w:pPr>
        <w:pStyle w:val="ListParagraph"/>
        <w:numPr>
          <w:ilvl w:val="3"/>
          <w:numId w:val="1"/>
        </w:numPr>
        <w:rPr>
          <w:rFonts w:eastAsia="Calibri"/>
          <w:szCs w:val="24"/>
        </w:rPr>
      </w:pPr>
      <w:r>
        <w:t xml:space="preserve">Rank 2: </w:t>
      </w:r>
      <w:r w:rsidR="617485D4">
        <w:t>station</w:t>
      </w:r>
      <w:r w:rsidR="00012593">
        <w:t xml:space="preserve"> </w:t>
      </w:r>
      <w:r w:rsidR="00BE0026">
        <w:t xml:space="preserve">exceedances over </w:t>
      </w:r>
      <w:r w:rsidR="006701D2">
        <w:t>50% of samples</w:t>
      </w:r>
      <w:r w:rsidR="00BE0026">
        <w:t>.</w:t>
      </w:r>
    </w:p>
    <w:p w14:paraId="4BF8EFCF" w14:textId="282A1DB1" w:rsidR="004557CB" w:rsidRDefault="00BE0026" w:rsidP="2D55DFE8">
      <w:pPr>
        <w:pStyle w:val="ListParagraph"/>
        <w:numPr>
          <w:ilvl w:val="1"/>
          <w:numId w:val="1"/>
        </w:numPr>
        <w:rPr>
          <w:rFonts w:eastAsia="Calibri"/>
          <w:szCs w:val="24"/>
        </w:rPr>
      </w:pPr>
      <w:r>
        <w:t xml:space="preserve">Add 4 ranks together to create Hot Spot Rank at each </w:t>
      </w:r>
      <w:r w:rsidR="06CB68EC">
        <w:t>station</w:t>
      </w:r>
      <w:r>
        <w:t xml:space="preserve">. </w:t>
      </w:r>
      <w:r w:rsidRPr="2D55DFE8">
        <w:rPr>
          <w:b/>
          <w:bCs/>
        </w:rPr>
        <w:t>High rank value = high concern</w:t>
      </w:r>
      <w:r>
        <w:t>.</w:t>
      </w:r>
    </w:p>
    <w:sectPr w:rsidR="004557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AA347E"/>
    <w:multiLevelType w:val="hybridMultilevel"/>
    <w:tmpl w:val="FD5C5A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F07019E"/>
    <w:multiLevelType w:val="hybridMultilevel"/>
    <w:tmpl w:val="70388F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0514423">
    <w:abstractNumId w:val="0"/>
  </w:num>
  <w:num w:numId="2" w16cid:durableId="15499534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2CA"/>
    <w:rsid w:val="00012593"/>
    <w:rsid w:val="00022E17"/>
    <w:rsid w:val="00044672"/>
    <w:rsid w:val="0008724D"/>
    <w:rsid w:val="000F15D3"/>
    <w:rsid w:val="001352D1"/>
    <w:rsid w:val="00194A0D"/>
    <w:rsid w:val="001C565A"/>
    <w:rsid w:val="001D0881"/>
    <w:rsid w:val="001D6318"/>
    <w:rsid w:val="002144FD"/>
    <w:rsid w:val="0025490D"/>
    <w:rsid w:val="00277C59"/>
    <w:rsid w:val="002C16BE"/>
    <w:rsid w:val="002E2DF6"/>
    <w:rsid w:val="00332562"/>
    <w:rsid w:val="00387FDB"/>
    <w:rsid w:val="003A4212"/>
    <w:rsid w:val="003A5073"/>
    <w:rsid w:val="003F1ED9"/>
    <w:rsid w:val="004557CB"/>
    <w:rsid w:val="004724B6"/>
    <w:rsid w:val="00495A88"/>
    <w:rsid w:val="004A0F6C"/>
    <w:rsid w:val="005077FD"/>
    <w:rsid w:val="005121CC"/>
    <w:rsid w:val="00550DCF"/>
    <w:rsid w:val="00554388"/>
    <w:rsid w:val="005759C5"/>
    <w:rsid w:val="00582579"/>
    <w:rsid w:val="005F4A60"/>
    <w:rsid w:val="006316BA"/>
    <w:rsid w:val="00640960"/>
    <w:rsid w:val="00643318"/>
    <w:rsid w:val="006701D2"/>
    <w:rsid w:val="006A4996"/>
    <w:rsid w:val="006E549F"/>
    <w:rsid w:val="006F5993"/>
    <w:rsid w:val="006F6613"/>
    <w:rsid w:val="006F7409"/>
    <w:rsid w:val="00703E6D"/>
    <w:rsid w:val="00747F07"/>
    <w:rsid w:val="00783260"/>
    <w:rsid w:val="00784480"/>
    <w:rsid w:val="007A0D52"/>
    <w:rsid w:val="007A20FA"/>
    <w:rsid w:val="007C1915"/>
    <w:rsid w:val="00803A8F"/>
    <w:rsid w:val="0080475A"/>
    <w:rsid w:val="00827333"/>
    <w:rsid w:val="00874354"/>
    <w:rsid w:val="008D5078"/>
    <w:rsid w:val="009662CA"/>
    <w:rsid w:val="00991395"/>
    <w:rsid w:val="009C0F30"/>
    <w:rsid w:val="009F31D1"/>
    <w:rsid w:val="00A66B2B"/>
    <w:rsid w:val="00AB38FA"/>
    <w:rsid w:val="00AD1452"/>
    <w:rsid w:val="00AD368B"/>
    <w:rsid w:val="00B11FDF"/>
    <w:rsid w:val="00BC302B"/>
    <w:rsid w:val="00BD199F"/>
    <w:rsid w:val="00BE0026"/>
    <w:rsid w:val="00C164E8"/>
    <w:rsid w:val="00C84E72"/>
    <w:rsid w:val="00CE461A"/>
    <w:rsid w:val="00D159A0"/>
    <w:rsid w:val="00D7692C"/>
    <w:rsid w:val="00D87740"/>
    <w:rsid w:val="00DA1D10"/>
    <w:rsid w:val="00DC51B6"/>
    <w:rsid w:val="00DD7A6E"/>
    <w:rsid w:val="00E0472E"/>
    <w:rsid w:val="00E07029"/>
    <w:rsid w:val="00E51211"/>
    <w:rsid w:val="00EA5D4D"/>
    <w:rsid w:val="00ED7F8C"/>
    <w:rsid w:val="00EF7384"/>
    <w:rsid w:val="00F2453A"/>
    <w:rsid w:val="00F27096"/>
    <w:rsid w:val="00F3216D"/>
    <w:rsid w:val="00F91960"/>
    <w:rsid w:val="00FD793D"/>
    <w:rsid w:val="00FE24E1"/>
    <w:rsid w:val="06CB68EC"/>
    <w:rsid w:val="0D304F68"/>
    <w:rsid w:val="10308EE3"/>
    <w:rsid w:val="170F3160"/>
    <w:rsid w:val="1B7835F6"/>
    <w:rsid w:val="1D20BC9A"/>
    <w:rsid w:val="1DC90B20"/>
    <w:rsid w:val="1F998571"/>
    <w:rsid w:val="21A84662"/>
    <w:rsid w:val="223E8943"/>
    <w:rsid w:val="246FCF8E"/>
    <w:rsid w:val="2AB7CD95"/>
    <w:rsid w:val="2B6240B8"/>
    <w:rsid w:val="2BCDA821"/>
    <w:rsid w:val="2D55DFE8"/>
    <w:rsid w:val="2FA09518"/>
    <w:rsid w:val="2FBD197B"/>
    <w:rsid w:val="3458CBB8"/>
    <w:rsid w:val="34ADC179"/>
    <w:rsid w:val="3597AE9D"/>
    <w:rsid w:val="363518D9"/>
    <w:rsid w:val="368E2803"/>
    <w:rsid w:val="38BA80CD"/>
    <w:rsid w:val="3A3B2FFA"/>
    <w:rsid w:val="3F1B8680"/>
    <w:rsid w:val="441C4194"/>
    <w:rsid w:val="44C101E9"/>
    <w:rsid w:val="465C1E9D"/>
    <w:rsid w:val="4ACBA7D9"/>
    <w:rsid w:val="4BD4061F"/>
    <w:rsid w:val="4EE0199D"/>
    <w:rsid w:val="5406E290"/>
    <w:rsid w:val="57D369FD"/>
    <w:rsid w:val="5801B9E8"/>
    <w:rsid w:val="5A2B38D8"/>
    <w:rsid w:val="5B267488"/>
    <w:rsid w:val="5B857777"/>
    <w:rsid w:val="5D379F86"/>
    <w:rsid w:val="617485D4"/>
    <w:rsid w:val="632BA0E6"/>
    <w:rsid w:val="69B3DE76"/>
    <w:rsid w:val="69B5413A"/>
    <w:rsid w:val="6B79DC19"/>
    <w:rsid w:val="70A02A50"/>
    <w:rsid w:val="718B38BC"/>
    <w:rsid w:val="765EE900"/>
    <w:rsid w:val="78258876"/>
    <w:rsid w:val="79350AEC"/>
    <w:rsid w:val="79E0D082"/>
    <w:rsid w:val="7C3302CC"/>
    <w:rsid w:val="7DEAF87A"/>
    <w:rsid w:val="7F9BA1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DA01A"/>
  <w15:chartTrackingRefBased/>
  <w15:docId w15:val="{81D8154A-8B5C-42BD-B7E9-5DE75B2F2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5D3"/>
    <w:pPr>
      <w:spacing w:after="0" w:line="240" w:lineRule="auto"/>
    </w:pPr>
    <w:rPr>
      <w:rFonts w:ascii="Times New Roman" w:hAnsi="Times New Roman"/>
      <w:sz w:val="24"/>
    </w:rPr>
  </w:style>
  <w:style w:type="paragraph" w:styleId="Heading2">
    <w:name w:val="heading 2"/>
    <w:basedOn w:val="Normal"/>
    <w:next w:val="Normal"/>
    <w:link w:val="Heading2Char"/>
    <w:uiPriority w:val="9"/>
    <w:unhideWhenUsed/>
    <w:qFormat/>
    <w:rsid w:val="00EA5D4D"/>
    <w:pPr>
      <w:keepNext/>
      <w:keepLines/>
      <w:spacing w:before="40"/>
      <w:outlineLvl w:val="1"/>
    </w:pPr>
    <w:rPr>
      <w:rFonts w:eastAsiaTheme="majorEastAsia"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A5D4D"/>
    <w:rPr>
      <w:rFonts w:ascii="Times New Roman" w:eastAsiaTheme="majorEastAsia" w:hAnsi="Times New Roman" w:cstheme="majorBidi"/>
      <w:b/>
      <w:sz w:val="26"/>
      <w:szCs w:val="26"/>
    </w:rPr>
  </w:style>
  <w:style w:type="paragraph" w:styleId="Title">
    <w:name w:val="Title"/>
    <w:basedOn w:val="Normal"/>
    <w:next w:val="Normal"/>
    <w:link w:val="TitleChar"/>
    <w:uiPriority w:val="10"/>
    <w:qFormat/>
    <w:rsid w:val="00EA5D4D"/>
    <w:pPr>
      <w:contextualSpacing/>
      <w:jc w:val="center"/>
    </w:pPr>
    <w:rPr>
      <w:rFonts w:eastAsiaTheme="majorEastAsia" w:cstheme="majorBidi"/>
      <w:b/>
      <w:spacing w:val="-10"/>
      <w:kern w:val="28"/>
      <w:sz w:val="40"/>
      <w:szCs w:val="56"/>
    </w:rPr>
  </w:style>
  <w:style w:type="character" w:customStyle="1" w:styleId="TitleChar">
    <w:name w:val="Title Char"/>
    <w:basedOn w:val="DefaultParagraphFont"/>
    <w:link w:val="Title"/>
    <w:uiPriority w:val="10"/>
    <w:rsid w:val="00EA5D4D"/>
    <w:rPr>
      <w:rFonts w:ascii="Times New Roman" w:eastAsiaTheme="majorEastAsia" w:hAnsi="Times New Roman" w:cstheme="majorBidi"/>
      <w:b/>
      <w:spacing w:val="-10"/>
      <w:kern w:val="28"/>
      <w:sz w:val="40"/>
      <w:szCs w:val="56"/>
    </w:rPr>
  </w:style>
  <w:style w:type="paragraph" w:styleId="Caption">
    <w:name w:val="caption"/>
    <w:basedOn w:val="Normal"/>
    <w:next w:val="Normal"/>
    <w:uiPriority w:val="35"/>
    <w:unhideWhenUsed/>
    <w:qFormat/>
    <w:rsid w:val="00DC51B6"/>
    <w:pPr>
      <w:spacing w:after="200"/>
    </w:pPr>
    <w:rPr>
      <w:iCs/>
      <w:sz w:val="22"/>
      <w:szCs w:val="18"/>
    </w:rPr>
  </w:style>
  <w:style w:type="paragraph" w:styleId="ListParagraph">
    <w:name w:val="List Paragraph"/>
    <w:basedOn w:val="Normal"/>
    <w:uiPriority w:val="34"/>
    <w:qFormat/>
    <w:rsid w:val="00B11FDF"/>
    <w:pPr>
      <w:ind w:left="720"/>
      <w:contextualSpacing/>
    </w:pPr>
  </w:style>
  <w:style w:type="paragraph" w:styleId="Revision">
    <w:name w:val="Revision"/>
    <w:hidden/>
    <w:uiPriority w:val="99"/>
    <w:semiHidden/>
    <w:rsid w:val="00ED7F8C"/>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4557CB"/>
    <w:rPr>
      <w:sz w:val="16"/>
      <w:szCs w:val="16"/>
    </w:rPr>
  </w:style>
  <w:style w:type="paragraph" w:styleId="CommentText">
    <w:name w:val="annotation text"/>
    <w:basedOn w:val="Normal"/>
    <w:link w:val="CommentTextChar"/>
    <w:uiPriority w:val="99"/>
    <w:unhideWhenUsed/>
    <w:rsid w:val="004557CB"/>
    <w:rPr>
      <w:sz w:val="20"/>
      <w:szCs w:val="20"/>
    </w:rPr>
  </w:style>
  <w:style w:type="character" w:customStyle="1" w:styleId="CommentTextChar">
    <w:name w:val="Comment Text Char"/>
    <w:basedOn w:val="DefaultParagraphFont"/>
    <w:link w:val="CommentText"/>
    <w:uiPriority w:val="99"/>
    <w:rsid w:val="004557C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557CB"/>
    <w:rPr>
      <w:b/>
      <w:bCs/>
    </w:rPr>
  </w:style>
  <w:style w:type="character" w:customStyle="1" w:styleId="CommentSubjectChar">
    <w:name w:val="Comment Subject Char"/>
    <w:basedOn w:val="CommentTextChar"/>
    <w:link w:val="CommentSubject"/>
    <w:uiPriority w:val="99"/>
    <w:semiHidden/>
    <w:rsid w:val="004557CB"/>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9975591">
      <w:bodyDiv w:val="1"/>
      <w:marLeft w:val="0"/>
      <w:marRight w:val="0"/>
      <w:marTop w:val="0"/>
      <w:marBottom w:val="0"/>
      <w:divBdr>
        <w:top w:val="none" w:sz="0" w:space="0" w:color="auto"/>
        <w:left w:val="none" w:sz="0" w:space="0" w:color="auto"/>
        <w:bottom w:val="none" w:sz="0" w:space="0" w:color="auto"/>
        <w:right w:val="none" w:sz="0" w:space="0" w:color="auto"/>
      </w:divBdr>
    </w:div>
    <w:div w:id="2126845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4008B7F987C14C96D8E4F0CB9C1B92" ma:contentTypeVersion="14" ma:contentTypeDescription="Create a new document." ma:contentTypeScope="" ma:versionID="dfe1c4aaa11e9edd1d7a172c985ef721">
  <xsd:schema xmlns:xsd="http://www.w3.org/2001/XMLSchema" xmlns:xs="http://www.w3.org/2001/XMLSchema" xmlns:p="http://schemas.microsoft.com/office/2006/metadata/properties" xmlns:ns2="e8f18764-95a0-43ac-809f-d7a2d88dc902" xmlns:ns3="8f86abcd-8b29-470d-a083-263790f8059b" targetNamespace="http://schemas.microsoft.com/office/2006/metadata/properties" ma:root="true" ma:fieldsID="75fa5e6c7104e54b285b01b0b094f1c8" ns2:_="" ns3:_="">
    <xsd:import namespace="e8f18764-95a0-43ac-809f-d7a2d88dc902"/>
    <xsd:import namespace="8f86abcd-8b29-470d-a083-263790f8059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f18764-95a0-43ac-809f-d7a2d88dc9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dd22a39-e768-4485-83bb-9ac52943c3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86abcd-8b29-470d-a083-263790f8059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0f8f20f-f079-40a3-b2ad-fc8fa7942f85}" ma:internalName="TaxCatchAll" ma:showField="CatchAllData" ma:web="8f86abcd-8b29-470d-a083-263790f8059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f86abcd-8b29-470d-a083-263790f8059b" xsi:nil="true"/>
    <lcf76f155ced4ddcb4097134ff3c332f xmlns="e8f18764-95a0-43ac-809f-d7a2d88dc90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1822AD0-5A08-4FF8-ADEE-B6AF0D43DF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f18764-95a0-43ac-809f-d7a2d88dc902"/>
    <ds:schemaRef ds:uri="8f86abcd-8b29-470d-a083-263790f805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DF8009-9EA7-4F2A-ADCF-1A5318583004}">
  <ds:schemaRefs>
    <ds:schemaRef ds:uri="http://schemas.microsoft.com/sharepoint/v3/contenttype/forms"/>
  </ds:schemaRefs>
</ds:datastoreItem>
</file>

<file path=customXml/itemProps3.xml><?xml version="1.0" encoding="utf-8"?>
<ds:datastoreItem xmlns:ds="http://schemas.openxmlformats.org/officeDocument/2006/customXml" ds:itemID="{BA8BEF78-202C-4DEA-BFF3-C1FCC73C8ED4}">
  <ds:schemaRefs>
    <ds:schemaRef ds:uri="http://schemas.microsoft.com/office/2006/metadata/properties"/>
    <ds:schemaRef ds:uri="http://schemas.microsoft.com/office/infopath/2007/PartnerControls"/>
    <ds:schemaRef ds:uri="8f86abcd-8b29-470d-a083-263790f8059b"/>
    <ds:schemaRef ds:uri="e8f18764-95a0-43ac-809f-d7a2d88dc90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562</Words>
  <Characters>3205</Characters>
  <Application>Microsoft Office Word</Application>
  <DocSecurity>0</DocSecurity>
  <Lines>26</Lines>
  <Paragraphs>7</Paragraphs>
  <ScaleCrop>false</ScaleCrop>
  <Company/>
  <LinksUpToDate>false</LinksUpToDate>
  <CharactersWithSpaces>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 Stacy</dc:creator>
  <cp:keywords/>
  <dc:description/>
  <cp:lastModifiedBy>Becerra, Evelyn</cp:lastModifiedBy>
  <cp:revision>10</cp:revision>
  <dcterms:created xsi:type="dcterms:W3CDTF">2024-01-23T18:51:00Z</dcterms:created>
  <dcterms:modified xsi:type="dcterms:W3CDTF">2024-01-25T13:28:00Z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0x010100374008B7F987C14C96D8E4F0CB9C1B92</vt:lpwstr>
  </property>
  <property fmtid="{D5CDD505-2E9C-101B-9397-08002B2CF9AE}" pid="3" name="MediaServiceImageTags">
    <vt:lpwstr/>
  </property>
</Properties>
</file>