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66D" w:rsidRDefault="009F3CDD" w:rsidP="00540CCA">
      <w:pPr>
        <w:pStyle w:val="Heading1"/>
        <w:spacing w:before="0"/>
        <w:rPr>
          <w:rFonts w:asciiTheme="minorHAnsi" w:hAnsiTheme="minorHAnsi"/>
          <w:color w:val="auto"/>
        </w:rPr>
      </w:pPr>
      <w:r>
        <w:rPr>
          <w:rFonts w:asciiTheme="minorHAnsi" w:hAnsiTheme="minorHAnsi"/>
          <w:color w:val="auto"/>
        </w:rPr>
        <w:t>Central Indian</w:t>
      </w:r>
      <w:r w:rsidR="00C3666D">
        <w:rPr>
          <w:rFonts w:asciiTheme="minorHAnsi" w:hAnsiTheme="minorHAnsi"/>
          <w:color w:val="auto"/>
        </w:rPr>
        <w:t xml:space="preserve"> River Lagoon Basin Management Action Plan (BMAP)</w:t>
      </w:r>
    </w:p>
    <w:p w:rsidR="00DD59E9" w:rsidRPr="00540CCA" w:rsidRDefault="00DD59E9" w:rsidP="00540CCA">
      <w:pPr>
        <w:pStyle w:val="Heading1"/>
        <w:spacing w:before="0"/>
        <w:rPr>
          <w:rFonts w:asciiTheme="minorHAnsi" w:hAnsiTheme="minorHAnsi"/>
          <w:color w:val="auto"/>
        </w:rPr>
      </w:pPr>
      <w:r w:rsidRPr="00540CCA">
        <w:rPr>
          <w:rFonts w:asciiTheme="minorHAnsi" w:hAnsiTheme="minorHAnsi"/>
          <w:color w:val="auto"/>
        </w:rPr>
        <w:t xml:space="preserve">Process for Measuring Seagrass Deep Edge </w:t>
      </w:r>
      <w:r w:rsidR="00BA585D">
        <w:rPr>
          <w:rFonts w:asciiTheme="minorHAnsi" w:hAnsiTheme="minorHAnsi"/>
          <w:color w:val="auto"/>
        </w:rPr>
        <w:t xml:space="preserve">TMDL Compliance </w:t>
      </w:r>
    </w:p>
    <w:p w:rsidR="00DD59E9" w:rsidRPr="00540CCA" w:rsidRDefault="00C3666D" w:rsidP="00540CCA">
      <w:pPr>
        <w:pStyle w:val="Heading1"/>
        <w:spacing w:before="0"/>
        <w:rPr>
          <w:rFonts w:asciiTheme="minorHAnsi" w:hAnsiTheme="minorHAnsi"/>
        </w:rPr>
      </w:pPr>
      <w:r>
        <w:rPr>
          <w:rFonts w:asciiTheme="minorHAnsi" w:hAnsiTheme="minorHAnsi"/>
          <w:color w:val="auto"/>
        </w:rPr>
        <w:t>April 2012</w:t>
      </w:r>
    </w:p>
    <w:p w:rsidR="00DD59E9" w:rsidRPr="00540CCA" w:rsidRDefault="00DD59E9" w:rsidP="00540CCA">
      <w:pPr>
        <w:rPr>
          <w:sz w:val="24"/>
        </w:rPr>
      </w:pPr>
    </w:p>
    <w:p w:rsidR="00794153" w:rsidRPr="00540CCA" w:rsidRDefault="00BA585D" w:rsidP="00B30263">
      <w:pPr>
        <w:pStyle w:val="Heading2"/>
        <w:spacing w:before="0"/>
        <w:jc w:val="both"/>
        <w:rPr>
          <w:rFonts w:asciiTheme="minorHAnsi" w:hAnsiTheme="minorHAnsi"/>
          <w:smallCaps/>
          <w:color w:val="auto"/>
          <w:sz w:val="24"/>
          <w:szCs w:val="24"/>
        </w:rPr>
      </w:pPr>
      <w:r>
        <w:rPr>
          <w:rFonts w:asciiTheme="minorHAnsi" w:hAnsiTheme="minorHAnsi"/>
          <w:smallCaps/>
          <w:color w:val="auto"/>
          <w:sz w:val="24"/>
          <w:szCs w:val="24"/>
        </w:rPr>
        <w:t xml:space="preserve">Biological Response </w:t>
      </w:r>
      <w:r w:rsidR="00794153" w:rsidRPr="00540CCA">
        <w:rPr>
          <w:rFonts w:asciiTheme="minorHAnsi" w:hAnsiTheme="minorHAnsi"/>
          <w:smallCaps/>
          <w:color w:val="auto"/>
          <w:sz w:val="24"/>
          <w:szCs w:val="24"/>
        </w:rPr>
        <w:t xml:space="preserve">Goal:  Seagrass </w:t>
      </w:r>
      <w:r w:rsidR="004A4F09" w:rsidRPr="00540CCA">
        <w:rPr>
          <w:rFonts w:asciiTheme="minorHAnsi" w:hAnsiTheme="minorHAnsi"/>
          <w:smallCaps/>
          <w:color w:val="auto"/>
          <w:sz w:val="24"/>
          <w:szCs w:val="24"/>
        </w:rPr>
        <w:t xml:space="preserve">Depth </w:t>
      </w:r>
      <w:r w:rsidR="00794153" w:rsidRPr="00540CCA">
        <w:rPr>
          <w:rFonts w:asciiTheme="minorHAnsi" w:hAnsiTheme="minorHAnsi"/>
          <w:smallCaps/>
          <w:color w:val="auto"/>
          <w:sz w:val="24"/>
          <w:szCs w:val="24"/>
        </w:rPr>
        <w:t>Recovery (Independent of Nutrient Loads)</w:t>
      </w:r>
    </w:p>
    <w:p w:rsidR="00FD0C66" w:rsidRPr="00675469" w:rsidRDefault="00F2427B" w:rsidP="00B30263">
      <w:pPr>
        <w:jc w:val="both"/>
      </w:pPr>
      <w:r w:rsidRPr="00F2427B">
        <w:t>The intent of the</w:t>
      </w:r>
      <w:r w:rsidR="00CC3818" w:rsidRPr="00CC3818">
        <w:t xml:space="preserve"> </w:t>
      </w:r>
      <w:r w:rsidR="00CC3818" w:rsidRPr="00F2427B">
        <w:t xml:space="preserve">Indian River Lagoon (IRL) </w:t>
      </w:r>
      <w:r w:rsidRPr="00F2427B">
        <w:t xml:space="preserve">total maximum daily loads (TMDLs) is to recover </w:t>
      </w:r>
      <w:r w:rsidR="00282431">
        <w:t xml:space="preserve">the deeper </w:t>
      </w:r>
      <w:r w:rsidRPr="00F2427B">
        <w:t xml:space="preserve">seagrass </w:t>
      </w:r>
      <w:r>
        <w:t>habitat</w:t>
      </w:r>
      <w:r w:rsidR="00675469">
        <w:t>s</w:t>
      </w:r>
      <w:r w:rsidRPr="00F2427B">
        <w:t xml:space="preserve">.  The biological response of the seagrasses is the most important factor to evaluate the success of the TMDLs.  </w:t>
      </w:r>
      <w:r w:rsidR="00237BEE">
        <w:t>T</w:t>
      </w:r>
      <w:r w:rsidRPr="00F2427B">
        <w:t>he load reduction requirements themselves will not determine TMDL success</w:t>
      </w:r>
      <w:r w:rsidR="00237BEE">
        <w:t>;</w:t>
      </w:r>
      <w:r w:rsidRPr="00F2427B">
        <w:t xml:space="preserve"> assessment of success is based on whether the seagrasses can grow at sufficient depth</w:t>
      </w:r>
      <w:r w:rsidR="00675469">
        <w:t>s</w:t>
      </w:r>
      <w:r w:rsidRPr="00F2427B">
        <w:t xml:space="preserve">, because that was the intent of the TMDLs and </w:t>
      </w:r>
      <w:r w:rsidR="001F37CB">
        <w:t>the</w:t>
      </w:r>
      <w:r w:rsidRPr="00F2427B">
        <w:t xml:space="preserve"> associated load reductions.</w:t>
      </w:r>
      <w:r w:rsidR="00C3666D">
        <w:t xml:space="preserve">  C</w:t>
      </w:r>
      <w:r w:rsidR="00675469" w:rsidRPr="00675469">
        <w:t>omplete seagrass recovery is considered to</w:t>
      </w:r>
      <w:r w:rsidR="001F37CB">
        <w:t xml:space="preserve"> be </w:t>
      </w:r>
      <w:r w:rsidR="00675469" w:rsidRPr="00675469">
        <w:t>seagrass grow</w:t>
      </w:r>
      <w:r w:rsidR="001F37CB">
        <w:t>th</w:t>
      </w:r>
      <w:r w:rsidR="00675469" w:rsidRPr="00675469">
        <w:t xml:space="preserve"> at 100% of the depth</w:t>
      </w:r>
      <w:r w:rsidR="001D73A7">
        <w:t xml:space="preserve"> limit of the union coverage of</w:t>
      </w:r>
      <w:r w:rsidR="00675469" w:rsidRPr="00675469">
        <w:t xml:space="preserve"> the following </w:t>
      </w:r>
      <w:r w:rsidR="00CF61BD">
        <w:t xml:space="preserve">mapping </w:t>
      </w:r>
      <w:r w:rsidR="00675469" w:rsidRPr="00675469">
        <w:t>years: 1943, 1986, 1989, 1992, 1994, 1996 and 1999.</w:t>
      </w:r>
      <w:r w:rsidR="00675469">
        <w:t xml:space="preserve"> </w:t>
      </w:r>
      <w:r w:rsidR="006132BA">
        <w:t xml:space="preserve"> </w:t>
      </w:r>
      <w:r w:rsidR="00675469">
        <w:t>T</w:t>
      </w:r>
      <w:r w:rsidRPr="00F2427B">
        <w:t xml:space="preserve">he TMDL </w:t>
      </w:r>
      <w:r w:rsidR="00C3666D">
        <w:t>depth limit</w:t>
      </w:r>
      <w:r w:rsidRPr="00F2427B">
        <w:t xml:space="preserve"> target</w:t>
      </w:r>
      <w:r w:rsidR="00B72012">
        <w:t>s</w:t>
      </w:r>
      <w:r w:rsidRPr="00F2427B">
        <w:t xml:space="preserve"> </w:t>
      </w:r>
      <w:r w:rsidR="00B72012">
        <w:t>are</w:t>
      </w:r>
      <w:r w:rsidRPr="00F2427B">
        <w:t xml:space="preserve"> 90% of </w:t>
      </w:r>
      <w:r w:rsidR="001D73A7" w:rsidRPr="00F2427B">
        <w:t>th</w:t>
      </w:r>
      <w:r w:rsidR="001D73A7">
        <w:t>at 1943-1999</w:t>
      </w:r>
      <w:r w:rsidR="001D73A7" w:rsidRPr="00F2427B">
        <w:t xml:space="preserve"> </w:t>
      </w:r>
      <w:r w:rsidR="001D73A7">
        <w:t>union coverage</w:t>
      </w:r>
      <w:r w:rsidR="00C3666D">
        <w:t xml:space="preserve"> depth limit</w:t>
      </w:r>
      <w:r w:rsidRPr="00F2427B">
        <w:t>.</w:t>
      </w:r>
    </w:p>
    <w:p w:rsidR="00225B59" w:rsidRPr="00675469" w:rsidRDefault="00225B59" w:rsidP="00B30263">
      <w:pPr>
        <w:jc w:val="both"/>
      </w:pPr>
    </w:p>
    <w:p w:rsidR="00794153" w:rsidRPr="00675469" w:rsidRDefault="00F2427B" w:rsidP="00B30263">
      <w:pPr>
        <w:pStyle w:val="Heading2"/>
        <w:spacing w:before="0"/>
        <w:jc w:val="both"/>
        <w:rPr>
          <w:rFonts w:asciiTheme="minorHAnsi" w:hAnsiTheme="minorHAnsi"/>
          <w:smallCaps/>
          <w:color w:val="auto"/>
          <w:sz w:val="24"/>
          <w:szCs w:val="24"/>
        </w:rPr>
      </w:pPr>
      <w:r>
        <w:rPr>
          <w:rFonts w:asciiTheme="minorHAnsi" w:hAnsiTheme="minorHAnsi"/>
          <w:smallCaps/>
          <w:color w:val="auto"/>
          <w:sz w:val="24"/>
          <w:szCs w:val="24"/>
        </w:rPr>
        <w:t>Two-Step Measurement of Success</w:t>
      </w:r>
    </w:p>
    <w:p w:rsidR="00002B8D" w:rsidRPr="00675469" w:rsidRDefault="00F2427B" w:rsidP="00B30263">
      <w:pPr>
        <w:jc w:val="both"/>
      </w:pPr>
      <w:r w:rsidRPr="00F2427B">
        <w:t>FDEP defines success</w:t>
      </w:r>
      <w:r w:rsidR="00C3666D">
        <w:t xml:space="preserve"> in meeting the TMDL seagrass depth limit</w:t>
      </w:r>
      <w:r w:rsidRPr="00F2427B">
        <w:t xml:space="preserve"> target</w:t>
      </w:r>
      <w:r w:rsidR="00B72012">
        <w:t>s</w:t>
      </w:r>
      <w:r w:rsidRPr="00F2427B">
        <w:t xml:space="preserve"> using a two-step assessment approach.  The two steps are used to address the following concerns:</w:t>
      </w:r>
    </w:p>
    <w:p w:rsidR="00794153" w:rsidRPr="00675469" w:rsidRDefault="00F2427B" w:rsidP="00B30263">
      <w:pPr>
        <w:pStyle w:val="ListParagraph"/>
        <w:numPr>
          <w:ilvl w:val="0"/>
          <w:numId w:val="1"/>
        </w:numPr>
        <w:jc w:val="both"/>
      </w:pPr>
      <w:r w:rsidRPr="00F2427B">
        <w:t xml:space="preserve">Determination of seagrass recovery should take into account inter-annual variability and allow for some years to have less seagrass depth than others. </w:t>
      </w:r>
    </w:p>
    <w:p w:rsidR="007D6668" w:rsidRPr="00675469" w:rsidRDefault="00F2427B" w:rsidP="00B30263">
      <w:pPr>
        <w:pStyle w:val="ListParagraph"/>
        <w:numPr>
          <w:ilvl w:val="0"/>
          <w:numId w:val="1"/>
        </w:numPr>
        <w:jc w:val="both"/>
      </w:pPr>
      <w:r w:rsidRPr="00F2427B">
        <w:t>An evaluation of seagrass recovery should not allow one very good year to over-influence the evaluation of otherwise limited seagrass depths.</w:t>
      </w:r>
    </w:p>
    <w:p w:rsidR="007D6668" w:rsidRPr="00675469" w:rsidRDefault="007D6668" w:rsidP="00B30263">
      <w:pPr>
        <w:pStyle w:val="Heading3"/>
        <w:spacing w:before="0"/>
        <w:jc w:val="both"/>
        <w:rPr>
          <w:rFonts w:asciiTheme="minorHAnsi" w:hAnsiTheme="minorHAnsi"/>
          <w:color w:val="auto"/>
        </w:rPr>
      </w:pPr>
    </w:p>
    <w:p w:rsidR="00120A4A" w:rsidRPr="00675469" w:rsidRDefault="00F2427B" w:rsidP="00B30263">
      <w:pPr>
        <w:pStyle w:val="Heading3"/>
        <w:spacing w:before="0"/>
        <w:jc w:val="both"/>
        <w:rPr>
          <w:rFonts w:asciiTheme="minorHAnsi" w:hAnsiTheme="minorHAnsi"/>
          <w:color w:val="auto"/>
        </w:rPr>
      </w:pPr>
      <w:r>
        <w:rPr>
          <w:rFonts w:asciiTheme="minorHAnsi" w:hAnsiTheme="minorHAnsi"/>
          <w:color w:val="auto"/>
        </w:rPr>
        <w:t>Step 1:  Cumulative Frequency Distribution Analysis</w:t>
      </w:r>
    </w:p>
    <w:p w:rsidR="007D6668" w:rsidRPr="00675469" w:rsidRDefault="00F2427B" w:rsidP="00B30263">
      <w:pPr>
        <w:jc w:val="both"/>
      </w:pPr>
      <w:r w:rsidRPr="00F2427B">
        <w:t xml:space="preserve">To address the first concern, Step 1 is applied, which involves taking the four most recent mapped seagrass datasets and creating a union coverage in the Geographic Information System (GIS).  Using this union coverage, a </w:t>
      </w:r>
      <w:r w:rsidR="001F37CB" w:rsidRPr="00F2427B">
        <w:t>15</w:t>
      </w:r>
      <w:r w:rsidR="001F37CB">
        <w:t>.8</w:t>
      </w:r>
      <w:r w:rsidR="001F37CB" w:rsidRPr="00F2427B">
        <w:t>-meter</w:t>
      </w:r>
      <w:r w:rsidRPr="00F2427B">
        <w:t xml:space="preserve"> buffer is applied to the perimeter of the coverage to </w:t>
      </w:r>
      <w:r w:rsidR="001F37CB">
        <w:t>identify</w:t>
      </w:r>
      <w:r w:rsidRPr="00F2427B">
        <w:t xml:space="preserve"> the deep edge of </w:t>
      </w:r>
      <w:r w:rsidR="00D0358E">
        <w:t xml:space="preserve">the </w:t>
      </w:r>
      <w:r w:rsidRPr="00F2427B">
        <w:t xml:space="preserve">seagrass beds. </w:t>
      </w:r>
      <w:r w:rsidR="00567CF8">
        <w:t xml:space="preserve"> </w:t>
      </w:r>
      <w:r w:rsidRPr="00F2427B">
        <w:t>This</w:t>
      </w:r>
      <w:r w:rsidR="001F37CB">
        <w:t xml:space="preserve"> deep edge</w:t>
      </w:r>
      <w:r w:rsidRPr="00F2427B">
        <w:t xml:space="preserve"> coverage is used to create a cumulative frequency distribution curve of the depth at which seagrasses exist within the project zone.  This curve is then compared to the TMDL </w:t>
      </w:r>
      <w:r w:rsidR="008B70A4">
        <w:t>depth limit</w:t>
      </w:r>
      <w:r w:rsidRPr="00F2427B">
        <w:t xml:space="preserve"> target curve.</w:t>
      </w:r>
    </w:p>
    <w:p w:rsidR="00DD59E9" w:rsidRPr="00675469" w:rsidRDefault="00DD59E9" w:rsidP="00B30263">
      <w:pPr>
        <w:jc w:val="both"/>
      </w:pPr>
    </w:p>
    <w:p w:rsidR="009154B0" w:rsidRPr="00675469" w:rsidRDefault="00F2427B" w:rsidP="00B30263">
      <w:pPr>
        <w:jc w:val="both"/>
      </w:pPr>
      <w:r w:rsidRPr="00F2427B">
        <w:t xml:space="preserve">Step 1 successful seagrass compliance is reached when 50% or more of the </w:t>
      </w:r>
      <w:r w:rsidR="00E046EC">
        <w:t>assessment</w:t>
      </w:r>
      <w:r w:rsidRPr="00F2427B">
        <w:t xml:space="preserve"> </w:t>
      </w:r>
      <w:r w:rsidR="00E046EC">
        <w:t xml:space="preserve">years’ </w:t>
      </w:r>
      <w:r w:rsidRPr="00F2427B">
        <w:t>frequency distribution curve (including its 50</w:t>
      </w:r>
      <w:r w:rsidRPr="00F2427B">
        <w:rPr>
          <w:vertAlign w:val="superscript"/>
        </w:rPr>
        <w:t>th</w:t>
      </w:r>
      <w:r w:rsidRPr="00F2427B">
        <w:t xml:space="preserve"> percentile value</w:t>
      </w:r>
      <w:r w:rsidR="00237BEE">
        <w:t xml:space="preserve"> or median</w:t>
      </w:r>
      <w:r w:rsidRPr="00F2427B">
        <w:t xml:space="preserve">) for the project zone lies on or to the right of the TMDL </w:t>
      </w:r>
      <w:r w:rsidR="008B70A4">
        <w:t>depth limit</w:t>
      </w:r>
      <w:r w:rsidRPr="00F2427B">
        <w:t xml:space="preserve"> curve.  This assessment method captures all four datasets of latest seagrass coverage, accounting for inter-annual variability while emphasizing the better years out of the dataset.</w:t>
      </w:r>
      <w:r w:rsidR="00D0358E">
        <w:t xml:space="preserve">  </w:t>
      </w:r>
    </w:p>
    <w:p w:rsidR="009154B0" w:rsidRPr="00675469" w:rsidRDefault="009154B0" w:rsidP="00B30263">
      <w:pPr>
        <w:pStyle w:val="Heading3"/>
        <w:spacing w:before="0"/>
        <w:jc w:val="both"/>
        <w:rPr>
          <w:rFonts w:asciiTheme="minorHAnsi" w:hAnsiTheme="minorHAnsi"/>
          <w:b w:val="0"/>
          <w:color w:val="auto"/>
        </w:rPr>
      </w:pPr>
    </w:p>
    <w:p w:rsidR="009154B0" w:rsidRPr="00675469" w:rsidRDefault="008B70A4" w:rsidP="00B30263">
      <w:pPr>
        <w:pStyle w:val="Heading3"/>
        <w:spacing w:before="0"/>
        <w:jc w:val="both"/>
        <w:rPr>
          <w:rFonts w:asciiTheme="minorHAnsi" w:hAnsiTheme="minorHAnsi"/>
          <w:color w:val="auto"/>
        </w:rPr>
      </w:pPr>
      <w:r>
        <w:rPr>
          <w:rFonts w:asciiTheme="minorHAnsi" w:hAnsiTheme="minorHAnsi"/>
          <w:color w:val="auto"/>
        </w:rPr>
        <w:t>Step 2:  Median Depth Limit</w:t>
      </w:r>
      <w:r w:rsidR="00F2427B">
        <w:rPr>
          <w:rFonts w:asciiTheme="minorHAnsi" w:hAnsiTheme="minorHAnsi"/>
          <w:color w:val="auto"/>
        </w:rPr>
        <w:t xml:space="preserve"> Comparison for Each Data Year</w:t>
      </w:r>
    </w:p>
    <w:p w:rsidR="009154B0" w:rsidRPr="00675469" w:rsidRDefault="00F2427B" w:rsidP="00B30263">
      <w:pPr>
        <w:jc w:val="both"/>
      </w:pPr>
      <w:r w:rsidRPr="00F2427B">
        <w:t>Step 2 calculates the median depth of seagrass growth for each year of the four most recent datasets</w:t>
      </w:r>
      <w:r w:rsidR="00D0358E">
        <w:t>,</w:t>
      </w:r>
      <w:r w:rsidRPr="00F2427B">
        <w:t xml:space="preserve"> and then each year’s median i</w:t>
      </w:r>
      <w:r w:rsidR="008B70A4">
        <w:t>s compared to the TMDL median depth limit</w:t>
      </w:r>
      <w:r w:rsidRPr="00F2427B">
        <w:t xml:space="preserve"> target.  </w:t>
      </w:r>
      <w:r w:rsidR="00D0358E">
        <w:t xml:space="preserve">Three of the </w:t>
      </w:r>
      <w:r w:rsidRPr="00F2427B">
        <w:t xml:space="preserve">four </w:t>
      </w:r>
      <w:r w:rsidR="001F37CB" w:rsidRPr="00F2427B">
        <w:t>assessment years’</w:t>
      </w:r>
      <w:r w:rsidR="001F37CB">
        <w:t xml:space="preserve"> </w:t>
      </w:r>
      <w:r w:rsidRPr="00F2427B">
        <w:t xml:space="preserve">medians must meet or exceed the median TMDL </w:t>
      </w:r>
      <w:r w:rsidR="008B70A4">
        <w:t>depth limit</w:t>
      </w:r>
      <w:r w:rsidRPr="00F2427B">
        <w:t xml:space="preserve"> target </w:t>
      </w:r>
      <w:r w:rsidR="001F37CB">
        <w:t>f</w:t>
      </w:r>
      <w:r w:rsidRPr="00F2427B">
        <w:t>or a project zone to be Step 2 compliant.</w:t>
      </w:r>
    </w:p>
    <w:p w:rsidR="009154B0" w:rsidRPr="00675469" w:rsidRDefault="009154B0" w:rsidP="00B30263">
      <w:pPr>
        <w:jc w:val="both"/>
      </w:pPr>
    </w:p>
    <w:p w:rsidR="00120A4A" w:rsidRPr="00675469" w:rsidRDefault="00F2427B" w:rsidP="00B30263">
      <w:pPr>
        <w:jc w:val="both"/>
      </w:pPr>
      <w:r w:rsidRPr="00F2427B">
        <w:t>If a project zone is compliant based on the Step 1 and Step 2 analysis, the project zone is considered to be meeting the TMDL</w:t>
      </w:r>
      <w:r w:rsidR="007B44D4">
        <w:t xml:space="preserve"> seagrass </w:t>
      </w:r>
      <w:r w:rsidR="008B70A4">
        <w:t>depth limit</w:t>
      </w:r>
      <w:r w:rsidR="007B44D4">
        <w:t xml:space="preserve"> target</w:t>
      </w:r>
      <w:r w:rsidRPr="00F2427B">
        <w:t>.  If a project zone fails to meet either Step 1 or Step 2, it is not considered to be meeting the TMDL</w:t>
      </w:r>
      <w:r w:rsidR="007B44D4">
        <w:t xml:space="preserve"> seagrass </w:t>
      </w:r>
      <w:r w:rsidR="008B70A4">
        <w:t>depth limit</w:t>
      </w:r>
      <w:r w:rsidR="007B44D4">
        <w:t xml:space="preserve"> target</w:t>
      </w:r>
      <w:r w:rsidRPr="00F2427B">
        <w:t xml:space="preserve"> for that set of assessment years.  </w:t>
      </w:r>
    </w:p>
    <w:p w:rsidR="00120A4A" w:rsidRPr="00675469" w:rsidRDefault="00F2427B" w:rsidP="00B30263">
      <w:pPr>
        <w:jc w:val="both"/>
      </w:pPr>
      <w:r w:rsidRPr="00F2427B">
        <w:t xml:space="preserve">Following the steps described above, FDEP evaluated the </w:t>
      </w:r>
      <w:r w:rsidR="008B70A4">
        <w:t xml:space="preserve">data for </w:t>
      </w:r>
      <w:r w:rsidRPr="00F2427B">
        <w:t>mapping y</w:t>
      </w:r>
      <w:r w:rsidR="008B70A4">
        <w:t>ears 2003, 2005, 2006, and 2007</w:t>
      </w:r>
      <w:r w:rsidRPr="00F2427B">
        <w:t xml:space="preserve"> to determine if any of the project zones are achieving the seagrass </w:t>
      </w:r>
      <w:r w:rsidR="008B70A4">
        <w:t>depth limit</w:t>
      </w:r>
      <w:r w:rsidRPr="00F2427B">
        <w:t xml:space="preserve"> targets. </w:t>
      </w:r>
    </w:p>
    <w:p w:rsidR="00A2089D" w:rsidRPr="00675469" w:rsidRDefault="008B70A4" w:rsidP="00B30263">
      <w:pPr>
        <w:pStyle w:val="Heading3"/>
        <w:spacing w:before="0"/>
        <w:jc w:val="both"/>
        <w:rPr>
          <w:rFonts w:asciiTheme="minorHAnsi" w:hAnsiTheme="minorHAnsi"/>
          <w:color w:val="auto"/>
        </w:rPr>
      </w:pPr>
      <w:r>
        <w:rPr>
          <w:rFonts w:asciiTheme="minorHAnsi" w:hAnsiTheme="minorHAnsi"/>
          <w:color w:val="auto"/>
        </w:rPr>
        <w:lastRenderedPageBreak/>
        <w:t xml:space="preserve">Step 1: </w:t>
      </w:r>
      <w:r w:rsidR="00F2427B">
        <w:rPr>
          <w:rFonts w:asciiTheme="minorHAnsi" w:hAnsiTheme="minorHAnsi"/>
          <w:color w:val="auto"/>
        </w:rPr>
        <w:t>Cumulative Frequency Distribution Analysis</w:t>
      </w:r>
    </w:p>
    <w:p w:rsidR="00CC3818" w:rsidRDefault="00F2427B" w:rsidP="00B30263">
      <w:pPr>
        <w:jc w:val="both"/>
      </w:pPr>
      <w:r w:rsidRPr="00F2427B">
        <w:t>A cumulative frequency distribution curve was created for each project zone</w:t>
      </w:r>
      <w:r w:rsidR="009F3CDD">
        <w:t xml:space="preserve"> in the Central IRL</w:t>
      </w:r>
      <w:r w:rsidR="008B70A4">
        <w:t xml:space="preserve"> and </w:t>
      </w:r>
      <w:r w:rsidRPr="00F2427B">
        <w:t xml:space="preserve">the TMDL union coverage in that project zone.  Then, by project zone, the curve of the most recent data was plotted next to the TMDL union curve and the results were compared.  </w:t>
      </w:r>
    </w:p>
    <w:p w:rsidR="00CC3818" w:rsidRDefault="00CC3818" w:rsidP="00B30263">
      <w:pPr>
        <w:jc w:val="both"/>
      </w:pPr>
    </w:p>
    <w:p w:rsidR="00974459" w:rsidRDefault="00F2427B" w:rsidP="00B30263">
      <w:pPr>
        <w:jc w:val="both"/>
      </w:pPr>
      <w:r w:rsidRPr="00F2427B">
        <w:t>The frequency distribution curve</w:t>
      </w:r>
      <w:r w:rsidR="002A292F">
        <w:t xml:space="preserve">s </w:t>
      </w:r>
      <w:r w:rsidR="002611E6">
        <w:t xml:space="preserve">for </w:t>
      </w:r>
      <w:r w:rsidR="008B70A4">
        <w:t xml:space="preserve">the </w:t>
      </w:r>
      <w:r w:rsidR="009F3CDD">
        <w:t>Central IRL</w:t>
      </w:r>
      <w:r w:rsidR="008B70A4">
        <w:t xml:space="preserve"> are</w:t>
      </w:r>
      <w:r w:rsidRPr="00F2427B">
        <w:t xml:space="preserve"> </w:t>
      </w:r>
      <w:r w:rsidR="002A292F">
        <w:t xml:space="preserve">shown in Figure 1 to Figure 3 </w:t>
      </w:r>
      <w:r w:rsidRPr="00F2427B">
        <w:t>below.  The bl</w:t>
      </w:r>
      <w:r w:rsidR="008B70A4">
        <w:t xml:space="preserve">ue line </w:t>
      </w:r>
      <w:r w:rsidR="002A292F">
        <w:t>is</w:t>
      </w:r>
      <w:r w:rsidR="008B70A4">
        <w:t xml:space="preserve"> the TMDL target depth limit</w:t>
      </w:r>
      <w:r w:rsidRPr="00F2427B">
        <w:t xml:space="preserve"> cumulative frequency distribution curve.  The red line </w:t>
      </w:r>
      <w:r w:rsidR="006E4CE3">
        <w:t>i</w:t>
      </w:r>
      <w:r w:rsidRPr="00F2427B">
        <w:t xml:space="preserve">s the union assessment years curve </w:t>
      </w:r>
      <w:r w:rsidR="00CC3818">
        <w:t xml:space="preserve">for the </w:t>
      </w:r>
      <w:r w:rsidR="006E4CE3">
        <w:t>2003-2007</w:t>
      </w:r>
      <w:r w:rsidR="00CC3818">
        <w:t xml:space="preserve">.  Based on these curves, </w:t>
      </w:r>
      <w:r w:rsidR="009F3CDD">
        <w:t xml:space="preserve">all three Central IRL project zones are </w:t>
      </w:r>
      <w:r w:rsidR="00CC3818">
        <w:t>Step 1 compliant.</w:t>
      </w:r>
    </w:p>
    <w:p w:rsidR="00D0358E" w:rsidRPr="00675469" w:rsidRDefault="00D0358E" w:rsidP="00B30263">
      <w:pPr>
        <w:jc w:val="both"/>
      </w:pPr>
    </w:p>
    <w:p w:rsidR="000D3C5B" w:rsidRDefault="000D3C5B" w:rsidP="000D3C5B">
      <w:pPr>
        <w:widowControl w:val="0"/>
      </w:pPr>
      <w:r w:rsidRPr="000D3C5B">
        <w:rPr>
          <w:noProof/>
        </w:rPr>
        <w:drawing>
          <wp:inline distT="0" distB="0" distL="0" distR="0">
            <wp:extent cx="4756268" cy="2714625"/>
            <wp:effectExtent l="19050" t="0" r="6232" b="0"/>
            <wp:docPr id="1" name="Picture 1" descr="Central A Frequency Distribution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764294" cy="2719206"/>
                    </a:xfrm>
                    <a:prstGeom prst="rect">
                      <a:avLst/>
                    </a:prstGeom>
                    <a:noFill/>
                    <a:ln w="9525">
                      <a:noFill/>
                      <a:miter lim="800000"/>
                      <a:headEnd/>
                      <a:tailEnd/>
                    </a:ln>
                  </pic:spPr>
                </pic:pic>
              </a:graphicData>
            </a:graphic>
          </wp:inline>
        </w:drawing>
      </w:r>
    </w:p>
    <w:p w:rsidR="002A292F" w:rsidRPr="00675469" w:rsidRDefault="002A292F" w:rsidP="002A292F">
      <w:pPr>
        <w:pStyle w:val="Heading3"/>
        <w:keepNext w:val="0"/>
        <w:widowControl w:val="0"/>
        <w:spacing w:before="0"/>
      </w:pPr>
      <w:r>
        <w:rPr>
          <w:rFonts w:asciiTheme="minorHAnsi" w:hAnsiTheme="minorHAnsi"/>
          <w:color w:val="auto"/>
        </w:rPr>
        <w:t xml:space="preserve">Figure 1: </w:t>
      </w:r>
      <w:r w:rsidR="009F3CDD">
        <w:rPr>
          <w:rFonts w:asciiTheme="minorHAnsi" w:hAnsiTheme="minorHAnsi"/>
          <w:color w:val="auto"/>
        </w:rPr>
        <w:t>Central A</w:t>
      </w:r>
      <w:r>
        <w:rPr>
          <w:rFonts w:asciiTheme="minorHAnsi" w:hAnsiTheme="minorHAnsi"/>
          <w:color w:val="auto"/>
        </w:rPr>
        <w:t xml:space="preserve"> Frequency Distribution Curves</w:t>
      </w:r>
    </w:p>
    <w:p w:rsidR="00977367" w:rsidRDefault="00977367" w:rsidP="00977367"/>
    <w:p w:rsidR="000D3C5B" w:rsidRDefault="000D3C5B" w:rsidP="00977367">
      <w:r w:rsidRPr="000D3C5B">
        <w:rPr>
          <w:noProof/>
        </w:rPr>
        <w:drawing>
          <wp:inline distT="0" distB="0" distL="0" distR="0">
            <wp:extent cx="4798575" cy="2724150"/>
            <wp:effectExtent l="19050" t="0" r="2025" b="0"/>
            <wp:docPr id="2" name="Picture 2" descr="Central SEB Frequency Distribution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806063" cy="2728401"/>
                    </a:xfrm>
                    <a:prstGeom prst="rect">
                      <a:avLst/>
                    </a:prstGeom>
                    <a:noFill/>
                    <a:ln w="9525">
                      <a:noFill/>
                      <a:miter lim="800000"/>
                      <a:headEnd/>
                      <a:tailEnd/>
                    </a:ln>
                  </pic:spPr>
                </pic:pic>
              </a:graphicData>
            </a:graphic>
          </wp:inline>
        </w:drawing>
      </w:r>
    </w:p>
    <w:p w:rsidR="002A292F" w:rsidRPr="00675469" w:rsidRDefault="002A292F" w:rsidP="002A292F">
      <w:pPr>
        <w:pStyle w:val="Heading3"/>
        <w:keepNext w:val="0"/>
        <w:widowControl w:val="0"/>
        <w:spacing w:before="0"/>
        <w:rPr>
          <w:rFonts w:asciiTheme="minorHAnsi" w:hAnsiTheme="minorHAnsi"/>
          <w:color w:val="auto"/>
        </w:rPr>
      </w:pPr>
      <w:r>
        <w:rPr>
          <w:rFonts w:asciiTheme="minorHAnsi" w:hAnsiTheme="minorHAnsi"/>
          <w:color w:val="auto"/>
        </w:rPr>
        <w:t xml:space="preserve">Figure 2: </w:t>
      </w:r>
      <w:r w:rsidR="009F3CDD">
        <w:rPr>
          <w:rFonts w:asciiTheme="minorHAnsi" w:hAnsiTheme="minorHAnsi"/>
          <w:color w:val="auto"/>
        </w:rPr>
        <w:t>Central SEB</w:t>
      </w:r>
      <w:r>
        <w:rPr>
          <w:rFonts w:asciiTheme="minorHAnsi" w:hAnsiTheme="minorHAnsi"/>
          <w:color w:val="auto"/>
        </w:rPr>
        <w:t xml:space="preserve"> Frequency Distribution Curves</w:t>
      </w:r>
    </w:p>
    <w:p w:rsidR="00974459" w:rsidRPr="00675469" w:rsidRDefault="00974459" w:rsidP="00540CCA"/>
    <w:p w:rsidR="00974459" w:rsidRPr="00675469" w:rsidRDefault="000D3C5B" w:rsidP="00540CCA">
      <w:r w:rsidRPr="000D3C5B">
        <w:rPr>
          <w:noProof/>
        </w:rPr>
        <w:lastRenderedPageBreak/>
        <w:drawing>
          <wp:inline distT="0" distB="0" distL="0" distR="0">
            <wp:extent cx="4574795" cy="2724150"/>
            <wp:effectExtent l="19050" t="0" r="0" b="0"/>
            <wp:docPr id="7" name="Picture 4" descr="Central B Frequency Distribution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575797" cy="2724746"/>
                    </a:xfrm>
                    <a:prstGeom prst="rect">
                      <a:avLst/>
                    </a:prstGeom>
                    <a:noFill/>
                    <a:ln w="9525">
                      <a:noFill/>
                      <a:miter lim="800000"/>
                      <a:headEnd/>
                      <a:tailEnd/>
                    </a:ln>
                  </pic:spPr>
                </pic:pic>
              </a:graphicData>
            </a:graphic>
          </wp:inline>
        </w:drawing>
      </w:r>
    </w:p>
    <w:p w:rsidR="006E4CE3" w:rsidRPr="00675469" w:rsidRDefault="006E4CE3" w:rsidP="006E4CE3">
      <w:pPr>
        <w:pStyle w:val="Heading3"/>
        <w:spacing w:before="0"/>
        <w:rPr>
          <w:rFonts w:asciiTheme="minorHAnsi" w:hAnsiTheme="minorHAnsi"/>
          <w:color w:val="auto"/>
        </w:rPr>
      </w:pPr>
      <w:r>
        <w:rPr>
          <w:rFonts w:asciiTheme="minorHAnsi" w:hAnsiTheme="minorHAnsi"/>
          <w:color w:val="auto"/>
        </w:rPr>
        <w:t xml:space="preserve">Figure 3: </w:t>
      </w:r>
      <w:r w:rsidR="009F3CDD">
        <w:rPr>
          <w:rFonts w:asciiTheme="minorHAnsi" w:hAnsiTheme="minorHAnsi"/>
          <w:color w:val="auto"/>
        </w:rPr>
        <w:t>Central</w:t>
      </w:r>
      <w:r>
        <w:rPr>
          <w:rFonts w:asciiTheme="minorHAnsi" w:hAnsiTheme="minorHAnsi"/>
          <w:color w:val="auto"/>
        </w:rPr>
        <w:t xml:space="preserve"> B Frequency Distribution Curve</w:t>
      </w:r>
    </w:p>
    <w:p w:rsidR="00974459" w:rsidRPr="00675469" w:rsidRDefault="00974459" w:rsidP="00540CCA"/>
    <w:p w:rsidR="00225B59" w:rsidRPr="00675469" w:rsidRDefault="00F2427B" w:rsidP="00540CCA">
      <w:pPr>
        <w:pStyle w:val="Heading3"/>
        <w:spacing w:before="0"/>
        <w:jc w:val="left"/>
        <w:rPr>
          <w:rFonts w:asciiTheme="minorHAnsi" w:hAnsiTheme="minorHAnsi"/>
          <w:color w:val="auto"/>
        </w:rPr>
      </w:pPr>
      <w:r>
        <w:rPr>
          <w:rFonts w:asciiTheme="minorHAnsi" w:hAnsiTheme="minorHAnsi"/>
          <w:color w:val="auto"/>
        </w:rPr>
        <w:t>Step 2: Median Comparison for Each Depth Year</w:t>
      </w:r>
    </w:p>
    <w:p w:rsidR="00123FBA" w:rsidRPr="00675469" w:rsidRDefault="00F2427B" w:rsidP="00B30263">
      <w:pPr>
        <w:jc w:val="both"/>
      </w:pPr>
      <w:r w:rsidRPr="00F2427B">
        <w:t xml:space="preserve">Step 1 compliance was </w:t>
      </w:r>
      <w:r w:rsidR="009F3CDD">
        <w:t>achieved for all three project zones; therefore,</w:t>
      </w:r>
      <w:r w:rsidRPr="00F2427B">
        <w:t xml:space="preserve"> FDEP performed Step 2 for all project zones.  If </w:t>
      </w:r>
      <w:r w:rsidR="009F3CDD">
        <w:t>th</w:t>
      </w:r>
      <w:r w:rsidR="001414B7">
        <w:t xml:space="preserve">e </w:t>
      </w:r>
      <w:r w:rsidR="00567CF8">
        <w:t>project zones</w:t>
      </w:r>
      <w:r w:rsidR="001414B7">
        <w:t xml:space="preserve"> </w:t>
      </w:r>
      <w:r w:rsidR="009F3CDD">
        <w:t xml:space="preserve">are both </w:t>
      </w:r>
      <w:r w:rsidR="001414B7">
        <w:t xml:space="preserve">Step 1 </w:t>
      </w:r>
      <w:r w:rsidR="009F3CDD">
        <w:t>and</w:t>
      </w:r>
      <w:r w:rsidRPr="00F2427B">
        <w:t xml:space="preserve"> Step 2</w:t>
      </w:r>
      <w:r w:rsidR="009F3CDD">
        <w:t xml:space="preserve"> compliant</w:t>
      </w:r>
      <w:r w:rsidRPr="00F2427B">
        <w:t xml:space="preserve">, </w:t>
      </w:r>
      <w:r w:rsidR="001414B7">
        <w:t>they</w:t>
      </w:r>
      <w:r w:rsidR="001414B7" w:rsidRPr="00F2427B">
        <w:t xml:space="preserve"> </w:t>
      </w:r>
      <w:r w:rsidRPr="00F2427B">
        <w:t>would be considered to be TMDL compliant at</w:t>
      </w:r>
      <w:r w:rsidR="006E4CE3">
        <w:t xml:space="preserve"> this time.  </w:t>
      </w:r>
      <w:r w:rsidRPr="00F2427B">
        <w:t xml:space="preserve">The TMDL median deep edge seagrass depth and the medians for each year, by project zone, are presented </w:t>
      </w:r>
      <w:r w:rsidR="006E4CE3">
        <w:t>in Table 1</w:t>
      </w:r>
      <w:r w:rsidRPr="00F2427B">
        <w:t xml:space="preserve">.  The years where the median exceeds </w:t>
      </w:r>
      <w:r w:rsidR="00841FB8">
        <w:t>the TMDL median are highlighted and a determination of Step 2 compliance is included.</w:t>
      </w:r>
    </w:p>
    <w:p w:rsidR="009A718B" w:rsidRDefault="009A718B" w:rsidP="00B30263">
      <w:pPr>
        <w:jc w:val="both"/>
      </w:pPr>
    </w:p>
    <w:p w:rsidR="006E4CE3" w:rsidRDefault="006E4CE3" w:rsidP="006E4CE3">
      <w:pPr>
        <w:keepNext/>
        <w:rPr>
          <w:b/>
        </w:rPr>
      </w:pPr>
      <w:r w:rsidRPr="006E4CE3">
        <w:rPr>
          <w:b/>
        </w:rPr>
        <w:t>Table 1: Step 2 Compliance Evaluation</w:t>
      </w:r>
    </w:p>
    <w:p w:rsidR="006E4CE3" w:rsidRPr="006E4CE3" w:rsidRDefault="006E4CE3" w:rsidP="006E4CE3">
      <w:pPr>
        <w:keepNext/>
        <w:rPr>
          <w:sz w:val="20"/>
        </w:rPr>
      </w:pPr>
      <w:r w:rsidRPr="006E4CE3">
        <w:rPr>
          <w:sz w:val="20"/>
        </w:rPr>
        <w:t>*Years that meet or exceed the TMDL median.</w:t>
      </w:r>
    </w:p>
    <w:tbl>
      <w:tblPr>
        <w:tblW w:w="557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9"/>
        <w:gridCol w:w="1171"/>
        <w:gridCol w:w="1373"/>
        <w:gridCol w:w="1068"/>
      </w:tblGrid>
      <w:tr w:rsidR="00C3666D" w:rsidRPr="00675469" w:rsidTr="009F3CDD">
        <w:trPr>
          <w:trHeight w:val="70"/>
          <w:jc w:val="center"/>
        </w:trPr>
        <w:tc>
          <w:tcPr>
            <w:tcW w:w="1959" w:type="dxa"/>
            <w:shd w:val="clear" w:color="auto" w:fill="DBE5F1" w:themeFill="accent1" w:themeFillTint="33"/>
            <w:noWrap/>
            <w:vAlign w:val="center"/>
            <w:hideMark/>
          </w:tcPr>
          <w:p w:rsidR="00C3666D" w:rsidRPr="00675469" w:rsidRDefault="00C3666D" w:rsidP="006E4CE3">
            <w:pPr>
              <w:keepNext/>
              <w:rPr>
                <w:rFonts w:eastAsia="Times New Roman" w:cs="Times New Roman"/>
                <w:b/>
              </w:rPr>
            </w:pPr>
            <w:r w:rsidRPr="00F2427B">
              <w:rPr>
                <w:rFonts w:eastAsia="Times New Roman" w:cs="Times New Roman"/>
                <w:b/>
              </w:rPr>
              <w:t>Year</w:t>
            </w:r>
          </w:p>
        </w:tc>
        <w:tc>
          <w:tcPr>
            <w:tcW w:w="1171" w:type="dxa"/>
            <w:shd w:val="clear" w:color="auto" w:fill="DBE5F1" w:themeFill="accent1" w:themeFillTint="33"/>
            <w:noWrap/>
            <w:vAlign w:val="center"/>
            <w:hideMark/>
          </w:tcPr>
          <w:p w:rsidR="00C3666D" w:rsidRPr="00675469" w:rsidRDefault="009F3CDD" w:rsidP="006E4CE3">
            <w:pPr>
              <w:keepNext/>
              <w:rPr>
                <w:rFonts w:eastAsia="Times New Roman" w:cs="Times New Roman"/>
                <w:b/>
              </w:rPr>
            </w:pPr>
            <w:r>
              <w:rPr>
                <w:rFonts w:eastAsia="Times New Roman" w:cs="Times New Roman"/>
                <w:b/>
              </w:rPr>
              <w:t>Central A</w:t>
            </w:r>
          </w:p>
        </w:tc>
        <w:tc>
          <w:tcPr>
            <w:tcW w:w="1373" w:type="dxa"/>
            <w:shd w:val="clear" w:color="auto" w:fill="DBE5F1" w:themeFill="accent1" w:themeFillTint="33"/>
            <w:vAlign w:val="center"/>
          </w:tcPr>
          <w:p w:rsidR="00C3666D" w:rsidRPr="00675469" w:rsidRDefault="009F3CDD" w:rsidP="006E4CE3">
            <w:pPr>
              <w:keepNext/>
              <w:rPr>
                <w:rFonts w:eastAsia="Times New Roman" w:cs="Times New Roman"/>
                <w:b/>
              </w:rPr>
            </w:pPr>
            <w:r>
              <w:rPr>
                <w:rFonts w:eastAsia="Times New Roman" w:cs="Times New Roman"/>
                <w:b/>
              </w:rPr>
              <w:t>Central SEB</w:t>
            </w:r>
          </w:p>
        </w:tc>
        <w:tc>
          <w:tcPr>
            <w:tcW w:w="1068" w:type="dxa"/>
            <w:shd w:val="clear" w:color="auto" w:fill="DBE5F1" w:themeFill="accent1" w:themeFillTint="33"/>
            <w:vAlign w:val="center"/>
          </w:tcPr>
          <w:p w:rsidR="00C3666D" w:rsidRPr="00675469" w:rsidRDefault="009F3CDD" w:rsidP="006E4CE3">
            <w:pPr>
              <w:keepNext/>
              <w:rPr>
                <w:rFonts w:eastAsia="Times New Roman" w:cs="Times New Roman"/>
                <w:b/>
              </w:rPr>
            </w:pPr>
            <w:r>
              <w:rPr>
                <w:rFonts w:eastAsia="Times New Roman" w:cs="Times New Roman"/>
                <w:b/>
              </w:rPr>
              <w:t>Central</w:t>
            </w:r>
            <w:r w:rsidR="00C3666D" w:rsidRPr="00F2427B">
              <w:rPr>
                <w:rFonts w:eastAsia="Times New Roman" w:cs="Times New Roman"/>
                <w:b/>
              </w:rPr>
              <w:t xml:space="preserve"> B</w:t>
            </w:r>
          </w:p>
        </w:tc>
      </w:tr>
      <w:tr w:rsidR="00C3666D" w:rsidRPr="00675469" w:rsidTr="009F3CDD">
        <w:trPr>
          <w:trHeight w:val="70"/>
          <w:jc w:val="center"/>
        </w:trPr>
        <w:tc>
          <w:tcPr>
            <w:tcW w:w="1959" w:type="dxa"/>
            <w:shd w:val="clear" w:color="auto" w:fill="auto"/>
            <w:noWrap/>
            <w:vAlign w:val="bottom"/>
            <w:hideMark/>
          </w:tcPr>
          <w:p w:rsidR="00C3666D" w:rsidRPr="00675469" w:rsidRDefault="00C3666D" w:rsidP="006E4CE3">
            <w:pPr>
              <w:keepNext/>
              <w:jc w:val="right"/>
              <w:rPr>
                <w:rFonts w:eastAsia="Times New Roman" w:cs="Times New Roman"/>
              </w:rPr>
            </w:pPr>
            <w:r w:rsidRPr="00F2427B">
              <w:rPr>
                <w:rFonts w:eastAsia="Times New Roman" w:cs="Times New Roman"/>
              </w:rPr>
              <w:t>TMDL Median</w:t>
            </w:r>
          </w:p>
        </w:tc>
        <w:tc>
          <w:tcPr>
            <w:tcW w:w="1171" w:type="dxa"/>
            <w:shd w:val="clear" w:color="auto" w:fill="auto"/>
            <w:noWrap/>
            <w:vAlign w:val="bottom"/>
            <w:hideMark/>
          </w:tcPr>
          <w:p w:rsidR="00C3666D" w:rsidRPr="00675469" w:rsidRDefault="000D3C5B" w:rsidP="006E4CE3">
            <w:pPr>
              <w:keepNext/>
              <w:jc w:val="right"/>
              <w:rPr>
                <w:rFonts w:eastAsia="Times New Roman" w:cs="Times New Roman"/>
              </w:rPr>
            </w:pPr>
            <w:r>
              <w:rPr>
                <w:rFonts w:eastAsia="Times New Roman" w:cs="Times New Roman"/>
              </w:rPr>
              <w:t>1.27</w:t>
            </w:r>
          </w:p>
        </w:tc>
        <w:tc>
          <w:tcPr>
            <w:tcW w:w="1373" w:type="dxa"/>
            <w:vAlign w:val="bottom"/>
          </w:tcPr>
          <w:p w:rsidR="00C3666D" w:rsidRPr="00675469" w:rsidRDefault="000D3C5B" w:rsidP="006E4CE3">
            <w:pPr>
              <w:keepNext/>
              <w:jc w:val="right"/>
              <w:rPr>
                <w:rFonts w:eastAsia="Times New Roman" w:cs="Times New Roman"/>
              </w:rPr>
            </w:pPr>
            <w:r>
              <w:rPr>
                <w:rFonts w:eastAsia="Times New Roman" w:cs="Times New Roman"/>
              </w:rPr>
              <w:t>1.20</w:t>
            </w:r>
          </w:p>
        </w:tc>
        <w:tc>
          <w:tcPr>
            <w:tcW w:w="1068" w:type="dxa"/>
            <w:vAlign w:val="bottom"/>
          </w:tcPr>
          <w:p w:rsidR="00C3666D" w:rsidRPr="00675469" w:rsidRDefault="000D3C5B" w:rsidP="006E4CE3">
            <w:pPr>
              <w:keepNext/>
              <w:jc w:val="right"/>
              <w:rPr>
                <w:rFonts w:eastAsia="Times New Roman" w:cs="Times New Roman"/>
              </w:rPr>
            </w:pPr>
            <w:r>
              <w:rPr>
                <w:rFonts w:eastAsia="Times New Roman" w:cs="Times New Roman"/>
              </w:rPr>
              <w:t>1.15</w:t>
            </w:r>
          </w:p>
        </w:tc>
      </w:tr>
      <w:tr w:rsidR="00C3666D" w:rsidRPr="00675469" w:rsidTr="000D3C5B">
        <w:trPr>
          <w:trHeight w:val="70"/>
          <w:jc w:val="center"/>
        </w:trPr>
        <w:tc>
          <w:tcPr>
            <w:tcW w:w="1959" w:type="dxa"/>
            <w:shd w:val="clear" w:color="auto" w:fill="auto"/>
            <w:noWrap/>
            <w:vAlign w:val="bottom"/>
            <w:hideMark/>
          </w:tcPr>
          <w:p w:rsidR="00C3666D" w:rsidRPr="00675469" w:rsidRDefault="00C3666D" w:rsidP="00540CCA">
            <w:pPr>
              <w:jc w:val="right"/>
              <w:rPr>
                <w:rFonts w:eastAsia="Times New Roman" w:cs="Times New Roman"/>
              </w:rPr>
            </w:pPr>
            <w:r w:rsidRPr="00F2427B">
              <w:rPr>
                <w:rFonts w:eastAsia="Times New Roman" w:cs="Times New Roman"/>
              </w:rPr>
              <w:t>2003</w:t>
            </w:r>
          </w:p>
        </w:tc>
        <w:tc>
          <w:tcPr>
            <w:tcW w:w="1171" w:type="dxa"/>
            <w:shd w:val="clear" w:color="auto" w:fill="FFFF00"/>
            <w:noWrap/>
            <w:vAlign w:val="bottom"/>
            <w:hideMark/>
          </w:tcPr>
          <w:p w:rsidR="00C3666D" w:rsidRPr="00675469" w:rsidRDefault="000D3C5B" w:rsidP="00540CCA">
            <w:pPr>
              <w:jc w:val="right"/>
              <w:rPr>
                <w:rFonts w:eastAsia="Times New Roman" w:cs="Times New Roman"/>
              </w:rPr>
            </w:pPr>
            <w:r>
              <w:rPr>
                <w:rFonts w:eastAsia="Times New Roman" w:cs="Times New Roman"/>
              </w:rPr>
              <w:t>1.29*</w:t>
            </w:r>
          </w:p>
        </w:tc>
        <w:tc>
          <w:tcPr>
            <w:tcW w:w="1373" w:type="dxa"/>
            <w:shd w:val="clear" w:color="auto" w:fill="auto"/>
            <w:vAlign w:val="bottom"/>
          </w:tcPr>
          <w:p w:rsidR="00C3666D" w:rsidRPr="00675469" w:rsidRDefault="000D3C5B" w:rsidP="00540CCA">
            <w:pPr>
              <w:jc w:val="right"/>
              <w:rPr>
                <w:rFonts w:eastAsia="Times New Roman" w:cs="Times New Roman"/>
              </w:rPr>
            </w:pPr>
            <w:r>
              <w:rPr>
                <w:rFonts w:eastAsia="Times New Roman" w:cs="Times New Roman"/>
              </w:rPr>
              <w:t>1.18</w:t>
            </w:r>
          </w:p>
        </w:tc>
        <w:tc>
          <w:tcPr>
            <w:tcW w:w="1068" w:type="dxa"/>
            <w:shd w:val="clear" w:color="auto" w:fill="FFFF00"/>
            <w:vAlign w:val="bottom"/>
          </w:tcPr>
          <w:p w:rsidR="00C3666D" w:rsidRPr="00675469" w:rsidRDefault="000D3C5B" w:rsidP="00540CCA">
            <w:pPr>
              <w:jc w:val="right"/>
              <w:rPr>
                <w:rFonts w:eastAsia="Times New Roman" w:cs="Times New Roman"/>
              </w:rPr>
            </w:pPr>
            <w:r>
              <w:rPr>
                <w:rFonts w:eastAsia="Times New Roman" w:cs="Times New Roman"/>
              </w:rPr>
              <w:t>1.15*</w:t>
            </w:r>
          </w:p>
        </w:tc>
      </w:tr>
      <w:tr w:rsidR="00C3666D" w:rsidRPr="00675469" w:rsidTr="000D3C5B">
        <w:trPr>
          <w:trHeight w:val="70"/>
          <w:jc w:val="center"/>
        </w:trPr>
        <w:tc>
          <w:tcPr>
            <w:tcW w:w="1959" w:type="dxa"/>
            <w:shd w:val="clear" w:color="auto" w:fill="auto"/>
            <w:noWrap/>
            <w:vAlign w:val="bottom"/>
            <w:hideMark/>
          </w:tcPr>
          <w:p w:rsidR="00C3666D" w:rsidRPr="00675469" w:rsidRDefault="00C3666D" w:rsidP="00540CCA">
            <w:pPr>
              <w:jc w:val="right"/>
              <w:rPr>
                <w:rFonts w:eastAsia="Times New Roman" w:cs="Times New Roman"/>
              </w:rPr>
            </w:pPr>
            <w:r w:rsidRPr="00F2427B">
              <w:rPr>
                <w:rFonts w:eastAsia="Times New Roman" w:cs="Times New Roman"/>
              </w:rPr>
              <w:t>2005</w:t>
            </w:r>
          </w:p>
        </w:tc>
        <w:tc>
          <w:tcPr>
            <w:tcW w:w="1171" w:type="dxa"/>
            <w:shd w:val="clear" w:color="auto" w:fill="FFFF00"/>
            <w:noWrap/>
            <w:vAlign w:val="bottom"/>
            <w:hideMark/>
          </w:tcPr>
          <w:p w:rsidR="00C3666D" w:rsidRPr="00675469" w:rsidRDefault="000D3C5B" w:rsidP="00540CCA">
            <w:pPr>
              <w:jc w:val="right"/>
              <w:rPr>
                <w:rFonts w:eastAsia="Times New Roman" w:cs="Times New Roman"/>
              </w:rPr>
            </w:pPr>
            <w:r>
              <w:rPr>
                <w:rFonts w:eastAsia="Times New Roman" w:cs="Times New Roman"/>
              </w:rPr>
              <w:t>1.29*</w:t>
            </w:r>
          </w:p>
        </w:tc>
        <w:tc>
          <w:tcPr>
            <w:tcW w:w="1373" w:type="dxa"/>
            <w:shd w:val="clear" w:color="auto" w:fill="FFFF00"/>
            <w:vAlign w:val="bottom"/>
          </w:tcPr>
          <w:p w:rsidR="00C3666D" w:rsidRPr="00675469" w:rsidRDefault="000D3C5B" w:rsidP="00540CCA">
            <w:pPr>
              <w:jc w:val="right"/>
              <w:rPr>
                <w:rFonts w:eastAsia="Times New Roman" w:cs="Times New Roman"/>
              </w:rPr>
            </w:pPr>
            <w:r>
              <w:rPr>
                <w:rFonts w:eastAsia="Times New Roman" w:cs="Times New Roman"/>
              </w:rPr>
              <w:t>1.21*</w:t>
            </w:r>
          </w:p>
        </w:tc>
        <w:tc>
          <w:tcPr>
            <w:tcW w:w="1068" w:type="dxa"/>
            <w:shd w:val="clear" w:color="auto" w:fill="FFFF00"/>
            <w:vAlign w:val="bottom"/>
          </w:tcPr>
          <w:p w:rsidR="00C3666D" w:rsidRPr="00675469" w:rsidRDefault="000D3C5B" w:rsidP="00540CCA">
            <w:pPr>
              <w:jc w:val="right"/>
              <w:rPr>
                <w:rFonts w:eastAsia="Times New Roman" w:cs="Times New Roman"/>
              </w:rPr>
            </w:pPr>
            <w:r>
              <w:rPr>
                <w:rFonts w:eastAsia="Times New Roman" w:cs="Times New Roman"/>
              </w:rPr>
              <w:t>1.18*</w:t>
            </w:r>
          </w:p>
        </w:tc>
      </w:tr>
      <w:tr w:rsidR="00C3666D" w:rsidRPr="00675469" w:rsidTr="000D3C5B">
        <w:trPr>
          <w:trHeight w:val="70"/>
          <w:jc w:val="center"/>
        </w:trPr>
        <w:tc>
          <w:tcPr>
            <w:tcW w:w="1959" w:type="dxa"/>
            <w:shd w:val="clear" w:color="auto" w:fill="auto"/>
            <w:noWrap/>
            <w:vAlign w:val="bottom"/>
            <w:hideMark/>
          </w:tcPr>
          <w:p w:rsidR="00C3666D" w:rsidRPr="00675469" w:rsidRDefault="00C3666D" w:rsidP="00540CCA">
            <w:pPr>
              <w:jc w:val="right"/>
              <w:rPr>
                <w:rFonts w:eastAsia="Times New Roman" w:cs="Times New Roman"/>
              </w:rPr>
            </w:pPr>
            <w:r w:rsidRPr="00F2427B">
              <w:rPr>
                <w:rFonts w:eastAsia="Times New Roman" w:cs="Times New Roman"/>
              </w:rPr>
              <w:t>2006</w:t>
            </w:r>
          </w:p>
        </w:tc>
        <w:tc>
          <w:tcPr>
            <w:tcW w:w="1171" w:type="dxa"/>
            <w:shd w:val="clear" w:color="auto" w:fill="FFFF00"/>
            <w:noWrap/>
            <w:vAlign w:val="bottom"/>
            <w:hideMark/>
          </w:tcPr>
          <w:p w:rsidR="00C3666D" w:rsidRPr="00675469" w:rsidRDefault="000D3C5B" w:rsidP="00540CCA">
            <w:pPr>
              <w:jc w:val="right"/>
              <w:rPr>
                <w:rFonts w:eastAsia="Times New Roman" w:cs="Times New Roman"/>
              </w:rPr>
            </w:pPr>
            <w:r>
              <w:rPr>
                <w:rFonts w:eastAsia="Times New Roman" w:cs="Times New Roman"/>
              </w:rPr>
              <w:t>1.29*</w:t>
            </w:r>
          </w:p>
        </w:tc>
        <w:tc>
          <w:tcPr>
            <w:tcW w:w="1373" w:type="dxa"/>
            <w:shd w:val="clear" w:color="auto" w:fill="FFFF00"/>
            <w:vAlign w:val="bottom"/>
          </w:tcPr>
          <w:p w:rsidR="00C3666D" w:rsidRPr="00675469" w:rsidRDefault="000D3C5B" w:rsidP="00540CCA">
            <w:pPr>
              <w:jc w:val="right"/>
              <w:rPr>
                <w:rFonts w:eastAsia="Times New Roman" w:cs="Times New Roman"/>
              </w:rPr>
            </w:pPr>
            <w:r>
              <w:rPr>
                <w:rFonts w:eastAsia="Times New Roman" w:cs="Times New Roman"/>
              </w:rPr>
              <w:t>1.24*</w:t>
            </w:r>
          </w:p>
        </w:tc>
        <w:tc>
          <w:tcPr>
            <w:tcW w:w="1068" w:type="dxa"/>
            <w:shd w:val="clear" w:color="auto" w:fill="FFFF00"/>
            <w:vAlign w:val="bottom"/>
          </w:tcPr>
          <w:p w:rsidR="00C3666D" w:rsidRPr="00675469" w:rsidRDefault="000D3C5B" w:rsidP="00540CCA">
            <w:pPr>
              <w:jc w:val="right"/>
              <w:rPr>
                <w:rFonts w:eastAsia="Times New Roman" w:cs="Times New Roman"/>
              </w:rPr>
            </w:pPr>
            <w:r>
              <w:rPr>
                <w:rFonts w:eastAsia="Times New Roman" w:cs="Times New Roman"/>
              </w:rPr>
              <w:t>1.21*</w:t>
            </w:r>
          </w:p>
        </w:tc>
      </w:tr>
      <w:tr w:rsidR="00C3666D" w:rsidRPr="00675469" w:rsidTr="000D3C5B">
        <w:trPr>
          <w:trHeight w:val="70"/>
          <w:jc w:val="center"/>
        </w:trPr>
        <w:tc>
          <w:tcPr>
            <w:tcW w:w="1959" w:type="dxa"/>
            <w:shd w:val="clear" w:color="auto" w:fill="auto"/>
            <w:noWrap/>
            <w:vAlign w:val="bottom"/>
            <w:hideMark/>
          </w:tcPr>
          <w:p w:rsidR="00C3666D" w:rsidRPr="00675469" w:rsidRDefault="00C3666D" w:rsidP="00540CCA">
            <w:pPr>
              <w:jc w:val="right"/>
              <w:rPr>
                <w:rFonts w:eastAsia="Times New Roman" w:cs="Times New Roman"/>
              </w:rPr>
            </w:pPr>
            <w:r w:rsidRPr="00F2427B">
              <w:rPr>
                <w:rFonts w:eastAsia="Times New Roman" w:cs="Times New Roman"/>
              </w:rPr>
              <w:t>2007</w:t>
            </w:r>
          </w:p>
        </w:tc>
        <w:tc>
          <w:tcPr>
            <w:tcW w:w="1171" w:type="dxa"/>
            <w:shd w:val="clear" w:color="auto" w:fill="FFFF00"/>
            <w:noWrap/>
            <w:vAlign w:val="bottom"/>
            <w:hideMark/>
          </w:tcPr>
          <w:p w:rsidR="00C3666D" w:rsidRPr="00675469" w:rsidRDefault="000D3C5B" w:rsidP="00540CCA">
            <w:pPr>
              <w:jc w:val="right"/>
              <w:rPr>
                <w:rFonts w:eastAsia="Times New Roman" w:cs="Times New Roman"/>
              </w:rPr>
            </w:pPr>
            <w:r>
              <w:rPr>
                <w:rFonts w:eastAsia="Times New Roman" w:cs="Times New Roman"/>
              </w:rPr>
              <w:t>1.39*</w:t>
            </w:r>
          </w:p>
        </w:tc>
        <w:tc>
          <w:tcPr>
            <w:tcW w:w="1373" w:type="dxa"/>
            <w:shd w:val="clear" w:color="auto" w:fill="FFFF00"/>
            <w:vAlign w:val="bottom"/>
          </w:tcPr>
          <w:p w:rsidR="00C3666D" w:rsidRPr="00675469" w:rsidRDefault="000D3C5B" w:rsidP="00540CCA">
            <w:pPr>
              <w:jc w:val="right"/>
              <w:rPr>
                <w:rFonts w:eastAsia="Times New Roman" w:cs="Times New Roman"/>
              </w:rPr>
            </w:pPr>
            <w:r>
              <w:rPr>
                <w:rFonts w:eastAsia="Times New Roman" w:cs="Times New Roman"/>
              </w:rPr>
              <w:t>1.27*</w:t>
            </w:r>
          </w:p>
        </w:tc>
        <w:tc>
          <w:tcPr>
            <w:tcW w:w="1068" w:type="dxa"/>
            <w:shd w:val="clear" w:color="auto" w:fill="FFFF00"/>
            <w:vAlign w:val="bottom"/>
          </w:tcPr>
          <w:p w:rsidR="00C3666D" w:rsidRPr="00675469" w:rsidRDefault="000D3C5B" w:rsidP="00540CCA">
            <w:pPr>
              <w:jc w:val="right"/>
              <w:rPr>
                <w:rFonts w:eastAsia="Times New Roman" w:cs="Times New Roman"/>
              </w:rPr>
            </w:pPr>
            <w:r>
              <w:rPr>
                <w:rFonts w:eastAsia="Times New Roman" w:cs="Times New Roman"/>
              </w:rPr>
              <w:t>1.27*</w:t>
            </w:r>
          </w:p>
        </w:tc>
      </w:tr>
      <w:tr w:rsidR="00C3666D" w:rsidRPr="00675469" w:rsidTr="009F3CDD">
        <w:trPr>
          <w:trHeight w:val="70"/>
          <w:jc w:val="center"/>
        </w:trPr>
        <w:tc>
          <w:tcPr>
            <w:tcW w:w="1959" w:type="dxa"/>
            <w:shd w:val="clear" w:color="auto" w:fill="auto"/>
            <w:noWrap/>
            <w:vAlign w:val="bottom"/>
            <w:hideMark/>
          </w:tcPr>
          <w:p w:rsidR="00C3666D" w:rsidRPr="00F2427B" w:rsidRDefault="00C3666D" w:rsidP="00540CCA">
            <w:pPr>
              <w:jc w:val="right"/>
              <w:rPr>
                <w:rFonts w:eastAsia="Times New Roman" w:cs="Times New Roman"/>
              </w:rPr>
            </w:pPr>
            <w:r>
              <w:rPr>
                <w:rFonts w:eastAsia="Times New Roman" w:cs="Times New Roman"/>
              </w:rPr>
              <w:t>Step 2 Compliant?</w:t>
            </w:r>
          </w:p>
        </w:tc>
        <w:tc>
          <w:tcPr>
            <w:tcW w:w="1171" w:type="dxa"/>
            <w:shd w:val="clear" w:color="auto" w:fill="auto"/>
            <w:noWrap/>
            <w:vAlign w:val="bottom"/>
            <w:hideMark/>
          </w:tcPr>
          <w:p w:rsidR="00C3666D" w:rsidRPr="00F2427B" w:rsidRDefault="009F3CDD" w:rsidP="00540CCA">
            <w:pPr>
              <w:jc w:val="right"/>
              <w:rPr>
                <w:rFonts w:eastAsia="Times New Roman" w:cs="Times New Roman"/>
              </w:rPr>
            </w:pPr>
            <w:r>
              <w:rPr>
                <w:rFonts w:eastAsia="Times New Roman" w:cs="Times New Roman"/>
              </w:rPr>
              <w:t>Yes</w:t>
            </w:r>
          </w:p>
        </w:tc>
        <w:tc>
          <w:tcPr>
            <w:tcW w:w="1373" w:type="dxa"/>
            <w:vAlign w:val="bottom"/>
          </w:tcPr>
          <w:p w:rsidR="00C3666D" w:rsidRPr="00F2427B" w:rsidRDefault="006E4CE3" w:rsidP="00540CCA">
            <w:pPr>
              <w:jc w:val="right"/>
              <w:rPr>
                <w:rFonts w:eastAsia="Times New Roman" w:cs="Times New Roman"/>
              </w:rPr>
            </w:pPr>
            <w:r>
              <w:rPr>
                <w:rFonts w:eastAsia="Times New Roman" w:cs="Times New Roman"/>
              </w:rPr>
              <w:t>Yes</w:t>
            </w:r>
            <w:bookmarkStart w:id="0" w:name="_GoBack"/>
            <w:bookmarkEnd w:id="0"/>
          </w:p>
        </w:tc>
        <w:tc>
          <w:tcPr>
            <w:tcW w:w="1068" w:type="dxa"/>
            <w:vAlign w:val="bottom"/>
          </w:tcPr>
          <w:p w:rsidR="00C3666D" w:rsidRPr="00F2427B" w:rsidRDefault="009F3CDD" w:rsidP="00540CCA">
            <w:pPr>
              <w:jc w:val="right"/>
              <w:rPr>
                <w:rFonts w:eastAsia="Times New Roman" w:cs="Times New Roman"/>
              </w:rPr>
            </w:pPr>
            <w:r>
              <w:rPr>
                <w:rFonts w:eastAsia="Times New Roman" w:cs="Times New Roman"/>
              </w:rPr>
              <w:t>Yes</w:t>
            </w:r>
          </w:p>
        </w:tc>
      </w:tr>
    </w:tbl>
    <w:p w:rsidR="009A718B" w:rsidRPr="00675469" w:rsidRDefault="009A718B" w:rsidP="00540CCA">
      <w:pPr>
        <w:jc w:val="left"/>
      </w:pPr>
    </w:p>
    <w:p w:rsidR="00225B59" w:rsidRPr="00675469" w:rsidRDefault="00F2427B" w:rsidP="00540CCA">
      <w:pPr>
        <w:pStyle w:val="Heading2"/>
        <w:spacing w:before="0"/>
        <w:jc w:val="left"/>
        <w:rPr>
          <w:rFonts w:asciiTheme="minorHAnsi" w:hAnsiTheme="minorHAnsi"/>
          <w:smallCaps/>
          <w:color w:val="auto"/>
          <w:sz w:val="24"/>
          <w:szCs w:val="24"/>
        </w:rPr>
      </w:pPr>
      <w:r>
        <w:rPr>
          <w:rFonts w:asciiTheme="minorHAnsi" w:hAnsiTheme="minorHAnsi"/>
          <w:smallCaps/>
          <w:color w:val="auto"/>
          <w:sz w:val="24"/>
          <w:szCs w:val="24"/>
        </w:rPr>
        <w:t>2011 Compliance Assessment Results</w:t>
      </w:r>
    </w:p>
    <w:p w:rsidR="00465809" w:rsidRDefault="006E4CE3" w:rsidP="000A1A1F">
      <w:pPr>
        <w:jc w:val="both"/>
      </w:pPr>
      <w:r>
        <w:t xml:space="preserve">Based on this evaluation, </w:t>
      </w:r>
      <w:r w:rsidR="009F3CDD">
        <w:t xml:space="preserve">all three project zones are </w:t>
      </w:r>
      <w:r w:rsidR="0006681D">
        <w:t>fully compliant</w:t>
      </w:r>
      <w:r>
        <w:t xml:space="preserve"> with the TMDL seagrass depth limit targets because the project zone</w:t>
      </w:r>
      <w:r w:rsidR="000A1A1F">
        <w:t>s</w:t>
      </w:r>
      <w:r w:rsidR="0006681D">
        <w:t xml:space="preserve"> </w:t>
      </w:r>
      <w:r w:rsidR="00F2427B" w:rsidRPr="00F2427B">
        <w:t>me</w:t>
      </w:r>
      <w:r>
        <w:t>e</w:t>
      </w:r>
      <w:r w:rsidR="00F2427B" w:rsidRPr="00F2427B">
        <w:t xml:space="preserve">t both Step 1 and Step 2 for the </w:t>
      </w:r>
      <w:r>
        <w:t>period of 2003-2007</w:t>
      </w:r>
      <w:r w:rsidR="00F2427B" w:rsidRPr="00F2427B">
        <w:t>.</w:t>
      </w:r>
      <w:r w:rsidR="000A1A1F">
        <w:t xml:space="preserve">  Therefore, t</w:t>
      </w:r>
      <w:r w:rsidR="00C05610">
        <w:t>he s</w:t>
      </w:r>
      <w:r w:rsidR="00897E80" w:rsidRPr="00F2427B">
        <w:t xml:space="preserve">takeholders in the </w:t>
      </w:r>
      <w:r w:rsidR="000A1A1F">
        <w:t xml:space="preserve">Central IRL </w:t>
      </w:r>
      <w:r w:rsidR="00897E80" w:rsidRPr="00F2427B">
        <w:t xml:space="preserve">will not be asked to make </w:t>
      </w:r>
      <w:r w:rsidR="00C05610">
        <w:t>additional</w:t>
      </w:r>
      <w:r w:rsidR="00897E80" w:rsidRPr="00F2427B">
        <w:t xml:space="preserve"> </w:t>
      </w:r>
      <w:r w:rsidR="00C05610">
        <w:t xml:space="preserve">nutrient </w:t>
      </w:r>
      <w:r w:rsidR="00897E80" w:rsidRPr="00F2427B">
        <w:t>reductions</w:t>
      </w:r>
      <w:r w:rsidR="00C05610">
        <w:t xml:space="preserve"> in this iteration of the BMAP.  </w:t>
      </w:r>
      <w:r w:rsidR="000A1A1F">
        <w:t>T</w:t>
      </w:r>
      <w:r w:rsidR="00C05610">
        <w:t xml:space="preserve">he projects provided by the stakeholders will be included in the BMAP </w:t>
      </w:r>
      <w:r w:rsidR="00897E80">
        <w:t xml:space="preserve">to characterize </w:t>
      </w:r>
      <w:r w:rsidR="00C05610">
        <w:t>nutrient</w:t>
      </w:r>
      <w:r w:rsidR="00897E80">
        <w:t xml:space="preserve"> reductions that have already occurred and will be achieved </w:t>
      </w:r>
      <w:r w:rsidR="00433A35">
        <w:t>during the</w:t>
      </w:r>
      <w:r w:rsidR="00E53556">
        <w:t xml:space="preserve"> first BMAP</w:t>
      </w:r>
      <w:r w:rsidR="00433A35">
        <w:t xml:space="preserve"> cycle</w:t>
      </w:r>
      <w:r w:rsidR="00897E80">
        <w:t xml:space="preserve">. </w:t>
      </w:r>
      <w:r w:rsidR="00E53556">
        <w:t xml:space="preserve"> </w:t>
      </w:r>
      <w:r w:rsidR="00433A35">
        <w:t xml:space="preserve">Documenting known load reductions will further </w:t>
      </w:r>
      <w:r w:rsidR="00881757">
        <w:t>the</w:t>
      </w:r>
      <w:r w:rsidR="00433A35">
        <w:t xml:space="preserve"> understanding of how compliance was achieved and </w:t>
      </w:r>
      <w:r w:rsidR="00C05610">
        <w:t xml:space="preserve">will be </w:t>
      </w:r>
      <w:r w:rsidR="000A1A1F">
        <w:t>maintained.</w:t>
      </w:r>
    </w:p>
    <w:p w:rsidR="000A1A1F" w:rsidRDefault="000A1A1F" w:rsidP="000A1A1F">
      <w:pPr>
        <w:jc w:val="both"/>
      </w:pPr>
    </w:p>
    <w:p w:rsidR="00897E80" w:rsidRPr="00D129BA" w:rsidRDefault="0032732D" w:rsidP="00CF61BD">
      <w:pPr>
        <w:jc w:val="both"/>
      </w:pPr>
      <w:r w:rsidRPr="00D129BA">
        <w:t xml:space="preserve">In year four of the BMAP, TMDL </w:t>
      </w:r>
      <w:r w:rsidR="00465809">
        <w:t>depth limit</w:t>
      </w:r>
      <w:r w:rsidRPr="00D129BA">
        <w:t xml:space="preserve"> targets will be reassessed using </w:t>
      </w:r>
      <w:r w:rsidR="000A1A1F">
        <w:t xml:space="preserve">2007, </w:t>
      </w:r>
      <w:r w:rsidRPr="00D129BA">
        <w:t>2009, 2011, and 2013 mapping data</w:t>
      </w:r>
      <w:r w:rsidR="00CD6EF0" w:rsidRPr="00D129BA">
        <w:t xml:space="preserve"> for these project zones</w:t>
      </w:r>
      <w:r w:rsidRPr="00D129BA">
        <w:t xml:space="preserve">. </w:t>
      </w:r>
      <w:r w:rsidR="00CD6EF0" w:rsidRPr="00D129BA">
        <w:t xml:space="preserve"> </w:t>
      </w:r>
      <w:r w:rsidR="00465809">
        <w:t xml:space="preserve">If </w:t>
      </w:r>
      <w:r w:rsidR="000A1A1F">
        <w:t>any of the</w:t>
      </w:r>
      <w:r w:rsidRPr="00D129BA">
        <w:t xml:space="preserve"> project zone</w:t>
      </w:r>
      <w:r w:rsidR="000A1A1F">
        <w:t>s</w:t>
      </w:r>
      <w:r w:rsidRPr="00D129BA">
        <w:t xml:space="preserve"> </w:t>
      </w:r>
      <w:r w:rsidR="00465809">
        <w:t>is</w:t>
      </w:r>
      <w:r w:rsidRPr="00D129BA">
        <w:t xml:space="preserve"> compliant using the </w:t>
      </w:r>
      <w:r w:rsidR="00CD6EF0" w:rsidRPr="00D129BA">
        <w:t>20</w:t>
      </w:r>
      <w:r w:rsidRPr="00D129BA">
        <w:t>07-</w:t>
      </w:r>
      <w:r w:rsidR="00CD6EF0" w:rsidRPr="00D129BA">
        <w:t>20</w:t>
      </w:r>
      <w:r w:rsidRPr="00D129BA">
        <w:t>13 mapping years, FDEP will not ask stakeholders</w:t>
      </w:r>
      <w:r w:rsidR="00465809">
        <w:t xml:space="preserve"> in that project zone(s)</w:t>
      </w:r>
      <w:r w:rsidRPr="00D129BA">
        <w:t xml:space="preserve"> to make </w:t>
      </w:r>
      <w:r w:rsidR="00D129BA">
        <w:t xml:space="preserve">additional </w:t>
      </w:r>
      <w:r w:rsidR="00465809">
        <w:t>nutrient</w:t>
      </w:r>
      <w:r w:rsidR="0047337D" w:rsidRPr="00D129BA">
        <w:t xml:space="preserve"> </w:t>
      </w:r>
      <w:r w:rsidRPr="00D129BA">
        <w:t xml:space="preserve">reductions in the next iteration of the BMAP. </w:t>
      </w:r>
      <w:r w:rsidR="00CD6EF0" w:rsidRPr="00D129BA">
        <w:t xml:space="preserve"> </w:t>
      </w:r>
      <w:r w:rsidR="0047337D" w:rsidRPr="00D129BA">
        <w:t xml:space="preserve">If </w:t>
      </w:r>
      <w:r w:rsidR="000A1A1F">
        <w:t xml:space="preserve">any </w:t>
      </w:r>
      <w:r w:rsidR="00465809">
        <w:t xml:space="preserve">of </w:t>
      </w:r>
      <w:r w:rsidR="00D733F3" w:rsidRPr="00D129BA">
        <w:t>the project zones</w:t>
      </w:r>
      <w:r w:rsidR="008D5DF4">
        <w:t xml:space="preserve"> is not compliant</w:t>
      </w:r>
      <w:r w:rsidR="00CD6EF0" w:rsidRPr="00D129BA">
        <w:t>,</w:t>
      </w:r>
      <w:r w:rsidR="008D5DF4">
        <w:t xml:space="preserve"> a second iteration of the BMAP will be developed with additional reductions required</w:t>
      </w:r>
      <w:r w:rsidR="000A1A1F">
        <w:t xml:space="preserve"> for that project zone(s)</w:t>
      </w:r>
      <w:r w:rsidR="008D5DF4">
        <w:t>.</w:t>
      </w:r>
    </w:p>
    <w:sectPr w:rsidR="00897E80" w:rsidRPr="00D129BA" w:rsidSect="00DE7645">
      <w:footerReference w:type="default" r:id="rId11"/>
      <w:type w:val="continuous"/>
      <w:pgSz w:w="12240" w:h="15840"/>
      <w:pgMar w:top="1296" w:right="1440" w:bottom="1296"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81B" w:rsidRDefault="008E281B" w:rsidP="001E195E">
      <w:r>
        <w:separator/>
      </w:r>
    </w:p>
  </w:endnote>
  <w:endnote w:type="continuationSeparator" w:id="0">
    <w:p w:rsidR="008E281B" w:rsidRDefault="008E281B" w:rsidP="001E19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97915"/>
      <w:docPartObj>
        <w:docPartGallery w:val="Page Numbers (Bottom of Page)"/>
        <w:docPartUnique/>
      </w:docPartObj>
    </w:sdtPr>
    <w:sdtEndPr>
      <w:rPr>
        <w:sz w:val="20"/>
        <w:szCs w:val="20"/>
      </w:rPr>
    </w:sdtEndPr>
    <w:sdtContent>
      <w:sdt>
        <w:sdtPr>
          <w:id w:val="19797916"/>
          <w:docPartObj>
            <w:docPartGallery w:val="Page Numbers (Top of Page)"/>
            <w:docPartUnique/>
          </w:docPartObj>
        </w:sdtPr>
        <w:sdtEndPr>
          <w:rPr>
            <w:sz w:val="20"/>
            <w:szCs w:val="20"/>
          </w:rPr>
        </w:sdtEndPr>
        <w:sdtContent>
          <w:p w:rsidR="006E4CE3" w:rsidRDefault="002611E6" w:rsidP="00B30263">
            <w:pPr>
              <w:pStyle w:val="Footer"/>
              <w:tabs>
                <w:tab w:val="left" w:pos="300"/>
              </w:tabs>
              <w:jc w:val="left"/>
            </w:pPr>
            <w:r>
              <w:rPr>
                <w:sz w:val="20"/>
                <w:szCs w:val="20"/>
              </w:rPr>
              <w:t>Distribution</w:t>
            </w:r>
            <w:r w:rsidR="006E4CE3">
              <w:tab/>
            </w:r>
            <w:r w:rsidR="006E4CE3" w:rsidRPr="00B30263">
              <w:rPr>
                <w:sz w:val="20"/>
                <w:szCs w:val="20"/>
              </w:rPr>
              <w:t xml:space="preserve">Page </w:t>
            </w:r>
            <w:r w:rsidR="00502DBC" w:rsidRPr="00B30263">
              <w:rPr>
                <w:sz w:val="20"/>
                <w:szCs w:val="20"/>
              </w:rPr>
              <w:fldChar w:fldCharType="begin"/>
            </w:r>
            <w:r w:rsidR="006E4CE3" w:rsidRPr="00B30263">
              <w:rPr>
                <w:sz w:val="20"/>
                <w:szCs w:val="20"/>
              </w:rPr>
              <w:instrText xml:space="preserve"> PAGE </w:instrText>
            </w:r>
            <w:r w:rsidR="00502DBC" w:rsidRPr="00B30263">
              <w:rPr>
                <w:sz w:val="20"/>
                <w:szCs w:val="20"/>
              </w:rPr>
              <w:fldChar w:fldCharType="separate"/>
            </w:r>
            <w:r w:rsidR="00126BC5">
              <w:rPr>
                <w:noProof/>
                <w:sz w:val="20"/>
                <w:szCs w:val="20"/>
              </w:rPr>
              <w:t>3</w:t>
            </w:r>
            <w:r w:rsidR="00502DBC" w:rsidRPr="00B30263">
              <w:rPr>
                <w:sz w:val="20"/>
                <w:szCs w:val="20"/>
              </w:rPr>
              <w:fldChar w:fldCharType="end"/>
            </w:r>
            <w:r w:rsidR="006E4CE3" w:rsidRPr="00B30263">
              <w:rPr>
                <w:sz w:val="20"/>
                <w:szCs w:val="20"/>
              </w:rPr>
              <w:t xml:space="preserve"> of </w:t>
            </w:r>
            <w:r w:rsidR="00502DBC" w:rsidRPr="00B30263">
              <w:rPr>
                <w:sz w:val="20"/>
                <w:szCs w:val="20"/>
              </w:rPr>
              <w:fldChar w:fldCharType="begin"/>
            </w:r>
            <w:r w:rsidR="006E4CE3" w:rsidRPr="00B30263">
              <w:rPr>
                <w:sz w:val="20"/>
                <w:szCs w:val="20"/>
              </w:rPr>
              <w:instrText xml:space="preserve"> NUMPAGES  </w:instrText>
            </w:r>
            <w:r w:rsidR="00502DBC" w:rsidRPr="00B30263">
              <w:rPr>
                <w:sz w:val="20"/>
                <w:szCs w:val="20"/>
              </w:rPr>
              <w:fldChar w:fldCharType="separate"/>
            </w:r>
            <w:r w:rsidR="00126BC5">
              <w:rPr>
                <w:noProof/>
                <w:sz w:val="20"/>
                <w:szCs w:val="20"/>
              </w:rPr>
              <w:t>3</w:t>
            </w:r>
            <w:r w:rsidR="00502DBC" w:rsidRPr="00B30263">
              <w:rPr>
                <w:sz w:val="20"/>
                <w:szCs w:val="20"/>
              </w:rPr>
              <w:fldChar w:fldCharType="end"/>
            </w:r>
          </w:p>
        </w:sdtContent>
      </w:sdt>
    </w:sdtContent>
  </w:sdt>
  <w:p w:rsidR="006E4CE3" w:rsidRPr="00262FD7" w:rsidRDefault="006E4CE3" w:rsidP="00262FD7">
    <w:pPr>
      <w:pStyle w:val="Footer"/>
      <w:jc w:val="left"/>
      <w:rPr>
        <w:rFonts w:ascii="Bell MT" w:hAnsi="Bell M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81B" w:rsidRDefault="008E281B" w:rsidP="001E195E">
      <w:r>
        <w:separator/>
      </w:r>
    </w:p>
  </w:footnote>
  <w:footnote w:type="continuationSeparator" w:id="0">
    <w:p w:rsidR="008E281B" w:rsidRDefault="008E281B" w:rsidP="001E19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06B29"/>
    <w:multiLevelType w:val="hybridMultilevel"/>
    <w:tmpl w:val="AD368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983D31"/>
    <w:multiLevelType w:val="hybridMultilevel"/>
    <w:tmpl w:val="8320E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5F283E"/>
    <w:multiLevelType w:val="hybridMultilevel"/>
    <w:tmpl w:val="0EE23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2C7EF7"/>
    <w:multiLevelType w:val="hybridMultilevel"/>
    <w:tmpl w:val="2D46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6E4967"/>
    <w:multiLevelType w:val="hybridMultilevel"/>
    <w:tmpl w:val="614AE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hdrShapeDefaults>
    <o:shapedefaults v:ext="edit" spidmax="13314"/>
  </w:hdrShapeDefaults>
  <w:footnotePr>
    <w:footnote w:id="-1"/>
    <w:footnote w:id="0"/>
  </w:footnotePr>
  <w:endnotePr>
    <w:endnote w:id="-1"/>
    <w:endnote w:id="0"/>
  </w:endnotePr>
  <w:compat/>
  <w:rsids>
    <w:rsidRoot w:val="00DD59E9"/>
    <w:rsid w:val="00002B8D"/>
    <w:rsid w:val="00006EA1"/>
    <w:rsid w:val="00041B20"/>
    <w:rsid w:val="00060712"/>
    <w:rsid w:val="0006681D"/>
    <w:rsid w:val="00086079"/>
    <w:rsid w:val="00086641"/>
    <w:rsid w:val="0009727D"/>
    <w:rsid w:val="000A1A1F"/>
    <w:rsid w:val="000A2AF5"/>
    <w:rsid w:val="000A43E5"/>
    <w:rsid w:val="000A5C13"/>
    <w:rsid w:val="000D3C5B"/>
    <w:rsid w:val="000D6E2C"/>
    <w:rsid w:val="000F5E29"/>
    <w:rsid w:val="0011045F"/>
    <w:rsid w:val="001200BA"/>
    <w:rsid w:val="00120A4A"/>
    <w:rsid w:val="00120CF9"/>
    <w:rsid w:val="00123FBA"/>
    <w:rsid w:val="00126BC5"/>
    <w:rsid w:val="00141039"/>
    <w:rsid w:val="001414B7"/>
    <w:rsid w:val="00153C34"/>
    <w:rsid w:val="00160C86"/>
    <w:rsid w:val="0016376E"/>
    <w:rsid w:val="00176444"/>
    <w:rsid w:val="00181FE8"/>
    <w:rsid w:val="00182551"/>
    <w:rsid w:val="00182EA1"/>
    <w:rsid w:val="001865A8"/>
    <w:rsid w:val="001959AD"/>
    <w:rsid w:val="001B2478"/>
    <w:rsid w:val="001D73A7"/>
    <w:rsid w:val="001E195E"/>
    <w:rsid w:val="001F37CB"/>
    <w:rsid w:val="00210161"/>
    <w:rsid w:val="002242D1"/>
    <w:rsid w:val="00225B59"/>
    <w:rsid w:val="00237BEE"/>
    <w:rsid w:val="002611E6"/>
    <w:rsid w:val="00262FD7"/>
    <w:rsid w:val="00263620"/>
    <w:rsid w:val="00266D1F"/>
    <w:rsid w:val="002700CC"/>
    <w:rsid w:val="00281EB6"/>
    <w:rsid w:val="00282431"/>
    <w:rsid w:val="002A292F"/>
    <w:rsid w:val="002A4A29"/>
    <w:rsid w:val="002B1237"/>
    <w:rsid w:val="002B419C"/>
    <w:rsid w:val="002E5894"/>
    <w:rsid w:val="002E61EE"/>
    <w:rsid w:val="002F21D5"/>
    <w:rsid w:val="0032732D"/>
    <w:rsid w:val="00333FE5"/>
    <w:rsid w:val="003344EF"/>
    <w:rsid w:val="003654B8"/>
    <w:rsid w:val="0037029C"/>
    <w:rsid w:val="00376F72"/>
    <w:rsid w:val="00391493"/>
    <w:rsid w:val="003A0904"/>
    <w:rsid w:val="003A5518"/>
    <w:rsid w:val="003A5959"/>
    <w:rsid w:val="003C0629"/>
    <w:rsid w:val="003C0DFD"/>
    <w:rsid w:val="003C20C6"/>
    <w:rsid w:val="003C4CF3"/>
    <w:rsid w:val="003E4488"/>
    <w:rsid w:val="003F54F7"/>
    <w:rsid w:val="004232AC"/>
    <w:rsid w:val="00433A35"/>
    <w:rsid w:val="0043526E"/>
    <w:rsid w:val="00436000"/>
    <w:rsid w:val="00455024"/>
    <w:rsid w:val="00465809"/>
    <w:rsid w:val="0047337D"/>
    <w:rsid w:val="00473499"/>
    <w:rsid w:val="0048246B"/>
    <w:rsid w:val="004903C6"/>
    <w:rsid w:val="0049238E"/>
    <w:rsid w:val="004A4F09"/>
    <w:rsid w:val="004C48F2"/>
    <w:rsid w:val="004E2F9F"/>
    <w:rsid w:val="004E5411"/>
    <w:rsid w:val="004F4715"/>
    <w:rsid w:val="004F4EEB"/>
    <w:rsid w:val="005024F2"/>
    <w:rsid w:val="00502DBC"/>
    <w:rsid w:val="00506833"/>
    <w:rsid w:val="00514B65"/>
    <w:rsid w:val="005156B3"/>
    <w:rsid w:val="005221E5"/>
    <w:rsid w:val="00540CCA"/>
    <w:rsid w:val="005641F2"/>
    <w:rsid w:val="00567CF8"/>
    <w:rsid w:val="00576819"/>
    <w:rsid w:val="00582209"/>
    <w:rsid w:val="005B33AF"/>
    <w:rsid w:val="005E5A0C"/>
    <w:rsid w:val="005F3C23"/>
    <w:rsid w:val="006132BA"/>
    <w:rsid w:val="006200A6"/>
    <w:rsid w:val="006407C5"/>
    <w:rsid w:val="006501E3"/>
    <w:rsid w:val="006619C3"/>
    <w:rsid w:val="00663E1A"/>
    <w:rsid w:val="00675469"/>
    <w:rsid w:val="00684024"/>
    <w:rsid w:val="00687EE9"/>
    <w:rsid w:val="00692CB5"/>
    <w:rsid w:val="006B2F32"/>
    <w:rsid w:val="006C184C"/>
    <w:rsid w:val="006C47CB"/>
    <w:rsid w:val="006C6682"/>
    <w:rsid w:val="006D1878"/>
    <w:rsid w:val="006E4CE3"/>
    <w:rsid w:val="006E6447"/>
    <w:rsid w:val="00711079"/>
    <w:rsid w:val="007140FF"/>
    <w:rsid w:val="00722AB5"/>
    <w:rsid w:val="00735C3B"/>
    <w:rsid w:val="0074024A"/>
    <w:rsid w:val="007438E7"/>
    <w:rsid w:val="00750F49"/>
    <w:rsid w:val="00750FCA"/>
    <w:rsid w:val="007565E3"/>
    <w:rsid w:val="007709D2"/>
    <w:rsid w:val="007865C7"/>
    <w:rsid w:val="00794153"/>
    <w:rsid w:val="007B44D4"/>
    <w:rsid w:val="007C2C23"/>
    <w:rsid w:val="007D0747"/>
    <w:rsid w:val="007D6668"/>
    <w:rsid w:val="007E09F2"/>
    <w:rsid w:val="007E1590"/>
    <w:rsid w:val="007E273B"/>
    <w:rsid w:val="008063A2"/>
    <w:rsid w:val="00816CEB"/>
    <w:rsid w:val="00823A86"/>
    <w:rsid w:val="00841FB8"/>
    <w:rsid w:val="00861016"/>
    <w:rsid w:val="0087496E"/>
    <w:rsid w:val="00881757"/>
    <w:rsid w:val="008824DE"/>
    <w:rsid w:val="008852EA"/>
    <w:rsid w:val="00885BA6"/>
    <w:rsid w:val="0088759B"/>
    <w:rsid w:val="008965BD"/>
    <w:rsid w:val="00897E80"/>
    <w:rsid w:val="008B0B8A"/>
    <w:rsid w:val="008B70A4"/>
    <w:rsid w:val="008C66AC"/>
    <w:rsid w:val="008C7E19"/>
    <w:rsid w:val="008D5DF4"/>
    <w:rsid w:val="008E281B"/>
    <w:rsid w:val="009154B0"/>
    <w:rsid w:val="009209EC"/>
    <w:rsid w:val="0093282B"/>
    <w:rsid w:val="00961C86"/>
    <w:rsid w:val="00974459"/>
    <w:rsid w:val="00977367"/>
    <w:rsid w:val="00980E76"/>
    <w:rsid w:val="00986479"/>
    <w:rsid w:val="00990FAE"/>
    <w:rsid w:val="0099103E"/>
    <w:rsid w:val="00991CF4"/>
    <w:rsid w:val="00995CC3"/>
    <w:rsid w:val="00997C6E"/>
    <w:rsid w:val="009A718B"/>
    <w:rsid w:val="009B289B"/>
    <w:rsid w:val="009B4A8C"/>
    <w:rsid w:val="009E38D3"/>
    <w:rsid w:val="009E5684"/>
    <w:rsid w:val="009F3CDD"/>
    <w:rsid w:val="00A2089D"/>
    <w:rsid w:val="00A5254A"/>
    <w:rsid w:val="00A54E26"/>
    <w:rsid w:val="00A63BD0"/>
    <w:rsid w:val="00A734E8"/>
    <w:rsid w:val="00A75770"/>
    <w:rsid w:val="00AA38B4"/>
    <w:rsid w:val="00AC0AC8"/>
    <w:rsid w:val="00AD0BAA"/>
    <w:rsid w:val="00AE4FDC"/>
    <w:rsid w:val="00B13612"/>
    <w:rsid w:val="00B30263"/>
    <w:rsid w:val="00B47D64"/>
    <w:rsid w:val="00B50E81"/>
    <w:rsid w:val="00B72012"/>
    <w:rsid w:val="00B724E8"/>
    <w:rsid w:val="00BA0D05"/>
    <w:rsid w:val="00BA10AB"/>
    <w:rsid w:val="00BA585D"/>
    <w:rsid w:val="00BA62DB"/>
    <w:rsid w:val="00BC645C"/>
    <w:rsid w:val="00BE099E"/>
    <w:rsid w:val="00BE1CF8"/>
    <w:rsid w:val="00BF4A3B"/>
    <w:rsid w:val="00BF7185"/>
    <w:rsid w:val="00C05610"/>
    <w:rsid w:val="00C11D6E"/>
    <w:rsid w:val="00C2416D"/>
    <w:rsid w:val="00C3666D"/>
    <w:rsid w:val="00C70D8A"/>
    <w:rsid w:val="00C82BCF"/>
    <w:rsid w:val="00CC3818"/>
    <w:rsid w:val="00CC6FFF"/>
    <w:rsid w:val="00CD6EF0"/>
    <w:rsid w:val="00CE2757"/>
    <w:rsid w:val="00CF2469"/>
    <w:rsid w:val="00CF61BD"/>
    <w:rsid w:val="00D0358E"/>
    <w:rsid w:val="00D129BA"/>
    <w:rsid w:val="00D2534E"/>
    <w:rsid w:val="00D314A8"/>
    <w:rsid w:val="00D3601E"/>
    <w:rsid w:val="00D733F3"/>
    <w:rsid w:val="00DD59E9"/>
    <w:rsid w:val="00DD6C6E"/>
    <w:rsid w:val="00DE6C81"/>
    <w:rsid w:val="00DE7645"/>
    <w:rsid w:val="00DF05BA"/>
    <w:rsid w:val="00E046EC"/>
    <w:rsid w:val="00E06F3B"/>
    <w:rsid w:val="00E15B57"/>
    <w:rsid w:val="00E17498"/>
    <w:rsid w:val="00E3195F"/>
    <w:rsid w:val="00E33030"/>
    <w:rsid w:val="00E53556"/>
    <w:rsid w:val="00E56A25"/>
    <w:rsid w:val="00E62587"/>
    <w:rsid w:val="00E6468A"/>
    <w:rsid w:val="00E66D62"/>
    <w:rsid w:val="00E910D9"/>
    <w:rsid w:val="00EA712F"/>
    <w:rsid w:val="00EB0D2C"/>
    <w:rsid w:val="00EC37B0"/>
    <w:rsid w:val="00EC4B97"/>
    <w:rsid w:val="00EE4E5D"/>
    <w:rsid w:val="00EE58E4"/>
    <w:rsid w:val="00EE6C69"/>
    <w:rsid w:val="00F0562B"/>
    <w:rsid w:val="00F20594"/>
    <w:rsid w:val="00F224BA"/>
    <w:rsid w:val="00F2427B"/>
    <w:rsid w:val="00F24C17"/>
    <w:rsid w:val="00F972DD"/>
    <w:rsid w:val="00F97C16"/>
    <w:rsid w:val="00FD0C66"/>
    <w:rsid w:val="00FD4D88"/>
    <w:rsid w:val="00FD4F33"/>
    <w:rsid w:val="00FE5DEE"/>
    <w:rsid w:val="00FE7E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AB5"/>
  </w:style>
  <w:style w:type="paragraph" w:styleId="Heading1">
    <w:name w:val="heading 1"/>
    <w:basedOn w:val="Normal"/>
    <w:next w:val="Normal"/>
    <w:link w:val="Heading1Char"/>
    <w:uiPriority w:val="9"/>
    <w:qFormat/>
    <w:rsid w:val="007941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415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E159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E195E"/>
    <w:rPr>
      <w:sz w:val="20"/>
      <w:szCs w:val="20"/>
    </w:rPr>
  </w:style>
  <w:style w:type="character" w:customStyle="1" w:styleId="FootnoteTextChar">
    <w:name w:val="Footnote Text Char"/>
    <w:basedOn w:val="DefaultParagraphFont"/>
    <w:link w:val="FootnoteText"/>
    <w:uiPriority w:val="99"/>
    <w:semiHidden/>
    <w:rsid w:val="001E195E"/>
    <w:rPr>
      <w:sz w:val="20"/>
      <w:szCs w:val="20"/>
    </w:rPr>
  </w:style>
  <w:style w:type="character" w:styleId="FootnoteReference">
    <w:name w:val="footnote reference"/>
    <w:basedOn w:val="DefaultParagraphFont"/>
    <w:uiPriority w:val="99"/>
    <w:semiHidden/>
    <w:unhideWhenUsed/>
    <w:rsid w:val="001E195E"/>
    <w:rPr>
      <w:vertAlign w:val="superscript"/>
    </w:rPr>
  </w:style>
  <w:style w:type="character" w:customStyle="1" w:styleId="Heading1Char">
    <w:name w:val="Heading 1 Char"/>
    <w:basedOn w:val="DefaultParagraphFont"/>
    <w:link w:val="Heading1"/>
    <w:uiPriority w:val="9"/>
    <w:rsid w:val="0079415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415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A4F09"/>
    <w:pPr>
      <w:ind w:left="720"/>
      <w:contextualSpacing/>
    </w:pPr>
  </w:style>
  <w:style w:type="table" w:styleId="TableGrid">
    <w:name w:val="Table Grid"/>
    <w:basedOn w:val="TableNormal"/>
    <w:uiPriority w:val="59"/>
    <w:rsid w:val="00B50E8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7E1590"/>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7E1590"/>
    <w:rPr>
      <w:rFonts w:ascii="Tahoma" w:hAnsi="Tahoma" w:cs="Tahoma"/>
      <w:sz w:val="16"/>
      <w:szCs w:val="16"/>
    </w:rPr>
  </w:style>
  <w:style w:type="character" w:customStyle="1" w:styleId="BalloonTextChar">
    <w:name w:val="Balloon Text Char"/>
    <w:basedOn w:val="DefaultParagraphFont"/>
    <w:link w:val="BalloonText"/>
    <w:uiPriority w:val="99"/>
    <w:semiHidden/>
    <w:rsid w:val="007E1590"/>
    <w:rPr>
      <w:rFonts w:ascii="Tahoma" w:hAnsi="Tahoma" w:cs="Tahoma"/>
      <w:sz w:val="16"/>
      <w:szCs w:val="16"/>
    </w:rPr>
  </w:style>
  <w:style w:type="paragraph" w:styleId="Header">
    <w:name w:val="header"/>
    <w:basedOn w:val="Normal"/>
    <w:link w:val="HeaderChar"/>
    <w:uiPriority w:val="99"/>
    <w:semiHidden/>
    <w:unhideWhenUsed/>
    <w:rsid w:val="00262FD7"/>
    <w:pPr>
      <w:tabs>
        <w:tab w:val="center" w:pos="4680"/>
        <w:tab w:val="right" w:pos="9360"/>
      </w:tabs>
    </w:pPr>
  </w:style>
  <w:style w:type="character" w:customStyle="1" w:styleId="HeaderChar">
    <w:name w:val="Header Char"/>
    <w:basedOn w:val="DefaultParagraphFont"/>
    <w:link w:val="Header"/>
    <w:uiPriority w:val="99"/>
    <w:semiHidden/>
    <w:rsid w:val="00262FD7"/>
  </w:style>
  <w:style w:type="paragraph" w:styleId="Footer">
    <w:name w:val="footer"/>
    <w:basedOn w:val="Normal"/>
    <w:link w:val="FooterChar"/>
    <w:uiPriority w:val="99"/>
    <w:unhideWhenUsed/>
    <w:rsid w:val="00262FD7"/>
    <w:pPr>
      <w:tabs>
        <w:tab w:val="center" w:pos="4680"/>
        <w:tab w:val="right" w:pos="9360"/>
      </w:tabs>
    </w:pPr>
  </w:style>
  <w:style w:type="character" w:customStyle="1" w:styleId="FooterChar">
    <w:name w:val="Footer Char"/>
    <w:basedOn w:val="DefaultParagraphFont"/>
    <w:link w:val="Footer"/>
    <w:uiPriority w:val="99"/>
    <w:rsid w:val="00262FD7"/>
  </w:style>
  <w:style w:type="character" w:styleId="CommentReference">
    <w:name w:val="annotation reference"/>
    <w:basedOn w:val="DefaultParagraphFont"/>
    <w:uiPriority w:val="99"/>
    <w:semiHidden/>
    <w:unhideWhenUsed/>
    <w:rsid w:val="002B419C"/>
    <w:rPr>
      <w:sz w:val="16"/>
      <w:szCs w:val="16"/>
    </w:rPr>
  </w:style>
  <w:style w:type="paragraph" w:styleId="CommentText">
    <w:name w:val="annotation text"/>
    <w:basedOn w:val="Normal"/>
    <w:link w:val="CommentTextChar"/>
    <w:uiPriority w:val="99"/>
    <w:semiHidden/>
    <w:unhideWhenUsed/>
    <w:rsid w:val="002B419C"/>
    <w:rPr>
      <w:sz w:val="20"/>
      <w:szCs w:val="20"/>
    </w:rPr>
  </w:style>
  <w:style w:type="character" w:customStyle="1" w:styleId="CommentTextChar">
    <w:name w:val="Comment Text Char"/>
    <w:basedOn w:val="DefaultParagraphFont"/>
    <w:link w:val="CommentText"/>
    <w:uiPriority w:val="99"/>
    <w:semiHidden/>
    <w:rsid w:val="002B419C"/>
    <w:rPr>
      <w:sz w:val="20"/>
      <w:szCs w:val="20"/>
    </w:rPr>
  </w:style>
  <w:style w:type="paragraph" w:styleId="CommentSubject">
    <w:name w:val="annotation subject"/>
    <w:basedOn w:val="CommentText"/>
    <w:next w:val="CommentText"/>
    <w:link w:val="CommentSubjectChar"/>
    <w:uiPriority w:val="99"/>
    <w:semiHidden/>
    <w:unhideWhenUsed/>
    <w:rsid w:val="002B419C"/>
    <w:rPr>
      <w:b/>
      <w:bCs/>
    </w:rPr>
  </w:style>
  <w:style w:type="character" w:customStyle="1" w:styleId="CommentSubjectChar">
    <w:name w:val="Comment Subject Char"/>
    <w:basedOn w:val="CommentTextChar"/>
    <w:link w:val="CommentSubject"/>
    <w:uiPriority w:val="99"/>
    <w:semiHidden/>
    <w:rsid w:val="002B419C"/>
    <w:rPr>
      <w:b/>
      <w:bCs/>
      <w:sz w:val="20"/>
      <w:szCs w:val="20"/>
    </w:rPr>
  </w:style>
  <w:style w:type="paragraph" w:styleId="Revision">
    <w:name w:val="Revision"/>
    <w:hidden/>
    <w:uiPriority w:val="99"/>
    <w:semiHidden/>
    <w:rsid w:val="002B419C"/>
    <w:pPr>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1345">
      <w:bodyDiv w:val="1"/>
      <w:marLeft w:val="0"/>
      <w:marRight w:val="0"/>
      <w:marTop w:val="0"/>
      <w:marBottom w:val="0"/>
      <w:divBdr>
        <w:top w:val="none" w:sz="0" w:space="0" w:color="auto"/>
        <w:left w:val="none" w:sz="0" w:space="0" w:color="auto"/>
        <w:bottom w:val="none" w:sz="0" w:space="0" w:color="auto"/>
        <w:right w:val="none" w:sz="0" w:space="0" w:color="auto"/>
      </w:divBdr>
    </w:div>
    <w:div w:id="370959627">
      <w:bodyDiv w:val="1"/>
      <w:marLeft w:val="0"/>
      <w:marRight w:val="0"/>
      <w:marTop w:val="0"/>
      <w:marBottom w:val="0"/>
      <w:divBdr>
        <w:top w:val="none" w:sz="0" w:space="0" w:color="auto"/>
        <w:left w:val="none" w:sz="0" w:space="0" w:color="auto"/>
        <w:bottom w:val="none" w:sz="0" w:space="0" w:color="auto"/>
        <w:right w:val="none" w:sz="0" w:space="0" w:color="auto"/>
      </w:divBdr>
    </w:div>
    <w:div w:id="404112016">
      <w:bodyDiv w:val="1"/>
      <w:marLeft w:val="0"/>
      <w:marRight w:val="0"/>
      <w:marTop w:val="0"/>
      <w:marBottom w:val="0"/>
      <w:divBdr>
        <w:top w:val="none" w:sz="0" w:space="0" w:color="auto"/>
        <w:left w:val="none" w:sz="0" w:space="0" w:color="auto"/>
        <w:bottom w:val="none" w:sz="0" w:space="0" w:color="auto"/>
        <w:right w:val="none" w:sz="0" w:space="0" w:color="auto"/>
      </w:divBdr>
    </w:div>
    <w:div w:id="914514200">
      <w:bodyDiv w:val="1"/>
      <w:marLeft w:val="0"/>
      <w:marRight w:val="0"/>
      <w:marTop w:val="0"/>
      <w:marBottom w:val="0"/>
      <w:divBdr>
        <w:top w:val="none" w:sz="0" w:space="0" w:color="auto"/>
        <w:left w:val="none" w:sz="0" w:space="0" w:color="auto"/>
        <w:bottom w:val="none" w:sz="0" w:space="0" w:color="auto"/>
        <w:right w:val="none" w:sz="0" w:space="0" w:color="auto"/>
      </w:divBdr>
    </w:div>
    <w:div w:id="1178616653">
      <w:bodyDiv w:val="1"/>
      <w:marLeft w:val="0"/>
      <w:marRight w:val="0"/>
      <w:marTop w:val="0"/>
      <w:marBottom w:val="0"/>
      <w:divBdr>
        <w:top w:val="none" w:sz="0" w:space="0" w:color="auto"/>
        <w:left w:val="none" w:sz="0" w:space="0" w:color="auto"/>
        <w:bottom w:val="none" w:sz="0" w:space="0" w:color="auto"/>
        <w:right w:val="none" w:sz="0" w:space="0" w:color="auto"/>
      </w:divBdr>
    </w:div>
    <w:div w:id="1774932770">
      <w:bodyDiv w:val="1"/>
      <w:marLeft w:val="0"/>
      <w:marRight w:val="0"/>
      <w:marTop w:val="0"/>
      <w:marBottom w:val="0"/>
      <w:divBdr>
        <w:top w:val="none" w:sz="0" w:space="0" w:color="auto"/>
        <w:left w:val="none" w:sz="0" w:space="0" w:color="auto"/>
        <w:bottom w:val="none" w:sz="0" w:space="0" w:color="auto"/>
        <w:right w:val="none" w:sz="0" w:space="0" w:color="auto"/>
      </w:divBdr>
    </w:div>
    <w:div w:id="1779713307">
      <w:bodyDiv w:val="1"/>
      <w:marLeft w:val="0"/>
      <w:marRight w:val="0"/>
      <w:marTop w:val="0"/>
      <w:marBottom w:val="0"/>
      <w:divBdr>
        <w:top w:val="none" w:sz="0" w:space="0" w:color="auto"/>
        <w:left w:val="none" w:sz="0" w:space="0" w:color="auto"/>
        <w:bottom w:val="none" w:sz="0" w:space="0" w:color="auto"/>
        <w:right w:val="none" w:sz="0" w:space="0" w:color="auto"/>
      </w:divBdr>
    </w:div>
    <w:div w:id="1805729048">
      <w:bodyDiv w:val="1"/>
      <w:marLeft w:val="0"/>
      <w:marRight w:val="0"/>
      <w:marTop w:val="0"/>
      <w:marBottom w:val="0"/>
      <w:divBdr>
        <w:top w:val="none" w:sz="0" w:space="0" w:color="auto"/>
        <w:left w:val="none" w:sz="0" w:space="0" w:color="auto"/>
        <w:bottom w:val="none" w:sz="0" w:space="0" w:color="auto"/>
        <w:right w:val="none" w:sz="0" w:space="0" w:color="auto"/>
      </w:divBdr>
    </w:div>
    <w:div w:id="200581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412C9-8C1B-4890-8C49-EF34C23AE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922</Words>
  <Characters>5258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Lutterman Busby</dc:creator>
  <cp:lastModifiedBy>Mary Paulic</cp:lastModifiedBy>
  <cp:revision>2</cp:revision>
  <cp:lastPrinted>2012-04-19T16:08:00Z</cp:lastPrinted>
  <dcterms:created xsi:type="dcterms:W3CDTF">2012-04-19T17:37:00Z</dcterms:created>
  <dcterms:modified xsi:type="dcterms:W3CDTF">2012-04-19T17:37:00Z</dcterms:modified>
</cp:coreProperties>
</file>