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59E9" w:rsidRPr="00540CCA" w:rsidRDefault="00DD59E9" w:rsidP="00540CCA">
      <w:pPr>
        <w:pStyle w:val="Heading1"/>
        <w:spacing w:before="0"/>
        <w:rPr>
          <w:rFonts w:asciiTheme="minorHAnsi" w:hAnsiTheme="minorHAnsi"/>
          <w:color w:val="auto"/>
        </w:rPr>
      </w:pPr>
      <w:r w:rsidRPr="00540CCA">
        <w:rPr>
          <w:rFonts w:asciiTheme="minorHAnsi" w:hAnsiTheme="minorHAnsi"/>
          <w:color w:val="auto"/>
        </w:rPr>
        <w:t xml:space="preserve">Process for Measuring Seagrass Deep Edge </w:t>
      </w:r>
      <w:r w:rsidR="00BA585D">
        <w:rPr>
          <w:rFonts w:asciiTheme="minorHAnsi" w:hAnsiTheme="minorHAnsi"/>
          <w:color w:val="auto"/>
        </w:rPr>
        <w:t xml:space="preserve">TMDL Compliance </w:t>
      </w:r>
    </w:p>
    <w:p w:rsidR="00DD59E9" w:rsidRPr="00540CCA" w:rsidRDefault="00DD59E9" w:rsidP="00540CCA">
      <w:pPr>
        <w:pStyle w:val="Heading1"/>
        <w:spacing w:before="0"/>
        <w:rPr>
          <w:rFonts w:asciiTheme="minorHAnsi" w:hAnsiTheme="minorHAnsi"/>
          <w:color w:val="auto"/>
        </w:rPr>
      </w:pPr>
      <w:r w:rsidRPr="00540CCA">
        <w:rPr>
          <w:rFonts w:asciiTheme="minorHAnsi" w:hAnsiTheme="minorHAnsi"/>
          <w:color w:val="auto"/>
        </w:rPr>
        <w:t xml:space="preserve">Indian River Lagoon </w:t>
      </w:r>
      <w:r w:rsidR="00182551" w:rsidRPr="00540CCA">
        <w:rPr>
          <w:rFonts w:asciiTheme="minorHAnsi" w:hAnsiTheme="minorHAnsi"/>
          <w:color w:val="auto"/>
        </w:rPr>
        <w:t xml:space="preserve">Basin Management Action Plans </w:t>
      </w:r>
    </w:p>
    <w:p w:rsidR="00DD59E9" w:rsidRPr="00540CCA" w:rsidRDefault="00885BA6" w:rsidP="00540CCA">
      <w:pPr>
        <w:pStyle w:val="Heading1"/>
        <w:spacing w:before="0"/>
        <w:rPr>
          <w:rFonts w:asciiTheme="minorHAnsi" w:hAnsiTheme="minorHAnsi"/>
        </w:rPr>
      </w:pPr>
      <w:r>
        <w:rPr>
          <w:rFonts w:asciiTheme="minorHAnsi" w:hAnsiTheme="minorHAnsi"/>
          <w:color w:val="auto"/>
        </w:rPr>
        <w:t>June</w:t>
      </w:r>
      <w:r w:rsidR="00262FD7" w:rsidRPr="00540CCA">
        <w:rPr>
          <w:rFonts w:asciiTheme="minorHAnsi" w:hAnsiTheme="minorHAnsi"/>
          <w:color w:val="auto"/>
        </w:rPr>
        <w:t xml:space="preserve"> </w:t>
      </w:r>
      <w:r w:rsidR="00DD59E9" w:rsidRPr="00540CCA">
        <w:rPr>
          <w:rFonts w:asciiTheme="minorHAnsi" w:hAnsiTheme="minorHAnsi"/>
          <w:color w:val="auto"/>
        </w:rPr>
        <w:t>2011</w:t>
      </w:r>
    </w:p>
    <w:p w:rsidR="00DD59E9" w:rsidRPr="00540CCA" w:rsidRDefault="00DD59E9" w:rsidP="00540CCA">
      <w:pPr>
        <w:rPr>
          <w:sz w:val="24"/>
        </w:rPr>
      </w:pPr>
    </w:p>
    <w:p w:rsidR="00794153" w:rsidRPr="00540CCA" w:rsidRDefault="00BA585D"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 xml:space="preserve">Biological Response </w:t>
      </w:r>
      <w:r w:rsidR="00794153" w:rsidRPr="00540CCA">
        <w:rPr>
          <w:rFonts w:asciiTheme="minorHAnsi" w:hAnsiTheme="minorHAnsi"/>
          <w:smallCaps/>
          <w:color w:val="auto"/>
          <w:sz w:val="24"/>
          <w:szCs w:val="24"/>
        </w:rPr>
        <w:t xml:space="preserve">Goal:  Seagrass </w:t>
      </w:r>
      <w:r w:rsidR="004A4F09" w:rsidRPr="00540CCA">
        <w:rPr>
          <w:rFonts w:asciiTheme="minorHAnsi" w:hAnsiTheme="minorHAnsi"/>
          <w:smallCaps/>
          <w:color w:val="auto"/>
          <w:sz w:val="24"/>
          <w:szCs w:val="24"/>
        </w:rPr>
        <w:t xml:space="preserve">Depth </w:t>
      </w:r>
      <w:r w:rsidR="00794153" w:rsidRPr="00540CCA">
        <w:rPr>
          <w:rFonts w:asciiTheme="minorHAnsi" w:hAnsiTheme="minorHAnsi"/>
          <w:smallCaps/>
          <w:color w:val="auto"/>
          <w:sz w:val="24"/>
          <w:szCs w:val="24"/>
        </w:rPr>
        <w:t>Recovery (Independent of Nutrient Loads)</w:t>
      </w:r>
    </w:p>
    <w:p w:rsidR="00DD59E9" w:rsidRPr="00675469" w:rsidRDefault="00F2427B" w:rsidP="00B30263">
      <w:pPr>
        <w:jc w:val="both"/>
      </w:pPr>
      <w:r w:rsidRPr="00F2427B">
        <w:t xml:space="preserve">The intent of the total maximum daily loads (TMDLs) for total nitrogen (TN) and total phosphorus (TP) in the Indian River Lagoon (IRL) is to recover </w:t>
      </w:r>
      <w:r w:rsidR="00282431">
        <w:t xml:space="preserve">the deeper </w:t>
      </w:r>
      <w:r w:rsidRPr="00F2427B">
        <w:t xml:space="preserve">seagrass </w:t>
      </w:r>
      <w:r>
        <w:t>habitat</w:t>
      </w:r>
      <w:r w:rsidR="00675469">
        <w:t>s</w:t>
      </w:r>
      <w:r w:rsidRPr="00F2427B">
        <w:t>.    The biological response of the seagrasses is the most important factor to evaluate the success of the TMDLs.  Even if the relationship among the nutrient loads and the seagrass recovery is not as predicted by the regression model, the load reduction requirements themselves will not determine TMDL success; assessment of success is based on whether the seagrasses can grow at sufficient depth</w:t>
      </w:r>
      <w:r w:rsidR="00675469">
        <w:t>s</w:t>
      </w:r>
      <w:r w:rsidRPr="00F2427B">
        <w:t>, because that was the intent of the TMDLs and its associated load reductions.</w:t>
      </w:r>
    </w:p>
    <w:p w:rsidR="00DD59E9" w:rsidRPr="00675469" w:rsidRDefault="00DD59E9" w:rsidP="00B30263">
      <w:pPr>
        <w:jc w:val="both"/>
      </w:pPr>
    </w:p>
    <w:p w:rsidR="00FD0C66" w:rsidRPr="00675469" w:rsidRDefault="00F2427B" w:rsidP="00B30263">
      <w:pPr>
        <w:jc w:val="both"/>
      </w:pPr>
      <w:r w:rsidRPr="00F2427B">
        <w:t xml:space="preserve">As a point of clarification, </w:t>
      </w:r>
      <w:r w:rsidR="00675469">
        <w:t>c</w:t>
      </w:r>
      <w:r w:rsidR="00675469" w:rsidRPr="00675469">
        <w:t>omplete seagrass recovery is considered to have seagrasses grow at 100% of the depth</w:t>
      </w:r>
      <w:r w:rsidR="001D73A7">
        <w:t xml:space="preserve"> limit (DL) of the union coverage of</w:t>
      </w:r>
      <w:r w:rsidR="00675469" w:rsidRPr="00675469">
        <w:t xml:space="preserve"> the following </w:t>
      </w:r>
      <w:r w:rsidR="00CF61BD">
        <w:t xml:space="preserve">mapping </w:t>
      </w:r>
      <w:r w:rsidR="00675469" w:rsidRPr="00675469">
        <w:t>years:  1943, 1986, 1989, 1992, 1994, 1996 and 1999.</w:t>
      </w:r>
      <w:r w:rsidR="00675469">
        <w:t xml:space="preserve"> </w:t>
      </w:r>
      <w:r w:rsidR="006132BA">
        <w:t xml:space="preserve"> </w:t>
      </w:r>
      <w:r w:rsidR="00675469">
        <w:t>T</w:t>
      </w:r>
      <w:r w:rsidRPr="00F2427B">
        <w:t>he TMDL DL target</w:t>
      </w:r>
      <w:r w:rsidR="00B72012">
        <w:t>s</w:t>
      </w:r>
      <w:r w:rsidRPr="00F2427B">
        <w:t xml:space="preserve"> </w:t>
      </w:r>
      <w:r w:rsidR="00B72012">
        <w:t>are</w:t>
      </w:r>
      <w:r w:rsidRPr="00F2427B">
        <w:t xml:space="preserve"> 90% of </w:t>
      </w:r>
      <w:r w:rsidR="001D73A7" w:rsidRPr="00F2427B">
        <w:t>th</w:t>
      </w:r>
      <w:r w:rsidR="001D73A7">
        <w:t>at 1943-1999</w:t>
      </w:r>
      <w:r w:rsidR="001D73A7" w:rsidRPr="00F2427B">
        <w:t xml:space="preserve"> </w:t>
      </w:r>
      <w:r w:rsidR="001D73A7">
        <w:t>union coverage</w:t>
      </w:r>
      <w:r w:rsidR="001D73A7" w:rsidRPr="00F2427B">
        <w:t xml:space="preserve"> </w:t>
      </w:r>
      <w:r w:rsidRPr="00F2427B">
        <w:t xml:space="preserve">DL.  </w:t>
      </w:r>
      <w:r w:rsidR="00F20594">
        <w:t>More specifically</w:t>
      </w:r>
      <w:r w:rsidR="001D73A7">
        <w:t xml:space="preserve">, </w:t>
      </w:r>
      <w:r w:rsidR="00B72012">
        <w:t xml:space="preserve">the TMDL DL </w:t>
      </w:r>
      <w:r w:rsidRPr="00F2427B">
        <w:t>target</w:t>
      </w:r>
      <w:r w:rsidR="00B72012">
        <w:t xml:space="preserve">s were set </w:t>
      </w:r>
      <w:r w:rsidR="001D73A7">
        <w:t>at</w:t>
      </w:r>
      <w:r w:rsidR="00B72012" w:rsidRPr="00F2427B">
        <w:t xml:space="preserve"> </w:t>
      </w:r>
      <w:r w:rsidRPr="00F2427B">
        <w:t xml:space="preserve">10% less than </w:t>
      </w:r>
      <w:r w:rsidR="00CF61BD">
        <w:t xml:space="preserve">the </w:t>
      </w:r>
      <w:r w:rsidR="00F20594" w:rsidRPr="00F2427B">
        <w:t xml:space="preserve">cumulative frequency distribution </w:t>
      </w:r>
      <w:r w:rsidR="00F20594">
        <w:t xml:space="preserve">of the 1943 – 1999 union coverage </w:t>
      </w:r>
      <w:r w:rsidR="00CF61BD">
        <w:t>depth limit</w:t>
      </w:r>
      <w:r w:rsidR="00F20594">
        <w:t>s.</w:t>
      </w:r>
      <w:r w:rsidRPr="00F2427B">
        <w:t xml:space="preserve">  The use of a cumulative frequency distribution of the deep edge of seagrass beds is a good way to summarize the depth of seagrass growth across an area without dictating the exact locations where seagrasses must recover </w:t>
      </w:r>
      <w:r w:rsidR="00514B65">
        <w:t>because it</w:t>
      </w:r>
      <w:r w:rsidRPr="00F2427B">
        <w:t xml:space="preserve"> helps to address the variability of conditions that may not be related to anthropogenic disturbances.  </w:t>
      </w:r>
    </w:p>
    <w:p w:rsidR="00225B59" w:rsidRPr="00675469" w:rsidRDefault="00225B59" w:rsidP="00B30263">
      <w:pPr>
        <w:jc w:val="both"/>
      </w:pPr>
    </w:p>
    <w:p w:rsidR="00002B8D" w:rsidRPr="00675469" w:rsidRDefault="00F2427B" w:rsidP="00B30263">
      <w:pPr>
        <w:jc w:val="both"/>
      </w:pPr>
      <w:r w:rsidRPr="00F2427B">
        <w:t xml:space="preserve">The Florida Department of Environmental Protection (FDEP) expects improvements in the seagrass DL resulting from reductions in TN and TP, </w:t>
      </w:r>
      <w:r w:rsidR="00675469">
        <w:t>which will also result</w:t>
      </w:r>
      <w:r w:rsidRPr="00F2427B">
        <w:t xml:space="preserve"> </w:t>
      </w:r>
      <w:r w:rsidR="00675469">
        <w:t xml:space="preserve">in </w:t>
      </w:r>
      <w:r w:rsidRPr="00F2427B">
        <w:t>total suspended solid (TSS) reductions.  While we will list projects in the BMAP t</w:t>
      </w:r>
      <w:r w:rsidR="00BA10AB">
        <w:t>hat</w:t>
      </w:r>
      <w:r w:rsidRPr="00F2427B">
        <w:t xml:space="preserve"> reduce TN and TP and compare those load reductions to individual nutrient allocations, </w:t>
      </w:r>
      <w:r w:rsidR="00B72012">
        <w:t>FDEP</w:t>
      </w:r>
      <w:r w:rsidRPr="00F2427B">
        <w:t xml:space="preserve"> will measure overall </w:t>
      </w:r>
      <w:r w:rsidR="00BA10AB" w:rsidRPr="00675469">
        <w:t>TMDL</w:t>
      </w:r>
      <w:r w:rsidR="00BA10AB">
        <w:t xml:space="preserve"> </w:t>
      </w:r>
      <w:r w:rsidRPr="00F2427B">
        <w:t xml:space="preserve">success based entirely on the seagrass response to changes in the watershed and water column.  To assess </w:t>
      </w:r>
      <w:r w:rsidR="00B72012">
        <w:t>the</w:t>
      </w:r>
      <w:r w:rsidR="00B72012" w:rsidRPr="00F2427B">
        <w:t xml:space="preserve"> </w:t>
      </w:r>
      <w:r w:rsidRPr="00F2427B">
        <w:t>region’s achievement in meeting the TMDLs, FDEP is focused on measuring the maximum depth at which seagrasses currently grow in the IRL compared to the TMDL DL targets.</w:t>
      </w:r>
    </w:p>
    <w:p w:rsidR="00B30263" w:rsidRPr="00675469" w:rsidRDefault="00B30263" w:rsidP="00B30263">
      <w:pPr>
        <w:pStyle w:val="Heading2"/>
        <w:spacing w:before="0"/>
        <w:jc w:val="both"/>
        <w:rPr>
          <w:rFonts w:asciiTheme="minorHAnsi" w:hAnsiTheme="minorHAnsi"/>
          <w:color w:val="auto"/>
        </w:rPr>
      </w:pPr>
    </w:p>
    <w:p w:rsidR="00794153" w:rsidRPr="00675469" w:rsidRDefault="00F2427B"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Scale for Measuring Success:  Project Zones</w:t>
      </w:r>
    </w:p>
    <w:p w:rsidR="00002B8D" w:rsidRPr="00675469" w:rsidRDefault="00F2427B" w:rsidP="00B30263">
      <w:pPr>
        <w:jc w:val="both"/>
      </w:pPr>
      <w:r w:rsidRPr="00F2427B">
        <w:t xml:space="preserve">Success in achieving the </w:t>
      </w:r>
      <w:r w:rsidR="00F20594">
        <w:t>TMDL</w:t>
      </w:r>
      <w:r w:rsidR="00F20594" w:rsidRPr="00F2427B">
        <w:t xml:space="preserve"> </w:t>
      </w:r>
      <w:r w:rsidRPr="00F2427B">
        <w:t>DL targets will be assessed based on a project zone scale. The IRL Basin is divided into three sub-lagoons:  Banana River Lagoon (BRL), North IRL, and Central IRL.  These sub-lagoons are important units but they are large areas that do not account for hydrological distinctions within these sub-lagoons based upon residence time.  While FDEP desires to have all three sub-lagoons achieve seagrass recovery, it is possible to have success in smaller assessment areas</w:t>
      </w:r>
      <w:r w:rsidR="00B72012">
        <w:t>,</w:t>
      </w:r>
      <w:r w:rsidRPr="00F2427B">
        <w:t xml:space="preserve"> and for those areas within the sub-lagoons that have not fully recovered to continue to make nutrient reductions.  For the purposes of the basin management action plans (BMAPs), the sub-lagoons were divided into project zones: one zone in BRL, two zones in North IRL, and three zones in Central IRL.  Project zones are hydrologically</w:t>
      </w:r>
      <w:r w:rsidR="00B72012">
        <w:t xml:space="preserve"> </w:t>
      </w:r>
      <w:r w:rsidRPr="00F2427B">
        <w:t xml:space="preserve">connected areas and incoming loads would be expected to affect the entire area.  The project zone, therefore, is </w:t>
      </w:r>
      <w:r w:rsidR="00CF61BD">
        <w:t>a reasonable</w:t>
      </w:r>
      <w:r w:rsidRPr="00F2427B">
        <w:t xml:space="preserve"> scale by which to judge success of the seagrass DL target</w:t>
      </w:r>
      <w:r w:rsidR="00B72012">
        <w:t>s</w:t>
      </w:r>
      <w:r w:rsidRPr="00F2427B">
        <w:t>.</w:t>
      </w:r>
    </w:p>
    <w:p w:rsidR="00002B8D" w:rsidRPr="00675469" w:rsidRDefault="00002B8D" w:rsidP="00B30263">
      <w:pPr>
        <w:jc w:val="both"/>
      </w:pPr>
    </w:p>
    <w:p w:rsidR="00002B8D" w:rsidRPr="00675469" w:rsidRDefault="00F2427B" w:rsidP="00B30263">
      <w:pPr>
        <w:jc w:val="both"/>
      </w:pPr>
      <w:r w:rsidRPr="00F2427B">
        <w:t>Still smaller units have also been created</w:t>
      </w:r>
      <w:r w:rsidR="006132BA">
        <w:t xml:space="preserve"> including</w:t>
      </w:r>
      <w:r w:rsidRPr="00F2427B">
        <w:t xml:space="preserve"> segments</w:t>
      </w:r>
      <w:r w:rsidR="00514B65">
        <w:t xml:space="preserve"> –</w:t>
      </w:r>
      <w:r w:rsidR="00E17498">
        <w:t xml:space="preserve"> </w:t>
      </w:r>
      <w:r w:rsidR="006132BA">
        <w:t>which</w:t>
      </w:r>
      <w:r w:rsidR="00514B65">
        <w:t xml:space="preserve"> </w:t>
      </w:r>
      <w:r w:rsidR="00E17498">
        <w:t>are related to homogeneity in salinity and turbidity</w:t>
      </w:r>
      <w:r w:rsidR="00514B65">
        <w:t xml:space="preserve"> – </w:t>
      </w:r>
      <w:r w:rsidRPr="00F2427B">
        <w:t>by</w:t>
      </w:r>
      <w:r w:rsidR="00514B65">
        <w:t xml:space="preserve"> </w:t>
      </w:r>
      <w:r w:rsidRPr="00F2427B">
        <w:t>the St. Johns River Water Management District (SJRWMD), and waterbody identification numbers (WBIDs)</w:t>
      </w:r>
      <w:r w:rsidR="00514B65">
        <w:t xml:space="preserve"> –</w:t>
      </w:r>
      <w:r w:rsidR="00E17498">
        <w:t xml:space="preserve"> related</w:t>
      </w:r>
      <w:r w:rsidR="00514B65">
        <w:t xml:space="preserve"> </w:t>
      </w:r>
      <w:r w:rsidR="00E17498">
        <w:t>to land surface that drains into the lagoon</w:t>
      </w:r>
      <w:r w:rsidR="00514B65">
        <w:t xml:space="preserve"> –</w:t>
      </w:r>
      <w:r w:rsidRPr="00F2427B">
        <w:t xml:space="preserve"> by</w:t>
      </w:r>
      <w:r w:rsidR="00514B65">
        <w:t xml:space="preserve"> </w:t>
      </w:r>
      <w:r w:rsidRPr="00F2427B">
        <w:t xml:space="preserve">the FDEP TMDL program.  These </w:t>
      </w:r>
      <w:r w:rsidR="00E046EC">
        <w:t xml:space="preserve">assessment </w:t>
      </w:r>
      <w:r w:rsidRPr="00F2427B">
        <w:t xml:space="preserve">units are useful but </w:t>
      </w:r>
      <w:r w:rsidR="00CF61BD">
        <w:t xml:space="preserve">do not </w:t>
      </w:r>
      <w:r w:rsidR="00F20594">
        <w:t xml:space="preserve">precisely </w:t>
      </w:r>
      <w:r w:rsidR="00CF61BD">
        <w:t xml:space="preserve">reflect </w:t>
      </w:r>
      <w:r w:rsidR="00F20594">
        <w:t xml:space="preserve">the effect of </w:t>
      </w:r>
      <w:r w:rsidR="00CF61BD">
        <w:t>residence time</w:t>
      </w:r>
      <w:r w:rsidRPr="00F2427B">
        <w:t xml:space="preserve"> </w:t>
      </w:r>
      <w:r w:rsidR="00E046EC">
        <w:lastRenderedPageBreak/>
        <w:t>because they</w:t>
      </w:r>
      <w:r w:rsidRPr="00F2427B">
        <w:t xml:space="preserve"> interact liberally with their adjacent </w:t>
      </w:r>
      <w:r w:rsidR="00E046EC">
        <w:t>assessment</w:t>
      </w:r>
      <w:r w:rsidRPr="00F2427B">
        <w:t xml:space="preserve"> units </w:t>
      </w:r>
      <w:r w:rsidR="00E046EC">
        <w:t xml:space="preserve">that </w:t>
      </w:r>
      <w:r w:rsidRPr="00F2427B">
        <w:t xml:space="preserve">exhibit </w:t>
      </w:r>
      <w:r w:rsidR="00E046EC">
        <w:t xml:space="preserve">the </w:t>
      </w:r>
      <w:r w:rsidRPr="00F2427B">
        <w:t>s</w:t>
      </w:r>
      <w:r w:rsidR="00E046EC">
        <w:t>ame</w:t>
      </w:r>
      <w:r w:rsidRPr="00F2427B">
        <w:t xml:space="preserve"> flushing rates</w:t>
      </w:r>
      <w:r w:rsidR="006132BA">
        <w:t>.</w:t>
      </w:r>
      <w:r w:rsidRPr="00F2427B">
        <w:t xml:space="preserve"> </w:t>
      </w:r>
      <w:r w:rsidR="006132BA">
        <w:t xml:space="preserve"> I</w:t>
      </w:r>
      <w:r w:rsidRPr="00F2427B">
        <w:t xml:space="preserve">t is difficult to use this scale to determine success </w:t>
      </w:r>
      <w:r w:rsidR="00E046EC">
        <w:t>because we cannot</w:t>
      </w:r>
      <w:r w:rsidRPr="00F2427B">
        <w:t xml:space="preserve"> set aside the influence of their nutrient loads </w:t>
      </w:r>
      <w:r w:rsidR="00E046EC">
        <w:t>mixing i</w:t>
      </w:r>
      <w:r w:rsidRPr="00F2427B">
        <w:t>n the other proximal units.  FDEP has therefore recommended that the project zone scale is the best scale by which to judge seagrass recovery.</w:t>
      </w:r>
    </w:p>
    <w:p w:rsidR="00002B8D" w:rsidRPr="00675469" w:rsidRDefault="00002B8D" w:rsidP="00B30263">
      <w:pPr>
        <w:pStyle w:val="Heading2"/>
        <w:spacing w:before="0"/>
        <w:jc w:val="both"/>
        <w:rPr>
          <w:rFonts w:asciiTheme="minorHAnsi" w:hAnsiTheme="minorHAnsi"/>
          <w:color w:val="auto"/>
          <w:sz w:val="24"/>
          <w:szCs w:val="24"/>
        </w:rPr>
      </w:pPr>
    </w:p>
    <w:p w:rsidR="00794153" w:rsidRPr="00675469" w:rsidRDefault="00F2427B" w:rsidP="00B30263">
      <w:pPr>
        <w:pStyle w:val="Heading2"/>
        <w:spacing w:before="0"/>
        <w:jc w:val="both"/>
        <w:rPr>
          <w:rFonts w:asciiTheme="minorHAnsi" w:hAnsiTheme="minorHAnsi"/>
          <w:smallCaps/>
          <w:color w:val="auto"/>
          <w:sz w:val="24"/>
          <w:szCs w:val="24"/>
        </w:rPr>
      </w:pPr>
      <w:r>
        <w:rPr>
          <w:rFonts w:asciiTheme="minorHAnsi" w:hAnsiTheme="minorHAnsi"/>
          <w:smallCaps/>
          <w:color w:val="auto"/>
          <w:sz w:val="24"/>
          <w:szCs w:val="24"/>
        </w:rPr>
        <w:t>Two-Step Measurement of Success</w:t>
      </w:r>
    </w:p>
    <w:p w:rsidR="00002B8D" w:rsidRPr="00675469" w:rsidRDefault="00F2427B" w:rsidP="00B30263">
      <w:pPr>
        <w:jc w:val="both"/>
      </w:pPr>
      <w:r w:rsidRPr="00F2427B">
        <w:t>FDEP defines success in meeting the TMDL seagrass DL target</w:t>
      </w:r>
      <w:r w:rsidR="00B72012">
        <w:t>s</w:t>
      </w:r>
      <w:r w:rsidRPr="00F2427B">
        <w:t xml:space="preserve"> using a two-step assessment approach.  The two steps are used to address the following concerns:</w:t>
      </w:r>
    </w:p>
    <w:p w:rsidR="00794153" w:rsidRPr="00675469" w:rsidRDefault="00F2427B" w:rsidP="00B30263">
      <w:pPr>
        <w:pStyle w:val="ListParagraph"/>
        <w:numPr>
          <w:ilvl w:val="0"/>
          <w:numId w:val="1"/>
        </w:numPr>
        <w:jc w:val="both"/>
      </w:pPr>
      <w:r w:rsidRPr="00F2427B">
        <w:t xml:space="preserve">Determination of seagrass recovery should take into account inter-annual variability and allow for some years to have less seagrass depth than others. </w:t>
      </w:r>
    </w:p>
    <w:p w:rsidR="007D6668" w:rsidRPr="00675469" w:rsidRDefault="00F2427B" w:rsidP="00B30263">
      <w:pPr>
        <w:pStyle w:val="ListParagraph"/>
        <w:numPr>
          <w:ilvl w:val="0"/>
          <w:numId w:val="1"/>
        </w:numPr>
        <w:jc w:val="both"/>
      </w:pPr>
      <w:r w:rsidRPr="00F2427B">
        <w:t>An evaluation of seagrass recovery should not allow one very good year to over-influence the evaluation of otherwise limited seagrass depths.</w:t>
      </w:r>
    </w:p>
    <w:p w:rsidR="007D6668" w:rsidRPr="00675469" w:rsidRDefault="007D6668" w:rsidP="00B30263">
      <w:pPr>
        <w:pStyle w:val="Heading3"/>
        <w:spacing w:before="0"/>
        <w:jc w:val="both"/>
        <w:rPr>
          <w:rFonts w:asciiTheme="minorHAnsi" w:hAnsiTheme="minorHAnsi"/>
          <w:color w:val="auto"/>
        </w:rPr>
      </w:pPr>
    </w:p>
    <w:p w:rsidR="00120A4A" w:rsidRPr="00675469" w:rsidRDefault="00F2427B" w:rsidP="00B30263">
      <w:pPr>
        <w:pStyle w:val="Heading3"/>
        <w:spacing w:before="0"/>
        <w:jc w:val="both"/>
        <w:rPr>
          <w:rFonts w:asciiTheme="minorHAnsi" w:hAnsiTheme="minorHAnsi"/>
          <w:color w:val="auto"/>
        </w:rPr>
      </w:pPr>
      <w:r>
        <w:rPr>
          <w:rFonts w:asciiTheme="minorHAnsi" w:hAnsiTheme="minorHAnsi"/>
          <w:color w:val="auto"/>
        </w:rPr>
        <w:t>Step 1:  Cumulative Frequency Distribution Analysis</w:t>
      </w:r>
    </w:p>
    <w:p w:rsidR="007D6668" w:rsidRPr="00675469" w:rsidRDefault="00F2427B" w:rsidP="00B30263">
      <w:pPr>
        <w:jc w:val="both"/>
      </w:pPr>
      <w:r w:rsidRPr="00F2427B">
        <w:t xml:space="preserve">To address the first concern, Step 1 is applied, which involves taking the four most recent mapped seagrass datasets and creating a union coverage in the Geographic Information System (GIS).  Using this union coverage, a 15 meter buffer zone is applied to the perimeter of the coverage to create the deep edge of </w:t>
      </w:r>
      <w:r w:rsidR="00D0358E">
        <w:t xml:space="preserve">the </w:t>
      </w:r>
      <w:r w:rsidRPr="00F2427B">
        <w:t xml:space="preserve">seagrass beds. </w:t>
      </w:r>
      <w:r w:rsidR="00567CF8">
        <w:t xml:space="preserve"> </w:t>
      </w:r>
      <w:r w:rsidRPr="00F2427B">
        <w:t>This buffer coverage shows the deepest edge that seagrass grew at any time during the data period, and is used to create a cumulative frequency distribution curve of the depth at which seagrasses exist within the project zone.  This curve is then compared to the TMDL DL target curve.</w:t>
      </w:r>
    </w:p>
    <w:p w:rsidR="00DD59E9" w:rsidRPr="00675469" w:rsidRDefault="00DD59E9" w:rsidP="00B30263">
      <w:pPr>
        <w:jc w:val="both"/>
      </w:pPr>
    </w:p>
    <w:p w:rsidR="009154B0" w:rsidRPr="00675469" w:rsidRDefault="00F2427B" w:rsidP="00B30263">
      <w:pPr>
        <w:jc w:val="both"/>
      </w:pPr>
      <w:r w:rsidRPr="00F2427B">
        <w:t xml:space="preserve">Step 1 successful seagrass compliance is reached when 50% or more of the </w:t>
      </w:r>
      <w:r w:rsidR="00E046EC">
        <w:t>assessment</w:t>
      </w:r>
      <w:r w:rsidRPr="00F2427B">
        <w:t xml:space="preserve"> </w:t>
      </w:r>
      <w:r w:rsidR="00E046EC">
        <w:t xml:space="preserve">years’ </w:t>
      </w:r>
      <w:r w:rsidRPr="00F2427B">
        <w:t>frequency distribution curve (including its 50</w:t>
      </w:r>
      <w:r w:rsidRPr="00F2427B">
        <w:rPr>
          <w:vertAlign w:val="superscript"/>
        </w:rPr>
        <w:t>th</w:t>
      </w:r>
      <w:r w:rsidRPr="00F2427B">
        <w:t xml:space="preserve"> percentile value) for the project zone lies on or to the right of the TMDL DL target curve.  This assessment method captures all four datasets of latest seagrass coverage, automatically accounting for inter-annual variability while emphasizing the better years out of the dataset.</w:t>
      </w:r>
      <w:r w:rsidR="00D0358E">
        <w:t xml:space="preserve">  </w:t>
      </w:r>
    </w:p>
    <w:p w:rsidR="009154B0" w:rsidRPr="00675469" w:rsidRDefault="009154B0" w:rsidP="00B30263">
      <w:pPr>
        <w:jc w:val="both"/>
      </w:pPr>
    </w:p>
    <w:p w:rsidR="009154B0" w:rsidRPr="00675469" w:rsidRDefault="00F2427B" w:rsidP="00B30263">
      <w:pPr>
        <w:jc w:val="both"/>
      </w:pPr>
      <w:r w:rsidRPr="00F2427B">
        <w:t>If a project zone is compliant with Step 1, then the compliance evaluation continues.  To ensure that any one year is not over biasing a compliance determination, Step 2 is performed.</w:t>
      </w:r>
    </w:p>
    <w:p w:rsidR="009154B0" w:rsidRPr="00675469" w:rsidRDefault="009154B0" w:rsidP="00B30263">
      <w:pPr>
        <w:pStyle w:val="Heading3"/>
        <w:spacing w:before="0"/>
        <w:jc w:val="both"/>
        <w:rPr>
          <w:rFonts w:asciiTheme="minorHAnsi" w:hAnsiTheme="minorHAnsi"/>
          <w:b w:val="0"/>
          <w:color w:val="auto"/>
        </w:rPr>
      </w:pPr>
    </w:p>
    <w:p w:rsidR="009154B0" w:rsidRPr="00675469" w:rsidRDefault="00F2427B" w:rsidP="00B30263">
      <w:pPr>
        <w:pStyle w:val="Heading3"/>
        <w:spacing w:before="0"/>
        <w:jc w:val="both"/>
        <w:rPr>
          <w:rFonts w:asciiTheme="minorHAnsi" w:hAnsiTheme="minorHAnsi"/>
          <w:color w:val="auto"/>
        </w:rPr>
      </w:pPr>
      <w:r>
        <w:rPr>
          <w:rFonts w:asciiTheme="minorHAnsi" w:hAnsiTheme="minorHAnsi"/>
          <w:color w:val="auto"/>
        </w:rPr>
        <w:t>Step 2:  Median DL Comparison for Each Data Year</w:t>
      </w:r>
    </w:p>
    <w:p w:rsidR="009154B0" w:rsidRPr="00675469" w:rsidRDefault="00F2427B" w:rsidP="00B30263">
      <w:pPr>
        <w:jc w:val="both"/>
      </w:pPr>
      <w:r w:rsidRPr="00F2427B">
        <w:t>Step 2 calculates the median depth of seagrass growth for each year of the four most recent datasets</w:t>
      </w:r>
      <w:r w:rsidR="00D0358E">
        <w:t>,</w:t>
      </w:r>
      <w:r w:rsidRPr="00F2427B">
        <w:t xml:space="preserve"> and then each year’s median is compared to the TMDL median DL target</w:t>
      </w:r>
      <w:r w:rsidR="00E046EC">
        <w:t xml:space="preserve"> (90%)</w:t>
      </w:r>
      <w:r w:rsidRPr="00F2427B">
        <w:t xml:space="preserve">.  </w:t>
      </w:r>
      <w:r w:rsidR="00D0358E">
        <w:t xml:space="preserve">Three of the </w:t>
      </w:r>
      <w:r w:rsidRPr="00F2427B">
        <w:t>four medians of the assessment years’ seagrass coverages must meet or exceed the median TMDL DL target in order for a project zone to be Step 2 compliant.</w:t>
      </w:r>
    </w:p>
    <w:p w:rsidR="009154B0" w:rsidRPr="00675469" w:rsidRDefault="009154B0" w:rsidP="00B30263">
      <w:pPr>
        <w:jc w:val="both"/>
      </w:pPr>
    </w:p>
    <w:p w:rsidR="00120A4A" w:rsidRPr="00675469" w:rsidRDefault="00F2427B" w:rsidP="00B30263">
      <w:pPr>
        <w:jc w:val="both"/>
      </w:pPr>
      <w:r w:rsidRPr="00F2427B">
        <w:t>If a project zone is compliant based on the Step 1 and Step 2 analysis, then the project zone is considered to be meeting the TMDL</w:t>
      </w:r>
      <w:r w:rsidR="007B44D4">
        <w:t xml:space="preserve"> seagrass DL target</w:t>
      </w:r>
      <w:r w:rsidRPr="00F2427B">
        <w:t>.    If a project zone fails to meet either Step 1 or Step 2, then it is not considered to be meeting the TMDL</w:t>
      </w:r>
      <w:r w:rsidR="007B44D4">
        <w:t xml:space="preserve"> seagrass DL target</w:t>
      </w:r>
      <w:r w:rsidRPr="00F2427B">
        <w:t xml:space="preserve"> for that set of assessment years.  </w:t>
      </w:r>
    </w:p>
    <w:p w:rsidR="00D2534E" w:rsidRDefault="00D2534E" w:rsidP="00B30263">
      <w:pPr>
        <w:pStyle w:val="Heading2"/>
        <w:spacing w:before="0"/>
        <w:jc w:val="both"/>
        <w:rPr>
          <w:rFonts w:asciiTheme="minorHAnsi" w:hAnsiTheme="minorHAnsi"/>
          <w:smallCaps/>
          <w:color w:val="auto"/>
          <w:sz w:val="24"/>
          <w:szCs w:val="24"/>
        </w:rPr>
      </w:pPr>
    </w:p>
    <w:p w:rsidR="00DD59E9" w:rsidRPr="00D0358E" w:rsidRDefault="006501E3" w:rsidP="00B30263">
      <w:pPr>
        <w:pStyle w:val="Heading2"/>
        <w:spacing w:before="0"/>
        <w:jc w:val="both"/>
        <w:rPr>
          <w:rFonts w:asciiTheme="minorHAnsi" w:hAnsiTheme="minorHAnsi"/>
          <w:smallCaps/>
          <w:color w:val="auto"/>
          <w:sz w:val="24"/>
          <w:szCs w:val="24"/>
        </w:rPr>
      </w:pPr>
      <w:r w:rsidRPr="006501E3">
        <w:rPr>
          <w:rFonts w:asciiTheme="minorHAnsi" w:hAnsiTheme="minorHAnsi"/>
          <w:smallCaps/>
          <w:color w:val="auto"/>
          <w:sz w:val="24"/>
          <w:szCs w:val="24"/>
        </w:rPr>
        <w:t>2011 Seagrass Compliance Evaluation</w:t>
      </w:r>
    </w:p>
    <w:p w:rsidR="00120A4A" w:rsidRPr="00675469" w:rsidRDefault="00F2427B" w:rsidP="00B30263">
      <w:pPr>
        <w:jc w:val="both"/>
      </w:pPr>
      <w:r w:rsidRPr="00F2427B">
        <w:t xml:space="preserve">Following the steps described above, FDEP evaluated the most recent data (mapping years 2003, 2005, 2006, and 2007) to determine if any of the project zones are achieving the seagrass DL targets. </w:t>
      </w:r>
    </w:p>
    <w:p w:rsidR="00977367" w:rsidRPr="00675469" w:rsidRDefault="00977367" w:rsidP="00B30263">
      <w:pPr>
        <w:pStyle w:val="Heading3"/>
        <w:spacing w:before="0"/>
        <w:jc w:val="both"/>
        <w:rPr>
          <w:rFonts w:asciiTheme="minorHAnsi" w:hAnsiTheme="minorHAnsi"/>
          <w:color w:val="auto"/>
        </w:rPr>
      </w:pPr>
    </w:p>
    <w:p w:rsidR="00A2089D" w:rsidRPr="00675469" w:rsidRDefault="00F2427B" w:rsidP="00B30263">
      <w:pPr>
        <w:pStyle w:val="Heading3"/>
        <w:spacing w:before="0"/>
        <w:jc w:val="both"/>
        <w:rPr>
          <w:rFonts w:asciiTheme="minorHAnsi" w:hAnsiTheme="minorHAnsi"/>
          <w:color w:val="auto"/>
        </w:rPr>
      </w:pPr>
      <w:r>
        <w:rPr>
          <w:rFonts w:asciiTheme="minorHAnsi" w:hAnsiTheme="minorHAnsi"/>
          <w:color w:val="auto"/>
        </w:rPr>
        <w:t>Step 1:  2011 Cumulative Frequency Distribution Analysis</w:t>
      </w:r>
    </w:p>
    <w:p w:rsidR="009B289B" w:rsidRPr="00675469" w:rsidRDefault="00F2427B">
      <w:pPr>
        <w:jc w:val="both"/>
      </w:pPr>
      <w:r w:rsidRPr="00F2427B">
        <w:t>A union coverage of the assessment years’ 15 meter buffer established the deep edge and was created for each project zone.  Based on this deep edge GIS coverage and the intersection of the bathymetric depths</w:t>
      </w:r>
      <w:r w:rsidR="007D0747">
        <w:t xml:space="preserve"> minus areas that were dredged</w:t>
      </w:r>
      <w:r w:rsidRPr="00F2427B">
        <w:t xml:space="preserve">, a cumulative frequency distribution curve was created for each project zone.  A cumulative frequency distribution curve was also created for the TMDL union deep edge coverage in that project zone.  Then, by project zone, the curve of the most recent data was plotted next to the TMDL union curve and the results were compared.  Based on this analysis, </w:t>
      </w:r>
      <w:r w:rsidR="00BF7185">
        <w:t>four</w:t>
      </w:r>
      <w:r w:rsidR="00BF7185" w:rsidRPr="00F2427B">
        <w:t xml:space="preserve"> </w:t>
      </w:r>
      <w:r w:rsidRPr="00F2427B">
        <w:t>of the project zones were Step 1 compliant, as shown in the table below.</w:t>
      </w:r>
    </w:p>
    <w:p w:rsidR="007E1590" w:rsidRPr="00675469" w:rsidRDefault="007E1590" w:rsidP="00540CCA">
      <w:pPr>
        <w:jc w:val="left"/>
      </w:pPr>
    </w:p>
    <w:tbl>
      <w:tblPr>
        <w:tblStyle w:val="TableGrid"/>
        <w:tblW w:w="0" w:type="auto"/>
        <w:tblInd w:w="1458" w:type="dxa"/>
        <w:tblLook w:val="04A0"/>
      </w:tblPr>
      <w:tblGrid>
        <w:gridCol w:w="1622"/>
        <w:gridCol w:w="2068"/>
      </w:tblGrid>
      <w:tr w:rsidR="007E1590" w:rsidRPr="00675469" w:rsidTr="00176444">
        <w:tc>
          <w:tcPr>
            <w:tcW w:w="1622" w:type="dxa"/>
            <w:shd w:val="clear" w:color="auto" w:fill="DBE5F1" w:themeFill="accent1" w:themeFillTint="33"/>
          </w:tcPr>
          <w:p w:rsidR="007E1590" w:rsidRPr="00675469" w:rsidRDefault="00F2427B" w:rsidP="00540CCA">
            <w:pPr>
              <w:jc w:val="left"/>
              <w:rPr>
                <w:b/>
              </w:rPr>
            </w:pPr>
            <w:r w:rsidRPr="00F2427B">
              <w:rPr>
                <w:b/>
              </w:rPr>
              <w:t>Project Zone</w:t>
            </w:r>
          </w:p>
        </w:tc>
        <w:tc>
          <w:tcPr>
            <w:tcW w:w="2068" w:type="dxa"/>
            <w:shd w:val="clear" w:color="auto" w:fill="DBE5F1" w:themeFill="accent1" w:themeFillTint="33"/>
          </w:tcPr>
          <w:p w:rsidR="007E1590" w:rsidRPr="00675469" w:rsidRDefault="00F2427B" w:rsidP="00540CCA">
            <w:pPr>
              <w:jc w:val="left"/>
              <w:rPr>
                <w:b/>
              </w:rPr>
            </w:pPr>
            <w:r w:rsidRPr="00F2427B">
              <w:rPr>
                <w:b/>
              </w:rPr>
              <w:t>Step 1 Compliant?</w:t>
            </w:r>
          </w:p>
        </w:tc>
      </w:tr>
      <w:tr w:rsidR="007E1590" w:rsidRPr="00675469" w:rsidTr="00176444">
        <w:tc>
          <w:tcPr>
            <w:tcW w:w="1622" w:type="dxa"/>
          </w:tcPr>
          <w:p w:rsidR="007E1590" w:rsidRPr="00675469" w:rsidRDefault="00F2427B" w:rsidP="00540CCA">
            <w:pPr>
              <w:jc w:val="left"/>
            </w:pPr>
            <w:r w:rsidRPr="00F2427B">
              <w:t>BRL</w:t>
            </w:r>
          </w:p>
        </w:tc>
        <w:tc>
          <w:tcPr>
            <w:tcW w:w="2068" w:type="dxa"/>
          </w:tcPr>
          <w:p w:rsidR="007E1590" w:rsidRPr="00675469" w:rsidRDefault="00BF7185" w:rsidP="00540CCA">
            <w:pPr>
              <w:jc w:val="left"/>
            </w:pPr>
            <w:r>
              <w:t>Yes</w:t>
            </w:r>
          </w:p>
        </w:tc>
      </w:tr>
      <w:tr w:rsidR="007E1590" w:rsidRPr="00675469" w:rsidTr="00176444">
        <w:tc>
          <w:tcPr>
            <w:tcW w:w="1622" w:type="dxa"/>
          </w:tcPr>
          <w:p w:rsidR="007E1590" w:rsidRPr="00675469" w:rsidRDefault="00F2427B" w:rsidP="00540CCA">
            <w:pPr>
              <w:jc w:val="left"/>
            </w:pPr>
            <w:r w:rsidRPr="00F2427B">
              <w:t>North A</w:t>
            </w:r>
          </w:p>
        </w:tc>
        <w:tc>
          <w:tcPr>
            <w:tcW w:w="2068" w:type="dxa"/>
          </w:tcPr>
          <w:p w:rsidR="007E1590" w:rsidRPr="00675469" w:rsidRDefault="00F2427B" w:rsidP="00540CCA">
            <w:pPr>
              <w:jc w:val="left"/>
            </w:pPr>
            <w:r w:rsidRPr="00F2427B">
              <w:t>No</w:t>
            </w:r>
          </w:p>
        </w:tc>
      </w:tr>
      <w:tr w:rsidR="007E1590" w:rsidRPr="00675469" w:rsidTr="00176444">
        <w:tc>
          <w:tcPr>
            <w:tcW w:w="1622" w:type="dxa"/>
          </w:tcPr>
          <w:p w:rsidR="007E1590" w:rsidRPr="00675469" w:rsidRDefault="00F2427B" w:rsidP="00540CCA">
            <w:pPr>
              <w:jc w:val="left"/>
            </w:pPr>
            <w:r w:rsidRPr="00F2427B">
              <w:t>North B</w:t>
            </w:r>
          </w:p>
        </w:tc>
        <w:tc>
          <w:tcPr>
            <w:tcW w:w="2068" w:type="dxa"/>
          </w:tcPr>
          <w:p w:rsidR="007E1590" w:rsidRPr="00675469" w:rsidRDefault="00F2427B" w:rsidP="00540CCA">
            <w:pPr>
              <w:jc w:val="left"/>
            </w:pPr>
            <w:r w:rsidRPr="00F2427B">
              <w:t>No</w:t>
            </w:r>
          </w:p>
        </w:tc>
      </w:tr>
      <w:tr w:rsidR="007E1590" w:rsidRPr="00675469" w:rsidTr="00176444">
        <w:tc>
          <w:tcPr>
            <w:tcW w:w="1622" w:type="dxa"/>
          </w:tcPr>
          <w:p w:rsidR="007E1590" w:rsidRPr="00675469" w:rsidRDefault="00F2427B" w:rsidP="00540CCA">
            <w:pPr>
              <w:jc w:val="left"/>
            </w:pPr>
            <w:r w:rsidRPr="00F2427B">
              <w:t>Central A</w:t>
            </w:r>
          </w:p>
        </w:tc>
        <w:tc>
          <w:tcPr>
            <w:tcW w:w="2068" w:type="dxa"/>
          </w:tcPr>
          <w:p w:rsidR="007E1590" w:rsidRPr="00675469" w:rsidRDefault="00F2427B" w:rsidP="00540CCA">
            <w:pPr>
              <w:jc w:val="left"/>
            </w:pPr>
            <w:r w:rsidRPr="00F2427B">
              <w:t>Yes</w:t>
            </w:r>
          </w:p>
        </w:tc>
      </w:tr>
      <w:tr w:rsidR="007E1590" w:rsidRPr="00675469" w:rsidTr="00176444">
        <w:tc>
          <w:tcPr>
            <w:tcW w:w="1622" w:type="dxa"/>
          </w:tcPr>
          <w:p w:rsidR="007E1590" w:rsidRPr="00675469" w:rsidRDefault="00F2427B" w:rsidP="00540CCA">
            <w:pPr>
              <w:jc w:val="left"/>
            </w:pPr>
            <w:r w:rsidRPr="00F2427B">
              <w:t>Central SEB</w:t>
            </w:r>
          </w:p>
        </w:tc>
        <w:tc>
          <w:tcPr>
            <w:tcW w:w="2068" w:type="dxa"/>
          </w:tcPr>
          <w:p w:rsidR="007E1590" w:rsidRPr="00675469" w:rsidRDefault="00F2427B" w:rsidP="00540CCA">
            <w:pPr>
              <w:jc w:val="left"/>
            </w:pPr>
            <w:r w:rsidRPr="00F2427B">
              <w:t>Yes</w:t>
            </w:r>
          </w:p>
        </w:tc>
      </w:tr>
      <w:tr w:rsidR="000D6E2C" w:rsidRPr="00675469" w:rsidTr="00176444">
        <w:tc>
          <w:tcPr>
            <w:tcW w:w="1622" w:type="dxa"/>
          </w:tcPr>
          <w:p w:rsidR="000D6E2C" w:rsidRPr="00675469" w:rsidRDefault="00F2427B" w:rsidP="00540CCA">
            <w:pPr>
              <w:jc w:val="left"/>
            </w:pPr>
            <w:r w:rsidRPr="00F2427B">
              <w:t>Central B</w:t>
            </w:r>
          </w:p>
        </w:tc>
        <w:tc>
          <w:tcPr>
            <w:tcW w:w="2068" w:type="dxa"/>
          </w:tcPr>
          <w:p w:rsidR="000D6E2C" w:rsidRPr="00675469" w:rsidRDefault="00F2427B" w:rsidP="00540CCA">
            <w:pPr>
              <w:jc w:val="left"/>
            </w:pPr>
            <w:r w:rsidRPr="00F2427B">
              <w:t>Yes</w:t>
            </w:r>
          </w:p>
        </w:tc>
      </w:tr>
    </w:tbl>
    <w:p w:rsidR="007E1590" w:rsidRPr="00675469" w:rsidRDefault="007E1590" w:rsidP="00540CCA">
      <w:pPr>
        <w:jc w:val="left"/>
      </w:pPr>
    </w:p>
    <w:p w:rsidR="00974459" w:rsidRDefault="00F2427B" w:rsidP="00B30263">
      <w:pPr>
        <w:jc w:val="both"/>
      </w:pPr>
      <w:r w:rsidRPr="00F2427B">
        <w:t xml:space="preserve">The frequency distribution curve for each project zone is provided below.  The blue line shows the TMDL target DL cumulative frequency distribution curve.  The red line shows the union assessment years curve for the most recent data years. </w:t>
      </w:r>
    </w:p>
    <w:p w:rsidR="00D0358E" w:rsidRPr="00675469" w:rsidRDefault="00D0358E" w:rsidP="00B30263">
      <w:pPr>
        <w:jc w:val="both"/>
      </w:pPr>
    </w:p>
    <w:p w:rsidR="007E1590" w:rsidRPr="00675469" w:rsidRDefault="00F2427B" w:rsidP="00540CCA">
      <w:pPr>
        <w:pStyle w:val="Heading3"/>
        <w:spacing w:before="0"/>
        <w:rPr>
          <w:rFonts w:asciiTheme="minorHAnsi" w:hAnsiTheme="minorHAnsi"/>
          <w:color w:val="auto"/>
        </w:rPr>
      </w:pPr>
      <w:r>
        <w:rPr>
          <w:rFonts w:asciiTheme="minorHAnsi" w:hAnsiTheme="minorHAnsi"/>
          <w:color w:val="auto"/>
        </w:rPr>
        <w:t>Banana River Lagoon Frequency Distribution Curves</w:t>
      </w:r>
    </w:p>
    <w:p w:rsidR="007E1590" w:rsidRPr="00675469" w:rsidRDefault="00BF7185" w:rsidP="00540CCA">
      <w:r>
        <w:rPr>
          <w:noProof/>
        </w:rPr>
        <w:drawing>
          <wp:inline distT="0" distB="0" distL="0" distR="0">
            <wp:extent cx="4095750" cy="2467626"/>
            <wp:effectExtent l="19050" t="0" r="0" b="0"/>
            <wp:docPr id="10" name="Picture 9" descr="Banana River Lagoon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8" cstate="print"/>
                    <a:stretch>
                      <a:fillRect/>
                    </a:stretch>
                  </pic:blipFill>
                  <pic:spPr>
                    <a:xfrm>
                      <a:off x="0" y="0"/>
                      <a:ext cx="4095750" cy="2467626"/>
                    </a:xfrm>
                    <a:prstGeom prst="rect">
                      <a:avLst/>
                    </a:prstGeom>
                  </pic:spPr>
                </pic:pic>
              </a:graphicData>
            </a:graphic>
          </wp:inline>
        </w:drawing>
      </w:r>
    </w:p>
    <w:p w:rsidR="00974459" w:rsidRPr="00675469" w:rsidRDefault="00F2427B" w:rsidP="00540CCA">
      <w:pPr>
        <w:pStyle w:val="Heading3"/>
        <w:spacing w:before="0"/>
        <w:rPr>
          <w:rFonts w:asciiTheme="minorHAnsi" w:hAnsiTheme="minorHAnsi"/>
          <w:color w:val="auto"/>
        </w:rPr>
      </w:pPr>
      <w:r>
        <w:rPr>
          <w:rFonts w:asciiTheme="minorHAnsi" w:hAnsiTheme="minorHAnsi"/>
          <w:color w:val="auto"/>
        </w:rPr>
        <w:lastRenderedPageBreak/>
        <w:t>North A Frequency Distribution Curves</w:t>
      </w:r>
    </w:p>
    <w:p w:rsidR="00977367" w:rsidRPr="00675469" w:rsidRDefault="00153C34" w:rsidP="00977367">
      <w:r>
        <w:rPr>
          <w:noProof/>
        </w:rPr>
        <w:drawing>
          <wp:inline distT="0" distB="0" distL="0" distR="0">
            <wp:extent cx="4252764" cy="2562225"/>
            <wp:effectExtent l="19050" t="0" r="0" b="0"/>
            <wp:docPr id="2" name="Picture 1" descr="North A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 cstate="print"/>
                    <a:stretch>
                      <a:fillRect/>
                    </a:stretch>
                  </pic:blipFill>
                  <pic:spPr>
                    <a:xfrm>
                      <a:off x="0" y="0"/>
                      <a:ext cx="4260207" cy="2566709"/>
                    </a:xfrm>
                    <a:prstGeom prst="rect">
                      <a:avLst/>
                    </a:prstGeom>
                  </pic:spPr>
                </pic:pic>
              </a:graphicData>
            </a:graphic>
          </wp:inline>
        </w:drawing>
      </w:r>
    </w:p>
    <w:p w:rsidR="00974459" w:rsidRPr="00675469" w:rsidRDefault="00974459" w:rsidP="00540CCA"/>
    <w:p w:rsidR="00974459" w:rsidRPr="00675469" w:rsidRDefault="00F2427B" w:rsidP="00540CCA">
      <w:pPr>
        <w:pStyle w:val="Heading3"/>
        <w:spacing w:before="0"/>
        <w:rPr>
          <w:rFonts w:asciiTheme="minorHAnsi" w:hAnsiTheme="minorHAnsi"/>
          <w:color w:val="auto"/>
        </w:rPr>
      </w:pPr>
      <w:r>
        <w:rPr>
          <w:rFonts w:asciiTheme="minorHAnsi" w:hAnsiTheme="minorHAnsi"/>
          <w:color w:val="auto"/>
        </w:rPr>
        <w:t>North B Frequency Distribution Curve</w:t>
      </w:r>
    </w:p>
    <w:p w:rsidR="00974459" w:rsidRPr="00675469" w:rsidRDefault="00153C34" w:rsidP="00540CCA">
      <w:r>
        <w:rPr>
          <w:noProof/>
        </w:rPr>
        <w:drawing>
          <wp:inline distT="0" distB="0" distL="0" distR="0">
            <wp:extent cx="4189528" cy="2524125"/>
            <wp:effectExtent l="19050" t="0" r="1472" b="0"/>
            <wp:docPr id="5" name="Picture 4" descr="North B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0" cstate="print"/>
                    <a:stretch>
                      <a:fillRect/>
                    </a:stretch>
                  </pic:blipFill>
                  <pic:spPr>
                    <a:xfrm>
                      <a:off x="0" y="0"/>
                      <a:ext cx="4189528" cy="2524125"/>
                    </a:xfrm>
                    <a:prstGeom prst="rect">
                      <a:avLst/>
                    </a:prstGeom>
                  </pic:spPr>
                </pic:pic>
              </a:graphicData>
            </a:graphic>
          </wp:inline>
        </w:drawing>
      </w:r>
    </w:p>
    <w:p w:rsidR="00974459" w:rsidRPr="00675469" w:rsidRDefault="00974459" w:rsidP="00540CCA"/>
    <w:p w:rsidR="00974459" w:rsidRPr="00675469" w:rsidRDefault="00F2427B" w:rsidP="00540CCA">
      <w:pPr>
        <w:pStyle w:val="Heading3"/>
        <w:spacing w:before="0"/>
        <w:rPr>
          <w:rFonts w:asciiTheme="minorHAnsi" w:hAnsiTheme="minorHAnsi"/>
          <w:color w:val="auto"/>
        </w:rPr>
      </w:pPr>
      <w:r>
        <w:rPr>
          <w:rFonts w:asciiTheme="minorHAnsi" w:hAnsiTheme="minorHAnsi"/>
          <w:color w:val="auto"/>
        </w:rPr>
        <w:lastRenderedPageBreak/>
        <w:t>Central A Frequency Distribution Curves</w:t>
      </w:r>
    </w:p>
    <w:p w:rsidR="00974459" w:rsidRPr="00675469" w:rsidRDefault="00153C34" w:rsidP="00540CCA">
      <w:r>
        <w:rPr>
          <w:noProof/>
        </w:rPr>
        <w:drawing>
          <wp:inline distT="0" distB="0" distL="0" distR="0">
            <wp:extent cx="3933825" cy="2370068"/>
            <wp:effectExtent l="19050" t="0" r="9525" b="0"/>
            <wp:docPr id="7" name="Picture 6" descr="Central A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1" cstate="print"/>
                    <a:stretch>
                      <a:fillRect/>
                    </a:stretch>
                  </pic:blipFill>
                  <pic:spPr>
                    <a:xfrm>
                      <a:off x="0" y="0"/>
                      <a:ext cx="3933825" cy="2370068"/>
                    </a:xfrm>
                    <a:prstGeom prst="rect">
                      <a:avLst/>
                    </a:prstGeom>
                  </pic:spPr>
                </pic:pic>
              </a:graphicData>
            </a:graphic>
          </wp:inline>
        </w:drawing>
      </w:r>
    </w:p>
    <w:p w:rsidR="007E1590" w:rsidRPr="00675469" w:rsidRDefault="007E1590" w:rsidP="00540CCA"/>
    <w:p w:rsidR="000D6E2C" w:rsidRPr="00675469" w:rsidRDefault="00F2427B" w:rsidP="00540CCA">
      <w:pPr>
        <w:pStyle w:val="Heading3"/>
        <w:spacing w:before="0"/>
        <w:rPr>
          <w:rFonts w:asciiTheme="minorHAnsi" w:hAnsiTheme="minorHAnsi"/>
          <w:color w:val="auto"/>
        </w:rPr>
      </w:pPr>
      <w:r>
        <w:rPr>
          <w:rFonts w:asciiTheme="minorHAnsi" w:hAnsiTheme="minorHAnsi"/>
          <w:color w:val="auto"/>
        </w:rPr>
        <w:t>Central SEB Frequency Distribution Curves</w:t>
      </w:r>
    </w:p>
    <w:p w:rsidR="000D6E2C" w:rsidRPr="00675469" w:rsidRDefault="00153C34" w:rsidP="00540CCA">
      <w:r>
        <w:rPr>
          <w:noProof/>
        </w:rPr>
        <w:drawing>
          <wp:inline distT="0" distB="0" distL="0" distR="0">
            <wp:extent cx="3971925" cy="2393023"/>
            <wp:effectExtent l="19050" t="0" r="9525" b="0"/>
            <wp:docPr id="8" name="Picture 7" descr="Central SEB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2" cstate="print"/>
                    <a:stretch>
                      <a:fillRect/>
                    </a:stretch>
                  </pic:blipFill>
                  <pic:spPr>
                    <a:xfrm>
                      <a:off x="0" y="0"/>
                      <a:ext cx="3971925" cy="2393023"/>
                    </a:xfrm>
                    <a:prstGeom prst="rect">
                      <a:avLst/>
                    </a:prstGeom>
                  </pic:spPr>
                </pic:pic>
              </a:graphicData>
            </a:graphic>
          </wp:inline>
        </w:drawing>
      </w:r>
    </w:p>
    <w:p w:rsidR="000D6E2C" w:rsidRPr="00675469" w:rsidRDefault="000D6E2C" w:rsidP="00540CCA"/>
    <w:p w:rsidR="000D6E2C" w:rsidRPr="00675469" w:rsidRDefault="00F2427B" w:rsidP="00540CCA">
      <w:pPr>
        <w:pStyle w:val="Heading3"/>
        <w:spacing w:before="0"/>
        <w:rPr>
          <w:rFonts w:asciiTheme="minorHAnsi" w:hAnsiTheme="minorHAnsi"/>
          <w:color w:val="auto"/>
        </w:rPr>
      </w:pPr>
      <w:r>
        <w:rPr>
          <w:rFonts w:asciiTheme="minorHAnsi" w:hAnsiTheme="minorHAnsi"/>
          <w:color w:val="auto"/>
        </w:rPr>
        <w:t>Central B Frequency Distribution Curves</w:t>
      </w:r>
    </w:p>
    <w:p w:rsidR="000D6E2C" w:rsidRPr="00675469" w:rsidRDefault="00153C34" w:rsidP="00540CCA">
      <w:r>
        <w:rPr>
          <w:noProof/>
        </w:rPr>
        <w:drawing>
          <wp:inline distT="0" distB="0" distL="0" distR="0">
            <wp:extent cx="4124325" cy="2484841"/>
            <wp:effectExtent l="19050" t="0" r="9525" b="0"/>
            <wp:docPr id="9" name="Picture 8" descr="Central B Frequency Distribution Cu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3" cstate="print"/>
                    <a:stretch>
                      <a:fillRect/>
                    </a:stretch>
                  </pic:blipFill>
                  <pic:spPr>
                    <a:xfrm>
                      <a:off x="0" y="0"/>
                      <a:ext cx="4125774" cy="2485714"/>
                    </a:xfrm>
                    <a:prstGeom prst="rect">
                      <a:avLst/>
                    </a:prstGeom>
                  </pic:spPr>
                </pic:pic>
              </a:graphicData>
            </a:graphic>
          </wp:inline>
        </w:drawing>
      </w:r>
    </w:p>
    <w:p w:rsidR="00153C34" w:rsidRDefault="00153C34" w:rsidP="00540CCA">
      <w:pPr>
        <w:pStyle w:val="Heading3"/>
        <w:spacing w:before="0"/>
        <w:jc w:val="left"/>
        <w:rPr>
          <w:rFonts w:asciiTheme="minorHAnsi" w:hAnsiTheme="minorHAnsi"/>
          <w:color w:val="auto"/>
        </w:rPr>
      </w:pPr>
    </w:p>
    <w:p w:rsidR="00225B59" w:rsidRPr="00675469" w:rsidRDefault="00F2427B" w:rsidP="00540CCA">
      <w:pPr>
        <w:pStyle w:val="Heading3"/>
        <w:spacing w:before="0"/>
        <w:jc w:val="left"/>
        <w:rPr>
          <w:rFonts w:asciiTheme="minorHAnsi" w:hAnsiTheme="minorHAnsi"/>
          <w:color w:val="auto"/>
        </w:rPr>
      </w:pPr>
      <w:r>
        <w:rPr>
          <w:rFonts w:asciiTheme="minorHAnsi" w:hAnsiTheme="minorHAnsi"/>
          <w:color w:val="auto"/>
        </w:rPr>
        <w:t>Step 2:  2011 Median Comparison for Each Depth Year</w:t>
      </w:r>
    </w:p>
    <w:p w:rsidR="009A718B" w:rsidRPr="00675469" w:rsidRDefault="00F2427B" w:rsidP="00B30263">
      <w:pPr>
        <w:jc w:val="both"/>
      </w:pPr>
      <w:r w:rsidRPr="00F2427B">
        <w:t xml:space="preserve">Although Step 1 compliance was not achieved for all areas, FDEP performed Step 2 for all project zones.  If </w:t>
      </w:r>
      <w:r w:rsidR="001414B7">
        <w:t xml:space="preserve">those </w:t>
      </w:r>
      <w:r w:rsidR="00567CF8">
        <w:t>project zones</w:t>
      </w:r>
      <w:r w:rsidR="001414B7">
        <w:t xml:space="preserve"> that met Step 1 also </w:t>
      </w:r>
      <w:r w:rsidRPr="00F2427B">
        <w:t xml:space="preserve">met Step 2, </w:t>
      </w:r>
      <w:r w:rsidR="001414B7">
        <w:t>they</w:t>
      </w:r>
      <w:r w:rsidR="001414B7" w:rsidRPr="00F2427B">
        <w:t xml:space="preserve"> </w:t>
      </w:r>
      <w:r w:rsidRPr="00F2427B">
        <w:t>would be considered to be TMDL compliant at this time.  The Step 2 analyses performed were as follows:</w:t>
      </w:r>
    </w:p>
    <w:p w:rsidR="009A718B" w:rsidRPr="00675469" w:rsidRDefault="00506833" w:rsidP="00B30263">
      <w:pPr>
        <w:pStyle w:val="ListParagraph"/>
        <w:numPr>
          <w:ilvl w:val="0"/>
          <w:numId w:val="3"/>
        </w:numPr>
        <w:jc w:val="both"/>
      </w:pPr>
      <w:r>
        <w:t xml:space="preserve">Ninety percent </w:t>
      </w:r>
      <w:r w:rsidR="00D0358E">
        <w:t xml:space="preserve">of the </w:t>
      </w:r>
      <w:r w:rsidR="00F2427B" w:rsidRPr="00F2427B">
        <w:t>median depth</w:t>
      </w:r>
      <w:r w:rsidR="00E046EC">
        <w:t xml:space="preserve"> </w:t>
      </w:r>
      <w:r w:rsidR="00F2427B" w:rsidRPr="00F2427B">
        <w:t>for the TMDL dataset</w:t>
      </w:r>
      <w:r w:rsidR="00E06F3B" w:rsidRPr="00F2427B">
        <w:t xml:space="preserve"> </w:t>
      </w:r>
      <w:r w:rsidR="00F2427B" w:rsidRPr="00F2427B">
        <w:t>was calculated for each project zone.</w:t>
      </w:r>
    </w:p>
    <w:p w:rsidR="009A718B" w:rsidRPr="00675469" w:rsidRDefault="00F2427B" w:rsidP="00B30263">
      <w:pPr>
        <w:pStyle w:val="ListParagraph"/>
        <w:numPr>
          <w:ilvl w:val="0"/>
          <w:numId w:val="3"/>
        </w:numPr>
        <w:jc w:val="both"/>
      </w:pPr>
      <w:r w:rsidRPr="00F2427B">
        <w:t>The medians were calculated for each of the recent data years by project zone.</w:t>
      </w:r>
    </w:p>
    <w:p w:rsidR="009A718B" w:rsidRPr="00675469" w:rsidRDefault="009A718B" w:rsidP="00B30263">
      <w:pPr>
        <w:jc w:val="both"/>
      </w:pPr>
    </w:p>
    <w:p w:rsidR="00123FBA" w:rsidRPr="00675469" w:rsidRDefault="00F2427B" w:rsidP="00B30263">
      <w:pPr>
        <w:jc w:val="both"/>
      </w:pPr>
      <w:r w:rsidRPr="00F2427B">
        <w:t xml:space="preserve">The TMDL median deep edge seagrass depth and the medians for each year, by project zone, are presented below.  The years where the median exceeds </w:t>
      </w:r>
      <w:r w:rsidR="00841FB8">
        <w:t>the TMDL median are highlighted and a determination of Step 2 compliance is included.</w:t>
      </w:r>
    </w:p>
    <w:p w:rsidR="009A718B" w:rsidRPr="00675469" w:rsidRDefault="009A718B" w:rsidP="00B30263">
      <w:pPr>
        <w:jc w:val="both"/>
      </w:pPr>
    </w:p>
    <w:tbl>
      <w:tblPr>
        <w:tblW w:w="88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9"/>
        <w:gridCol w:w="869"/>
        <w:gridCol w:w="1125"/>
        <w:gridCol w:w="1072"/>
        <w:gridCol w:w="1208"/>
        <w:gridCol w:w="1441"/>
        <w:gridCol w:w="1206"/>
      </w:tblGrid>
      <w:tr w:rsidR="0006681D" w:rsidRPr="00675469" w:rsidTr="00433A35">
        <w:trPr>
          <w:trHeight w:val="70"/>
        </w:trPr>
        <w:tc>
          <w:tcPr>
            <w:tcW w:w="1959" w:type="dxa"/>
            <w:shd w:val="clear" w:color="auto" w:fill="DBE5F1" w:themeFill="accent1" w:themeFillTint="33"/>
            <w:noWrap/>
            <w:vAlign w:val="center"/>
            <w:hideMark/>
          </w:tcPr>
          <w:p w:rsidR="0088759B" w:rsidRPr="00675469" w:rsidRDefault="00F2427B" w:rsidP="00540CCA">
            <w:pPr>
              <w:rPr>
                <w:rFonts w:eastAsia="Times New Roman" w:cs="Times New Roman"/>
                <w:b/>
              </w:rPr>
            </w:pPr>
            <w:r w:rsidRPr="00F2427B">
              <w:rPr>
                <w:rFonts w:eastAsia="Times New Roman" w:cs="Times New Roman"/>
                <w:b/>
              </w:rPr>
              <w:t>Year</w:t>
            </w:r>
          </w:p>
        </w:tc>
        <w:tc>
          <w:tcPr>
            <w:tcW w:w="869" w:type="dxa"/>
            <w:shd w:val="clear" w:color="auto" w:fill="DBE5F1" w:themeFill="accent1" w:themeFillTint="33"/>
            <w:noWrap/>
            <w:vAlign w:val="center"/>
            <w:hideMark/>
          </w:tcPr>
          <w:p w:rsidR="0088759B" w:rsidRPr="00675469" w:rsidRDefault="00F2427B" w:rsidP="00540CCA">
            <w:pPr>
              <w:rPr>
                <w:rFonts w:eastAsia="Times New Roman" w:cs="Times New Roman"/>
                <w:b/>
              </w:rPr>
            </w:pPr>
            <w:r w:rsidRPr="00F2427B">
              <w:rPr>
                <w:rFonts w:eastAsia="Times New Roman" w:cs="Times New Roman"/>
                <w:b/>
              </w:rPr>
              <w:t>BRL</w:t>
            </w:r>
          </w:p>
        </w:tc>
        <w:tc>
          <w:tcPr>
            <w:tcW w:w="1125" w:type="dxa"/>
            <w:shd w:val="clear" w:color="auto" w:fill="DBE5F1" w:themeFill="accent1" w:themeFillTint="33"/>
            <w:vAlign w:val="center"/>
          </w:tcPr>
          <w:p w:rsidR="0088759B" w:rsidRPr="00675469" w:rsidRDefault="00F2427B" w:rsidP="00540CCA">
            <w:pPr>
              <w:rPr>
                <w:rFonts w:eastAsia="Times New Roman" w:cs="Times New Roman"/>
                <w:b/>
              </w:rPr>
            </w:pPr>
            <w:r w:rsidRPr="00F2427B">
              <w:rPr>
                <w:rFonts w:eastAsia="Times New Roman" w:cs="Times New Roman"/>
                <w:b/>
              </w:rPr>
              <w:t>North A</w:t>
            </w:r>
          </w:p>
        </w:tc>
        <w:tc>
          <w:tcPr>
            <w:tcW w:w="1072" w:type="dxa"/>
            <w:shd w:val="clear" w:color="auto" w:fill="DBE5F1" w:themeFill="accent1" w:themeFillTint="33"/>
            <w:vAlign w:val="center"/>
          </w:tcPr>
          <w:p w:rsidR="0088759B" w:rsidRPr="00675469" w:rsidRDefault="00F2427B" w:rsidP="00540CCA">
            <w:pPr>
              <w:rPr>
                <w:rFonts w:eastAsia="Times New Roman" w:cs="Times New Roman"/>
                <w:b/>
              </w:rPr>
            </w:pPr>
            <w:r w:rsidRPr="00F2427B">
              <w:rPr>
                <w:rFonts w:eastAsia="Times New Roman" w:cs="Times New Roman"/>
                <w:b/>
              </w:rPr>
              <w:t>North B</w:t>
            </w:r>
          </w:p>
        </w:tc>
        <w:tc>
          <w:tcPr>
            <w:tcW w:w="1208" w:type="dxa"/>
            <w:shd w:val="clear" w:color="auto" w:fill="DBE5F1" w:themeFill="accent1" w:themeFillTint="33"/>
            <w:vAlign w:val="center"/>
          </w:tcPr>
          <w:p w:rsidR="0088759B" w:rsidRPr="00675469" w:rsidRDefault="00F2427B" w:rsidP="00540CCA">
            <w:pPr>
              <w:rPr>
                <w:rFonts w:eastAsia="Times New Roman" w:cs="Times New Roman"/>
                <w:b/>
              </w:rPr>
            </w:pPr>
            <w:r w:rsidRPr="00F2427B">
              <w:rPr>
                <w:rFonts w:eastAsia="Times New Roman" w:cs="Times New Roman"/>
                <w:b/>
              </w:rPr>
              <w:t>Central A</w:t>
            </w:r>
          </w:p>
        </w:tc>
        <w:tc>
          <w:tcPr>
            <w:tcW w:w="1441" w:type="dxa"/>
            <w:shd w:val="clear" w:color="auto" w:fill="DBE5F1" w:themeFill="accent1" w:themeFillTint="33"/>
            <w:vAlign w:val="center"/>
          </w:tcPr>
          <w:p w:rsidR="0088759B" w:rsidRPr="00675469" w:rsidRDefault="00F2427B" w:rsidP="00540CCA">
            <w:pPr>
              <w:rPr>
                <w:rFonts w:eastAsia="Times New Roman" w:cs="Times New Roman"/>
                <w:b/>
              </w:rPr>
            </w:pPr>
            <w:r w:rsidRPr="00F2427B">
              <w:rPr>
                <w:rFonts w:eastAsia="Times New Roman" w:cs="Times New Roman"/>
                <w:b/>
              </w:rPr>
              <w:t>Central SEB</w:t>
            </w:r>
          </w:p>
        </w:tc>
        <w:tc>
          <w:tcPr>
            <w:tcW w:w="1206" w:type="dxa"/>
            <w:shd w:val="clear" w:color="auto" w:fill="DBE5F1" w:themeFill="accent1" w:themeFillTint="33"/>
            <w:vAlign w:val="center"/>
          </w:tcPr>
          <w:p w:rsidR="0088759B" w:rsidRPr="00675469" w:rsidRDefault="00F2427B" w:rsidP="00540CCA">
            <w:pPr>
              <w:rPr>
                <w:rFonts w:eastAsia="Times New Roman" w:cs="Times New Roman"/>
                <w:b/>
              </w:rPr>
            </w:pPr>
            <w:r w:rsidRPr="00F2427B">
              <w:rPr>
                <w:rFonts w:eastAsia="Times New Roman" w:cs="Times New Roman"/>
                <w:b/>
              </w:rPr>
              <w:t>Central B</w:t>
            </w:r>
          </w:p>
        </w:tc>
      </w:tr>
      <w:tr w:rsidR="0088759B" w:rsidRPr="00675469" w:rsidTr="00841FB8">
        <w:trPr>
          <w:trHeight w:val="70"/>
        </w:trPr>
        <w:tc>
          <w:tcPr>
            <w:tcW w:w="1959" w:type="dxa"/>
            <w:shd w:val="clear" w:color="auto" w:fill="auto"/>
            <w:noWrap/>
            <w:vAlign w:val="bottom"/>
            <w:hideMark/>
          </w:tcPr>
          <w:p w:rsidR="0088759B" w:rsidRPr="00675469" w:rsidRDefault="00F2427B" w:rsidP="00514B65">
            <w:pPr>
              <w:jc w:val="right"/>
              <w:rPr>
                <w:rFonts w:eastAsia="Times New Roman" w:cs="Times New Roman"/>
              </w:rPr>
            </w:pPr>
            <w:r w:rsidRPr="00F2427B">
              <w:rPr>
                <w:rFonts w:eastAsia="Times New Roman" w:cs="Times New Roman"/>
              </w:rPr>
              <w:t>TMDL Median</w:t>
            </w:r>
          </w:p>
        </w:tc>
        <w:tc>
          <w:tcPr>
            <w:tcW w:w="869" w:type="dxa"/>
            <w:shd w:val="clear" w:color="auto" w:fill="auto"/>
            <w:noWrap/>
            <w:vAlign w:val="bottom"/>
            <w:hideMark/>
          </w:tcPr>
          <w:p w:rsidR="0088759B" w:rsidRPr="00675469" w:rsidRDefault="008965BD" w:rsidP="00540CCA">
            <w:pPr>
              <w:jc w:val="right"/>
              <w:rPr>
                <w:rFonts w:eastAsia="Times New Roman" w:cs="Times New Roman"/>
              </w:rPr>
            </w:pPr>
            <w:r>
              <w:rPr>
                <w:rFonts w:eastAsia="Times New Roman" w:cs="Times New Roman"/>
              </w:rPr>
              <w:t>1.192</w:t>
            </w:r>
          </w:p>
        </w:tc>
        <w:tc>
          <w:tcPr>
            <w:tcW w:w="1125" w:type="dxa"/>
            <w:vAlign w:val="bottom"/>
          </w:tcPr>
          <w:p w:rsidR="0088759B" w:rsidRPr="00675469" w:rsidRDefault="00D0358E" w:rsidP="00540CCA">
            <w:pPr>
              <w:jc w:val="right"/>
              <w:rPr>
                <w:rFonts w:eastAsia="Times New Roman" w:cs="Times New Roman"/>
              </w:rPr>
            </w:pPr>
            <w:r>
              <w:rPr>
                <w:rFonts w:eastAsia="Times New Roman" w:cs="Times New Roman"/>
              </w:rPr>
              <w:t>1.411</w:t>
            </w:r>
          </w:p>
        </w:tc>
        <w:tc>
          <w:tcPr>
            <w:tcW w:w="1072" w:type="dxa"/>
            <w:vAlign w:val="bottom"/>
          </w:tcPr>
          <w:p w:rsidR="0088759B" w:rsidRPr="00675469" w:rsidRDefault="00D0358E" w:rsidP="00540CCA">
            <w:pPr>
              <w:jc w:val="right"/>
              <w:rPr>
                <w:rFonts w:eastAsia="Times New Roman" w:cs="Times New Roman"/>
              </w:rPr>
            </w:pPr>
            <w:r>
              <w:rPr>
                <w:rFonts w:eastAsia="Times New Roman" w:cs="Times New Roman"/>
              </w:rPr>
              <w:t>1.370</w:t>
            </w:r>
          </w:p>
        </w:tc>
        <w:tc>
          <w:tcPr>
            <w:tcW w:w="1208" w:type="dxa"/>
            <w:vAlign w:val="bottom"/>
          </w:tcPr>
          <w:p w:rsidR="0088759B" w:rsidRPr="00675469" w:rsidRDefault="00D0358E" w:rsidP="00540CCA">
            <w:pPr>
              <w:jc w:val="right"/>
              <w:rPr>
                <w:rFonts w:eastAsia="Times New Roman" w:cs="Times New Roman"/>
              </w:rPr>
            </w:pPr>
            <w:r>
              <w:rPr>
                <w:rFonts w:eastAsia="Times New Roman" w:cs="Times New Roman"/>
              </w:rPr>
              <w:t>1.219</w:t>
            </w:r>
          </w:p>
        </w:tc>
        <w:tc>
          <w:tcPr>
            <w:tcW w:w="1441" w:type="dxa"/>
            <w:vAlign w:val="bottom"/>
          </w:tcPr>
          <w:p w:rsidR="0088759B" w:rsidRPr="00675469" w:rsidRDefault="00153C34" w:rsidP="00540CCA">
            <w:pPr>
              <w:jc w:val="right"/>
              <w:rPr>
                <w:rFonts w:eastAsia="Times New Roman" w:cs="Times New Roman"/>
              </w:rPr>
            </w:pPr>
            <w:r>
              <w:rPr>
                <w:rFonts w:eastAsia="Times New Roman" w:cs="Times New Roman"/>
              </w:rPr>
              <w:t>1.147</w:t>
            </w:r>
          </w:p>
        </w:tc>
        <w:tc>
          <w:tcPr>
            <w:tcW w:w="1206" w:type="dxa"/>
            <w:vAlign w:val="bottom"/>
          </w:tcPr>
          <w:p w:rsidR="0088759B" w:rsidRPr="00675469" w:rsidRDefault="00153C34" w:rsidP="00540CCA">
            <w:pPr>
              <w:jc w:val="right"/>
              <w:rPr>
                <w:rFonts w:eastAsia="Times New Roman" w:cs="Times New Roman"/>
              </w:rPr>
            </w:pPr>
            <w:r>
              <w:rPr>
                <w:rFonts w:eastAsia="Times New Roman" w:cs="Times New Roman"/>
              </w:rPr>
              <w:t>1.092</w:t>
            </w:r>
          </w:p>
        </w:tc>
      </w:tr>
      <w:tr w:rsidR="0088759B" w:rsidRPr="00675469" w:rsidTr="00841FB8">
        <w:trPr>
          <w:trHeight w:val="70"/>
        </w:trPr>
        <w:tc>
          <w:tcPr>
            <w:tcW w:w="1959" w:type="dxa"/>
            <w:shd w:val="clear" w:color="auto" w:fill="auto"/>
            <w:noWrap/>
            <w:vAlign w:val="bottom"/>
            <w:hideMark/>
          </w:tcPr>
          <w:p w:rsidR="0088759B" w:rsidRPr="00675469" w:rsidRDefault="00F2427B" w:rsidP="00540CCA">
            <w:pPr>
              <w:jc w:val="right"/>
              <w:rPr>
                <w:rFonts w:eastAsia="Times New Roman" w:cs="Times New Roman"/>
              </w:rPr>
            </w:pPr>
            <w:r w:rsidRPr="00F2427B">
              <w:rPr>
                <w:rFonts w:eastAsia="Times New Roman" w:cs="Times New Roman"/>
              </w:rPr>
              <w:t>2003</w:t>
            </w:r>
          </w:p>
        </w:tc>
        <w:tc>
          <w:tcPr>
            <w:tcW w:w="869" w:type="dxa"/>
            <w:shd w:val="clear" w:color="auto" w:fill="auto"/>
            <w:noWrap/>
            <w:vAlign w:val="bottom"/>
            <w:hideMark/>
          </w:tcPr>
          <w:p w:rsidR="0088759B" w:rsidRPr="00675469" w:rsidRDefault="008965BD" w:rsidP="00540CCA">
            <w:pPr>
              <w:jc w:val="right"/>
              <w:rPr>
                <w:rFonts w:eastAsia="Times New Roman" w:cs="Times New Roman"/>
              </w:rPr>
            </w:pPr>
            <w:r>
              <w:rPr>
                <w:rFonts w:eastAsia="Times New Roman" w:cs="Times New Roman"/>
              </w:rPr>
              <w:t>1.111</w:t>
            </w:r>
          </w:p>
        </w:tc>
        <w:tc>
          <w:tcPr>
            <w:tcW w:w="1125" w:type="dxa"/>
            <w:vAlign w:val="bottom"/>
          </w:tcPr>
          <w:p w:rsidR="0088759B" w:rsidRPr="00675469" w:rsidRDefault="00D0358E" w:rsidP="00540CCA">
            <w:pPr>
              <w:jc w:val="right"/>
              <w:rPr>
                <w:rFonts w:eastAsia="Times New Roman" w:cs="Times New Roman"/>
              </w:rPr>
            </w:pPr>
            <w:r>
              <w:rPr>
                <w:rFonts w:eastAsia="Times New Roman" w:cs="Times New Roman"/>
              </w:rPr>
              <w:t>0.958</w:t>
            </w:r>
          </w:p>
        </w:tc>
        <w:tc>
          <w:tcPr>
            <w:tcW w:w="1072" w:type="dxa"/>
            <w:vAlign w:val="bottom"/>
          </w:tcPr>
          <w:p w:rsidR="0088759B" w:rsidRPr="00675469" w:rsidRDefault="00D0358E" w:rsidP="00540CCA">
            <w:pPr>
              <w:jc w:val="right"/>
              <w:rPr>
                <w:rFonts w:eastAsia="Times New Roman" w:cs="Times New Roman"/>
              </w:rPr>
            </w:pPr>
            <w:r>
              <w:rPr>
                <w:rFonts w:eastAsia="Times New Roman" w:cs="Times New Roman"/>
              </w:rPr>
              <w:t>1.263</w:t>
            </w:r>
          </w:p>
        </w:tc>
        <w:tc>
          <w:tcPr>
            <w:tcW w:w="1208" w:type="dxa"/>
            <w:vAlign w:val="bottom"/>
          </w:tcPr>
          <w:p w:rsidR="0088759B" w:rsidRPr="00675469" w:rsidRDefault="00D0358E" w:rsidP="00540CCA">
            <w:pPr>
              <w:jc w:val="right"/>
              <w:rPr>
                <w:rFonts w:eastAsia="Times New Roman" w:cs="Times New Roman"/>
              </w:rPr>
            </w:pPr>
            <w:r>
              <w:rPr>
                <w:rFonts w:eastAsia="Times New Roman" w:cs="Times New Roman"/>
                <w:highlight w:val="yellow"/>
              </w:rPr>
              <w:t>1.233</w:t>
            </w:r>
          </w:p>
        </w:tc>
        <w:tc>
          <w:tcPr>
            <w:tcW w:w="1441" w:type="dxa"/>
            <w:vAlign w:val="bottom"/>
          </w:tcPr>
          <w:p w:rsidR="0088759B" w:rsidRPr="00675469" w:rsidRDefault="00153C34" w:rsidP="00540CCA">
            <w:pPr>
              <w:jc w:val="right"/>
              <w:rPr>
                <w:rFonts w:eastAsia="Times New Roman" w:cs="Times New Roman"/>
              </w:rPr>
            </w:pPr>
            <w:r>
              <w:rPr>
                <w:rFonts w:eastAsia="Times New Roman" w:cs="Times New Roman"/>
              </w:rPr>
              <w:t>1.121</w:t>
            </w:r>
          </w:p>
        </w:tc>
        <w:tc>
          <w:tcPr>
            <w:tcW w:w="1206" w:type="dxa"/>
            <w:vAlign w:val="bottom"/>
          </w:tcPr>
          <w:p w:rsidR="0088759B" w:rsidRPr="00153C34" w:rsidRDefault="00153C34" w:rsidP="00540CCA">
            <w:pPr>
              <w:jc w:val="right"/>
              <w:rPr>
                <w:rFonts w:eastAsia="Times New Roman" w:cs="Times New Roman"/>
                <w:highlight w:val="yellow"/>
              </w:rPr>
            </w:pPr>
            <w:r w:rsidRPr="00153C34">
              <w:rPr>
                <w:rFonts w:eastAsia="Times New Roman" w:cs="Times New Roman"/>
                <w:highlight w:val="yellow"/>
              </w:rPr>
              <w:t>1.122</w:t>
            </w:r>
          </w:p>
        </w:tc>
      </w:tr>
      <w:tr w:rsidR="0088759B" w:rsidRPr="00675469" w:rsidTr="00841FB8">
        <w:trPr>
          <w:trHeight w:val="70"/>
        </w:trPr>
        <w:tc>
          <w:tcPr>
            <w:tcW w:w="1959" w:type="dxa"/>
            <w:shd w:val="clear" w:color="auto" w:fill="auto"/>
            <w:noWrap/>
            <w:vAlign w:val="bottom"/>
            <w:hideMark/>
          </w:tcPr>
          <w:p w:rsidR="0088759B" w:rsidRPr="00675469" w:rsidRDefault="00F2427B" w:rsidP="00540CCA">
            <w:pPr>
              <w:jc w:val="right"/>
              <w:rPr>
                <w:rFonts w:eastAsia="Times New Roman" w:cs="Times New Roman"/>
              </w:rPr>
            </w:pPr>
            <w:r w:rsidRPr="00F2427B">
              <w:rPr>
                <w:rFonts w:eastAsia="Times New Roman" w:cs="Times New Roman"/>
              </w:rPr>
              <w:t>2005</w:t>
            </w:r>
          </w:p>
        </w:tc>
        <w:tc>
          <w:tcPr>
            <w:tcW w:w="869" w:type="dxa"/>
            <w:shd w:val="clear" w:color="auto" w:fill="auto"/>
            <w:noWrap/>
            <w:vAlign w:val="bottom"/>
            <w:hideMark/>
          </w:tcPr>
          <w:p w:rsidR="0088759B" w:rsidRPr="00675469" w:rsidRDefault="008965BD" w:rsidP="00540CCA">
            <w:pPr>
              <w:jc w:val="right"/>
              <w:rPr>
                <w:rFonts w:eastAsia="Times New Roman" w:cs="Times New Roman"/>
              </w:rPr>
            </w:pPr>
            <w:r>
              <w:rPr>
                <w:rFonts w:eastAsia="Times New Roman" w:cs="Times New Roman"/>
              </w:rPr>
              <w:t>1.111</w:t>
            </w:r>
          </w:p>
        </w:tc>
        <w:tc>
          <w:tcPr>
            <w:tcW w:w="1125" w:type="dxa"/>
            <w:vAlign w:val="bottom"/>
          </w:tcPr>
          <w:p w:rsidR="0088759B" w:rsidRPr="00675469" w:rsidRDefault="00D0358E" w:rsidP="00540CCA">
            <w:pPr>
              <w:jc w:val="right"/>
              <w:rPr>
                <w:rFonts w:eastAsia="Times New Roman" w:cs="Times New Roman"/>
              </w:rPr>
            </w:pPr>
            <w:r>
              <w:rPr>
                <w:rFonts w:eastAsia="Times New Roman" w:cs="Times New Roman"/>
              </w:rPr>
              <w:t>1.080</w:t>
            </w:r>
          </w:p>
        </w:tc>
        <w:tc>
          <w:tcPr>
            <w:tcW w:w="1072" w:type="dxa"/>
            <w:vAlign w:val="bottom"/>
          </w:tcPr>
          <w:p w:rsidR="0088759B" w:rsidRPr="00675469" w:rsidRDefault="00D0358E" w:rsidP="00540CCA">
            <w:pPr>
              <w:jc w:val="right"/>
              <w:rPr>
                <w:rFonts w:eastAsia="Times New Roman" w:cs="Times New Roman"/>
              </w:rPr>
            </w:pPr>
            <w:r>
              <w:rPr>
                <w:rFonts w:eastAsia="Times New Roman" w:cs="Times New Roman"/>
              </w:rPr>
              <w:t>1.263</w:t>
            </w:r>
          </w:p>
        </w:tc>
        <w:tc>
          <w:tcPr>
            <w:tcW w:w="1208" w:type="dxa"/>
            <w:vAlign w:val="bottom"/>
          </w:tcPr>
          <w:p w:rsidR="0088759B" w:rsidRPr="00675469" w:rsidRDefault="00D0358E" w:rsidP="00540CCA">
            <w:pPr>
              <w:jc w:val="right"/>
              <w:rPr>
                <w:rFonts w:eastAsia="Times New Roman" w:cs="Times New Roman"/>
              </w:rPr>
            </w:pPr>
            <w:r>
              <w:rPr>
                <w:rFonts w:eastAsia="Times New Roman" w:cs="Times New Roman"/>
              </w:rPr>
              <w:t>1.202</w:t>
            </w:r>
          </w:p>
        </w:tc>
        <w:tc>
          <w:tcPr>
            <w:tcW w:w="1441" w:type="dxa"/>
            <w:vAlign w:val="bottom"/>
          </w:tcPr>
          <w:p w:rsidR="0088759B" w:rsidRPr="00675469" w:rsidRDefault="00153C34" w:rsidP="00540CCA">
            <w:pPr>
              <w:jc w:val="right"/>
              <w:rPr>
                <w:rFonts w:eastAsia="Times New Roman" w:cs="Times New Roman"/>
              </w:rPr>
            </w:pPr>
            <w:r w:rsidRPr="00153C34">
              <w:rPr>
                <w:rFonts w:eastAsia="Times New Roman" w:cs="Times New Roman"/>
                <w:highlight w:val="yellow"/>
              </w:rPr>
              <w:t>1.152</w:t>
            </w:r>
          </w:p>
        </w:tc>
        <w:tc>
          <w:tcPr>
            <w:tcW w:w="1206" w:type="dxa"/>
            <w:vAlign w:val="bottom"/>
          </w:tcPr>
          <w:p w:rsidR="0088759B" w:rsidRPr="00153C34" w:rsidRDefault="00153C34" w:rsidP="00540CCA">
            <w:pPr>
              <w:jc w:val="right"/>
              <w:rPr>
                <w:rFonts w:eastAsia="Times New Roman" w:cs="Times New Roman"/>
                <w:highlight w:val="yellow"/>
              </w:rPr>
            </w:pPr>
            <w:r w:rsidRPr="00153C34">
              <w:rPr>
                <w:rFonts w:eastAsia="Times New Roman" w:cs="Times New Roman"/>
                <w:highlight w:val="yellow"/>
              </w:rPr>
              <w:t>1.122</w:t>
            </w:r>
          </w:p>
        </w:tc>
      </w:tr>
      <w:tr w:rsidR="0088759B" w:rsidRPr="00675469" w:rsidTr="00841FB8">
        <w:trPr>
          <w:trHeight w:val="70"/>
        </w:trPr>
        <w:tc>
          <w:tcPr>
            <w:tcW w:w="1959" w:type="dxa"/>
            <w:shd w:val="clear" w:color="auto" w:fill="auto"/>
            <w:noWrap/>
            <w:vAlign w:val="bottom"/>
            <w:hideMark/>
          </w:tcPr>
          <w:p w:rsidR="0088759B" w:rsidRPr="00675469" w:rsidRDefault="00F2427B" w:rsidP="00540CCA">
            <w:pPr>
              <w:jc w:val="right"/>
              <w:rPr>
                <w:rFonts w:eastAsia="Times New Roman" w:cs="Times New Roman"/>
              </w:rPr>
            </w:pPr>
            <w:r w:rsidRPr="00F2427B">
              <w:rPr>
                <w:rFonts w:eastAsia="Times New Roman" w:cs="Times New Roman"/>
              </w:rPr>
              <w:t>2006</w:t>
            </w:r>
          </w:p>
        </w:tc>
        <w:tc>
          <w:tcPr>
            <w:tcW w:w="869" w:type="dxa"/>
            <w:shd w:val="clear" w:color="auto" w:fill="auto"/>
            <w:noWrap/>
            <w:vAlign w:val="bottom"/>
            <w:hideMark/>
          </w:tcPr>
          <w:p w:rsidR="0088759B" w:rsidRPr="00675469" w:rsidRDefault="008965BD" w:rsidP="00540CCA">
            <w:pPr>
              <w:jc w:val="right"/>
              <w:rPr>
                <w:rFonts w:eastAsia="Times New Roman" w:cs="Times New Roman"/>
              </w:rPr>
            </w:pPr>
            <w:r>
              <w:rPr>
                <w:rFonts w:eastAsia="Times New Roman" w:cs="Times New Roman"/>
              </w:rPr>
              <w:t>1.141</w:t>
            </w:r>
          </w:p>
        </w:tc>
        <w:tc>
          <w:tcPr>
            <w:tcW w:w="1125" w:type="dxa"/>
            <w:vAlign w:val="bottom"/>
          </w:tcPr>
          <w:p w:rsidR="0088759B" w:rsidRPr="00675469" w:rsidRDefault="00D0358E" w:rsidP="00540CCA">
            <w:pPr>
              <w:jc w:val="right"/>
              <w:rPr>
                <w:rFonts w:eastAsia="Times New Roman" w:cs="Times New Roman"/>
              </w:rPr>
            </w:pPr>
            <w:r>
              <w:rPr>
                <w:rFonts w:eastAsia="Times New Roman" w:cs="Times New Roman"/>
              </w:rPr>
              <w:t>1.080</w:t>
            </w:r>
          </w:p>
        </w:tc>
        <w:tc>
          <w:tcPr>
            <w:tcW w:w="1072" w:type="dxa"/>
            <w:vAlign w:val="bottom"/>
          </w:tcPr>
          <w:p w:rsidR="0088759B" w:rsidRPr="00675469" w:rsidRDefault="00D0358E" w:rsidP="00540CCA">
            <w:pPr>
              <w:jc w:val="right"/>
              <w:rPr>
                <w:rFonts w:eastAsia="Times New Roman" w:cs="Times New Roman"/>
              </w:rPr>
            </w:pPr>
            <w:r>
              <w:rPr>
                <w:rFonts w:eastAsia="Times New Roman" w:cs="Times New Roman"/>
              </w:rPr>
              <w:t>1.324</w:t>
            </w:r>
          </w:p>
        </w:tc>
        <w:tc>
          <w:tcPr>
            <w:tcW w:w="1208" w:type="dxa"/>
            <w:vAlign w:val="bottom"/>
          </w:tcPr>
          <w:p w:rsidR="0088759B" w:rsidRPr="00675469" w:rsidRDefault="00153C34" w:rsidP="00540CCA">
            <w:pPr>
              <w:jc w:val="right"/>
              <w:rPr>
                <w:rFonts w:eastAsia="Times New Roman" w:cs="Times New Roman"/>
                <w:highlight w:val="yellow"/>
              </w:rPr>
            </w:pPr>
            <w:r>
              <w:rPr>
                <w:rFonts w:eastAsia="Times New Roman" w:cs="Times New Roman"/>
                <w:highlight w:val="yellow"/>
              </w:rPr>
              <w:t>1.233</w:t>
            </w:r>
          </w:p>
        </w:tc>
        <w:tc>
          <w:tcPr>
            <w:tcW w:w="1441" w:type="dxa"/>
            <w:vAlign w:val="bottom"/>
          </w:tcPr>
          <w:p w:rsidR="0088759B" w:rsidRPr="00675469" w:rsidRDefault="00153C34" w:rsidP="00540CCA">
            <w:pPr>
              <w:jc w:val="right"/>
              <w:rPr>
                <w:rFonts w:eastAsia="Times New Roman" w:cs="Times New Roman"/>
                <w:highlight w:val="yellow"/>
              </w:rPr>
            </w:pPr>
            <w:r>
              <w:rPr>
                <w:rFonts w:eastAsia="Times New Roman" w:cs="Times New Roman"/>
                <w:highlight w:val="yellow"/>
              </w:rPr>
              <w:t>1.182</w:t>
            </w:r>
          </w:p>
        </w:tc>
        <w:tc>
          <w:tcPr>
            <w:tcW w:w="1206" w:type="dxa"/>
            <w:vAlign w:val="bottom"/>
          </w:tcPr>
          <w:p w:rsidR="0088759B" w:rsidRPr="00675469" w:rsidRDefault="00153C34" w:rsidP="00540CCA">
            <w:pPr>
              <w:jc w:val="right"/>
              <w:rPr>
                <w:rFonts w:eastAsia="Times New Roman" w:cs="Times New Roman"/>
              </w:rPr>
            </w:pPr>
            <w:r>
              <w:rPr>
                <w:rFonts w:eastAsia="Times New Roman" w:cs="Times New Roman"/>
                <w:highlight w:val="yellow"/>
              </w:rPr>
              <w:t>1.122</w:t>
            </w:r>
          </w:p>
        </w:tc>
      </w:tr>
      <w:tr w:rsidR="0088759B" w:rsidRPr="00675469" w:rsidTr="00841FB8">
        <w:trPr>
          <w:trHeight w:val="70"/>
        </w:trPr>
        <w:tc>
          <w:tcPr>
            <w:tcW w:w="1959" w:type="dxa"/>
            <w:shd w:val="clear" w:color="auto" w:fill="auto"/>
            <w:noWrap/>
            <w:vAlign w:val="bottom"/>
            <w:hideMark/>
          </w:tcPr>
          <w:p w:rsidR="0088759B" w:rsidRPr="00675469" w:rsidRDefault="00F2427B" w:rsidP="00540CCA">
            <w:pPr>
              <w:jc w:val="right"/>
              <w:rPr>
                <w:rFonts w:eastAsia="Times New Roman" w:cs="Times New Roman"/>
              </w:rPr>
            </w:pPr>
            <w:r w:rsidRPr="00F2427B">
              <w:rPr>
                <w:rFonts w:eastAsia="Times New Roman" w:cs="Times New Roman"/>
              </w:rPr>
              <w:t>2007</w:t>
            </w:r>
          </w:p>
        </w:tc>
        <w:tc>
          <w:tcPr>
            <w:tcW w:w="869" w:type="dxa"/>
            <w:shd w:val="clear" w:color="auto" w:fill="auto"/>
            <w:noWrap/>
            <w:vAlign w:val="bottom"/>
            <w:hideMark/>
          </w:tcPr>
          <w:p w:rsidR="0088759B" w:rsidRPr="00675469" w:rsidRDefault="008965BD" w:rsidP="00540CCA">
            <w:pPr>
              <w:jc w:val="right"/>
              <w:rPr>
                <w:rFonts w:eastAsia="Times New Roman" w:cs="Times New Roman"/>
              </w:rPr>
            </w:pPr>
            <w:r>
              <w:rPr>
                <w:rFonts w:eastAsia="Times New Roman" w:cs="Times New Roman"/>
              </w:rPr>
              <w:t>1.172</w:t>
            </w:r>
          </w:p>
        </w:tc>
        <w:tc>
          <w:tcPr>
            <w:tcW w:w="1125" w:type="dxa"/>
            <w:vAlign w:val="bottom"/>
          </w:tcPr>
          <w:p w:rsidR="0088759B" w:rsidRPr="00675469" w:rsidRDefault="00D0358E" w:rsidP="00540CCA">
            <w:pPr>
              <w:jc w:val="right"/>
              <w:rPr>
                <w:rFonts w:eastAsia="Times New Roman" w:cs="Times New Roman"/>
              </w:rPr>
            </w:pPr>
            <w:r>
              <w:rPr>
                <w:rFonts w:eastAsia="Times New Roman" w:cs="Times New Roman"/>
              </w:rPr>
              <w:t>1.080</w:t>
            </w:r>
          </w:p>
        </w:tc>
        <w:tc>
          <w:tcPr>
            <w:tcW w:w="1072" w:type="dxa"/>
            <w:vAlign w:val="bottom"/>
          </w:tcPr>
          <w:p w:rsidR="0088759B" w:rsidRPr="00675469" w:rsidRDefault="00D0358E" w:rsidP="00540CCA">
            <w:pPr>
              <w:jc w:val="right"/>
              <w:rPr>
                <w:rFonts w:eastAsia="Times New Roman" w:cs="Times New Roman"/>
              </w:rPr>
            </w:pPr>
            <w:r>
              <w:rPr>
                <w:rFonts w:eastAsia="Times New Roman" w:cs="Times New Roman"/>
              </w:rPr>
              <w:t>1.294</w:t>
            </w:r>
          </w:p>
        </w:tc>
        <w:tc>
          <w:tcPr>
            <w:tcW w:w="1208" w:type="dxa"/>
            <w:vAlign w:val="bottom"/>
          </w:tcPr>
          <w:p w:rsidR="0088759B" w:rsidRPr="00675469" w:rsidRDefault="00153C34" w:rsidP="00540CCA">
            <w:pPr>
              <w:jc w:val="right"/>
              <w:rPr>
                <w:rFonts w:eastAsia="Times New Roman" w:cs="Times New Roman"/>
                <w:highlight w:val="yellow"/>
              </w:rPr>
            </w:pPr>
            <w:r>
              <w:rPr>
                <w:rFonts w:eastAsia="Times New Roman" w:cs="Times New Roman"/>
                <w:highlight w:val="yellow"/>
              </w:rPr>
              <w:t>1.324</w:t>
            </w:r>
          </w:p>
        </w:tc>
        <w:tc>
          <w:tcPr>
            <w:tcW w:w="1441" w:type="dxa"/>
            <w:vAlign w:val="bottom"/>
          </w:tcPr>
          <w:p w:rsidR="0088759B" w:rsidRPr="00675469" w:rsidRDefault="00153C34" w:rsidP="00540CCA">
            <w:pPr>
              <w:jc w:val="right"/>
              <w:rPr>
                <w:rFonts w:eastAsia="Times New Roman" w:cs="Times New Roman"/>
                <w:highlight w:val="yellow"/>
              </w:rPr>
            </w:pPr>
            <w:r>
              <w:rPr>
                <w:rFonts w:eastAsia="Times New Roman" w:cs="Times New Roman"/>
                <w:highlight w:val="yellow"/>
              </w:rPr>
              <w:t>1.213</w:t>
            </w:r>
          </w:p>
        </w:tc>
        <w:tc>
          <w:tcPr>
            <w:tcW w:w="1206" w:type="dxa"/>
            <w:vAlign w:val="bottom"/>
          </w:tcPr>
          <w:p w:rsidR="0088759B" w:rsidRPr="00675469" w:rsidRDefault="00153C34" w:rsidP="00540CCA">
            <w:pPr>
              <w:jc w:val="right"/>
              <w:rPr>
                <w:rFonts w:eastAsia="Times New Roman" w:cs="Times New Roman"/>
              </w:rPr>
            </w:pPr>
            <w:r>
              <w:rPr>
                <w:rFonts w:eastAsia="Times New Roman" w:cs="Times New Roman"/>
                <w:highlight w:val="yellow"/>
              </w:rPr>
              <w:t>1.244</w:t>
            </w:r>
          </w:p>
        </w:tc>
      </w:tr>
      <w:tr w:rsidR="00841FB8" w:rsidRPr="00675469" w:rsidTr="00841FB8">
        <w:trPr>
          <w:trHeight w:val="70"/>
        </w:trPr>
        <w:tc>
          <w:tcPr>
            <w:tcW w:w="1959" w:type="dxa"/>
            <w:shd w:val="clear" w:color="auto" w:fill="auto"/>
            <w:noWrap/>
            <w:vAlign w:val="bottom"/>
            <w:hideMark/>
          </w:tcPr>
          <w:p w:rsidR="00841FB8" w:rsidRPr="00F2427B" w:rsidRDefault="00841FB8" w:rsidP="00540CCA">
            <w:pPr>
              <w:jc w:val="right"/>
              <w:rPr>
                <w:rFonts w:eastAsia="Times New Roman" w:cs="Times New Roman"/>
              </w:rPr>
            </w:pPr>
            <w:r>
              <w:rPr>
                <w:rFonts w:eastAsia="Times New Roman" w:cs="Times New Roman"/>
              </w:rPr>
              <w:t>Step 2 Compliant?</w:t>
            </w:r>
          </w:p>
        </w:tc>
        <w:tc>
          <w:tcPr>
            <w:tcW w:w="869" w:type="dxa"/>
            <w:shd w:val="clear" w:color="auto" w:fill="auto"/>
            <w:noWrap/>
            <w:vAlign w:val="bottom"/>
            <w:hideMark/>
          </w:tcPr>
          <w:p w:rsidR="00841FB8" w:rsidRPr="00F2427B" w:rsidRDefault="00841FB8" w:rsidP="00540CCA">
            <w:pPr>
              <w:jc w:val="right"/>
              <w:rPr>
                <w:rFonts w:eastAsia="Times New Roman" w:cs="Times New Roman"/>
              </w:rPr>
            </w:pPr>
            <w:r>
              <w:rPr>
                <w:rFonts w:eastAsia="Times New Roman" w:cs="Times New Roman"/>
              </w:rPr>
              <w:t>No</w:t>
            </w:r>
          </w:p>
        </w:tc>
        <w:tc>
          <w:tcPr>
            <w:tcW w:w="1125" w:type="dxa"/>
            <w:vAlign w:val="bottom"/>
          </w:tcPr>
          <w:p w:rsidR="00841FB8" w:rsidRPr="00F2427B" w:rsidRDefault="00D0358E" w:rsidP="00540CCA">
            <w:pPr>
              <w:jc w:val="right"/>
              <w:rPr>
                <w:rFonts w:eastAsia="Times New Roman" w:cs="Times New Roman"/>
              </w:rPr>
            </w:pPr>
            <w:r>
              <w:rPr>
                <w:rFonts w:eastAsia="Times New Roman" w:cs="Times New Roman"/>
              </w:rPr>
              <w:t>No</w:t>
            </w:r>
          </w:p>
        </w:tc>
        <w:tc>
          <w:tcPr>
            <w:tcW w:w="1072" w:type="dxa"/>
            <w:vAlign w:val="bottom"/>
          </w:tcPr>
          <w:p w:rsidR="00841FB8" w:rsidRPr="00F2427B" w:rsidRDefault="00D0358E" w:rsidP="00540CCA">
            <w:pPr>
              <w:jc w:val="right"/>
              <w:rPr>
                <w:rFonts w:eastAsia="Times New Roman" w:cs="Times New Roman"/>
              </w:rPr>
            </w:pPr>
            <w:r>
              <w:rPr>
                <w:rFonts w:eastAsia="Times New Roman" w:cs="Times New Roman"/>
              </w:rPr>
              <w:t>No</w:t>
            </w:r>
          </w:p>
        </w:tc>
        <w:tc>
          <w:tcPr>
            <w:tcW w:w="1208" w:type="dxa"/>
            <w:vAlign w:val="bottom"/>
          </w:tcPr>
          <w:p w:rsidR="00841FB8" w:rsidRPr="00F2427B" w:rsidRDefault="00153C34" w:rsidP="00540CCA">
            <w:pPr>
              <w:jc w:val="right"/>
              <w:rPr>
                <w:rFonts w:eastAsia="Times New Roman" w:cs="Times New Roman"/>
                <w:highlight w:val="yellow"/>
              </w:rPr>
            </w:pPr>
            <w:r>
              <w:rPr>
                <w:rFonts w:eastAsia="Times New Roman" w:cs="Times New Roman"/>
              </w:rPr>
              <w:t>Yes</w:t>
            </w:r>
          </w:p>
        </w:tc>
        <w:tc>
          <w:tcPr>
            <w:tcW w:w="1441" w:type="dxa"/>
            <w:vAlign w:val="bottom"/>
          </w:tcPr>
          <w:p w:rsidR="00841FB8" w:rsidRPr="00F2427B" w:rsidRDefault="00153C34" w:rsidP="00540CCA">
            <w:pPr>
              <w:jc w:val="right"/>
              <w:rPr>
                <w:rFonts w:eastAsia="Times New Roman" w:cs="Times New Roman"/>
                <w:highlight w:val="yellow"/>
              </w:rPr>
            </w:pPr>
            <w:r>
              <w:rPr>
                <w:rFonts w:eastAsia="Times New Roman" w:cs="Times New Roman"/>
              </w:rPr>
              <w:t>Yes</w:t>
            </w:r>
          </w:p>
        </w:tc>
        <w:tc>
          <w:tcPr>
            <w:tcW w:w="1206" w:type="dxa"/>
            <w:vAlign w:val="bottom"/>
          </w:tcPr>
          <w:p w:rsidR="00841FB8" w:rsidRPr="00F2427B" w:rsidRDefault="00153C34" w:rsidP="00540CCA">
            <w:pPr>
              <w:jc w:val="right"/>
              <w:rPr>
                <w:rFonts w:eastAsia="Times New Roman" w:cs="Times New Roman"/>
              </w:rPr>
            </w:pPr>
            <w:r>
              <w:rPr>
                <w:rFonts w:eastAsia="Times New Roman" w:cs="Times New Roman"/>
              </w:rPr>
              <w:t>Yes</w:t>
            </w:r>
          </w:p>
        </w:tc>
      </w:tr>
    </w:tbl>
    <w:p w:rsidR="009A718B" w:rsidRPr="00675469" w:rsidRDefault="009A718B" w:rsidP="00540CCA">
      <w:pPr>
        <w:jc w:val="left"/>
      </w:pPr>
    </w:p>
    <w:p w:rsidR="00225B59" w:rsidRPr="00675469" w:rsidRDefault="00F2427B" w:rsidP="00540CCA">
      <w:pPr>
        <w:pStyle w:val="Heading2"/>
        <w:spacing w:before="0"/>
        <w:jc w:val="left"/>
        <w:rPr>
          <w:rFonts w:asciiTheme="minorHAnsi" w:hAnsiTheme="minorHAnsi"/>
          <w:smallCaps/>
          <w:color w:val="auto"/>
          <w:sz w:val="24"/>
          <w:szCs w:val="24"/>
        </w:rPr>
      </w:pPr>
      <w:r>
        <w:rPr>
          <w:rFonts w:asciiTheme="minorHAnsi" w:hAnsiTheme="minorHAnsi"/>
          <w:smallCaps/>
          <w:color w:val="auto"/>
          <w:sz w:val="24"/>
          <w:szCs w:val="24"/>
        </w:rPr>
        <w:t>2011 Compliance Assessment Results</w:t>
      </w:r>
    </w:p>
    <w:p w:rsidR="00176444" w:rsidRPr="00675469" w:rsidRDefault="00F2427B" w:rsidP="00B30263">
      <w:pPr>
        <w:jc w:val="both"/>
      </w:pPr>
      <w:r w:rsidRPr="00F2427B">
        <w:t>The results of both Step 1 and Step 2 are shown in the table below.  Central A</w:t>
      </w:r>
      <w:r w:rsidR="0006681D">
        <w:t xml:space="preserve">, Central SEB, and Central B are all fully compliant because these project zones all </w:t>
      </w:r>
      <w:r w:rsidRPr="00F2427B">
        <w:t xml:space="preserve">met both Step 1 and Step 2 for the most recent years of data.  </w:t>
      </w:r>
      <w:r w:rsidR="0006681D" w:rsidRPr="00F2427B">
        <w:t xml:space="preserve">BRL is improving and </w:t>
      </w:r>
      <w:r w:rsidR="0006681D">
        <w:t xml:space="preserve">showing Step 1 compliance, </w:t>
      </w:r>
      <w:r w:rsidR="0006681D" w:rsidRPr="00F2427B">
        <w:t xml:space="preserve">but is not yet showing Step </w:t>
      </w:r>
      <w:r w:rsidR="0006681D">
        <w:t>2</w:t>
      </w:r>
      <w:r w:rsidR="0006681D" w:rsidRPr="00F2427B">
        <w:t xml:space="preserve"> compliance.</w:t>
      </w:r>
      <w:r w:rsidR="0006681D">
        <w:t xml:space="preserve">  </w:t>
      </w:r>
      <w:r w:rsidRPr="00F2427B">
        <w:t xml:space="preserve">The areas furthest from compliance are in the North IRL.  </w:t>
      </w:r>
    </w:p>
    <w:p w:rsidR="007140FF" w:rsidRPr="00675469" w:rsidRDefault="007140FF" w:rsidP="00B30263">
      <w:pPr>
        <w:jc w:val="both"/>
      </w:pPr>
    </w:p>
    <w:tbl>
      <w:tblPr>
        <w:tblStyle w:val="TableGrid"/>
        <w:tblW w:w="7512" w:type="dxa"/>
        <w:tblInd w:w="108" w:type="dxa"/>
        <w:tblLook w:val="04A0"/>
      </w:tblPr>
      <w:tblGrid>
        <w:gridCol w:w="1477"/>
        <w:gridCol w:w="2041"/>
        <w:gridCol w:w="2041"/>
        <w:gridCol w:w="1953"/>
      </w:tblGrid>
      <w:tr w:rsidR="007140FF" w:rsidRPr="00675469" w:rsidTr="00D2534E">
        <w:trPr>
          <w:trHeight w:val="70"/>
        </w:trPr>
        <w:tc>
          <w:tcPr>
            <w:tcW w:w="1477" w:type="dxa"/>
            <w:shd w:val="clear" w:color="auto" w:fill="DBE5F1" w:themeFill="accent1" w:themeFillTint="33"/>
          </w:tcPr>
          <w:p w:rsidR="007140FF" w:rsidRPr="00675469" w:rsidRDefault="00F2427B" w:rsidP="00D2534E">
            <w:pPr>
              <w:rPr>
                <w:b/>
              </w:rPr>
            </w:pPr>
            <w:r w:rsidRPr="00F2427B">
              <w:rPr>
                <w:b/>
              </w:rPr>
              <w:t>Project Zone</w:t>
            </w:r>
          </w:p>
        </w:tc>
        <w:tc>
          <w:tcPr>
            <w:tcW w:w="2041" w:type="dxa"/>
            <w:shd w:val="clear" w:color="auto" w:fill="DBE5F1" w:themeFill="accent1" w:themeFillTint="33"/>
          </w:tcPr>
          <w:p w:rsidR="007140FF" w:rsidRPr="00675469" w:rsidRDefault="00F2427B" w:rsidP="00D2534E">
            <w:pPr>
              <w:rPr>
                <w:b/>
              </w:rPr>
            </w:pPr>
            <w:r w:rsidRPr="00F2427B">
              <w:rPr>
                <w:b/>
              </w:rPr>
              <w:t>Step 1 Compliant?</w:t>
            </w:r>
          </w:p>
        </w:tc>
        <w:tc>
          <w:tcPr>
            <w:tcW w:w="2041" w:type="dxa"/>
            <w:shd w:val="clear" w:color="auto" w:fill="DBE5F1" w:themeFill="accent1" w:themeFillTint="33"/>
          </w:tcPr>
          <w:p w:rsidR="007140FF" w:rsidRPr="00675469" w:rsidRDefault="00F2427B" w:rsidP="00D2534E">
            <w:pPr>
              <w:rPr>
                <w:b/>
              </w:rPr>
            </w:pPr>
            <w:r w:rsidRPr="00F2427B">
              <w:rPr>
                <w:b/>
              </w:rPr>
              <w:t>Step 2 Compliant?</w:t>
            </w:r>
          </w:p>
        </w:tc>
        <w:tc>
          <w:tcPr>
            <w:tcW w:w="1953" w:type="dxa"/>
            <w:shd w:val="clear" w:color="auto" w:fill="DBE5F1" w:themeFill="accent1" w:themeFillTint="33"/>
          </w:tcPr>
          <w:p w:rsidR="007140FF" w:rsidRPr="00675469" w:rsidRDefault="00F2427B" w:rsidP="00D2534E">
            <w:pPr>
              <w:rPr>
                <w:b/>
              </w:rPr>
            </w:pPr>
            <w:r w:rsidRPr="00F2427B">
              <w:rPr>
                <w:b/>
              </w:rPr>
              <w:t>TMDL Compliant?</w:t>
            </w:r>
          </w:p>
        </w:tc>
      </w:tr>
      <w:tr w:rsidR="007140FF" w:rsidRPr="00675469" w:rsidTr="00D2534E">
        <w:tc>
          <w:tcPr>
            <w:tcW w:w="1477" w:type="dxa"/>
          </w:tcPr>
          <w:p w:rsidR="007140FF" w:rsidRPr="00675469" w:rsidRDefault="00F2427B" w:rsidP="00540CCA">
            <w:pPr>
              <w:jc w:val="left"/>
            </w:pPr>
            <w:r w:rsidRPr="00F2427B">
              <w:t>BRL</w:t>
            </w:r>
          </w:p>
        </w:tc>
        <w:tc>
          <w:tcPr>
            <w:tcW w:w="2041" w:type="dxa"/>
          </w:tcPr>
          <w:p w:rsidR="007140FF" w:rsidRPr="00675469" w:rsidRDefault="008965BD" w:rsidP="003A0904">
            <w:r>
              <w:t>Yes</w:t>
            </w:r>
          </w:p>
        </w:tc>
        <w:tc>
          <w:tcPr>
            <w:tcW w:w="2041" w:type="dxa"/>
          </w:tcPr>
          <w:p w:rsidR="007140FF" w:rsidRPr="00675469" w:rsidRDefault="00F2427B" w:rsidP="003A0904">
            <w:r w:rsidRPr="00F2427B">
              <w:t>No</w:t>
            </w:r>
          </w:p>
        </w:tc>
        <w:tc>
          <w:tcPr>
            <w:tcW w:w="1953" w:type="dxa"/>
          </w:tcPr>
          <w:p w:rsidR="007140FF" w:rsidRPr="00675469" w:rsidRDefault="00F2427B" w:rsidP="003A0904">
            <w:r w:rsidRPr="00F2427B">
              <w:t>No</w:t>
            </w:r>
          </w:p>
        </w:tc>
      </w:tr>
      <w:tr w:rsidR="007140FF" w:rsidRPr="00675469" w:rsidTr="00D2534E">
        <w:trPr>
          <w:trHeight w:val="70"/>
        </w:trPr>
        <w:tc>
          <w:tcPr>
            <w:tcW w:w="1477" w:type="dxa"/>
          </w:tcPr>
          <w:p w:rsidR="007140FF" w:rsidRPr="00675469" w:rsidRDefault="00F2427B" w:rsidP="00540CCA">
            <w:pPr>
              <w:jc w:val="left"/>
            </w:pPr>
            <w:r w:rsidRPr="00F2427B">
              <w:t>North A</w:t>
            </w:r>
          </w:p>
        </w:tc>
        <w:tc>
          <w:tcPr>
            <w:tcW w:w="2041" w:type="dxa"/>
          </w:tcPr>
          <w:p w:rsidR="007140FF" w:rsidRPr="00675469" w:rsidRDefault="00F2427B" w:rsidP="003A0904">
            <w:r w:rsidRPr="00F2427B">
              <w:t>No</w:t>
            </w:r>
          </w:p>
        </w:tc>
        <w:tc>
          <w:tcPr>
            <w:tcW w:w="2041" w:type="dxa"/>
          </w:tcPr>
          <w:p w:rsidR="007140FF" w:rsidRPr="00675469" w:rsidRDefault="00F2427B" w:rsidP="003A0904">
            <w:r w:rsidRPr="00F2427B">
              <w:t>No</w:t>
            </w:r>
          </w:p>
        </w:tc>
        <w:tc>
          <w:tcPr>
            <w:tcW w:w="1953" w:type="dxa"/>
          </w:tcPr>
          <w:p w:rsidR="007140FF" w:rsidRPr="00675469" w:rsidRDefault="00F2427B" w:rsidP="003A0904">
            <w:r w:rsidRPr="00F2427B">
              <w:t>No</w:t>
            </w:r>
          </w:p>
        </w:tc>
      </w:tr>
      <w:tr w:rsidR="007140FF" w:rsidRPr="00675469" w:rsidTr="00D2534E">
        <w:trPr>
          <w:trHeight w:val="70"/>
        </w:trPr>
        <w:tc>
          <w:tcPr>
            <w:tcW w:w="1477" w:type="dxa"/>
          </w:tcPr>
          <w:p w:rsidR="007140FF" w:rsidRPr="00675469" w:rsidRDefault="00F2427B" w:rsidP="00540CCA">
            <w:pPr>
              <w:jc w:val="left"/>
            </w:pPr>
            <w:r w:rsidRPr="00F2427B">
              <w:t>North B</w:t>
            </w:r>
          </w:p>
        </w:tc>
        <w:tc>
          <w:tcPr>
            <w:tcW w:w="2041" w:type="dxa"/>
          </w:tcPr>
          <w:p w:rsidR="007140FF" w:rsidRPr="00675469" w:rsidRDefault="00F2427B" w:rsidP="003A0904">
            <w:r w:rsidRPr="00F2427B">
              <w:t>No</w:t>
            </w:r>
          </w:p>
        </w:tc>
        <w:tc>
          <w:tcPr>
            <w:tcW w:w="2041" w:type="dxa"/>
          </w:tcPr>
          <w:p w:rsidR="007140FF" w:rsidRPr="00675469" w:rsidRDefault="00F2427B" w:rsidP="003A0904">
            <w:r w:rsidRPr="00F2427B">
              <w:t>No</w:t>
            </w:r>
          </w:p>
        </w:tc>
        <w:tc>
          <w:tcPr>
            <w:tcW w:w="1953" w:type="dxa"/>
          </w:tcPr>
          <w:p w:rsidR="007140FF" w:rsidRPr="00675469" w:rsidRDefault="00F2427B" w:rsidP="003A0904">
            <w:r w:rsidRPr="00F2427B">
              <w:t>No</w:t>
            </w:r>
          </w:p>
        </w:tc>
      </w:tr>
      <w:tr w:rsidR="007140FF" w:rsidRPr="00675469" w:rsidTr="00D2534E">
        <w:tc>
          <w:tcPr>
            <w:tcW w:w="1477" w:type="dxa"/>
          </w:tcPr>
          <w:p w:rsidR="007140FF" w:rsidRPr="00675469" w:rsidRDefault="00F2427B" w:rsidP="00540CCA">
            <w:pPr>
              <w:jc w:val="left"/>
            </w:pPr>
            <w:r w:rsidRPr="00F2427B">
              <w:t>Central A</w:t>
            </w:r>
          </w:p>
        </w:tc>
        <w:tc>
          <w:tcPr>
            <w:tcW w:w="2041" w:type="dxa"/>
          </w:tcPr>
          <w:p w:rsidR="007140FF" w:rsidRPr="00675469" w:rsidRDefault="00F2427B" w:rsidP="003A0904">
            <w:r w:rsidRPr="00F2427B">
              <w:t>Yes</w:t>
            </w:r>
          </w:p>
        </w:tc>
        <w:tc>
          <w:tcPr>
            <w:tcW w:w="2041" w:type="dxa"/>
          </w:tcPr>
          <w:p w:rsidR="007140FF" w:rsidRPr="00675469" w:rsidRDefault="00F2427B" w:rsidP="003A0904">
            <w:r w:rsidRPr="00F2427B">
              <w:t>Yes</w:t>
            </w:r>
          </w:p>
        </w:tc>
        <w:tc>
          <w:tcPr>
            <w:tcW w:w="1953" w:type="dxa"/>
          </w:tcPr>
          <w:p w:rsidR="007140FF" w:rsidRPr="00675469" w:rsidRDefault="00F2427B" w:rsidP="003A0904">
            <w:r w:rsidRPr="00F2427B">
              <w:t>Yes</w:t>
            </w:r>
          </w:p>
        </w:tc>
      </w:tr>
      <w:tr w:rsidR="007140FF" w:rsidRPr="00675469" w:rsidTr="00D2534E">
        <w:tc>
          <w:tcPr>
            <w:tcW w:w="1477" w:type="dxa"/>
          </w:tcPr>
          <w:p w:rsidR="007140FF" w:rsidRPr="00675469" w:rsidRDefault="00F2427B" w:rsidP="00540CCA">
            <w:pPr>
              <w:jc w:val="left"/>
            </w:pPr>
            <w:r w:rsidRPr="00F2427B">
              <w:t>Central SEB</w:t>
            </w:r>
          </w:p>
        </w:tc>
        <w:tc>
          <w:tcPr>
            <w:tcW w:w="2041" w:type="dxa"/>
          </w:tcPr>
          <w:p w:rsidR="007140FF" w:rsidRPr="00675469" w:rsidRDefault="00F2427B" w:rsidP="003A0904">
            <w:r w:rsidRPr="00F2427B">
              <w:t>Yes</w:t>
            </w:r>
          </w:p>
        </w:tc>
        <w:tc>
          <w:tcPr>
            <w:tcW w:w="2041" w:type="dxa"/>
          </w:tcPr>
          <w:p w:rsidR="007140FF" w:rsidRPr="00675469" w:rsidRDefault="00153C34" w:rsidP="003A0904">
            <w:r>
              <w:t>Yes</w:t>
            </w:r>
          </w:p>
        </w:tc>
        <w:tc>
          <w:tcPr>
            <w:tcW w:w="1953" w:type="dxa"/>
          </w:tcPr>
          <w:p w:rsidR="007140FF" w:rsidRPr="00675469" w:rsidRDefault="00153C34" w:rsidP="003A0904">
            <w:r>
              <w:t>Yes</w:t>
            </w:r>
          </w:p>
        </w:tc>
      </w:tr>
      <w:tr w:rsidR="007140FF" w:rsidRPr="00675469" w:rsidTr="00D2534E">
        <w:tc>
          <w:tcPr>
            <w:tcW w:w="1477" w:type="dxa"/>
          </w:tcPr>
          <w:p w:rsidR="007140FF" w:rsidRPr="00675469" w:rsidRDefault="00F2427B" w:rsidP="00540CCA">
            <w:pPr>
              <w:jc w:val="left"/>
            </w:pPr>
            <w:r w:rsidRPr="00F2427B">
              <w:t>Central B</w:t>
            </w:r>
          </w:p>
        </w:tc>
        <w:tc>
          <w:tcPr>
            <w:tcW w:w="2041" w:type="dxa"/>
          </w:tcPr>
          <w:p w:rsidR="007140FF" w:rsidRPr="00675469" w:rsidRDefault="00F2427B" w:rsidP="003A0904">
            <w:r w:rsidRPr="00F2427B">
              <w:t>Yes</w:t>
            </w:r>
          </w:p>
        </w:tc>
        <w:tc>
          <w:tcPr>
            <w:tcW w:w="2041" w:type="dxa"/>
          </w:tcPr>
          <w:p w:rsidR="007140FF" w:rsidRPr="00675469" w:rsidRDefault="00153C34" w:rsidP="003A0904">
            <w:r>
              <w:t>Yes</w:t>
            </w:r>
          </w:p>
        </w:tc>
        <w:tc>
          <w:tcPr>
            <w:tcW w:w="1953" w:type="dxa"/>
          </w:tcPr>
          <w:p w:rsidR="007140FF" w:rsidRPr="00675469" w:rsidRDefault="00153C34" w:rsidP="003A0904">
            <w:r>
              <w:t>Yes</w:t>
            </w:r>
          </w:p>
        </w:tc>
      </w:tr>
    </w:tbl>
    <w:p w:rsidR="005156B3" w:rsidRPr="005156B3" w:rsidRDefault="005156B3" w:rsidP="005156B3">
      <w:pPr>
        <w:pStyle w:val="Heading3"/>
        <w:jc w:val="left"/>
        <w:rPr>
          <w:color w:val="auto"/>
        </w:rPr>
      </w:pPr>
      <w:r w:rsidRPr="005156B3">
        <w:rPr>
          <w:rFonts w:asciiTheme="minorHAnsi" w:hAnsiTheme="minorHAnsi"/>
          <w:color w:val="auto"/>
        </w:rPr>
        <w:t>Application of Assessment Results</w:t>
      </w:r>
    </w:p>
    <w:p w:rsidR="00897E80" w:rsidRDefault="00897E80" w:rsidP="00897E80">
      <w:pPr>
        <w:jc w:val="both"/>
      </w:pPr>
      <w:r w:rsidRPr="00F2427B">
        <w:t>Stakeholders in the Central A</w:t>
      </w:r>
      <w:r>
        <w:t>, Central SEB, and Central B</w:t>
      </w:r>
      <w:r w:rsidRPr="00F2427B">
        <w:t xml:space="preserve"> project zone</w:t>
      </w:r>
      <w:r>
        <w:t>s</w:t>
      </w:r>
      <w:r w:rsidRPr="00F2427B">
        <w:t xml:space="preserve"> </w:t>
      </w:r>
      <w:r w:rsidR="00D129BA">
        <w:t xml:space="preserve">are meeting TMDL DL targets and </w:t>
      </w:r>
      <w:r w:rsidRPr="00F2427B">
        <w:t xml:space="preserve">will not be asked to make any reductions </w:t>
      </w:r>
      <w:r>
        <w:t>at this time</w:t>
      </w:r>
      <w:r w:rsidR="00E53556">
        <w:t>;</w:t>
      </w:r>
      <w:r>
        <w:t xml:space="preserve"> however</w:t>
      </w:r>
      <w:r w:rsidR="00E53556">
        <w:t>,</w:t>
      </w:r>
      <w:r>
        <w:t xml:space="preserve"> </w:t>
      </w:r>
      <w:r w:rsidR="0032732D">
        <w:t>FDEP will c</w:t>
      </w:r>
      <w:r>
        <w:t xml:space="preserve">ontinue to ask stakeholders to provide completed and any planned projects to characterize TN and TP reductions that have already occurred and will be achieved </w:t>
      </w:r>
      <w:r w:rsidR="00433A35">
        <w:t>during the</w:t>
      </w:r>
      <w:r w:rsidR="00E53556">
        <w:t xml:space="preserve"> first BMAP</w:t>
      </w:r>
      <w:r w:rsidR="00433A35">
        <w:t xml:space="preserve"> cycle</w:t>
      </w:r>
      <w:r>
        <w:t xml:space="preserve">. </w:t>
      </w:r>
      <w:r w:rsidR="00E53556">
        <w:t xml:space="preserve"> </w:t>
      </w:r>
      <w:r w:rsidR="00433A35">
        <w:t xml:space="preserve">Documenting known load reductions will further </w:t>
      </w:r>
      <w:r w:rsidR="00881757">
        <w:t>the</w:t>
      </w:r>
      <w:r w:rsidR="00433A35">
        <w:t xml:space="preserve"> understanding of how compliance was achieved and maintained.  </w:t>
      </w:r>
      <w:r>
        <w:t xml:space="preserve">FDEP will </w:t>
      </w:r>
      <w:r w:rsidR="00E53556">
        <w:t xml:space="preserve">then </w:t>
      </w:r>
      <w:r>
        <w:t xml:space="preserve">use the 2009 and 2011 seagrass mapping </w:t>
      </w:r>
      <w:r w:rsidR="00E53556">
        <w:t>data</w:t>
      </w:r>
      <w:r>
        <w:t>, when available</w:t>
      </w:r>
      <w:r w:rsidR="0032732D">
        <w:t>,</w:t>
      </w:r>
      <w:r>
        <w:t xml:space="preserve"> to reassess </w:t>
      </w:r>
      <w:r w:rsidR="00E53556">
        <w:t>whether</w:t>
      </w:r>
      <w:r>
        <w:t xml:space="preserve"> these project zones continue to be compliant.</w:t>
      </w:r>
      <w:r w:rsidR="00E53556">
        <w:t xml:space="preserve"> </w:t>
      </w:r>
      <w:r>
        <w:t xml:space="preserve"> If the</w:t>
      </w:r>
      <w:r w:rsidR="00E53556">
        <w:t>se project zones</w:t>
      </w:r>
      <w:r>
        <w:t xml:space="preserve"> continue to meet </w:t>
      </w:r>
      <w:r w:rsidR="00E53556">
        <w:t xml:space="preserve">the </w:t>
      </w:r>
      <w:r>
        <w:t xml:space="preserve">TMDL DL targets </w:t>
      </w:r>
      <w:r w:rsidR="00E53556">
        <w:t xml:space="preserve">there will be </w:t>
      </w:r>
      <w:r>
        <w:t xml:space="preserve">six mapping years or </w:t>
      </w:r>
      <w:r w:rsidR="00E53556">
        <w:t>nine</w:t>
      </w:r>
      <w:r>
        <w:t xml:space="preserve"> calendar years</w:t>
      </w:r>
      <w:r w:rsidR="00E53556">
        <w:t xml:space="preserve"> (2003 – 2011)</w:t>
      </w:r>
      <w:r>
        <w:t xml:space="preserve"> </w:t>
      </w:r>
      <w:r w:rsidR="00E53556">
        <w:t>indicating</w:t>
      </w:r>
      <w:r>
        <w:t xml:space="preserve"> </w:t>
      </w:r>
      <w:r w:rsidR="00D129BA">
        <w:t xml:space="preserve">a trend of </w:t>
      </w:r>
      <w:r>
        <w:t xml:space="preserve">success. </w:t>
      </w:r>
      <w:r w:rsidR="00E53556">
        <w:t xml:space="preserve"> </w:t>
      </w:r>
      <w:r>
        <w:t xml:space="preserve">If during this assessment the project zones no longer meet </w:t>
      </w:r>
      <w:r w:rsidR="00E53556">
        <w:t>S</w:t>
      </w:r>
      <w:r>
        <w:t xml:space="preserve">tep 1 and </w:t>
      </w:r>
      <w:r w:rsidR="00E53556">
        <w:t>S</w:t>
      </w:r>
      <w:r>
        <w:t>tep 2</w:t>
      </w:r>
      <w:r w:rsidR="00E53556">
        <w:t xml:space="preserve"> compliance,</w:t>
      </w:r>
      <w:r>
        <w:t xml:space="preserve"> FDEP would then ask for stakeholders to make nutrient reductions and a BMAP will be developed. </w:t>
      </w:r>
      <w:r w:rsidRPr="00F2427B">
        <w:t xml:space="preserve"> </w:t>
      </w:r>
    </w:p>
    <w:p w:rsidR="00897E80" w:rsidRDefault="00897E80" w:rsidP="00897E80">
      <w:pPr>
        <w:jc w:val="both"/>
      </w:pPr>
    </w:p>
    <w:p w:rsidR="00D129BA" w:rsidRDefault="00D129BA" w:rsidP="00897E80">
      <w:pPr>
        <w:jc w:val="both"/>
      </w:pPr>
    </w:p>
    <w:p w:rsidR="00897E80" w:rsidRPr="00675469" w:rsidRDefault="00897E80" w:rsidP="00897E80">
      <w:pPr>
        <w:jc w:val="both"/>
      </w:pPr>
      <w:r w:rsidRPr="00F2427B">
        <w:lastRenderedPageBreak/>
        <w:t>The stakeholders in Central A</w:t>
      </w:r>
      <w:r>
        <w:t>, Central SEB, and Central B</w:t>
      </w:r>
      <w:r w:rsidRPr="00F2427B">
        <w:t xml:space="preserve"> </w:t>
      </w:r>
      <w:r>
        <w:t>include</w:t>
      </w:r>
      <w:r w:rsidRPr="00F2427B">
        <w:t>:</w:t>
      </w:r>
    </w:p>
    <w:p w:rsidR="00897E80" w:rsidRPr="00675469" w:rsidRDefault="00897E80" w:rsidP="00897E80">
      <w:pPr>
        <w:pStyle w:val="ListParagraph"/>
        <w:numPr>
          <w:ilvl w:val="0"/>
          <w:numId w:val="4"/>
        </w:numPr>
        <w:jc w:val="both"/>
        <w:sectPr w:rsidR="00897E80" w:rsidRPr="00675469" w:rsidSect="00897E80">
          <w:footerReference w:type="default" r:id="rId14"/>
          <w:type w:val="continuous"/>
          <w:pgSz w:w="12240" w:h="15840"/>
          <w:pgMar w:top="1440" w:right="1440" w:bottom="1440" w:left="1440" w:header="720" w:footer="720" w:gutter="0"/>
          <w:cols w:space="720"/>
          <w:docGrid w:linePitch="360"/>
        </w:sectPr>
      </w:pPr>
    </w:p>
    <w:p w:rsidR="00E53556" w:rsidRDefault="00E53556" w:rsidP="00E53556">
      <w:pPr>
        <w:pStyle w:val="ListParagraph"/>
        <w:numPr>
          <w:ilvl w:val="0"/>
          <w:numId w:val="5"/>
        </w:numPr>
        <w:jc w:val="left"/>
      </w:pPr>
      <w:r>
        <w:lastRenderedPageBreak/>
        <w:t>Brevard County</w:t>
      </w:r>
    </w:p>
    <w:p w:rsidR="00E53556" w:rsidRDefault="00E53556" w:rsidP="00E53556">
      <w:pPr>
        <w:pStyle w:val="ListParagraph"/>
        <w:numPr>
          <w:ilvl w:val="0"/>
          <w:numId w:val="5"/>
        </w:numPr>
        <w:jc w:val="left"/>
      </w:pPr>
      <w:r>
        <w:t>City of Fellsmere</w:t>
      </w:r>
    </w:p>
    <w:p w:rsidR="00E53556" w:rsidRDefault="00E53556" w:rsidP="00E53556">
      <w:pPr>
        <w:pStyle w:val="ListParagraph"/>
        <w:numPr>
          <w:ilvl w:val="0"/>
          <w:numId w:val="5"/>
        </w:numPr>
        <w:jc w:val="left"/>
      </w:pPr>
      <w:r>
        <w:t>City of Fort Pierce</w:t>
      </w:r>
    </w:p>
    <w:p w:rsidR="00E53556" w:rsidRDefault="00E53556" w:rsidP="00E53556">
      <w:pPr>
        <w:pStyle w:val="ListParagraph"/>
        <w:numPr>
          <w:ilvl w:val="0"/>
          <w:numId w:val="5"/>
        </w:numPr>
        <w:jc w:val="left"/>
      </w:pPr>
      <w:r>
        <w:t>City of Melbourne</w:t>
      </w:r>
    </w:p>
    <w:p w:rsidR="00E53556" w:rsidRDefault="00E53556" w:rsidP="00E53556">
      <w:pPr>
        <w:pStyle w:val="ListParagraph"/>
        <w:numPr>
          <w:ilvl w:val="0"/>
          <w:numId w:val="5"/>
        </w:numPr>
        <w:jc w:val="left"/>
      </w:pPr>
      <w:r>
        <w:t>City of Palm Bay</w:t>
      </w:r>
    </w:p>
    <w:p w:rsidR="00E53556" w:rsidRDefault="00E53556" w:rsidP="00E53556">
      <w:pPr>
        <w:pStyle w:val="ListParagraph"/>
        <w:numPr>
          <w:ilvl w:val="0"/>
          <w:numId w:val="5"/>
        </w:numPr>
        <w:jc w:val="left"/>
      </w:pPr>
      <w:r>
        <w:t>City of Sebastian</w:t>
      </w:r>
    </w:p>
    <w:p w:rsidR="00E53556" w:rsidRDefault="00E53556" w:rsidP="00E53556">
      <w:pPr>
        <w:pStyle w:val="ListParagraph"/>
        <w:numPr>
          <w:ilvl w:val="0"/>
          <w:numId w:val="5"/>
        </w:numPr>
        <w:jc w:val="left"/>
      </w:pPr>
      <w:r>
        <w:t>City of Vero Beach</w:t>
      </w:r>
    </w:p>
    <w:p w:rsidR="00E53556" w:rsidRDefault="00E53556" w:rsidP="00E53556">
      <w:pPr>
        <w:pStyle w:val="ListParagraph"/>
        <w:numPr>
          <w:ilvl w:val="0"/>
          <w:numId w:val="5"/>
        </w:numPr>
        <w:jc w:val="left"/>
      </w:pPr>
      <w:r>
        <w:t>City of West Melbourne</w:t>
      </w:r>
    </w:p>
    <w:p w:rsidR="00E53556" w:rsidRDefault="00E53556" w:rsidP="00E53556">
      <w:pPr>
        <w:pStyle w:val="ListParagraph"/>
        <w:numPr>
          <w:ilvl w:val="0"/>
          <w:numId w:val="5"/>
        </w:numPr>
        <w:jc w:val="left"/>
      </w:pPr>
      <w:r>
        <w:t>Florida Department of Transportation (FDOT) District 4</w:t>
      </w:r>
    </w:p>
    <w:p w:rsidR="00E53556" w:rsidRDefault="00E53556" w:rsidP="00E53556">
      <w:pPr>
        <w:pStyle w:val="ListParagraph"/>
        <w:numPr>
          <w:ilvl w:val="0"/>
          <w:numId w:val="5"/>
        </w:numPr>
        <w:jc w:val="left"/>
      </w:pPr>
      <w:r>
        <w:t>FDOT District 5</w:t>
      </w:r>
    </w:p>
    <w:p w:rsidR="00E53556" w:rsidRDefault="00E53556" w:rsidP="00E53556">
      <w:pPr>
        <w:pStyle w:val="ListParagraph"/>
        <w:numPr>
          <w:ilvl w:val="0"/>
          <w:numId w:val="5"/>
        </w:numPr>
        <w:jc w:val="left"/>
      </w:pPr>
      <w:r>
        <w:t>Fellsmere Water Control District (WCD)</w:t>
      </w:r>
    </w:p>
    <w:p w:rsidR="00E53556" w:rsidRDefault="00E53556" w:rsidP="00E53556">
      <w:pPr>
        <w:pStyle w:val="ListParagraph"/>
        <w:numPr>
          <w:ilvl w:val="0"/>
          <w:numId w:val="5"/>
        </w:numPr>
        <w:jc w:val="left"/>
      </w:pPr>
      <w:r>
        <w:t>Fort Pierce Farms WCD</w:t>
      </w:r>
    </w:p>
    <w:p w:rsidR="00E53556" w:rsidRDefault="00E53556" w:rsidP="00E53556">
      <w:pPr>
        <w:pStyle w:val="ListParagraph"/>
        <w:numPr>
          <w:ilvl w:val="0"/>
          <w:numId w:val="5"/>
        </w:numPr>
        <w:jc w:val="left"/>
      </w:pPr>
      <w:r>
        <w:t>Indian River County</w:t>
      </w:r>
    </w:p>
    <w:p w:rsidR="00E53556" w:rsidRDefault="00E53556" w:rsidP="00E53556">
      <w:pPr>
        <w:pStyle w:val="ListParagraph"/>
        <w:numPr>
          <w:ilvl w:val="0"/>
          <w:numId w:val="5"/>
        </w:numPr>
        <w:jc w:val="left"/>
      </w:pPr>
      <w:r>
        <w:t>Indian River Farms WCD</w:t>
      </w:r>
    </w:p>
    <w:p w:rsidR="00E53556" w:rsidRDefault="00E53556" w:rsidP="00E53556">
      <w:pPr>
        <w:pStyle w:val="ListParagraph"/>
        <w:numPr>
          <w:ilvl w:val="0"/>
          <w:numId w:val="5"/>
        </w:numPr>
        <w:jc w:val="left"/>
      </w:pPr>
      <w:r>
        <w:lastRenderedPageBreak/>
        <w:t>Melbourne-Tillman WCD</w:t>
      </w:r>
    </w:p>
    <w:p w:rsidR="00E53556" w:rsidRDefault="00E53556" w:rsidP="00E53556">
      <w:pPr>
        <w:pStyle w:val="ListParagraph"/>
        <w:numPr>
          <w:ilvl w:val="0"/>
          <w:numId w:val="5"/>
        </w:numPr>
        <w:jc w:val="left"/>
      </w:pPr>
      <w:r>
        <w:t>North St. Lucie River WCD</w:t>
      </w:r>
    </w:p>
    <w:p w:rsidR="00E53556" w:rsidRDefault="00E53556" w:rsidP="00E53556">
      <w:pPr>
        <w:pStyle w:val="ListParagraph"/>
        <w:numPr>
          <w:ilvl w:val="0"/>
          <w:numId w:val="5"/>
        </w:numPr>
        <w:jc w:val="left"/>
      </w:pPr>
      <w:r>
        <w:t>Sebastian River Improvement District</w:t>
      </w:r>
    </w:p>
    <w:p w:rsidR="00E53556" w:rsidRDefault="00E53556" w:rsidP="00E53556">
      <w:pPr>
        <w:pStyle w:val="ListParagraph"/>
        <w:numPr>
          <w:ilvl w:val="0"/>
          <w:numId w:val="5"/>
        </w:numPr>
        <w:jc w:val="left"/>
      </w:pPr>
      <w:r>
        <w:t>St. Lucie County</w:t>
      </w:r>
    </w:p>
    <w:p w:rsidR="00E53556" w:rsidRDefault="00E53556" w:rsidP="00E53556">
      <w:pPr>
        <w:pStyle w:val="ListParagraph"/>
        <w:numPr>
          <w:ilvl w:val="0"/>
          <w:numId w:val="5"/>
        </w:numPr>
        <w:jc w:val="left"/>
      </w:pPr>
      <w:r>
        <w:t>Town of Grant-Valkaria</w:t>
      </w:r>
    </w:p>
    <w:p w:rsidR="00E53556" w:rsidRDefault="00E53556" w:rsidP="00E53556">
      <w:pPr>
        <w:pStyle w:val="ListParagraph"/>
        <w:numPr>
          <w:ilvl w:val="0"/>
          <w:numId w:val="5"/>
        </w:numPr>
        <w:jc w:val="left"/>
      </w:pPr>
      <w:r>
        <w:t>Town of Indialantic</w:t>
      </w:r>
    </w:p>
    <w:p w:rsidR="00E53556" w:rsidRDefault="00E53556" w:rsidP="00E53556">
      <w:pPr>
        <w:pStyle w:val="ListParagraph"/>
        <w:numPr>
          <w:ilvl w:val="0"/>
          <w:numId w:val="5"/>
        </w:numPr>
        <w:jc w:val="left"/>
      </w:pPr>
      <w:r>
        <w:t>Town of Indian River Shores</w:t>
      </w:r>
    </w:p>
    <w:p w:rsidR="00E53556" w:rsidRDefault="00E53556" w:rsidP="00E53556">
      <w:pPr>
        <w:pStyle w:val="ListParagraph"/>
        <w:numPr>
          <w:ilvl w:val="0"/>
          <w:numId w:val="5"/>
        </w:numPr>
        <w:jc w:val="left"/>
      </w:pPr>
      <w:r>
        <w:t>Town of Malabar</w:t>
      </w:r>
    </w:p>
    <w:p w:rsidR="00E53556" w:rsidRDefault="00E53556" w:rsidP="00E53556">
      <w:pPr>
        <w:pStyle w:val="ListParagraph"/>
        <w:numPr>
          <w:ilvl w:val="0"/>
          <w:numId w:val="5"/>
        </w:numPr>
        <w:jc w:val="left"/>
      </w:pPr>
      <w:r>
        <w:t>Town of Melbourne Beach</w:t>
      </w:r>
    </w:p>
    <w:p w:rsidR="00E53556" w:rsidRDefault="00E53556" w:rsidP="00E53556">
      <w:pPr>
        <w:pStyle w:val="ListParagraph"/>
        <w:numPr>
          <w:ilvl w:val="0"/>
          <w:numId w:val="5"/>
        </w:numPr>
        <w:jc w:val="left"/>
      </w:pPr>
      <w:r>
        <w:t>Town of Melbourne Village</w:t>
      </w:r>
    </w:p>
    <w:p w:rsidR="00E53556" w:rsidRDefault="00E53556" w:rsidP="00E53556">
      <w:pPr>
        <w:pStyle w:val="ListParagraph"/>
        <w:numPr>
          <w:ilvl w:val="0"/>
          <w:numId w:val="5"/>
        </w:numPr>
        <w:jc w:val="left"/>
      </w:pPr>
      <w:r>
        <w:t>Town of Orchid</w:t>
      </w:r>
    </w:p>
    <w:p w:rsidR="00E53556" w:rsidRDefault="00E53556" w:rsidP="00E53556">
      <w:pPr>
        <w:pStyle w:val="ListParagraph"/>
        <w:numPr>
          <w:ilvl w:val="0"/>
          <w:numId w:val="5"/>
        </w:numPr>
        <w:jc w:val="left"/>
      </w:pPr>
      <w:r>
        <w:t>Turnpike Authority</w:t>
      </w:r>
    </w:p>
    <w:p w:rsidR="00897E80" w:rsidRPr="00675469" w:rsidRDefault="00E53556" w:rsidP="00897E80">
      <w:pPr>
        <w:pStyle w:val="ListParagraph"/>
        <w:numPr>
          <w:ilvl w:val="0"/>
          <w:numId w:val="4"/>
        </w:numPr>
        <w:jc w:val="both"/>
      </w:pPr>
      <w:r>
        <w:t>Vero Lakes WCD</w:t>
      </w:r>
    </w:p>
    <w:p w:rsidR="00897E80" w:rsidRPr="00675469" w:rsidRDefault="00897E80" w:rsidP="00897E80">
      <w:pPr>
        <w:jc w:val="both"/>
        <w:sectPr w:rsidR="00897E80" w:rsidRPr="00675469" w:rsidSect="00BA0D05">
          <w:type w:val="continuous"/>
          <w:pgSz w:w="12240" w:h="15840"/>
          <w:pgMar w:top="1440" w:right="1440" w:bottom="1440" w:left="1440" w:header="720" w:footer="720" w:gutter="0"/>
          <w:cols w:num="2" w:space="720"/>
          <w:docGrid w:linePitch="360"/>
        </w:sectPr>
      </w:pPr>
    </w:p>
    <w:p w:rsidR="00897E80" w:rsidRPr="00675469" w:rsidRDefault="00897E80" w:rsidP="00897E80">
      <w:pPr>
        <w:jc w:val="both"/>
      </w:pPr>
    </w:p>
    <w:p w:rsidR="00897E80" w:rsidRPr="00D129BA" w:rsidRDefault="00897E80" w:rsidP="00CF61BD">
      <w:pPr>
        <w:jc w:val="both"/>
      </w:pPr>
      <w:r w:rsidRPr="00D129BA">
        <w:t xml:space="preserve">Stakeholders in the BRL, North A, and North B project zones will be required to </w:t>
      </w:r>
      <w:r w:rsidR="00E53556" w:rsidRPr="00D129BA">
        <w:t>achieve</w:t>
      </w:r>
      <w:r w:rsidRPr="00D129BA">
        <w:t xml:space="preserve"> TN and TP reductions</w:t>
      </w:r>
      <w:r w:rsidR="00CD6EF0" w:rsidRPr="00D129BA">
        <w:t xml:space="preserve"> in this first five-year BMAP period</w:t>
      </w:r>
      <w:r w:rsidRPr="00D129BA">
        <w:t xml:space="preserve"> because the</w:t>
      </w:r>
      <w:r w:rsidR="00CD6EF0" w:rsidRPr="00D129BA">
        <w:t>se areas</w:t>
      </w:r>
      <w:r w:rsidRPr="00D129BA">
        <w:t xml:space="preserve"> are not meeting </w:t>
      </w:r>
      <w:r w:rsidR="00CD6EF0" w:rsidRPr="00D129BA">
        <w:t xml:space="preserve">the </w:t>
      </w:r>
      <w:r w:rsidRPr="00D129BA">
        <w:t xml:space="preserve">TMDL DL targets. </w:t>
      </w:r>
      <w:r w:rsidR="00CD6EF0" w:rsidRPr="00D129BA">
        <w:t xml:space="preserve"> </w:t>
      </w:r>
      <w:r w:rsidR="0032732D" w:rsidRPr="00D129BA">
        <w:t>In year four of the BMAP, TMDL DL targets will be reassessed using 2009, 2011, and 2013 mapping data</w:t>
      </w:r>
      <w:r w:rsidR="00CD6EF0" w:rsidRPr="00D129BA">
        <w:t xml:space="preserve"> for these project zones</w:t>
      </w:r>
      <w:r w:rsidR="0032732D" w:rsidRPr="00D129BA">
        <w:t xml:space="preserve">. </w:t>
      </w:r>
      <w:r w:rsidR="00CD6EF0" w:rsidRPr="00D129BA">
        <w:t xml:space="preserve"> </w:t>
      </w:r>
      <w:r w:rsidR="0032732D" w:rsidRPr="00D129BA">
        <w:t xml:space="preserve">As none of these project </w:t>
      </w:r>
      <w:r w:rsidR="00473499" w:rsidRPr="00D129BA">
        <w:t>zones meet</w:t>
      </w:r>
      <w:r w:rsidR="0032732D" w:rsidRPr="00D129BA">
        <w:t xml:space="preserve"> median DL targets for any of the </w:t>
      </w:r>
      <w:r w:rsidR="00CD6EF0" w:rsidRPr="00D129BA">
        <w:t xml:space="preserve">most recent </w:t>
      </w:r>
      <w:r w:rsidR="0032732D" w:rsidRPr="00D129BA">
        <w:t>four mapping years (</w:t>
      </w:r>
      <w:r w:rsidR="00CD6EF0" w:rsidRPr="00D129BA">
        <w:t>20</w:t>
      </w:r>
      <w:r w:rsidR="0032732D" w:rsidRPr="00D129BA">
        <w:t>03-</w:t>
      </w:r>
      <w:r w:rsidR="00CD6EF0" w:rsidRPr="00D129BA">
        <w:t>20</w:t>
      </w:r>
      <w:r w:rsidR="0032732D" w:rsidRPr="00D129BA">
        <w:t>07)</w:t>
      </w:r>
      <w:r w:rsidR="00CD6EF0" w:rsidRPr="00D129BA">
        <w:t>,</w:t>
      </w:r>
      <w:r w:rsidR="0032732D" w:rsidRPr="00D129BA">
        <w:t xml:space="preserve"> the earliest opportunity for achievement</w:t>
      </w:r>
      <w:r w:rsidR="00CD6EF0" w:rsidRPr="00D129BA">
        <w:t xml:space="preserve"> of the Step 2 requirement</w:t>
      </w:r>
      <w:r w:rsidR="0032732D" w:rsidRPr="00D129BA">
        <w:t xml:space="preserve"> of three out of four mapping years</w:t>
      </w:r>
      <w:r w:rsidR="00CD6EF0" w:rsidRPr="00D129BA">
        <w:t xml:space="preserve"> </w:t>
      </w:r>
      <w:r w:rsidR="00D129BA">
        <w:t xml:space="preserve">that </w:t>
      </w:r>
      <w:r w:rsidR="00CD6EF0" w:rsidRPr="00D129BA">
        <w:t>meet or exceed the TMDL median</w:t>
      </w:r>
      <w:r w:rsidR="0032732D" w:rsidRPr="00D129BA">
        <w:t xml:space="preserve"> would be </w:t>
      </w:r>
      <w:r w:rsidR="00D129BA">
        <w:t>in</w:t>
      </w:r>
      <w:r w:rsidR="00D129BA" w:rsidRPr="00D129BA">
        <w:t xml:space="preserve"> </w:t>
      </w:r>
      <w:r w:rsidR="0032732D" w:rsidRPr="00D129BA">
        <w:t xml:space="preserve">this next data set. </w:t>
      </w:r>
      <w:r w:rsidR="00CD6EF0" w:rsidRPr="00D129BA">
        <w:t xml:space="preserve"> </w:t>
      </w:r>
      <w:r w:rsidR="0032732D" w:rsidRPr="00D129BA">
        <w:t xml:space="preserve">If these project zones are compliant using the </w:t>
      </w:r>
      <w:r w:rsidR="00CD6EF0" w:rsidRPr="00D129BA">
        <w:t>20</w:t>
      </w:r>
      <w:r w:rsidR="0032732D" w:rsidRPr="00D129BA">
        <w:t>07-</w:t>
      </w:r>
      <w:r w:rsidR="00CD6EF0" w:rsidRPr="00D129BA">
        <w:t>20</w:t>
      </w:r>
      <w:r w:rsidR="0032732D" w:rsidRPr="00D129BA">
        <w:t xml:space="preserve">13 mapping years, FDEP will not ask stakeholders to make </w:t>
      </w:r>
      <w:r w:rsidR="00D129BA">
        <w:t xml:space="preserve">additional </w:t>
      </w:r>
      <w:r w:rsidR="0047337D" w:rsidRPr="00D129BA">
        <w:t xml:space="preserve">TN and TP </w:t>
      </w:r>
      <w:r w:rsidR="0032732D" w:rsidRPr="00D129BA">
        <w:t xml:space="preserve">reductions in the next iteration of the BMAP. </w:t>
      </w:r>
      <w:r w:rsidR="00CD6EF0" w:rsidRPr="00D129BA">
        <w:t xml:space="preserve"> </w:t>
      </w:r>
      <w:r w:rsidR="0032732D" w:rsidRPr="00D129BA">
        <w:t>Rather</w:t>
      </w:r>
      <w:r w:rsidR="00CD6EF0" w:rsidRPr="00D129BA">
        <w:t>, FDEP</w:t>
      </w:r>
      <w:r w:rsidR="0032732D" w:rsidRPr="00D129BA">
        <w:t xml:space="preserve"> will apply a methodology</w:t>
      </w:r>
      <w:r w:rsidR="00CD6EF0" w:rsidRPr="00D129BA">
        <w:t xml:space="preserve"> similar to what is being used in the Central project zones</w:t>
      </w:r>
      <w:r w:rsidR="0032732D" w:rsidRPr="00D129BA">
        <w:t xml:space="preserve"> for reassessment</w:t>
      </w:r>
      <w:r w:rsidR="00CD6EF0" w:rsidRPr="00D129BA">
        <w:t xml:space="preserve">.  Data from the </w:t>
      </w:r>
      <w:r w:rsidR="0047337D" w:rsidRPr="00D129BA">
        <w:t xml:space="preserve">2015 and 2017 seagrass mapping years </w:t>
      </w:r>
      <w:r w:rsidR="00CD6EF0" w:rsidRPr="00D129BA">
        <w:t xml:space="preserve">will be evaluated </w:t>
      </w:r>
      <w:r w:rsidR="0047337D" w:rsidRPr="00D129BA">
        <w:t xml:space="preserve">to determine if </w:t>
      </w:r>
      <w:r w:rsidR="00CD6EF0" w:rsidRPr="00D129BA">
        <w:t>the project zones</w:t>
      </w:r>
      <w:r w:rsidR="0047337D" w:rsidRPr="00D129BA">
        <w:t xml:space="preserve"> continue to </w:t>
      </w:r>
      <w:r w:rsidR="00CD6EF0" w:rsidRPr="00D129BA">
        <w:t>meet the TMDL target</w:t>
      </w:r>
      <w:r w:rsidR="0047337D" w:rsidRPr="00D129BA">
        <w:t xml:space="preserve">. </w:t>
      </w:r>
      <w:r w:rsidR="00CD6EF0" w:rsidRPr="00D129BA">
        <w:t xml:space="preserve"> </w:t>
      </w:r>
      <w:r w:rsidR="0047337D" w:rsidRPr="00D129BA">
        <w:t xml:space="preserve">If </w:t>
      </w:r>
      <w:r w:rsidR="00D733F3" w:rsidRPr="00D129BA">
        <w:t>the project zones</w:t>
      </w:r>
      <w:r w:rsidR="0047337D" w:rsidRPr="00D129BA">
        <w:t xml:space="preserve"> do not pass the </w:t>
      </w:r>
      <w:r w:rsidR="00CD6EF0" w:rsidRPr="00D129BA">
        <w:t>S</w:t>
      </w:r>
      <w:r w:rsidR="0047337D" w:rsidRPr="00D129BA">
        <w:t xml:space="preserve">tep 1 and </w:t>
      </w:r>
      <w:r w:rsidR="00CD6EF0" w:rsidRPr="00D129BA">
        <w:t>S</w:t>
      </w:r>
      <w:r w:rsidR="0047337D" w:rsidRPr="00D129BA">
        <w:t>tep 2 assessments</w:t>
      </w:r>
      <w:r w:rsidR="00CD6EF0" w:rsidRPr="00D129BA">
        <w:t xml:space="preserve"> for compliance,</w:t>
      </w:r>
      <w:r w:rsidR="0047337D" w:rsidRPr="00D129BA">
        <w:t xml:space="preserve"> then FDEP will ask stakeholders to make</w:t>
      </w:r>
      <w:r w:rsidR="00CD6EF0" w:rsidRPr="00D129BA">
        <w:t xml:space="preserve"> further</w:t>
      </w:r>
      <w:r w:rsidR="0047337D" w:rsidRPr="00D129BA">
        <w:t xml:space="preserve"> nutrient reductions. </w:t>
      </w:r>
    </w:p>
    <w:sectPr w:rsidR="00897E80" w:rsidRPr="00D129BA" w:rsidSect="00BA0D05">
      <w:footerReference w:type="default" r:id="rId15"/>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6C0E" w:rsidRDefault="00896C0E" w:rsidP="001E195E">
      <w:r>
        <w:separator/>
      </w:r>
    </w:p>
  </w:endnote>
  <w:endnote w:type="continuationSeparator" w:id="0">
    <w:p w:rsidR="00896C0E" w:rsidRDefault="00896C0E" w:rsidP="001E195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10003"/>
      <w:docPartObj>
        <w:docPartGallery w:val="Page Numbers (Bottom of Page)"/>
        <w:docPartUnique/>
      </w:docPartObj>
    </w:sdtPr>
    <w:sdtEndPr>
      <w:rPr>
        <w:sz w:val="20"/>
        <w:szCs w:val="20"/>
      </w:rPr>
    </w:sdtEndPr>
    <w:sdtContent>
      <w:sdt>
        <w:sdtPr>
          <w:id w:val="108610004"/>
          <w:docPartObj>
            <w:docPartGallery w:val="Page Numbers (Top of Page)"/>
            <w:docPartUnique/>
          </w:docPartObj>
        </w:sdtPr>
        <w:sdtEndPr>
          <w:rPr>
            <w:sz w:val="20"/>
            <w:szCs w:val="20"/>
          </w:rPr>
        </w:sdtEndPr>
        <w:sdtContent>
          <w:p w:rsidR="00F20594" w:rsidRDefault="00F224BA" w:rsidP="00B30263">
            <w:pPr>
              <w:pStyle w:val="Footer"/>
              <w:tabs>
                <w:tab w:val="left" w:pos="300"/>
              </w:tabs>
              <w:jc w:val="left"/>
            </w:pPr>
            <w:r>
              <w:rPr>
                <w:sz w:val="20"/>
                <w:szCs w:val="20"/>
              </w:rPr>
              <w:t>Distribution</w:t>
            </w:r>
            <w:r w:rsidR="00F20594">
              <w:tab/>
            </w:r>
            <w:r w:rsidR="00F20594" w:rsidRPr="00B30263">
              <w:rPr>
                <w:sz w:val="20"/>
                <w:szCs w:val="20"/>
              </w:rPr>
              <w:t xml:space="preserve">Page </w:t>
            </w:r>
            <w:r w:rsidR="00CE2322" w:rsidRPr="00B30263">
              <w:rPr>
                <w:sz w:val="20"/>
                <w:szCs w:val="20"/>
              </w:rPr>
              <w:fldChar w:fldCharType="begin"/>
            </w:r>
            <w:r w:rsidR="00F20594" w:rsidRPr="00B30263">
              <w:rPr>
                <w:sz w:val="20"/>
                <w:szCs w:val="20"/>
              </w:rPr>
              <w:instrText xml:space="preserve"> PAGE </w:instrText>
            </w:r>
            <w:r w:rsidR="00CE2322" w:rsidRPr="00B30263">
              <w:rPr>
                <w:sz w:val="20"/>
                <w:szCs w:val="20"/>
              </w:rPr>
              <w:fldChar w:fldCharType="separate"/>
            </w:r>
            <w:r w:rsidR="00097623">
              <w:rPr>
                <w:noProof/>
                <w:sz w:val="20"/>
                <w:szCs w:val="20"/>
              </w:rPr>
              <w:t>3</w:t>
            </w:r>
            <w:r w:rsidR="00CE2322" w:rsidRPr="00B30263">
              <w:rPr>
                <w:sz w:val="20"/>
                <w:szCs w:val="20"/>
              </w:rPr>
              <w:fldChar w:fldCharType="end"/>
            </w:r>
            <w:r w:rsidR="00F20594" w:rsidRPr="00B30263">
              <w:rPr>
                <w:sz w:val="20"/>
                <w:szCs w:val="20"/>
              </w:rPr>
              <w:t xml:space="preserve"> of </w:t>
            </w:r>
            <w:r w:rsidR="00CE2322" w:rsidRPr="00B30263">
              <w:rPr>
                <w:sz w:val="20"/>
                <w:szCs w:val="20"/>
              </w:rPr>
              <w:fldChar w:fldCharType="begin"/>
            </w:r>
            <w:r w:rsidR="00F20594" w:rsidRPr="00B30263">
              <w:rPr>
                <w:sz w:val="20"/>
                <w:szCs w:val="20"/>
              </w:rPr>
              <w:instrText xml:space="preserve"> NUMPAGES  </w:instrText>
            </w:r>
            <w:r w:rsidR="00CE2322" w:rsidRPr="00B30263">
              <w:rPr>
                <w:sz w:val="20"/>
                <w:szCs w:val="20"/>
              </w:rPr>
              <w:fldChar w:fldCharType="separate"/>
            </w:r>
            <w:r w:rsidR="00097623">
              <w:rPr>
                <w:noProof/>
                <w:sz w:val="20"/>
                <w:szCs w:val="20"/>
              </w:rPr>
              <w:t>7</w:t>
            </w:r>
            <w:r w:rsidR="00CE2322" w:rsidRPr="00B30263">
              <w:rPr>
                <w:sz w:val="20"/>
                <w:szCs w:val="20"/>
              </w:rPr>
              <w:fldChar w:fldCharType="end"/>
            </w:r>
          </w:p>
        </w:sdtContent>
      </w:sdt>
    </w:sdtContent>
  </w:sdt>
  <w:p w:rsidR="00F20594" w:rsidRPr="00262FD7" w:rsidRDefault="00F20594" w:rsidP="00262FD7">
    <w:pPr>
      <w:pStyle w:val="Footer"/>
      <w:jc w:val="left"/>
      <w:rPr>
        <w:rFonts w:ascii="Bell MT" w:hAnsi="Bell MT"/>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97915"/>
      <w:docPartObj>
        <w:docPartGallery w:val="Page Numbers (Bottom of Page)"/>
        <w:docPartUnique/>
      </w:docPartObj>
    </w:sdtPr>
    <w:sdtEndPr>
      <w:rPr>
        <w:sz w:val="20"/>
        <w:szCs w:val="20"/>
      </w:rPr>
    </w:sdtEndPr>
    <w:sdtContent>
      <w:sdt>
        <w:sdtPr>
          <w:id w:val="19797916"/>
          <w:docPartObj>
            <w:docPartGallery w:val="Page Numbers (Top of Page)"/>
            <w:docPartUnique/>
          </w:docPartObj>
        </w:sdtPr>
        <w:sdtEndPr>
          <w:rPr>
            <w:sz w:val="20"/>
            <w:szCs w:val="20"/>
          </w:rPr>
        </w:sdtEndPr>
        <w:sdtContent>
          <w:p w:rsidR="00F20594" w:rsidRDefault="00F20594" w:rsidP="00B30263">
            <w:pPr>
              <w:pStyle w:val="Footer"/>
              <w:tabs>
                <w:tab w:val="left" w:pos="300"/>
              </w:tabs>
              <w:jc w:val="left"/>
            </w:pPr>
            <w:r w:rsidRPr="00B30263">
              <w:rPr>
                <w:sz w:val="20"/>
                <w:szCs w:val="20"/>
              </w:rPr>
              <w:t xml:space="preserve">Draft </w:t>
            </w:r>
            <w:r>
              <w:rPr>
                <w:sz w:val="20"/>
                <w:szCs w:val="20"/>
              </w:rPr>
              <w:t>E</w:t>
            </w:r>
            <w:r>
              <w:tab/>
            </w:r>
            <w:r w:rsidRPr="00B30263">
              <w:rPr>
                <w:sz w:val="20"/>
                <w:szCs w:val="20"/>
              </w:rPr>
              <w:t xml:space="preserve">Page </w:t>
            </w:r>
            <w:r w:rsidR="00CE2322" w:rsidRPr="00B30263">
              <w:rPr>
                <w:sz w:val="20"/>
                <w:szCs w:val="20"/>
              </w:rPr>
              <w:fldChar w:fldCharType="begin"/>
            </w:r>
            <w:r w:rsidRPr="00B30263">
              <w:rPr>
                <w:sz w:val="20"/>
                <w:szCs w:val="20"/>
              </w:rPr>
              <w:instrText xml:space="preserve"> PAGE </w:instrText>
            </w:r>
            <w:r w:rsidR="00CE2322" w:rsidRPr="00B30263">
              <w:rPr>
                <w:sz w:val="20"/>
                <w:szCs w:val="20"/>
              </w:rPr>
              <w:fldChar w:fldCharType="separate"/>
            </w:r>
            <w:r>
              <w:rPr>
                <w:noProof/>
                <w:sz w:val="20"/>
                <w:szCs w:val="20"/>
              </w:rPr>
              <w:t>6</w:t>
            </w:r>
            <w:r w:rsidR="00CE2322" w:rsidRPr="00B30263">
              <w:rPr>
                <w:sz w:val="20"/>
                <w:szCs w:val="20"/>
              </w:rPr>
              <w:fldChar w:fldCharType="end"/>
            </w:r>
            <w:r w:rsidRPr="00B30263">
              <w:rPr>
                <w:sz w:val="20"/>
                <w:szCs w:val="20"/>
              </w:rPr>
              <w:t xml:space="preserve"> of </w:t>
            </w:r>
            <w:r w:rsidR="00CE2322" w:rsidRPr="00B30263">
              <w:rPr>
                <w:sz w:val="20"/>
                <w:szCs w:val="20"/>
              </w:rPr>
              <w:fldChar w:fldCharType="begin"/>
            </w:r>
            <w:r w:rsidRPr="00B30263">
              <w:rPr>
                <w:sz w:val="20"/>
                <w:szCs w:val="20"/>
              </w:rPr>
              <w:instrText xml:space="preserve"> NUMPAGES  </w:instrText>
            </w:r>
            <w:r w:rsidR="00CE2322" w:rsidRPr="00B30263">
              <w:rPr>
                <w:sz w:val="20"/>
                <w:szCs w:val="20"/>
              </w:rPr>
              <w:fldChar w:fldCharType="separate"/>
            </w:r>
            <w:r w:rsidR="00097623">
              <w:rPr>
                <w:noProof/>
                <w:sz w:val="20"/>
                <w:szCs w:val="20"/>
              </w:rPr>
              <w:t>7</w:t>
            </w:r>
            <w:r w:rsidR="00CE2322" w:rsidRPr="00B30263">
              <w:rPr>
                <w:sz w:val="20"/>
                <w:szCs w:val="20"/>
              </w:rPr>
              <w:fldChar w:fldCharType="end"/>
            </w:r>
          </w:p>
        </w:sdtContent>
      </w:sdt>
    </w:sdtContent>
  </w:sdt>
  <w:p w:rsidR="00F20594" w:rsidRPr="00262FD7" w:rsidRDefault="00F20594" w:rsidP="00262FD7">
    <w:pPr>
      <w:pStyle w:val="Footer"/>
      <w:jc w:val="left"/>
      <w:rPr>
        <w:rFonts w:ascii="Bell MT" w:hAnsi="Bell M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6C0E" w:rsidRDefault="00896C0E" w:rsidP="001E195E">
      <w:r>
        <w:separator/>
      </w:r>
    </w:p>
  </w:footnote>
  <w:footnote w:type="continuationSeparator" w:id="0">
    <w:p w:rsidR="00896C0E" w:rsidRDefault="00896C0E" w:rsidP="001E195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06B29"/>
    <w:multiLevelType w:val="hybridMultilevel"/>
    <w:tmpl w:val="AD368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983D31"/>
    <w:multiLevelType w:val="hybridMultilevel"/>
    <w:tmpl w:val="8320E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F283E"/>
    <w:multiLevelType w:val="hybridMultilevel"/>
    <w:tmpl w:val="0EE23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2C7EF7"/>
    <w:multiLevelType w:val="hybridMultilevel"/>
    <w:tmpl w:val="2D4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26E4967"/>
    <w:multiLevelType w:val="hybridMultilevel"/>
    <w:tmpl w:val="614AE7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7586"/>
  </w:hdrShapeDefaults>
  <w:footnotePr>
    <w:footnote w:id="-1"/>
    <w:footnote w:id="0"/>
  </w:footnotePr>
  <w:endnotePr>
    <w:endnote w:id="-1"/>
    <w:endnote w:id="0"/>
  </w:endnotePr>
  <w:compat/>
  <w:rsids>
    <w:rsidRoot w:val="00DD59E9"/>
    <w:rsid w:val="00002B8D"/>
    <w:rsid w:val="00006EA1"/>
    <w:rsid w:val="00041B20"/>
    <w:rsid w:val="00060712"/>
    <w:rsid w:val="0006681D"/>
    <w:rsid w:val="00086079"/>
    <w:rsid w:val="00097623"/>
    <w:rsid w:val="000A5C13"/>
    <w:rsid w:val="000D6E2C"/>
    <w:rsid w:val="000F5E29"/>
    <w:rsid w:val="0011045F"/>
    <w:rsid w:val="001200BA"/>
    <w:rsid w:val="00120A4A"/>
    <w:rsid w:val="00120CF9"/>
    <w:rsid w:val="00123FBA"/>
    <w:rsid w:val="001246C3"/>
    <w:rsid w:val="00141039"/>
    <w:rsid w:val="001414B7"/>
    <w:rsid w:val="00153C34"/>
    <w:rsid w:val="00160C86"/>
    <w:rsid w:val="0016376E"/>
    <w:rsid w:val="00176444"/>
    <w:rsid w:val="00181FE8"/>
    <w:rsid w:val="00182551"/>
    <w:rsid w:val="00182EA1"/>
    <w:rsid w:val="001865A8"/>
    <w:rsid w:val="001959AD"/>
    <w:rsid w:val="001D73A7"/>
    <w:rsid w:val="001E195E"/>
    <w:rsid w:val="00210161"/>
    <w:rsid w:val="002242D1"/>
    <w:rsid w:val="00225B59"/>
    <w:rsid w:val="00262FD7"/>
    <w:rsid w:val="00263620"/>
    <w:rsid w:val="00266D1F"/>
    <w:rsid w:val="002700CC"/>
    <w:rsid w:val="00282431"/>
    <w:rsid w:val="002A4A29"/>
    <w:rsid w:val="002B1237"/>
    <w:rsid w:val="002B419C"/>
    <w:rsid w:val="002E5894"/>
    <w:rsid w:val="002E61EE"/>
    <w:rsid w:val="002F21D5"/>
    <w:rsid w:val="0032732D"/>
    <w:rsid w:val="00333FE5"/>
    <w:rsid w:val="003344EF"/>
    <w:rsid w:val="003654B8"/>
    <w:rsid w:val="0037029C"/>
    <w:rsid w:val="00376F72"/>
    <w:rsid w:val="00391493"/>
    <w:rsid w:val="003A0904"/>
    <w:rsid w:val="003A5518"/>
    <w:rsid w:val="003A5959"/>
    <w:rsid w:val="003C0629"/>
    <w:rsid w:val="003C0DFD"/>
    <w:rsid w:val="003C20C6"/>
    <w:rsid w:val="003C4CF3"/>
    <w:rsid w:val="003E4488"/>
    <w:rsid w:val="003F54F7"/>
    <w:rsid w:val="00433A35"/>
    <w:rsid w:val="0043526E"/>
    <w:rsid w:val="00436000"/>
    <w:rsid w:val="00455024"/>
    <w:rsid w:val="0047337D"/>
    <w:rsid w:val="00473499"/>
    <w:rsid w:val="0048246B"/>
    <w:rsid w:val="004903C6"/>
    <w:rsid w:val="0049238E"/>
    <w:rsid w:val="004A4F09"/>
    <w:rsid w:val="004C48F2"/>
    <w:rsid w:val="004E2F9F"/>
    <w:rsid w:val="004E5411"/>
    <w:rsid w:val="004F4715"/>
    <w:rsid w:val="004F4EEB"/>
    <w:rsid w:val="005024F2"/>
    <w:rsid w:val="00506833"/>
    <w:rsid w:val="00514B65"/>
    <w:rsid w:val="005156B3"/>
    <w:rsid w:val="005221E5"/>
    <w:rsid w:val="00540CCA"/>
    <w:rsid w:val="005641F2"/>
    <w:rsid w:val="00567CF8"/>
    <w:rsid w:val="00582209"/>
    <w:rsid w:val="005B33AF"/>
    <w:rsid w:val="005E5A0C"/>
    <w:rsid w:val="005F3C23"/>
    <w:rsid w:val="006132BA"/>
    <w:rsid w:val="006200A6"/>
    <w:rsid w:val="006407C5"/>
    <w:rsid w:val="006501E3"/>
    <w:rsid w:val="006619C3"/>
    <w:rsid w:val="00663E1A"/>
    <w:rsid w:val="00675469"/>
    <w:rsid w:val="00684024"/>
    <w:rsid w:val="00687EE9"/>
    <w:rsid w:val="006B2F32"/>
    <w:rsid w:val="006C47CB"/>
    <w:rsid w:val="006C6682"/>
    <w:rsid w:val="006D1878"/>
    <w:rsid w:val="006E6447"/>
    <w:rsid w:val="00711079"/>
    <w:rsid w:val="007140FF"/>
    <w:rsid w:val="00722AB5"/>
    <w:rsid w:val="00735C3B"/>
    <w:rsid w:val="0074024A"/>
    <w:rsid w:val="007438E7"/>
    <w:rsid w:val="00750F49"/>
    <w:rsid w:val="00750FCA"/>
    <w:rsid w:val="007709D2"/>
    <w:rsid w:val="007865C7"/>
    <w:rsid w:val="00794153"/>
    <w:rsid w:val="007B44D4"/>
    <w:rsid w:val="007C2C23"/>
    <w:rsid w:val="007D0747"/>
    <w:rsid w:val="007D6668"/>
    <w:rsid w:val="007E09F2"/>
    <w:rsid w:val="007E1590"/>
    <w:rsid w:val="007E273B"/>
    <w:rsid w:val="007E59B2"/>
    <w:rsid w:val="008063A2"/>
    <w:rsid w:val="00816CEB"/>
    <w:rsid w:val="00823A86"/>
    <w:rsid w:val="00841FB8"/>
    <w:rsid w:val="00861016"/>
    <w:rsid w:val="0087496E"/>
    <w:rsid w:val="00881757"/>
    <w:rsid w:val="008824DE"/>
    <w:rsid w:val="008852EA"/>
    <w:rsid w:val="00885BA6"/>
    <w:rsid w:val="0088759B"/>
    <w:rsid w:val="008965BD"/>
    <w:rsid w:val="00896C0E"/>
    <w:rsid w:val="00897E80"/>
    <w:rsid w:val="008C66AC"/>
    <w:rsid w:val="008C7E19"/>
    <w:rsid w:val="009154B0"/>
    <w:rsid w:val="009209EC"/>
    <w:rsid w:val="0093282B"/>
    <w:rsid w:val="00961C86"/>
    <w:rsid w:val="00974459"/>
    <w:rsid w:val="00977367"/>
    <w:rsid w:val="00986479"/>
    <w:rsid w:val="00990FAE"/>
    <w:rsid w:val="0099103E"/>
    <w:rsid w:val="00991CF4"/>
    <w:rsid w:val="00995CC3"/>
    <w:rsid w:val="00997C6E"/>
    <w:rsid w:val="009A718B"/>
    <w:rsid w:val="009B289B"/>
    <w:rsid w:val="009B4A8C"/>
    <w:rsid w:val="009E38D3"/>
    <w:rsid w:val="009E5684"/>
    <w:rsid w:val="00A2089D"/>
    <w:rsid w:val="00A5254A"/>
    <w:rsid w:val="00A54E26"/>
    <w:rsid w:val="00A63BD0"/>
    <w:rsid w:val="00A734E8"/>
    <w:rsid w:val="00A75770"/>
    <w:rsid w:val="00AA38B4"/>
    <w:rsid w:val="00AC0AC8"/>
    <w:rsid w:val="00AD0BAA"/>
    <w:rsid w:val="00B13612"/>
    <w:rsid w:val="00B30263"/>
    <w:rsid w:val="00B47D64"/>
    <w:rsid w:val="00B50E81"/>
    <w:rsid w:val="00B72012"/>
    <w:rsid w:val="00BA0D05"/>
    <w:rsid w:val="00BA10AB"/>
    <w:rsid w:val="00BA585D"/>
    <w:rsid w:val="00BA62DB"/>
    <w:rsid w:val="00BC645C"/>
    <w:rsid w:val="00BE099E"/>
    <w:rsid w:val="00BE1CF8"/>
    <w:rsid w:val="00BF7185"/>
    <w:rsid w:val="00C11D6E"/>
    <w:rsid w:val="00C2416D"/>
    <w:rsid w:val="00C70D8A"/>
    <w:rsid w:val="00C82BCF"/>
    <w:rsid w:val="00CC6FFF"/>
    <w:rsid w:val="00CD6EF0"/>
    <w:rsid w:val="00CE2322"/>
    <w:rsid w:val="00CE2757"/>
    <w:rsid w:val="00CF2469"/>
    <w:rsid w:val="00CF61BD"/>
    <w:rsid w:val="00D0358E"/>
    <w:rsid w:val="00D129BA"/>
    <w:rsid w:val="00D2534E"/>
    <w:rsid w:val="00D314A8"/>
    <w:rsid w:val="00D3601E"/>
    <w:rsid w:val="00D733F3"/>
    <w:rsid w:val="00DD59E9"/>
    <w:rsid w:val="00DD6C6E"/>
    <w:rsid w:val="00DE6C81"/>
    <w:rsid w:val="00DF05BA"/>
    <w:rsid w:val="00E046EC"/>
    <w:rsid w:val="00E06F3B"/>
    <w:rsid w:val="00E15B57"/>
    <w:rsid w:val="00E17498"/>
    <w:rsid w:val="00E3195F"/>
    <w:rsid w:val="00E33030"/>
    <w:rsid w:val="00E53556"/>
    <w:rsid w:val="00E56A25"/>
    <w:rsid w:val="00E62587"/>
    <w:rsid w:val="00E6468A"/>
    <w:rsid w:val="00E66D62"/>
    <w:rsid w:val="00E910D9"/>
    <w:rsid w:val="00EA712F"/>
    <w:rsid w:val="00EB0D2C"/>
    <w:rsid w:val="00EC37B0"/>
    <w:rsid w:val="00EC4B97"/>
    <w:rsid w:val="00EE4E5D"/>
    <w:rsid w:val="00EE58E4"/>
    <w:rsid w:val="00EE6C69"/>
    <w:rsid w:val="00F0562B"/>
    <w:rsid w:val="00F20594"/>
    <w:rsid w:val="00F224BA"/>
    <w:rsid w:val="00F2427B"/>
    <w:rsid w:val="00F24C17"/>
    <w:rsid w:val="00F972DD"/>
    <w:rsid w:val="00F97C16"/>
    <w:rsid w:val="00FD0C66"/>
    <w:rsid w:val="00FD4D88"/>
    <w:rsid w:val="00FD4F33"/>
    <w:rsid w:val="00FE5DEE"/>
    <w:rsid w:val="00FE7E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AB5"/>
  </w:style>
  <w:style w:type="paragraph" w:styleId="Heading1">
    <w:name w:val="heading 1"/>
    <w:basedOn w:val="Normal"/>
    <w:next w:val="Normal"/>
    <w:link w:val="Heading1Char"/>
    <w:uiPriority w:val="9"/>
    <w:qFormat/>
    <w:rsid w:val="0079415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415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159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E195E"/>
    <w:rPr>
      <w:sz w:val="20"/>
      <w:szCs w:val="20"/>
    </w:rPr>
  </w:style>
  <w:style w:type="character" w:customStyle="1" w:styleId="FootnoteTextChar">
    <w:name w:val="Footnote Text Char"/>
    <w:basedOn w:val="DefaultParagraphFont"/>
    <w:link w:val="FootnoteText"/>
    <w:uiPriority w:val="99"/>
    <w:semiHidden/>
    <w:rsid w:val="001E195E"/>
    <w:rPr>
      <w:sz w:val="20"/>
      <w:szCs w:val="20"/>
    </w:rPr>
  </w:style>
  <w:style w:type="character" w:styleId="FootnoteReference">
    <w:name w:val="footnote reference"/>
    <w:basedOn w:val="DefaultParagraphFont"/>
    <w:uiPriority w:val="99"/>
    <w:semiHidden/>
    <w:unhideWhenUsed/>
    <w:rsid w:val="001E195E"/>
    <w:rPr>
      <w:vertAlign w:val="superscript"/>
    </w:rPr>
  </w:style>
  <w:style w:type="character" w:customStyle="1" w:styleId="Heading1Char">
    <w:name w:val="Heading 1 Char"/>
    <w:basedOn w:val="DefaultParagraphFont"/>
    <w:link w:val="Heading1"/>
    <w:uiPriority w:val="9"/>
    <w:rsid w:val="0079415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415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A4F09"/>
    <w:pPr>
      <w:ind w:left="720"/>
      <w:contextualSpacing/>
    </w:pPr>
  </w:style>
  <w:style w:type="table" w:styleId="TableGrid">
    <w:name w:val="Table Grid"/>
    <w:basedOn w:val="TableNormal"/>
    <w:uiPriority w:val="59"/>
    <w:rsid w:val="00B50E8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7E1590"/>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7E1590"/>
    <w:rPr>
      <w:rFonts w:ascii="Tahoma" w:hAnsi="Tahoma" w:cs="Tahoma"/>
      <w:sz w:val="16"/>
      <w:szCs w:val="16"/>
    </w:rPr>
  </w:style>
  <w:style w:type="character" w:customStyle="1" w:styleId="BalloonTextChar">
    <w:name w:val="Balloon Text Char"/>
    <w:basedOn w:val="DefaultParagraphFont"/>
    <w:link w:val="BalloonText"/>
    <w:uiPriority w:val="99"/>
    <w:semiHidden/>
    <w:rsid w:val="007E1590"/>
    <w:rPr>
      <w:rFonts w:ascii="Tahoma" w:hAnsi="Tahoma" w:cs="Tahoma"/>
      <w:sz w:val="16"/>
      <w:szCs w:val="16"/>
    </w:rPr>
  </w:style>
  <w:style w:type="paragraph" w:styleId="Header">
    <w:name w:val="header"/>
    <w:basedOn w:val="Normal"/>
    <w:link w:val="HeaderChar"/>
    <w:uiPriority w:val="99"/>
    <w:semiHidden/>
    <w:unhideWhenUsed/>
    <w:rsid w:val="00262FD7"/>
    <w:pPr>
      <w:tabs>
        <w:tab w:val="center" w:pos="4680"/>
        <w:tab w:val="right" w:pos="9360"/>
      </w:tabs>
    </w:pPr>
  </w:style>
  <w:style w:type="character" w:customStyle="1" w:styleId="HeaderChar">
    <w:name w:val="Header Char"/>
    <w:basedOn w:val="DefaultParagraphFont"/>
    <w:link w:val="Header"/>
    <w:uiPriority w:val="99"/>
    <w:semiHidden/>
    <w:rsid w:val="00262FD7"/>
  </w:style>
  <w:style w:type="paragraph" w:styleId="Footer">
    <w:name w:val="footer"/>
    <w:basedOn w:val="Normal"/>
    <w:link w:val="FooterChar"/>
    <w:uiPriority w:val="99"/>
    <w:unhideWhenUsed/>
    <w:rsid w:val="00262FD7"/>
    <w:pPr>
      <w:tabs>
        <w:tab w:val="center" w:pos="4680"/>
        <w:tab w:val="right" w:pos="9360"/>
      </w:tabs>
    </w:pPr>
  </w:style>
  <w:style w:type="character" w:customStyle="1" w:styleId="FooterChar">
    <w:name w:val="Footer Char"/>
    <w:basedOn w:val="DefaultParagraphFont"/>
    <w:link w:val="Footer"/>
    <w:uiPriority w:val="99"/>
    <w:rsid w:val="00262FD7"/>
  </w:style>
  <w:style w:type="character" w:styleId="CommentReference">
    <w:name w:val="annotation reference"/>
    <w:basedOn w:val="DefaultParagraphFont"/>
    <w:uiPriority w:val="99"/>
    <w:semiHidden/>
    <w:unhideWhenUsed/>
    <w:rsid w:val="002B419C"/>
    <w:rPr>
      <w:sz w:val="16"/>
      <w:szCs w:val="16"/>
    </w:rPr>
  </w:style>
  <w:style w:type="paragraph" w:styleId="CommentText">
    <w:name w:val="annotation text"/>
    <w:basedOn w:val="Normal"/>
    <w:link w:val="CommentTextChar"/>
    <w:uiPriority w:val="99"/>
    <w:semiHidden/>
    <w:unhideWhenUsed/>
    <w:rsid w:val="002B419C"/>
    <w:rPr>
      <w:sz w:val="20"/>
      <w:szCs w:val="20"/>
    </w:rPr>
  </w:style>
  <w:style w:type="character" w:customStyle="1" w:styleId="CommentTextChar">
    <w:name w:val="Comment Text Char"/>
    <w:basedOn w:val="DefaultParagraphFont"/>
    <w:link w:val="CommentText"/>
    <w:uiPriority w:val="99"/>
    <w:semiHidden/>
    <w:rsid w:val="002B419C"/>
    <w:rPr>
      <w:sz w:val="20"/>
      <w:szCs w:val="20"/>
    </w:rPr>
  </w:style>
  <w:style w:type="paragraph" w:styleId="CommentSubject">
    <w:name w:val="annotation subject"/>
    <w:basedOn w:val="CommentText"/>
    <w:next w:val="CommentText"/>
    <w:link w:val="CommentSubjectChar"/>
    <w:uiPriority w:val="99"/>
    <w:semiHidden/>
    <w:unhideWhenUsed/>
    <w:rsid w:val="002B419C"/>
    <w:rPr>
      <w:b/>
      <w:bCs/>
    </w:rPr>
  </w:style>
  <w:style w:type="character" w:customStyle="1" w:styleId="CommentSubjectChar">
    <w:name w:val="Comment Subject Char"/>
    <w:basedOn w:val="CommentTextChar"/>
    <w:link w:val="CommentSubject"/>
    <w:uiPriority w:val="99"/>
    <w:semiHidden/>
    <w:rsid w:val="002B419C"/>
    <w:rPr>
      <w:b/>
      <w:bCs/>
    </w:rPr>
  </w:style>
  <w:style w:type="paragraph" w:styleId="Revision">
    <w:name w:val="Revision"/>
    <w:hidden/>
    <w:uiPriority w:val="99"/>
    <w:semiHidden/>
    <w:rsid w:val="002B419C"/>
    <w:pPr>
      <w:jc w:val="left"/>
    </w:pPr>
  </w:style>
</w:styles>
</file>

<file path=word/webSettings.xml><?xml version="1.0" encoding="utf-8"?>
<w:webSettings xmlns:r="http://schemas.openxmlformats.org/officeDocument/2006/relationships" xmlns:w="http://schemas.openxmlformats.org/wordprocessingml/2006/main">
  <w:divs>
    <w:div w:id="1931345">
      <w:bodyDiv w:val="1"/>
      <w:marLeft w:val="0"/>
      <w:marRight w:val="0"/>
      <w:marTop w:val="0"/>
      <w:marBottom w:val="0"/>
      <w:divBdr>
        <w:top w:val="none" w:sz="0" w:space="0" w:color="auto"/>
        <w:left w:val="none" w:sz="0" w:space="0" w:color="auto"/>
        <w:bottom w:val="none" w:sz="0" w:space="0" w:color="auto"/>
        <w:right w:val="none" w:sz="0" w:space="0" w:color="auto"/>
      </w:divBdr>
    </w:div>
    <w:div w:id="370959627">
      <w:bodyDiv w:val="1"/>
      <w:marLeft w:val="0"/>
      <w:marRight w:val="0"/>
      <w:marTop w:val="0"/>
      <w:marBottom w:val="0"/>
      <w:divBdr>
        <w:top w:val="none" w:sz="0" w:space="0" w:color="auto"/>
        <w:left w:val="none" w:sz="0" w:space="0" w:color="auto"/>
        <w:bottom w:val="none" w:sz="0" w:space="0" w:color="auto"/>
        <w:right w:val="none" w:sz="0" w:space="0" w:color="auto"/>
      </w:divBdr>
    </w:div>
    <w:div w:id="404112016">
      <w:bodyDiv w:val="1"/>
      <w:marLeft w:val="0"/>
      <w:marRight w:val="0"/>
      <w:marTop w:val="0"/>
      <w:marBottom w:val="0"/>
      <w:divBdr>
        <w:top w:val="none" w:sz="0" w:space="0" w:color="auto"/>
        <w:left w:val="none" w:sz="0" w:space="0" w:color="auto"/>
        <w:bottom w:val="none" w:sz="0" w:space="0" w:color="auto"/>
        <w:right w:val="none" w:sz="0" w:space="0" w:color="auto"/>
      </w:divBdr>
    </w:div>
    <w:div w:id="914514200">
      <w:bodyDiv w:val="1"/>
      <w:marLeft w:val="0"/>
      <w:marRight w:val="0"/>
      <w:marTop w:val="0"/>
      <w:marBottom w:val="0"/>
      <w:divBdr>
        <w:top w:val="none" w:sz="0" w:space="0" w:color="auto"/>
        <w:left w:val="none" w:sz="0" w:space="0" w:color="auto"/>
        <w:bottom w:val="none" w:sz="0" w:space="0" w:color="auto"/>
        <w:right w:val="none" w:sz="0" w:space="0" w:color="auto"/>
      </w:divBdr>
    </w:div>
    <w:div w:id="1178616653">
      <w:bodyDiv w:val="1"/>
      <w:marLeft w:val="0"/>
      <w:marRight w:val="0"/>
      <w:marTop w:val="0"/>
      <w:marBottom w:val="0"/>
      <w:divBdr>
        <w:top w:val="none" w:sz="0" w:space="0" w:color="auto"/>
        <w:left w:val="none" w:sz="0" w:space="0" w:color="auto"/>
        <w:bottom w:val="none" w:sz="0" w:space="0" w:color="auto"/>
        <w:right w:val="none" w:sz="0" w:space="0" w:color="auto"/>
      </w:divBdr>
    </w:div>
    <w:div w:id="1774932770">
      <w:bodyDiv w:val="1"/>
      <w:marLeft w:val="0"/>
      <w:marRight w:val="0"/>
      <w:marTop w:val="0"/>
      <w:marBottom w:val="0"/>
      <w:divBdr>
        <w:top w:val="none" w:sz="0" w:space="0" w:color="auto"/>
        <w:left w:val="none" w:sz="0" w:space="0" w:color="auto"/>
        <w:bottom w:val="none" w:sz="0" w:space="0" w:color="auto"/>
        <w:right w:val="none" w:sz="0" w:space="0" w:color="auto"/>
      </w:divBdr>
    </w:div>
    <w:div w:id="1779713307">
      <w:bodyDiv w:val="1"/>
      <w:marLeft w:val="0"/>
      <w:marRight w:val="0"/>
      <w:marTop w:val="0"/>
      <w:marBottom w:val="0"/>
      <w:divBdr>
        <w:top w:val="none" w:sz="0" w:space="0" w:color="auto"/>
        <w:left w:val="none" w:sz="0" w:space="0" w:color="auto"/>
        <w:bottom w:val="none" w:sz="0" w:space="0" w:color="auto"/>
        <w:right w:val="none" w:sz="0" w:space="0" w:color="auto"/>
      </w:divBdr>
    </w:div>
    <w:div w:id="1805729048">
      <w:bodyDiv w:val="1"/>
      <w:marLeft w:val="0"/>
      <w:marRight w:val="0"/>
      <w:marTop w:val="0"/>
      <w:marBottom w:val="0"/>
      <w:divBdr>
        <w:top w:val="none" w:sz="0" w:space="0" w:color="auto"/>
        <w:left w:val="none" w:sz="0" w:space="0" w:color="auto"/>
        <w:bottom w:val="none" w:sz="0" w:space="0" w:color="auto"/>
        <w:right w:val="none" w:sz="0" w:space="0" w:color="auto"/>
      </w:divBdr>
    </w:div>
    <w:div w:id="2005818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068C5-E66D-4FE4-B632-5BAD2017A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1898</Words>
  <Characters>10825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Tiffany Lutterman Busby</dc:creator>
  <cp:lastModifiedBy>Marcy Policastro</cp:lastModifiedBy>
  <cp:revision>6</cp:revision>
  <cp:lastPrinted>2011-06-10T16:22:00Z</cp:lastPrinted>
  <dcterms:created xsi:type="dcterms:W3CDTF">2011-05-31T14:20:00Z</dcterms:created>
  <dcterms:modified xsi:type="dcterms:W3CDTF">2011-06-10T16:34:00Z</dcterms:modified>
</cp:coreProperties>
</file>