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54" w:rsidRPr="0092400F" w:rsidRDefault="00C910BA"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Proposed Approach for the </w:t>
      </w:r>
      <w:r w:rsidR="00DC7F9B">
        <w:rPr>
          <w:rFonts w:ascii="Times New Roman" w:hAnsi="Times New Roman" w:cs="Times New Roman"/>
          <w:b/>
          <w:sz w:val="28"/>
          <w:szCs w:val="28"/>
        </w:rPr>
        <w:t xml:space="preserve">North </w:t>
      </w:r>
      <w:r w:rsidR="00E45E77">
        <w:rPr>
          <w:rFonts w:ascii="Times New Roman" w:hAnsi="Times New Roman" w:cs="Times New Roman"/>
          <w:b/>
          <w:sz w:val="28"/>
          <w:szCs w:val="28"/>
        </w:rPr>
        <w:t xml:space="preserve">Indian River Lagoon (IRL) </w:t>
      </w:r>
    </w:p>
    <w:p w:rsidR="00F15A8B"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Basin Management Action Plan (</w:t>
      </w:r>
      <w:r w:rsidR="00C910BA" w:rsidRPr="0092400F">
        <w:rPr>
          <w:rFonts w:ascii="Times New Roman" w:hAnsi="Times New Roman" w:cs="Times New Roman"/>
          <w:b/>
          <w:sz w:val="28"/>
          <w:szCs w:val="28"/>
        </w:rPr>
        <w:t>BMAP</w:t>
      </w:r>
      <w:r w:rsidRPr="0092400F">
        <w:rPr>
          <w:rFonts w:ascii="Times New Roman" w:hAnsi="Times New Roman" w:cs="Times New Roman"/>
          <w:b/>
          <w:sz w:val="28"/>
          <w:szCs w:val="28"/>
        </w:rPr>
        <w:t>)</w:t>
      </w:r>
      <w:r w:rsidR="00C910BA" w:rsidRPr="0092400F">
        <w:rPr>
          <w:rFonts w:ascii="Times New Roman" w:hAnsi="Times New Roman" w:cs="Times New Roman"/>
          <w:b/>
          <w:sz w:val="28"/>
          <w:szCs w:val="28"/>
        </w:rPr>
        <w:t xml:space="preserve"> </w:t>
      </w:r>
      <w:r w:rsidR="00E45E77" w:rsidRPr="0092400F">
        <w:rPr>
          <w:rFonts w:ascii="Times New Roman" w:hAnsi="Times New Roman" w:cs="Times New Roman"/>
          <w:b/>
          <w:sz w:val="28"/>
          <w:szCs w:val="28"/>
        </w:rPr>
        <w:t>Monitoring Plan</w:t>
      </w:r>
    </w:p>
    <w:p w:rsidR="00C910BA" w:rsidRPr="0092400F" w:rsidRDefault="00075CAF" w:rsidP="00C910BA">
      <w:pPr>
        <w:jc w:val="center"/>
        <w:rPr>
          <w:rFonts w:ascii="Times New Roman" w:hAnsi="Times New Roman" w:cs="Times New Roman"/>
          <w:b/>
          <w:sz w:val="28"/>
          <w:szCs w:val="28"/>
        </w:rPr>
      </w:pPr>
      <w:r>
        <w:rPr>
          <w:rFonts w:ascii="Times New Roman" w:hAnsi="Times New Roman" w:cs="Times New Roman"/>
          <w:b/>
          <w:sz w:val="28"/>
          <w:szCs w:val="28"/>
        </w:rPr>
        <w:t>April 2</w:t>
      </w:r>
      <w:r w:rsidR="00DC7F9B">
        <w:rPr>
          <w:rFonts w:ascii="Times New Roman" w:hAnsi="Times New Roman" w:cs="Times New Roman"/>
          <w:b/>
          <w:sz w:val="28"/>
          <w:szCs w:val="28"/>
        </w:rPr>
        <w:t>6</w:t>
      </w:r>
      <w:r w:rsidR="00C910BA" w:rsidRPr="0092400F">
        <w:rPr>
          <w:rFonts w:ascii="Times New Roman" w:hAnsi="Times New Roman" w:cs="Times New Roman"/>
          <w:b/>
          <w:sz w:val="28"/>
          <w:szCs w:val="28"/>
        </w:rPr>
        <w:t>, 2012</w:t>
      </w:r>
    </w:p>
    <w:p w:rsidR="00C910BA" w:rsidRDefault="00C910BA" w:rsidP="00C910BA">
      <w:pPr>
        <w:jc w:val="both"/>
        <w:rPr>
          <w:rFonts w:ascii="Times New Roman" w:hAnsi="Times New Roman" w:cs="Times New Roman"/>
          <w:sz w:val="24"/>
          <w:szCs w:val="24"/>
        </w:rPr>
      </w:pPr>
    </w:p>
    <w:p w:rsidR="00C910BA" w:rsidRDefault="00C910BA" w:rsidP="00C910BA">
      <w:pPr>
        <w:jc w:val="both"/>
        <w:rPr>
          <w:rFonts w:ascii="Times New Roman" w:hAnsi="Times New Roman" w:cs="Times New Roman"/>
          <w:sz w:val="24"/>
          <w:szCs w:val="24"/>
        </w:rPr>
      </w:pPr>
      <w:r>
        <w:rPr>
          <w:rFonts w:ascii="Times New Roman" w:hAnsi="Times New Roman" w:cs="Times New Roman"/>
          <w:sz w:val="24"/>
          <w:szCs w:val="24"/>
        </w:rPr>
        <w:t xml:space="preserve">The following outlines a proposed approach to framing the monitoring plans for the </w:t>
      </w:r>
      <w:r w:rsidR="00DC7F9B">
        <w:rPr>
          <w:rFonts w:ascii="Times New Roman" w:hAnsi="Times New Roman" w:cs="Times New Roman"/>
          <w:sz w:val="24"/>
          <w:szCs w:val="24"/>
        </w:rPr>
        <w:t>North</w:t>
      </w:r>
      <w:r w:rsidR="00E45E77">
        <w:rPr>
          <w:rFonts w:ascii="Times New Roman" w:hAnsi="Times New Roman" w:cs="Times New Roman"/>
          <w:sz w:val="24"/>
          <w:szCs w:val="24"/>
        </w:rPr>
        <w:t xml:space="preserve"> </w:t>
      </w:r>
      <w:r>
        <w:rPr>
          <w:rFonts w:ascii="Times New Roman" w:hAnsi="Times New Roman" w:cs="Times New Roman"/>
          <w:sz w:val="24"/>
          <w:szCs w:val="24"/>
        </w:rPr>
        <w:t xml:space="preserve">IRL BMAP to track trends in seagrass to measure progress towards the </w:t>
      </w:r>
      <w:r w:rsidR="00CA5485">
        <w:rPr>
          <w:rFonts w:ascii="Times New Roman" w:hAnsi="Times New Roman" w:cs="Times New Roman"/>
          <w:sz w:val="24"/>
          <w:szCs w:val="24"/>
        </w:rPr>
        <w:t>total maximum daily load (</w:t>
      </w:r>
      <w:r>
        <w:rPr>
          <w:rFonts w:ascii="Times New Roman" w:hAnsi="Times New Roman" w:cs="Times New Roman"/>
          <w:sz w:val="24"/>
          <w:szCs w:val="24"/>
        </w:rPr>
        <w:t>TMDL</w:t>
      </w:r>
      <w:r w:rsidR="00CA5485">
        <w:rPr>
          <w:rFonts w:ascii="Times New Roman" w:hAnsi="Times New Roman" w:cs="Times New Roman"/>
          <w:sz w:val="24"/>
          <w:szCs w:val="24"/>
        </w:rPr>
        <w:t>)</w:t>
      </w:r>
      <w:r>
        <w:rPr>
          <w:rFonts w:ascii="Times New Roman" w:hAnsi="Times New Roman" w:cs="Times New Roman"/>
          <w:sz w:val="24"/>
          <w:szCs w:val="24"/>
        </w:rPr>
        <w:t xml:space="preserve"> targets while gathering additional data about water quality dynamics in the basin.</w:t>
      </w:r>
    </w:p>
    <w:p w:rsidR="00C910BA" w:rsidRDefault="00C910BA" w:rsidP="00C910BA">
      <w:pPr>
        <w:jc w:val="both"/>
        <w:rPr>
          <w:rFonts w:ascii="Times New Roman" w:hAnsi="Times New Roman" w:cs="Times New Roman"/>
          <w:sz w:val="24"/>
          <w:szCs w:val="24"/>
        </w:rPr>
      </w:pPr>
    </w:p>
    <w:p w:rsidR="00423B54" w:rsidRPr="00423B54" w:rsidRDefault="00423B54" w:rsidP="00C910BA">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 xml:space="preserve">Structure of the Monitoring Plan </w:t>
      </w:r>
    </w:p>
    <w:p w:rsidR="00423B54" w:rsidRDefault="00CA5485" w:rsidP="00C910BA">
      <w:pPr>
        <w:jc w:val="both"/>
        <w:rPr>
          <w:rFonts w:ascii="Times New Roman" w:hAnsi="Times New Roman" w:cs="Times New Roman"/>
          <w:sz w:val="24"/>
          <w:szCs w:val="24"/>
        </w:rPr>
      </w:pPr>
      <w:r>
        <w:rPr>
          <w:rFonts w:ascii="Times New Roman" w:hAnsi="Times New Roman" w:cs="Times New Roman"/>
          <w:sz w:val="24"/>
          <w:szCs w:val="24"/>
        </w:rPr>
        <w:t>The proposed monitoring plan structure would be to divide the monitoring into the following three levels:</w:t>
      </w:r>
    </w:p>
    <w:p w:rsidR="00C910BA" w:rsidRPr="00CA5485" w:rsidRDefault="00C910BA" w:rsidP="00C910BA">
      <w:pPr>
        <w:pStyle w:val="ListParagraph"/>
        <w:numPr>
          <w:ilvl w:val="0"/>
          <w:numId w:val="1"/>
        </w:numPr>
        <w:jc w:val="both"/>
        <w:rPr>
          <w:rFonts w:ascii="Times New Roman" w:hAnsi="Times New Roman" w:cs="Times New Roman"/>
          <w:sz w:val="24"/>
          <w:szCs w:val="24"/>
        </w:rPr>
      </w:pPr>
      <w:r w:rsidRPr="00CA5485">
        <w:rPr>
          <w:rFonts w:ascii="Times New Roman" w:hAnsi="Times New Roman" w:cs="Times New Roman"/>
          <w:b/>
          <w:i/>
          <w:sz w:val="24"/>
          <w:szCs w:val="24"/>
        </w:rPr>
        <w:t>Primary Monitoring</w:t>
      </w:r>
      <w:r w:rsidR="00CA5485" w:rsidRPr="00CA5485">
        <w:rPr>
          <w:rFonts w:ascii="Times New Roman" w:hAnsi="Times New Roman" w:cs="Times New Roman"/>
          <w:sz w:val="24"/>
          <w:szCs w:val="24"/>
        </w:rPr>
        <w:t xml:space="preserve"> – The purpose of the primary monitoring would be to assess progress towards the TMDL seagrass depth limit targets through the flyover mapping and aerial photography interpretation.  This information is required to determine compliance with the TMDLs.</w:t>
      </w:r>
    </w:p>
    <w:p w:rsidR="00C910BA" w:rsidRPr="00CA5485" w:rsidRDefault="00C910BA" w:rsidP="00CA5485">
      <w:pPr>
        <w:pStyle w:val="ListParagraph"/>
        <w:numPr>
          <w:ilvl w:val="0"/>
          <w:numId w:val="1"/>
        </w:numPr>
        <w:jc w:val="both"/>
        <w:rPr>
          <w:rFonts w:ascii="Times New Roman" w:hAnsi="Times New Roman" w:cs="Times New Roman"/>
          <w:b/>
          <w:i/>
          <w:sz w:val="24"/>
          <w:szCs w:val="24"/>
        </w:rPr>
      </w:pPr>
      <w:r w:rsidRPr="00CA5485">
        <w:rPr>
          <w:rFonts w:ascii="Times New Roman" w:hAnsi="Times New Roman" w:cs="Times New Roman"/>
          <w:b/>
          <w:i/>
          <w:sz w:val="24"/>
          <w:szCs w:val="24"/>
        </w:rPr>
        <w:t>Secondary Monitoring</w:t>
      </w:r>
      <w:r w:rsidR="00CA5485">
        <w:rPr>
          <w:rFonts w:ascii="Times New Roman" w:hAnsi="Times New Roman" w:cs="Times New Roman"/>
          <w:sz w:val="24"/>
          <w:szCs w:val="24"/>
        </w:rPr>
        <w:t xml:space="preserve"> – The purpose of the secondary monitoring would be to assess water quality trends in the lagoon and tributaries</w:t>
      </w:r>
      <w:r w:rsidR="00903FEB">
        <w:rPr>
          <w:rFonts w:ascii="Times New Roman" w:hAnsi="Times New Roman" w:cs="Times New Roman"/>
          <w:sz w:val="24"/>
          <w:szCs w:val="24"/>
        </w:rPr>
        <w:t xml:space="preserve"> to determine if watershed nutrient loading is decreasing resulting in improved lagoon water quality, which will allow seagrass to grow to target depths.</w:t>
      </w:r>
    </w:p>
    <w:p w:rsidR="00BD7A2C" w:rsidRDefault="00903FEB" w:rsidP="00C910BA">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Pr>
          <w:rFonts w:ascii="Times New Roman" w:hAnsi="Times New Roman" w:cs="Times New Roman"/>
          <w:sz w:val="24"/>
          <w:szCs w:val="24"/>
        </w:rPr>
        <w:t xml:space="preserve"> – The purpose of the tertiary monitoring is to better understand the cause and effect relationships in watershed loading, lagoon water quality, and seagrass depths.</w:t>
      </w:r>
    </w:p>
    <w:p w:rsidR="00BD7A2C" w:rsidRDefault="00BD7A2C" w:rsidP="00BD7A2C">
      <w:pPr>
        <w:jc w:val="both"/>
        <w:rPr>
          <w:rFonts w:ascii="Times New Roman" w:hAnsi="Times New Roman" w:cs="Times New Roman"/>
          <w:sz w:val="24"/>
          <w:szCs w:val="24"/>
        </w:rPr>
      </w:pPr>
    </w:p>
    <w:p w:rsidR="00423B54" w:rsidRPr="00423B54" w:rsidRDefault="007F3EEF" w:rsidP="00423B54">
      <w:pPr>
        <w:jc w:val="both"/>
        <w:rPr>
          <w:rFonts w:ascii="Times New Roman" w:hAnsi="Times New Roman" w:cs="Times New Roman"/>
          <w:b/>
          <w:sz w:val="24"/>
          <w:szCs w:val="24"/>
          <w:u w:val="single"/>
        </w:rPr>
      </w:pPr>
      <w:r>
        <w:rPr>
          <w:rFonts w:ascii="Times New Roman" w:hAnsi="Times New Roman" w:cs="Times New Roman"/>
          <w:b/>
          <w:sz w:val="24"/>
          <w:szCs w:val="24"/>
          <w:u w:val="single"/>
        </w:rPr>
        <w:t>Primary Monitoring</w:t>
      </w:r>
    </w:p>
    <w:p w:rsidR="00423B54" w:rsidRDefault="007F3EEF" w:rsidP="00903FEB">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00CA5485" w:rsidRPr="00903FEB">
        <w:rPr>
          <w:rFonts w:ascii="Times New Roman" w:hAnsi="Times New Roman" w:cs="Times New Roman"/>
          <w:sz w:val="24"/>
          <w:szCs w:val="24"/>
        </w:rPr>
        <w:t xml:space="preserve"> – Track seagrass depth limit extent responses to BMAP implementation.</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Parameters</w:t>
      </w:r>
      <w:r>
        <w:rPr>
          <w:rFonts w:ascii="Times New Roman" w:hAnsi="Times New Roman" w:cs="Times New Roman"/>
          <w:sz w:val="24"/>
          <w:szCs w:val="24"/>
        </w:rPr>
        <w:t xml:space="preserve"> – Seagrass depth limits by project zone, which are identified through the flyover mapping and aerial photography interpretation.</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Frequency</w:t>
      </w:r>
      <w:r>
        <w:rPr>
          <w:rFonts w:ascii="Times New Roman" w:hAnsi="Times New Roman" w:cs="Times New Roman"/>
          <w:sz w:val="24"/>
          <w:szCs w:val="24"/>
        </w:rPr>
        <w:t xml:space="preserve"> – Seagrass mapping is proposed for</w:t>
      </w:r>
      <w:r>
        <w:rPr>
          <w:rFonts w:ascii="Times New Roman" w:hAnsi="Times New Roman" w:cs="Times New Roman"/>
          <w:color w:val="FF0000"/>
          <w:sz w:val="24"/>
          <w:szCs w:val="24"/>
        </w:rPr>
        <w:t xml:space="preserve"> </w:t>
      </w:r>
      <w:r w:rsidRPr="00F82843">
        <w:rPr>
          <w:rFonts w:ascii="Times New Roman" w:hAnsi="Times New Roman" w:cs="Times New Roman"/>
          <w:sz w:val="24"/>
          <w:szCs w:val="24"/>
        </w:rPr>
        <w:t xml:space="preserve">every </w:t>
      </w:r>
      <w:r>
        <w:rPr>
          <w:rFonts w:ascii="Times New Roman" w:hAnsi="Times New Roman" w:cs="Times New Roman"/>
          <w:sz w:val="24"/>
          <w:szCs w:val="24"/>
        </w:rPr>
        <w:t>two years.</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Funding</w:t>
      </w:r>
      <w:r>
        <w:rPr>
          <w:rFonts w:ascii="Times New Roman" w:hAnsi="Times New Roman" w:cs="Times New Roman"/>
          <w:sz w:val="24"/>
          <w:szCs w:val="24"/>
        </w:rPr>
        <w:t xml:space="preserve"> </w:t>
      </w:r>
      <w:r w:rsidRPr="00F71840">
        <w:rPr>
          <w:rFonts w:ascii="Times New Roman" w:hAnsi="Times New Roman" w:cs="Times New Roman"/>
          <w:sz w:val="24"/>
          <w:szCs w:val="24"/>
        </w:rPr>
        <w:t xml:space="preserve">– </w:t>
      </w:r>
      <w:r>
        <w:rPr>
          <w:rFonts w:ascii="Times New Roman" w:hAnsi="Times New Roman" w:cs="Times New Roman"/>
          <w:sz w:val="24"/>
          <w:szCs w:val="24"/>
        </w:rPr>
        <w:t>The Florida Department of Environmental Protection (</w:t>
      </w:r>
      <w:r w:rsidRPr="00F71840">
        <w:rPr>
          <w:rFonts w:ascii="Times New Roman" w:hAnsi="Times New Roman" w:cs="Times New Roman"/>
          <w:sz w:val="24"/>
          <w:szCs w:val="24"/>
        </w:rPr>
        <w:t>FDEP</w:t>
      </w:r>
      <w:r>
        <w:rPr>
          <w:rFonts w:ascii="Times New Roman" w:hAnsi="Times New Roman" w:cs="Times New Roman"/>
          <w:sz w:val="24"/>
          <w:szCs w:val="24"/>
        </w:rPr>
        <w:t>), in conjunction with the St. Johns River Water Management District (SJRWMD),</w:t>
      </w:r>
      <w:r w:rsidRPr="00F71840">
        <w:rPr>
          <w:rFonts w:ascii="Times New Roman" w:hAnsi="Times New Roman" w:cs="Times New Roman"/>
          <w:sz w:val="24"/>
          <w:szCs w:val="24"/>
        </w:rPr>
        <w:t xml:space="preserve"> is taking the lead on funding </w:t>
      </w:r>
      <w:r w:rsidR="00E75B89">
        <w:rPr>
          <w:rFonts w:ascii="Times New Roman" w:hAnsi="Times New Roman" w:cs="Times New Roman"/>
          <w:sz w:val="24"/>
          <w:szCs w:val="24"/>
        </w:rPr>
        <w:t xml:space="preserve">and conducting </w:t>
      </w:r>
      <w:r>
        <w:rPr>
          <w:rFonts w:ascii="Times New Roman" w:hAnsi="Times New Roman" w:cs="Times New Roman"/>
          <w:sz w:val="24"/>
          <w:szCs w:val="24"/>
        </w:rPr>
        <w:t>the flyover</w:t>
      </w:r>
      <w:r w:rsidR="00E45E77">
        <w:rPr>
          <w:rFonts w:ascii="Times New Roman" w:hAnsi="Times New Roman" w:cs="Times New Roman"/>
          <w:sz w:val="24"/>
          <w:szCs w:val="24"/>
        </w:rPr>
        <w:t>s</w:t>
      </w:r>
      <w:r>
        <w:rPr>
          <w:rFonts w:ascii="Times New Roman" w:hAnsi="Times New Roman" w:cs="Times New Roman"/>
          <w:sz w:val="24"/>
          <w:szCs w:val="24"/>
        </w:rPr>
        <w:t xml:space="preserve"> and mapping.</w:t>
      </w:r>
    </w:p>
    <w:p w:rsidR="007F3EEF" w:rsidRDefault="007F3EEF" w:rsidP="007F3EEF">
      <w:pPr>
        <w:jc w:val="both"/>
        <w:rPr>
          <w:rFonts w:ascii="Times New Roman" w:hAnsi="Times New Roman" w:cs="Times New Roman"/>
          <w:sz w:val="24"/>
          <w:szCs w:val="24"/>
        </w:rPr>
      </w:pPr>
    </w:p>
    <w:p w:rsidR="007F3EEF" w:rsidRPr="007F3EEF" w:rsidRDefault="007F3EEF" w:rsidP="007F3EEF">
      <w:pPr>
        <w:jc w:val="both"/>
        <w:rPr>
          <w:rFonts w:ascii="Times New Roman" w:hAnsi="Times New Roman" w:cs="Times New Roman"/>
          <w:b/>
          <w:sz w:val="24"/>
          <w:szCs w:val="24"/>
          <w:u w:val="single"/>
        </w:rPr>
      </w:pPr>
      <w:r w:rsidRPr="007F3EEF">
        <w:rPr>
          <w:rFonts w:ascii="Times New Roman" w:hAnsi="Times New Roman" w:cs="Times New Roman"/>
          <w:b/>
          <w:sz w:val="24"/>
          <w:szCs w:val="24"/>
          <w:u w:val="single"/>
        </w:rPr>
        <w:t>Secondary Monitoring</w:t>
      </w:r>
    </w:p>
    <w:p w:rsidR="00CA5485" w:rsidRPr="00903FEB" w:rsidRDefault="007F3EEF" w:rsidP="00903FEB">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00CA5485" w:rsidRPr="00903FEB">
        <w:rPr>
          <w:rFonts w:ascii="Times New Roman" w:hAnsi="Times New Roman" w:cs="Times New Roman"/>
          <w:sz w:val="24"/>
          <w:szCs w:val="24"/>
        </w:rPr>
        <w:t xml:space="preserve"> – Track trends in ambient water quality in the lagoon and tributaries.</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 xml:space="preserve">Frequency </w:t>
      </w:r>
      <w:r>
        <w:rPr>
          <w:rFonts w:ascii="Times New Roman" w:hAnsi="Times New Roman" w:cs="Times New Roman"/>
          <w:sz w:val="24"/>
          <w:szCs w:val="24"/>
        </w:rPr>
        <w:t>– The ideal sampling frequency would be biweekly and the minimum sampling frequency would be monthly.</w:t>
      </w:r>
    </w:p>
    <w:p w:rsidR="00195558" w:rsidRDefault="00195558" w:rsidP="00195558">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Proposed monitoring network</w:t>
      </w:r>
      <w:r>
        <w:rPr>
          <w:rFonts w:ascii="Times New Roman" w:hAnsi="Times New Roman" w:cs="Times New Roman"/>
          <w:sz w:val="24"/>
          <w:szCs w:val="24"/>
        </w:rPr>
        <w:t xml:space="preserve"> – </w:t>
      </w:r>
      <w:r w:rsidRPr="007F3EEF">
        <w:rPr>
          <w:rFonts w:ascii="Times New Roman" w:hAnsi="Times New Roman" w:cs="Times New Roman"/>
          <w:sz w:val="24"/>
          <w:szCs w:val="24"/>
        </w:rPr>
        <w:t xml:space="preserve">The SJRWMD will continue to </w:t>
      </w:r>
      <w:r>
        <w:rPr>
          <w:rFonts w:ascii="Times New Roman" w:hAnsi="Times New Roman" w:cs="Times New Roman"/>
          <w:sz w:val="24"/>
          <w:szCs w:val="24"/>
        </w:rPr>
        <w:t>monitor</w:t>
      </w:r>
      <w:r w:rsidRPr="007F3EEF">
        <w:rPr>
          <w:rFonts w:ascii="Times New Roman" w:hAnsi="Times New Roman" w:cs="Times New Roman"/>
          <w:sz w:val="24"/>
          <w:szCs w:val="24"/>
        </w:rPr>
        <w:t xml:space="preserve"> their existing monthly sampling stations in the basin.  Additional tributary monitoring stations and additional frequency to biweekly </w:t>
      </w:r>
      <w:r>
        <w:rPr>
          <w:rFonts w:ascii="Times New Roman" w:hAnsi="Times New Roman" w:cs="Times New Roman"/>
          <w:sz w:val="24"/>
          <w:szCs w:val="24"/>
        </w:rPr>
        <w:t>could be added, if the stakeholders choose to fund these efforts.  The proposed secondary monitoring network would be made up of the following stations:</w:t>
      </w:r>
    </w:p>
    <w:p w:rsidR="00195558" w:rsidRDefault="00DC7F9B" w:rsidP="00195558">
      <w:pPr>
        <w:pStyle w:val="ListParagraph"/>
        <w:numPr>
          <w:ilvl w:val="1"/>
          <w:numId w:val="2"/>
        </w:numPr>
        <w:jc w:val="both"/>
        <w:rPr>
          <w:rFonts w:ascii="Times New Roman" w:hAnsi="Times New Roman" w:cs="Times New Roman"/>
          <w:sz w:val="24"/>
          <w:szCs w:val="24"/>
        </w:rPr>
      </w:pPr>
      <w:proofErr w:type="gramStart"/>
      <w:r>
        <w:rPr>
          <w:rFonts w:ascii="Times New Roman" w:hAnsi="Times New Roman" w:cs="Times New Roman"/>
          <w:sz w:val="24"/>
          <w:szCs w:val="24"/>
        </w:rPr>
        <w:t>North</w:t>
      </w:r>
      <w:r w:rsidR="00195558">
        <w:rPr>
          <w:rFonts w:ascii="Times New Roman" w:hAnsi="Times New Roman" w:cs="Times New Roman"/>
          <w:sz w:val="24"/>
          <w:szCs w:val="24"/>
        </w:rPr>
        <w:t xml:space="preserve"> A – </w:t>
      </w:r>
      <w:r>
        <w:rPr>
          <w:rFonts w:ascii="Times New Roman" w:hAnsi="Times New Roman" w:cs="Times New Roman"/>
          <w:sz w:val="24"/>
          <w:szCs w:val="24"/>
        </w:rPr>
        <w:t>Six</w:t>
      </w:r>
      <w:r w:rsidR="00195558">
        <w:rPr>
          <w:rFonts w:ascii="Times New Roman" w:hAnsi="Times New Roman" w:cs="Times New Roman"/>
          <w:sz w:val="24"/>
          <w:szCs w:val="24"/>
        </w:rPr>
        <w:t xml:space="preserve"> existing SJRWMD monthly stations that are proposed for biweekly </w:t>
      </w:r>
      <w:r w:rsidR="00E45E77">
        <w:rPr>
          <w:rFonts w:ascii="Times New Roman" w:hAnsi="Times New Roman" w:cs="Times New Roman"/>
          <w:sz w:val="24"/>
          <w:szCs w:val="24"/>
        </w:rPr>
        <w:t>sampling</w:t>
      </w:r>
      <w:r w:rsidR="00195558">
        <w:rPr>
          <w:rFonts w:ascii="Times New Roman" w:hAnsi="Times New Roman" w:cs="Times New Roman"/>
          <w:sz w:val="24"/>
          <w:szCs w:val="24"/>
        </w:rPr>
        <w:t>.</w:t>
      </w:r>
      <w:proofErr w:type="gramEnd"/>
    </w:p>
    <w:p w:rsidR="00195558" w:rsidRDefault="00DC7F9B" w:rsidP="0019555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North </w:t>
      </w:r>
      <w:r w:rsidR="00195558">
        <w:rPr>
          <w:rFonts w:ascii="Times New Roman" w:hAnsi="Times New Roman" w:cs="Times New Roman"/>
          <w:sz w:val="24"/>
          <w:szCs w:val="24"/>
        </w:rPr>
        <w:t xml:space="preserve">B – </w:t>
      </w:r>
      <w:r>
        <w:rPr>
          <w:rFonts w:ascii="Times New Roman" w:hAnsi="Times New Roman" w:cs="Times New Roman"/>
          <w:sz w:val="24"/>
          <w:szCs w:val="24"/>
        </w:rPr>
        <w:t xml:space="preserve">Seven </w:t>
      </w:r>
      <w:r w:rsidR="00195558">
        <w:rPr>
          <w:rFonts w:ascii="Times New Roman" w:hAnsi="Times New Roman" w:cs="Times New Roman"/>
          <w:sz w:val="24"/>
          <w:szCs w:val="24"/>
        </w:rPr>
        <w:t>existing SJRWMD monthly stations that are proposed for biweekly sampling</w:t>
      </w:r>
      <w:r>
        <w:rPr>
          <w:rFonts w:ascii="Times New Roman" w:hAnsi="Times New Roman" w:cs="Times New Roman"/>
          <w:sz w:val="24"/>
          <w:szCs w:val="24"/>
        </w:rPr>
        <w:t>, one new lagoon station proposed for biweekly sampling, two</w:t>
      </w:r>
      <w:r w:rsidR="00195558">
        <w:rPr>
          <w:rFonts w:ascii="Times New Roman" w:hAnsi="Times New Roman" w:cs="Times New Roman"/>
          <w:sz w:val="24"/>
          <w:szCs w:val="24"/>
        </w:rPr>
        <w:t xml:space="preserve"> </w:t>
      </w:r>
      <w:r w:rsidR="00195558">
        <w:rPr>
          <w:rFonts w:ascii="Times New Roman" w:hAnsi="Times New Roman" w:cs="Times New Roman"/>
          <w:sz w:val="24"/>
          <w:szCs w:val="24"/>
        </w:rPr>
        <w:lastRenderedPageBreak/>
        <w:t>new tributary station</w:t>
      </w:r>
      <w:r>
        <w:rPr>
          <w:rFonts w:ascii="Times New Roman" w:hAnsi="Times New Roman" w:cs="Times New Roman"/>
          <w:sz w:val="24"/>
          <w:szCs w:val="24"/>
        </w:rPr>
        <w:t>s</w:t>
      </w:r>
      <w:r w:rsidR="00195558">
        <w:rPr>
          <w:rFonts w:ascii="Times New Roman" w:hAnsi="Times New Roman" w:cs="Times New Roman"/>
          <w:sz w:val="24"/>
          <w:szCs w:val="24"/>
        </w:rPr>
        <w:t xml:space="preserve"> that </w:t>
      </w:r>
      <w:r>
        <w:rPr>
          <w:rFonts w:ascii="Times New Roman" w:hAnsi="Times New Roman" w:cs="Times New Roman"/>
          <w:sz w:val="24"/>
          <w:szCs w:val="24"/>
        </w:rPr>
        <w:t>are</w:t>
      </w:r>
      <w:r w:rsidR="00195558">
        <w:rPr>
          <w:rFonts w:ascii="Times New Roman" w:hAnsi="Times New Roman" w:cs="Times New Roman"/>
          <w:sz w:val="24"/>
          <w:szCs w:val="24"/>
        </w:rPr>
        <w:t xml:space="preserve"> proposed for monthly </w:t>
      </w:r>
      <w:r>
        <w:rPr>
          <w:rFonts w:ascii="Times New Roman" w:hAnsi="Times New Roman" w:cs="Times New Roman"/>
          <w:sz w:val="24"/>
          <w:szCs w:val="24"/>
        </w:rPr>
        <w:t>sampling, and two new discharge stations that are proposed for biweekly sampling once a stage-discharge relationship has been identified</w:t>
      </w:r>
      <w:r w:rsidR="00195558">
        <w:rPr>
          <w:rFonts w:ascii="Times New Roman" w:hAnsi="Times New Roman" w:cs="Times New Roman"/>
          <w:sz w:val="24"/>
          <w:szCs w:val="24"/>
        </w:rPr>
        <w:t>.</w:t>
      </w:r>
    </w:p>
    <w:p w:rsidR="007F3EEF" w:rsidRDefault="00195558" w:rsidP="00903FEB">
      <w:pPr>
        <w:pStyle w:val="ListParagraph"/>
        <w:numPr>
          <w:ilvl w:val="0"/>
          <w:numId w:val="2"/>
        </w:numPr>
        <w:jc w:val="both"/>
        <w:rPr>
          <w:rFonts w:ascii="Times New Roman" w:hAnsi="Times New Roman" w:cs="Times New Roman"/>
          <w:sz w:val="24"/>
          <w:szCs w:val="24"/>
        </w:rPr>
      </w:pPr>
      <w:r w:rsidRPr="00195558">
        <w:rPr>
          <w:rFonts w:ascii="Times New Roman" w:hAnsi="Times New Roman" w:cs="Times New Roman"/>
          <w:b/>
          <w:i/>
          <w:sz w:val="24"/>
          <w:szCs w:val="24"/>
        </w:rPr>
        <w:t>Funding</w:t>
      </w:r>
      <w:r>
        <w:rPr>
          <w:rFonts w:ascii="Times New Roman" w:hAnsi="Times New Roman" w:cs="Times New Roman"/>
          <w:sz w:val="24"/>
          <w:szCs w:val="24"/>
        </w:rPr>
        <w:t xml:space="preserve"> – </w:t>
      </w:r>
      <w:r w:rsidRPr="00195558">
        <w:rPr>
          <w:rFonts w:ascii="Times New Roman" w:hAnsi="Times New Roman" w:cs="Times New Roman"/>
          <w:sz w:val="24"/>
          <w:szCs w:val="24"/>
        </w:rPr>
        <w:t>If</w:t>
      </w:r>
      <w:r>
        <w:rPr>
          <w:rFonts w:ascii="Times New Roman" w:hAnsi="Times New Roman" w:cs="Times New Roman"/>
          <w:sz w:val="24"/>
          <w:szCs w:val="24"/>
        </w:rPr>
        <w:t xml:space="preserve"> </w:t>
      </w:r>
      <w:r w:rsidRPr="00195558">
        <w:rPr>
          <w:rFonts w:ascii="Times New Roman" w:hAnsi="Times New Roman" w:cs="Times New Roman"/>
          <w:sz w:val="24"/>
          <w:szCs w:val="24"/>
        </w:rPr>
        <w:t xml:space="preserve">the stakeholders decide to fund </w:t>
      </w:r>
      <w:r w:rsidR="00E45E77">
        <w:rPr>
          <w:rFonts w:ascii="Times New Roman" w:hAnsi="Times New Roman" w:cs="Times New Roman"/>
          <w:sz w:val="24"/>
          <w:szCs w:val="24"/>
        </w:rPr>
        <w:t xml:space="preserve">the </w:t>
      </w:r>
      <w:r w:rsidRPr="00195558">
        <w:rPr>
          <w:rFonts w:ascii="Times New Roman" w:hAnsi="Times New Roman" w:cs="Times New Roman"/>
          <w:sz w:val="24"/>
          <w:szCs w:val="24"/>
        </w:rPr>
        <w:t>additional frequency of sampling and/or additional stations, the proposal is that the Marine Resources Council (MRC) could conduct the sampling.</w:t>
      </w:r>
      <w:r w:rsidR="000B3D38">
        <w:rPr>
          <w:rFonts w:ascii="Times New Roman" w:hAnsi="Times New Roman" w:cs="Times New Roman"/>
          <w:sz w:val="24"/>
          <w:szCs w:val="24"/>
        </w:rPr>
        <w:t xml:space="preserve">  Table 1 lists the costs of the additional monitoring (both the increase to biweekly sampling</w:t>
      </w:r>
      <w:r w:rsidR="006748A4">
        <w:rPr>
          <w:rFonts w:ascii="Times New Roman" w:hAnsi="Times New Roman" w:cs="Times New Roman"/>
          <w:sz w:val="24"/>
          <w:szCs w:val="24"/>
        </w:rPr>
        <w:t xml:space="preserve"> for the lagoon sampling</w:t>
      </w:r>
      <w:r w:rsidR="000B3D38">
        <w:rPr>
          <w:rFonts w:ascii="Times New Roman" w:hAnsi="Times New Roman" w:cs="Times New Roman"/>
          <w:sz w:val="24"/>
          <w:szCs w:val="24"/>
        </w:rPr>
        <w:t xml:space="preserve"> and the new</w:t>
      </w:r>
      <w:r w:rsidR="00DC7F9B">
        <w:rPr>
          <w:rFonts w:ascii="Times New Roman" w:hAnsi="Times New Roman" w:cs="Times New Roman"/>
          <w:sz w:val="24"/>
          <w:szCs w:val="24"/>
        </w:rPr>
        <w:t xml:space="preserve"> lagoon,</w:t>
      </w:r>
      <w:r w:rsidR="000B3D38">
        <w:rPr>
          <w:rFonts w:ascii="Times New Roman" w:hAnsi="Times New Roman" w:cs="Times New Roman"/>
          <w:sz w:val="24"/>
          <w:szCs w:val="24"/>
        </w:rPr>
        <w:t xml:space="preserve"> tributary</w:t>
      </w:r>
      <w:r w:rsidR="00DC7F9B">
        <w:rPr>
          <w:rFonts w:ascii="Times New Roman" w:hAnsi="Times New Roman" w:cs="Times New Roman"/>
          <w:sz w:val="24"/>
          <w:szCs w:val="24"/>
        </w:rPr>
        <w:t>, and discharge</w:t>
      </w:r>
      <w:r w:rsidR="000B3D38">
        <w:rPr>
          <w:rFonts w:ascii="Times New Roman" w:hAnsi="Times New Roman" w:cs="Times New Roman"/>
          <w:sz w:val="24"/>
          <w:szCs w:val="24"/>
        </w:rPr>
        <w:t xml:space="preserve"> stations).  Table 2 provides </w:t>
      </w:r>
      <w:r w:rsidR="006748A4">
        <w:rPr>
          <w:rFonts w:ascii="Times New Roman" w:hAnsi="Times New Roman" w:cs="Times New Roman"/>
          <w:sz w:val="24"/>
          <w:szCs w:val="24"/>
        </w:rPr>
        <w:t>detailed cost estimates</w:t>
      </w:r>
      <w:r w:rsidR="000B3D38">
        <w:rPr>
          <w:rFonts w:ascii="Times New Roman" w:hAnsi="Times New Roman" w:cs="Times New Roman"/>
          <w:sz w:val="24"/>
          <w:szCs w:val="24"/>
        </w:rPr>
        <w:t xml:space="preserve"> for the laboratory </w:t>
      </w:r>
      <w:r w:rsidR="00E45E77">
        <w:rPr>
          <w:rFonts w:ascii="Times New Roman" w:hAnsi="Times New Roman" w:cs="Times New Roman"/>
          <w:sz w:val="24"/>
          <w:szCs w:val="24"/>
        </w:rPr>
        <w:t>analyses</w:t>
      </w:r>
      <w:r w:rsidR="000B3D38">
        <w:rPr>
          <w:rFonts w:ascii="Times New Roman" w:hAnsi="Times New Roman" w:cs="Times New Roman"/>
          <w:sz w:val="24"/>
          <w:szCs w:val="24"/>
        </w:rPr>
        <w:t xml:space="preserve"> of the core and supplemental water quality monitoring parameters.</w:t>
      </w:r>
    </w:p>
    <w:p w:rsidR="00195558" w:rsidRDefault="00195558" w:rsidP="00195558">
      <w:pPr>
        <w:jc w:val="both"/>
        <w:rPr>
          <w:rFonts w:ascii="Times New Roman" w:hAnsi="Times New Roman" w:cs="Times New Roman"/>
          <w:sz w:val="24"/>
          <w:szCs w:val="24"/>
        </w:rPr>
      </w:pPr>
    </w:p>
    <w:p w:rsidR="000B3D38" w:rsidRPr="006B238B" w:rsidRDefault="000B3D38" w:rsidP="006B238B">
      <w:pPr>
        <w:jc w:val="center"/>
        <w:rPr>
          <w:rFonts w:ascii="Times New Roman" w:hAnsi="Times New Roman" w:cs="Times New Roman"/>
          <w:b/>
          <w:sz w:val="24"/>
          <w:szCs w:val="24"/>
        </w:rPr>
      </w:pPr>
      <w:r w:rsidRPr="006B238B">
        <w:rPr>
          <w:rFonts w:ascii="Times New Roman" w:hAnsi="Times New Roman" w:cs="Times New Roman"/>
          <w:b/>
          <w:sz w:val="24"/>
          <w:szCs w:val="24"/>
        </w:rPr>
        <w:t xml:space="preserve">Table 1: </w:t>
      </w:r>
      <w:r w:rsidR="006B238B" w:rsidRPr="006B238B">
        <w:rPr>
          <w:rFonts w:ascii="Times New Roman" w:hAnsi="Times New Roman" w:cs="Times New Roman"/>
          <w:b/>
          <w:sz w:val="24"/>
          <w:szCs w:val="24"/>
        </w:rPr>
        <w:t xml:space="preserve">Costs for MRC Sampling for the Secondary Monitoring in </w:t>
      </w:r>
      <w:r w:rsidR="00EA59D4">
        <w:rPr>
          <w:rFonts w:ascii="Times New Roman" w:hAnsi="Times New Roman" w:cs="Times New Roman"/>
          <w:b/>
          <w:sz w:val="24"/>
          <w:szCs w:val="24"/>
        </w:rPr>
        <w:t xml:space="preserve">North </w:t>
      </w:r>
      <w:r w:rsidR="006B238B" w:rsidRPr="006B238B">
        <w:rPr>
          <w:rFonts w:ascii="Times New Roman" w:hAnsi="Times New Roman" w:cs="Times New Roman"/>
          <w:b/>
          <w:sz w:val="24"/>
          <w:szCs w:val="24"/>
        </w:rPr>
        <w:t>IRL</w:t>
      </w:r>
    </w:p>
    <w:tbl>
      <w:tblPr>
        <w:tblW w:w="10494" w:type="dxa"/>
        <w:jc w:val="center"/>
        <w:tblInd w:w="-1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2267"/>
        <w:gridCol w:w="5617"/>
        <w:gridCol w:w="1260"/>
        <w:gridCol w:w="1350"/>
      </w:tblGrid>
      <w:tr w:rsidR="000B3D38" w:rsidRPr="00195558" w:rsidTr="000B3D38">
        <w:trPr>
          <w:trHeight w:val="45"/>
          <w:jc w:val="center"/>
        </w:trPr>
        <w:tc>
          <w:tcPr>
            <w:tcW w:w="2267"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Category</w:t>
            </w:r>
          </w:p>
        </w:tc>
        <w:tc>
          <w:tcPr>
            <w:tcW w:w="5617"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Item</w:t>
            </w:r>
          </w:p>
        </w:tc>
        <w:tc>
          <w:tcPr>
            <w:tcW w:w="1260"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Monthly Cost</w:t>
            </w:r>
          </w:p>
        </w:tc>
        <w:tc>
          <w:tcPr>
            <w:tcW w:w="1350"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Total Annual Cost</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Collection - Staff Time</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 xml:space="preserve">Sample preparation, data review, and submittal </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$117.39</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$1,408.70</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Collection - Staff Time</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Sampling - field</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$176.09</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$1,408.70</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Boat (fuel and maintenance)</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$211.30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$2,535.65</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Truck (fuel and maintenance)</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$78.01</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$936.08</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Field supplies, equipment maintenance, instrument calibration/repairs</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71" w:lineRule="atLeast"/>
              <w:jc w:val="right"/>
              <w:textAlignment w:val="bottom"/>
              <w:rPr>
                <w:sz w:val="22"/>
                <w:szCs w:val="22"/>
              </w:rPr>
            </w:pPr>
            <w:r w:rsidRPr="00DC7F9B">
              <w:rPr>
                <w:color w:val="000000"/>
                <w:kern w:val="24"/>
                <w:sz w:val="22"/>
                <w:szCs w:val="22"/>
              </w:rPr>
              <w:t>$743.48</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71" w:lineRule="atLeast"/>
              <w:jc w:val="right"/>
              <w:textAlignment w:val="bottom"/>
              <w:rPr>
                <w:sz w:val="22"/>
                <w:szCs w:val="22"/>
              </w:rPr>
            </w:pPr>
            <w:r w:rsidRPr="00DC7F9B">
              <w:rPr>
                <w:color w:val="000000"/>
                <w:kern w:val="24"/>
                <w:sz w:val="22"/>
                <w:szCs w:val="22"/>
              </w:rPr>
              <w:t>$8,921.74</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Lab cost - core parameters</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87" w:lineRule="atLeast"/>
              <w:jc w:val="right"/>
              <w:textAlignment w:val="bottom"/>
              <w:rPr>
                <w:sz w:val="22"/>
                <w:szCs w:val="22"/>
              </w:rPr>
            </w:pPr>
            <w:r w:rsidRPr="00DC7F9B">
              <w:rPr>
                <w:color w:val="000000"/>
                <w:kern w:val="24"/>
                <w:sz w:val="22"/>
                <w:szCs w:val="22"/>
              </w:rPr>
              <w:t>$3,600.00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87" w:lineRule="atLeast"/>
              <w:jc w:val="right"/>
              <w:textAlignment w:val="bottom"/>
              <w:rPr>
                <w:sz w:val="22"/>
                <w:szCs w:val="22"/>
              </w:rPr>
            </w:pPr>
            <w:r w:rsidRPr="00DC7F9B">
              <w:rPr>
                <w:color w:val="000000"/>
                <w:kern w:val="24"/>
                <w:sz w:val="22"/>
                <w:szCs w:val="22"/>
              </w:rPr>
              <w:t>$43,200.00</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Lab cost - supplemental parameters</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103" w:lineRule="atLeast"/>
              <w:jc w:val="right"/>
              <w:textAlignment w:val="bottom"/>
              <w:rPr>
                <w:sz w:val="22"/>
                <w:szCs w:val="22"/>
              </w:rPr>
            </w:pPr>
            <w:r w:rsidRPr="00DC7F9B">
              <w:rPr>
                <w:color w:val="000000"/>
                <w:kern w:val="24"/>
                <w:sz w:val="22"/>
                <w:szCs w:val="22"/>
              </w:rPr>
              <w:t>$1,044.00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103" w:lineRule="atLeast"/>
              <w:jc w:val="right"/>
              <w:textAlignment w:val="bottom"/>
              <w:rPr>
                <w:sz w:val="22"/>
                <w:szCs w:val="22"/>
              </w:rPr>
            </w:pPr>
            <w:r w:rsidRPr="00DC7F9B">
              <w:rPr>
                <w:color w:val="000000"/>
                <w:kern w:val="24"/>
                <w:sz w:val="22"/>
                <w:szCs w:val="22"/>
              </w:rPr>
              <w:t>$12,528.00</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Syringes and filters $3/site</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$54.00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$648.00</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Field blanks - 1 blank per 20 samples</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$258.00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$3,096.00</w:t>
            </w:r>
          </w:p>
        </w:tc>
      </w:tr>
      <w:tr w:rsidR="00DC7F9B"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De-ionized water and ice</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$20.00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$240.00</w:t>
            </w:r>
          </w:p>
        </w:tc>
      </w:tr>
      <w:tr w:rsidR="00DC7F9B" w:rsidRPr="00195558" w:rsidTr="000B3D38">
        <w:trPr>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Shipping</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Sample shipping from field to lab</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$408.13</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jc w:val="right"/>
              <w:textAlignment w:val="bottom"/>
              <w:rPr>
                <w:sz w:val="22"/>
                <w:szCs w:val="22"/>
              </w:rPr>
            </w:pPr>
            <w:r w:rsidRPr="00DC7F9B">
              <w:rPr>
                <w:color w:val="000000"/>
                <w:kern w:val="24"/>
                <w:sz w:val="22"/>
                <w:szCs w:val="22"/>
              </w:rPr>
              <w:t>$4,897.57</w:t>
            </w:r>
          </w:p>
        </w:tc>
      </w:tr>
      <w:tr w:rsidR="00DC7F9B" w:rsidRPr="00195558" w:rsidTr="000B3D38">
        <w:trPr>
          <w:trHeight w:val="63"/>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Shipping</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Cooler returns from lab to samplers</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63" w:lineRule="atLeast"/>
              <w:jc w:val="right"/>
              <w:textAlignment w:val="bottom"/>
              <w:rPr>
                <w:sz w:val="22"/>
                <w:szCs w:val="22"/>
              </w:rPr>
            </w:pPr>
            <w:r w:rsidRPr="00DC7F9B">
              <w:rPr>
                <w:color w:val="000000"/>
                <w:kern w:val="24"/>
                <w:sz w:val="22"/>
                <w:szCs w:val="22"/>
              </w:rPr>
              <w:t>$154.96</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63" w:lineRule="atLeast"/>
              <w:jc w:val="right"/>
              <w:textAlignment w:val="bottom"/>
              <w:rPr>
                <w:sz w:val="22"/>
                <w:szCs w:val="22"/>
              </w:rPr>
            </w:pPr>
            <w:r w:rsidRPr="00DC7F9B">
              <w:rPr>
                <w:color w:val="000000"/>
                <w:kern w:val="24"/>
                <w:sz w:val="22"/>
                <w:szCs w:val="22"/>
              </w:rPr>
              <w:t>$1,859.48</w:t>
            </w:r>
          </w:p>
        </w:tc>
      </w:tr>
      <w:tr w:rsidR="00DC7F9B" w:rsidRPr="00195558" w:rsidTr="000B3D38">
        <w:trPr>
          <w:trHeight w:val="79"/>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 xml:space="preserve">Capital Outlay* </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 xml:space="preserve">Purchase of 2 YSI </w:t>
            </w:r>
            <w:proofErr w:type="spellStart"/>
            <w:r w:rsidRPr="00195558">
              <w:rPr>
                <w:rFonts w:ascii="Times New Roman" w:hAnsi="Times New Roman" w:cs="Times New Roman"/>
              </w:rPr>
              <w:t>multiprobe</w:t>
            </w:r>
            <w:proofErr w:type="spellEnd"/>
            <w:r w:rsidRPr="00195558">
              <w:rPr>
                <w:rFonts w:ascii="Times New Roman" w:hAnsi="Times New Roman" w:cs="Times New Roman"/>
              </w:rPr>
              <w:t xml:space="preserve"> systems at $3,020 per system</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79" w:lineRule="atLeast"/>
              <w:jc w:val="right"/>
              <w:textAlignment w:val="bottom"/>
              <w:rPr>
                <w:sz w:val="22"/>
                <w:szCs w:val="22"/>
              </w:rPr>
            </w:pPr>
            <w:r w:rsidRPr="00DC7F9B">
              <w:rPr>
                <w:color w:val="000000"/>
                <w:kern w:val="24"/>
                <w:sz w:val="22"/>
                <w:szCs w:val="22"/>
              </w:rPr>
              <w:t>$6,040.00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79" w:lineRule="atLeast"/>
              <w:jc w:val="right"/>
              <w:textAlignment w:val="bottom"/>
              <w:rPr>
                <w:sz w:val="22"/>
                <w:szCs w:val="22"/>
              </w:rPr>
            </w:pPr>
            <w:r w:rsidRPr="00DC7F9B">
              <w:rPr>
                <w:color w:val="000000"/>
                <w:kern w:val="24"/>
                <w:sz w:val="22"/>
                <w:szCs w:val="22"/>
              </w:rPr>
              <w:t>$6,040.00</w:t>
            </w:r>
          </w:p>
        </w:tc>
      </w:tr>
      <w:tr w:rsidR="00DC7F9B" w:rsidRPr="00195558" w:rsidTr="000B3D38">
        <w:trPr>
          <w:trHeight w:val="95"/>
          <w:jc w:val="center"/>
        </w:trPr>
        <w:tc>
          <w:tcPr>
            <w:tcW w:w="2267" w:type="dxa"/>
            <w:shd w:val="clear" w:color="auto" w:fill="auto"/>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rPr>
              <w:t xml:space="preserve">Capital Outlay* </w:t>
            </w:r>
          </w:p>
        </w:tc>
        <w:tc>
          <w:tcPr>
            <w:tcW w:w="5617" w:type="dxa"/>
            <w:shd w:val="clear" w:color="auto" w:fill="auto"/>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rPr>
              <w:t>Purchase of 2 PAR units at $2,965 each</w:t>
            </w:r>
          </w:p>
        </w:tc>
        <w:tc>
          <w:tcPr>
            <w:tcW w:w="126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95" w:lineRule="atLeast"/>
              <w:jc w:val="right"/>
              <w:textAlignment w:val="bottom"/>
              <w:rPr>
                <w:sz w:val="22"/>
                <w:szCs w:val="22"/>
              </w:rPr>
            </w:pPr>
            <w:r w:rsidRPr="00DC7F9B">
              <w:rPr>
                <w:color w:val="000000"/>
                <w:kern w:val="24"/>
                <w:sz w:val="22"/>
                <w:szCs w:val="22"/>
              </w:rPr>
              <w:t>$5,930.00</w:t>
            </w:r>
          </w:p>
        </w:tc>
        <w:tc>
          <w:tcPr>
            <w:tcW w:w="1350" w:type="dxa"/>
            <w:shd w:val="clear" w:color="auto" w:fill="auto"/>
            <w:tcMar>
              <w:top w:w="15" w:type="dxa"/>
              <w:left w:w="15" w:type="dxa"/>
              <w:bottom w:w="0" w:type="dxa"/>
              <w:right w:w="15" w:type="dxa"/>
            </w:tcMar>
            <w:vAlign w:val="bottom"/>
            <w:hideMark/>
          </w:tcPr>
          <w:p w:rsidR="00DC7F9B" w:rsidRPr="00DC7F9B" w:rsidRDefault="00DC7F9B">
            <w:pPr>
              <w:pStyle w:val="NormalWeb"/>
              <w:spacing w:before="0" w:beforeAutospacing="0" w:after="0" w:afterAutospacing="0" w:line="95" w:lineRule="atLeast"/>
              <w:jc w:val="right"/>
              <w:textAlignment w:val="bottom"/>
              <w:rPr>
                <w:sz w:val="22"/>
                <w:szCs w:val="22"/>
              </w:rPr>
            </w:pPr>
            <w:r w:rsidRPr="00DC7F9B">
              <w:rPr>
                <w:color w:val="000000"/>
                <w:kern w:val="24"/>
                <w:sz w:val="22"/>
                <w:szCs w:val="22"/>
              </w:rPr>
              <w:t>$5,930.00</w:t>
            </w:r>
          </w:p>
        </w:tc>
      </w:tr>
      <w:tr w:rsidR="006748A4" w:rsidRPr="00195558" w:rsidTr="000B3D38">
        <w:trPr>
          <w:trHeight w:val="95"/>
          <w:jc w:val="center"/>
        </w:trPr>
        <w:tc>
          <w:tcPr>
            <w:tcW w:w="2267" w:type="dxa"/>
            <w:shd w:val="clear" w:color="auto" w:fill="auto"/>
            <w:tcMar>
              <w:top w:w="15" w:type="dxa"/>
              <w:left w:w="15" w:type="dxa"/>
              <w:bottom w:w="0" w:type="dxa"/>
              <w:right w:w="15" w:type="dxa"/>
            </w:tcMar>
            <w:vAlign w:val="bottom"/>
            <w:hideMark/>
          </w:tcPr>
          <w:p w:rsidR="006748A4" w:rsidRPr="00195558" w:rsidRDefault="006748A4" w:rsidP="00195558">
            <w:pPr>
              <w:jc w:val="both"/>
              <w:rPr>
                <w:rFonts w:ascii="Times New Roman" w:hAnsi="Times New Roman" w:cs="Times New Roman"/>
              </w:rPr>
            </w:pPr>
            <w:r>
              <w:rPr>
                <w:rFonts w:ascii="Times New Roman" w:hAnsi="Times New Roman" w:cs="Times New Roman"/>
              </w:rPr>
              <w:t>Capital Outlay**</w:t>
            </w:r>
          </w:p>
        </w:tc>
        <w:tc>
          <w:tcPr>
            <w:tcW w:w="5617" w:type="dxa"/>
            <w:shd w:val="clear" w:color="auto" w:fill="auto"/>
            <w:tcMar>
              <w:top w:w="15" w:type="dxa"/>
              <w:left w:w="15" w:type="dxa"/>
              <w:bottom w:w="0" w:type="dxa"/>
              <w:right w:w="15" w:type="dxa"/>
            </w:tcMar>
            <w:vAlign w:val="bottom"/>
            <w:hideMark/>
          </w:tcPr>
          <w:p w:rsidR="006748A4" w:rsidRPr="00195558" w:rsidRDefault="006748A4" w:rsidP="004A0CF2">
            <w:pPr>
              <w:rPr>
                <w:rFonts w:ascii="Times New Roman" w:hAnsi="Times New Roman" w:cs="Times New Roman"/>
              </w:rPr>
            </w:pPr>
            <w:r>
              <w:rPr>
                <w:rFonts w:ascii="Times New Roman" w:hAnsi="Times New Roman" w:cs="Times New Roman"/>
              </w:rPr>
              <w:t xml:space="preserve">Set up of </w:t>
            </w:r>
            <w:r w:rsidR="004A0CF2">
              <w:rPr>
                <w:rFonts w:ascii="Times New Roman" w:hAnsi="Times New Roman" w:cs="Times New Roman"/>
              </w:rPr>
              <w:t>2</w:t>
            </w:r>
            <w:r>
              <w:rPr>
                <w:rFonts w:ascii="Times New Roman" w:hAnsi="Times New Roman" w:cs="Times New Roman"/>
              </w:rPr>
              <w:t xml:space="preserve"> discharge gauging stations</w:t>
            </w:r>
          </w:p>
        </w:tc>
        <w:tc>
          <w:tcPr>
            <w:tcW w:w="1260" w:type="dxa"/>
            <w:shd w:val="clear" w:color="auto" w:fill="auto"/>
            <w:tcMar>
              <w:top w:w="15" w:type="dxa"/>
              <w:left w:w="15" w:type="dxa"/>
              <w:bottom w:w="0" w:type="dxa"/>
              <w:right w:w="15" w:type="dxa"/>
            </w:tcMar>
            <w:vAlign w:val="bottom"/>
            <w:hideMark/>
          </w:tcPr>
          <w:p w:rsidR="006748A4" w:rsidRPr="00DC7F9B" w:rsidRDefault="006748A4">
            <w:pPr>
              <w:pStyle w:val="NormalWeb"/>
              <w:spacing w:before="0" w:beforeAutospacing="0" w:after="0" w:afterAutospacing="0" w:line="95" w:lineRule="atLeast"/>
              <w:jc w:val="right"/>
              <w:textAlignment w:val="bottom"/>
              <w:rPr>
                <w:color w:val="000000"/>
                <w:kern w:val="24"/>
                <w:sz w:val="22"/>
                <w:szCs w:val="22"/>
              </w:rPr>
            </w:pPr>
            <w:r>
              <w:rPr>
                <w:color w:val="000000"/>
                <w:kern w:val="24"/>
                <w:sz w:val="22"/>
                <w:szCs w:val="22"/>
              </w:rPr>
              <w:t>$60,000.00</w:t>
            </w:r>
          </w:p>
        </w:tc>
        <w:tc>
          <w:tcPr>
            <w:tcW w:w="1350" w:type="dxa"/>
            <w:shd w:val="clear" w:color="auto" w:fill="auto"/>
            <w:tcMar>
              <w:top w:w="15" w:type="dxa"/>
              <w:left w:w="15" w:type="dxa"/>
              <w:bottom w:w="0" w:type="dxa"/>
              <w:right w:w="15" w:type="dxa"/>
            </w:tcMar>
            <w:vAlign w:val="bottom"/>
            <w:hideMark/>
          </w:tcPr>
          <w:p w:rsidR="006748A4" w:rsidRPr="00DC7F9B" w:rsidRDefault="006748A4">
            <w:pPr>
              <w:pStyle w:val="NormalWeb"/>
              <w:spacing w:before="0" w:beforeAutospacing="0" w:after="0" w:afterAutospacing="0" w:line="95" w:lineRule="atLeast"/>
              <w:jc w:val="right"/>
              <w:textAlignment w:val="bottom"/>
              <w:rPr>
                <w:color w:val="000000"/>
                <w:kern w:val="24"/>
                <w:sz w:val="22"/>
                <w:szCs w:val="22"/>
              </w:rPr>
            </w:pPr>
            <w:r>
              <w:rPr>
                <w:color w:val="000000"/>
                <w:kern w:val="24"/>
                <w:sz w:val="22"/>
                <w:szCs w:val="22"/>
              </w:rPr>
              <w:t>$60,000.00</w:t>
            </w:r>
          </w:p>
        </w:tc>
      </w:tr>
      <w:tr w:rsidR="00DC7F9B" w:rsidRPr="00195558" w:rsidTr="000B3D38">
        <w:trPr>
          <w:trHeight w:val="45"/>
          <w:jc w:val="center"/>
        </w:trPr>
        <w:tc>
          <w:tcPr>
            <w:tcW w:w="2267" w:type="dxa"/>
            <w:shd w:val="clear" w:color="auto" w:fill="BFBFBF" w:themeFill="background1" w:themeFillShade="BF"/>
            <w:tcMar>
              <w:top w:w="15" w:type="dxa"/>
              <w:left w:w="15" w:type="dxa"/>
              <w:bottom w:w="0" w:type="dxa"/>
              <w:right w:w="15" w:type="dxa"/>
            </w:tcMar>
            <w:vAlign w:val="bottom"/>
            <w:hideMark/>
          </w:tcPr>
          <w:p w:rsidR="00DC7F9B" w:rsidRPr="00195558" w:rsidRDefault="00DC7F9B" w:rsidP="00195558">
            <w:pPr>
              <w:jc w:val="both"/>
              <w:rPr>
                <w:rFonts w:ascii="Times New Roman" w:hAnsi="Times New Roman" w:cs="Times New Roman"/>
              </w:rPr>
            </w:pPr>
            <w:r w:rsidRPr="00195558">
              <w:rPr>
                <w:rFonts w:ascii="Times New Roman" w:hAnsi="Times New Roman" w:cs="Times New Roman"/>
                <w:b/>
                <w:bCs/>
              </w:rPr>
              <w:t xml:space="preserve">Total Cost </w:t>
            </w:r>
          </w:p>
        </w:tc>
        <w:tc>
          <w:tcPr>
            <w:tcW w:w="5617" w:type="dxa"/>
            <w:shd w:val="clear" w:color="auto" w:fill="BFBFBF" w:themeFill="background1" w:themeFillShade="BF"/>
            <w:tcMar>
              <w:top w:w="15" w:type="dxa"/>
              <w:left w:w="15" w:type="dxa"/>
              <w:bottom w:w="0" w:type="dxa"/>
              <w:right w:w="15" w:type="dxa"/>
            </w:tcMar>
            <w:vAlign w:val="bottom"/>
            <w:hideMark/>
          </w:tcPr>
          <w:p w:rsidR="00DC7F9B" w:rsidRPr="00195558" w:rsidRDefault="00DC7F9B" w:rsidP="000B3D38">
            <w:pPr>
              <w:rPr>
                <w:rFonts w:ascii="Times New Roman" w:hAnsi="Times New Roman" w:cs="Times New Roman"/>
              </w:rPr>
            </w:pPr>
            <w:r w:rsidRPr="00195558">
              <w:rPr>
                <w:rFonts w:ascii="Times New Roman" w:hAnsi="Times New Roman" w:cs="Times New Roman"/>
                <w:b/>
                <w:bCs/>
              </w:rPr>
              <w:t xml:space="preserve">Overall Basin Cost </w:t>
            </w:r>
          </w:p>
        </w:tc>
        <w:tc>
          <w:tcPr>
            <w:tcW w:w="1260" w:type="dxa"/>
            <w:shd w:val="clear" w:color="auto" w:fill="BFBFBF" w:themeFill="background1" w:themeFillShade="BF"/>
            <w:tcMar>
              <w:top w:w="15" w:type="dxa"/>
              <w:left w:w="15" w:type="dxa"/>
              <w:bottom w:w="0" w:type="dxa"/>
              <w:right w:w="15" w:type="dxa"/>
            </w:tcMar>
            <w:vAlign w:val="bottom"/>
            <w:hideMark/>
          </w:tcPr>
          <w:p w:rsidR="00DC7F9B" w:rsidRPr="00DC7F9B" w:rsidRDefault="00DC7F9B" w:rsidP="006748A4">
            <w:pPr>
              <w:pStyle w:val="NormalWeb"/>
              <w:spacing w:before="0" w:beforeAutospacing="0" w:after="0" w:afterAutospacing="0" w:line="88" w:lineRule="atLeast"/>
              <w:jc w:val="right"/>
              <w:textAlignment w:val="bottom"/>
              <w:rPr>
                <w:sz w:val="22"/>
                <w:szCs w:val="22"/>
              </w:rPr>
            </w:pPr>
            <w:r w:rsidRPr="00DC7F9B">
              <w:rPr>
                <w:b/>
                <w:bCs/>
                <w:color w:val="000000"/>
                <w:kern w:val="24"/>
                <w:sz w:val="22"/>
                <w:szCs w:val="22"/>
              </w:rPr>
              <w:t>$</w:t>
            </w:r>
            <w:r w:rsidR="006748A4">
              <w:rPr>
                <w:b/>
                <w:bCs/>
                <w:color w:val="000000"/>
                <w:kern w:val="24"/>
                <w:sz w:val="22"/>
                <w:szCs w:val="22"/>
              </w:rPr>
              <w:t>7</w:t>
            </w:r>
            <w:r w:rsidRPr="00DC7F9B">
              <w:rPr>
                <w:b/>
                <w:bCs/>
                <w:color w:val="000000"/>
                <w:kern w:val="24"/>
                <w:sz w:val="22"/>
                <w:szCs w:val="22"/>
              </w:rPr>
              <w:t>8,835.35</w:t>
            </w:r>
          </w:p>
        </w:tc>
        <w:tc>
          <w:tcPr>
            <w:tcW w:w="1350" w:type="dxa"/>
            <w:shd w:val="clear" w:color="auto" w:fill="BFBFBF" w:themeFill="background1" w:themeFillShade="BF"/>
            <w:tcMar>
              <w:top w:w="15" w:type="dxa"/>
              <w:left w:w="15" w:type="dxa"/>
              <w:bottom w:w="0" w:type="dxa"/>
              <w:right w:w="15" w:type="dxa"/>
            </w:tcMar>
            <w:vAlign w:val="bottom"/>
            <w:hideMark/>
          </w:tcPr>
          <w:p w:rsidR="00DC7F9B" w:rsidRPr="00DC7F9B" w:rsidRDefault="00DC7F9B" w:rsidP="006748A4">
            <w:pPr>
              <w:pStyle w:val="NormalWeb"/>
              <w:spacing w:before="0" w:beforeAutospacing="0" w:after="0" w:afterAutospacing="0" w:line="88" w:lineRule="atLeast"/>
              <w:jc w:val="right"/>
              <w:textAlignment w:val="bottom"/>
              <w:rPr>
                <w:sz w:val="22"/>
                <w:szCs w:val="22"/>
              </w:rPr>
            </w:pPr>
            <w:r w:rsidRPr="00DC7F9B">
              <w:rPr>
                <w:b/>
                <w:bCs/>
                <w:color w:val="000000"/>
                <w:kern w:val="24"/>
                <w:sz w:val="22"/>
                <w:szCs w:val="22"/>
              </w:rPr>
              <w:t>$</w:t>
            </w:r>
            <w:r w:rsidR="006748A4">
              <w:rPr>
                <w:b/>
                <w:bCs/>
                <w:color w:val="000000"/>
                <w:kern w:val="24"/>
                <w:sz w:val="22"/>
                <w:szCs w:val="22"/>
              </w:rPr>
              <w:t>15</w:t>
            </w:r>
            <w:r w:rsidRPr="00DC7F9B">
              <w:rPr>
                <w:b/>
                <w:bCs/>
                <w:color w:val="000000"/>
                <w:kern w:val="24"/>
                <w:sz w:val="22"/>
                <w:szCs w:val="22"/>
              </w:rPr>
              <w:t>3,649.90</w:t>
            </w:r>
          </w:p>
        </w:tc>
      </w:tr>
    </w:tbl>
    <w:p w:rsidR="007F3EEF" w:rsidRDefault="000B3D38" w:rsidP="006B238B">
      <w:pPr>
        <w:jc w:val="both"/>
        <w:rPr>
          <w:rFonts w:ascii="Times New Roman" w:hAnsi="Times New Roman" w:cs="Times New Roman"/>
          <w:sz w:val="20"/>
          <w:szCs w:val="20"/>
        </w:rPr>
      </w:pPr>
      <w:r w:rsidRPr="006B238B">
        <w:rPr>
          <w:rFonts w:ascii="Times New Roman" w:hAnsi="Times New Roman" w:cs="Times New Roman"/>
          <w:sz w:val="20"/>
          <w:szCs w:val="20"/>
        </w:rPr>
        <w:t>*Note: The cost of the YSI systems and PAR units could be divided among all three BMAP areas, if the stakeholders decide to increase monitoring in each subbasin.</w:t>
      </w:r>
      <w:r w:rsidR="006748A4" w:rsidRPr="006748A4">
        <w:rPr>
          <w:rFonts w:ascii="Times New Roman" w:hAnsi="Times New Roman" w:cs="Times New Roman"/>
          <w:sz w:val="20"/>
          <w:szCs w:val="20"/>
        </w:rPr>
        <w:t xml:space="preserve">  Capital outlay expenses are not expected to occur annually; these are estimated to occur once per 5 years.</w:t>
      </w:r>
    </w:p>
    <w:p w:rsidR="006748A4" w:rsidRPr="006B238B" w:rsidRDefault="006748A4" w:rsidP="006B238B">
      <w:pPr>
        <w:jc w:val="both"/>
        <w:rPr>
          <w:rFonts w:ascii="Times New Roman" w:hAnsi="Times New Roman" w:cs="Times New Roman"/>
          <w:sz w:val="20"/>
          <w:szCs w:val="20"/>
        </w:rPr>
      </w:pPr>
      <w:r>
        <w:rPr>
          <w:rFonts w:ascii="Times New Roman" w:hAnsi="Times New Roman" w:cs="Times New Roman"/>
          <w:sz w:val="20"/>
          <w:szCs w:val="20"/>
        </w:rPr>
        <w:t>**Note: There are two discharge gauges proposed for the monitoring plan.  These expenses are not expected to occur annually; these sites would likely be monitored for only a portion of the 5 year period.</w:t>
      </w:r>
    </w:p>
    <w:p w:rsidR="006B238B" w:rsidRDefault="006B238B" w:rsidP="006B238B">
      <w:pPr>
        <w:jc w:val="both"/>
        <w:rPr>
          <w:rFonts w:ascii="Times New Roman" w:hAnsi="Times New Roman" w:cs="Times New Roman"/>
          <w:sz w:val="24"/>
          <w:szCs w:val="24"/>
        </w:rPr>
      </w:pPr>
    </w:p>
    <w:p w:rsidR="006B238B" w:rsidRPr="006B238B" w:rsidRDefault="006B238B" w:rsidP="006B238B">
      <w:pPr>
        <w:jc w:val="center"/>
        <w:rPr>
          <w:rFonts w:ascii="Times New Roman" w:hAnsi="Times New Roman" w:cs="Times New Roman"/>
          <w:b/>
          <w:sz w:val="24"/>
          <w:szCs w:val="24"/>
        </w:rPr>
      </w:pPr>
      <w:r w:rsidRPr="006B238B">
        <w:rPr>
          <w:rFonts w:ascii="Times New Roman" w:hAnsi="Times New Roman" w:cs="Times New Roman"/>
          <w:b/>
          <w:sz w:val="24"/>
          <w:szCs w:val="24"/>
        </w:rPr>
        <w:t xml:space="preserve">Table </w:t>
      </w:r>
      <w:r>
        <w:rPr>
          <w:rFonts w:ascii="Times New Roman" w:hAnsi="Times New Roman" w:cs="Times New Roman"/>
          <w:b/>
          <w:sz w:val="24"/>
          <w:szCs w:val="24"/>
        </w:rPr>
        <w:t>2</w:t>
      </w:r>
      <w:r w:rsidRPr="006B238B">
        <w:rPr>
          <w:rFonts w:ascii="Times New Roman" w:hAnsi="Times New Roman" w:cs="Times New Roman"/>
          <w:b/>
          <w:sz w:val="24"/>
          <w:szCs w:val="24"/>
        </w:rPr>
        <w:t xml:space="preserve">: Costs for </w:t>
      </w:r>
      <w:r>
        <w:rPr>
          <w:rFonts w:ascii="Times New Roman" w:hAnsi="Times New Roman" w:cs="Times New Roman"/>
          <w:b/>
          <w:sz w:val="24"/>
          <w:szCs w:val="24"/>
        </w:rPr>
        <w:t xml:space="preserve">Laboratory Analysis of the Water Quality </w:t>
      </w:r>
      <w:r w:rsidR="00E45E77">
        <w:rPr>
          <w:rFonts w:ascii="Times New Roman" w:hAnsi="Times New Roman" w:cs="Times New Roman"/>
          <w:b/>
          <w:sz w:val="24"/>
          <w:szCs w:val="24"/>
        </w:rPr>
        <w:t>Parameters</w:t>
      </w:r>
    </w:p>
    <w:tbl>
      <w:tblPr>
        <w:tblW w:w="86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tblPr>
      <w:tblGrid>
        <w:gridCol w:w="1290"/>
        <w:gridCol w:w="2579"/>
        <w:gridCol w:w="2360"/>
        <w:gridCol w:w="2421"/>
      </w:tblGrid>
      <w:tr w:rsidR="008D1AD6" w:rsidRPr="006B238B" w:rsidTr="00DD45CD">
        <w:trPr>
          <w:trHeight w:val="71"/>
          <w:tblHeader/>
          <w:jc w:val="center"/>
        </w:trPr>
        <w:tc>
          <w:tcPr>
            <w:tcW w:w="1290" w:type="dxa"/>
            <w:shd w:val="clear" w:color="auto" w:fill="BFBFBF" w:themeFill="background1" w:themeFillShade="BF"/>
            <w:tcMar>
              <w:top w:w="15" w:type="dxa"/>
              <w:left w:w="15" w:type="dxa"/>
              <w:bottom w:w="0" w:type="dxa"/>
              <w:right w:w="15" w:type="dxa"/>
            </w:tcMar>
            <w:vAlign w:val="center"/>
            <w:hideMark/>
          </w:tcPr>
          <w:p w:rsidR="008D1AD6" w:rsidRPr="006B238B" w:rsidRDefault="008D1AD6" w:rsidP="00DD45CD">
            <w:pPr>
              <w:jc w:val="center"/>
              <w:rPr>
                <w:rFonts w:ascii="Times New Roman" w:hAnsi="Times New Roman" w:cs="Times New Roman"/>
              </w:rPr>
            </w:pPr>
            <w:r w:rsidRPr="006B238B">
              <w:rPr>
                <w:rFonts w:ascii="Times New Roman" w:hAnsi="Times New Roman" w:cs="Times New Roman"/>
                <w:b/>
                <w:bCs/>
              </w:rPr>
              <w:t>Parameter</w:t>
            </w:r>
          </w:p>
        </w:tc>
        <w:tc>
          <w:tcPr>
            <w:tcW w:w="2579" w:type="dxa"/>
            <w:shd w:val="clear" w:color="auto" w:fill="BFBFBF" w:themeFill="background1" w:themeFillShade="BF"/>
            <w:tcMar>
              <w:top w:w="15" w:type="dxa"/>
              <w:left w:w="15" w:type="dxa"/>
              <w:bottom w:w="0" w:type="dxa"/>
              <w:right w:w="15" w:type="dxa"/>
            </w:tcMar>
            <w:vAlign w:val="center"/>
            <w:hideMark/>
          </w:tcPr>
          <w:p w:rsidR="008D1AD6" w:rsidRPr="006B238B" w:rsidRDefault="008D1AD6" w:rsidP="00DD45CD">
            <w:pPr>
              <w:jc w:val="center"/>
              <w:rPr>
                <w:rFonts w:ascii="Times New Roman" w:hAnsi="Times New Roman" w:cs="Times New Roman"/>
              </w:rPr>
            </w:pPr>
            <w:r w:rsidRPr="006B238B">
              <w:rPr>
                <w:rFonts w:ascii="Times New Roman" w:hAnsi="Times New Roman" w:cs="Times New Roman"/>
                <w:b/>
                <w:bCs/>
              </w:rPr>
              <w:t>Description</w:t>
            </w:r>
          </w:p>
        </w:tc>
        <w:tc>
          <w:tcPr>
            <w:tcW w:w="2360" w:type="dxa"/>
            <w:shd w:val="clear" w:color="auto" w:fill="BFBFBF" w:themeFill="background1" w:themeFillShade="BF"/>
            <w:tcMar>
              <w:top w:w="15" w:type="dxa"/>
              <w:left w:w="15" w:type="dxa"/>
              <w:bottom w:w="0" w:type="dxa"/>
              <w:right w:w="15" w:type="dxa"/>
            </w:tcMar>
            <w:vAlign w:val="center"/>
            <w:hideMark/>
          </w:tcPr>
          <w:p w:rsidR="008D1AD6" w:rsidRPr="006B238B" w:rsidRDefault="008D1AD6" w:rsidP="00DD45CD">
            <w:pPr>
              <w:jc w:val="center"/>
              <w:rPr>
                <w:rFonts w:ascii="Times New Roman" w:hAnsi="Times New Roman" w:cs="Times New Roman"/>
              </w:rPr>
            </w:pPr>
            <w:r w:rsidRPr="006B238B">
              <w:rPr>
                <w:rFonts w:ascii="Times New Roman" w:hAnsi="Times New Roman" w:cs="Times New Roman"/>
                <w:b/>
                <w:bCs/>
              </w:rPr>
              <w:t>FDEP Lab Cost/Sample</w:t>
            </w:r>
          </w:p>
        </w:tc>
        <w:tc>
          <w:tcPr>
            <w:tcW w:w="2421" w:type="dxa"/>
            <w:shd w:val="clear" w:color="auto" w:fill="BFBFBF" w:themeFill="background1" w:themeFillShade="BF"/>
            <w:tcMar>
              <w:top w:w="15" w:type="dxa"/>
              <w:left w:w="15" w:type="dxa"/>
              <w:bottom w:w="0" w:type="dxa"/>
              <w:right w:w="15" w:type="dxa"/>
            </w:tcMar>
            <w:vAlign w:val="center"/>
            <w:hideMark/>
          </w:tcPr>
          <w:p w:rsidR="008D1AD6" w:rsidRPr="006B238B" w:rsidRDefault="008D1AD6" w:rsidP="00DD45CD">
            <w:pPr>
              <w:jc w:val="center"/>
              <w:rPr>
                <w:rFonts w:ascii="Times New Roman" w:hAnsi="Times New Roman" w:cs="Times New Roman"/>
              </w:rPr>
            </w:pPr>
            <w:r w:rsidRPr="006B238B">
              <w:rPr>
                <w:rFonts w:ascii="Times New Roman" w:hAnsi="Times New Roman" w:cs="Times New Roman"/>
                <w:b/>
                <w:bCs/>
              </w:rPr>
              <w:t>ENCO Lab Cost/Sample</w:t>
            </w:r>
          </w:p>
        </w:tc>
      </w:tr>
      <w:tr w:rsidR="008D1AD6" w:rsidRPr="006B238B" w:rsidTr="00DD45CD">
        <w:trPr>
          <w:trHeight w:val="71"/>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 xml:space="preserve">Total </w:t>
            </w:r>
            <w:proofErr w:type="spellStart"/>
            <w:r w:rsidRPr="006B238B">
              <w:rPr>
                <w:rFonts w:ascii="Times New Roman" w:hAnsi="Times New Roman" w:cs="Times New Roman"/>
              </w:rPr>
              <w:t>Kjeldahl</w:t>
            </w:r>
            <w:proofErr w:type="spellEnd"/>
            <w:r w:rsidRPr="006B238B">
              <w:rPr>
                <w:rFonts w:ascii="Times New Roman" w:hAnsi="Times New Roman" w:cs="Times New Roman"/>
              </w:rPr>
              <w:t xml:space="preserve"> Nitrogen</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$21.00</w:t>
            </w:r>
          </w:p>
        </w:tc>
        <w:tc>
          <w:tcPr>
            <w:tcW w:w="2421"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$25.00</w:t>
            </w:r>
          </w:p>
        </w:tc>
      </w:tr>
      <w:tr w:rsidR="008D1AD6" w:rsidRPr="006B238B" w:rsidTr="00DD45CD">
        <w:trPr>
          <w:trHeight w:val="87"/>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Nitrite/Nitrate</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$30.00</w:t>
            </w:r>
          </w:p>
        </w:tc>
      </w:tr>
      <w:tr w:rsidR="008D1AD6" w:rsidRPr="006B238B" w:rsidTr="00DD45CD">
        <w:trPr>
          <w:trHeight w:val="103"/>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Ammonia</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$20.00</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Total Phosphorus</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$21.00</w:t>
            </w:r>
          </w:p>
        </w:tc>
        <w:tc>
          <w:tcPr>
            <w:tcW w:w="2421"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$25.00</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 xml:space="preserve">Orthophosphate </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$20.00</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Chlorophyll-a (corrected</w:t>
            </w:r>
            <w:r>
              <w:rPr>
                <w:rFonts w:ascii="Times New Roman" w:hAnsi="Times New Roman" w:cs="Times New Roman"/>
              </w:rPr>
              <w:t>)</w:t>
            </w:r>
            <w:r w:rsidRPr="006B238B">
              <w:rPr>
                <w:rFonts w:ascii="Times New Roman" w:hAnsi="Times New Roman" w:cs="Times New Roman"/>
              </w:rPr>
              <w:t xml:space="preserve"> </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$31.50</w:t>
            </w:r>
          </w:p>
        </w:tc>
        <w:tc>
          <w:tcPr>
            <w:tcW w:w="2421"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$65.00</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PAR</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trHeight w:val="63"/>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Pr>
                <w:rFonts w:ascii="Times New Roman" w:hAnsi="Times New Roman" w:cs="Times New Roman"/>
              </w:rPr>
              <w:t>True C</w:t>
            </w:r>
            <w:r w:rsidRPr="006B238B">
              <w:rPr>
                <w:rFonts w:ascii="Times New Roman" w:hAnsi="Times New Roman" w:cs="Times New Roman"/>
              </w:rPr>
              <w:t>olor</w:t>
            </w:r>
            <w:r>
              <w:rPr>
                <w:rFonts w:ascii="Times New Roman" w:hAnsi="Times New Roman" w:cs="Times New Roman"/>
              </w:rPr>
              <w:t>*</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$12.00</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w:t>
            </w:r>
            <w:r>
              <w:rPr>
                <w:rFonts w:ascii="Times New Roman" w:hAnsi="Times New Roman" w:cs="Times New Roman"/>
              </w:rPr>
              <w:t>14.50</w:t>
            </w:r>
          </w:p>
        </w:tc>
      </w:tr>
      <w:tr w:rsidR="008D1AD6" w:rsidRPr="00626BE2" w:rsidTr="00DD45CD">
        <w:trPr>
          <w:trHeight w:val="79"/>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lastRenderedPageBreak/>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Turbidity</w:t>
            </w:r>
            <w:r>
              <w:rPr>
                <w:rFonts w:ascii="Times New Roman" w:hAnsi="Times New Roman" w:cs="Times New Roman"/>
              </w:rPr>
              <w:t>*</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$5.80</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w:t>
            </w:r>
            <w:r>
              <w:rPr>
                <w:rFonts w:ascii="Times New Roman" w:hAnsi="Times New Roman" w:cs="Times New Roman"/>
              </w:rPr>
              <w:t>8.30</w:t>
            </w:r>
          </w:p>
        </w:tc>
      </w:tr>
      <w:tr w:rsidR="008D1AD6" w:rsidRPr="006B238B" w:rsidTr="00DD45CD">
        <w:trPr>
          <w:trHeight w:val="95"/>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Total Suspended Solids</w:t>
            </w:r>
          </w:p>
        </w:tc>
        <w:tc>
          <w:tcPr>
            <w:tcW w:w="2360"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$7.90</w:t>
            </w:r>
          </w:p>
        </w:tc>
        <w:tc>
          <w:tcPr>
            <w:tcW w:w="2421" w:type="dxa"/>
            <w:shd w:val="clear" w:color="auto" w:fill="auto"/>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rPr>
              <w:t>$15.00</w:t>
            </w:r>
          </w:p>
        </w:tc>
      </w:tr>
      <w:tr w:rsidR="008D1AD6" w:rsidRPr="006B238B" w:rsidTr="00DD45CD">
        <w:trPr>
          <w:trHeight w:val="111"/>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Dissolved Oxygen</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Specific Conductivity</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pH</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Salinity</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proofErr w:type="spellStart"/>
            <w:r w:rsidRPr="006B238B">
              <w:rPr>
                <w:rFonts w:ascii="Times New Roman" w:hAnsi="Times New Roman" w:cs="Times New Roman"/>
              </w:rPr>
              <w:t>Secchi</w:t>
            </w:r>
            <w:proofErr w:type="spellEnd"/>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trHeight w:val="71"/>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Pr>
                <w:rFonts w:ascii="Times New Roman" w:hAnsi="Times New Roman" w:cs="Times New Roman"/>
              </w:rPr>
              <w:t>Depth of C</w:t>
            </w:r>
            <w:r w:rsidRPr="006B238B">
              <w:rPr>
                <w:rFonts w:ascii="Times New Roman" w:hAnsi="Times New Roman" w:cs="Times New Roman"/>
              </w:rPr>
              <w:t>ollection</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trHeight w:val="87"/>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Total Depth of Sample Site</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trHeight w:val="103"/>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Water Temperature</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Field Conditions</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Field Measurement</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Total Organic Carbon</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$25.00</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Dissolved Organic Carbon*</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$16.15</w:t>
            </w:r>
          </w:p>
        </w:tc>
      </w:tr>
      <w:tr w:rsidR="008D1AD6" w:rsidRPr="006B238B" w:rsidTr="00DD45CD">
        <w:trPr>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Silica*</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$7.90</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$10.40</w:t>
            </w:r>
          </w:p>
        </w:tc>
      </w:tr>
      <w:tr w:rsidR="008D1AD6" w:rsidRPr="006B238B" w:rsidTr="00DD45CD">
        <w:trPr>
          <w:trHeight w:val="63"/>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Alkalinity</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$9.45</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$18.00</w:t>
            </w:r>
          </w:p>
        </w:tc>
      </w:tr>
      <w:tr w:rsidR="008D1AD6" w:rsidRPr="006B238B" w:rsidTr="00DD45CD">
        <w:trPr>
          <w:trHeight w:val="79"/>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Volatile Suspended Solids**</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$15.00</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$15.00</w:t>
            </w:r>
          </w:p>
        </w:tc>
      </w:tr>
      <w:tr w:rsidR="008D1AD6" w:rsidRPr="006B238B" w:rsidTr="00DD45CD">
        <w:trPr>
          <w:trHeight w:val="50"/>
          <w:jc w:val="center"/>
        </w:trPr>
        <w:tc>
          <w:tcPr>
            <w:tcW w:w="1290" w:type="dxa"/>
            <w:shd w:val="clear" w:color="auto" w:fill="auto"/>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rPr>
              <w:t>N/A</w:t>
            </w:r>
          </w:p>
        </w:tc>
        <w:tc>
          <w:tcPr>
            <w:tcW w:w="2579" w:type="dxa"/>
            <w:shd w:val="clear" w:color="auto" w:fill="auto"/>
            <w:tcMar>
              <w:top w:w="15" w:type="dxa"/>
              <w:left w:w="15" w:type="dxa"/>
              <w:bottom w:w="0" w:type="dxa"/>
              <w:right w:w="15" w:type="dxa"/>
            </w:tcMar>
            <w:vAlign w:val="bottom"/>
            <w:hideMark/>
          </w:tcPr>
          <w:p w:rsidR="008D1AD6" w:rsidRPr="00DC3AEE" w:rsidRDefault="008D1AD6" w:rsidP="00DD45CD">
            <w:pPr>
              <w:jc w:val="both"/>
              <w:rPr>
                <w:rFonts w:ascii="Times New Roman" w:hAnsi="Times New Roman" w:cs="Times New Roman"/>
              </w:rPr>
            </w:pPr>
            <w:r w:rsidRPr="00DC3AEE">
              <w:rPr>
                <w:rFonts w:ascii="Times New Roman" w:hAnsi="Times New Roman" w:cs="Times New Roman"/>
              </w:rPr>
              <w:t>Preservatives</w:t>
            </w:r>
          </w:p>
        </w:tc>
        <w:tc>
          <w:tcPr>
            <w:tcW w:w="2360"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sidRPr="00DC3AEE">
              <w:rPr>
                <w:rFonts w:ascii="Times New Roman" w:hAnsi="Times New Roman" w:cs="Times New Roman"/>
              </w:rPr>
              <w:t>$2.50</w:t>
            </w:r>
          </w:p>
        </w:tc>
        <w:tc>
          <w:tcPr>
            <w:tcW w:w="2421" w:type="dxa"/>
            <w:shd w:val="clear" w:color="auto" w:fill="auto"/>
            <w:tcMar>
              <w:top w:w="15" w:type="dxa"/>
              <w:left w:w="15" w:type="dxa"/>
              <w:bottom w:w="0" w:type="dxa"/>
              <w:right w:w="15" w:type="dxa"/>
            </w:tcMar>
            <w:vAlign w:val="bottom"/>
            <w:hideMark/>
          </w:tcPr>
          <w:p w:rsidR="008D1AD6" w:rsidRPr="00DC3AEE" w:rsidRDefault="008D1AD6" w:rsidP="00DD45CD">
            <w:pPr>
              <w:jc w:val="right"/>
              <w:rPr>
                <w:rFonts w:ascii="Times New Roman" w:hAnsi="Times New Roman" w:cs="Times New Roman"/>
              </w:rPr>
            </w:pPr>
            <w:r>
              <w:rPr>
                <w:rFonts w:ascii="Times New Roman" w:hAnsi="Times New Roman" w:cs="Times New Roman"/>
              </w:rPr>
              <w:t>Included in Lab C</w:t>
            </w:r>
            <w:r w:rsidRPr="00DC3AEE">
              <w:rPr>
                <w:rFonts w:ascii="Times New Roman" w:hAnsi="Times New Roman" w:cs="Times New Roman"/>
              </w:rPr>
              <w:t>osts</w:t>
            </w:r>
          </w:p>
        </w:tc>
      </w:tr>
      <w:tr w:rsidR="008D1AD6" w:rsidRPr="006B238B" w:rsidTr="00DD45CD">
        <w:trPr>
          <w:trHeight w:val="50"/>
          <w:jc w:val="center"/>
        </w:trPr>
        <w:tc>
          <w:tcPr>
            <w:tcW w:w="1290" w:type="dxa"/>
            <w:shd w:val="clear" w:color="auto" w:fill="BFBFBF" w:themeFill="background1" w:themeFillShade="BF"/>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b/>
                <w:bCs/>
              </w:rPr>
              <w:t>Total</w:t>
            </w:r>
          </w:p>
        </w:tc>
        <w:tc>
          <w:tcPr>
            <w:tcW w:w="2579" w:type="dxa"/>
            <w:shd w:val="clear" w:color="auto" w:fill="BFBFBF" w:themeFill="background1" w:themeFillShade="BF"/>
            <w:tcMar>
              <w:top w:w="15" w:type="dxa"/>
              <w:left w:w="15" w:type="dxa"/>
              <w:bottom w:w="0" w:type="dxa"/>
              <w:right w:w="15" w:type="dxa"/>
            </w:tcMar>
            <w:vAlign w:val="bottom"/>
            <w:hideMark/>
          </w:tcPr>
          <w:p w:rsidR="008D1AD6" w:rsidRPr="006B238B" w:rsidRDefault="008D1AD6" w:rsidP="00DD45CD">
            <w:pPr>
              <w:jc w:val="both"/>
              <w:rPr>
                <w:rFonts w:ascii="Times New Roman" w:hAnsi="Times New Roman" w:cs="Times New Roman"/>
              </w:rPr>
            </w:pPr>
            <w:r w:rsidRPr="006B238B">
              <w:rPr>
                <w:rFonts w:ascii="Times New Roman" w:hAnsi="Times New Roman" w:cs="Times New Roman"/>
                <w:b/>
                <w:bCs/>
              </w:rPr>
              <w:t>Total</w:t>
            </w:r>
          </w:p>
        </w:tc>
        <w:tc>
          <w:tcPr>
            <w:tcW w:w="2360" w:type="dxa"/>
            <w:shd w:val="clear" w:color="auto" w:fill="BFBFBF" w:themeFill="background1" w:themeFillShade="BF"/>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b/>
                <w:bCs/>
              </w:rPr>
              <w:t>$202.30</w:t>
            </w:r>
          </w:p>
        </w:tc>
        <w:tc>
          <w:tcPr>
            <w:tcW w:w="2421" w:type="dxa"/>
            <w:shd w:val="clear" w:color="auto" w:fill="BFBFBF" w:themeFill="background1" w:themeFillShade="BF"/>
            <w:tcMar>
              <w:top w:w="15" w:type="dxa"/>
              <w:left w:w="15" w:type="dxa"/>
              <w:bottom w:w="0" w:type="dxa"/>
              <w:right w:w="15" w:type="dxa"/>
            </w:tcMar>
            <w:vAlign w:val="bottom"/>
            <w:hideMark/>
          </w:tcPr>
          <w:p w:rsidR="008D1AD6" w:rsidRPr="006B238B" w:rsidRDefault="008D1AD6" w:rsidP="00DD45CD">
            <w:pPr>
              <w:jc w:val="right"/>
              <w:rPr>
                <w:rFonts w:ascii="Times New Roman" w:hAnsi="Times New Roman" w:cs="Times New Roman"/>
              </w:rPr>
            </w:pPr>
            <w:r w:rsidRPr="006B238B">
              <w:rPr>
                <w:rFonts w:ascii="Times New Roman" w:hAnsi="Times New Roman" w:cs="Times New Roman"/>
                <w:b/>
                <w:bCs/>
              </w:rPr>
              <w:t>$</w:t>
            </w:r>
            <w:r>
              <w:rPr>
                <w:rFonts w:ascii="Times New Roman" w:hAnsi="Times New Roman" w:cs="Times New Roman"/>
                <w:b/>
                <w:bCs/>
              </w:rPr>
              <w:t>307.35</w:t>
            </w:r>
          </w:p>
        </w:tc>
      </w:tr>
    </w:tbl>
    <w:p w:rsidR="006B238B" w:rsidRPr="006B238B" w:rsidRDefault="006B238B" w:rsidP="006B238B">
      <w:pPr>
        <w:jc w:val="both"/>
        <w:rPr>
          <w:rFonts w:ascii="Times New Roman" w:hAnsi="Times New Roman" w:cs="Times New Roman"/>
          <w:sz w:val="20"/>
          <w:szCs w:val="20"/>
        </w:rPr>
      </w:pPr>
      <w:r w:rsidRPr="006B238B">
        <w:rPr>
          <w:rFonts w:ascii="Times New Roman" w:hAnsi="Times New Roman" w:cs="Times New Roman"/>
          <w:sz w:val="20"/>
          <w:szCs w:val="20"/>
        </w:rPr>
        <w:t xml:space="preserve">*Note: ENCO </w:t>
      </w:r>
      <w:r w:rsidR="006748A4">
        <w:rPr>
          <w:rFonts w:ascii="Times New Roman" w:hAnsi="Times New Roman" w:cs="Times New Roman"/>
          <w:sz w:val="20"/>
          <w:szCs w:val="20"/>
        </w:rPr>
        <w:t xml:space="preserve">lab </w:t>
      </w:r>
      <w:r w:rsidRPr="006B238B">
        <w:rPr>
          <w:rFonts w:ascii="Times New Roman" w:hAnsi="Times New Roman" w:cs="Times New Roman"/>
          <w:sz w:val="20"/>
          <w:szCs w:val="20"/>
        </w:rPr>
        <w:t>does not analyze</w:t>
      </w:r>
      <w:r w:rsidR="008D1AD6">
        <w:rPr>
          <w:rFonts w:ascii="Times New Roman" w:hAnsi="Times New Roman" w:cs="Times New Roman"/>
          <w:sz w:val="20"/>
          <w:szCs w:val="20"/>
        </w:rPr>
        <w:t xml:space="preserve"> true color, turbidity,</w:t>
      </w:r>
      <w:r w:rsidRPr="006B238B">
        <w:rPr>
          <w:rFonts w:ascii="Times New Roman" w:hAnsi="Times New Roman" w:cs="Times New Roman"/>
          <w:sz w:val="20"/>
          <w:szCs w:val="20"/>
        </w:rPr>
        <w:t xml:space="preserve"> dissolved organic carbon</w:t>
      </w:r>
      <w:r w:rsidR="008D1AD6">
        <w:rPr>
          <w:rFonts w:ascii="Times New Roman" w:hAnsi="Times New Roman" w:cs="Times New Roman"/>
          <w:sz w:val="20"/>
          <w:szCs w:val="20"/>
        </w:rPr>
        <w:t>,</w:t>
      </w:r>
      <w:r w:rsidRPr="006B238B">
        <w:rPr>
          <w:rFonts w:ascii="Times New Roman" w:hAnsi="Times New Roman" w:cs="Times New Roman"/>
          <w:sz w:val="20"/>
          <w:szCs w:val="20"/>
        </w:rPr>
        <w:t xml:space="preserve"> or silica.</w:t>
      </w:r>
    </w:p>
    <w:p w:rsidR="006B238B" w:rsidRPr="006B238B" w:rsidRDefault="006B238B" w:rsidP="006B238B">
      <w:pPr>
        <w:jc w:val="both"/>
        <w:rPr>
          <w:rFonts w:ascii="Times New Roman" w:hAnsi="Times New Roman" w:cs="Times New Roman"/>
          <w:sz w:val="20"/>
          <w:szCs w:val="20"/>
        </w:rPr>
      </w:pPr>
      <w:r w:rsidRPr="006B238B">
        <w:rPr>
          <w:rFonts w:ascii="Times New Roman" w:hAnsi="Times New Roman" w:cs="Times New Roman"/>
          <w:sz w:val="20"/>
          <w:szCs w:val="20"/>
        </w:rPr>
        <w:t xml:space="preserve">** Note: FDEP </w:t>
      </w:r>
      <w:r w:rsidR="006748A4">
        <w:rPr>
          <w:rFonts w:ascii="Times New Roman" w:hAnsi="Times New Roman" w:cs="Times New Roman"/>
          <w:sz w:val="20"/>
          <w:szCs w:val="20"/>
        </w:rPr>
        <w:t xml:space="preserve">lab </w:t>
      </w:r>
      <w:r w:rsidRPr="006B238B">
        <w:rPr>
          <w:rFonts w:ascii="Times New Roman" w:hAnsi="Times New Roman" w:cs="Times New Roman"/>
          <w:sz w:val="20"/>
          <w:szCs w:val="20"/>
        </w:rPr>
        <w:t>does not analyze volatile suspended solids.</w:t>
      </w:r>
    </w:p>
    <w:p w:rsidR="007F3EEF" w:rsidRPr="006B238B" w:rsidRDefault="007F3EEF" w:rsidP="006B238B">
      <w:pPr>
        <w:jc w:val="both"/>
        <w:rPr>
          <w:rFonts w:ascii="Times New Roman" w:hAnsi="Times New Roman" w:cs="Times New Roman"/>
          <w:sz w:val="24"/>
          <w:szCs w:val="24"/>
        </w:rPr>
      </w:pPr>
    </w:p>
    <w:p w:rsidR="00423B54" w:rsidRPr="00423B54" w:rsidRDefault="007F3EEF" w:rsidP="00423B54">
      <w:pPr>
        <w:jc w:val="both"/>
        <w:rPr>
          <w:rFonts w:ascii="Times New Roman" w:hAnsi="Times New Roman" w:cs="Times New Roman"/>
          <w:b/>
          <w:sz w:val="24"/>
          <w:szCs w:val="24"/>
          <w:u w:val="single"/>
        </w:rPr>
      </w:pPr>
      <w:r>
        <w:rPr>
          <w:rFonts w:ascii="Times New Roman" w:hAnsi="Times New Roman" w:cs="Times New Roman"/>
          <w:b/>
          <w:sz w:val="24"/>
          <w:szCs w:val="24"/>
          <w:u w:val="single"/>
        </w:rPr>
        <w:t>Tertiary Monitoring</w:t>
      </w:r>
    </w:p>
    <w:p w:rsidR="007F3EEF" w:rsidRPr="00903FEB"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Pr="00903FEB">
        <w:rPr>
          <w:rFonts w:ascii="Times New Roman" w:hAnsi="Times New Roman" w:cs="Times New Roman"/>
          <w:sz w:val="24"/>
          <w:szCs w:val="24"/>
        </w:rPr>
        <w:t xml:space="preserve"> – Gather data </w:t>
      </w:r>
      <w:proofErr w:type="gramStart"/>
      <w:r w:rsidRPr="00903FEB">
        <w:rPr>
          <w:rFonts w:ascii="Times New Roman" w:hAnsi="Times New Roman" w:cs="Times New Roman"/>
          <w:sz w:val="24"/>
          <w:szCs w:val="24"/>
        </w:rPr>
        <w:t>to better understand</w:t>
      </w:r>
      <w:proofErr w:type="gramEnd"/>
      <w:r w:rsidRPr="00903FEB">
        <w:rPr>
          <w:rFonts w:ascii="Times New Roman" w:hAnsi="Times New Roman" w:cs="Times New Roman"/>
          <w:sz w:val="24"/>
          <w:szCs w:val="24"/>
        </w:rPr>
        <w:t xml:space="preserve"> the watershed, water quality dynamics, and seagrass response.  Examples include:</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Track watershed loads by monitoring inflow and outflow nutrient concentrations for each jurisdiction along tributaries of the lagoon.</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monitoring along the existing seagrass transects to track seagrass composition, density, and extent.</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 xml:space="preserve">Continue phytoplankton, drift algae, and </w:t>
      </w:r>
      <w:proofErr w:type="spellStart"/>
      <w:r w:rsidRPr="00423B54">
        <w:rPr>
          <w:rFonts w:ascii="Times New Roman" w:hAnsi="Times New Roman" w:cs="Times New Roman"/>
          <w:sz w:val="24"/>
          <w:szCs w:val="24"/>
        </w:rPr>
        <w:t>macroalgae</w:t>
      </w:r>
      <w:proofErr w:type="spellEnd"/>
      <w:r w:rsidRPr="00423B54">
        <w:rPr>
          <w:rFonts w:ascii="Times New Roman" w:hAnsi="Times New Roman" w:cs="Times New Roman"/>
          <w:sz w:val="24"/>
          <w:szCs w:val="24"/>
        </w:rPr>
        <w:t xml:space="preserve"> monitoring in the basin.</w:t>
      </w:r>
    </w:p>
    <w:p w:rsidR="007F3EEF"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Verify the best management practice effectiveness values used in the BMAP, as needed.</w:t>
      </w:r>
    </w:p>
    <w:p w:rsidR="007F3EEF" w:rsidRDefault="007F3EEF" w:rsidP="007F3EE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Implement storm event monitoring at the major outfalls.</w:t>
      </w:r>
    </w:p>
    <w:p w:rsidR="007F3EEF" w:rsidRDefault="007F3EEF" w:rsidP="007F3EE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Collect data to update the bathymetry coverage for the IRL Basin.</w:t>
      </w:r>
    </w:p>
    <w:p w:rsidR="007F3EEF" w:rsidRDefault="00E45E77" w:rsidP="007F3EEF">
      <w:pPr>
        <w:pStyle w:val="ListParagraph"/>
        <w:numPr>
          <w:ilvl w:val="0"/>
          <w:numId w:val="8"/>
        </w:numPr>
        <w:jc w:val="both"/>
        <w:rPr>
          <w:rFonts w:ascii="Times New Roman" w:hAnsi="Times New Roman" w:cs="Times New Roman"/>
          <w:sz w:val="24"/>
          <w:szCs w:val="24"/>
        </w:rPr>
      </w:pPr>
      <w:r>
        <w:rPr>
          <w:rFonts w:ascii="Times New Roman" w:hAnsi="Times New Roman" w:cs="Times New Roman"/>
          <w:b/>
          <w:i/>
          <w:sz w:val="24"/>
          <w:szCs w:val="24"/>
        </w:rPr>
        <w:t>Funding</w:t>
      </w:r>
      <w:r w:rsidR="007F3EEF" w:rsidRPr="0092400F">
        <w:rPr>
          <w:rFonts w:ascii="Times New Roman" w:hAnsi="Times New Roman" w:cs="Times New Roman"/>
          <w:sz w:val="24"/>
          <w:szCs w:val="24"/>
        </w:rPr>
        <w:t xml:space="preserve"> – </w:t>
      </w:r>
      <w:r w:rsidR="007F3EEF">
        <w:rPr>
          <w:rFonts w:ascii="Times New Roman" w:hAnsi="Times New Roman" w:cs="Times New Roman"/>
          <w:sz w:val="24"/>
          <w:szCs w:val="24"/>
        </w:rPr>
        <w:t>T</w:t>
      </w:r>
      <w:r w:rsidR="007F3EEF" w:rsidRPr="0092400F">
        <w:rPr>
          <w:rFonts w:ascii="Times New Roman" w:hAnsi="Times New Roman" w:cs="Times New Roman"/>
          <w:sz w:val="24"/>
          <w:szCs w:val="24"/>
        </w:rPr>
        <w:t>he stakehold</w:t>
      </w:r>
      <w:r w:rsidR="007F3EEF">
        <w:rPr>
          <w:rFonts w:ascii="Times New Roman" w:hAnsi="Times New Roman" w:cs="Times New Roman"/>
          <w:sz w:val="24"/>
          <w:szCs w:val="24"/>
        </w:rPr>
        <w:t>ers would fund this monitoring based on the priorities identified by the stakeholders</w:t>
      </w:r>
      <w:r w:rsidR="007F3EEF" w:rsidRPr="0092400F">
        <w:rPr>
          <w:rFonts w:ascii="Times New Roman" w:hAnsi="Times New Roman" w:cs="Times New Roman"/>
          <w:sz w:val="24"/>
          <w:szCs w:val="24"/>
        </w:rPr>
        <w:t>.</w:t>
      </w:r>
    </w:p>
    <w:p w:rsidR="00E45E77" w:rsidRDefault="00E45E77" w:rsidP="007F3EEF">
      <w:pPr>
        <w:pStyle w:val="ListParagraph"/>
        <w:numPr>
          <w:ilvl w:val="0"/>
          <w:numId w:val="8"/>
        </w:numPr>
        <w:jc w:val="both"/>
        <w:rPr>
          <w:rFonts w:ascii="Times New Roman" w:hAnsi="Times New Roman" w:cs="Times New Roman"/>
          <w:sz w:val="24"/>
          <w:szCs w:val="24"/>
        </w:rPr>
      </w:pPr>
      <w:r>
        <w:rPr>
          <w:rFonts w:ascii="Times New Roman" w:hAnsi="Times New Roman" w:cs="Times New Roman"/>
          <w:b/>
          <w:i/>
          <w:sz w:val="24"/>
          <w:szCs w:val="24"/>
        </w:rPr>
        <w:t xml:space="preserve">Frequency </w:t>
      </w:r>
      <w:r>
        <w:rPr>
          <w:rFonts w:ascii="Times New Roman" w:hAnsi="Times New Roman" w:cs="Times New Roman"/>
          <w:sz w:val="24"/>
          <w:szCs w:val="24"/>
        </w:rPr>
        <w:t>– The tertiary monitoring would likely be shorter-term monitoring, which would not have to be conducted for the full five-year BMAP period</w:t>
      </w:r>
    </w:p>
    <w:p w:rsidR="00E45E77" w:rsidRPr="00E45E77" w:rsidRDefault="00E45E77" w:rsidP="00E45E77">
      <w:pPr>
        <w:pStyle w:val="ListParagraph"/>
        <w:numPr>
          <w:ilvl w:val="0"/>
          <w:numId w:val="8"/>
        </w:numPr>
        <w:jc w:val="both"/>
        <w:rPr>
          <w:rFonts w:ascii="Times New Roman" w:hAnsi="Times New Roman" w:cs="Times New Roman"/>
          <w:sz w:val="24"/>
          <w:szCs w:val="24"/>
        </w:rPr>
      </w:pPr>
      <w:r w:rsidRPr="00E45E77">
        <w:rPr>
          <w:rFonts w:ascii="Times New Roman" w:hAnsi="Times New Roman" w:cs="Times New Roman"/>
          <w:sz w:val="24"/>
          <w:szCs w:val="24"/>
        </w:rPr>
        <w:t>The stakeholders will need to identify what, if any, tertiary monitoring should be included in the monitoring plan.  The tertiary monitoring could also be listed in a separate “Research Studies” section in the BMAP.  These studies would be listed as priorities for the stakeholders if funding becomes available.</w:t>
      </w:r>
    </w:p>
    <w:p w:rsidR="00423B54" w:rsidRPr="00423B54" w:rsidRDefault="00423B54" w:rsidP="00423B54">
      <w:pPr>
        <w:jc w:val="both"/>
        <w:rPr>
          <w:rFonts w:ascii="Times New Roman" w:hAnsi="Times New Roman" w:cs="Times New Roman"/>
          <w:sz w:val="24"/>
          <w:szCs w:val="24"/>
        </w:rPr>
      </w:pPr>
    </w:p>
    <w:sectPr w:rsidR="00423B54" w:rsidRPr="00423B54"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CE2" w:rsidRDefault="00CC7CE2" w:rsidP="00F72625">
      <w:r>
        <w:separator/>
      </w:r>
    </w:p>
  </w:endnote>
  <w:endnote w:type="continuationSeparator" w:id="0">
    <w:p w:rsidR="00CC7CE2" w:rsidRDefault="00CC7CE2" w:rsidP="00F726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4667"/>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0B3D38" w:rsidRDefault="00146E88" w:rsidP="00F72625">
            <w:pPr>
              <w:pStyle w:val="Footer"/>
            </w:pPr>
            <w:r>
              <w:rPr>
                <w:rFonts w:ascii="Times New Roman" w:hAnsi="Times New Roman" w:cs="Times New Roman"/>
                <w:sz w:val="20"/>
                <w:szCs w:val="20"/>
              </w:rPr>
              <w:t>Distribution</w:t>
            </w:r>
            <w:r w:rsidR="000B3D38">
              <w:tab/>
            </w:r>
            <w:r w:rsidR="000B3D38" w:rsidRPr="00F72625">
              <w:rPr>
                <w:rFonts w:ascii="Times New Roman" w:hAnsi="Times New Roman" w:cs="Times New Roman"/>
                <w:sz w:val="20"/>
                <w:szCs w:val="20"/>
              </w:rPr>
              <w:t xml:space="preserve">Page </w:t>
            </w:r>
            <w:r w:rsidR="00573D0C" w:rsidRPr="00F72625">
              <w:rPr>
                <w:rFonts w:ascii="Times New Roman" w:hAnsi="Times New Roman" w:cs="Times New Roman"/>
                <w:sz w:val="20"/>
                <w:szCs w:val="20"/>
              </w:rPr>
              <w:fldChar w:fldCharType="begin"/>
            </w:r>
            <w:r w:rsidR="000B3D38" w:rsidRPr="00F72625">
              <w:rPr>
                <w:rFonts w:ascii="Times New Roman" w:hAnsi="Times New Roman" w:cs="Times New Roman"/>
                <w:sz w:val="20"/>
                <w:szCs w:val="20"/>
              </w:rPr>
              <w:instrText xml:space="preserve"> PAGE </w:instrText>
            </w:r>
            <w:r w:rsidR="00573D0C" w:rsidRPr="00F72625">
              <w:rPr>
                <w:rFonts w:ascii="Times New Roman" w:hAnsi="Times New Roman" w:cs="Times New Roman"/>
                <w:sz w:val="20"/>
                <w:szCs w:val="20"/>
              </w:rPr>
              <w:fldChar w:fldCharType="separate"/>
            </w:r>
            <w:r>
              <w:rPr>
                <w:rFonts w:ascii="Times New Roman" w:hAnsi="Times New Roman" w:cs="Times New Roman"/>
                <w:noProof/>
                <w:sz w:val="20"/>
                <w:szCs w:val="20"/>
              </w:rPr>
              <w:t>1</w:t>
            </w:r>
            <w:r w:rsidR="00573D0C" w:rsidRPr="00F72625">
              <w:rPr>
                <w:rFonts w:ascii="Times New Roman" w:hAnsi="Times New Roman" w:cs="Times New Roman"/>
                <w:sz w:val="20"/>
                <w:szCs w:val="20"/>
              </w:rPr>
              <w:fldChar w:fldCharType="end"/>
            </w:r>
            <w:r w:rsidR="000B3D38" w:rsidRPr="00F72625">
              <w:rPr>
                <w:rFonts w:ascii="Times New Roman" w:hAnsi="Times New Roman" w:cs="Times New Roman"/>
                <w:sz w:val="20"/>
                <w:szCs w:val="20"/>
              </w:rPr>
              <w:t xml:space="preserve"> of </w:t>
            </w:r>
            <w:r w:rsidR="00573D0C" w:rsidRPr="00F72625">
              <w:rPr>
                <w:rFonts w:ascii="Times New Roman" w:hAnsi="Times New Roman" w:cs="Times New Roman"/>
                <w:sz w:val="20"/>
                <w:szCs w:val="20"/>
              </w:rPr>
              <w:fldChar w:fldCharType="begin"/>
            </w:r>
            <w:r w:rsidR="000B3D38" w:rsidRPr="00F72625">
              <w:rPr>
                <w:rFonts w:ascii="Times New Roman" w:hAnsi="Times New Roman" w:cs="Times New Roman"/>
                <w:sz w:val="20"/>
                <w:szCs w:val="20"/>
              </w:rPr>
              <w:instrText xml:space="preserve"> NUMPAGES  </w:instrText>
            </w:r>
            <w:r w:rsidR="00573D0C" w:rsidRPr="00F72625">
              <w:rPr>
                <w:rFonts w:ascii="Times New Roman" w:hAnsi="Times New Roman" w:cs="Times New Roman"/>
                <w:sz w:val="20"/>
                <w:szCs w:val="20"/>
              </w:rPr>
              <w:fldChar w:fldCharType="separate"/>
            </w:r>
            <w:r>
              <w:rPr>
                <w:rFonts w:ascii="Times New Roman" w:hAnsi="Times New Roman" w:cs="Times New Roman"/>
                <w:noProof/>
                <w:sz w:val="20"/>
                <w:szCs w:val="20"/>
              </w:rPr>
              <w:t>3</w:t>
            </w:r>
            <w:r w:rsidR="00573D0C" w:rsidRPr="00F72625">
              <w:rPr>
                <w:rFonts w:ascii="Times New Roman" w:hAnsi="Times New Roman" w:cs="Times New Roman"/>
                <w:sz w:val="20"/>
                <w:szCs w:val="20"/>
              </w:rPr>
              <w:fldChar w:fldCharType="end"/>
            </w:r>
          </w:p>
        </w:sdtContent>
      </w:sdt>
    </w:sdtContent>
  </w:sdt>
  <w:p w:rsidR="000B3D38" w:rsidRDefault="000B3D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CE2" w:rsidRDefault="00CC7CE2" w:rsidP="00F72625">
      <w:r>
        <w:separator/>
      </w:r>
    </w:p>
  </w:footnote>
  <w:footnote w:type="continuationSeparator" w:id="0">
    <w:p w:rsidR="00CC7CE2" w:rsidRDefault="00CC7CE2" w:rsidP="00F72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2005"/>
    <w:multiLevelType w:val="hybridMultilevel"/>
    <w:tmpl w:val="23DE3F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115DB"/>
    <w:multiLevelType w:val="hybridMultilevel"/>
    <w:tmpl w:val="868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E7F24"/>
    <w:multiLevelType w:val="hybridMultilevel"/>
    <w:tmpl w:val="B816C4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04919D2"/>
    <w:multiLevelType w:val="hybridMultilevel"/>
    <w:tmpl w:val="E47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2069D"/>
    <w:multiLevelType w:val="hybridMultilevel"/>
    <w:tmpl w:val="E612C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B90A18"/>
    <w:multiLevelType w:val="hybridMultilevel"/>
    <w:tmpl w:val="0A8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542EAE"/>
    <w:multiLevelType w:val="hybridMultilevel"/>
    <w:tmpl w:val="8CBA5AE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BC5792"/>
    <w:multiLevelType w:val="hybridMultilevel"/>
    <w:tmpl w:val="2EBE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101D8"/>
    <w:multiLevelType w:val="hybridMultilevel"/>
    <w:tmpl w:val="E2CAF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910BA"/>
    <w:rsid w:val="00006608"/>
    <w:rsid w:val="0007411E"/>
    <w:rsid w:val="00075CAF"/>
    <w:rsid w:val="000761FB"/>
    <w:rsid w:val="00091552"/>
    <w:rsid w:val="000A5EDE"/>
    <w:rsid w:val="000B3D38"/>
    <w:rsid w:val="000C3478"/>
    <w:rsid w:val="000D00A6"/>
    <w:rsid w:val="000E6C4B"/>
    <w:rsid w:val="00101FF7"/>
    <w:rsid w:val="00110525"/>
    <w:rsid w:val="0011552D"/>
    <w:rsid w:val="00145CFD"/>
    <w:rsid w:val="00146E88"/>
    <w:rsid w:val="001500E9"/>
    <w:rsid w:val="00195558"/>
    <w:rsid w:val="001E5E11"/>
    <w:rsid w:val="001F6164"/>
    <w:rsid w:val="002769C3"/>
    <w:rsid w:val="00276DC3"/>
    <w:rsid w:val="00282AC4"/>
    <w:rsid w:val="002A2D98"/>
    <w:rsid w:val="002A5E8F"/>
    <w:rsid w:val="002B7CEA"/>
    <w:rsid w:val="002D39BC"/>
    <w:rsid w:val="002F145A"/>
    <w:rsid w:val="00380866"/>
    <w:rsid w:val="003A372A"/>
    <w:rsid w:val="003F350B"/>
    <w:rsid w:val="00423B54"/>
    <w:rsid w:val="00442BF0"/>
    <w:rsid w:val="004A0CF2"/>
    <w:rsid w:val="004A5BF7"/>
    <w:rsid w:val="004C30BE"/>
    <w:rsid w:val="00515E24"/>
    <w:rsid w:val="0053680B"/>
    <w:rsid w:val="00543291"/>
    <w:rsid w:val="00550EB6"/>
    <w:rsid w:val="00573D0C"/>
    <w:rsid w:val="005979E6"/>
    <w:rsid w:val="005A7D5A"/>
    <w:rsid w:val="00635891"/>
    <w:rsid w:val="00662CF7"/>
    <w:rsid w:val="006748A4"/>
    <w:rsid w:val="006B238B"/>
    <w:rsid w:val="006C4BF8"/>
    <w:rsid w:val="006E20C2"/>
    <w:rsid w:val="006E334A"/>
    <w:rsid w:val="006F3C04"/>
    <w:rsid w:val="007273D1"/>
    <w:rsid w:val="00734BA0"/>
    <w:rsid w:val="00741E2B"/>
    <w:rsid w:val="00772853"/>
    <w:rsid w:val="007F3EEF"/>
    <w:rsid w:val="007F42A8"/>
    <w:rsid w:val="00807AA1"/>
    <w:rsid w:val="00843B35"/>
    <w:rsid w:val="00867E84"/>
    <w:rsid w:val="00890584"/>
    <w:rsid w:val="008953E3"/>
    <w:rsid w:val="008D1AD6"/>
    <w:rsid w:val="008D58CF"/>
    <w:rsid w:val="008F21A0"/>
    <w:rsid w:val="00903FEB"/>
    <w:rsid w:val="0092400F"/>
    <w:rsid w:val="00931ABC"/>
    <w:rsid w:val="00942CE6"/>
    <w:rsid w:val="0097017E"/>
    <w:rsid w:val="009A42D3"/>
    <w:rsid w:val="009F1A7E"/>
    <w:rsid w:val="00A03104"/>
    <w:rsid w:val="00A34D2B"/>
    <w:rsid w:val="00A35FC5"/>
    <w:rsid w:val="00A51CCB"/>
    <w:rsid w:val="00A80FBA"/>
    <w:rsid w:val="00A81940"/>
    <w:rsid w:val="00AB01D2"/>
    <w:rsid w:val="00AD6210"/>
    <w:rsid w:val="00AE73DC"/>
    <w:rsid w:val="00B20951"/>
    <w:rsid w:val="00B22A2B"/>
    <w:rsid w:val="00B34356"/>
    <w:rsid w:val="00B5630E"/>
    <w:rsid w:val="00B80227"/>
    <w:rsid w:val="00BD7A2C"/>
    <w:rsid w:val="00BE6B28"/>
    <w:rsid w:val="00C23854"/>
    <w:rsid w:val="00C513B2"/>
    <w:rsid w:val="00C72BE5"/>
    <w:rsid w:val="00C910BA"/>
    <w:rsid w:val="00CA5485"/>
    <w:rsid w:val="00CC7CE2"/>
    <w:rsid w:val="00CF1E69"/>
    <w:rsid w:val="00D47681"/>
    <w:rsid w:val="00D57EFD"/>
    <w:rsid w:val="00D76849"/>
    <w:rsid w:val="00D76B2C"/>
    <w:rsid w:val="00DA08FE"/>
    <w:rsid w:val="00DC7F9B"/>
    <w:rsid w:val="00DD212B"/>
    <w:rsid w:val="00DD59F4"/>
    <w:rsid w:val="00DE49D6"/>
    <w:rsid w:val="00DF211E"/>
    <w:rsid w:val="00E11B73"/>
    <w:rsid w:val="00E45E77"/>
    <w:rsid w:val="00E577B4"/>
    <w:rsid w:val="00E714A0"/>
    <w:rsid w:val="00E75B89"/>
    <w:rsid w:val="00EA59D4"/>
    <w:rsid w:val="00EB6F7F"/>
    <w:rsid w:val="00ED6779"/>
    <w:rsid w:val="00F15A8B"/>
    <w:rsid w:val="00F71840"/>
    <w:rsid w:val="00F71F8C"/>
    <w:rsid w:val="00F72625"/>
    <w:rsid w:val="00F82843"/>
    <w:rsid w:val="00F97CA0"/>
    <w:rsid w:val="00FB4BBC"/>
    <w:rsid w:val="00FC6B79"/>
    <w:rsid w:val="00FF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0BA"/>
    <w:pPr>
      <w:ind w:left="720"/>
      <w:contextualSpacing/>
    </w:pPr>
  </w:style>
  <w:style w:type="paragraph" w:styleId="Header">
    <w:name w:val="header"/>
    <w:basedOn w:val="Normal"/>
    <w:link w:val="HeaderChar"/>
    <w:uiPriority w:val="99"/>
    <w:semiHidden/>
    <w:unhideWhenUsed/>
    <w:rsid w:val="00F72625"/>
    <w:pPr>
      <w:tabs>
        <w:tab w:val="center" w:pos="4680"/>
        <w:tab w:val="right" w:pos="9360"/>
      </w:tabs>
    </w:pPr>
  </w:style>
  <w:style w:type="character" w:customStyle="1" w:styleId="HeaderChar">
    <w:name w:val="Header Char"/>
    <w:basedOn w:val="DefaultParagraphFont"/>
    <w:link w:val="Header"/>
    <w:uiPriority w:val="99"/>
    <w:semiHidden/>
    <w:rsid w:val="00F72625"/>
  </w:style>
  <w:style w:type="paragraph" w:styleId="Footer">
    <w:name w:val="footer"/>
    <w:basedOn w:val="Normal"/>
    <w:link w:val="FooterChar"/>
    <w:uiPriority w:val="99"/>
    <w:unhideWhenUsed/>
    <w:rsid w:val="00F72625"/>
    <w:pPr>
      <w:tabs>
        <w:tab w:val="center" w:pos="4680"/>
        <w:tab w:val="right" w:pos="9360"/>
      </w:tabs>
    </w:pPr>
  </w:style>
  <w:style w:type="character" w:customStyle="1" w:styleId="FooterChar">
    <w:name w:val="Footer Char"/>
    <w:basedOn w:val="DefaultParagraphFont"/>
    <w:link w:val="Footer"/>
    <w:uiPriority w:val="99"/>
    <w:rsid w:val="00F72625"/>
  </w:style>
  <w:style w:type="table" w:styleId="TableGrid">
    <w:name w:val="Table Grid"/>
    <w:basedOn w:val="TableNormal"/>
    <w:uiPriority w:val="59"/>
    <w:rsid w:val="00A03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840"/>
    <w:rPr>
      <w:sz w:val="16"/>
      <w:szCs w:val="16"/>
    </w:rPr>
  </w:style>
  <w:style w:type="paragraph" w:styleId="CommentText">
    <w:name w:val="annotation text"/>
    <w:basedOn w:val="Normal"/>
    <w:link w:val="CommentTextChar"/>
    <w:uiPriority w:val="99"/>
    <w:semiHidden/>
    <w:unhideWhenUsed/>
    <w:rsid w:val="00F71840"/>
    <w:rPr>
      <w:sz w:val="20"/>
      <w:szCs w:val="20"/>
    </w:rPr>
  </w:style>
  <w:style w:type="character" w:customStyle="1" w:styleId="CommentTextChar">
    <w:name w:val="Comment Text Char"/>
    <w:basedOn w:val="DefaultParagraphFont"/>
    <w:link w:val="CommentText"/>
    <w:uiPriority w:val="99"/>
    <w:semiHidden/>
    <w:rsid w:val="00F71840"/>
    <w:rPr>
      <w:sz w:val="20"/>
      <w:szCs w:val="20"/>
    </w:rPr>
  </w:style>
  <w:style w:type="paragraph" w:styleId="CommentSubject">
    <w:name w:val="annotation subject"/>
    <w:basedOn w:val="CommentText"/>
    <w:next w:val="CommentText"/>
    <w:link w:val="CommentSubjectChar"/>
    <w:uiPriority w:val="99"/>
    <w:semiHidden/>
    <w:unhideWhenUsed/>
    <w:rsid w:val="00F71840"/>
    <w:rPr>
      <w:b/>
      <w:bCs/>
    </w:rPr>
  </w:style>
  <w:style w:type="character" w:customStyle="1" w:styleId="CommentSubjectChar">
    <w:name w:val="Comment Subject Char"/>
    <w:basedOn w:val="CommentTextChar"/>
    <w:link w:val="CommentSubject"/>
    <w:uiPriority w:val="99"/>
    <w:semiHidden/>
    <w:rsid w:val="00F71840"/>
    <w:rPr>
      <w:b/>
      <w:bCs/>
    </w:rPr>
  </w:style>
  <w:style w:type="paragraph" w:styleId="BalloonText">
    <w:name w:val="Balloon Text"/>
    <w:basedOn w:val="Normal"/>
    <w:link w:val="BalloonTextChar"/>
    <w:uiPriority w:val="99"/>
    <w:semiHidden/>
    <w:unhideWhenUsed/>
    <w:rsid w:val="00F71840"/>
    <w:rPr>
      <w:rFonts w:ascii="Tahoma" w:hAnsi="Tahoma" w:cs="Tahoma"/>
      <w:sz w:val="16"/>
      <w:szCs w:val="16"/>
    </w:rPr>
  </w:style>
  <w:style w:type="character" w:customStyle="1" w:styleId="BalloonTextChar">
    <w:name w:val="Balloon Text Char"/>
    <w:basedOn w:val="DefaultParagraphFont"/>
    <w:link w:val="BalloonText"/>
    <w:uiPriority w:val="99"/>
    <w:semiHidden/>
    <w:rsid w:val="00F71840"/>
    <w:rPr>
      <w:rFonts w:ascii="Tahoma" w:hAnsi="Tahoma" w:cs="Tahoma"/>
      <w:sz w:val="16"/>
      <w:szCs w:val="16"/>
    </w:rPr>
  </w:style>
  <w:style w:type="paragraph" w:styleId="NormalWeb">
    <w:name w:val="Normal (Web)"/>
    <w:basedOn w:val="Normal"/>
    <w:uiPriority w:val="99"/>
    <w:unhideWhenUsed/>
    <w:rsid w:val="00DC7F9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5643483">
      <w:bodyDiv w:val="1"/>
      <w:marLeft w:val="0"/>
      <w:marRight w:val="0"/>
      <w:marTop w:val="0"/>
      <w:marBottom w:val="0"/>
      <w:divBdr>
        <w:top w:val="none" w:sz="0" w:space="0" w:color="auto"/>
        <w:left w:val="none" w:sz="0" w:space="0" w:color="auto"/>
        <w:bottom w:val="none" w:sz="0" w:space="0" w:color="auto"/>
        <w:right w:val="none" w:sz="0" w:space="0" w:color="auto"/>
      </w:divBdr>
    </w:div>
    <w:div w:id="925109501">
      <w:bodyDiv w:val="1"/>
      <w:marLeft w:val="0"/>
      <w:marRight w:val="0"/>
      <w:marTop w:val="0"/>
      <w:marBottom w:val="0"/>
      <w:divBdr>
        <w:top w:val="none" w:sz="0" w:space="0" w:color="auto"/>
        <w:left w:val="none" w:sz="0" w:space="0" w:color="auto"/>
        <w:bottom w:val="none" w:sz="0" w:space="0" w:color="auto"/>
        <w:right w:val="none" w:sz="0" w:space="0" w:color="auto"/>
      </w:divBdr>
    </w:div>
    <w:div w:id="966008715">
      <w:bodyDiv w:val="1"/>
      <w:marLeft w:val="0"/>
      <w:marRight w:val="0"/>
      <w:marTop w:val="0"/>
      <w:marBottom w:val="0"/>
      <w:divBdr>
        <w:top w:val="none" w:sz="0" w:space="0" w:color="auto"/>
        <w:left w:val="none" w:sz="0" w:space="0" w:color="auto"/>
        <w:bottom w:val="none" w:sz="0" w:space="0" w:color="auto"/>
        <w:right w:val="none" w:sz="0" w:space="0" w:color="auto"/>
      </w:divBdr>
    </w:div>
    <w:div w:id="1510484894">
      <w:bodyDiv w:val="1"/>
      <w:marLeft w:val="0"/>
      <w:marRight w:val="0"/>
      <w:marTop w:val="0"/>
      <w:marBottom w:val="0"/>
      <w:divBdr>
        <w:top w:val="none" w:sz="0" w:space="0" w:color="auto"/>
        <w:left w:val="none" w:sz="0" w:space="0" w:color="auto"/>
        <w:bottom w:val="none" w:sz="0" w:space="0" w:color="auto"/>
        <w:right w:val="none" w:sz="0" w:space="0" w:color="auto"/>
      </w:divBdr>
    </w:div>
    <w:div w:id="205646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1163</Words>
  <Characters>6631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11</cp:revision>
  <cp:lastPrinted>2012-02-03T23:13:00Z</cp:lastPrinted>
  <dcterms:created xsi:type="dcterms:W3CDTF">2012-04-10T15:42:00Z</dcterms:created>
  <dcterms:modified xsi:type="dcterms:W3CDTF">2012-04-17T18:10:00Z</dcterms:modified>
</cp:coreProperties>
</file>