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66D" w:rsidRDefault="00957DD2" w:rsidP="00540CCA">
      <w:pPr>
        <w:pStyle w:val="Heading1"/>
        <w:spacing w:before="0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North Indian</w:t>
      </w:r>
      <w:r w:rsidR="00C3666D">
        <w:rPr>
          <w:rFonts w:asciiTheme="minorHAnsi" w:hAnsiTheme="minorHAnsi"/>
          <w:color w:val="auto"/>
        </w:rPr>
        <w:t xml:space="preserve"> River Lagoon Basin Management Action Plan (BMAP)</w:t>
      </w:r>
    </w:p>
    <w:p w:rsidR="00DD59E9" w:rsidRPr="00540CCA" w:rsidRDefault="00DD59E9" w:rsidP="00540CCA">
      <w:pPr>
        <w:pStyle w:val="Heading1"/>
        <w:spacing w:before="0"/>
        <w:rPr>
          <w:rFonts w:asciiTheme="minorHAnsi" w:hAnsiTheme="minorHAnsi"/>
          <w:color w:val="auto"/>
        </w:rPr>
      </w:pPr>
      <w:r w:rsidRPr="00540CCA">
        <w:rPr>
          <w:rFonts w:asciiTheme="minorHAnsi" w:hAnsiTheme="minorHAnsi"/>
          <w:color w:val="auto"/>
        </w:rPr>
        <w:t xml:space="preserve">Process for Measuring Seagrass Deep Edge </w:t>
      </w:r>
      <w:r w:rsidR="00BA585D">
        <w:rPr>
          <w:rFonts w:asciiTheme="minorHAnsi" w:hAnsiTheme="minorHAnsi"/>
          <w:color w:val="auto"/>
        </w:rPr>
        <w:t xml:space="preserve">TMDL Compliance </w:t>
      </w:r>
    </w:p>
    <w:p w:rsidR="00DD59E9" w:rsidRPr="00540CCA" w:rsidRDefault="00C3666D" w:rsidP="00540CCA">
      <w:pPr>
        <w:pStyle w:val="Heading1"/>
        <w:spacing w:before="0"/>
        <w:rPr>
          <w:rFonts w:asciiTheme="minorHAnsi" w:hAnsiTheme="minorHAnsi"/>
        </w:rPr>
      </w:pPr>
      <w:r>
        <w:rPr>
          <w:rFonts w:asciiTheme="minorHAnsi" w:hAnsiTheme="minorHAnsi"/>
          <w:color w:val="auto"/>
        </w:rPr>
        <w:t>April 2012</w:t>
      </w:r>
    </w:p>
    <w:p w:rsidR="00DD59E9" w:rsidRPr="00540CCA" w:rsidRDefault="00DD59E9" w:rsidP="00540CCA">
      <w:pPr>
        <w:rPr>
          <w:sz w:val="24"/>
        </w:rPr>
      </w:pPr>
    </w:p>
    <w:p w:rsidR="00794153" w:rsidRPr="00540CCA" w:rsidRDefault="00BA585D" w:rsidP="00B30263">
      <w:pPr>
        <w:pStyle w:val="Heading2"/>
        <w:spacing w:before="0"/>
        <w:jc w:val="both"/>
        <w:rPr>
          <w:rFonts w:asciiTheme="minorHAnsi" w:hAnsiTheme="minorHAnsi"/>
          <w:smallCaps/>
          <w:color w:val="auto"/>
          <w:sz w:val="24"/>
          <w:szCs w:val="24"/>
        </w:rPr>
      </w:pPr>
      <w:r>
        <w:rPr>
          <w:rFonts w:asciiTheme="minorHAnsi" w:hAnsiTheme="minorHAnsi"/>
          <w:smallCaps/>
          <w:color w:val="auto"/>
          <w:sz w:val="24"/>
          <w:szCs w:val="24"/>
        </w:rPr>
        <w:t xml:space="preserve">Biological Response </w:t>
      </w:r>
      <w:r w:rsidR="00794153" w:rsidRPr="00540CCA">
        <w:rPr>
          <w:rFonts w:asciiTheme="minorHAnsi" w:hAnsiTheme="minorHAnsi"/>
          <w:smallCaps/>
          <w:color w:val="auto"/>
          <w:sz w:val="24"/>
          <w:szCs w:val="24"/>
        </w:rPr>
        <w:t xml:space="preserve">Goal:  Seagrass </w:t>
      </w:r>
      <w:r w:rsidR="004A4F09" w:rsidRPr="00540CCA">
        <w:rPr>
          <w:rFonts w:asciiTheme="minorHAnsi" w:hAnsiTheme="minorHAnsi"/>
          <w:smallCaps/>
          <w:color w:val="auto"/>
          <w:sz w:val="24"/>
          <w:szCs w:val="24"/>
        </w:rPr>
        <w:t xml:space="preserve">Depth </w:t>
      </w:r>
      <w:r w:rsidR="00794153" w:rsidRPr="00540CCA">
        <w:rPr>
          <w:rFonts w:asciiTheme="minorHAnsi" w:hAnsiTheme="minorHAnsi"/>
          <w:smallCaps/>
          <w:color w:val="auto"/>
          <w:sz w:val="24"/>
          <w:szCs w:val="24"/>
        </w:rPr>
        <w:t>Recovery (Independent of Nutrient Loads)</w:t>
      </w:r>
    </w:p>
    <w:p w:rsidR="00FD0C66" w:rsidRPr="00675469" w:rsidRDefault="00F2427B" w:rsidP="00B30263">
      <w:pPr>
        <w:jc w:val="both"/>
      </w:pPr>
      <w:r w:rsidRPr="00F2427B">
        <w:t>The intent of the</w:t>
      </w:r>
      <w:r w:rsidR="00CC3818" w:rsidRPr="00CC3818">
        <w:t xml:space="preserve"> </w:t>
      </w:r>
      <w:r w:rsidR="00CC3818" w:rsidRPr="00F2427B">
        <w:t xml:space="preserve">Indian River Lagoon (IRL) </w:t>
      </w:r>
      <w:r w:rsidRPr="00F2427B">
        <w:t xml:space="preserve">total maximum daily loads (TMDLs) is to recover </w:t>
      </w:r>
      <w:r w:rsidR="00282431">
        <w:t xml:space="preserve">the deeper </w:t>
      </w:r>
      <w:r w:rsidR="003B117C">
        <w:t xml:space="preserve">water </w:t>
      </w:r>
      <w:r w:rsidRPr="00F2427B">
        <w:t xml:space="preserve">seagrass </w:t>
      </w:r>
      <w:r>
        <w:t>habitat</w:t>
      </w:r>
      <w:r w:rsidR="00675469">
        <w:t>s</w:t>
      </w:r>
      <w:r w:rsidRPr="00F2427B">
        <w:t xml:space="preserve">.  The biological response of the seagrasses is the most important factor to evaluate the success of the TMDLs.  </w:t>
      </w:r>
      <w:r w:rsidR="003B117C">
        <w:t>T</w:t>
      </w:r>
      <w:r w:rsidRPr="00F2427B">
        <w:t>he load reduction requirements themselves will not determine TMDL success</w:t>
      </w:r>
      <w:r w:rsidR="003B117C">
        <w:t>,</w:t>
      </w:r>
      <w:r w:rsidRPr="00F2427B">
        <w:t xml:space="preserve"> assessment of success is based on whether the seagrasses can grow at sufficient depth</w:t>
      </w:r>
      <w:r w:rsidR="00675469">
        <w:t>s</w:t>
      </w:r>
      <w:r w:rsidRPr="00F2427B">
        <w:t xml:space="preserve">, because that was the intent of the TMDLs and </w:t>
      </w:r>
      <w:r w:rsidR="001F37CB">
        <w:t>the</w:t>
      </w:r>
      <w:r w:rsidRPr="00F2427B">
        <w:t xml:space="preserve"> associated load reductions.</w:t>
      </w:r>
      <w:r w:rsidR="00C3666D">
        <w:t xml:space="preserve">  C</w:t>
      </w:r>
      <w:r w:rsidR="00675469" w:rsidRPr="00675469">
        <w:t>omplete seagrass recovery is considered to</w:t>
      </w:r>
      <w:r w:rsidR="001F37CB">
        <w:t xml:space="preserve"> be </w:t>
      </w:r>
      <w:r w:rsidR="00675469" w:rsidRPr="00675469">
        <w:t>seagrass grow</w:t>
      </w:r>
      <w:r w:rsidR="001F37CB">
        <w:t>th</w:t>
      </w:r>
      <w:r w:rsidR="00675469" w:rsidRPr="00675469">
        <w:t xml:space="preserve"> at 100% of the depth</w:t>
      </w:r>
      <w:r w:rsidR="001D73A7">
        <w:t xml:space="preserve"> limit of the union coverage of</w:t>
      </w:r>
      <w:r w:rsidR="00675469" w:rsidRPr="00675469">
        <w:t xml:space="preserve"> the following </w:t>
      </w:r>
      <w:r w:rsidR="00CF61BD">
        <w:t xml:space="preserve">mapping </w:t>
      </w:r>
      <w:r w:rsidR="00675469" w:rsidRPr="00675469">
        <w:t>years: 1943, 1986, 1989, 1992, 1994, 1996 and 1999.</w:t>
      </w:r>
      <w:r w:rsidR="00675469">
        <w:t xml:space="preserve"> </w:t>
      </w:r>
      <w:r w:rsidR="006132BA">
        <w:t xml:space="preserve"> </w:t>
      </w:r>
      <w:r w:rsidR="00675469">
        <w:t>T</w:t>
      </w:r>
      <w:r w:rsidRPr="00F2427B">
        <w:t xml:space="preserve">he TMDL </w:t>
      </w:r>
      <w:r w:rsidR="00C3666D">
        <w:t>depth limit</w:t>
      </w:r>
      <w:r w:rsidRPr="00F2427B">
        <w:t xml:space="preserve"> target</w:t>
      </w:r>
      <w:r w:rsidR="00B72012">
        <w:t>s</w:t>
      </w:r>
      <w:r w:rsidRPr="00F2427B">
        <w:t xml:space="preserve"> </w:t>
      </w:r>
      <w:r w:rsidR="00B72012">
        <w:t>are</w:t>
      </w:r>
      <w:r w:rsidRPr="00F2427B">
        <w:t xml:space="preserve"> 90% of </w:t>
      </w:r>
      <w:r w:rsidR="001D73A7" w:rsidRPr="00F2427B">
        <w:t>th</w:t>
      </w:r>
      <w:r w:rsidR="001D73A7">
        <w:t>at 1943-1999</w:t>
      </w:r>
      <w:r w:rsidR="001D73A7" w:rsidRPr="00F2427B">
        <w:t xml:space="preserve"> </w:t>
      </w:r>
      <w:r w:rsidR="001D73A7">
        <w:t>union coverage</w:t>
      </w:r>
      <w:r w:rsidR="00C3666D">
        <w:t xml:space="preserve"> depth limit</w:t>
      </w:r>
      <w:r w:rsidRPr="00F2427B">
        <w:t>.</w:t>
      </w:r>
    </w:p>
    <w:p w:rsidR="00225B59" w:rsidRPr="00675469" w:rsidRDefault="00225B59" w:rsidP="00B30263">
      <w:pPr>
        <w:jc w:val="both"/>
      </w:pPr>
    </w:p>
    <w:p w:rsidR="00794153" w:rsidRPr="00675469" w:rsidRDefault="00F2427B" w:rsidP="00B30263">
      <w:pPr>
        <w:pStyle w:val="Heading2"/>
        <w:spacing w:before="0"/>
        <w:jc w:val="both"/>
        <w:rPr>
          <w:rFonts w:asciiTheme="minorHAnsi" w:hAnsiTheme="minorHAnsi"/>
          <w:smallCaps/>
          <w:color w:val="auto"/>
          <w:sz w:val="24"/>
          <w:szCs w:val="24"/>
        </w:rPr>
      </w:pPr>
      <w:r>
        <w:rPr>
          <w:rFonts w:asciiTheme="minorHAnsi" w:hAnsiTheme="minorHAnsi"/>
          <w:smallCaps/>
          <w:color w:val="auto"/>
          <w:sz w:val="24"/>
          <w:szCs w:val="24"/>
        </w:rPr>
        <w:t>Two-Step Measurement of Success</w:t>
      </w:r>
    </w:p>
    <w:p w:rsidR="00002B8D" w:rsidRPr="00675469" w:rsidRDefault="00F2427B" w:rsidP="00B30263">
      <w:pPr>
        <w:jc w:val="both"/>
      </w:pPr>
      <w:r w:rsidRPr="00F2427B">
        <w:t>FDEP defines success</w:t>
      </w:r>
      <w:r w:rsidR="00C3666D">
        <w:t xml:space="preserve"> in meeting the TMDL seagrass depth limit</w:t>
      </w:r>
      <w:r w:rsidRPr="00F2427B">
        <w:t xml:space="preserve"> target</w:t>
      </w:r>
      <w:r w:rsidR="00B72012">
        <w:t>s</w:t>
      </w:r>
      <w:r w:rsidRPr="00F2427B">
        <w:t xml:space="preserve"> using a two-step assessment approach.  The two steps are used to address the following concerns:</w:t>
      </w:r>
    </w:p>
    <w:p w:rsidR="00794153" w:rsidRPr="00675469" w:rsidRDefault="00F2427B" w:rsidP="00B30263">
      <w:pPr>
        <w:pStyle w:val="ListParagraph"/>
        <w:numPr>
          <w:ilvl w:val="0"/>
          <w:numId w:val="1"/>
        </w:numPr>
        <w:jc w:val="both"/>
      </w:pPr>
      <w:r w:rsidRPr="00F2427B">
        <w:t xml:space="preserve">Determination of seagrass recovery should take into account inter-annual variability and allow for some years to have less seagrass depth than others. </w:t>
      </w:r>
    </w:p>
    <w:p w:rsidR="007D6668" w:rsidRPr="00675469" w:rsidRDefault="00F2427B" w:rsidP="00B30263">
      <w:pPr>
        <w:pStyle w:val="ListParagraph"/>
        <w:numPr>
          <w:ilvl w:val="0"/>
          <w:numId w:val="1"/>
        </w:numPr>
        <w:jc w:val="both"/>
      </w:pPr>
      <w:r w:rsidRPr="00F2427B">
        <w:t>An evaluation of seagrass recovery should not allow one very good year to over-influence the evaluation of otherwise limited seagrass depths.</w:t>
      </w:r>
    </w:p>
    <w:p w:rsidR="007D6668" w:rsidRPr="00675469" w:rsidRDefault="007D6668" w:rsidP="00B30263">
      <w:pPr>
        <w:pStyle w:val="Heading3"/>
        <w:spacing w:before="0"/>
        <w:jc w:val="both"/>
        <w:rPr>
          <w:rFonts w:asciiTheme="minorHAnsi" w:hAnsiTheme="minorHAnsi"/>
          <w:color w:val="auto"/>
        </w:rPr>
      </w:pPr>
    </w:p>
    <w:p w:rsidR="00120A4A" w:rsidRPr="00675469" w:rsidRDefault="00F2427B" w:rsidP="00B30263">
      <w:pPr>
        <w:pStyle w:val="Heading3"/>
        <w:spacing w:before="0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Step 1:  Cumulative Frequency Distribution Analysis</w:t>
      </w:r>
    </w:p>
    <w:p w:rsidR="007D6668" w:rsidRPr="00675469" w:rsidRDefault="00F2427B" w:rsidP="00B30263">
      <w:pPr>
        <w:jc w:val="both"/>
      </w:pPr>
      <w:r w:rsidRPr="00F2427B">
        <w:t xml:space="preserve">To address the first concern, Step 1 is applied, which involves taking the four most recent mapped seagrass datasets and creating a union coverage in the Geographic Information System (GIS).  Using this union coverage, a </w:t>
      </w:r>
      <w:r w:rsidR="001F37CB" w:rsidRPr="00F2427B">
        <w:t>15</w:t>
      </w:r>
      <w:r w:rsidR="001F37CB">
        <w:t>.8</w:t>
      </w:r>
      <w:r w:rsidR="001F37CB" w:rsidRPr="00F2427B">
        <w:t>-meter</w:t>
      </w:r>
      <w:r w:rsidRPr="00F2427B">
        <w:t xml:space="preserve"> buffer is applied to the perimeter of the coverage to </w:t>
      </w:r>
      <w:r w:rsidR="001F37CB">
        <w:t>identify</w:t>
      </w:r>
      <w:r w:rsidRPr="00F2427B">
        <w:t xml:space="preserve"> the deep edge of </w:t>
      </w:r>
      <w:r w:rsidR="00D0358E">
        <w:t xml:space="preserve">the </w:t>
      </w:r>
      <w:r w:rsidRPr="00F2427B">
        <w:t xml:space="preserve">seagrass beds. </w:t>
      </w:r>
      <w:r w:rsidR="00567CF8">
        <w:t xml:space="preserve"> </w:t>
      </w:r>
      <w:r w:rsidRPr="00F2427B">
        <w:t>This</w:t>
      </w:r>
      <w:r w:rsidR="001F37CB">
        <w:t xml:space="preserve"> deep edge</w:t>
      </w:r>
      <w:r w:rsidRPr="00F2427B">
        <w:t xml:space="preserve"> coverage is used to create a cumulative frequency distribution curve of the depth at which seagrasses exist within the project zone.  This curve is then compared to the TMDL </w:t>
      </w:r>
      <w:r w:rsidR="008B70A4">
        <w:t>depth limit</w:t>
      </w:r>
      <w:r w:rsidRPr="00F2427B">
        <w:t xml:space="preserve"> target curve.</w:t>
      </w:r>
    </w:p>
    <w:p w:rsidR="00DD59E9" w:rsidRPr="00675469" w:rsidRDefault="00DD59E9" w:rsidP="00B30263">
      <w:pPr>
        <w:jc w:val="both"/>
      </w:pPr>
    </w:p>
    <w:p w:rsidR="009154B0" w:rsidRPr="00675469" w:rsidRDefault="00F2427B" w:rsidP="00B30263">
      <w:pPr>
        <w:jc w:val="both"/>
      </w:pPr>
      <w:r w:rsidRPr="00F2427B">
        <w:t xml:space="preserve">Step 1 successful seagrass compliance is reached when 50% or more of the </w:t>
      </w:r>
      <w:r w:rsidR="00E046EC">
        <w:t>assessment</w:t>
      </w:r>
      <w:r w:rsidRPr="00F2427B">
        <w:t xml:space="preserve"> </w:t>
      </w:r>
      <w:r w:rsidR="00E046EC">
        <w:t xml:space="preserve">years’ </w:t>
      </w:r>
      <w:r w:rsidRPr="00F2427B">
        <w:t>frequency distribution curve (including its 50</w:t>
      </w:r>
      <w:r w:rsidRPr="00F2427B">
        <w:rPr>
          <w:vertAlign w:val="superscript"/>
        </w:rPr>
        <w:t>th</w:t>
      </w:r>
      <w:r w:rsidRPr="00F2427B">
        <w:t xml:space="preserve"> percentile value</w:t>
      </w:r>
      <w:r w:rsidR="003B117C">
        <w:t xml:space="preserve"> or median</w:t>
      </w:r>
      <w:r w:rsidRPr="00F2427B">
        <w:t xml:space="preserve">) for the project zone lies on or to the right of the TMDL </w:t>
      </w:r>
      <w:r w:rsidR="008B70A4">
        <w:t>depth limit</w:t>
      </w:r>
      <w:r w:rsidRPr="00F2427B">
        <w:t xml:space="preserve"> curve.  This assessment method captures all four datasets of latest seagrass coverage, accounting for inter-annual variability while emphasizing the better years out of the dataset.</w:t>
      </w:r>
      <w:r w:rsidR="00D0358E">
        <w:t xml:space="preserve">  </w:t>
      </w:r>
    </w:p>
    <w:p w:rsidR="009154B0" w:rsidRPr="00675469" w:rsidRDefault="009154B0" w:rsidP="00B30263">
      <w:pPr>
        <w:pStyle w:val="Heading3"/>
        <w:spacing w:before="0"/>
        <w:jc w:val="both"/>
        <w:rPr>
          <w:rFonts w:asciiTheme="minorHAnsi" w:hAnsiTheme="minorHAnsi"/>
          <w:b w:val="0"/>
          <w:color w:val="auto"/>
        </w:rPr>
      </w:pPr>
    </w:p>
    <w:p w:rsidR="009154B0" w:rsidRPr="00675469" w:rsidRDefault="008B70A4" w:rsidP="00B30263">
      <w:pPr>
        <w:pStyle w:val="Heading3"/>
        <w:spacing w:before="0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Step 2:  Median Depth Limit</w:t>
      </w:r>
      <w:r w:rsidR="00F2427B">
        <w:rPr>
          <w:rFonts w:asciiTheme="minorHAnsi" w:hAnsiTheme="minorHAnsi"/>
          <w:color w:val="auto"/>
        </w:rPr>
        <w:t xml:space="preserve"> Comparison for Each Data Year</w:t>
      </w:r>
    </w:p>
    <w:p w:rsidR="009154B0" w:rsidRPr="00675469" w:rsidRDefault="00F2427B" w:rsidP="00B30263">
      <w:pPr>
        <w:jc w:val="both"/>
      </w:pPr>
      <w:r w:rsidRPr="00F2427B">
        <w:t>Step 2 calculates the median depth of seagrass growth for each year of the four most recent datasets</w:t>
      </w:r>
      <w:r w:rsidR="00D0358E">
        <w:t>,</w:t>
      </w:r>
      <w:r w:rsidRPr="00F2427B">
        <w:t xml:space="preserve"> and then each year’s median i</w:t>
      </w:r>
      <w:r w:rsidR="008B70A4">
        <w:t>s compared to the TMDL median depth limit</w:t>
      </w:r>
      <w:r w:rsidRPr="00F2427B">
        <w:t xml:space="preserve"> target.  </w:t>
      </w:r>
      <w:r w:rsidR="00D0358E">
        <w:t xml:space="preserve">Three of the </w:t>
      </w:r>
      <w:r w:rsidRPr="00F2427B">
        <w:t xml:space="preserve">four </w:t>
      </w:r>
      <w:r w:rsidR="001F37CB" w:rsidRPr="00F2427B">
        <w:t>assessment years’</w:t>
      </w:r>
      <w:r w:rsidR="001F37CB">
        <w:t xml:space="preserve"> </w:t>
      </w:r>
      <w:r w:rsidRPr="00F2427B">
        <w:t xml:space="preserve">medians must meet or exceed the median TMDL </w:t>
      </w:r>
      <w:r w:rsidR="008B70A4">
        <w:t>depth limit</w:t>
      </w:r>
      <w:r w:rsidRPr="00F2427B">
        <w:t xml:space="preserve"> target </w:t>
      </w:r>
      <w:r w:rsidR="001F37CB">
        <w:t>f</w:t>
      </w:r>
      <w:r w:rsidRPr="00F2427B">
        <w:t>or a project zone to be Step 2 compliant.</w:t>
      </w:r>
    </w:p>
    <w:p w:rsidR="009154B0" w:rsidRPr="00675469" w:rsidRDefault="009154B0" w:rsidP="00B30263">
      <w:pPr>
        <w:jc w:val="both"/>
      </w:pPr>
    </w:p>
    <w:p w:rsidR="00120A4A" w:rsidRPr="00675469" w:rsidRDefault="00F2427B" w:rsidP="00B30263">
      <w:pPr>
        <w:jc w:val="both"/>
      </w:pPr>
      <w:r w:rsidRPr="00F2427B">
        <w:t>If a project zone is compliant based on the Step 1 and Step 2 analysis, the project zone is considered to be meeting the TMDL</w:t>
      </w:r>
      <w:r w:rsidR="007B44D4">
        <w:t xml:space="preserve"> seagrass </w:t>
      </w:r>
      <w:r w:rsidR="008B70A4">
        <w:t>depth limit</w:t>
      </w:r>
      <w:r w:rsidR="007B44D4">
        <w:t xml:space="preserve"> target</w:t>
      </w:r>
      <w:r w:rsidRPr="00F2427B">
        <w:t>.  If a project zone fails to meet either Step 1 or Step 2, it is not considered to be meeting the TMDL</w:t>
      </w:r>
      <w:r w:rsidR="007B44D4">
        <w:t xml:space="preserve"> seagrass </w:t>
      </w:r>
      <w:r w:rsidR="008B70A4">
        <w:t>depth limit</w:t>
      </w:r>
      <w:r w:rsidR="007B44D4">
        <w:t xml:space="preserve"> target</w:t>
      </w:r>
      <w:r w:rsidRPr="00F2427B">
        <w:t xml:space="preserve"> for that set of assessment years.  </w:t>
      </w:r>
    </w:p>
    <w:p w:rsidR="00D2534E" w:rsidRDefault="00D2534E" w:rsidP="00B30263">
      <w:pPr>
        <w:pStyle w:val="Heading2"/>
        <w:spacing w:before="0"/>
        <w:jc w:val="both"/>
        <w:rPr>
          <w:rFonts w:asciiTheme="minorHAnsi" w:hAnsiTheme="minorHAnsi"/>
          <w:smallCaps/>
          <w:color w:val="auto"/>
          <w:sz w:val="24"/>
          <w:szCs w:val="24"/>
        </w:rPr>
      </w:pPr>
    </w:p>
    <w:p w:rsidR="00DD59E9" w:rsidRPr="00D0358E" w:rsidRDefault="006501E3" w:rsidP="00B30263">
      <w:pPr>
        <w:pStyle w:val="Heading2"/>
        <w:spacing w:before="0"/>
        <w:jc w:val="both"/>
        <w:rPr>
          <w:rFonts w:asciiTheme="minorHAnsi" w:hAnsiTheme="minorHAnsi"/>
          <w:smallCaps/>
          <w:color w:val="auto"/>
          <w:sz w:val="24"/>
          <w:szCs w:val="24"/>
        </w:rPr>
      </w:pPr>
      <w:r w:rsidRPr="006501E3">
        <w:rPr>
          <w:rFonts w:asciiTheme="minorHAnsi" w:hAnsiTheme="minorHAnsi"/>
          <w:smallCaps/>
          <w:color w:val="auto"/>
          <w:sz w:val="24"/>
          <w:szCs w:val="24"/>
        </w:rPr>
        <w:t>Seagrass Compliance Evaluation</w:t>
      </w:r>
    </w:p>
    <w:p w:rsidR="00120A4A" w:rsidRPr="00675469" w:rsidRDefault="00F2427B" w:rsidP="00B30263">
      <w:pPr>
        <w:jc w:val="both"/>
      </w:pPr>
      <w:r w:rsidRPr="00F2427B">
        <w:t xml:space="preserve">Following the steps described above, FDEP evaluated the </w:t>
      </w:r>
      <w:r w:rsidR="008B70A4">
        <w:t xml:space="preserve">data for </w:t>
      </w:r>
      <w:r w:rsidRPr="00F2427B">
        <w:t>mapping y</w:t>
      </w:r>
      <w:r w:rsidR="008B70A4">
        <w:t>ears 2003, 2005, 2006, and 2007</w:t>
      </w:r>
      <w:r w:rsidRPr="00F2427B">
        <w:t xml:space="preserve"> to determine if any of the project zones are achieving the seagrass </w:t>
      </w:r>
      <w:r w:rsidR="008B70A4">
        <w:t>depth limit</w:t>
      </w:r>
      <w:r w:rsidRPr="00F2427B">
        <w:t xml:space="preserve"> targets. </w:t>
      </w:r>
    </w:p>
    <w:p w:rsidR="00977367" w:rsidRPr="00675469" w:rsidRDefault="00977367" w:rsidP="00B30263">
      <w:pPr>
        <w:pStyle w:val="Heading3"/>
        <w:spacing w:before="0"/>
        <w:jc w:val="both"/>
        <w:rPr>
          <w:rFonts w:asciiTheme="minorHAnsi" w:hAnsiTheme="minorHAnsi"/>
          <w:color w:val="auto"/>
        </w:rPr>
      </w:pPr>
    </w:p>
    <w:p w:rsidR="00A2089D" w:rsidRPr="00675469" w:rsidRDefault="008B70A4" w:rsidP="00B30263">
      <w:pPr>
        <w:pStyle w:val="Heading3"/>
        <w:spacing w:before="0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Step 1: </w:t>
      </w:r>
      <w:r w:rsidR="00F2427B">
        <w:rPr>
          <w:rFonts w:asciiTheme="minorHAnsi" w:hAnsiTheme="minorHAnsi"/>
          <w:color w:val="auto"/>
        </w:rPr>
        <w:t>Cumulative Frequency Distribution Analysis</w:t>
      </w:r>
    </w:p>
    <w:p w:rsidR="00974459" w:rsidRDefault="00F2427B" w:rsidP="00B30263">
      <w:pPr>
        <w:jc w:val="both"/>
      </w:pPr>
      <w:r w:rsidRPr="00F2427B">
        <w:t>A cumulative frequency distribution curve was created for each</w:t>
      </w:r>
      <w:r w:rsidR="00957DD2">
        <w:t xml:space="preserve"> of the North IRL</w:t>
      </w:r>
      <w:r w:rsidRPr="00F2427B">
        <w:t xml:space="preserve"> project zone</w:t>
      </w:r>
      <w:r w:rsidR="00957DD2">
        <w:t>s</w:t>
      </w:r>
      <w:r w:rsidR="008B70A4">
        <w:t xml:space="preserve"> and </w:t>
      </w:r>
      <w:r w:rsidRPr="00F2427B">
        <w:t xml:space="preserve">the TMDL union coverage in that project zone.  Then, by project zone, the curve of the most recent data was plotted next to the TMDL union curve </w:t>
      </w:r>
      <w:r w:rsidR="00957DD2">
        <w:t xml:space="preserve">and the results were compared.  </w:t>
      </w:r>
      <w:r w:rsidRPr="00F2427B">
        <w:t>The frequency distribution curve</w:t>
      </w:r>
      <w:r w:rsidR="002A292F">
        <w:t xml:space="preserve">s </w:t>
      </w:r>
      <w:r w:rsidR="003B117C">
        <w:t xml:space="preserve">for </w:t>
      </w:r>
      <w:r w:rsidR="008B70A4">
        <w:t xml:space="preserve">the </w:t>
      </w:r>
      <w:r w:rsidR="00957DD2">
        <w:t>North IRL</w:t>
      </w:r>
      <w:r w:rsidR="008B70A4">
        <w:t xml:space="preserve"> are</w:t>
      </w:r>
      <w:r w:rsidRPr="00F2427B">
        <w:t xml:space="preserve"> </w:t>
      </w:r>
      <w:r w:rsidR="002A292F">
        <w:t xml:space="preserve">shown in Figure 1 </w:t>
      </w:r>
      <w:r w:rsidR="00957DD2">
        <w:t>and Figure 2</w:t>
      </w:r>
      <w:r w:rsidR="002A292F">
        <w:t xml:space="preserve"> </w:t>
      </w:r>
      <w:r w:rsidRPr="00F2427B">
        <w:t>below.  The bl</w:t>
      </w:r>
      <w:r w:rsidR="008B70A4">
        <w:t xml:space="preserve">ue line </w:t>
      </w:r>
      <w:r w:rsidR="002A292F">
        <w:t>is</w:t>
      </w:r>
      <w:r w:rsidR="008B70A4">
        <w:t xml:space="preserve"> the TMDL target </w:t>
      </w:r>
      <w:r w:rsidR="008B70A4" w:rsidRPr="00974AF4">
        <w:t>depth limit</w:t>
      </w:r>
      <w:r w:rsidRPr="00974AF4">
        <w:t xml:space="preserve"> cumulative frequency distribution curve.  The red line </w:t>
      </w:r>
      <w:r w:rsidR="006E4CE3" w:rsidRPr="00974AF4">
        <w:t>i</w:t>
      </w:r>
      <w:r w:rsidRPr="00974AF4">
        <w:t xml:space="preserve">s the union assessment years curve </w:t>
      </w:r>
      <w:r w:rsidR="00CC3818" w:rsidRPr="00974AF4">
        <w:t xml:space="preserve">for the </w:t>
      </w:r>
      <w:r w:rsidR="006E4CE3" w:rsidRPr="00974AF4">
        <w:t>2003-2007</w:t>
      </w:r>
      <w:r w:rsidR="00CC3818" w:rsidRPr="00974AF4">
        <w:t xml:space="preserve">.  Based on these curves, </w:t>
      </w:r>
      <w:r w:rsidR="00404D17" w:rsidRPr="00974AF4">
        <w:t xml:space="preserve">both North A and North B are not </w:t>
      </w:r>
      <w:r w:rsidR="00CC3818" w:rsidRPr="00974AF4">
        <w:t>Step 1 comp</w:t>
      </w:r>
      <w:r w:rsidR="00404D17" w:rsidRPr="00974AF4">
        <w:t>liant</w:t>
      </w:r>
      <w:r w:rsidR="00CC3818" w:rsidRPr="00974AF4">
        <w:t>.</w:t>
      </w:r>
    </w:p>
    <w:p w:rsidR="002502FE" w:rsidRDefault="002502FE" w:rsidP="00B30263">
      <w:pPr>
        <w:jc w:val="both"/>
      </w:pPr>
    </w:p>
    <w:p w:rsidR="007E1590" w:rsidRDefault="007E1590" w:rsidP="002A292F">
      <w:pPr>
        <w:widowControl w:val="0"/>
      </w:pPr>
    </w:p>
    <w:p w:rsidR="00974AF4" w:rsidRDefault="00DD10B9" w:rsidP="002A292F">
      <w:pPr>
        <w:widowControl w:val="0"/>
      </w:pPr>
      <w:r w:rsidRPr="00DD10B9">
        <w:rPr>
          <w:noProof/>
        </w:rPr>
        <w:drawing>
          <wp:inline distT="0" distB="0" distL="0" distR="0">
            <wp:extent cx="5181600" cy="3076575"/>
            <wp:effectExtent l="19050" t="0" r="0" b="0"/>
            <wp:docPr id="1" name="Picture 1" descr="North A Frequency Distribution 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92F" w:rsidRPr="00675469" w:rsidRDefault="002A292F" w:rsidP="002A292F">
      <w:pPr>
        <w:pStyle w:val="Heading3"/>
        <w:keepNext w:val="0"/>
        <w:widowControl w:val="0"/>
        <w:spacing w:before="0"/>
      </w:pPr>
      <w:r>
        <w:rPr>
          <w:rFonts w:asciiTheme="minorHAnsi" w:hAnsiTheme="minorHAnsi"/>
          <w:color w:val="auto"/>
        </w:rPr>
        <w:t xml:space="preserve">Figure 1: </w:t>
      </w:r>
      <w:r w:rsidR="00957DD2">
        <w:rPr>
          <w:rFonts w:asciiTheme="minorHAnsi" w:hAnsiTheme="minorHAnsi"/>
          <w:color w:val="auto"/>
        </w:rPr>
        <w:t xml:space="preserve">North </w:t>
      </w:r>
      <w:proofErr w:type="gramStart"/>
      <w:r w:rsidR="00957DD2">
        <w:rPr>
          <w:rFonts w:asciiTheme="minorHAnsi" w:hAnsiTheme="minorHAnsi"/>
          <w:color w:val="auto"/>
        </w:rPr>
        <w:t>A</w:t>
      </w:r>
      <w:proofErr w:type="gramEnd"/>
      <w:r>
        <w:rPr>
          <w:rFonts w:asciiTheme="minorHAnsi" w:hAnsiTheme="minorHAnsi"/>
          <w:color w:val="auto"/>
        </w:rPr>
        <w:t xml:space="preserve"> Frequency Distribution Curves</w:t>
      </w:r>
    </w:p>
    <w:p w:rsidR="00977367" w:rsidRDefault="00977367" w:rsidP="00977367"/>
    <w:p w:rsidR="0079670D" w:rsidRDefault="0079670D" w:rsidP="002A292F">
      <w:pPr>
        <w:pStyle w:val="Heading3"/>
        <w:keepNext w:val="0"/>
        <w:widowControl w:val="0"/>
        <w:spacing w:before="0"/>
        <w:rPr>
          <w:rFonts w:asciiTheme="minorHAnsi" w:hAnsiTheme="minorHAnsi"/>
          <w:color w:val="auto"/>
        </w:rPr>
      </w:pPr>
    </w:p>
    <w:p w:rsidR="0079670D" w:rsidRDefault="0079670D" w:rsidP="002A292F">
      <w:pPr>
        <w:pStyle w:val="Heading3"/>
        <w:keepNext w:val="0"/>
        <w:widowControl w:val="0"/>
        <w:spacing w:before="0"/>
        <w:rPr>
          <w:rFonts w:asciiTheme="minorHAnsi" w:hAnsiTheme="minorHAnsi"/>
          <w:color w:val="auto"/>
        </w:rPr>
      </w:pPr>
      <w:r>
        <w:rPr>
          <w:rFonts w:asciiTheme="minorHAnsi" w:hAnsiTheme="minorHAnsi"/>
          <w:noProof/>
          <w:color w:val="auto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8.5pt;margin-top:245.25pt;width:412.5pt;height:.05pt;z-index:251658240" o:connectortype="straight" strokecolor="#a5a5a5 [2092]"/>
        </w:pict>
      </w:r>
      <w:r w:rsidRPr="0079670D">
        <w:rPr>
          <w:rFonts w:asciiTheme="minorHAnsi" w:hAnsiTheme="minorHAnsi"/>
          <w:color w:val="auto"/>
        </w:rPr>
        <w:drawing>
          <wp:inline distT="0" distB="0" distL="0" distR="0">
            <wp:extent cx="5248275" cy="3133725"/>
            <wp:effectExtent l="19050" t="0" r="9525" b="0"/>
            <wp:docPr id="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A292F" w:rsidRPr="00675469" w:rsidRDefault="002A292F" w:rsidP="002A292F">
      <w:pPr>
        <w:pStyle w:val="Heading3"/>
        <w:keepNext w:val="0"/>
        <w:widowControl w:val="0"/>
        <w:spacing w:before="0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Figure 2: </w:t>
      </w:r>
      <w:r w:rsidR="00957DD2">
        <w:rPr>
          <w:rFonts w:asciiTheme="minorHAnsi" w:hAnsiTheme="minorHAnsi"/>
          <w:color w:val="auto"/>
        </w:rPr>
        <w:t xml:space="preserve">North B </w:t>
      </w:r>
      <w:r>
        <w:rPr>
          <w:rFonts w:asciiTheme="minorHAnsi" w:hAnsiTheme="minorHAnsi"/>
          <w:color w:val="auto"/>
        </w:rPr>
        <w:t>Frequency Distribution Curves</w:t>
      </w:r>
    </w:p>
    <w:p w:rsidR="00974459" w:rsidRPr="00675469" w:rsidRDefault="00974459" w:rsidP="00540CCA"/>
    <w:p w:rsidR="002502FE" w:rsidRDefault="002502FE" w:rsidP="00540CCA">
      <w:pPr>
        <w:pStyle w:val="Heading3"/>
        <w:spacing w:before="0"/>
        <w:jc w:val="left"/>
        <w:rPr>
          <w:rFonts w:asciiTheme="minorHAnsi" w:hAnsiTheme="minorHAnsi"/>
          <w:color w:val="auto"/>
        </w:rPr>
      </w:pPr>
    </w:p>
    <w:p w:rsidR="00225B59" w:rsidRPr="00974AF4" w:rsidRDefault="00F2427B" w:rsidP="00540CCA">
      <w:pPr>
        <w:pStyle w:val="Heading3"/>
        <w:spacing w:before="0"/>
        <w:jc w:val="left"/>
        <w:rPr>
          <w:rFonts w:asciiTheme="minorHAnsi" w:hAnsiTheme="minorHAnsi"/>
          <w:color w:val="auto"/>
        </w:rPr>
      </w:pPr>
      <w:r w:rsidRPr="00974AF4">
        <w:rPr>
          <w:rFonts w:asciiTheme="minorHAnsi" w:hAnsiTheme="minorHAnsi"/>
          <w:color w:val="auto"/>
        </w:rPr>
        <w:t>Step 2: Median Comparison for Each Depth Year</w:t>
      </w:r>
    </w:p>
    <w:p w:rsidR="00123FBA" w:rsidRPr="00675469" w:rsidRDefault="00F2427B" w:rsidP="00B30263">
      <w:pPr>
        <w:jc w:val="both"/>
      </w:pPr>
      <w:r w:rsidRPr="00974AF4">
        <w:t xml:space="preserve">Although Step 1 compliance was not achieved for </w:t>
      </w:r>
      <w:r w:rsidR="00404D17" w:rsidRPr="00974AF4">
        <w:t>the North IRL project zones</w:t>
      </w:r>
      <w:r w:rsidRPr="00974AF4">
        <w:t>, FDEP performed Step 2</w:t>
      </w:r>
      <w:r w:rsidR="00404D17" w:rsidRPr="00974AF4">
        <w:t>.</w:t>
      </w:r>
      <w:r w:rsidR="00404D17">
        <w:t xml:space="preserve">  </w:t>
      </w:r>
      <w:r w:rsidRPr="00F2427B">
        <w:t xml:space="preserve">The TMDL median deep edge seagrass depth and the medians for each year, by project zone, are presented </w:t>
      </w:r>
      <w:r w:rsidR="006E4CE3">
        <w:t>in Table 1</w:t>
      </w:r>
      <w:r w:rsidRPr="00F2427B">
        <w:t xml:space="preserve">.  The years where the median exceeds </w:t>
      </w:r>
      <w:r w:rsidR="00841FB8">
        <w:t>the TMDL median are highlighted and a determination of Step 2 compliance is included.</w:t>
      </w:r>
    </w:p>
    <w:p w:rsidR="009A718B" w:rsidRDefault="009A718B" w:rsidP="00B30263">
      <w:pPr>
        <w:jc w:val="both"/>
      </w:pPr>
    </w:p>
    <w:p w:rsidR="006E4CE3" w:rsidRDefault="006E4CE3" w:rsidP="006E4CE3">
      <w:pPr>
        <w:keepNext/>
        <w:rPr>
          <w:b/>
        </w:rPr>
      </w:pPr>
      <w:r w:rsidRPr="006E4CE3">
        <w:rPr>
          <w:b/>
        </w:rPr>
        <w:t>Table 1: Step 2 Compliance Evaluation</w:t>
      </w:r>
    </w:p>
    <w:p w:rsidR="006E4CE3" w:rsidRPr="006E4CE3" w:rsidRDefault="006E4CE3" w:rsidP="006E4CE3">
      <w:pPr>
        <w:keepNext/>
        <w:rPr>
          <w:sz w:val="20"/>
        </w:rPr>
      </w:pPr>
      <w:r w:rsidRPr="006E4CE3">
        <w:rPr>
          <w:sz w:val="20"/>
        </w:rPr>
        <w:t>*Years that meet or exceed the TMDL median.</w:t>
      </w:r>
    </w:p>
    <w:tbl>
      <w:tblPr>
        <w:tblW w:w="415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9"/>
        <w:gridCol w:w="1125"/>
        <w:gridCol w:w="1072"/>
      </w:tblGrid>
      <w:tr w:rsidR="00957DD2" w:rsidRPr="00675469" w:rsidTr="00957DD2">
        <w:trPr>
          <w:trHeight w:val="70"/>
          <w:jc w:val="center"/>
        </w:trPr>
        <w:tc>
          <w:tcPr>
            <w:tcW w:w="1959" w:type="dxa"/>
            <w:shd w:val="clear" w:color="auto" w:fill="DBE5F1" w:themeFill="accent1" w:themeFillTint="33"/>
            <w:noWrap/>
            <w:vAlign w:val="center"/>
            <w:hideMark/>
          </w:tcPr>
          <w:p w:rsidR="00957DD2" w:rsidRPr="00675469" w:rsidRDefault="00957DD2" w:rsidP="006E4CE3">
            <w:pPr>
              <w:keepNext/>
              <w:rPr>
                <w:rFonts w:eastAsia="Times New Roman" w:cs="Times New Roman"/>
                <w:b/>
              </w:rPr>
            </w:pPr>
            <w:r w:rsidRPr="00F2427B">
              <w:rPr>
                <w:rFonts w:eastAsia="Times New Roman" w:cs="Times New Roman"/>
                <w:b/>
              </w:rPr>
              <w:t>Year</w:t>
            </w:r>
          </w:p>
        </w:tc>
        <w:tc>
          <w:tcPr>
            <w:tcW w:w="1125" w:type="dxa"/>
            <w:shd w:val="clear" w:color="auto" w:fill="DBE5F1" w:themeFill="accent1" w:themeFillTint="33"/>
            <w:vAlign w:val="center"/>
          </w:tcPr>
          <w:p w:rsidR="00957DD2" w:rsidRPr="00675469" w:rsidRDefault="00957DD2" w:rsidP="006E4CE3">
            <w:pPr>
              <w:keepNext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North</w:t>
            </w:r>
            <w:r w:rsidRPr="00F2427B">
              <w:rPr>
                <w:rFonts w:eastAsia="Times New Roman" w:cs="Times New Roman"/>
                <w:b/>
              </w:rPr>
              <w:t xml:space="preserve"> A</w:t>
            </w:r>
          </w:p>
        </w:tc>
        <w:tc>
          <w:tcPr>
            <w:tcW w:w="1072" w:type="dxa"/>
            <w:shd w:val="clear" w:color="auto" w:fill="DBE5F1" w:themeFill="accent1" w:themeFillTint="33"/>
            <w:vAlign w:val="center"/>
          </w:tcPr>
          <w:p w:rsidR="00957DD2" w:rsidRPr="00675469" w:rsidRDefault="00957DD2" w:rsidP="006E4CE3">
            <w:pPr>
              <w:keepNext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North</w:t>
            </w:r>
            <w:r w:rsidRPr="00F2427B">
              <w:rPr>
                <w:rFonts w:eastAsia="Times New Roman" w:cs="Times New Roman"/>
                <w:b/>
              </w:rPr>
              <w:t xml:space="preserve"> B</w:t>
            </w:r>
          </w:p>
        </w:tc>
      </w:tr>
      <w:tr w:rsidR="00957DD2" w:rsidRPr="00675469" w:rsidTr="00957DD2">
        <w:trPr>
          <w:trHeight w:val="70"/>
          <w:jc w:val="center"/>
        </w:trPr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957DD2" w:rsidRPr="00675469" w:rsidRDefault="00957DD2" w:rsidP="006E4CE3">
            <w:pPr>
              <w:keepNext/>
              <w:jc w:val="right"/>
              <w:rPr>
                <w:rFonts w:eastAsia="Times New Roman" w:cs="Times New Roman"/>
              </w:rPr>
            </w:pPr>
            <w:r w:rsidRPr="00F2427B">
              <w:rPr>
                <w:rFonts w:eastAsia="Times New Roman" w:cs="Times New Roman"/>
              </w:rPr>
              <w:t>TMDL Median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957DD2" w:rsidRPr="00957DD2" w:rsidRDefault="00DD10B9" w:rsidP="006E4CE3">
            <w:pPr>
              <w:keepNext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1.44</w:t>
            </w:r>
          </w:p>
        </w:tc>
        <w:tc>
          <w:tcPr>
            <w:tcW w:w="1072" w:type="dxa"/>
            <w:shd w:val="clear" w:color="auto" w:fill="auto"/>
            <w:vAlign w:val="bottom"/>
          </w:tcPr>
          <w:p w:rsidR="00957DD2" w:rsidRPr="00957DD2" w:rsidRDefault="002502FE" w:rsidP="006E4CE3">
            <w:pPr>
              <w:keepNext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1.51</w:t>
            </w:r>
          </w:p>
        </w:tc>
      </w:tr>
      <w:tr w:rsidR="002502FE" w:rsidRPr="00675469" w:rsidTr="00957DD2">
        <w:trPr>
          <w:trHeight w:val="70"/>
          <w:jc w:val="center"/>
        </w:trPr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2502FE" w:rsidRPr="00675469" w:rsidRDefault="002502FE" w:rsidP="00540CCA">
            <w:pPr>
              <w:jc w:val="right"/>
              <w:rPr>
                <w:rFonts w:eastAsia="Times New Roman" w:cs="Times New Roman"/>
              </w:rPr>
            </w:pPr>
            <w:r w:rsidRPr="00F2427B">
              <w:rPr>
                <w:rFonts w:eastAsia="Times New Roman" w:cs="Times New Roman"/>
              </w:rPr>
              <w:t>2003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502FE" w:rsidRPr="00957DD2" w:rsidRDefault="002502FE" w:rsidP="00540CCA">
            <w:pPr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1.17</w:t>
            </w:r>
          </w:p>
        </w:tc>
        <w:tc>
          <w:tcPr>
            <w:tcW w:w="1072" w:type="dxa"/>
            <w:shd w:val="clear" w:color="auto" w:fill="auto"/>
            <w:vAlign w:val="bottom"/>
          </w:tcPr>
          <w:p w:rsidR="002502FE" w:rsidRDefault="002502F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</w:tr>
      <w:tr w:rsidR="002502FE" w:rsidRPr="00675469" w:rsidTr="00957DD2">
        <w:trPr>
          <w:trHeight w:val="70"/>
          <w:jc w:val="center"/>
        </w:trPr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2502FE" w:rsidRPr="00675469" w:rsidRDefault="002502FE" w:rsidP="00540CCA">
            <w:pPr>
              <w:jc w:val="right"/>
              <w:rPr>
                <w:rFonts w:eastAsia="Times New Roman" w:cs="Times New Roman"/>
              </w:rPr>
            </w:pPr>
            <w:r w:rsidRPr="00F2427B">
              <w:rPr>
                <w:rFonts w:eastAsia="Times New Roman" w:cs="Times New Roman"/>
              </w:rPr>
              <w:t>2005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502FE" w:rsidRPr="00957DD2" w:rsidRDefault="002502FE" w:rsidP="00540CCA">
            <w:pPr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1.08</w:t>
            </w:r>
          </w:p>
        </w:tc>
        <w:tc>
          <w:tcPr>
            <w:tcW w:w="1072" w:type="dxa"/>
            <w:shd w:val="clear" w:color="auto" w:fill="auto"/>
            <w:vAlign w:val="bottom"/>
          </w:tcPr>
          <w:p w:rsidR="002502FE" w:rsidRPr="00957DD2" w:rsidRDefault="002502FE" w:rsidP="00540CCA">
            <w:pPr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1.35</w:t>
            </w:r>
          </w:p>
        </w:tc>
      </w:tr>
      <w:tr w:rsidR="002502FE" w:rsidRPr="00675469" w:rsidTr="00957DD2">
        <w:trPr>
          <w:trHeight w:val="70"/>
          <w:jc w:val="center"/>
        </w:trPr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2502FE" w:rsidRPr="00675469" w:rsidRDefault="002502FE" w:rsidP="00540CCA">
            <w:pPr>
              <w:jc w:val="right"/>
              <w:rPr>
                <w:rFonts w:eastAsia="Times New Roman" w:cs="Times New Roman"/>
              </w:rPr>
            </w:pPr>
            <w:r w:rsidRPr="00F2427B">
              <w:rPr>
                <w:rFonts w:eastAsia="Times New Roman" w:cs="Times New Roman"/>
              </w:rPr>
              <w:t>2006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502FE" w:rsidRPr="00957DD2" w:rsidRDefault="002502FE" w:rsidP="00540CCA">
            <w:pPr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1.20</w:t>
            </w:r>
          </w:p>
        </w:tc>
        <w:tc>
          <w:tcPr>
            <w:tcW w:w="1072" w:type="dxa"/>
            <w:shd w:val="clear" w:color="auto" w:fill="auto"/>
            <w:vAlign w:val="bottom"/>
          </w:tcPr>
          <w:p w:rsidR="002502FE" w:rsidRPr="00957DD2" w:rsidRDefault="002502FE" w:rsidP="00540CCA">
            <w:pPr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1.45</w:t>
            </w:r>
          </w:p>
        </w:tc>
      </w:tr>
      <w:tr w:rsidR="002502FE" w:rsidRPr="00675469" w:rsidTr="00957DD2">
        <w:trPr>
          <w:trHeight w:val="70"/>
          <w:jc w:val="center"/>
        </w:trPr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2502FE" w:rsidRPr="00675469" w:rsidRDefault="002502FE" w:rsidP="00540CCA">
            <w:pPr>
              <w:jc w:val="right"/>
              <w:rPr>
                <w:rFonts w:eastAsia="Times New Roman" w:cs="Times New Roman"/>
              </w:rPr>
            </w:pPr>
            <w:r w:rsidRPr="00F2427B">
              <w:rPr>
                <w:rFonts w:eastAsia="Times New Roman" w:cs="Times New Roman"/>
              </w:rPr>
              <w:t>2007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502FE" w:rsidRPr="00957DD2" w:rsidRDefault="002502FE" w:rsidP="00540CCA">
            <w:pPr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1.23</w:t>
            </w:r>
          </w:p>
        </w:tc>
        <w:tc>
          <w:tcPr>
            <w:tcW w:w="1072" w:type="dxa"/>
            <w:shd w:val="clear" w:color="auto" w:fill="auto"/>
            <w:vAlign w:val="bottom"/>
          </w:tcPr>
          <w:p w:rsidR="002502FE" w:rsidRPr="00957DD2" w:rsidRDefault="002502FE" w:rsidP="00540CCA">
            <w:pPr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1.39</w:t>
            </w:r>
          </w:p>
        </w:tc>
      </w:tr>
      <w:tr w:rsidR="002502FE" w:rsidRPr="00675469" w:rsidTr="00957DD2">
        <w:trPr>
          <w:trHeight w:val="70"/>
          <w:jc w:val="center"/>
        </w:trPr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2502FE" w:rsidRPr="00F2427B" w:rsidRDefault="002502FE" w:rsidP="00540CCA">
            <w:pPr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Step 2 Compliant?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502FE" w:rsidRPr="00957DD2" w:rsidRDefault="002502FE" w:rsidP="00540CCA">
            <w:pPr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No</w:t>
            </w:r>
          </w:p>
        </w:tc>
        <w:tc>
          <w:tcPr>
            <w:tcW w:w="1072" w:type="dxa"/>
            <w:shd w:val="clear" w:color="auto" w:fill="auto"/>
            <w:vAlign w:val="bottom"/>
          </w:tcPr>
          <w:p w:rsidR="002502FE" w:rsidRPr="00957DD2" w:rsidRDefault="002502FE" w:rsidP="00540CCA">
            <w:pPr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No</w:t>
            </w:r>
          </w:p>
        </w:tc>
      </w:tr>
    </w:tbl>
    <w:p w:rsidR="009A718B" w:rsidRPr="00675469" w:rsidRDefault="009A718B" w:rsidP="00540CCA">
      <w:pPr>
        <w:jc w:val="left"/>
      </w:pPr>
    </w:p>
    <w:p w:rsidR="00225B59" w:rsidRPr="00675469" w:rsidRDefault="00F2427B" w:rsidP="00540CCA">
      <w:pPr>
        <w:pStyle w:val="Heading2"/>
        <w:spacing w:before="0"/>
        <w:jc w:val="left"/>
        <w:rPr>
          <w:rFonts w:asciiTheme="minorHAnsi" w:hAnsiTheme="minorHAnsi"/>
          <w:smallCaps/>
          <w:color w:val="auto"/>
          <w:sz w:val="24"/>
          <w:szCs w:val="24"/>
        </w:rPr>
      </w:pPr>
      <w:r>
        <w:rPr>
          <w:rFonts w:asciiTheme="minorHAnsi" w:hAnsiTheme="minorHAnsi"/>
          <w:smallCaps/>
          <w:color w:val="auto"/>
          <w:sz w:val="24"/>
          <w:szCs w:val="24"/>
        </w:rPr>
        <w:t>2011 Compliance Assessment Results</w:t>
      </w:r>
    </w:p>
    <w:p w:rsidR="00176444" w:rsidRPr="00974AF4" w:rsidRDefault="006E4CE3" w:rsidP="00B30263">
      <w:pPr>
        <w:jc w:val="both"/>
      </w:pPr>
      <w:r w:rsidRPr="00974AF4">
        <w:t xml:space="preserve">Based on this evaluation, </w:t>
      </w:r>
      <w:r w:rsidR="00404D17" w:rsidRPr="00974AF4">
        <w:t>North A and North B do</w:t>
      </w:r>
      <w:r w:rsidR="00C05610" w:rsidRPr="00974AF4">
        <w:t xml:space="preserve"> not meet Step 1 or Step</w:t>
      </w:r>
      <w:r w:rsidR="00974AF4" w:rsidRPr="00974AF4">
        <w:t xml:space="preserve"> 2 and are</w:t>
      </w:r>
      <w:r w:rsidR="00404D17" w:rsidRPr="00974AF4">
        <w:rPr>
          <w:vanish/>
        </w:rPr>
        <w:t xml:space="preserve"> and is IRLaddling trail in that</w:t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404D17" w:rsidRPr="00974AF4">
        <w:rPr>
          <w:vanish/>
        </w:rPr>
        <w:pgNum/>
      </w:r>
      <w:r w:rsidR="00C05610" w:rsidRPr="00974AF4">
        <w:t>, therefore, not compliant with the TMDL seagrass depth limit target</w:t>
      </w:r>
      <w:r w:rsidR="00974AF4" w:rsidRPr="00974AF4">
        <w:t>s</w:t>
      </w:r>
      <w:r w:rsidR="00C05610" w:rsidRPr="00974AF4">
        <w:t>.</w:t>
      </w:r>
      <w:r w:rsidR="00F2427B" w:rsidRPr="00974AF4">
        <w:t xml:space="preserve"> </w:t>
      </w:r>
    </w:p>
    <w:p w:rsidR="005156B3" w:rsidRPr="00974AF4" w:rsidRDefault="005156B3" w:rsidP="005156B3">
      <w:pPr>
        <w:pStyle w:val="Heading3"/>
        <w:jc w:val="left"/>
        <w:rPr>
          <w:color w:val="auto"/>
        </w:rPr>
      </w:pPr>
      <w:r w:rsidRPr="00974AF4">
        <w:rPr>
          <w:rFonts w:asciiTheme="minorHAnsi" w:hAnsiTheme="minorHAnsi"/>
          <w:color w:val="auto"/>
        </w:rPr>
        <w:t>Application of Assessment Results</w:t>
      </w:r>
    </w:p>
    <w:p w:rsidR="00897E80" w:rsidRPr="00D129BA" w:rsidRDefault="00897E80" w:rsidP="00CF61BD">
      <w:pPr>
        <w:jc w:val="both"/>
      </w:pPr>
      <w:r w:rsidRPr="00974AF4">
        <w:t xml:space="preserve">Stakeholders in the </w:t>
      </w:r>
      <w:r w:rsidR="00974AF4" w:rsidRPr="00974AF4">
        <w:t>North IRL w</w:t>
      </w:r>
      <w:r w:rsidRPr="00974AF4">
        <w:t xml:space="preserve">ill be required to </w:t>
      </w:r>
      <w:r w:rsidR="00E53556" w:rsidRPr="00974AF4">
        <w:t>achieve</w:t>
      </w:r>
      <w:r w:rsidRPr="00974AF4">
        <w:t xml:space="preserve"> </w:t>
      </w:r>
      <w:r w:rsidR="00465809" w:rsidRPr="00974AF4">
        <w:t>nutrient</w:t>
      </w:r>
      <w:r w:rsidRPr="00974AF4">
        <w:t xml:space="preserve"> reductions</w:t>
      </w:r>
      <w:r w:rsidR="00465809" w:rsidRPr="00974AF4">
        <w:t xml:space="preserve"> in the</w:t>
      </w:r>
      <w:r w:rsidR="00CD6EF0" w:rsidRPr="00974AF4">
        <w:t xml:space="preserve"> first five-year BMAP period</w:t>
      </w:r>
      <w:r w:rsidR="00465809" w:rsidRPr="00974AF4">
        <w:t xml:space="preserve"> because this</w:t>
      </w:r>
      <w:r w:rsidR="00CD6EF0" w:rsidRPr="00974AF4">
        <w:t xml:space="preserve"> area</w:t>
      </w:r>
      <w:r w:rsidR="00465809" w:rsidRPr="00974AF4">
        <w:t xml:space="preserve"> is</w:t>
      </w:r>
      <w:r w:rsidRPr="00974AF4">
        <w:t xml:space="preserve"> not meeting </w:t>
      </w:r>
      <w:r w:rsidR="00CD6EF0" w:rsidRPr="00974AF4">
        <w:t xml:space="preserve">the </w:t>
      </w:r>
      <w:r w:rsidRPr="00974AF4">
        <w:t>TMDL</w:t>
      </w:r>
      <w:r w:rsidR="00465809" w:rsidRPr="00974AF4">
        <w:t xml:space="preserve"> depth limit</w:t>
      </w:r>
      <w:r w:rsidR="00957DD2" w:rsidRPr="00974AF4">
        <w:t xml:space="preserve"> target</w:t>
      </w:r>
      <w:r w:rsidR="00974AF4" w:rsidRPr="00974AF4">
        <w:t>s</w:t>
      </w:r>
      <w:r w:rsidR="00957DD2" w:rsidRPr="00974AF4">
        <w:t xml:space="preserve">.  </w:t>
      </w:r>
      <w:r w:rsidR="00465809" w:rsidRPr="00974AF4">
        <w:t>Stakeholders must provide sufficient projects to achieve at least 15% of the required nutrient reductions in the first BMAP iteration.</w:t>
      </w:r>
      <w:r w:rsidR="00974AF4" w:rsidRPr="00974AF4">
        <w:t xml:space="preserve">  </w:t>
      </w:r>
      <w:r w:rsidR="0032732D" w:rsidRPr="00974AF4">
        <w:t xml:space="preserve">In year four of the BMAP, TMDL </w:t>
      </w:r>
      <w:r w:rsidR="00465809" w:rsidRPr="00974AF4">
        <w:t>depth limit</w:t>
      </w:r>
      <w:r w:rsidR="0032732D" w:rsidRPr="00974AF4">
        <w:t xml:space="preserve"> targets will be reassessed using </w:t>
      </w:r>
      <w:r w:rsidR="00665EB4" w:rsidRPr="00974AF4">
        <w:t xml:space="preserve">2007, </w:t>
      </w:r>
      <w:r w:rsidR="0032732D" w:rsidRPr="00974AF4">
        <w:t>2009, 2011, and 2013 mapping data</w:t>
      </w:r>
      <w:r w:rsidR="00CD6EF0" w:rsidRPr="00974AF4">
        <w:t xml:space="preserve"> for these project zones</w:t>
      </w:r>
      <w:r w:rsidR="0032732D" w:rsidRPr="00974AF4">
        <w:t xml:space="preserve">. </w:t>
      </w:r>
      <w:r w:rsidR="00CD6EF0" w:rsidRPr="00974AF4">
        <w:t xml:space="preserve"> </w:t>
      </w:r>
      <w:r w:rsidR="00465809" w:rsidRPr="00974AF4">
        <w:t xml:space="preserve">If the </w:t>
      </w:r>
      <w:r w:rsidR="00974AF4" w:rsidRPr="00974AF4">
        <w:t>North</w:t>
      </w:r>
      <w:r w:rsidR="00465809" w:rsidRPr="00974AF4">
        <w:t xml:space="preserve"> A and/or </w:t>
      </w:r>
      <w:r w:rsidR="00974AF4" w:rsidRPr="00974AF4">
        <w:t>North</w:t>
      </w:r>
      <w:r w:rsidR="00465809" w:rsidRPr="00974AF4">
        <w:t xml:space="preserve"> B</w:t>
      </w:r>
      <w:r w:rsidR="0032732D" w:rsidRPr="00974AF4">
        <w:t xml:space="preserve"> project zone </w:t>
      </w:r>
      <w:r w:rsidR="00465809" w:rsidRPr="00974AF4">
        <w:t>is</w:t>
      </w:r>
      <w:r w:rsidR="0032732D" w:rsidRPr="00974AF4">
        <w:t xml:space="preserve"> compliant using the </w:t>
      </w:r>
      <w:r w:rsidR="00CD6EF0" w:rsidRPr="00974AF4">
        <w:lastRenderedPageBreak/>
        <w:t>20</w:t>
      </w:r>
      <w:r w:rsidR="0032732D" w:rsidRPr="00974AF4">
        <w:t>07-</w:t>
      </w:r>
      <w:r w:rsidR="00CD6EF0" w:rsidRPr="00974AF4">
        <w:t>20</w:t>
      </w:r>
      <w:r w:rsidR="0032732D" w:rsidRPr="00974AF4">
        <w:t>13 mapping years, FDEP will not ask stakeholders</w:t>
      </w:r>
      <w:r w:rsidR="00465809" w:rsidRPr="00974AF4">
        <w:t xml:space="preserve"> in that project zone(s)</w:t>
      </w:r>
      <w:r w:rsidR="0032732D" w:rsidRPr="00974AF4">
        <w:t xml:space="preserve"> to make </w:t>
      </w:r>
      <w:r w:rsidR="00D129BA" w:rsidRPr="00974AF4">
        <w:t xml:space="preserve">additional </w:t>
      </w:r>
      <w:r w:rsidR="00465809" w:rsidRPr="00974AF4">
        <w:t>nutrient</w:t>
      </w:r>
      <w:r w:rsidR="0047337D" w:rsidRPr="00974AF4">
        <w:t xml:space="preserve"> </w:t>
      </w:r>
      <w:r w:rsidR="0032732D" w:rsidRPr="00974AF4">
        <w:t xml:space="preserve">reductions in the next iteration of the BMAP. </w:t>
      </w:r>
      <w:r w:rsidR="00CD6EF0" w:rsidRPr="00974AF4">
        <w:t xml:space="preserve"> </w:t>
      </w:r>
      <w:r w:rsidR="0047337D" w:rsidRPr="00974AF4">
        <w:t xml:space="preserve">If </w:t>
      </w:r>
      <w:r w:rsidR="00465809" w:rsidRPr="00974AF4">
        <w:t xml:space="preserve">either of </w:t>
      </w:r>
      <w:r w:rsidR="00D733F3" w:rsidRPr="00974AF4">
        <w:t>the project zones</w:t>
      </w:r>
      <w:r w:rsidR="008D5DF4" w:rsidRPr="00974AF4">
        <w:t xml:space="preserve"> is not compliant</w:t>
      </w:r>
      <w:r w:rsidR="00CD6EF0" w:rsidRPr="00974AF4">
        <w:t>,</w:t>
      </w:r>
      <w:r w:rsidR="008D5DF4" w:rsidRPr="00974AF4">
        <w:t xml:space="preserve"> a second iteration of the BMAP will be developed with additional reductions required.</w:t>
      </w:r>
    </w:p>
    <w:sectPr w:rsidR="00897E80" w:rsidRPr="00D129BA" w:rsidSect="00BA0D05"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6D0" w:rsidRDefault="000D56D0" w:rsidP="001E195E">
      <w:r>
        <w:separator/>
      </w:r>
    </w:p>
  </w:endnote>
  <w:endnote w:type="continuationSeparator" w:id="0">
    <w:p w:rsidR="000D56D0" w:rsidRDefault="000D56D0" w:rsidP="001E1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9791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19797916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6E4CE3" w:rsidRDefault="00C250F8" w:rsidP="00B30263">
            <w:pPr>
              <w:pStyle w:val="Footer"/>
              <w:tabs>
                <w:tab w:val="left" w:pos="300"/>
              </w:tabs>
              <w:jc w:val="left"/>
            </w:pPr>
            <w:r>
              <w:t>April 19, 2012</w:t>
            </w:r>
            <w:r w:rsidR="006E4CE3">
              <w:tab/>
            </w:r>
            <w:r w:rsidR="006E4CE3" w:rsidRPr="00B30263">
              <w:rPr>
                <w:sz w:val="20"/>
                <w:szCs w:val="20"/>
              </w:rPr>
              <w:t xml:space="preserve">Page </w:t>
            </w:r>
            <w:r w:rsidR="004E2BC5" w:rsidRPr="00B30263">
              <w:rPr>
                <w:sz w:val="20"/>
                <w:szCs w:val="20"/>
              </w:rPr>
              <w:fldChar w:fldCharType="begin"/>
            </w:r>
            <w:r w:rsidR="006E4CE3" w:rsidRPr="00B30263">
              <w:rPr>
                <w:sz w:val="20"/>
                <w:szCs w:val="20"/>
              </w:rPr>
              <w:instrText xml:space="preserve"> PAGE </w:instrText>
            </w:r>
            <w:r w:rsidR="004E2BC5" w:rsidRPr="00B30263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</w:t>
            </w:r>
            <w:r w:rsidR="004E2BC5" w:rsidRPr="00B30263">
              <w:rPr>
                <w:sz w:val="20"/>
                <w:szCs w:val="20"/>
              </w:rPr>
              <w:fldChar w:fldCharType="end"/>
            </w:r>
            <w:r w:rsidR="006E4CE3" w:rsidRPr="00B30263">
              <w:rPr>
                <w:sz w:val="20"/>
                <w:szCs w:val="20"/>
              </w:rPr>
              <w:t xml:space="preserve"> of </w:t>
            </w:r>
            <w:r w:rsidR="004E2BC5" w:rsidRPr="00B30263">
              <w:rPr>
                <w:sz w:val="20"/>
                <w:szCs w:val="20"/>
              </w:rPr>
              <w:fldChar w:fldCharType="begin"/>
            </w:r>
            <w:r w:rsidR="006E4CE3" w:rsidRPr="00B30263">
              <w:rPr>
                <w:sz w:val="20"/>
                <w:szCs w:val="20"/>
              </w:rPr>
              <w:instrText xml:space="preserve"> NUMPAGES  </w:instrText>
            </w:r>
            <w:r w:rsidR="004E2BC5" w:rsidRPr="00B30263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4</w:t>
            </w:r>
            <w:r w:rsidR="004E2BC5" w:rsidRPr="00B30263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:rsidR="006E4CE3" w:rsidRPr="00262FD7" w:rsidRDefault="006E4CE3" w:rsidP="00262FD7">
    <w:pPr>
      <w:pStyle w:val="Footer"/>
      <w:jc w:val="left"/>
      <w:rPr>
        <w:rFonts w:ascii="Bell MT" w:hAnsi="Bell M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6D0" w:rsidRDefault="000D56D0" w:rsidP="001E195E">
      <w:r>
        <w:separator/>
      </w:r>
    </w:p>
  </w:footnote>
  <w:footnote w:type="continuationSeparator" w:id="0">
    <w:p w:rsidR="000D56D0" w:rsidRDefault="000D56D0" w:rsidP="001E19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06B29"/>
    <w:multiLevelType w:val="hybridMultilevel"/>
    <w:tmpl w:val="AD36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83D31"/>
    <w:multiLevelType w:val="hybridMultilevel"/>
    <w:tmpl w:val="8320E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D4501"/>
    <w:multiLevelType w:val="hybridMultilevel"/>
    <w:tmpl w:val="FC7A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5F283E"/>
    <w:multiLevelType w:val="hybridMultilevel"/>
    <w:tmpl w:val="0EE23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56043"/>
    <w:multiLevelType w:val="hybridMultilevel"/>
    <w:tmpl w:val="7DE07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C7EF7"/>
    <w:multiLevelType w:val="hybridMultilevel"/>
    <w:tmpl w:val="2D46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6E4967"/>
    <w:multiLevelType w:val="hybridMultilevel"/>
    <w:tmpl w:val="614AE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DD59E9"/>
    <w:rsid w:val="0000221C"/>
    <w:rsid w:val="00002B8D"/>
    <w:rsid w:val="00006EA1"/>
    <w:rsid w:val="00041B20"/>
    <w:rsid w:val="00060712"/>
    <w:rsid w:val="0006681D"/>
    <w:rsid w:val="00086079"/>
    <w:rsid w:val="000A43E5"/>
    <w:rsid w:val="000A5C13"/>
    <w:rsid w:val="000D56D0"/>
    <w:rsid w:val="000D6E2C"/>
    <w:rsid w:val="000F5E29"/>
    <w:rsid w:val="0011045F"/>
    <w:rsid w:val="001200BA"/>
    <w:rsid w:val="00120A4A"/>
    <w:rsid w:val="00120CF9"/>
    <w:rsid w:val="00123FBA"/>
    <w:rsid w:val="00141039"/>
    <w:rsid w:val="001414B7"/>
    <w:rsid w:val="00153C34"/>
    <w:rsid w:val="00160C86"/>
    <w:rsid w:val="0016376E"/>
    <w:rsid w:val="00176444"/>
    <w:rsid w:val="00181FE8"/>
    <w:rsid w:val="00182551"/>
    <w:rsid w:val="00182EA1"/>
    <w:rsid w:val="001865A8"/>
    <w:rsid w:val="001959AD"/>
    <w:rsid w:val="001D73A7"/>
    <w:rsid w:val="001E00C4"/>
    <w:rsid w:val="001E195E"/>
    <w:rsid w:val="001F37CB"/>
    <w:rsid w:val="00210161"/>
    <w:rsid w:val="002242D1"/>
    <w:rsid w:val="00225B59"/>
    <w:rsid w:val="002502FE"/>
    <w:rsid w:val="00262FD7"/>
    <w:rsid w:val="00263620"/>
    <w:rsid w:val="00266D1F"/>
    <w:rsid w:val="002700CC"/>
    <w:rsid w:val="00282431"/>
    <w:rsid w:val="0029122C"/>
    <w:rsid w:val="002A292F"/>
    <w:rsid w:val="002A4A29"/>
    <w:rsid w:val="002B1237"/>
    <w:rsid w:val="002B419C"/>
    <w:rsid w:val="002E5894"/>
    <w:rsid w:val="002E61EE"/>
    <w:rsid w:val="002F21D5"/>
    <w:rsid w:val="0032732D"/>
    <w:rsid w:val="00333FE5"/>
    <w:rsid w:val="003344EF"/>
    <w:rsid w:val="003475A1"/>
    <w:rsid w:val="003654B8"/>
    <w:rsid w:val="0037029C"/>
    <w:rsid w:val="00376F72"/>
    <w:rsid w:val="00391493"/>
    <w:rsid w:val="003A0904"/>
    <w:rsid w:val="003A5518"/>
    <w:rsid w:val="003A5959"/>
    <w:rsid w:val="003B117C"/>
    <w:rsid w:val="003C0629"/>
    <w:rsid w:val="003C0DFD"/>
    <w:rsid w:val="003C20C6"/>
    <w:rsid w:val="003C4CF3"/>
    <w:rsid w:val="003D790C"/>
    <w:rsid w:val="003E4488"/>
    <w:rsid w:val="003F54F7"/>
    <w:rsid w:val="00404D17"/>
    <w:rsid w:val="00433A35"/>
    <w:rsid w:val="0043437D"/>
    <w:rsid w:val="0043526E"/>
    <w:rsid w:val="00436000"/>
    <w:rsid w:val="00450D09"/>
    <w:rsid w:val="00455024"/>
    <w:rsid w:val="00465809"/>
    <w:rsid w:val="0047337D"/>
    <w:rsid w:val="00473499"/>
    <w:rsid w:val="0048246B"/>
    <w:rsid w:val="004903C6"/>
    <w:rsid w:val="0049238E"/>
    <w:rsid w:val="004A4F09"/>
    <w:rsid w:val="004C48F2"/>
    <w:rsid w:val="004E077F"/>
    <w:rsid w:val="004E2BC5"/>
    <w:rsid w:val="004E2F9F"/>
    <w:rsid w:val="004E5411"/>
    <w:rsid w:val="004F4715"/>
    <w:rsid w:val="004F4EEB"/>
    <w:rsid w:val="005024F2"/>
    <w:rsid w:val="00506833"/>
    <w:rsid w:val="00514B65"/>
    <w:rsid w:val="005156B3"/>
    <w:rsid w:val="005221E5"/>
    <w:rsid w:val="00540CCA"/>
    <w:rsid w:val="005641F2"/>
    <w:rsid w:val="00567CF8"/>
    <w:rsid w:val="00576819"/>
    <w:rsid w:val="00582209"/>
    <w:rsid w:val="005B33AF"/>
    <w:rsid w:val="005E5A0C"/>
    <w:rsid w:val="005F3C23"/>
    <w:rsid w:val="006132BA"/>
    <w:rsid w:val="006200A6"/>
    <w:rsid w:val="006407C5"/>
    <w:rsid w:val="006455AA"/>
    <w:rsid w:val="006501E3"/>
    <w:rsid w:val="006619C3"/>
    <w:rsid w:val="00663E1A"/>
    <w:rsid w:val="00665EB4"/>
    <w:rsid w:val="00675469"/>
    <w:rsid w:val="00684024"/>
    <w:rsid w:val="00687EE9"/>
    <w:rsid w:val="006B2F32"/>
    <w:rsid w:val="006C47CB"/>
    <w:rsid w:val="006C6682"/>
    <w:rsid w:val="006D1878"/>
    <w:rsid w:val="006E4CE3"/>
    <w:rsid w:val="006E6447"/>
    <w:rsid w:val="00711079"/>
    <w:rsid w:val="007140FF"/>
    <w:rsid w:val="00722AB5"/>
    <w:rsid w:val="00735C3B"/>
    <w:rsid w:val="0074024A"/>
    <w:rsid w:val="007438E7"/>
    <w:rsid w:val="00750F49"/>
    <w:rsid w:val="00750FCA"/>
    <w:rsid w:val="007709D2"/>
    <w:rsid w:val="007865C7"/>
    <w:rsid w:val="00794153"/>
    <w:rsid w:val="0079670D"/>
    <w:rsid w:val="007B44D4"/>
    <w:rsid w:val="007C2C23"/>
    <w:rsid w:val="007D0747"/>
    <w:rsid w:val="007D6668"/>
    <w:rsid w:val="007E09F2"/>
    <w:rsid w:val="007E1590"/>
    <w:rsid w:val="007E18FA"/>
    <w:rsid w:val="007E273B"/>
    <w:rsid w:val="008063A2"/>
    <w:rsid w:val="00816CEB"/>
    <w:rsid w:val="00823A86"/>
    <w:rsid w:val="00841FB8"/>
    <w:rsid w:val="00847F2C"/>
    <w:rsid w:val="00861016"/>
    <w:rsid w:val="0087496E"/>
    <w:rsid w:val="00881757"/>
    <w:rsid w:val="008824DE"/>
    <w:rsid w:val="008852EA"/>
    <w:rsid w:val="00885BA6"/>
    <w:rsid w:val="0088759B"/>
    <w:rsid w:val="008965BD"/>
    <w:rsid w:val="00897E80"/>
    <w:rsid w:val="008B0B8A"/>
    <w:rsid w:val="008B70A4"/>
    <w:rsid w:val="008C66AC"/>
    <w:rsid w:val="008C7E19"/>
    <w:rsid w:val="008D5DF4"/>
    <w:rsid w:val="009154B0"/>
    <w:rsid w:val="009209EC"/>
    <w:rsid w:val="0093282B"/>
    <w:rsid w:val="00957DD2"/>
    <w:rsid w:val="00961C86"/>
    <w:rsid w:val="00974459"/>
    <w:rsid w:val="00974AF4"/>
    <w:rsid w:val="00977367"/>
    <w:rsid w:val="00986479"/>
    <w:rsid w:val="00990FAE"/>
    <w:rsid w:val="0099103E"/>
    <w:rsid w:val="00991CF4"/>
    <w:rsid w:val="00995CC3"/>
    <w:rsid w:val="00997C6E"/>
    <w:rsid w:val="009A718B"/>
    <w:rsid w:val="009B289B"/>
    <w:rsid w:val="009B4A8C"/>
    <w:rsid w:val="009E38D3"/>
    <w:rsid w:val="009E5684"/>
    <w:rsid w:val="00A2089D"/>
    <w:rsid w:val="00A513C8"/>
    <w:rsid w:val="00A5205E"/>
    <w:rsid w:val="00A5254A"/>
    <w:rsid w:val="00A54E26"/>
    <w:rsid w:val="00A63BD0"/>
    <w:rsid w:val="00A734E8"/>
    <w:rsid w:val="00A75770"/>
    <w:rsid w:val="00AA38B4"/>
    <w:rsid w:val="00AC0AC8"/>
    <w:rsid w:val="00AD0BAA"/>
    <w:rsid w:val="00B13612"/>
    <w:rsid w:val="00B16F99"/>
    <w:rsid w:val="00B30263"/>
    <w:rsid w:val="00B47D64"/>
    <w:rsid w:val="00B50E81"/>
    <w:rsid w:val="00B72012"/>
    <w:rsid w:val="00BA0D05"/>
    <w:rsid w:val="00BA10AB"/>
    <w:rsid w:val="00BA585D"/>
    <w:rsid w:val="00BA62DB"/>
    <w:rsid w:val="00BC07EF"/>
    <w:rsid w:val="00BC645C"/>
    <w:rsid w:val="00BE099E"/>
    <w:rsid w:val="00BE1CF8"/>
    <w:rsid w:val="00BF7185"/>
    <w:rsid w:val="00C05610"/>
    <w:rsid w:val="00C11D6E"/>
    <w:rsid w:val="00C2416D"/>
    <w:rsid w:val="00C250F8"/>
    <w:rsid w:val="00C3666D"/>
    <w:rsid w:val="00C70D8A"/>
    <w:rsid w:val="00C82BCF"/>
    <w:rsid w:val="00CC3818"/>
    <w:rsid w:val="00CC6FFF"/>
    <w:rsid w:val="00CD6EF0"/>
    <w:rsid w:val="00CE2757"/>
    <w:rsid w:val="00CF2469"/>
    <w:rsid w:val="00CF61BD"/>
    <w:rsid w:val="00D0358E"/>
    <w:rsid w:val="00D129BA"/>
    <w:rsid w:val="00D2534E"/>
    <w:rsid w:val="00D314A8"/>
    <w:rsid w:val="00D3601E"/>
    <w:rsid w:val="00D733F3"/>
    <w:rsid w:val="00D77CEB"/>
    <w:rsid w:val="00DD10B9"/>
    <w:rsid w:val="00DD59E9"/>
    <w:rsid w:val="00DD6C6E"/>
    <w:rsid w:val="00DE6C81"/>
    <w:rsid w:val="00DF05BA"/>
    <w:rsid w:val="00E046EC"/>
    <w:rsid w:val="00E06F3B"/>
    <w:rsid w:val="00E15B57"/>
    <w:rsid w:val="00E17498"/>
    <w:rsid w:val="00E3195F"/>
    <w:rsid w:val="00E33030"/>
    <w:rsid w:val="00E53556"/>
    <w:rsid w:val="00E56A25"/>
    <w:rsid w:val="00E62587"/>
    <w:rsid w:val="00E6468A"/>
    <w:rsid w:val="00E66D62"/>
    <w:rsid w:val="00E910D9"/>
    <w:rsid w:val="00EA712F"/>
    <w:rsid w:val="00EB0D2C"/>
    <w:rsid w:val="00EC37B0"/>
    <w:rsid w:val="00EC4B97"/>
    <w:rsid w:val="00EE4E5D"/>
    <w:rsid w:val="00EE58E4"/>
    <w:rsid w:val="00EE6C69"/>
    <w:rsid w:val="00F0562B"/>
    <w:rsid w:val="00F070AC"/>
    <w:rsid w:val="00F20594"/>
    <w:rsid w:val="00F224BA"/>
    <w:rsid w:val="00F2427B"/>
    <w:rsid w:val="00F24C17"/>
    <w:rsid w:val="00F7619A"/>
    <w:rsid w:val="00F972DD"/>
    <w:rsid w:val="00F97C16"/>
    <w:rsid w:val="00FD0C66"/>
    <w:rsid w:val="00FD4D88"/>
    <w:rsid w:val="00FD4F33"/>
    <w:rsid w:val="00FE5DEE"/>
    <w:rsid w:val="00FE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AB5"/>
  </w:style>
  <w:style w:type="paragraph" w:styleId="Heading1">
    <w:name w:val="heading 1"/>
    <w:basedOn w:val="Normal"/>
    <w:next w:val="Normal"/>
    <w:link w:val="Heading1Char"/>
    <w:uiPriority w:val="9"/>
    <w:qFormat/>
    <w:rsid w:val="007941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41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5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E19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19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195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941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941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A4F09"/>
    <w:pPr>
      <w:ind w:left="720"/>
      <w:contextualSpacing/>
    </w:pPr>
  </w:style>
  <w:style w:type="table" w:styleId="TableGrid">
    <w:name w:val="Table Grid"/>
    <w:basedOn w:val="TableNormal"/>
    <w:uiPriority w:val="59"/>
    <w:rsid w:val="00B50E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7E15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5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5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62F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2FD7"/>
  </w:style>
  <w:style w:type="paragraph" w:styleId="Footer">
    <w:name w:val="footer"/>
    <w:basedOn w:val="Normal"/>
    <w:link w:val="FooterChar"/>
    <w:uiPriority w:val="99"/>
    <w:unhideWhenUsed/>
    <w:rsid w:val="00262F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FD7"/>
  </w:style>
  <w:style w:type="character" w:styleId="CommentReference">
    <w:name w:val="annotation reference"/>
    <w:basedOn w:val="DefaultParagraphFont"/>
    <w:uiPriority w:val="99"/>
    <w:semiHidden/>
    <w:unhideWhenUsed/>
    <w:rsid w:val="002B4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41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41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1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419C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Paulic_M\Desktop\Drive_E\Basin%20coordination\Indian%20River\irl\seagrass\NIRLB_201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2860048272860364"/>
          <c:y val="3.9799647685548785E-2"/>
          <c:w val="0.81410512815857283"/>
          <c:h val="0.70163139517470263"/>
        </c:manualLayout>
      </c:layout>
      <c:scatterChart>
        <c:scatterStyle val="lineMarker"/>
        <c:ser>
          <c:idx val="0"/>
          <c:order val="0"/>
          <c:tx>
            <c:strRef>
              <c:f>'NIRLB 2003-2007'!$N$1</c:f>
              <c:strCache>
                <c:ptCount val="1"/>
                <c:pt idx="0">
                  <c:v>TMDL Target</c:v>
                </c:pt>
              </c:strCache>
            </c:strRef>
          </c:tx>
          <c:spPr>
            <a:ln w="28575">
              <a:solidFill>
                <a:schemeClr val="accent1">
                  <a:lumMod val="75000"/>
                </a:schemeClr>
              </a:solidFill>
            </a:ln>
          </c:spPr>
          <c:marker>
            <c:symbol val="none"/>
          </c:marker>
          <c:xVal>
            <c:numRef>
              <c:f>'NIRLB 2003-2007'!$M$2:$M$87</c:f>
              <c:numCache>
                <c:formatCode>General</c:formatCode>
                <c:ptCount val="86"/>
                <c:pt idx="0">
                  <c:v>0.28620000000000001</c:v>
                </c:pt>
                <c:pt idx="1">
                  <c:v>0.42390000000000005</c:v>
                </c:pt>
                <c:pt idx="2">
                  <c:v>0.45090000000000002</c:v>
                </c:pt>
                <c:pt idx="3">
                  <c:v>0.50580000000000003</c:v>
                </c:pt>
                <c:pt idx="4">
                  <c:v>0.5877</c:v>
                </c:pt>
                <c:pt idx="5">
                  <c:v>0.64259999999999995</c:v>
                </c:pt>
                <c:pt idx="6">
                  <c:v>0.69750000000000001</c:v>
                </c:pt>
                <c:pt idx="7">
                  <c:v>0.72540000000000004</c:v>
                </c:pt>
                <c:pt idx="8">
                  <c:v>0.75240000000000007</c:v>
                </c:pt>
                <c:pt idx="9">
                  <c:v>0.78029999999999999</c:v>
                </c:pt>
                <c:pt idx="10">
                  <c:v>0.80730000000000002</c:v>
                </c:pt>
                <c:pt idx="11">
                  <c:v>0.83520000000000005</c:v>
                </c:pt>
                <c:pt idx="12">
                  <c:v>0.86220000000000008</c:v>
                </c:pt>
                <c:pt idx="13">
                  <c:v>0.8901</c:v>
                </c:pt>
                <c:pt idx="14">
                  <c:v>0.91709999999999992</c:v>
                </c:pt>
                <c:pt idx="15">
                  <c:v>0.94500000000000017</c:v>
                </c:pt>
                <c:pt idx="16">
                  <c:v>0.9720000000000002</c:v>
                </c:pt>
                <c:pt idx="17">
                  <c:v>0.99990000000000001</c:v>
                </c:pt>
                <c:pt idx="18">
                  <c:v>1.0268999999999999</c:v>
                </c:pt>
                <c:pt idx="19">
                  <c:v>1.0548</c:v>
                </c:pt>
                <c:pt idx="20">
                  <c:v>1.0817999999999999</c:v>
                </c:pt>
                <c:pt idx="21">
                  <c:v>1.1096999999999999</c:v>
                </c:pt>
                <c:pt idx="22">
                  <c:v>1.1367</c:v>
                </c:pt>
                <c:pt idx="23">
                  <c:v>1.1646000000000001</c:v>
                </c:pt>
                <c:pt idx="24">
                  <c:v>1.1916</c:v>
                </c:pt>
                <c:pt idx="25">
                  <c:v>1.2185999999999999</c:v>
                </c:pt>
                <c:pt idx="26">
                  <c:v>1.2464999999999997</c:v>
                </c:pt>
                <c:pt idx="27">
                  <c:v>1.2734999999999999</c:v>
                </c:pt>
                <c:pt idx="28">
                  <c:v>1.3013999999999997</c:v>
                </c:pt>
                <c:pt idx="29">
                  <c:v>1.3284</c:v>
                </c:pt>
                <c:pt idx="30">
                  <c:v>1.3562999999999998</c:v>
                </c:pt>
                <c:pt idx="31">
                  <c:v>1.3833</c:v>
                </c:pt>
                <c:pt idx="32">
                  <c:v>1.4111999999999998</c:v>
                </c:pt>
                <c:pt idx="33">
                  <c:v>1.4381999999999999</c:v>
                </c:pt>
                <c:pt idx="34">
                  <c:v>1.4661</c:v>
                </c:pt>
                <c:pt idx="35">
                  <c:v>1.4930999999999999</c:v>
                </c:pt>
                <c:pt idx="36">
                  <c:v>1.5209999999999997</c:v>
                </c:pt>
                <c:pt idx="37">
                  <c:v>1.548</c:v>
                </c:pt>
                <c:pt idx="38">
                  <c:v>1.5758999999999996</c:v>
                </c:pt>
                <c:pt idx="39">
                  <c:v>1.6029</c:v>
                </c:pt>
                <c:pt idx="40">
                  <c:v>1.6308</c:v>
                </c:pt>
                <c:pt idx="41">
                  <c:v>1.6578000000000002</c:v>
                </c:pt>
                <c:pt idx="42">
                  <c:v>1.6857</c:v>
                </c:pt>
                <c:pt idx="43">
                  <c:v>1.7126999999999999</c:v>
                </c:pt>
                <c:pt idx="44">
                  <c:v>1.7405999999999997</c:v>
                </c:pt>
                <c:pt idx="45">
                  <c:v>1.7675999999999998</c:v>
                </c:pt>
                <c:pt idx="46">
                  <c:v>1.7954999999999999</c:v>
                </c:pt>
                <c:pt idx="47">
                  <c:v>1.8225</c:v>
                </c:pt>
                <c:pt idx="48">
                  <c:v>1.8504</c:v>
                </c:pt>
                <c:pt idx="49">
                  <c:v>1.8774</c:v>
                </c:pt>
                <c:pt idx="50">
                  <c:v>1.9044000000000001</c:v>
                </c:pt>
                <c:pt idx="51">
                  <c:v>1.9322999999999999</c:v>
                </c:pt>
                <c:pt idx="52">
                  <c:v>1.9593</c:v>
                </c:pt>
                <c:pt idx="53">
                  <c:v>1.9872000000000003</c:v>
                </c:pt>
                <c:pt idx="54">
                  <c:v>2.0141999999999998</c:v>
                </c:pt>
                <c:pt idx="55">
                  <c:v>2.0421</c:v>
                </c:pt>
                <c:pt idx="56">
                  <c:v>2.0691000000000002</c:v>
                </c:pt>
                <c:pt idx="57">
                  <c:v>2.097</c:v>
                </c:pt>
                <c:pt idx="58">
                  <c:v>2.1240000000000001</c:v>
                </c:pt>
                <c:pt idx="59">
                  <c:v>2.1518999999999995</c:v>
                </c:pt>
                <c:pt idx="60">
                  <c:v>2.1789000000000001</c:v>
                </c:pt>
                <c:pt idx="61">
                  <c:v>2.2067999999999999</c:v>
                </c:pt>
                <c:pt idx="62">
                  <c:v>2.2338000000000005</c:v>
                </c:pt>
                <c:pt idx="63">
                  <c:v>2.2616999999999998</c:v>
                </c:pt>
                <c:pt idx="64">
                  <c:v>2.2887000000000008</c:v>
                </c:pt>
                <c:pt idx="65">
                  <c:v>2.3165999999999993</c:v>
                </c:pt>
                <c:pt idx="66">
                  <c:v>2.3436000000000003</c:v>
                </c:pt>
                <c:pt idx="67">
                  <c:v>2.3714999999999993</c:v>
                </c:pt>
                <c:pt idx="68">
                  <c:v>2.3985000000000003</c:v>
                </c:pt>
                <c:pt idx="69">
                  <c:v>2.4263999999999997</c:v>
                </c:pt>
                <c:pt idx="70">
                  <c:v>2.4533999999999998</c:v>
                </c:pt>
                <c:pt idx="71">
                  <c:v>2.4813000000000001</c:v>
                </c:pt>
                <c:pt idx="72">
                  <c:v>2.5083000000000002</c:v>
                </c:pt>
                <c:pt idx="73">
                  <c:v>2.5361999999999996</c:v>
                </c:pt>
                <c:pt idx="74">
                  <c:v>2.5632000000000001</c:v>
                </c:pt>
                <c:pt idx="75">
                  <c:v>2.5902000000000003</c:v>
                </c:pt>
                <c:pt idx="76">
                  <c:v>2.6181000000000001</c:v>
                </c:pt>
                <c:pt idx="77">
                  <c:v>2.6451000000000002</c:v>
                </c:pt>
                <c:pt idx="78">
                  <c:v>2.673</c:v>
                </c:pt>
                <c:pt idx="79">
                  <c:v>2.7279000000000004</c:v>
                </c:pt>
                <c:pt idx="80">
                  <c:v>2.7549000000000001</c:v>
                </c:pt>
                <c:pt idx="81">
                  <c:v>2.8376999999999994</c:v>
                </c:pt>
                <c:pt idx="82">
                  <c:v>2.8647</c:v>
                </c:pt>
                <c:pt idx="83">
                  <c:v>2.8925999999999994</c:v>
                </c:pt>
                <c:pt idx="84">
                  <c:v>2.9196</c:v>
                </c:pt>
                <c:pt idx="85">
                  <c:v>2.9474999999999998</c:v>
                </c:pt>
              </c:numCache>
            </c:numRef>
          </c:xVal>
          <c:yVal>
            <c:numRef>
              <c:f>'NIRLB 2003-2007'!$N$2:$N$87</c:f>
              <c:numCache>
                <c:formatCode>General</c:formatCode>
                <c:ptCount val="86"/>
                <c:pt idx="0">
                  <c:v>0.1182033096926714</c:v>
                </c:pt>
                <c:pt idx="1">
                  <c:v>0.23640661938534283</c:v>
                </c:pt>
                <c:pt idx="2">
                  <c:v>0.35460992907801425</c:v>
                </c:pt>
                <c:pt idx="3">
                  <c:v>0.59101654846335672</c:v>
                </c:pt>
                <c:pt idx="4">
                  <c:v>0.82742316784869963</c:v>
                </c:pt>
                <c:pt idx="5">
                  <c:v>0.94562647754137141</c:v>
                </c:pt>
                <c:pt idx="6">
                  <c:v>1.0638297872340419</c:v>
                </c:pt>
                <c:pt idx="7">
                  <c:v>1.3002364066193852</c:v>
                </c:pt>
                <c:pt idx="8">
                  <c:v>1.4184397163120566</c:v>
                </c:pt>
                <c:pt idx="9">
                  <c:v>1.6548463356973995</c:v>
                </c:pt>
                <c:pt idx="10">
                  <c:v>2.2458628841607564</c:v>
                </c:pt>
                <c:pt idx="11">
                  <c:v>2.9550827423167849</c:v>
                </c:pt>
                <c:pt idx="12">
                  <c:v>4.2553191489361701</c:v>
                </c:pt>
                <c:pt idx="13">
                  <c:v>5.4373522458628862</c:v>
                </c:pt>
                <c:pt idx="14">
                  <c:v>6.3829787234042552</c:v>
                </c:pt>
                <c:pt idx="15">
                  <c:v>7.2104018912529559</c:v>
                </c:pt>
                <c:pt idx="16">
                  <c:v>8.2742316784869967</c:v>
                </c:pt>
                <c:pt idx="17">
                  <c:v>9.2198581560283674</c:v>
                </c:pt>
                <c:pt idx="18">
                  <c:v>11.111111111111109</c:v>
                </c:pt>
                <c:pt idx="19">
                  <c:v>11.938534278959814</c:v>
                </c:pt>
                <c:pt idx="20">
                  <c:v>13.475177304964539</c:v>
                </c:pt>
                <c:pt idx="21">
                  <c:v>16.312056737588655</c:v>
                </c:pt>
                <c:pt idx="22">
                  <c:v>18.085106382978722</c:v>
                </c:pt>
                <c:pt idx="23">
                  <c:v>20.685579196217493</c:v>
                </c:pt>
                <c:pt idx="24">
                  <c:v>22.576832151300231</c:v>
                </c:pt>
                <c:pt idx="25">
                  <c:v>25.177304964539005</c:v>
                </c:pt>
                <c:pt idx="26">
                  <c:v>27.423167848699766</c:v>
                </c:pt>
                <c:pt idx="27">
                  <c:v>29.787234042553184</c:v>
                </c:pt>
                <c:pt idx="28">
                  <c:v>31.560283687943258</c:v>
                </c:pt>
                <c:pt idx="29">
                  <c:v>33.687943262411345</c:v>
                </c:pt>
                <c:pt idx="30">
                  <c:v>36.406619385342786</c:v>
                </c:pt>
                <c:pt idx="31">
                  <c:v>38.770685579196204</c:v>
                </c:pt>
                <c:pt idx="32">
                  <c:v>42.316784869976345</c:v>
                </c:pt>
                <c:pt idx="33">
                  <c:v>44.562647754137103</c:v>
                </c:pt>
                <c:pt idx="34">
                  <c:v>47.044917257683203</c:v>
                </c:pt>
                <c:pt idx="35">
                  <c:v>50</c:v>
                </c:pt>
                <c:pt idx="36">
                  <c:v>53.546099290780148</c:v>
                </c:pt>
                <c:pt idx="37">
                  <c:v>56.38297872340425</c:v>
                </c:pt>
                <c:pt idx="38">
                  <c:v>58.747044917257668</c:v>
                </c:pt>
                <c:pt idx="39">
                  <c:v>61.820330969267125</c:v>
                </c:pt>
                <c:pt idx="40">
                  <c:v>64.657210401891263</c:v>
                </c:pt>
                <c:pt idx="41">
                  <c:v>66.075650118203299</c:v>
                </c:pt>
                <c:pt idx="42">
                  <c:v>68.085106382978708</c:v>
                </c:pt>
                <c:pt idx="43">
                  <c:v>69.621749408983433</c:v>
                </c:pt>
                <c:pt idx="44">
                  <c:v>70.685579196217489</c:v>
                </c:pt>
                <c:pt idx="45">
                  <c:v>71.98581560283688</c:v>
                </c:pt>
                <c:pt idx="46">
                  <c:v>72.576832151300223</c:v>
                </c:pt>
                <c:pt idx="47">
                  <c:v>74.704491725768321</c:v>
                </c:pt>
                <c:pt idx="48">
                  <c:v>76.359338061465692</c:v>
                </c:pt>
                <c:pt idx="49">
                  <c:v>77.304964539007116</c:v>
                </c:pt>
                <c:pt idx="50">
                  <c:v>78.486997635933804</c:v>
                </c:pt>
                <c:pt idx="51">
                  <c:v>80.378250591016553</c:v>
                </c:pt>
                <c:pt idx="52">
                  <c:v>81.6784869976359</c:v>
                </c:pt>
                <c:pt idx="53">
                  <c:v>83.215130023640654</c:v>
                </c:pt>
                <c:pt idx="54">
                  <c:v>84.397163120567384</c:v>
                </c:pt>
                <c:pt idx="55">
                  <c:v>85.697399527186747</c:v>
                </c:pt>
                <c:pt idx="56">
                  <c:v>86.761229314420802</c:v>
                </c:pt>
                <c:pt idx="57">
                  <c:v>87.588652482269509</c:v>
                </c:pt>
                <c:pt idx="58">
                  <c:v>88.534278959810877</c:v>
                </c:pt>
                <c:pt idx="59">
                  <c:v>89.834515366430253</c:v>
                </c:pt>
                <c:pt idx="60">
                  <c:v>91.134751773049629</c:v>
                </c:pt>
                <c:pt idx="61">
                  <c:v>91.962174940898365</c:v>
                </c:pt>
                <c:pt idx="62">
                  <c:v>92.31678486997636</c:v>
                </c:pt>
                <c:pt idx="63">
                  <c:v>93.026004728132392</c:v>
                </c:pt>
                <c:pt idx="64">
                  <c:v>93.735224586288425</c:v>
                </c:pt>
                <c:pt idx="65">
                  <c:v>94.326241134751754</c:v>
                </c:pt>
                <c:pt idx="66">
                  <c:v>94.562647754137117</c:v>
                </c:pt>
                <c:pt idx="67">
                  <c:v>94.680851063829763</c:v>
                </c:pt>
                <c:pt idx="68">
                  <c:v>95.153664302600461</c:v>
                </c:pt>
                <c:pt idx="69">
                  <c:v>95.626477541371159</c:v>
                </c:pt>
                <c:pt idx="70">
                  <c:v>96.099290780141857</c:v>
                </c:pt>
                <c:pt idx="71">
                  <c:v>96.335697399527177</c:v>
                </c:pt>
                <c:pt idx="72">
                  <c:v>96.572104018912512</c:v>
                </c:pt>
                <c:pt idx="73">
                  <c:v>97.04491725768321</c:v>
                </c:pt>
                <c:pt idx="74">
                  <c:v>97.163120567375898</c:v>
                </c:pt>
                <c:pt idx="75">
                  <c:v>97.399527186761219</c:v>
                </c:pt>
                <c:pt idx="76">
                  <c:v>97.754137115839228</c:v>
                </c:pt>
                <c:pt idx="77">
                  <c:v>97.990543735224591</c:v>
                </c:pt>
                <c:pt idx="78">
                  <c:v>98.463356973995275</c:v>
                </c:pt>
                <c:pt idx="79">
                  <c:v>98.581560283687935</c:v>
                </c:pt>
                <c:pt idx="80">
                  <c:v>99.17257683215125</c:v>
                </c:pt>
                <c:pt idx="81">
                  <c:v>99.408983451536642</c:v>
                </c:pt>
                <c:pt idx="82">
                  <c:v>99.645390070921962</c:v>
                </c:pt>
                <c:pt idx="83">
                  <c:v>99.763593380614665</c:v>
                </c:pt>
                <c:pt idx="84">
                  <c:v>99.881796690307354</c:v>
                </c:pt>
                <c:pt idx="85">
                  <c:v>100</c:v>
                </c:pt>
              </c:numCache>
            </c:numRef>
          </c:yVal>
        </c:ser>
        <c:ser>
          <c:idx val="1"/>
          <c:order val="1"/>
          <c:tx>
            <c:v>2003-2007 NIRL B</c:v>
          </c:tx>
          <c:spPr>
            <a:ln w="28575">
              <a:solidFill>
                <a:schemeClr val="accent2">
                  <a:alpha val="96000"/>
                </a:schemeClr>
              </a:solidFill>
            </a:ln>
          </c:spPr>
          <c:marker>
            <c:symbol val="none"/>
          </c:marker>
          <c:xVal>
            <c:numRef>
              <c:f>'NIRLB 2003-2007'!$P$2:$P$80</c:f>
              <c:numCache>
                <c:formatCode>General</c:formatCode>
                <c:ptCount val="79"/>
                <c:pt idx="0">
                  <c:v>0.34900000000000003</c:v>
                </c:pt>
                <c:pt idx="1">
                  <c:v>0.41000000000000003</c:v>
                </c:pt>
                <c:pt idx="2">
                  <c:v>0.56200000000000017</c:v>
                </c:pt>
                <c:pt idx="3">
                  <c:v>0.59199999999999997</c:v>
                </c:pt>
                <c:pt idx="4">
                  <c:v>0.62300000000000011</c:v>
                </c:pt>
                <c:pt idx="5">
                  <c:v>0.65300000000000014</c:v>
                </c:pt>
                <c:pt idx="6">
                  <c:v>0.68400000000000005</c:v>
                </c:pt>
                <c:pt idx="7">
                  <c:v>0.71400000000000008</c:v>
                </c:pt>
                <c:pt idx="8">
                  <c:v>0.74500000000000011</c:v>
                </c:pt>
                <c:pt idx="9">
                  <c:v>0.77500000000000013</c:v>
                </c:pt>
                <c:pt idx="10">
                  <c:v>0.83600000000000008</c:v>
                </c:pt>
                <c:pt idx="11">
                  <c:v>0.8670000000000001</c:v>
                </c:pt>
                <c:pt idx="12">
                  <c:v>0.89700000000000002</c:v>
                </c:pt>
                <c:pt idx="13">
                  <c:v>0.92800000000000005</c:v>
                </c:pt>
                <c:pt idx="14">
                  <c:v>0.95800000000000007</c:v>
                </c:pt>
                <c:pt idx="15">
                  <c:v>0.98899999999999999</c:v>
                </c:pt>
                <c:pt idx="16">
                  <c:v>1.0189999999999997</c:v>
                </c:pt>
                <c:pt idx="17">
                  <c:v>1.05</c:v>
                </c:pt>
                <c:pt idx="18">
                  <c:v>1.08</c:v>
                </c:pt>
                <c:pt idx="19">
                  <c:v>1.111</c:v>
                </c:pt>
                <c:pt idx="20">
                  <c:v>1.141</c:v>
                </c:pt>
                <c:pt idx="21">
                  <c:v>1.1719999999999997</c:v>
                </c:pt>
                <c:pt idx="22">
                  <c:v>1.202</c:v>
                </c:pt>
                <c:pt idx="23">
                  <c:v>1.2329999999999999</c:v>
                </c:pt>
                <c:pt idx="24">
                  <c:v>1.2629999999999997</c:v>
                </c:pt>
                <c:pt idx="25">
                  <c:v>1.294</c:v>
                </c:pt>
                <c:pt idx="26">
                  <c:v>1.3240000000000001</c:v>
                </c:pt>
                <c:pt idx="27">
                  <c:v>1.3540000000000001</c:v>
                </c:pt>
                <c:pt idx="28">
                  <c:v>1.385</c:v>
                </c:pt>
                <c:pt idx="29">
                  <c:v>1.4149999999999998</c:v>
                </c:pt>
                <c:pt idx="30">
                  <c:v>1.446</c:v>
                </c:pt>
                <c:pt idx="31">
                  <c:v>1.476</c:v>
                </c:pt>
                <c:pt idx="32">
                  <c:v>1.5069999999999997</c:v>
                </c:pt>
                <c:pt idx="33">
                  <c:v>1.5369999999999997</c:v>
                </c:pt>
                <c:pt idx="34">
                  <c:v>1.5680000000000001</c:v>
                </c:pt>
                <c:pt idx="35">
                  <c:v>1.5980000000000001</c:v>
                </c:pt>
                <c:pt idx="36">
                  <c:v>1.629</c:v>
                </c:pt>
                <c:pt idx="37">
                  <c:v>1.659</c:v>
                </c:pt>
                <c:pt idx="38">
                  <c:v>1.6900000000000002</c:v>
                </c:pt>
                <c:pt idx="39">
                  <c:v>1.72</c:v>
                </c:pt>
                <c:pt idx="40">
                  <c:v>1.7509999999999997</c:v>
                </c:pt>
                <c:pt idx="41">
                  <c:v>1.7809999999999997</c:v>
                </c:pt>
                <c:pt idx="42">
                  <c:v>1.8120000000000001</c:v>
                </c:pt>
                <c:pt idx="43">
                  <c:v>1.8420000000000001</c:v>
                </c:pt>
                <c:pt idx="44">
                  <c:v>1.873</c:v>
                </c:pt>
                <c:pt idx="45">
                  <c:v>1.903</c:v>
                </c:pt>
                <c:pt idx="46">
                  <c:v>1.9339999999999997</c:v>
                </c:pt>
                <c:pt idx="47">
                  <c:v>1.9640000000000002</c:v>
                </c:pt>
                <c:pt idx="48">
                  <c:v>1.9950000000000001</c:v>
                </c:pt>
                <c:pt idx="49">
                  <c:v>2.0249999999999999</c:v>
                </c:pt>
                <c:pt idx="50">
                  <c:v>2.0559999999999996</c:v>
                </c:pt>
                <c:pt idx="51">
                  <c:v>2.0859999999999999</c:v>
                </c:pt>
                <c:pt idx="52">
                  <c:v>2.1159999999999997</c:v>
                </c:pt>
                <c:pt idx="53">
                  <c:v>2.1469999999999998</c:v>
                </c:pt>
                <c:pt idx="54">
                  <c:v>2.177</c:v>
                </c:pt>
                <c:pt idx="55">
                  <c:v>2.2080000000000002</c:v>
                </c:pt>
                <c:pt idx="56">
                  <c:v>2.238</c:v>
                </c:pt>
                <c:pt idx="57">
                  <c:v>2.2690000000000001</c:v>
                </c:pt>
                <c:pt idx="58">
                  <c:v>2.2989999999999999</c:v>
                </c:pt>
                <c:pt idx="59">
                  <c:v>2.3299999999999996</c:v>
                </c:pt>
                <c:pt idx="60">
                  <c:v>2.36</c:v>
                </c:pt>
                <c:pt idx="61">
                  <c:v>2.3909999999999996</c:v>
                </c:pt>
                <c:pt idx="62">
                  <c:v>2.4209999999999998</c:v>
                </c:pt>
                <c:pt idx="63">
                  <c:v>2.4819999999999998</c:v>
                </c:pt>
                <c:pt idx="64">
                  <c:v>2.5129999999999995</c:v>
                </c:pt>
                <c:pt idx="65">
                  <c:v>2.5430000000000001</c:v>
                </c:pt>
                <c:pt idx="66">
                  <c:v>2.5739999999999998</c:v>
                </c:pt>
                <c:pt idx="67">
                  <c:v>2.6040000000000001</c:v>
                </c:pt>
                <c:pt idx="68">
                  <c:v>2.6349999999999998</c:v>
                </c:pt>
                <c:pt idx="69">
                  <c:v>2.6959999999999997</c:v>
                </c:pt>
                <c:pt idx="70">
                  <c:v>2.7570000000000001</c:v>
                </c:pt>
                <c:pt idx="71">
                  <c:v>2.7869999999999999</c:v>
                </c:pt>
                <c:pt idx="72">
                  <c:v>2.9089999999999998</c:v>
                </c:pt>
                <c:pt idx="73">
                  <c:v>2.9389999999999996</c:v>
                </c:pt>
                <c:pt idx="74">
                  <c:v>2.9699999999999998</c:v>
                </c:pt>
                <c:pt idx="75">
                  <c:v>3.0309999999999997</c:v>
                </c:pt>
                <c:pt idx="76">
                  <c:v>3.0609999999999999</c:v>
                </c:pt>
                <c:pt idx="77">
                  <c:v>3.1829999999999998</c:v>
                </c:pt>
                <c:pt idx="78">
                  <c:v>3.214</c:v>
                </c:pt>
              </c:numCache>
            </c:numRef>
          </c:xVal>
          <c:yVal>
            <c:numRef>
              <c:f>'NIRLB 2003-2007'!$S$2:$S$80</c:f>
              <c:numCache>
                <c:formatCode>General</c:formatCode>
                <c:ptCount val="79"/>
                <c:pt idx="0">
                  <c:v>0.13679890560875513</c:v>
                </c:pt>
                <c:pt idx="1">
                  <c:v>0.27359781121751031</c:v>
                </c:pt>
                <c:pt idx="2">
                  <c:v>0.68399452804377581</c:v>
                </c:pt>
                <c:pt idx="3">
                  <c:v>0.95759233926128584</c:v>
                </c:pt>
                <c:pt idx="4">
                  <c:v>1.094391244870041</c:v>
                </c:pt>
                <c:pt idx="5">
                  <c:v>1.3679890560875512</c:v>
                </c:pt>
                <c:pt idx="6">
                  <c:v>1.6415868673050615</c:v>
                </c:pt>
                <c:pt idx="7">
                  <c:v>1.7783857729138168</c:v>
                </c:pt>
                <c:pt idx="8">
                  <c:v>1.9151846785225719</c:v>
                </c:pt>
                <c:pt idx="9">
                  <c:v>2.3255813953488373</c:v>
                </c:pt>
                <c:pt idx="10">
                  <c:v>2.4623803009575926</c:v>
                </c:pt>
                <c:pt idx="11">
                  <c:v>2.7359781121751023</c:v>
                </c:pt>
                <c:pt idx="12">
                  <c:v>3.0095759233926129</c:v>
                </c:pt>
                <c:pt idx="13">
                  <c:v>4.2407660738714092</c:v>
                </c:pt>
                <c:pt idx="14">
                  <c:v>5.7455540355677144</c:v>
                </c:pt>
                <c:pt idx="15">
                  <c:v>7.7975376196990416</c:v>
                </c:pt>
                <c:pt idx="16">
                  <c:v>10.670314637482901</c:v>
                </c:pt>
                <c:pt idx="17">
                  <c:v>12.722298221614228</c:v>
                </c:pt>
                <c:pt idx="18">
                  <c:v>14.500683994528046</c:v>
                </c:pt>
                <c:pt idx="19">
                  <c:v>17.920656634746919</c:v>
                </c:pt>
                <c:pt idx="20">
                  <c:v>20.656634746922027</c:v>
                </c:pt>
                <c:pt idx="21">
                  <c:v>22.298221614227089</c:v>
                </c:pt>
                <c:pt idx="22">
                  <c:v>25.718194254445962</c:v>
                </c:pt>
                <c:pt idx="23">
                  <c:v>29.138166894664842</c:v>
                </c:pt>
                <c:pt idx="24">
                  <c:v>34.199726402188794</c:v>
                </c:pt>
                <c:pt idx="25">
                  <c:v>38.030095759233923</c:v>
                </c:pt>
                <c:pt idx="26">
                  <c:v>41.450068399452796</c:v>
                </c:pt>
                <c:pt idx="27">
                  <c:v>44.1860465116279</c:v>
                </c:pt>
                <c:pt idx="28">
                  <c:v>48.153214774281807</c:v>
                </c:pt>
                <c:pt idx="29">
                  <c:v>51.709986320109444</c:v>
                </c:pt>
                <c:pt idx="30">
                  <c:v>54.719562243502061</c:v>
                </c:pt>
                <c:pt idx="31">
                  <c:v>57.729138166894671</c:v>
                </c:pt>
                <c:pt idx="32">
                  <c:v>60.601915184678532</c:v>
                </c:pt>
                <c:pt idx="33">
                  <c:v>62.653898768809853</c:v>
                </c:pt>
                <c:pt idx="34">
                  <c:v>65.663474692202456</c:v>
                </c:pt>
                <c:pt idx="35">
                  <c:v>67.441860465116321</c:v>
                </c:pt>
                <c:pt idx="36">
                  <c:v>69.220246238030086</c:v>
                </c:pt>
                <c:pt idx="37">
                  <c:v>71.956224350205218</c:v>
                </c:pt>
                <c:pt idx="38">
                  <c:v>75.10259917920655</c:v>
                </c:pt>
                <c:pt idx="39">
                  <c:v>76.196990424076603</c:v>
                </c:pt>
                <c:pt idx="40">
                  <c:v>77.291381668946656</c:v>
                </c:pt>
                <c:pt idx="41">
                  <c:v>78.385772913816652</c:v>
                </c:pt>
                <c:pt idx="42">
                  <c:v>79.616963064295504</c:v>
                </c:pt>
                <c:pt idx="43">
                  <c:v>80.711354309165543</c:v>
                </c:pt>
                <c:pt idx="44">
                  <c:v>82.489740082079351</c:v>
                </c:pt>
                <c:pt idx="45">
                  <c:v>83.720930232558118</c:v>
                </c:pt>
                <c:pt idx="46">
                  <c:v>84.678522571819414</c:v>
                </c:pt>
                <c:pt idx="47">
                  <c:v>85.63611491108071</c:v>
                </c:pt>
                <c:pt idx="48">
                  <c:v>86.183310533515709</c:v>
                </c:pt>
                <c:pt idx="49">
                  <c:v>87.004103967168277</c:v>
                </c:pt>
                <c:pt idx="50">
                  <c:v>87.824897400820788</c:v>
                </c:pt>
                <c:pt idx="51">
                  <c:v>88.098495212038287</c:v>
                </c:pt>
                <c:pt idx="52">
                  <c:v>88.645690834473314</c:v>
                </c:pt>
                <c:pt idx="53">
                  <c:v>89.876880984952109</c:v>
                </c:pt>
                <c:pt idx="54">
                  <c:v>90.560875512995864</c:v>
                </c:pt>
                <c:pt idx="55">
                  <c:v>92.202462380300972</c:v>
                </c:pt>
                <c:pt idx="56">
                  <c:v>92.749658002735984</c:v>
                </c:pt>
                <c:pt idx="57">
                  <c:v>93.844049247606023</c:v>
                </c:pt>
                <c:pt idx="58">
                  <c:v>94.528043775649778</c:v>
                </c:pt>
                <c:pt idx="59">
                  <c:v>95.348837209302332</c:v>
                </c:pt>
                <c:pt idx="60">
                  <c:v>96.032831737346086</c:v>
                </c:pt>
                <c:pt idx="61">
                  <c:v>96.169630642954843</c:v>
                </c:pt>
                <c:pt idx="62">
                  <c:v>96.443228454172399</c:v>
                </c:pt>
                <c:pt idx="63">
                  <c:v>96.716826265389898</c:v>
                </c:pt>
                <c:pt idx="64">
                  <c:v>97.127222982216153</c:v>
                </c:pt>
                <c:pt idx="65">
                  <c:v>97.264021887824882</c:v>
                </c:pt>
                <c:pt idx="66">
                  <c:v>97.674418604651137</c:v>
                </c:pt>
                <c:pt idx="67">
                  <c:v>97.811217510259908</c:v>
                </c:pt>
                <c:pt idx="68">
                  <c:v>97.948016415868693</c:v>
                </c:pt>
                <c:pt idx="69">
                  <c:v>98.084815321477421</c:v>
                </c:pt>
                <c:pt idx="70">
                  <c:v>98.358413132694892</c:v>
                </c:pt>
                <c:pt idx="71">
                  <c:v>98.495212038303691</c:v>
                </c:pt>
                <c:pt idx="72">
                  <c:v>98.76880984952119</c:v>
                </c:pt>
                <c:pt idx="73">
                  <c:v>98.905608755129947</c:v>
                </c:pt>
                <c:pt idx="74">
                  <c:v>99.17920656634746</c:v>
                </c:pt>
                <c:pt idx="75">
                  <c:v>99.452804377564945</c:v>
                </c:pt>
                <c:pt idx="76">
                  <c:v>99.726402188782473</c:v>
                </c:pt>
                <c:pt idx="77">
                  <c:v>99.863201094391243</c:v>
                </c:pt>
                <c:pt idx="78">
                  <c:v>100</c:v>
                </c:pt>
              </c:numCache>
            </c:numRef>
          </c:yVal>
        </c:ser>
        <c:axId val="86161280"/>
        <c:axId val="86168320"/>
      </c:scatterChart>
      <c:valAx>
        <c:axId val="861612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Depth (meters)</a:t>
                </a:r>
              </a:p>
            </c:rich>
          </c:tx>
        </c:title>
        <c:numFmt formatCode="General" sourceLinked="1"/>
        <c:tickLblPos val="nextTo"/>
        <c:crossAx val="86168320"/>
        <c:crosses val="autoZero"/>
        <c:crossBetween val="midCat"/>
      </c:valAx>
      <c:valAx>
        <c:axId val="86168320"/>
        <c:scaling>
          <c:orientation val="minMax"/>
          <c:max val="100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Cumulative Frequency %</a:t>
                </a:r>
              </a:p>
            </c:rich>
          </c:tx>
        </c:title>
        <c:numFmt formatCode="#,##0.0" sourceLinked="0"/>
        <c:tickLblPos val="nextTo"/>
        <c:crossAx val="86161280"/>
        <c:crosses val="autoZero"/>
        <c:crossBetween val="midCat"/>
        <c:minorUnit val="5"/>
      </c:valAx>
    </c:plotArea>
    <c:legend>
      <c:legendPos val="r"/>
      <c:layout>
        <c:manualLayout>
          <c:xMode val="edge"/>
          <c:yMode val="edge"/>
          <c:x val="0.27963258673543828"/>
          <c:y val="0.90508501654684548"/>
          <c:w val="0.47390284757118928"/>
          <c:h val="7.2804660101248128E-2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90915-4600-4FBE-A3AE-A65D44918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Lutterman Busby</dc:creator>
  <cp:keywords/>
  <dc:description/>
  <cp:lastModifiedBy>Mary Paulic</cp:lastModifiedBy>
  <cp:revision>2</cp:revision>
  <cp:lastPrinted>2011-03-31T16:39:00Z</cp:lastPrinted>
  <dcterms:created xsi:type="dcterms:W3CDTF">2012-04-19T21:52:00Z</dcterms:created>
  <dcterms:modified xsi:type="dcterms:W3CDTF">2012-04-19T21:52:00Z</dcterms:modified>
</cp:coreProperties>
</file>