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29DDE" w14:textId="77777777" w:rsidR="00025AE2" w:rsidRPr="00BD10A6" w:rsidRDefault="00025AE2" w:rsidP="003230BB">
      <w:pPr>
        <w:pStyle w:val="Heading2"/>
      </w:pPr>
      <w:bookmarkStart w:id="0" w:name="_Toc345583064"/>
      <w:r w:rsidRPr="00BD10A6">
        <w:t>Seagrass and Water Quality Monitoring</w:t>
      </w:r>
      <w:bookmarkEnd w:id="0"/>
    </w:p>
    <w:p w14:paraId="004F23BF" w14:textId="5801D449" w:rsidR="00025AE2" w:rsidRPr="00BD10A6" w:rsidRDefault="00025AE2" w:rsidP="00025AE2">
      <w:pPr>
        <w:pStyle w:val="BodyText1"/>
        <w:rPr>
          <w:rFonts w:ascii="Times New Roman" w:hAnsi="Times New Roman"/>
        </w:rPr>
      </w:pPr>
      <w:r w:rsidRPr="00BD10A6">
        <w:rPr>
          <w:rFonts w:ascii="Times New Roman" w:hAnsi="Times New Roman"/>
        </w:rPr>
        <w:t>This monitoring plan is designed to track seagrass distribution and identify long-term water quality trends in response to BMAP project implementation</w:t>
      </w:r>
      <w:r w:rsidR="00D06314" w:rsidRPr="00BD10A6">
        <w:rPr>
          <w:rFonts w:ascii="Times New Roman" w:hAnsi="Times New Roman"/>
        </w:rPr>
        <w:t xml:space="preserve">. </w:t>
      </w:r>
      <w:r w:rsidRPr="00BD10A6">
        <w:rPr>
          <w:rFonts w:ascii="Times New Roman" w:hAnsi="Times New Roman"/>
        </w:rPr>
        <w:t>Sampling stations, parameters, frequency, and other elements of this strategy may be modified as appropriate to match changing environmental conditions, funding resources, and understanding of the IRL system</w:t>
      </w:r>
      <w:r w:rsidR="00D06314" w:rsidRPr="00BD10A6">
        <w:rPr>
          <w:rFonts w:ascii="Times New Roman" w:hAnsi="Times New Roman"/>
        </w:rPr>
        <w:t xml:space="preserve">. </w:t>
      </w:r>
    </w:p>
    <w:p w14:paraId="771AFE8C" w14:textId="77777777" w:rsidR="00025AE2" w:rsidRPr="00BD10A6" w:rsidRDefault="00025AE2" w:rsidP="003230BB">
      <w:pPr>
        <w:pStyle w:val="Heading3"/>
      </w:pPr>
      <w:bookmarkStart w:id="1" w:name="_Toc249759419"/>
      <w:bookmarkStart w:id="2" w:name="_Toc323297679"/>
      <w:bookmarkStart w:id="3" w:name="_Toc323303041"/>
      <w:bookmarkStart w:id="4" w:name="_Toc345583065"/>
      <w:r w:rsidRPr="00BD10A6">
        <w:t>Objectives</w:t>
      </w:r>
      <w:bookmarkEnd w:id="1"/>
      <w:bookmarkEnd w:id="2"/>
      <w:bookmarkEnd w:id="3"/>
      <w:bookmarkEnd w:id="4"/>
    </w:p>
    <w:p w14:paraId="61A4287C" w14:textId="780BE220" w:rsidR="00025AE2" w:rsidRPr="00BD10A6" w:rsidRDefault="00025AE2" w:rsidP="00025AE2">
      <w:pPr>
        <w:pStyle w:val="BodyText1"/>
        <w:rPr>
          <w:rFonts w:ascii="Times New Roman" w:hAnsi="Times New Roman"/>
        </w:rPr>
      </w:pPr>
      <w:r w:rsidRPr="00BD10A6">
        <w:rPr>
          <w:rFonts w:ascii="Times New Roman" w:hAnsi="Times New Roman"/>
        </w:rPr>
        <w:t>Focused objectives are critical for a monitoring strategy to provide the information needed to evaluate implementation success</w:t>
      </w:r>
      <w:r w:rsidR="00D06314" w:rsidRPr="00BD10A6">
        <w:rPr>
          <w:rFonts w:ascii="Times New Roman" w:hAnsi="Times New Roman"/>
        </w:rPr>
        <w:t xml:space="preserve">. </w:t>
      </w:r>
      <w:r w:rsidRPr="00BD10A6">
        <w:rPr>
          <w:rFonts w:ascii="Times New Roman" w:hAnsi="Times New Roman"/>
        </w:rPr>
        <w:t>The primary and secondary monitoring objectives for the North IRL monitoring plan are described below</w:t>
      </w:r>
      <w:r w:rsidR="00D06314" w:rsidRPr="00BD10A6">
        <w:rPr>
          <w:rFonts w:ascii="Times New Roman" w:hAnsi="Times New Roman"/>
        </w:rPr>
        <w:t xml:space="preserve">. </w:t>
      </w:r>
      <w:r w:rsidRPr="00BD10A6">
        <w:rPr>
          <w:rFonts w:ascii="Times New Roman" w:hAnsi="Times New Roman"/>
        </w:rPr>
        <w:t>The purpose of the primary monitoring is to assess progress towards the TMDL seagrass depth limit targets through the seagrass flyover mapping and aerial photography interpretation</w:t>
      </w:r>
      <w:r w:rsidR="00D06314" w:rsidRPr="00BD10A6">
        <w:rPr>
          <w:rFonts w:ascii="Times New Roman" w:hAnsi="Times New Roman"/>
        </w:rPr>
        <w:t xml:space="preserve">. </w:t>
      </w:r>
      <w:r w:rsidRPr="00BD10A6">
        <w:rPr>
          <w:rFonts w:ascii="Times New Roman" w:hAnsi="Times New Roman"/>
        </w:rPr>
        <w:t>The purpose of the secondary monitoring is to assess water quality trends in the North IRL to determine if watershed nutrient loading is decreasing resulting in improved lagoon water quality, which will allow seagrass to grow to target depths</w:t>
      </w:r>
      <w:r w:rsidR="00D06314" w:rsidRPr="00BD10A6">
        <w:rPr>
          <w:rFonts w:ascii="Times New Roman" w:hAnsi="Times New Roman"/>
        </w:rPr>
        <w:t xml:space="preserve">. </w:t>
      </w:r>
    </w:p>
    <w:p w14:paraId="71B20D5D" w14:textId="77777777" w:rsidR="00025AE2" w:rsidRPr="00BD10A6" w:rsidRDefault="00025AE2" w:rsidP="00025AE2">
      <w:pPr>
        <w:keepNext/>
        <w:rPr>
          <w:rFonts w:ascii="Times New Roman" w:hAnsi="Times New Roman"/>
          <w:b/>
          <w:i/>
        </w:rPr>
      </w:pPr>
      <w:r w:rsidRPr="00BD10A6">
        <w:rPr>
          <w:rFonts w:ascii="Times New Roman" w:hAnsi="Times New Roman"/>
          <w:b/>
          <w:i/>
        </w:rPr>
        <w:t>Primary Monitoring Objective</w:t>
      </w:r>
    </w:p>
    <w:p w14:paraId="56B78D56"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 xml:space="preserve">Track seagrass depth limit extent responses to BMAP implementation. </w:t>
      </w:r>
    </w:p>
    <w:p w14:paraId="5AB61374" w14:textId="77777777" w:rsidR="00025AE2" w:rsidRPr="00BD10A6" w:rsidRDefault="00025AE2" w:rsidP="00025AE2">
      <w:pPr>
        <w:rPr>
          <w:rFonts w:ascii="Times New Roman" w:hAnsi="Times New Roman"/>
          <w:b/>
          <w:i/>
        </w:rPr>
      </w:pPr>
      <w:r w:rsidRPr="00BD10A6">
        <w:rPr>
          <w:rFonts w:ascii="Times New Roman" w:hAnsi="Times New Roman"/>
          <w:b/>
          <w:i/>
        </w:rPr>
        <w:t>Secondary Monitoring Objective</w:t>
      </w:r>
    </w:p>
    <w:p w14:paraId="1615229C" w14:textId="729BBC7E" w:rsidR="00025AE2" w:rsidRPr="00BD10A6" w:rsidRDefault="00025AE2">
      <w:pPr>
        <w:pStyle w:val="ListBullet"/>
        <w:rPr>
          <w:rFonts w:ascii="Times New Roman" w:hAnsi="Times New Roman" w:cs="Times New Roman"/>
        </w:rPr>
      </w:pPr>
      <w:r w:rsidRPr="00BD10A6">
        <w:rPr>
          <w:rFonts w:ascii="Times New Roman" w:hAnsi="Times New Roman" w:cs="Times New Roman"/>
        </w:rPr>
        <w:t xml:space="preserve">Track trends in ambient water quality in the North IRL </w:t>
      </w:r>
      <w:r w:rsidR="003C476C" w:rsidRPr="00BD10A6">
        <w:rPr>
          <w:rFonts w:ascii="Times New Roman" w:hAnsi="Times New Roman" w:cs="Times New Roman"/>
        </w:rPr>
        <w:t xml:space="preserve">watershed </w:t>
      </w:r>
      <w:r w:rsidRPr="00BD10A6">
        <w:rPr>
          <w:rFonts w:ascii="Times New Roman" w:hAnsi="Times New Roman" w:cs="Times New Roman"/>
        </w:rPr>
        <w:t>and major tributaries.</w:t>
      </w:r>
    </w:p>
    <w:p w14:paraId="43DD6981" w14:textId="1017B636" w:rsidR="00025AE2" w:rsidRPr="00BD10A6" w:rsidRDefault="00025AE2" w:rsidP="003230BB">
      <w:pPr>
        <w:pStyle w:val="Heading3"/>
      </w:pPr>
      <w:bookmarkStart w:id="5" w:name="_Toc323297680"/>
      <w:bookmarkStart w:id="6" w:name="_Toc323303042"/>
      <w:bookmarkStart w:id="7" w:name="_Toc345583066"/>
      <w:r w:rsidRPr="00BD10A6">
        <w:t>Monitoring Parameters, Frequency, and Network</w:t>
      </w:r>
      <w:bookmarkEnd w:id="5"/>
      <w:bookmarkEnd w:id="6"/>
      <w:bookmarkEnd w:id="7"/>
    </w:p>
    <w:p w14:paraId="2025417F" w14:textId="00005EC4" w:rsidR="00025AE2" w:rsidRPr="00BD10A6" w:rsidRDefault="00025AE2" w:rsidP="00025AE2">
      <w:pPr>
        <w:pStyle w:val="BodyText1"/>
        <w:rPr>
          <w:rFonts w:ascii="Times New Roman" w:hAnsi="Times New Roman"/>
        </w:rPr>
      </w:pPr>
      <w:r w:rsidRPr="00BD10A6">
        <w:rPr>
          <w:rFonts w:ascii="Times New Roman" w:hAnsi="Times New Roman"/>
        </w:rPr>
        <w:t>To achieve the primary monitoring objective, the main parameter that will be tracked is the seagrass depth limits by project zone, which are identified through the flyover mapping and aerial photography interpretation</w:t>
      </w:r>
      <w:r w:rsidR="00D06314" w:rsidRPr="00BD10A6">
        <w:rPr>
          <w:rFonts w:ascii="Times New Roman" w:hAnsi="Times New Roman"/>
        </w:rPr>
        <w:t>. DEP</w:t>
      </w:r>
      <w:r w:rsidRPr="00BD10A6">
        <w:rPr>
          <w:rFonts w:ascii="Times New Roman" w:hAnsi="Times New Roman"/>
        </w:rPr>
        <w:t>, in conjunction with the SJRWMD, is taking the lead on funding and conducting the flyovers and mapping</w:t>
      </w:r>
      <w:r w:rsidR="00D06314" w:rsidRPr="00BD10A6">
        <w:rPr>
          <w:rFonts w:ascii="Times New Roman" w:hAnsi="Times New Roman"/>
        </w:rPr>
        <w:t xml:space="preserve">. </w:t>
      </w:r>
      <w:r w:rsidRPr="00BD10A6">
        <w:rPr>
          <w:rFonts w:ascii="Times New Roman" w:hAnsi="Times New Roman"/>
        </w:rPr>
        <w:t xml:space="preserve">In the past, SJRWMD typically has conducted seagrass mapping every 2 years, and </w:t>
      </w:r>
      <w:r w:rsidR="00D06314" w:rsidRPr="00BD10A6">
        <w:rPr>
          <w:rFonts w:ascii="Times New Roman" w:hAnsi="Times New Roman"/>
        </w:rPr>
        <w:t>DEP</w:t>
      </w:r>
      <w:r w:rsidRPr="00BD10A6">
        <w:rPr>
          <w:rFonts w:ascii="Times New Roman" w:hAnsi="Times New Roman"/>
        </w:rPr>
        <w:t xml:space="preserve"> will try to maintain this frequency for the BMAP monitoring plan</w:t>
      </w:r>
      <w:r w:rsidR="00D06314" w:rsidRPr="00BD10A6">
        <w:rPr>
          <w:rFonts w:ascii="Times New Roman" w:hAnsi="Times New Roman"/>
        </w:rPr>
        <w:t xml:space="preserve">. </w:t>
      </w:r>
      <w:r w:rsidRPr="00BD10A6">
        <w:rPr>
          <w:rFonts w:ascii="Times New Roman" w:hAnsi="Times New Roman"/>
        </w:rPr>
        <w:t xml:space="preserve">The aerial photography is taken in spring to </w:t>
      </w:r>
      <w:r w:rsidR="007948E0" w:rsidRPr="00BD10A6">
        <w:rPr>
          <w:rFonts w:ascii="Times New Roman" w:hAnsi="Times New Roman"/>
        </w:rPr>
        <w:t xml:space="preserve">early </w:t>
      </w:r>
      <w:r w:rsidRPr="00BD10A6">
        <w:rPr>
          <w:rFonts w:ascii="Times New Roman" w:hAnsi="Times New Roman"/>
        </w:rPr>
        <w:t>summer, which is during the seagrass growing season</w:t>
      </w:r>
      <w:r w:rsidR="00D06314" w:rsidRPr="00BD10A6">
        <w:rPr>
          <w:rFonts w:ascii="Times New Roman" w:hAnsi="Times New Roman"/>
        </w:rPr>
        <w:t xml:space="preserve">. </w:t>
      </w:r>
      <w:r w:rsidR="007948E0" w:rsidRPr="00BD10A6">
        <w:rPr>
          <w:rFonts w:ascii="Times New Roman" w:hAnsi="Times New Roman"/>
        </w:rPr>
        <w:t xml:space="preserve">Field sampling conducted around the time of the flights provides data for assessing accuracy of the maps, and additional field sampling is conducted to address uncertainty regarding areas mapped as seagrass. </w:t>
      </w:r>
      <w:r w:rsidRPr="00BD10A6">
        <w:rPr>
          <w:rFonts w:ascii="Times New Roman" w:hAnsi="Times New Roman"/>
        </w:rPr>
        <w:t>Using the aerial photography, a map is created showing seagrass extent in the lagoon</w:t>
      </w:r>
      <w:r w:rsidR="00D06314" w:rsidRPr="00BD10A6">
        <w:rPr>
          <w:rFonts w:ascii="Times New Roman" w:hAnsi="Times New Roman"/>
        </w:rPr>
        <w:t xml:space="preserve">. </w:t>
      </w:r>
      <w:r w:rsidRPr="00BD10A6">
        <w:rPr>
          <w:rFonts w:ascii="Times New Roman" w:hAnsi="Times New Roman"/>
        </w:rPr>
        <w:t xml:space="preserve">These maps </w:t>
      </w:r>
      <w:r w:rsidR="00453690" w:rsidRPr="00BD10A6">
        <w:rPr>
          <w:rFonts w:ascii="Times New Roman" w:hAnsi="Times New Roman"/>
        </w:rPr>
        <w:t>are</w:t>
      </w:r>
      <w:r w:rsidRPr="00BD10A6">
        <w:rPr>
          <w:rFonts w:ascii="Times New Roman" w:hAnsi="Times New Roman"/>
        </w:rPr>
        <w:t xml:space="preserve"> used in evaluations to assess progress towards the TMDL seagrass depth limit targets for the North IRL</w:t>
      </w:r>
      <w:r w:rsidR="003C476C" w:rsidRPr="00BD10A6">
        <w:rPr>
          <w:rFonts w:ascii="Times New Roman" w:hAnsi="Times New Roman"/>
        </w:rPr>
        <w:t>.</w:t>
      </w:r>
    </w:p>
    <w:p w14:paraId="504E717D" w14:textId="7595A589" w:rsidR="00025AE2" w:rsidRPr="00BD10A6" w:rsidRDefault="00025AE2" w:rsidP="00025AE2">
      <w:pPr>
        <w:pStyle w:val="BodyText1"/>
        <w:rPr>
          <w:rFonts w:ascii="Times New Roman" w:hAnsi="Times New Roman"/>
        </w:rPr>
      </w:pPr>
      <w:r w:rsidRPr="00BD10A6">
        <w:rPr>
          <w:rFonts w:ascii="Times New Roman" w:hAnsi="Times New Roman"/>
        </w:rPr>
        <w:t xml:space="preserve">To achieve the secondary monitoring objective above, the existing SJRWMD monthly stations in the North IRL </w:t>
      </w:r>
      <w:r w:rsidR="00EE52B2" w:rsidRPr="00BD10A6">
        <w:rPr>
          <w:rFonts w:ascii="Times New Roman" w:hAnsi="Times New Roman"/>
        </w:rPr>
        <w:t xml:space="preserve">BMAP </w:t>
      </w:r>
      <w:r w:rsidRPr="00BD10A6">
        <w:rPr>
          <w:rFonts w:ascii="Times New Roman" w:hAnsi="Times New Roman"/>
        </w:rPr>
        <w:t>will be monitored</w:t>
      </w:r>
      <w:r w:rsidR="00194F16">
        <w:rPr>
          <w:rFonts w:ascii="Times New Roman" w:hAnsi="Times New Roman"/>
        </w:rPr>
        <w:t xml:space="preserve">. </w:t>
      </w:r>
      <w:r w:rsidRPr="00BD10A6">
        <w:rPr>
          <w:rFonts w:ascii="Times New Roman" w:hAnsi="Times New Roman"/>
        </w:rPr>
        <w:t>At these stations, SJRWMD analyzes the following parameters:</w:t>
      </w:r>
    </w:p>
    <w:p w14:paraId="201FCD25" w14:textId="77777777" w:rsidR="003C476C" w:rsidRPr="00BD10A6" w:rsidRDefault="003C476C">
      <w:pPr>
        <w:pStyle w:val="ListBullet"/>
        <w:rPr>
          <w:rFonts w:ascii="Times New Roman" w:hAnsi="Times New Roman" w:cs="Times New Roman"/>
        </w:rPr>
        <w:sectPr w:rsidR="003C476C" w:rsidRPr="00BD10A6" w:rsidSect="003C476C">
          <w:headerReference w:type="default" r:id="rId7"/>
          <w:footerReference w:type="default" r:id="rId8"/>
          <w:type w:val="continuous"/>
          <w:pgSz w:w="12240" w:h="15840"/>
          <w:pgMar w:top="1440" w:right="1440" w:bottom="1440" w:left="1440" w:header="720" w:footer="720" w:gutter="0"/>
          <w:cols w:space="720"/>
          <w:docGrid w:linePitch="360"/>
        </w:sectPr>
      </w:pPr>
    </w:p>
    <w:p w14:paraId="6C385CD7" w14:textId="3CE45F10" w:rsidR="00025AE2" w:rsidRPr="00BD10A6" w:rsidRDefault="00025AE2">
      <w:pPr>
        <w:pStyle w:val="ListBullet"/>
        <w:rPr>
          <w:rFonts w:ascii="Times New Roman" w:hAnsi="Times New Roman" w:cs="Times New Roman"/>
        </w:rPr>
      </w:pPr>
      <w:r w:rsidRPr="00BD10A6">
        <w:rPr>
          <w:rFonts w:ascii="Times New Roman" w:hAnsi="Times New Roman" w:cs="Times New Roman"/>
        </w:rPr>
        <w:t>Total Kjeldahl Nitrogen</w:t>
      </w:r>
    </w:p>
    <w:p w14:paraId="494EA20F"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Nitrite/Nitrate</w:t>
      </w:r>
    </w:p>
    <w:p w14:paraId="68AC0053"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Ammonia</w:t>
      </w:r>
    </w:p>
    <w:p w14:paraId="2995590E"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TP</w:t>
      </w:r>
    </w:p>
    <w:p w14:paraId="61862CF3"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 xml:space="preserve">Orthophosphate </w:t>
      </w:r>
    </w:p>
    <w:p w14:paraId="73774F53"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 xml:space="preserve">Chlorophyll-a (corrected) </w:t>
      </w:r>
    </w:p>
    <w:p w14:paraId="432B1651" w14:textId="39C1DCF0" w:rsidR="00025AE2" w:rsidRPr="00BD10A6" w:rsidRDefault="00025AE2">
      <w:pPr>
        <w:pStyle w:val="ListBullet"/>
        <w:rPr>
          <w:rFonts w:ascii="Times New Roman" w:hAnsi="Times New Roman" w:cs="Times New Roman"/>
        </w:rPr>
      </w:pPr>
      <w:r w:rsidRPr="00BD10A6">
        <w:rPr>
          <w:rFonts w:ascii="Times New Roman" w:hAnsi="Times New Roman" w:cs="Times New Roman"/>
        </w:rPr>
        <w:t xml:space="preserve">Photosynthetically </w:t>
      </w:r>
      <w:r w:rsidR="00D06314" w:rsidRPr="00BD10A6">
        <w:rPr>
          <w:rFonts w:ascii="Times New Roman" w:hAnsi="Times New Roman" w:cs="Times New Roman"/>
        </w:rPr>
        <w:t>A</w:t>
      </w:r>
      <w:r w:rsidRPr="00BD10A6">
        <w:rPr>
          <w:rFonts w:ascii="Times New Roman" w:hAnsi="Times New Roman" w:cs="Times New Roman"/>
        </w:rPr>
        <w:t xml:space="preserve">ctive </w:t>
      </w:r>
      <w:r w:rsidR="00D06314" w:rsidRPr="00BD10A6">
        <w:rPr>
          <w:rFonts w:ascii="Times New Roman" w:hAnsi="Times New Roman" w:cs="Times New Roman"/>
        </w:rPr>
        <w:t>R</w:t>
      </w:r>
      <w:r w:rsidRPr="00BD10A6">
        <w:rPr>
          <w:rFonts w:ascii="Times New Roman" w:hAnsi="Times New Roman" w:cs="Times New Roman"/>
        </w:rPr>
        <w:t>adiation</w:t>
      </w:r>
    </w:p>
    <w:p w14:paraId="6704024E"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True Color</w:t>
      </w:r>
    </w:p>
    <w:p w14:paraId="1FD96538"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Turbidity</w:t>
      </w:r>
    </w:p>
    <w:p w14:paraId="720CEAFC"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TSS</w:t>
      </w:r>
    </w:p>
    <w:p w14:paraId="749FB6FC"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Dissolved Oxygen</w:t>
      </w:r>
    </w:p>
    <w:p w14:paraId="2E3BE20D"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Specific Conductivity</w:t>
      </w:r>
    </w:p>
    <w:p w14:paraId="4A5BD3FB"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pH</w:t>
      </w:r>
    </w:p>
    <w:p w14:paraId="3FE0140F"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Salinity</w:t>
      </w:r>
    </w:p>
    <w:p w14:paraId="126E4F0E"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Secchi</w:t>
      </w:r>
    </w:p>
    <w:p w14:paraId="2CDB8A21"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Depth of Collection</w:t>
      </w:r>
    </w:p>
    <w:p w14:paraId="7D4ED6BF"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Total Depth of Sample Site</w:t>
      </w:r>
    </w:p>
    <w:p w14:paraId="54915785"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Water Temperature</w:t>
      </w:r>
    </w:p>
    <w:p w14:paraId="66D76627"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lastRenderedPageBreak/>
        <w:t>Field Conditions</w:t>
      </w:r>
    </w:p>
    <w:p w14:paraId="7076C207"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Total Organic Carbon</w:t>
      </w:r>
    </w:p>
    <w:p w14:paraId="16FE7AE9"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Dissolved Organic Carbon</w:t>
      </w:r>
    </w:p>
    <w:p w14:paraId="3BBDF391"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Silica</w:t>
      </w:r>
    </w:p>
    <w:p w14:paraId="0135E0FD" w14:textId="77777777" w:rsidR="00025AE2" w:rsidRPr="00BD10A6" w:rsidRDefault="00025AE2">
      <w:pPr>
        <w:pStyle w:val="ListBullet"/>
        <w:rPr>
          <w:rFonts w:ascii="Times New Roman" w:hAnsi="Times New Roman" w:cs="Times New Roman"/>
        </w:rPr>
      </w:pPr>
      <w:r w:rsidRPr="00BD10A6">
        <w:rPr>
          <w:rFonts w:ascii="Times New Roman" w:hAnsi="Times New Roman" w:cs="Times New Roman"/>
        </w:rPr>
        <w:t>Alkalinity</w:t>
      </w:r>
    </w:p>
    <w:p w14:paraId="37290CFF" w14:textId="77777777" w:rsidR="003C476C" w:rsidRPr="00BD10A6" w:rsidRDefault="00025AE2">
      <w:pPr>
        <w:pStyle w:val="ListBullet"/>
        <w:rPr>
          <w:rFonts w:ascii="Times New Roman" w:hAnsi="Times New Roman" w:cs="Times New Roman"/>
        </w:rPr>
      </w:pPr>
      <w:r w:rsidRPr="00BD10A6">
        <w:rPr>
          <w:rFonts w:ascii="Times New Roman" w:hAnsi="Times New Roman" w:cs="Times New Roman"/>
        </w:rPr>
        <w:t>Volatile Suspended Solids</w:t>
      </w:r>
    </w:p>
    <w:p w14:paraId="4D9495B0" w14:textId="77777777" w:rsidR="003C476C" w:rsidRPr="00BD10A6" w:rsidRDefault="003C476C" w:rsidP="00025AE2">
      <w:pPr>
        <w:pStyle w:val="BodyText1"/>
        <w:rPr>
          <w:rFonts w:ascii="Times New Roman" w:hAnsi="Times New Roman"/>
        </w:rPr>
        <w:sectPr w:rsidR="003C476C" w:rsidRPr="00BD10A6" w:rsidSect="003C476C">
          <w:type w:val="continuous"/>
          <w:pgSz w:w="12240" w:h="15840"/>
          <w:pgMar w:top="1440" w:right="1440" w:bottom="1440" w:left="1440" w:header="720" w:footer="720" w:gutter="0"/>
          <w:cols w:num="2" w:space="720"/>
          <w:docGrid w:linePitch="360"/>
        </w:sectPr>
      </w:pPr>
    </w:p>
    <w:p w14:paraId="59BE8D88" w14:textId="23A46AC8" w:rsidR="00025AE2" w:rsidRPr="00BD10A6" w:rsidRDefault="00025AE2" w:rsidP="00025AE2">
      <w:pPr>
        <w:pStyle w:val="BodyText1"/>
        <w:rPr>
          <w:rFonts w:ascii="Times New Roman" w:hAnsi="Times New Roman"/>
        </w:rPr>
      </w:pPr>
      <w:r w:rsidRPr="00BD10A6">
        <w:rPr>
          <w:rFonts w:ascii="Times New Roman" w:hAnsi="Times New Roman"/>
        </w:rPr>
        <w:t xml:space="preserve">In addition to the SJRWMD water quality monitoring stations, Volusia County collects water quality data at </w:t>
      </w:r>
      <w:r w:rsidR="00BC213C">
        <w:rPr>
          <w:rFonts w:ascii="Times New Roman" w:hAnsi="Times New Roman"/>
        </w:rPr>
        <w:t>3</w:t>
      </w:r>
      <w:r w:rsidRPr="00BD10A6">
        <w:rPr>
          <w:rFonts w:ascii="Times New Roman" w:hAnsi="Times New Roman"/>
        </w:rPr>
        <w:t xml:space="preserve"> stations, and the U.S. Geological Survey (USGS) collects flow data at </w:t>
      </w:r>
      <w:r w:rsidR="00BC213C">
        <w:rPr>
          <w:rFonts w:ascii="Times New Roman" w:hAnsi="Times New Roman"/>
        </w:rPr>
        <w:t>2</w:t>
      </w:r>
      <w:r w:rsidRPr="00BD10A6">
        <w:rPr>
          <w:rFonts w:ascii="Times New Roman" w:hAnsi="Times New Roman"/>
        </w:rPr>
        <w:t xml:space="preserve"> station</w:t>
      </w:r>
      <w:r w:rsidR="00BC213C">
        <w:rPr>
          <w:rFonts w:ascii="Times New Roman" w:hAnsi="Times New Roman"/>
        </w:rPr>
        <w:t>s</w:t>
      </w:r>
      <w:r w:rsidRPr="00BD10A6">
        <w:rPr>
          <w:rFonts w:ascii="Times New Roman" w:hAnsi="Times New Roman"/>
        </w:rPr>
        <w:t xml:space="preserve"> in the North IRL</w:t>
      </w:r>
      <w:r w:rsidR="00D06314" w:rsidRPr="00BD10A6">
        <w:rPr>
          <w:rFonts w:ascii="Times New Roman" w:hAnsi="Times New Roman"/>
        </w:rPr>
        <w:t xml:space="preserve">. </w:t>
      </w:r>
      <w:r w:rsidRPr="00BD10A6">
        <w:rPr>
          <w:rFonts w:ascii="Times New Roman" w:hAnsi="Times New Roman"/>
          <w:b/>
        </w:rPr>
        <w:fldChar w:fldCharType="begin"/>
      </w:r>
      <w:r w:rsidRPr="00BD10A6">
        <w:rPr>
          <w:rFonts w:ascii="Times New Roman" w:hAnsi="Times New Roman"/>
          <w:b/>
        </w:rPr>
        <w:instrText xml:space="preserve"> REF _Ref323288946 \h  \* MERGEFORMAT </w:instrText>
      </w:r>
      <w:r w:rsidRPr="00BD10A6">
        <w:rPr>
          <w:rFonts w:ascii="Times New Roman" w:hAnsi="Times New Roman"/>
          <w:b/>
        </w:rPr>
      </w:r>
      <w:r w:rsidRPr="00BD10A6">
        <w:rPr>
          <w:rFonts w:ascii="Times New Roman" w:hAnsi="Times New Roman"/>
          <w:b/>
        </w:rPr>
        <w:fldChar w:fldCharType="separate"/>
      </w:r>
      <w:r w:rsidRPr="00BD10A6">
        <w:rPr>
          <w:rFonts w:ascii="Times New Roman" w:hAnsi="Times New Roman"/>
          <w:b/>
        </w:rPr>
        <w:t xml:space="preserve">Table </w:t>
      </w:r>
      <w:r w:rsidRPr="00BD10A6">
        <w:rPr>
          <w:rFonts w:ascii="Times New Roman" w:hAnsi="Times New Roman"/>
          <w:b/>
          <w:noProof/>
        </w:rPr>
        <w:t>40</w:t>
      </w:r>
      <w:r w:rsidRPr="00BD10A6">
        <w:rPr>
          <w:rFonts w:ascii="Times New Roman" w:hAnsi="Times New Roman"/>
          <w:b/>
        </w:rPr>
        <w:fldChar w:fldCharType="end"/>
      </w:r>
      <w:r w:rsidRPr="00BD10A6">
        <w:rPr>
          <w:rFonts w:ascii="Times New Roman" w:hAnsi="Times New Roman"/>
          <w:b/>
        </w:rPr>
        <w:t xml:space="preserve"> </w:t>
      </w:r>
      <w:r w:rsidRPr="00BD10A6">
        <w:rPr>
          <w:rFonts w:ascii="Times New Roman" w:hAnsi="Times New Roman"/>
        </w:rPr>
        <w:t xml:space="preserve">lists the stations that SJRWMD, Volusia County, and USGS currently sample in the North IRL </w:t>
      </w:r>
      <w:r w:rsidR="00E802D6" w:rsidRPr="00BD10A6">
        <w:rPr>
          <w:rFonts w:ascii="Times New Roman" w:hAnsi="Times New Roman"/>
        </w:rPr>
        <w:t>BMAP</w:t>
      </w:r>
      <w:r w:rsidRPr="00BD10A6">
        <w:rPr>
          <w:rFonts w:ascii="Times New Roman" w:hAnsi="Times New Roman"/>
        </w:rPr>
        <w:t xml:space="preserve">, and these stations are shown by project zone in </w:t>
      </w:r>
      <w:r w:rsidRPr="00BD10A6">
        <w:rPr>
          <w:rFonts w:ascii="Times New Roman" w:hAnsi="Times New Roman"/>
          <w:b/>
        </w:rPr>
        <w:fldChar w:fldCharType="begin"/>
      </w:r>
      <w:r w:rsidRPr="00BD10A6">
        <w:rPr>
          <w:rFonts w:ascii="Times New Roman" w:hAnsi="Times New Roman"/>
          <w:b/>
        </w:rPr>
        <w:instrText xml:space="preserve"> REF _Ref323550309 \h  \* MERGEFORMAT </w:instrText>
      </w:r>
      <w:r w:rsidRPr="00BD10A6">
        <w:rPr>
          <w:rFonts w:ascii="Times New Roman" w:hAnsi="Times New Roman"/>
          <w:b/>
        </w:rPr>
      </w:r>
      <w:r w:rsidRPr="00BD10A6">
        <w:rPr>
          <w:rFonts w:ascii="Times New Roman" w:hAnsi="Times New Roman"/>
          <w:b/>
        </w:rPr>
        <w:fldChar w:fldCharType="separate"/>
      </w:r>
      <w:r w:rsidRPr="00BD10A6">
        <w:rPr>
          <w:rFonts w:ascii="Times New Roman" w:hAnsi="Times New Roman"/>
          <w:b/>
        </w:rPr>
        <w:t xml:space="preserve">Figure </w:t>
      </w:r>
      <w:r w:rsidRPr="00BD10A6">
        <w:rPr>
          <w:rFonts w:ascii="Times New Roman" w:hAnsi="Times New Roman"/>
          <w:b/>
          <w:noProof/>
        </w:rPr>
        <w:t>13</w:t>
      </w:r>
      <w:r w:rsidRPr="00BD10A6">
        <w:rPr>
          <w:rFonts w:ascii="Times New Roman" w:hAnsi="Times New Roman"/>
          <w:b/>
        </w:rPr>
        <w:fldChar w:fldCharType="end"/>
      </w:r>
      <w:r w:rsidRPr="00BD10A6">
        <w:rPr>
          <w:rFonts w:ascii="Times New Roman" w:hAnsi="Times New Roman"/>
        </w:rPr>
        <w:t xml:space="preserve">  </w:t>
      </w:r>
      <w:r w:rsidR="0009232F" w:rsidRPr="00BD10A6">
        <w:rPr>
          <w:rFonts w:ascii="Times New Roman" w:hAnsi="Times New Roman"/>
        </w:rPr>
        <w:t xml:space="preserve">and </w:t>
      </w:r>
      <w:r w:rsidR="00086A0B" w:rsidRPr="00BD10A6">
        <w:rPr>
          <w:rFonts w:ascii="Times New Roman" w:hAnsi="Times New Roman"/>
          <w:b/>
          <w:bCs/>
        </w:rPr>
        <w:t>Figure</w:t>
      </w:r>
      <w:r w:rsidR="00086A0B" w:rsidRPr="00BD10A6">
        <w:rPr>
          <w:rFonts w:ascii="Times New Roman" w:hAnsi="Times New Roman"/>
        </w:rPr>
        <w:t xml:space="preserve"> </w:t>
      </w:r>
      <w:r w:rsidR="00086A0B" w:rsidRPr="00BD10A6">
        <w:rPr>
          <w:rFonts w:ascii="Times New Roman" w:hAnsi="Times New Roman"/>
          <w:b/>
        </w:rPr>
        <w:t>14</w:t>
      </w:r>
      <w:r w:rsidRPr="00BD10A6">
        <w:rPr>
          <w:rFonts w:ascii="Times New Roman" w:hAnsi="Times New Roman"/>
        </w:rPr>
        <w:t>.</w:t>
      </w:r>
    </w:p>
    <w:p w14:paraId="7E488F7A" w14:textId="598F5195" w:rsidR="00025AE2" w:rsidRPr="009A2123" w:rsidRDefault="00025AE2" w:rsidP="00025AE2">
      <w:pPr>
        <w:pStyle w:val="Table"/>
        <w:keepNext/>
        <w:rPr>
          <w:rFonts w:ascii="Times New Roman Bold" w:hAnsi="Times New Roman Bold"/>
          <w:smallCaps w:val="0"/>
        </w:rPr>
      </w:pPr>
      <w:bookmarkStart w:id="8" w:name="_Ref323288946"/>
      <w:bookmarkStart w:id="9" w:name="_Toc323297740"/>
      <w:bookmarkStart w:id="10" w:name="_Toc323303086"/>
      <w:bookmarkStart w:id="11" w:name="_Toc345583134"/>
      <w:r w:rsidRPr="009A2123">
        <w:rPr>
          <w:rFonts w:ascii="Times New Roman Bold" w:hAnsi="Times New Roman Bold"/>
          <w:smallCaps w:val="0"/>
        </w:rPr>
        <w:t xml:space="preserve">Table </w:t>
      </w:r>
      <w:r w:rsidR="00C918D8" w:rsidRPr="009A2123">
        <w:rPr>
          <w:rFonts w:ascii="Times New Roman Bold" w:hAnsi="Times New Roman Bold"/>
          <w:smallCaps w:val="0"/>
        </w:rPr>
        <w:fldChar w:fldCharType="begin"/>
      </w:r>
      <w:r w:rsidR="00C918D8" w:rsidRPr="009A2123">
        <w:rPr>
          <w:rFonts w:ascii="Times New Roman Bold" w:hAnsi="Times New Roman Bold"/>
          <w:smallCaps w:val="0"/>
        </w:rPr>
        <w:instrText xml:space="preserve"> SEQ Table \* ARABIC </w:instrText>
      </w:r>
      <w:r w:rsidR="00C918D8" w:rsidRPr="009A2123">
        <w:rPr>
          <w:rFonts w:ascii="Times New Roman Bold" w:hAnsi="Times New Roman Bold"/>
          <w:smallCaps w:val="0"/>
        </w:rPr>
        <w:fldChar w:fldCharType="separate"/>
      </w:r>
      <w:r w:rsidRPr="009A2123">
        <w:rPr>
          <w:rFonts w:ascii="Times New Roman Bold" w:hAnsi="Times New Roman Bold"/>
          <w:smallCaps w:val="0"/>
          <w:noProof/>
        </w:rPr>
        <w:t>40</w:t>
      </w:r>
      <w:r w:rsidR="00C918D8" w:rsidRPr="009A2123">
        <w:rPr>
          <w:rFonts w:ascii="Times New Roman Bold" w:hAnsi="Times New Roman Bold"/>
          <w:smallCaps w:val="0"/>
          <w:noProof/>
        </w:rPr>
        <w:fldChar w:fldCharType="end"/>
      </w:r>
      <w:bookmarkEnd w:id="8"/>
      <w:r w:rsidRPr="009A2123">
        <w:rPr>
          <w:rFonts w:ascii="Times New Roman Bold" w:hAnsi="Times New Roman Bold"/>
          <w:smallCaps w:val="0"/>
        </w:rPr>
        <w:t xml:space="preserve">: Monitoring Stations in the North IRL </w:t>
      </w:r>
      <w:bookmarkEnd w:id="9"/>
      <w:bookmarkEnd w:id="10"/>
      <w:bookmarkEnd w:id="11"/>
      <w:r w:rsidR="00E802D6" w:rsidRPr="009A2123">
        <w:rPr>
          <w:rFonts w:ascii="Times New Roman Bold" w:hAnsi="Times New Roman Bold"/>
          <w:smallCaps w:val="0"/>
        </w:rPr>
        <w:t>BMAP</w:t>
      </w:r>
    </w:p>
    <w:tbl>
      <w:tblPr>
        <w:tblW w:w="9350" w:type="dxa"/>
        <w:tblLook w:val="04A0" w:firstRow="1" w:lastRow="0" w:firstColumn="1" w:lastColumn="0" w:noHBand="0" w:noVBand="1"/>
      </w:tblPr>
      <w:tblGrid>
        <w:gridCol w:w="1075"/>
        <w:gridCol w:w="1350"/>
        <w:gridCol w:w="1350"/>
        <w:gridCol w:w="810"/>
        <w:gridCol w:w="990"/>
        <w:gridCol w:w="1172"/>
        <w:gridCol w:w="1352"/>
        <w:gridCol w:w="1251"/>
      </w:tblGrid>
      <w:tr w:rsidR="00086A0B" w:rsidRPr="00BD10A6" w14:paraId="133A4806" w14:textId="77777777" w:rsidTr="009B4246">
        <w:trPr>
          <w:trHeight w:val="300"/>
          <w:tblHeader/>
        </w:trPr>
        <w:tc>
          <w:tcPr>
            <w:tcW w:w="1075" w:type="dxa"/>
            <w:tcBorders>
              <w:top w:val="single" w:sz="4" w:space="0" w:color="auto"/>
              <w:left w:val="single" w:sz="4" w:space="0" w:color="auto"/>
              <w:bottom w:val="single" w:sz="4" w:space="0" w:color="auto"/>
              <w:right w:val="single" w:sz="4" w:space="0" w:color="auto"/>
            </w:tcBorders>
            <w:shd w:val="clear" w:color="auto" w:fill="FABF8F"/>
            <w:noWrap/>
            <w:vAlign w:val="bottom"/>
            <w:hideMark/>
          </w:tcPr>
          <w:p w14:paraId="309A299C" w14:textId="77777777" w:rsidR="002A5791" w:rsidRPr="00BD10A6" w:rsidRDefault="002A5791" w:rsidP="002A5791">
            <w:pPr>
              <w:jc w:val="left"/>
              <w:rPr>
                <w:rFonts w:ascii="Times New Roman" w:hAnsi="Times New Roman"/>
                <w:b/>
                <w:bCs/>
                <w:color w:val="000000"/>
                <w:sz w:val="18"/>
                <w:szCs w:val="18"/>
              </w:rPr>
            </w:pPr>
            <w:bookmarkStart w:id="12" w:name="RANGE!A1:H20"/>
            <w:r w:rsidRPr="00BD10A6">
              <w:rPr>
                <w:rFonts w:ascii="Times New Roman" w:hAnsi="Times New Roman"/>
                <w:b/>
                <w:bCs/>
                <w:color w:val="000000"/>
                <w:sz w:val="18"/>
                <w:szCs w:val="18"/>
              </w:rPr>
              <w:t>Entity</w:t>
            </w:r>
            <w:bookmarkEnd w:id="12"/>
          </w:p>
        </w:tc>
        <w:tc>
          <w:tcPr>
            <w:tcW w:w="1350" w:type="dxa"/>
            <w:tcBorders>
              <w:top w:val="single" w:sz="4" w:space="0" w:color="auto"/>
              <w:left w:val="nil"/>
              <w:bottom w:val="single" w:sz="4" w:space="0" w:color="auto"/>
              <w:right w:val="single" w:sz="4" w:space="0" w:color="auto"/>
            </w:tcBorders>
            <w:shd w:val="clear" w:color="auto" w:fill="FABF8F"/>
            <w:noWrap/>
            <w:vAlign w:val="bottom"/>
            <w:hideMark/>
          </w:tcPr>
          <w:p w14:paraId="253B1E8A" w14:textId="77777777" w:rsidR="002A5791" w:rsidRPr="00BD10A6" w:rsidRDefault="002A5791" w:rsidP="002A5791">
            <w:pPr>
              <w:jc w:val="left"/>
              <w:rPr>
                <w:rFonts w:ascii="Times New Roman" w:hAnsi="Times New Roman"/>
                <w:b/>
                <w:bCs/>
                <w:color w:val="000000"/>
                <w:sz w:val="18"/>
                <w:szCs w:val="18"/>
              </w:rPr>
            </w:pPr>
            <w:r w:rsidRPr="00BD10A6">
              <w:rPr>
                <w:rFonts w:ascii="Times New Roman" w:hAnsi="Times New Roman"/>
                <w:b/>
                <w:bCs/>
                <w:color w:val="000000"/>
                <w:sz w:val="18"/>
                <w:szCs w:val="18"/>
              </w:rPr>
              <w:t>Station ID</w:t>
            </w:r>
          </w:p>
        </w:tc>
        <w:tc>
          <w:tcPr>
            <w:tcW w:w="1350" w:type="dxa"/>
            <w:tcBorders>
              <w:top w:val="single" w:sz="4" w:space="0" w:color="auto"/>
              <w:left w:val="nil"/>
              <w:bottom w:val="single" w:sz="4" w:space="0" w:color="auto"/>
              <w:right w:val="single" w:sz="4" w:space="0" w:color="auto"/>
            </w:tcBorders>
            <w:shd w:val="clear" w:color="auto" w:fill="FABF8F"/>
            <w:noWrap/>
            <w:vAlign w:val="bottom"/>
            <w:hideMark/>
          </w:tcPr>
          <w:p w14:paraId="680F57F1" w14:textId="77777777" w:rsidR="002A5791" w:rsidRPr="00BD10A6" w:rsidRDefault="002A5791" w:rsidP="002A5791">
            <w:pPr>
              <w:jc w:val="left"/>
              <w:rPr>
                <w:rFonts w:ascii="Times New Roman" w:hAnsi="Times New Roman"/>
                <w:b/>
                <w:bCs/>
                <w:color w:val="000000"/>
                <w:sz w:val="18"/>
                <w:szCs w:val="18"/>
              </w:rPr>
            </w:pPr>
            <w:r w:rsidRPr="00BD10A6">
              <w:rPr>
                <w:rFonts w:ascii="Times New Roman" w:hAnsi="Times New Roman"/>
                <w:b/>
                <w:bCs/>
                <w:color w:val="000000"/>
                <w:sz w:val="18"/>
                <w:szCs w:val="18"/>
              </w:rPr>
              <w:t>Project Zone</w:t>
            </w:r>
          </w:p>
        </w:tc>
        <w:tc>
          <w:tcPr>
            <w:tcW w:w="810" w:type="dxa"/>
            <w:tcBorders>
              <w:top w:val="single" w:sz="4" w:space="0" w:color="auto"/>
              <w:left w:val="nil"/>
              <w:bottom w:val="single" w:sz="4" w:space="0" w:color="auto"/>
              <w:right w:val="single" w:sz="4" w:space="0" w:color="auto"/>
            </w:tcBorders>
            <w:shd w:val="clear" w:color="auto" w:fill="FABF8F"/>
            <w:noWrap/>
            <w:vAlign w:val="bottom"/>
            <w:hideMark/>
          </w:tcPr>
          <w:p w14:paraId="2FADA127" w14:textId="77777777" w:rsidR="002A5791" w:rsidRPr="00BD10A6" w:rsidRDefault="002A5791" w:rsidP="002A5791">
            <w:pPr>
              <w:jc w:val="left"/>
              <w:rPr>
                <w:rFonts w:ascii="Times New Roman" w:hAnsi="Times New Roman"/>
                <w:b/>
                <w:bCs/>
                <w:color w:val="000000"/>
                <w:sz w:val="18"/>
                <w:szCs w:val="18"/>
              </w:rPr>
            </w:pPr>
            <w:r w:rsidRPr="00BD10A6">
              <w:rPr>
                <w:rFonts w:ascii="Times New Roman" w:hAnsi="Times New Roman"/>
                <w:b/>
                <w:bCs/>
                <w:color w:val="000000"/>
                <w:sz w:val="18"/>
                <w:szCs w:val="18"/>
              </w:rPr>
              <w:t>Status</w:t>
            </w:r>
          </w:p>
        </w:tc>
        <w:tc>
          <w:tcPr>
            <w:tcW w:w="990" w:type="dxa"/>
            <w:tcBorders>
              <w:top w:val="single" w:sz="4" w:space="0" w:color="auto"/>
              <w:left w:val="nil"/>
              <w:bottom w:val="single" w:sz="4" w:space="0" w:color="auto"/>
              <w:right w:val="single" w:sz="4" w:space="0" w:color="auto"/>
            </w:tcBorders>
            <w:shd w:val="clear" w:color="auto" w:fill="FABF8F"/>
            <w:noWrap/>
            <w:vAlign w:val="bottom"/>
            <w:hideMark/>
          </w:tcPr>
          <w:p w14:paraId="330C1E86" w14:textId="77777777" w:rsidR="002A5791" w:rsidRPr="00BD10A6" w:rsidRDefault="002A5791" w:rsidP="002A5791">
            <w:pPr>
              <w:jc w:val="left"/>
              <w:rPr>
                <w:rFonts w:ascii="Times New Roman" w:hAnsi="Times New Roman"/>
                <w:b/>
                <w:bCs/>
                <w:color w:val="000000"/>
                <w:sz w:val="18"/>
                <w:szCs w:val="18"/>
              </w:rPr>
            </w:pPr>
            <w:r w:rsidRPr="00BD10A6">
              <w:rPr>
                <w:rFonts w:ascii="Times New Roman" w:hAnsi="Times New Roman"/>
                <w:b/>
                <w:bCs/>
                <w:color w:val="000000"/>
                <w:sz w:val="18"/>
                <w:szCs w:val="18"/>
              </w:rPr>
              <w:t>Latitude</w:t>
            </w:r>
          </w:p>
        </w:tc>
        <w:tc>
          <w:tcPr>
            <w:tcW w:w="1172" w:type="dxa"/>
            <w:tcBorders>
              <w:top w:val="single" w:sz="4" w:space="0" w:color="auto"/>
              <w:left w:val="nil"/>
              <w:bottom w:val="single" w:sz="4" w:space="0" w:color="auto"/>
              <w:right w:val="single" w:sz="4" w:space="0" w:color="auto"/>
            </w:tcBorders>
            <w:shd w:val="clear" w:color="auto" w:fill="FABF8F"/>
            <w:noWrap/>
            <w:vAlign w:val="bottom"/>
            <w:hideMark/>
          </w:tcPr>
          <w:p w14:paraId="72FBCDD9" w14:textId="77777777" w:rsidR="002A5791" w:rsidRPr="00BD10A6" w:rsidRDefault="002A5791" w:rsidP="002A5791">
            <w:pPr>
              <w:jc w:val="left"/>
              <w:rPr>
                <w:rFonts w:ascii="Times New Roman" w:hAnsi="Times New Roman"/>
                <w:b/>
                <w:bCs/>
                <w:color w:val="000000"/>
                <w:sz w:val="18"/>
                <w:szCs w:val="18"/>
              </w:rPr>
            </w:pPr>
            <w:r w:rsidRPr="00BD10A6">
              <w:rPr>
                <w:rFonts w:ascii="Times New Roman" w:hAnsi="Times New Roman"/>
                <w:b/>
                <w:bCs/>
                <w:color w:val="000000"/>
                <w:sz w:val="18"/>
                <w:szCs w:val="18"/>
              </w:rPr>
              <w:t>Longitude</w:t>
            </w:r>
          </w:p>
        </w:tc>
        <w:tc>
          <w:tcPr>
            <w:tcW w:w="1352" w:type="dxa"/>
            <w:tcBorders>
              <w:top w:val="single" w:sz="4" w:space="0" w:color="auto"/>
              <w:left w:val="nil"/>
              <w:bottom w:val="single" w:sz="4" w:space="0" w:color="auto"/>
              <w:right w:val="single" w:sz="4" w:space="0" w:color="auto"/>
            </w:tcBorders>
            <w:shd w:val="clear" w:color="auto" w:fill="FABF8F"/>
            <w:noWrap/>
            <w:vAlign w:val="bottom"/>
            <w:hideMark/>
          </w:tcPr>
          <w:p w14:paraId="4114EF80" w14:textId="77777777" w:rsidR="002A5791" w:rsidRPr="00BD10A6" w:rsidRDefault="002A5791" w:rsidP="002A5791">
            <w:pPr>
              <w:jc w:val="left"/>
              <w:rPr>
                <w:rFonts w:ascii="Times New Roman" w:hAnsi="Times New Roman"/>
                <w:b/>
                <w:bCs/>
                <w:color w:val="000000"/>
                <w:sz w:val="18"/>
                <w:szCs w:val="18"/>
              </w:rPr>
            </w:pPr>
            <w:r w:rsidRPr="00BD10A6">
              <w:rPr>
                <w:rFonts w:ascii="Times New Roman" w:hAnsi="Times New Roman"/>
                <w:b/>
                <w:bCs/>
                <w:color w:val="000000"/>
                <w:sz w:val="18"/>
                <w:szCs w:val="18"/>
              </w:rPr>
              <w:t>Station Type</w:t>
            </w:r>
          </w:p>
        </w:tc>
        <w:tc>
          <w:tcPr>
            <w:tcW w:w="1251" w:type="dxa"/>
            <w:tcBorders>
              <w:top w:val="single" w:sz="4" w:space="0" w:color="auto"/>
              <w:left w:val="nil"/>
              <w:bottom w:val="single" w:sz="4" w:space="0" w:color="auto"/>
              <w:right w:val="single" w:sz="4" w:space="0" w:color="auto"/>
            </w:tcBorders>
            <w:shd w:val="clear" w:color="auto" w:fill="FABF8F"/>
            <w:noWrap/>
            <w:vAlign w:val="bottom"/>
            <w:hideMark/>
          </w:tcPr>
          <w:p w14:paraId="5B34CA1B" w14:textId="77777777" w:rsidR="002A5791" w:rsidRPr="00BD10A6" w:rsidRDefault="002A5791" w:rsidP="002A5791">
            <w:pPr>
              <w:jc w:val="left"/>
              <w:rPr>
                <w:rFonts w:ascii="Times New Roman" w:hAnsi="Times New Roman"/>
                <w:b/>
                <w:bCs/>
                <w:color w:val="000000"/>
                <w:sz w:val="18"/>
                <w:szCs w:val="18"/>
              </w:rPr>
            </w:pPr>
            <w:r w:rsidRPr="00BD10A6">
              <w:rPr>
                <w:rFonts w:ascii="Times New Roman" w:hAnsi="Times New Roman"/>
                <w:b/>
                <w:bCs/>
                <w:color w:val="000000"/>
                <w:sz w:val="18"/>
                <w:szCs w:val="18"/>
              </w:rPr>
              <w:t>Frequency</w:t>
            </w:r>
          </w:p>
        </w:tc>
      </w:tr>
      <w:tr w:rsidR="002A5791" w:rsidRPr="00BD10A6" w14:paraId="260ADF1C"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3DE9DC55"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SJRWMD</w:t>
            </w:r>
          </w:p>
        </w:tc>
        <w:tc>
          <w:tcPr>
            <w:tcW w:w="1350" w:type="dxa"/>
            <w:tcBorders>
              <w:top w:val="nil"/>
              <w:left w:val="nil"/>
              <w:bottom w:val="single" w:sz="4" w:space="0" w:color="auto"/>
              <w:right w:val="single" w:sz="4" w:space="0" w:color="auto"/>
            </w:tcBorders>
            <w:shd w:val="clear" w:color="auto" w:fill="auto"/>
            <w:noWrap/>
            <w:vAlign w:val="bottom"/>
            <w:hideMark/>
          </w:tcPr>
          <w:p w14:paraId="4FB66DAA"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IRLBFRR</w:t>
            </w:r>
          </w:p>
        </w:tc>
        <w:tc>
          <w:tcPr>
            <w:tcW w:w="1350" w:type="dxa"/>
            <w:tcBorders>
              <w:top w:val="nil"/>
              <w:left w:val="nil"/>
              <w:bottom w:val="single" w:sz="4" w:space="0" w:color="auto"/>
              <w:right w:val="single" w:sz="4" w:space="0" w:color="auto"/>
            </w:tcBorders>
            <w:shd w:val="clear" w:color="auto" w:fill="auto"/>
            <w:noWrap/>
            <w:vAlign w:val="bottom"/>
            <w:hideMark/>
          </w:tcPr>
          <w:p w14:paraId="2499E2DC"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NIRL-A</w:t>
            </w:r>
          </w:p>
        </w:tc>
        <w:tc>
          <w:tcPr>
            <w:tcW w:w="810" w:type="dxa"/>
            <w:tcBorders>
              <w:top w:val="nil"/>
              <w:left w:val="nil"/>
              <w:bottom w:val="single" w:sz="4" w:space="0" w:color="auto"/>
              <w:right w:val="single" w:sz="4" w:space="0" w:color="auto"/>
            </w:tcBorders>
            <w:shd w:val="clear" w:color="auto" w:fill="auto"/>
            <w:noWrap/>
            <w:vAlign w:val="bottom"/>
            <w:hideMark/>
          </w:tcPr>
          <w:p w14:paraId="3EA0CC11"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39C18038"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28.7553</w:t>
            </w:r>
          </w:p>
        </w:tc>
        <w:tc>
          <w:tcPr>
            <w:tcW w:w="1172" w:type="dxa"/>
            <w:tcBorders>
              <w:top w:val="nil"/>
              <w:left w:val="nil"/>
              <w:bottom w:val="single" w:sz="4" w:space="0" w:color="auto"/>
              <w:right w:val="single" w:sz="4" w:space="0" w:color="auto"/>
            </w:tcBorders>
            <w:shd w:val="clear" w:color="auto" w:fill="auto"/>
            <w:noWrap/>
            <w:vAlign w:val="bottom"/>
            <w:hideMark/>
          </w:tcPr>
          <w:p w14:paraId="4F60A83A"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-80.8461</w:t>
            </w:r>
          </w:p>
        </w:tc>
        <w:tc>
          <w:tcPr>
            <w:tcW w:w="1352" w:type="dxa"/>
            <w:tcBorders>
              <w:top w:val="nil"/>
              <w:left w:val="nil"/>
              <w:bottom w:val="single" w:sz="4" w:space="0" w:color="auto"/>
              <w:right w:val="single" w:sz="4" w:space="0" w:color="auto"/>
            </w:tcBorders>
            <w:shd w:val="clear" w:color="auto" w:fill="auto"/>
            <w:noWrap/>
            <w:vAlign w:val="bottom"/>
            <w:hideMark/>
          </w:tcPr>
          <w:p w14:paraId="4A22A8A3"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2EAC60D0"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Monthly</w:t>
            </w:r>
          </w:p>
        </w:tc>
      </w:tr>
      <w:tr w:rsidR="002A5791" w:rsidRPr="00BD10A6" w14:paraId="53CC0870"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0A1DFCF5"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SJRWMD</w:t>
            </w:r>
          </w:p>
        </w:tc>
        <w:tc>
          <w:tcPr>
            <w:tcW w:w="1350" w:type="dxa"/>
            <w:tcBorders>
              <w:top w:val="nil"/>
              <w:left w:val="nil"/>
              <w:bottom w:val="single" w:sz="4" w:space="0" w:color="auto"/>
              <w:right w:val="single" w:sz="4" w:space="0" w:color="auto"/>
            </w:tcBorders>
            <w:shd w:val="clear" w:color="auto" w:fill="auto"/>
            <w:noWrap/>
            <w:vAlign w:val="bottom"/>
            <w:hideMark/>
          </w:tcPr>
          <w:p w14:paraId="3B7DF6EE"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IRLI02</w:t>
            </w:r>
          </w:p>
        </w:tc>
        <w:tc>
          <w:tcPr>
            <w:tcW w:w="1350" w:type="dxa"/>
            <w:tcBorders>
              <w:top w:val="nil"/>
              <w:left w:val="nil"/>
              <w:bottom w:val="single" w:sz="4" w:space="0" w:color="auto"/>
              <w:right w:val="single" w:sz="4" w:space="0" w:color="auto"/>
            </w:tcBorders>
            <w:shd w:val="clear" w:color="auto" w:fill="auto"/>
            <w:noWrap/>
            <w:vAlign w:val="bottom"/>
            <w:hideMark/>
          </w:tcPr>
          <w:p w14:paraId="6A76DD94"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NIRL-A</w:t>
            </w:r>
          </w:p>
        </w:tc>
        <w:tc>
          <w:tcPr>
            <w:tcW w:w="810" w:type="dxa"/>
            <w:tcBorders>
              <w:top w:val="nil"/>
              <w:left w:val="nil"/>
              <w:bottom w:val="single" w:sz="4" w:space="0" w:color="auto"/>
              <w:right w:val="single" w:sz="4" w:space="0" w:color="auto"/>
            </w:tcBorders>
            <w:shd w:val="clear" w:color="auto" w:fill="auto"/>
            <w:noWrap/>
            <w:vAlign w:val="bottom"/>
            <w:hideMark/>
          </w:tcPr>
          <w:p w14:paraId="6D1F5DCA"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675E0538"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28.7370</w:t>
            </w:r>
          </w:p>
        </w:tc>
        <w:tc>
          <w:tcPr>
            <w:tcW w:w="1172" w:type="dxa"/>
            <w:tcBorders>
              <w:top w:val="nil"/>
              <w:left w:val="nil"/>
              <w:bottom w:val="single" w:sz="4" w:space="0" w:color="auto"/>
              <w:right w:val="single" w:sz="4" w:space="0" w:color="auto"/>
            </w:tcBorders>
            <w:shd w:val="clear" w:color="auto" w:fill="auto"/>
            <w:noWrap/>
            <w:vAlign w:val="bottom"/>
            <w:hideMark/>
          </w:tcPr>
          <w:p w14:paraId="1CFB127B"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-80.8007</w:t>
            </w:r>
          </w:p>
        </w:tc>
        <w:tc>
          <w:tcPr>
            <w:tcW w:w="1352" w:type="dxa"/>
            <w:tcBorders>
              <w:top w:val="nil"/>
              <w:left w:val="nil"/>
              <w:bottom w:val="single" w:sz="4" w:space="0" w:color="auto"/>
              <w:right w:val="single" w:sz="4" w:space="0" w:color="auto"/>
            </w:tcBorders>
            <w:shd w:val="clear" w:color="auto" w:fill="auto"/>
            <w:noWrap/>
            <w:vAlign w:val="bottom"/>
            <w:hideMark/>
          </w:tcPr>
          <w:p w14:paraId="6700CA0E"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Lagoon 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24545EF8"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Monthly</w:t>
            </w:r>
          </w:p>
        </w:tc>
      </w:tr>
      <w:tr w:rsidR="002A5791" w:rsidRPr="00BD10A6" w14:paraId="2C6FADDE"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556CA14E"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SJRWMD</w:t>
            </w:r>
          </w:p>
        </w:tc>
        <w:tc>
          <w:tcPr>
            <w:tcW w:w="1350" w:type="dxa"/>
            <w:tcBorders>
              <w:top w:val="nil"/>
              <w:left w:val="nil"/>
              <w:bottom w:val="single" w:sz="4" w:space="0" w:color="auto"/>
              <w:right w:val="single" w:sz="4" w:space="0" w:color="auto"/>
            </w:tcBorders>
            <w:shd w:val="clear" w:color="auto" w:fill="auto"/>
            <w:noWrap/>
            <w:vAlign w:val="bottom"/>
            <w:hideMark/>
          </w:tcPr>
          <w:p w14:paraId="43750766"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IRLI06</w:t>
            </w:r>
          </w:p>
        </w:tc>
        <w:tc>
          <w:tcPr>
            <w:tcW w:w="1350" w:type="dxa"/>
            <w:tcBorders>
              <w:top w:val="nil"/>
              <w:left w:val="nil"/>
              <w:bottom w:val="single" w:sz="4" w:space="0" w:color="auto"/>
              <w:right w:val="single" w:sz="4" w:space="0" w:color="auto"/>
            </w:tcBorders>
            <w:shd w:val="clear" w:color="auto" w:fill="auto"/>
            <w:noWrap/>
            <w:vAlign w:val="bottom"/>
            <w:hideMark/>
          </w:tcPr>
          <w:p w14:paraId="7BA9BAA1"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NIRL-A</w:t>
            </w:r>
          </w:p>
        </w:tc>
        <w:tc>
          <w:tcPr>
            <w:tcW w:w="810" w:type="dxa"/>
            <w:tcBorders>
              <w:top w:val="nil"/>
              <w:left w:val="nil"/>
              <w:bottom w:val="single" w:sz="4" w:space="0" w:color="auto"/>
              <w:right w:val="single" w:sz="4" w:space="0" w:color="auto"/>
            </w:tcBorders>
            <w:shd w:val="clear" w:color="auto" w:fill="auto"/>
            <w:noWrap/>
            <w:vAlign w:val="bottom"/>
            <w:hideMark/>
          </w:tcPr>
          <w:p w14:paraId="3969A5E1"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250D7817"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28.6358</w:t>
            </w:r>
          </w:p>
        </w:tc>
        <w:tc>
          <w:tcPr>
            <w:tcW w:w="1172" w:type="dxa"/>
            <w:tcBorders>
              <w:top w:val="nil"/>
              <w:left w:val="nil"/>
              <w:bottom w:val="single" w:sz="4" w:space="0" w:color="auto"/>
              <w:right w:val="single" w:sz="4" w:space="0" w:color="auto"/>
            </w:tcBorders>
            <w:shd w:val="clear" w:color="auto" w:fill="auto"/>
            <w:noWrap/>
            <w:vAlign w:val="bottom"/>
            <w:hideMark/>
          </w:tcPr>
          <w:p w14:paraId="10C4CB8C"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-80.8020</w:t>
            </w:r>
          </w:p>
        </w:tc>
        <w:tc>
          <w:tcPr>
            <w:tcW w:w="1352" w:type="dxa"/>
            <w:tcBorders>
              <w:top w:val="nil"/>
              <w:left w:val="nil"/>
              <w:bottom w:val="single" w:sz="4" w:space="0" w:color="auto"/>
              <w:right w:val="single" w:sz="4" w:space="0" w:color="auto"/>
            </w:tcBorders>
            <w:shd w:val="clear" w:color="auto" w:fill="auto"/>
            <w:noWrap/>
            <w:vAlign w:val="bottom"/>
            <w:hideMark/>
          </w:tcPr>
          <w:p w14:paraId="68C16E62"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Lagoon 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5FB48C1A"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Monthly</w:t>
            </w:r>
          </w:p>
        </w:tc>
      </w:tr>
      <w:tr w:rsidR="002A5791" w:rsidRPr="00BD10A6" w14:paraId="7FE23C68"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536DF11E"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SJRWMD</w:t>
            </w:r>
          </w:p>
        </w:tc>
        <w:tc>
          <w:tcPr>
            <w:tcW w:w="1350" w:type="dxa"/>
            <w:tcBorders>
              <w:top w:val="nil"/>
              <w:left w:val="nil"/>
              <w:bottom w:val="single" w:sz="4" w:space="0" w:color="auto"/>
              <w:right w:val="single" w:sz="4" w:space="0" w:color="auto"/>
            </w:tcBorders>
            <w:shd w:val="clear" w:color="auto" w:fill="auto"/>
            <w:noWrap/>
            <w:vAlign w:val="bottom"/>
            <w:hideMark/>
          </w:tcPr>
          <w:p w14:paraId="3BC7F313"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IRLI07</w:t>
            </w:r>
          </w:p>
        </w:tc>
        <w:tc>
          <w:tcPr>
            <w:tcW w:w="1350" w:type="dxa"/>
            <w:tcBorders>
              <w:top w:val="nil"/>
              <w:left w:val="nil"/>
              <w:bottom w:val="single" w:sz="4" w:space="0" w:color="auto"/>
              <w:right w:val="single" w:sz="4" w:space="0" w:color="auto"/>
            </w:tcBorders>
            <w:shd w:val="clear" w:color="auto" w:fill="auto"/>
            <w:noWrap/>
            <w:vAlign w:val="bottom"/>
            <w:hideMark/>
          </w:tcPr>
          <w:p w14:paraId="00C4FE51"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NIRL-A</w:t>
            </w:r>
          </w:p>
        </w:tc>
        <w:tc>
          <w:tcPr>
            <w:tcW w:w="810" w:type="dxa"/>
            <w:tcBorders>
              <w:top w:val="nil"/>
              <w:left w:val="nil"/>
              <w:bottom w:val="single" w:sz="4" w:space="0" w:color="auto"/>
              <w:right w:val="single" w:sz="4" w:space="0" w:color="auto"/>
            </w:tcBorders>
            <w:shd w:val="clear" w:color="auto" w:fill="auto"/>
            <w:noWrap/>
            <w:vAlign w:val="bottom"/>
            <w:hideMark/>
          </w:tcPr>
          <w:p w14:paraId="205D17CF"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2E672463"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28.6035</w:t>
            </w:r>
          </w:p>
        </w:tc>
        <w:tc>
          <w:tcPr>
            <w:tcW w:w="1172" w:type="dxa"/>
            <w:tcBorders>
              <w:top w:val="nil"/>
              <w:left w:val="nil"/>
              <w:bottom w:val="single" w:sz="4" w:space="0" w:color="auto"/>
              <w:right w:val="single" w:sz="4" w:space="0" w:color="auto"/>
            </w:tcBorders>
            <w:shd w:val="clear" w:color="auto" w:fill="auto"/>
            <w:noWrap/>
            <w:vAlign w:val="bottom"/>
            <w:hideMark/>
          </w:tcPr>
          <w:p w14:paraId="45EBB42E"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-80.7984</w:t>
            </w:r>
          </w:p>
        </w:tc>
        <w:tc>
          <w:tcPr>
            <w:tcW w:w="1352" w:type="dxa"/>
            <w:tcBorders>
              <w:top w:val="nil"/>
              <w:left w:val="nil"/>
              <w:bottom w:val="single" w:sz="4" w:space="0" w:color="auto"/>
              <w:right w:val="single" w:sz="4" w:space="0" w:color="auto"/>
            </w:tcBorders>
            <w:shd w:val="clear" w:color="auto" w:fill="auto"/>
            <w:noWrap/>
            <w:vAlign w:val="bottom"/>
            <w:hideMark/>
          </w:tcPr>
          <w:p w14:paraId="7E6C3278"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Lagoon 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17D92161"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Monthly</w:t>
            </w:r>
          </w:p>
        </w:tc>
      </w:tr>
      <w:tr w:rsidR="002A5791" w:rsidRPr="00BD10A6" w14:paraId="15FE4612"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25346E80"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SJRWMD</w:t>
            </w:r>
          </w:p>
        </w:tc>
        <w:tc>
          <w:tcPr>
            <w:tcW w:w="1350" w:type="dxa"/>
            <w:tcBorders>
              <w:top w:val="nil"/>
              <w:left w:val="nil"/>
              <w:bottom w:val="single" w:sz="4" w:space="0" w:color="auto"/>
              <w:right w:val="single" w:sz="4" w:space="0" w:color="auto"/>
            </w:tcBorders>
            <w:shd w:val="clear" w:color="auto" w:fill="auto"/>
            <w:noWrap/>
            <w:vAlign w:val="bottom"/>
            <w:hideMark/>
          </w:tcPr>
          <w:p w14:paraId="677FDCC5"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IRLI09E</w:t>
            </w:r>
          </w:p>
        </w:tc>
        <w:tc>
          <w:tcPr>
            <w:tcW w:w="1350" w:type="dxa"/>
            <w:tcBorders>
              <w:top w:val="nil"/>
              <w:left w:val="nil"/>
              <w:bottom w:val="single" w:sz="4" w:space="0" w:color="auto"/>
              <w:right w:val="single" w:sz="4" w:space="0" w:color="auto"/>
            </w:tcBorders>
            <w:shd w:val="clear" w:color="auto" w:fill="auto"/>
            <w:noWrap/>
            <w:vAlign w:val="bottom"/>
            <w:hideMark/>
          </w:tcPr>
          <w:p w14:paraId="2F455B37"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NIRL-A</w:t>
            </w:r>
          </w:p>
        </w:tc>
        <w:tc>
          <w:tcPr>
            <w:tcW w:w="810" w:type="dxa"/>
            <w:tcBorders>
              <w:top w:val="nil"/>
              <w:left w:val="nil"/>
              <w:bottom w:val="single" w:sz="4" w:space="0" w:color="auto"/>
              <w:right w:val="single" w:sz="4" w:space="0" w:color="auto"/>
            </w:tcBorders>
            <w:shd w:val="clear" w:color="auto" w:fill="auto"/>
            <w:noWrap/>
            <w:vAlign w:val="bottom"/>
            <w:hideMark/>
          </w:tcPr>
          <w:p w14:paraId="12C92B2B"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4A89D076"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28.5564</w:t>
            </w:r>
          </w:p>
        </w:tc>
        <w:tc>
          <w:tcPr>
            <w:tcW w:w="1172" w:type="dxa"/>
            <w:tcBorders>
              <w:top w:val="nil"/>
              <w:left w:val="nil"/>
              <w:bottom w:val="single" w:sz="4" w:space="0" w:color="auto"/>
              <w:right w:val="single" w:sz="4" w:space="0" w:color="auto"/>
            </w:tcBorders>
            <w:shd w:val="clear" w:color="auto" w:fill="auto"/>
            <w:noWrap/>
            <w:vAlign w:val="bottom"/>
            <w:hideMark/>
          </w:tcPr>
          <w:p w14:paraId="240F0F6B"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-80.7416</w:t>
            </w:r>
          </w:p>
        </w:tc>
        <w:tc>
          <w:tcPr>
            <w:tcW w:w="1352" w:type="dxa"/>
            <w:tcBorders>
              <w:top w:val="nil"/>
              <w:left w:val="nil"/>
              <w:bottom w:val="single" w:sz="4" w:space="0" w:color="auto"/>
              <w:right w:val="single" w:sz="4" w:space="0" w:color="auto"/>
            </w:tcBorders>
            <w:shd w:val="clear" w:color="auto" w:fill="auto"/>
            <w:noWrap/>
            <w:vAlign w:val="bottom"/>
            <w:hideMark/>
          </w:tcPr>
          <w:p w14:paraId="70CF3976"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Lagoon 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58DC498B"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Monthly</w:t>
            </w:r>
          </w:p>
        </w:tc>
      </w:tr>
      <w:tr w:rsidR="002A5791" w:rsidRPr="00BD10A6" w14:paraId="5449D1E8"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56D2DB95"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USGS</w:t>
            </w:r>
          </w:p>
        </w:tc>
        <w:tc>
          <w:tcPr>
            <w:tcW w:w="1350" w:type="dxa"/>
            <w:tcBorders>
              <w:top w:val="nil"/>
              <w:left w:val="nil"/>
              <w:bottom w:val="single" w:sz="4" w:space="0" w:color="auto"/>
              <w:right w:val="single" w:sz="4" w:space="0" w:color="auto"/>
            </w:tcBorders>
            <w:shd w:val="clear" w:color="auto" w:fill="auto"/>
            <w:noWrap/>
            <w:vAlign w:val="bottom"/>
            <w:hideMark/>
          </w:tcPr>
          <w:p w14:paraId="723EC20F"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02248380</w:t>
            </w:r>
          </w:p>
        </w:tc>
        <w:tc>
          <w:tcPr>
            <w:tcW w:w="1350" w:type="dxa"/>
            <w:tcBorders>
              <w:top w:val="nil"/>
              <w:left w:val="nil"/>
              <w:bottom w:val="single" w:sz="4" w:space="0" w:color="auto"/>
              <w:right w:val="single" w:sz="4" w:space="0" w:color="auto"/>
            </w:tcBorders>
            <w:shd w:val="clear" w:color="auto" w:fill="auto"/>
            <w:noWrap/>
            <w:vAlign w:val="bottom"/>
            <w:hideMark/>
          </w:tcPr>
          <w:p w14:paraId="6CA7BEF8"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NIRL-A</w:t>
            </w:r>
          </w:p>
        </w:tc>
        <w:tc>
          <w:tcPr>
            <w:tcW w:w="810" w:type="dxa"/>
            <w:tcBorders>
              <w:top w:val="nil"/>
              <w:left w:val="nil"/>
              <w:bottom w:val="single" w:sz="4" w:space="0" w:color="auto"/>
              <w:right w:val="single" w:sz="4" w:space="0" w:color="auto"/>
            </w:tcBorders>
            <w:shd w:val="clear" w:color="auto" w:fill="auto"/>
            <w:noWrap/>
            <w:vAlign w:val="bottom"/>
            <w:hideMark/>
          </w:tcPr>
          <w:p w14:paraId="7A56244E"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55BBBA0C"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28.7362</w:t>
            </w:r>
          </w:p>
        </w:tc>
        <w:tc>
          <w:tcPr>
            <w:tcW w:w="1172" w:type="dxa"/>
            <w:tcBorders>
              <w:top w:val="nil"/>
              <w:left w:val="nil"/>
              <w:bottom w:val="single" w:sz="4" w:space="0" w:color="auto"/>
              <w:right w:val="single" w:sz="4" w:space="0" w:color="auto"/>
            </w:tcBorders>
            <w:shd w:val="clear" w:color="auto" w:fill="auto"/>
            <w:noWrap/>
            <w:vAlign w:val="bottom"/>
            <w:hideMark/>
          </w:tcPr>
          <w:p w14:paraId="1DDD45FD"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-80.7546</w:t>
            </w:r>
          </w:p>
        </w:tc>
        <w:tc>
          <w:tcPr>
            <w:tcW w:w="1352" w:type="dxa"/>
            <w:tcBorders>
              <w:top w:val="nil"/>
              <w:left w:val="nil"/>
              <w:bottom w:val="single" w:sz="4" w:space="0" w:color="auto"/>
              <w:right w:val="single" w:sz="4" w:space="0" w:color="auto"/>
            </w:tcBorders>
            <w:shd w:val="clear" w:color="auto" w:fill="auto"/>
            <w:noWrap/>
            <w:vAlign w:val="bottom"/>
            <w:hideMark/>
          </w:tcPr>
          <w:p w14:paraId="4CD2B667"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Flow</w:t>
            </w:r>
          </w:p>
        </w:tc>
        <w:tc>
          <w:tcPr>
            <w:tcW w:w="1251" w:type="dxa"/>
            <w:tcBorders>
              <w:top w:val="nil"/>
              <w:left w:val="nil"/>
              <w:bottom w:val="single" w:sz="4" w:space="0" w:color="auto"/>
              <w:right w:val="single" w:sz="4" w:space="0" w:color="auto"/>
            </w:tcBorders>
            <w:shd w:val="clear" w:color="auto" w:fill="auto"/>
            <w:noWrap/>
            <w:vAlign w:val="bottom"/>
            <w:hideMark/>
          </w:tcPr>
          <w:p w14:paraId="4AAC6FCC"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Continuous</w:t>
            </w:r>
          </w:p>
        </w:tc>
      </w:tr>
      <w:tr w:rsidR="002A5791" w:rsidRPr="00BD10A6" w14:paraId="156AED9C"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2F06813B"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Volusia County</w:t>
            </w:r>
          </w:p>
        </w:tc>
        <w:tc>
          <w:tcPr>
            <w:tcW w:w="1350" w:type="dxa"/>
            <w:tcBorders>
              <w:top w:val="nil"/>
              <w:left w:val="nil"/>
              <w:bottom w:val="single" w:sz="4" w:space="0" w:color="auto"/>
              <w:right w:val="single" w:sz="4" w:space="0" w:color="auto"/>
            </w:tcBorders>
            <w:shd w:val="clear" w:color="auto" w:fill="auto"/>
            <w:noWrap/>
            <w:vAlign w:val="bottom"/>
            <w:hideMark/>
          </w:tcPr>
          <w:p w14:paraId="27988702"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ODIX</w:t>
            </w:r>
          </w:p>
        </w:tc>
        <w:tc>
          <w:tcPr>
            <w:tcW w:w="1350" w:type="dxa"/>
            <w:tcBorders>
              <w:top w:val="nil"/>
              <w:left w:val="nil"/>
              <w:bottom w:val="single" w:sz="4" w:space="0" w:color="auto"/>
              <w:right w:val="single" w:sz="4" w:space="0" w:color="auto"/>
            </w:tcBorders>
            <w:shd w:val="clear" w:color="auto" w:fill="auto"/>
            <w:noWrap/>
            <w:vAlign w:val="bottom"/>
            <w:hideMark/>
          </w:tcPr>
          <w:p w14:paraId="218011A6"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NIRL-A</w:t>
            </w:r>
          </w:p>
        </w:tc>
        <w:tc>
          <w:tcPr>
            <w:tcW w:w="810" w:type="dxa"/>
            <w:tcBorders>
              <w:top w:val="nil"/>
              <w:left w:val="nil"/>
              <w:bottom w:val="single" w:sz="4" w:space="0" w:color="auto"/>
              <w:right w:val="single" w:sz="4" w:space="0" w:color="auto"/>
            </w:tcBorders>
            <w:shd w:val="clear" w:color="auto" w:fill="auto"/>
            <w:noWrap/>
            <w:vAlign w:val="bottom"/>
            <w:hideMark/>
          </w:tcPr>
          <w:p w14:paraId="4931D071"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17164F4D"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28.8051</w:t>
            </w:r>
          </w:p>
        </w:tc>
        <w:tc>
          <w:tcPr>
            <w:tcW w:w="1172" w:type="dxa"/>
            <w:tcBorders>
              <w:top w:val="nil"/>
              <w:left w:val="nil"/>
              <w:bottom w:val="single" w:sz="4" w:space="0" w:color="auto"/>
              <w:right w:val="single" w:sz="4" w:space="0" w:color="auto"/>
            </w:tcBorders>
            <w:shd w:val="clear" w:color="auto" w:fill="auto"/>
            <w:noWrap/>
            <w:vAlign w:val="bottom"/>
            <w:hideMark/>
          </w:tcPr>
          <w:p w14:paraId="4DED050E"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-80.8604</w:t>
            </w:r>
          </w:p>
        </w:tc>
        <w:tc>
          <w:tcPr>
            <w:tcW w:w="1352" w:type="dxa"/>
            <w:tcBorders>
              <w:top w:val="nil"/>
              <w:left w:val="nil"/>
              <w:bottom w:val="single" w:sz="4" w:space="0" w:color="auto"/>
              <w:right w:val="single" w:sz="4" w:space="0" w:color="auto"/>
            </w:tcBorders>
            <w:shd w:val="clear" w:color="auto" w:fill="auto"/>
            <w:noWrap/>
            <w:vAlign w:val="bottom"/>
            <w:hideMark/>
          </w:tcPr>
          <w:p w14:paraId="18E7B9E3"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0CD2FE1A"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Bi-monthly</w:t>
            </w:r>
          </w:p>
        </w:tc>
      </w:tr>
      <w:tr w:rsidR="002A5791" w:rsidRPr="00BD10A6" w14:paraId="5D15DB17"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422A3C0F"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Volusia County</w:t>
            </w:r>
          </w:p>
        </w:tc>
        <w:tc>
          <w:tcPr>
            <w:tcW w:w="1350" w:type="dxa"/>
            <w:tcBorders>
              <w:top w:val="nil"/>
              <w:left w:val="nil"/>
              <w:bottom w:val="single" w:sz="4" w:space="0" w:color="auto"/>
              <w:right w:val="single" w:sz="4" w:space="0" w:color="auto"/>
            </w:tcBorders>
            <w:shd w:val="clear" w:color="auto" w:fill="auto"/>
            <w:noWrap/>
            <w:vAlign w:val="bottom"/>
            <w:hideMark/>
          </w:tcPr>
          <w:p w14:paraId="694EE2BD"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TC1/IRLTBC</w:t>
            </w:r>
          </w:p>
        </w:tc>
        <w:tc>
          <w:tcPr>
            <w:tcW w:w="1350" w:type="dxa"/>
            <w:tcBorders>
              <w:top w:val="nil"/>
              <w:left w:val="nil"/>
              <w:bottom w:val="single" w:sz="4" w:space="0" w:color="auto"/>
              <w:right w:val="single" w:sz="4" w:space="0" w:color="auto"/>
            </w:tcBorders>
            <w:shd w:val="clear" w:color="auto" w:fill="auto"/>
            <w:noWrap/>
            <w:vAlign w:val="bottom"/>
            <w:hideMark/>
          </w:tcPr>
          <w:p w14:paraId="125D5DF4"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NIRL-A</w:t>
            </w:r>
          </w:p>
        </w:tc>
        <w:tc>
          <w:tcPr>
            <w:tcW w:w="810" w:type="dxa"/>
            <w:tcBorders>
              <w:top w:val="nil"/>
              <w:left w:val="nil"/>
              <w:bottom w:val="single" w:sz="4" w:space="0" w:color="auto"/>
              <w:right w:val="single" w:sz="4" w:space="0" w:color="auto"/>
            </w:tcBorders>
            <w:shd w:val="clear" w:color="auto" w:fill="auto"/>
            <w:noWrap/>
            <w:vAlign w:val="bottom"/>
            <w:hideMark/>
          </w:tcPr>
          <w:p w14:paraId="22EA25B2"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0BB4DF28"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28.8209</w:t>
            </w:r>
          </w:p>
        </w:tc>
        <w:tc>
          <w:tcPr>
            <w:tcW w:w="1172" w:type="dxa"/>
            <w:tcBorders>
              <w:top w:val="nil"/>
              <w:left w:val="nil"/>
              <w:bottom w:val="single" w:sz="4" w:space="0" w:color="auto"/>
              <w:right w:val="single" w:sz="4" w:space="0" w:color="auto"/>
            </w:tcBorders>
            <w:shd w:val="clear" w:color="auto" w:fill="auto"/>
            <w:noWrap/>
            <w:vAlign w:val="bottom"/>
            <w:hideMark/>
          </w:tcPr>
          <w:p w14:paraId="34E1AB91"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-80.8601</w:t>
            </w:r>
          </w:p>
        </w:tc>
        <w:tc>
          <w:tcPr>
            <w:tcW w:w="1352" w:type="dxa"/>
            <w:tcBorders>
              <w:top w:val="nil"/>
              <w:left w:val="nil"/>
              <w:bottom w:val="single" w:sz="4" w:space="0" w:color="auto"/>
              <w:right w:val="single" w:sz="4" w:space="0" w:color="auto"/>
            </w:tcBorders>
            <w:shd w:val="clear" w:color="auto" w:fill="auto"/>
            <w:noWrap/>
            <w:vAlign w:val="bottom"/>
            <w:hideMark/>
          </w:tcPr>
          <w:p w14:paraId="507FAFB1"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4D840738"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Monthly</w:t>
            </w:r>
          </w:p>
        </w:tc>
      </w:tr>
      <w:tr w:rsidR="002A5791" w:rsidRPr="00BD10A6" w14:paraId="5314A13B"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2A82E2D7"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Volusia County</w:t>
            </w:r>
          </w:p>
        </w:tc>
        <w:tc>
          <w:tcPr>
            <w:tcW w:w="1350" w:type="dxa"/>
            <w:tcBorders>
              <w:top w:val="nil"/>
              <w:left w:val="nil"/>
              <w:bottom w:val="single" w:sz="4" w:space="0" w:color="auto"/>
              <w:right w:val="single" w:sz="4" w:space="0" w:color="auto"/>
            </w:tcBorders>
            <w:shd w:val="clear" w:color="auto" w:fill="auto"/>
            <w:noWrap/>
            <w:vAlign w:val="bottom"/>
            <w:hideMark/>
          </w:tcPr>
          <w:p w14:paraId="7A4511A4"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TC2</w:t>
            </w:r>
          </w:p>
        </w:tc>
        <w:tc>
          <w:tcPr>
            <w:tcW w:w="1350" w:type="dxa"/>
            <w:tcBorders>
              <w:top w:val="nil"/>
              <w:left w:val="nil"/>
              <w:bottom w:val="single" w:sz="4" w:space="0" w:color="auto"/>
              <w:right w:val="single" w:sz="4" w:space="0" w:color="auto"/>
            </w:tcBorders>
            <w:shd w:val="clear" w:color="auto" w:fill="auto"/>
            <w:noWrap/>
            <w:vAlign w:val="bottom"/>
            <w:hideMark/>
          </w:tcPr>
          <w:p w14:paraId="46C2C1FB"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NIRL-A</w:t>
            </w:r>
          </w:p>
        </w:tc>
        <w:tc>
          <w:tcPr>
            <w:tcW w:w="810" w:type="dxa"/>
            <w:tcBorders>
              <w:top w:val="nil"/>
              <w:left w:val="nil"/>
              <w:bottom w:val="single" w:sz="4" w:space="0" w:color="auto"/>
              <w:right w:val="single" w:sz="4" w:space="0" w:color="auto"/>
            </w:tcBorders>
            <w:shd w:val="clear" w:color="auto" w:fill="auto"/>
            <w:noWrap/>
            <w:vAlign w:val="bottom"/>
            <w:hideMark/>
          </w:tcPr>
          <w:p w14:paraId="38988856"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4EB31007"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28.8252</w:t>
            </w:r>
          </w:p>
        </w:tc>
        <w:tc>
          <w:tcPr>
            <w:tcW w:w="1172" w:type="dxa"/>
            <w:tcBorders>
              <w:top w:val="nil"/>
              <w:left w:val="nil"/>
              <w:bottom w:val="single" w:sz="4" w:space="0" w:color="auto"/>
              <w:right w:val="single" w:sz="4" w:space="0" w:color="auto"/>
            </w:tcBorders>
            <w:shd w:val="clear" w:color="auto" w:fill="auto"/>
            <w:noWrap/>
            <w:vAlign w:val="bottom"/>
            <w:hideMark/>
          </w:tcPr>
          <w:p w14:paraId="467AACA4"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-80.8572</w:t>
            </w:r>
          </w:p>
        </w:tc>
        <w:tc>
          <w:tcPr>
            <w:tcW w:w="1352" w:type="dxa"/>
            <w:tcBorders>
              <w:top w:val="nil"/>
              <w:left w:val="nil"/>
              <w:bottom w:val="single" w:sz="4" w:space="0" w:color="auto"/>
              <w:right w:val="single" w:sz="4" w:space="0" w:color="auto"/>
            </w:tcBorders>
            <w:shd w:val="clear" w:color="auto" w:fill="auto"/>
            <w:noWrap/>
            <w:vAlign w:val="bottom"/>
            <w:hideMark/>
          </w:tcPr>
          <w:p w14:paraId="6B3DF015"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42305408"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Bi-monthly</w:t>
            </w:r>
          </w:p>
        </w:tc>
      </w:tr>
      <w:tr w:rsidR="002A5791" w:rsidRPr="00BD10A6" w14:paraId="02B98C6C"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597A249B"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SJRWMD</w:t>
            </w:r>
          </w:p>
        </w:tc>
        <w:tc>
          <w:tcPr>
            <w:tcW w:w="1350" w:type="dxa"/>
            <w:tcBorders>
              <w:top w:val="nil"/>
              <w:left w:val="nil"/>
              <w:bottom w:val="single" w:sz="4" w:space="0" w:color="auto"/>
              <w:right w:val="single" w:sz="4" w:space="0" w:color="auto"/>
            </w:tcBorders>
            <w:shd w:val="clear" w:color="auto" w:fill="auto"/>
            <w:noWrap/>
            <w:vAlign w:val="bottom"/>
            <w:hideMark/>
          </w:tcPr>
          <w:p w14:paraId="3DDB35C9"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IRLEGU</w:t>
            </w:r>
          </w:p>
        </w:tc>
        <w:tc>
          <w:tcPr>
            <w:tcW w:w="1350" w:type="dxa"/>
            <w:tcBorders>
              <w:top w:val="nil"/>
              <w:left w:val="nil"/>
              <w:bottom w:val="single" w:sz="4" w:space="0" w:color="auto"/>
              <w:right w:val="single" w:sz="4" w:space="0" w:color="auto"/>
            </w:tcBorders>
            <w:shd w:val="clear" w:color="auto" w:fill="auto"/>
            <w:noWrap/>
            <w:vAlign w:val="bottom"/>
            <w:hideMark/>
          </w:tcPr>
          <w:p w14:paraId="1DAB33F1"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NIRL-B</w:t>
            </w:r>
          </w:p>
        </w:tc>
        <w:tc>
          <w:tcPr>
            <w:tcW w:w="810" w:type="dxa"/>
            <w:tcBorders>
              <w:top w:val="nil"/>
              <w:left w:val="nil"/>
              <w:bottom w:val="single" w:sz="4" w:space="0" w:color="auto"/>
              <w:right w:val="single" w:sz="4" w:space="0" w:color="auto"/>
            </w:tcBorders>
            <w:shd w:val="clear" w:color="auto" w:fill="auto"/>
            <w:noWrap/>
            <w:vAlign w:val="bottom"/>
            <w:hideMark/>
          </w:tcPr>
          <w:p w14:paraId="4BF468CF"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7A65B93E"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28.1243</w:t>
            </w:r>
          </w:p>
        </w:tc>
        <w:tc>
          <w:tcPr>
            <w:tcW w:w="1172" w:type="dxa"/>
            <w:tcBorders>
              <w:top w:val="nil"/>
              <w:left w:val="nil"/>
              <w:bottom w:val="single" w:sz="4" w:space="0" w:color="auto"/>
              <w:right w:val="single" w:sz="4" w:space="0" w:color="auto"/>
            </w:tcBorders>
            <w:shd w:val="clear" w:color="auto" w:fill="auto"/>
            <w:noWrap/>
            <w:vAlign w:val="bottom"/>
            <w:hideMark/>
          </w:tcPr>
          <w:p w14:paraId="2B807CE1"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-80.6308</w:t>
            </w:r>
          </w:p>
        </w:tc>
        <w:tc>
          <w:tcPr>
            <w:tcW w:w="1352" w:type="dxa"/>
            <w:tcBorders>
              <w:top w:val="nil"/>
              <w:left w:val="nil"/>
              <w:bottom w:val="single" w:sz="4" w:space="0" w:color="auto"/>
              <w:right w:val="single" w:sz="4" w:space="0" w:color="auto"/>
            </w:tcBorders>
            <w:shd w:val="clear" w:color="auto" w:fill="auto"/>
            <w:noWrap/>
            <w:vAlign w:val="bottom"/>
            <w:hideMark/>
          </w:tcPr>
          <w:p w14:paraId="7B43993A"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6B5A4FF0"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Monthly</w:t>
            </w:r>
          </w:p>
        </w:tc>
      </w:tr>
      <w:tr w:rsidR="002A5791" w:rsidRPr="00BD10A6" w14:paraId="4C0DBE8E"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234CC3CF"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SJRWMD</w:t>
            </w:r>
          </w:p>
        </w:tc>
        <w:tc>
          <w:tcPr>
            <w:tcW w:w="1350" w:type="dxa"/>
            <w:tcBorders>
              <w:top w:val="nil"/>
              <w:left w:val="nil"/>
              <w:bottom w:val="single" w:sz="4" w:space="0" w:color="auto"/>
              <w:right w:val="single" w:sz="4" w:space="0" w:color="auto"/>
            </w:tcBorders>
            <w:shd w:val="clear" w:color="auto" w:fill="auto"/>
            <w:noWrap/>
            <w:vAlign w:val="bottom"/>
            <w:hideMark/>
          </w:tcPr>
          <w:p w14:paraId="530094FF"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IRLI10</w:t>
            </w:r>
          </w:p>
        </w:tc>
        <w:tc>
          <w:tcPr>
            <w:tcW w:w="1350" w:type="dxa"/>
            <w:tcBorders>
              <w:top w:val="nil"/>
              <w:left w:val="nil"/>
              <w:bottom w:val="single" w:sz="4" w:space="0" w:color="auto"/>
              <w:right w:val="single" w:sz="4" w:space="0" w:color="auto"/>
            </w:tcBorders>
            <w:shd w:val="clear" w:color="auto" w:fill="auto"/>
            <w:noWrap/>
            <w:vAlign w:val="bottom"/>
            <w:hideMark/>
          </w:tcPr>
          <w:p w14:paraId="5860DF57"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NIRL-B</w:t>
            </w:r>
          </w:p>
        </w:tc>
        <w:tc>
          <w:tcPr>
            <w:tcW w:w="810" w:type="dxa"/>
            <w:tcBorders>
              <w:top w:val="nil"/>
              <w:left w:val="nil"/>
              <w:bottom w:val="single" w:sz="4" w:space="0" w:color="auto"/>
              <w:right w:val="single" w:sz="4" w:space="0" w:color="auto"/>
            </w:tcBorders>
            <w:shd w:val="clear" w:color="auto" w:fill="auto"/>
            <w:noWrap/>
            <w:vAlign w:val="bottom"/>
            <w:hideMark/>
          </w:tcPr>
          <w:p w14:paraId="1764EB3E"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15A16CD0"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28.5012</w:t>
            </w:r>
          </w:p>
        </w:tc>
        <w:tc>
          <w:tcPr>
            <w:tcW w:w="1172" w:type="dxa"/>
            <w:tcBorders>
              <w:top w:val="nil"/>
              <w:left w:val="nil"/>
              <w:bottom w:val="single" w:sz="4" w:space="0" w:color="auto"/>
              <w:right w:val="single" w:sz="4" w:space="0" w:color="auto"/>
            </w:tcBorders>
            <w:shd w:val="clear" w:color="auto" w:fill="auto"/>
            <w:noWrap/>
            <w:vAlign w:val="bottom"/>
            <w:hideMark/>
          </w:tcPr>
          <w:p w14:paraId="6CD81F62"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-80.7686</w:t>
            </w:r>
          </w:p>
        </w:tc>
        <w:tc>
          <w:tcPr>
            <w:tcW w:w="1352" w:type="dxa"/>
            <w:tcBorders>
              <w:top w:val="nil"/>
              <w:left w:val="nil"/>
              <w:bottom w:val="single" w:sz="4" w:space="0" w:color="auto"/>
              <w:right w:val="single" w:sz="4" w:space="0" w:color="auto"/>
            </w:tcBorders>
            <w:shd w:val="clear" w:color="auto" w:fill="auto"/>
            <w:noWrap/>
            <w:vAlign w:val="bottom"/>
            <w:hideMark/>
          </w:tcPr>
          <w:p w14:paraId="3A38D8CE"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Lagoon 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31E22763"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Monthly</w:t>
            </w:r>
          </w:p>
        </w:tc>
      </w:tr>
      <w:tr w:rsidR="002A5791" w:rsidRPr="00BD10A6" w14:paraId="1B793BE8"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46543343"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SJRWMD</w:t>
            </w:r>
          </w:p>
        </w:tc>
        <w:tc>
          <w:tcPr>
            <w:tcW w:w="1350" w:type="dxa"/>
            <w:tcBorders>
              <w:top w:val="nil"/>
              <w:left w:val="nil"/>
              <w:bottom w:val="single" w:sz="4" w:space="0" w:color="auto"/>
              <w:right w:val="single" w:sz="4" w:space="0" w:color="auto"/>
            </w:tcBorders>
            <w:shd w:val="clear" w:color="auto" w:fill="auto"/>
            <w:noWrap/>
            <w:vAlign w:val="bottom"/>
            <w:hideMark/>
          </w:tcPr>
          <w:p w14:paraId="273F7DD6"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IRLI13</w:t>
            </w:r>
          </w:p>
        </w:tc>
        <w:tc>
          <w:tcPr>
            <w:tcW w:w="1350" w:type="dxa"/>
            <w:tcBorders>
              <w:top w:val="nil"/>
              <w:left w:val="nil"/>
              <w:bottom w:val="single" w:sz="4" w:space="0" w:color="auto"/>
              <w:right w:val="single" w:sz="4" w:space="0" w:color="auto"/>
            </w:tcBorders>
            <w:shd w:val="clear" w:color="auto" w:fill="auto"/>
            <w:noWrap/>
            <w:vAlign w:val="bottom"/>
            <w:hideMark/>
          </w:tcPr>
          <w:p w14:paraId="49CB552E"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NIRL-B</w:t>
            </w:r>
          </w:p>
        </w:tc>
        <w:tc>
          <w:tcPr>
            <w:tcW w:w="810" w:type="dxa"/>
            <w:tcBorders>
              <w:top w:val="nil"/>
              <w:left w:val="nil"/>
              <w:bottom w:val="single" w:sz="4" w:space="0" w:color="auto"/>
              <w:right w:val="single" w:sz="4" w:space="0" w:color="auto"/>
            </w:tcBorders>
            <w:shd w:val="clear" w:color="auto" w:fill="auto"/>
            <w:noWrap/>
            <w:vAlign w:val="bottom"/>
            <w:hideMark/>
          </w:tcPr>
          <w:p w14:paraId="188FA8C5"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5A4A45FC"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28.3931</w:t>
            </w:r>
          </w:p>
        </w:tc>
        <w:tc>
          <w:tcPr>
            <w:tcW w:w="1172" w:type="dxa"/>
            <w:tcBorders>
              <w:top w:val="nil"/>
              <w:left w:val="nil"/>
              <w:bottom w:val="single" w:sz="4" w:space="0" w:color="auto"/>
              <w:right w:val="single" w:sz="4" w:space="0" w:color="auto"/>
            </w:tcBorders>
            <w:shd w:val="clear" w:color="auto" w:fill="auto"/>
            <w:noWrap/>
            <w:vAlign w:val="bottom"/>
            <w:hideMark/>
          </w:tcPr>
          <w:p w14:paraId="6E6BCC21"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-80.7359</w:t>
            </w:r>
          </w:p>
        </w:tc>
        <w:tc>
          <w:tcPr>
            <w:tcW w:w="1352" w:type="dxa"/>
            <w:tcBorders>
              <w:top w:val="nil"/>
              <w:left w:val="nil"/>
              <w:bottom w:val="single" w:sz="4" w:space="0" w:color="auto"/>
              <w:right w:val="single" w:sz="4" w:space="0" w:color="auto"/>
            </w:tcBorders>
            <w:shd w:val="clear" w:color="auto" w:fill="auto"/>
            <w:noWrap/>
            <w:vAlign w:val="bottom"/>
            <w:hideMark/>
          </w:tcPr>
          <w:p w14:paraId="38830A4C"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Lagoon 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162EC646"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Monthly</w:t>
            </w:r>
          </w:p>
        </w:tc>
      </w:tr>
      <w:tr w:rsidR="002A5791" w:rsidRPr="00BD10A6" w14:paraId="61DA47F0"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14FBE9E8"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SJRWMD</w:t>
            </w:r>
          </w:p>
        </w:tc>
        <w:tc>
          <w:tcPr>
            <w:tcW w:w="1350" w:type="dxa"/>
            <w:tcBorders>
              <w:top w:val="nil"/>
              <w:left w:val="nil"/>
              <w:bottom w:val="single" w:sz="4" w:space="0" w:color="auto"/>
              <w:right w:val="single" w:sz="4" w:space="0" w:color="auto"/>
            </w:tcBorders>
            <w:shd w:val="clear" w:color="auto" w:fill="auto"/>
            <w:noWrap/>
            <w:vAlign w:val="bottom"/>
            <w:hideMark/>
          </w:tcPr>
          <w:p w14:paraId="1F492CB8"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IRLI15</w:t>
            </w:r>
          </w:p>
        </w:tc>
        <w:tc>
          <w:tcPr>
            <w:tcW w:w="1350" w:type="dxa"/>
            <w:tcBorders>
              <w:top w:val="nil"/>
              <w:left w:val="nil"/>
              <w:bottom w:val="single" w:sz="4" w:space="0" w:color="auto"/>
              <w:right w:val="single" w:sz="4" w:space="0" w:color="auto"/>
            </w:tcBorders>
            <w:shd w:val="clear" w:color="auto" w:fill="auto"/>
            <w:noWrap/>
            <w:vAlign w:val="bottom"/>
            <w:hideMark/>
          </w:tcPr>
          <w:p w14:paraId="5545549A"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NIRL-B</w:t>
            </w:r>
          </w:p>
        </w:tc>
        <w:tc>
          <w:tcPr>
            <w:tcW w:w="810" w:type="dxa"/>
            <w:tcBorders>
              <w:top w:val="nil"/>
              <w:left w:val="nil"/>
              <w:bottom w:val="single" w:sz="4" w:space="0" w:color="auto"/>
              <w:right w:val="single" w:sz="4" w:space="0" w:color="auto"/>
            </w:tcBorders>
            <w:shd w:val="clear" w:color="auto" w:fill="auto"/>
            <w:noWrap/>
            <w:vAlign w:val="bottom"/>
            <w:hideMark/>
          </w:tcPr>
          <w:p w14:paraId="5FCB75E7"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1B771695"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28.3353</w:t>
            </w:r>
          </w:p>
        </w:tc>
        <w:tc>
          <w:tcPr>
            <w:tcW w:w="1172" w:type="dxa"/>
            <w:tcBorders>
              <w:top w:val="nil"/>
              <w:left w:val="nil"/>
              <w:bottom w:val="single" w:sz="4" w:space="0" w:color="auto"/>
              <w:right w:val="single" w:sz="4" w:space="0" w:color="auto"/>
            </w:tcBorders>
            <w:shd w:val="clear" w:color="auto" w:fill="auto"/>
            <w:noWrap/>
            <w:vAlign w:val="bottom"/>
            <w:hideMark/>
          </w:tcPr>
          <w:p w14:paraId="42AA08AD"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-80.7131</w:t>
            </w:r>
          </w:p>
        </w:tc>
        <w:tc>
          <w:tcPr>
            <w:tcW w:w="1352" w:type="dxa"/>
            <w:tcBorders>
              <w:top w:val="nil"/>
              <w:left w:val="nil"/>
              <w:bottom w:val="single" w:sz="4" w:space="0" w:color="auto"/>
              <w:right w:val="single" w:sz="4" w:space="0" w:color="auto"/>
            </w:tcBorders>
            <w:shd w:val="clear" w:color="auto" w:fill="auto"/>
            <w:noWrap/>
            <w:vAlign w:val="bottom"/>
            <w:hideMark/>
          </w:tcPr>
          <w:p w14:paraId="101BB7AE"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Lagoon 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12625818"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Monthly</w:t>
            </w:r>
          </w:p>
        </w:tc>
      </w:tr>
      <w:tr w:rsidR="002A5791" w:rsidRPr="00BD10A6" w14:paraId="3CF6D253"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0E06BD5F"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SJRWMD</w:t>
            </w:r>
          </w:p>
        </w:tc>
        <w:tc>
          <w:tcPr>
            <w:tcW w:w="1350" w:type="dxa"/>
            <w:tcBorders>
              <w:top w:val="nil"/>
              <w:left w:val="nil"/>
              <w:bottom w:val="single" w:sz="4" w:space="0" w:color="auto"/>
              <w:right w:val="single" w:sz="4" w:space="0" w:color="auto"/>
            </w:tcBorders>
            <w:shd w:val="clear" w:color="auto" w:fill="auto"/>
            <w:noWrap/>
            <w:vAlign w:val="bottom"/>
            <w:hideMark/>
          </w:tcPr>
          <w:p w14:paraId="339BB0AA"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IRLI16</w:t>
            </w:r>
          </w:p>
        </w:tc>
        <w:tc>
          <w:tcPr>
            <w:tcW w:w="1350" w:type="dxa"/>
            <w:tcBorders>
              <w:top w:val="nil"/>
              <w:left w:val="nil"/>
              <w:bottom w:val="single" w:sz="4" w:space="0" w:color="auto"/>
              <w:right w:val="single" w:sz="4" w:space="0" w:color="auto"/>
            </w:tcBorders>
            <w:shd w:val="clear" w:color="auto" w:fill="auto"/>
            <w:noWrap/>
            <w:vAlign w:val="bottom"/>
            <w:hideMark/>
          </w:tcPr>
          <w:p w14:paraId="76D54AB6"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NIRL-B</w:t>
            </w:r>
          </w:p>
        </w:tc>
        <w:tc>
          <w:tcPr>
            <w:tcW w:w="810" w:type="dxa"/>
            <w:tcBorders>
              <w:top w:val="nil"/>
              <w:left w:val="nil"/>
              <w:bottom w:val="single" w:sz="4" w:space="0" w:color="auto"/>
              <w:right w:val="single" w:sz="4" w:space="0" w:color="auto"/>
            </w:tcBorders>
            <w:shd w:val="clear" w:color="auto" w:fill="auto"/>
            <w:noWrap/>
            <w:vAlign w:val="bottom"/>
            <w:hideMark/>
          </w:tcPr>
          <w:p w14:paraId="6FA029F7"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6E76E0B0"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28.2778</w:t>
            </w:r>
          </w:p>
        </w:tc>
        <w:tc>
          <w:tcPr>
            <w:tcW w:w="1172" w:type="dxa"/>
            <w:tcBorders>
              <w:top w:val="nil"/>
              <w:left w:val="nil"/>
              <w:bottom w:val="single" w:sz="4" w:space="0" w:color="auto"/>
              <w:right w:val="single" w:sz="4" w:space="0" w:color="auto"/>
            </w:tcBorders>
            <w:shd w:val="clear" w:color="auto" w:fill="auto"/>
            <w:noWrap/>
            <w:vAlign w:val="bottom"/>
            <w:hideMark/>
          </w:tcPr>
          <w:p w14:paraId="6196B8CC"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-80.6767</w:t>
            </w:r>
          </w:p>
        </w:tc>
        <w:tc>
          <w:tcPr>
            <w:tcW w:w="1352" w:type="dxa"/>
            <w:tcBorders>
              <w:top w:val="nil"/>
              <w:left w:val="nil"/>
              <w:bottom w:val="single" w:sz="4" w:space="0" w:color="auto"/>
              <w:right w:val="single" w:sz="4" w:space="0" w:color="auto"/>
            </w:tcBorders>
            <w:shd w:val="clear" w:color="auto" w:fill="auto"/>
            <w:noWrap/>
            <w:vAlign w:val="bottom"/>
            <w:hideMark/>
          </w:tcPr>
          <w:p w14:paraId="6E3C437F"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Lagoon 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18F653BA"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Monthly</w:t>
            </w:r>
          </w:p>
        </w:tc>
      </w:tr>
      <w:tr w:rsidR="002A5791" w:rsidRPr="00BD10A6" w14:paraId="0D59B70D"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63EF8621"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SJRWMD</w:t>
            </w:r>
          </w:p>
        </w:tc>
        <w:tc>
          <w:tcPr>
            <w:tcW w:w="1350" w:type="dxa"/>
            <w:tcBorders>
              <w:top w:val="nil"/>
              <w:left w:val="nil"/>
              <w:bottom w:val="single" w:sz="4" w:space="0" w:color="auto"/>
              <w:right w:val="single" w:sz="4" w:space="0" w:color="auto"/>
            </w:tcBorders>
            <w:shd w:val="clear" w:color="auto" w:fill="auto"/>
            <w:noWrap/>
            <w:vAlign w:val="bottom"/>
            <w:hideMark/>
          </w:tcPr>
          <w:p w14:paraId="76F980DE"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IRLI18</w:t>
            </w:r>
          </w:p>
        </w:tc>
        <w:tc>
          <w:tcPr>
            <w:tcW w:w="1350" w:type="dxa"/>
            <w:tcBorders>
              <w:top w:val="nil"/>
              <w:left w:val="nil"/>
              <w:bottom w:val="single" w:sz="4" w:space="0" w:color="auto"/>
              <w:right w:val="single" w:sz="4" w:space="0" w:color="auto"/>
            </w:tcBorders>
            <w:shd w:val="clear" w:color="auto" w:fill="auto"/>
            <w:noWrap/>
            <w:vAlign w:val="bottom"/>
            <w:hideMark/>
          </w:tcPr>
          <w:p w14:paraId="5CD1BF88"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NIRL-B</w:t>
            </w:r>
          </w:p>
        </w:tc>
        <w:tc>
          <w:tcPr>
            <w:tcW w:w="810" w:type="dxa"/>
            <w:tcBorders>
              <w:top w:val="nil"/>
              <w:left w:val="nil"/>
              <w:bottom w:val="single" w:sz="4" w:space="0" w:color="auto"/>
              <w:right w:val="single" w:sz="4" w:space="0" w:color="auto"/>
            </w:tcBorders>
            <w:shd w:val="clear" w:color="auto" w:fill="auto"/>
            <w:noWrap/>
            <w:vAlign w:val="bottom"/>
            <w:hideMark/>
          </w:tcPr>
          <w:p w14:paraId="75AD9A0C"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1FFBAFCE"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28.1949</w:t>
            </w:r>
          </w:p>
        </w:tc>
        <w:tc>
          <w:tcPr>
            <w:tcW w:w="1172" w:type="dxa"/>
            <w:tcBorders>
              <w:top w:val="nil"/>
              <w:left w:val="nil"/>
              <w:bottom w:val="single" w:sz="4" w:space="0" w:color="auto"/>
              <w:right w:val="single" w:sz="4" w:space="0" w:color="auto"/>
            </w:tcBorders>
            <w:shd w:val="clear" w:color="auto" w:fill="auto"/>
            <w:noWrap/>
            <w:vAlign w:val="bottom"/>
            <w:hideMark/>
          </w:tcPr>
          <w:p w14:paraId="1594259D"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-80.6487</w:t>
            </w:r>
          </w:p>
        </w:tc>
        <w:tc>
          <w:tcPr>
            <w:tcW w:w="1352" w:type="dxa"/>
            <w:tcBorders>
              <w:top w:val="nil"/>
              <w:left w:val="nil"/>
              <w:bottom w:val="single" w:sz="4" w:space="0" w:color="auto"/>
              <w:right w:val="single" w:sz="4" w:space="0" w:color="auto"/>
            </w:tcBorders>
            <w:shd w:val="clear" w:color="auto" w:fill="auto"/>
            <w:noWrap/>
            <w:vAlign w:val="bottom"/>
            <w:hideMark/>
          </w:tcPr>
          <w:p w14:paraId="6F73BF37"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Lagoon 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467B9040"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Monthly</w:t>
            </w:r>
          </w:p>
        </w:tc>
      </w:tr>
      <w:tr w:rsidR="002A5791" w:rsidRPr="00BD10A6" w14:paraId="5CDC8679"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45D0325B"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SJRWMD</w:t>
            </w:r>
          </w:p>
        </w:tc>
        <w:tc>
          <w:tcPr>
            <w:tcW w:w="1350" w:type="dxa"/>
            <w:tcBorders>
              <w:top w:val="nil"/>
              <w:left w:val="nil"/>
              <w:bottom w:val="single" w:sz="4" w:space="0" w:color="auto"/>
              <w:right w:val="single" w:sz="4" w:space="0" w:color="auto"/>
            </w:tcBorders>
            <w:shd w:val="clear" w:color="auto" w:fill="auto"/>
            <w:noWrap/>
            <w:vAlign w:val="bottom"/>
            <w:hideMark/>
          </w:tcPr>
          <w:p w14:paraId="5F28B595"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IRLI21</w:t>
            </w:r>
          </w:p>
        </w:tc>
        <w:tc>
          <w:tcPr>
            <w:tcW w:w="1350" w:type="dxa"/>
            <w:tcBorders>
              <w:top w:val="nil"/>
              <w:left w:val="nil"/>
              <w:bottom w:val="single" w:sz="4" w:space="0" w:color="auto"/>
              <w:right w:val="single" w:sz="4" w:space="0" w:color="auto"/>
            </w:tcBorders>
            <w:shd w:val="clear" w:color="auto" w:fill="auto"/>
            <w:noWrap/>
            <w:vAlign w:val="bottom"/>
            <w:hideMark/>
          </w:tcPr>
          <w:p w14:paraId="37CAFDE1"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NIRL-B</w:t>
            </w:r>
          </w:p>
        </w:tc>
        <w:tc>
          <w:tcPr>
            <w:tcW w:w="810" w:type="dxa"/>
            <w:tcBorders>
              <w:top w:val="nil"/>
              <w:left w:val="nil"/>
              <w:bottom w:val="single" w:sz="4" w:space="0" w:color="auto"/>
              <w:right w:val="single" w:sz="4" w:space="0" w:color="auto"/>
            </w:tcBorders>
            <w:shd w:val="clear" w:color="auto" w:fill="auto"/>
            <w:noWrap/>
            <w:vAlign w:val="bottom"/>
            <w:hideMark/>
          </w:tcPr>
          <w:p w14:paraId="017A7809"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525B95D5"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28.1253</w:t>
            </w:r>
          </w:p>
        </w:tc>
        <w:tc>
          <w:tcPr>
            <w:tcW w:w="1172" w:type="dxa"/>
            <w:tcBorders>
              <w:top w:val="nil"/>
              <w:left w:val="nil"/>
              <w:bottom w:val="single" w:sz="4" w:space="0" w:color="auto"/>
              <w:right w:val="single" w:sz="4" w:space="0" w:color="auto"/>
            </w:tcBorders>
            <w:shd w:val="clear" w:color="auto" w:fill="auto"/>
            <w:noWrap/>
            <w:vAlign w:val="bottom"/>
            <w:hideMark/>
          </w:tcPr>
          <w:p w14:paraId="1E8FFECC"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-80.6165</w:t>
            </w:r>
          </w:p>
        </w:tc>
        <w:tc>
          <w:tcPr>
            <w:tcW w:w="1352" w:type="dxa"/>
            <w:tcBorders>
              <w:top w:val="nil"/>
              <w:left w:val="nil"/>
              <w:bottom w:val="single" w:sz="4" w:space="0" w:color="auto"/>
              <w:right w:val="single" w:sz="4" w:space="0" w:color="auto"/>
            </w:tcBorders>
            <w:shd w:val="clear" w:color="auto" w:fill="auto"/>
            <w:noWrap/>
            <w:vAlign w:val="bottom"/>
            <w:hideMark/>
          </w:tcPr>
          <w:p w14:paraId="152EA510"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Lagoon 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397F1F32"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Monthly</w:t>
            </w:r>
          </w:p>
        </w:tc>
      </w:tr>
      <w:tr w:rsidR="002A5791" w:rsidRPr="00BD10A6" w14:paraId="31AF2BCB"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131FAA79"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SJRWMD</w:t>
            </w:r>
          </w:p>
        </w:tc>
        <w:tc>
          <w:tcPr>
            <w:tcW w:w="1350" w:type="dxa"/>
            <w:tcBorders>
              <w:top w:val="nil"/>
              <w:left w:val="nil"/>
              <w:bottom w:val="single" w:sz="4" w:space="0" w:color="auto"/>
              <w:right w:val="single" w:sz="4" w:space="0" w:color="auto"/>
            </w:tcBorders>
            <w:shd w:val="clear" w:color="auto" w:fill="auto"/>
            <w:noWrap/>
            <w:vAlign w:val="bottom"/>
            <w:hideMark/>
          </w:tcPr>
          <w:p w14:paraId="40DBA79E"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IRLUPEGWR</w:t>
            </w:r>
          </w:p>
        </w:tc>
        <w:tc>
          <w:tcPr>
            <w:tcW w:w="1350" w:type="dxa"/>
            <w:tcBorders>
              <w:top w:val="nil"/>
              <w:left w:val="nil"/>
              <w:bottom w:val="single" w:sz="4" w:space="0" w:color="auto"/>
              <w:right w:val="single" w:sz="4" w:space="0" w:color="auto"/>
            </w:tcBorders>
            <w:shd w:val="clear" w:color="auto" w:fill="auto"/>
            <w:noWrap/>
            <w:vAlign w:val="bottom"/>
            <w:hideMark/>
          </w:tcPr>
          <w:p w14:paraId="45BA3310"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NIRL-B</w:t>
            </w:r>
          </w:p>
        </w:tc>
        <w:tc>
          <w:tcPr>
            <w:tcW w:w="810" w:type="dxa"/>
            <w:tcBorders>
              <w:top w:val="nil"/>
              <w:left w:val="nil"/>
              <w:bottom w:val="single" w:sz="4" w:space="0" w:color="auto"/>
              <w:right w:val="single" w:sz="4" w:space="0" w:color="auto"/>
            </w:tcBorders>
            <w:shd w:val="clear" w:color="auto" w:fill="auto"/>
            <w:noWrap/>
            <w:vAlign w:val="bottom"/>
            <w:hideMark/>
          </w:tcPr>
          <w:p w14:paraId="1345BE6A"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75A69490"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28.1270</w:t>
            </w:r>
          </w:p>
        </w:tc>
        <w:tc>
          <w:tcPr>
            <w:tcW w:w="1172" w:type="dxa"/>
            <w:tcBorders>
              <w:top w:val="nil"/>
              <w:left w:val="nil"/>
              <w:bottom w:val="single" w:sz="4" w:space="0" w:color="auto"/>
              <w:right w:val="single" w:sz="4" w:space="0" w:color="auto"/>
            </w:tcBorders>
            <w:shd w:val="clear" w:color="auto" w:fill="auto"/>
            <w:noWrap/>
            <w:vAlign w:val="bottom"/>
            <w:hideMark/>
          </w:tcPr>
          <w:p w14:paraId="129E5106"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-80.6454</w:t>
            </w:r>
          </w:p>
        </w:tc>
        <w:tc>
          <w:tcPr>
            <w:tcW w:w="1352" w:type="dxa"/>
            <w:tcBorders>
              <w:top w:val="nil"/>
              <w:left w:val="nil"/>
              <w:bottom w:val="single" w:sz="4" w:space="0" w:color="auto"/>
              <w:right w:val="single" w:sz="4" w:space="0" w:color="auto"/>
            </w:tcBorders>
            <w:shd w:val="clear" w:color="auto" w:fill="auto"/>
            <w:noWrap/>
            <w:vAlign w:val="bottom"/>
            <w:hideMark/>
          </w:tcPr>
          <w:p w14:paraId="5E971EA2"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667F0351"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Monthly</w:t>
            </w:r>
          </w:p>
        </w:tc>
      </w:tr>
      <w:tr w:rsidR="002A5791" w:rsidRPr="00BD10A6" w14:paraId="162E26E7"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282FDDC5"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SJRWMD</w:t>
            </w:r>
          </w:p>
        </w:tc>
        <w:tc>
          <w:tcPr>
            <w:tcW w:w="1350" w:type="dxa"/>
            <w:tcBorders>
              <w:top w:val="nil"/>
              <w:left w:val="nil"/>
              <w:bottom w:val="single" w:sz="4" w:space="0" w:color="auto"/>
              <w:right w:val="single" w:sz="4" w:space="0" w:color="auto"/>
            </w:tcBorders>
            <w:shd w:val="clear" w:color="auto" w:fill="auto"/>
            <w:noWrap/>
            <w:vAlign w:val="bottom"/>
            <w:hideMark/>
          </w:tcPr>
          <w:p w14:paraId="4F5B8BEF"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IRLUPHC</w:t>
            </w:r>
          </w:p>
        </w:tc>
        <w:tc>
          <w:tcPr>
            <w:tcW w:w="1350" w:type="dxa"/>
            <w:tcBorders>
              <w:top w:val="nil"/>
              <w:left w:val="nil"/>
              <w:bottom w:val="single" w:sz="4" w:space="0" w:color="auto"/>
              <w:right w:val="single" w:sz="4" w:space="0" w:color="auto"/>
            </w:tcBorders>
            <w:shd w:val="clear" w:color="auto" w:fill="auto"/>
            <w:noWrap/>
            <w:vAlign w:val="bottom"/>
            <w:hideMark/>
          </w:tcPr>
          <w:p w14:paraId="0614209A"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NIRL-B</w:t>
            </w:r>
          </w:p>
        </w:tc>
        <w:tc>
          <w:tcPr>
            <w:tcW w:w="810" w:type="dxa"/>
            <w:tcBorders>
              <w:top w:val="nil"/>
              <w:left w:val="nil"/>
              <w:bottom w:val="single" w:sz="4" w:space="0" w:color="auto"/>
              <w:right w:val="single" w:sz="4" w:space="0" w:color="auto"/>
            </w:tcBorders>
            <w:shd w:val="clear" w:color="auto" w:fill="auto"/>
            <w:noWrap/>
            <w:vAlign w:val="bottom"/>
            <w:hideMark/>
          </w:tcPr>
          <w:p w14:paraId="4D336014"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46F9B894"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28.1612</w:t>
            </w:r>
          </w:p>
        </w:tc>
        <w:tc>
          <w:tcPr>
            <w:tcW w:w="1172" w:type="dxa"/>
            <w:tcBorders>
              <w:top w:val="nil"/>
              <w:left w:val="nil"/>
              <w:bottom w:val="single" w:sz="4" w:space="0" w:color="auto"/>
              <w:right w:val="single" w:sz="4" w:space="0" w:color="auto"/>
            </w:tcBorders>
            <w:shd w:val="clear" w:color="auto" w:fill="auto"/>
            <w:noWrap/>
            <w:vAlign w:val="bottom"/>
            <w:hideMark/>
          </w:tcPr>
          <w:p w14:paraId="752AF362"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-80.6554</w:t>
            </w:r>
          </w:p>
        </w:tc>
        <w:tc>
          <w:tcPr>
            <w:tcW w:w="1352" w:type="dxa"/>
            <w:tcBorders>
              <w:top w:val="nil"/>
              <w:left w:val="nil"/>
              <w:bottom w:val="single" w:sz="4" w:space="0" w:color="auto"/>
              <w:right w:val="single" w:sz="4" w:space="0" w:color="auto"/>
            </w:tcBorders>
            <w:shd w:val="clear" w:color="auto" w:fill="auto"/>
            <w:noWrap/>
            <w:vAlign w:val="bottom"/>
            <w:hideMark/>
          </w:tcPr>
          <w:p w14:paraId="0BC7ECD8"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Water Quality</w:t>
            </w:r>
          </w:p>
        </w:tc>
        <w:tc>
          <w:tcPr>
            <w:tcW w:w="1251" w:type="dxa"/>
            <w:tcBorders>
              <w:top w:val="nil"/>
              <w:left w:val="nil"/>
              <w:bottom w:val="single" w:sz="4" w:space="0" w:color="auto"/>
              <w:right w:val="single" w:sz="4" w:space="0" w:color="auto"/>
            </w:tcBorders>
            <w:shd w:val="clear" w:color="auto" w:fill="auto"/>
            <w:noWrap/>
            <w:vAlign w:val="bottom"/>
            <w:hideMark/>
          </w:tcPr>
          <w:p w14:paraId="0FD5BFDC"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Monthly</w:t>
            </w:r>
          </w:p>
        </w:tc>
      </w:tr>
      <w:tr w:rsidR="002A5791" w:rsidRPr="00BD10A6" w14:paraId="49CC1BF0" w14:textId="77777777" w:rsidTr="009B4246">
        <w:trPr>
          <w:trHeight w:val="30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03972671"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USGS</w:t>
            </w:r>
          </w:p>
        </w:tc>
        <w:tc>
          <w:tcPr>
            <w:tcW w:w="1350" w:type="dxa"/>
            <w:tcBorders>
              <w:top w:val="nil"/>
              <w:left w:val="nil"/>
              <w:bottom w:val="single" w:sz="4" w:space="0" w:color="auto"/>
              <w:right w:val="single" w:sz="4" w:space="0" w:color="auto"/>
            </w:tcBorders>
            <w:shd w:val="clear" w:color="auto" w:fill="auto"/>
            <w:noWrap/>
            <w:vAlign w:val="bottom"/>
            <w:hideMark/>
          </w:tcPr>
          <w:p w14:paraId="58AA6B35"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02249007</w:t>
            </w:r>
          </w:p>
        </w:tc>
        <w:tc>
          <w:tcPr>
            <w:tcW w:w="1350" w:type="dxa"/>
            <w:tcBorders>
              <w:top w:val="nil"/>
              <w:left w:val="nil"/>
              <w:bottom w:val="single" w:sz="4" w:space="0" w:color="auto"/>
              <w:right w:val="single" w:sz="4" w:space="0" w:color="auto"/>
            </w:tcBorders>
            <w:shd w:val="clear" w:color="auto" w:fill="auto"/>
            <w:noWrap/>
            <w:vAlign w:val="bottom"/>
            <w:hideMark/>
          </w:tcPr>
          <w:p w14:paraId="1CDFA5E6"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NIRL-B</w:t>
            </w:r>
          </w:p>
        </w:tc>
        <w:tc>
          <w:tcPr>
            <w:tcW w:w="810" w:type="dxa"/>
            <w:tcBorders>
              <w:top w:val="nil"/>
              <w:left w:val="nil"/>
              <w:bottom w:val="single" w:sz="4" w:space="0" w:color="auto"/>
              <w:right w:val="single" w:sz="4" w:space="0" w:color="auto"/>
            </w:tcBorders>
            <w:shd w:val="clear" w:color="auto" w:fill="auto"/>
            <w:noWrap/>
            <w:vAlign w:val="bottom"/>
            <w:hideMark/>
          </w:tcPr>
          <w:p w14:paraId="4AEC33A2"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Active</w:t>
            </w:r>
          </w:p>
        </w:tc>
        <w:tc>
          <w:tcPr>
            <w:tcW w:w="990" w:type="dxa"/>
            <w:tcBorders>
              <w:top w:val="nil"/>
              <w:left w:val="nil"/>
              <w:bottom w:val="single" w:sz="4" w:space="0" w:color="auto"/>
              <w:right w:val="single" w:sz="4" w:space="0" w:color="auto"/>
            </w:tcBorders>
            <w:shd w:val="clear" w:color="auto" w:fill="auto"/>
            <w:noWrap/>
            <w:vAlign w:val="bottom"/>
            <w:hideMark/>
          </w:tcPr>
          <w:p w14:paraId="6285A7D7"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28.1270</w:t>
            </w:r>
          </w:p>
        </w:tc>
        <w:tc>
          <w:tcPr>
            <w:tcW w:w="1172" w:type="dxa"/>
            <w:tcBorders>
              <w:top w:val="nil"/>
              <w:left w:val="nil"/>
              <w:bottom w:val="single" w:sz="4" w:space="0" w:color="auto"/>
              <w:right w:val="single" w:sz="4" w:space="0" w:color="auto"/>
            </w:tcBorders>
            <w:shd w:val="clear" w:color="auto" w:fill="auto"/>
            <w:noWrap/>
            <w:vAlign w:val="bottom"/>
            <w:hideMark/>
          </w:tcPr>
          <w:p w14:paraId="3C84C2B7" w14:textId="77777777" w:rsidR="002A5791" w:rsidRPr="00BD10A6" w:rsidRDefault="002A5791" w:rsidP="002A5791">
            <w:pPr>
              <w:jc w:val="center"/>
              <w:rPr>
                <w:rFonts w:ascii="Times New Roman" w:hAnsi="Times New Roman"/>
                <w:color w:val="000000"/>
                <w:sz w:val="18"/>
                <w:szCs w:val="18"/>
              </w:rPr>
            </w:pPr>
            <w:r w:rsidRPr="00BD10A6">
              <w:rPr>
                <w:rFonts w:ascii="Times New Roman" w:hAnsi="Times New Roman"/>
                <w:color w:val="000000"/>
                <w:sz w:val="18"/>
                <w:szCs w:val="18"/>
              </w:rPr>
              <w:t>-80.6454</w:t>
            </w:r>
          </w:p>
        </w:tc>
        <w:tc>
          <w:tcPr>
            <w:tcW w:w="1352" w:type="dxa"/>
            <w:tcBorders>
              <w:top w:val="nil"/>
              <w:left w:val="nil"/>
              <w:bottom w:val="single" w:sz="4" w:space="0" w:color="auto"/>
              <w:right w:val="single" w:sz="4" w:space="0" w:color="auto"/>
            </w:tcBorders>
            <w:shd w:val="clear" w:color="auto" w:fill="auto"/>
            <w:noWrap/>
            <w:vAlign w:val="bottom"/>
            <w:hideMark/>
          </w:tcPr>
          <w:p w14:paraId="4C2EB7A1"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Flow</w:t>
            </w:r>
          </w:p>
        </w:tc>
        <w:tc>
          <w:tcPr>
            <w:tcW w:w="1251" w:type="dxa"/>
            <w:tcBorders>
              <w:top w:val="nil"/>
              <w:left w:val="nil"/>
              <w:bottom w:val="single" w:sz="4" w:space="0" w:color="auto"/>
              <w:right w:val="single" w:sz="4" w:space="0" w:color="auto"/>
            </w:tcBorders>
            <w:shd w:val="clear" w:color="auto" w:fill="auto"/>
            <w:noWrap/>
            <w:vAlign w:val="bottom"/>
            <w:hideMark/>
          </w:tcPr>
          <w:p w14:paraId="37476A77" w14:textId="77777777" w:rsidR="002A5791" w:rsidRPr="00BD10A6" w:rsidRDefault="002A5791" w:rsidP="002A5791">
            <w:pPr>
              <w:jc w:val="left"/>
              <w:rPr>
                <w:rFonts w:ascii="Times New Roman" w:hAnsi="Times New Roman"/>
                <w:color w:val="000000"/>
                <w:sz w:val="18"/>
                <w:szCs w:val="18"/>
              </w:rPr>
            </w:pPr>
            <w:r w:rsidRPr="00BD10A6">
              <w:rPr>
                <w:rFonts w:ascii="Times New Roman" w:hAnsi="Times New Roman"/>
                <w:color w:val="000000"/>
                <w:sz w:val="18"/>
                <w:szCs w:val="18"/>
              </w:rPr>
              <w:t>Continuous</w:t>
            </w:r>
          </w:p>
        </w:tc>
      </w:tr>
    </w:tbl>
    <w:p w14:paraId="7BFCC35A" w14:textId="77777777" w:rsidR="003C476C" w:rsidRPr="00BD10A6" w:rsidRDefault="003C476C" w:rsidP="003C476C">
      <w:pPr>
        <w:pStyle w:val="BodyText1"/>
        <w:rPr>
          <w:rFonts w:ascii="Times New Roman" w:hAnsi="Times New Roman"/>
        </w:rPr>
      </w:pPr>
      <w:bookmarkStart w:id="13" w:name="_Toc345583067"/>
    </w:p>
    <w:p w14:paraId="67991E64" w14:textId="451BA0DA" w:rsidR="003C476C" w:rsidRPr="00BD10A6" w:rsidRDefault="00F66176" w:rsidP="003C476C">
      <w:pPr>
        <w:pStyle w:val="Figure"/>
        <w:rPr>
          <w:rFonts w:ascii="Times New Roman" w:hAnsi="Times New Roman"/>
        </w:rPr>
      </w:pPr>
      <w:bookmarkStart w:id="14" w:name="_Ref323288967"/>
      <w:bookmarkStart w:id="15" w:name="_Ref246149493"/>
      <w:bookmarkStart w:id="16" w:name="_Ref323288964"/>
      <w:r>
        <w:rPr>
          <w:rFonts w:ascii="Times New Roman" w:hAnsi="Times New Roman"/>
          <w:noProof/>
        </w:rPr>
        <w:lastRenderedPageBreak/>
        <w:drawing>
          <wp:inline distT="0" distB="0" distL="0" distR="0" wp14:anchorId="4FF69C44" wp14:editId="4DB3ECA4">
            <wp:extent cx="5943600" cy="7641590"/>
            <wp:effectExtent l="0" t="0" r="0" b="0"/>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IRL_A_Draft_BMAP_Monitoring_Network.jpg"/>
                    <pic:cNvPicPr/>
                  </pic:nvPicPr>
                  <pic:blipFill>
                    <a:blip r:embed="rId9" cstate="screen">
                      <a:extLst>
                        <a:ext uri="{28A0092B-C50C-407E-A947-70E740481C1C}">
                          <a14:useLocalDpi xmlns:a14="http://schemas.microsoft.com/office/drawing/2010/main"/>
                        </a:ext>
                      </a:extLst>
                    </a:blip>
                    <a:stretch>
                      <a:fillRect/>
                    </a:stretch>
                  </pic:blipFill>
                  <pic:spPr>
                    <a:xfrm>
                      <a:off x="0" y="0"/>
                      <a:ext cx="5943600" cy="7641590"/>
                    </a:xfrm>
                    <a:prstGeom prst="rect">
                      <a:avLst/>
                    </a:prstGeom>
                  </pic:spPr>
                </pic:pic>
              </a:graphicData>
            </a:graphic>
          </wp:inline>
        </w:drawing>
      </w:r>
    </w:p>
    <w:p w14:paraId="782FC53B" w14:textId="77777777" w:rsidR="003C476C" w:rsidRPr="009A2123" w:rsidRDefault="003C476C" w:rsidP="003C476C">
      <w:pPr>
        <w:pStyle w:val="Figure"/>
        <w:rPr>
          <w:rFonts w:ascii="Times New Roman Bold" w:hAnsi="Times New Roman Bold"/>
          <w:smallCaps w:val="0"/>
        </w:rPr>
      </w:pPr>
      <w:bookmarkStart w:id="17" w:name="_Ref323550309"/>
      <w:r w:rsidRPr="009A2123">
        <w:rPr>
          <w:rFonts w:ascii="Times New Roman Bold" w:hAnsi="Times New Roman Bold"/>
          <w:smallCaps w:val="0"/>
        </w:rPr>
        <w:t xml:space="preserve">Figure </w:t>
      </w:r>
      <w:r w:rsidRPr="009A2123">
        <w:rPr>
          <w:rFonts w:ascii="Times New Roman Bold" w:hAnsi="Times New Roman Bold"/>
          <w:smallCaps w:val="0"/>
        </w:rPr>
        <w:fldChar w:fldCharType="begin"/>
      </w:r>
      <w:r w:rsidRPr="009A2123">
        <w:rPr>
          <w:rFonts w:ascii="Times New Roman Bold" w:hAnsi="Times New Roman Bold"/>
          <w:smallCaps w:val="0"/>
        </w:rPr>
        <w:instrText xml:space="preserve"> SEQ Figure \* ARABIC </w:instrText>
      </w:r>
      <w:r w:rsidRPr="009A2123">
        <w:rPr>
          <w:rFonts w:ascii="Times New Roman Bold" w:hAnsi="Times New Roman Bold"/>
          <w:smallCaps w:val="0"/>
        </w:rPr>
        <w:fldChar w:fldCharType="separate"/>
      </w:r>
      <w:r w:rsidRPr="009A2123">
        <w:rPr>
          <w:rFonts w:ascii="Times New Roman Bold" w:hAnsi="Times New Roman Bold"/>
          <w:smallCaps w:val="0"/>
          <w:noProof/>
        </w:rPr>
        <w:t>13</w:t>
      </w:r>
      <w:r w:rsidRPr="009A2123">
        <w:rPr>
          <w:rFonts w:ascii="Times New Roman Bold" w:hAnsi="Times New Roman Bold"/>
          <w:smallCaps w:val="0"/>
          <w:noProof/>
        </w:rPr>
        <w:fldChar w:fldCharType="end"/>
      </w:r>
      <w:bookmarkEnd w:id="14"/>
      <w:bookmarkEnd w:id="17"/>
      <w:r w:rsidRPr="009A2123">
        <w:rPr>
          <w:rFonts w:ascii="Times New Roman Bold" w:hAnsi="Times New Roman Bold"/>
          <w:smallCaps w:val="0"/>
        </w:rPr>
        <w:t xml:space="preserve">: </w:t>
      </w:r>
      <w:bookmarkEnd w:id="15"/>
      <w:r w:rsidRPr="009A2123">
        <w:rPr>
          <w:rFonts w:ascii="Times New Roman Bold" w:hAnsi="Times New Roman Bold"/>
          <w:smallCaps w:val="0"/>
        </w:rPr>
        <w:t xml:space="preserve">Monitoring Network in the </w:t>
      </w:r>
      <w:bookmarkEnd w:id="16"/>
      <w:r w:rsidRPr="009A2123">
        <w:rPr>
          <w:rFonts w:ascii="Times New Roman Bold" w:hAnsi="Times New Roman Bold"/>
          <w:smallCaps w:val="0"/>
        </w:rPr>
        <w:t>North A Project Zone</w:t>
      </w:r>
    </w:p>
    <w:p w14:paraId="67BC404D" w14:textId="3C38CFDD" w:rsidR="003C476C" w:rsidRPr="00BD10A6" w:rsidRDefault="003C476C" w:rsidP="003C476C">
      <w:pPr>
        <w:rPr>
          <w:rFonts w:ascii="Times New Roman" w:hAnsi="Times New Roman"/>
        </w:rPr>
      </w:pPr>
    </w:p>
    <w:p w14:paraId="38E574F2" w14:textId="281420BE" w:rsidR="003C476C" w:rsidRPr="00BD10A6" w:rsidRDefault="00F66176" w:rsidP="003C476C">
      <w:pPr>
        <w:pStyle w:val="BodyText"/>
        <w:spacing w:after="0"/>
        <w:jc w:val="center"/>
        <w:rPr>
          <w:rFonts w:ascii="Times New Roman" w:hAnsi="Times New Roman"/>
        </w:rPr>
      </w:pPr>
      <w:r>
        <w:rPr>
          <w:rFonts w:ascii="Times New Roman" w:hAnsi="Times New Roman"/>
          <w:noProof/>
        </w:rPr>
        <w:lastRenderedPageBreak/>
        <w:drawing>
          <wp:inline distT="0" distB="0" distL="0" distR="0" wp14:anchorId="2738CE73" wp14:editId="3C821313">
            <wp:extent cx="5943600" cy="7641590"/>
            <wp:effectExtent l="0" t="0" r="0" b="0"/>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IRL_B_Draft_BMAP_Monitoring_Network.jpg"/>
                    <pic:cNvPicPr/>
                  </pic:nvPicPr>
                  <pic:blipFill>
                    <a:blip r:embed="rId10" cstate="screen">
                      <a:extLst>
                        <a:ext uri="{28A0092B-C50C-407E-A947-70E740481C1C}">
                          <a14:useLocalDpi xmlns:a14="http://schemas.microsoft.com/office/drawing/2010/main"/>
                        </a:ext>
                      </a:extLst>
                    </a:blip>
                    <a:stretch>
                      <a:fillRect/>
                    </a:stretch>
                  </pic:blipFill>
                  <pic:spPr>
                    <a:xfrm>
                      <a:off x="0" y="0"/>
                      <a:ext cx="5943600" cy="7641590"/>
                    </a:xfrm>
                    <a:prstGeom prst="rect">
                      <a:avLst/>
                    </a:prstGeom>
                  </pic:spPr>
                </pic:pic>
              </a:graphicData>
            </a:graphic>
          </wp:inline>
        </w:drawing>
      </w:r>
    </w:p>
    <w:p w14:paraId="55C44460" w14:textId="77777777" w:rsidR="003C476C" w:rsidRPr="009A2123" w:rsidRDefault="003C476C" w:rsidP="003C476C">
      <w:pPr>
        <w:pStyle w:val="Figure"/>
        <w:rPr>
          <w:rFonts w:ascii="Times New Roman Bold" w:hAnsi="Times New Roman Bold"/>
          <w:smallCaps w:val="0"/>
        </w:rPr>
      </w:pPr>
      <w:bookmarkStart w:id="18" w:name="_Ref323303977"/>
      <w:r w:rsidRPr="009A2123">
        <w:rPr>
          <w:rFonts w:ascii="Times New Roman Bold" w:hAnsi="Times New Roman Bold"/>
          <w:smallCaps w:val="0"/>
        </w:rPr>
        <w:t xml:space="preserve">Figure </w:t>
      </w:r>
      <w:r w:rsidRPr="009A2123">
        <w:rPr>
          <w:rFonts w:ascii="Times New Roman Bold" w:hAnsi="Times New Roman Bold"/>
          <w:smallCaps w:val="0"/>
        </w:rPr>
        <w:fldChar w:fldCharType="begin"/>
      </w:r>
      <w:r w:rsidRPr="009A2123">
        <w:rPr>
          <w:rFonts w:ascii="Times New Roman Bold" w:hAnsi="Times New Roman Bold"/>
          <w:smallCaps w:val="0"/>
        </w:rPr>
        <w:instrText xml:space="preserve"> SEQ Figure \* ARABIC </w:instrText>
      </w:r>
      <w:r w:rsidRPr="009A2123">
        <w:rPr>
          <w:rFonts w:ascii="Times New Roman Bold" w:hAnsi="Times New Roman Bold"/>
          <w:smallCaps w:val="0"/>
        </w:rPr>
        <w:fldChar w:fldCharType="separate"/>
      </w:r>
      <w:r w:rsidRPr="009A2123">
        <w:rPr>
          <w:rFonts w:ascii="Times New Roman Bold" w:hAnsi="Times New Roman Bold"/>
          <w:smallCaps w:val="0"/>
          <w:noProof/>
        </w:rPr>
        <w:t>14</w:t>
      </w:r>
      <w:r w:rsidRPr="009A2123">
        <w:rPr>
          <w:rFonts w:ascii="Times New Roman Bold" w:hAnsi="Times New Roman Bold"/>
          <w:smallCaps w:val="0"/>
          <w:noProof/>
        </w:rPr>
        <w:fldChar w:fldCharType="end"/>
      </w:r>
      <w:bookmarkEnd w:id="18"/>
      <w:r w:rsidRPr="009A2123">
        <w:rPr>
          <w:rFonts w:ascii="Times New Roman Bold" w:hAnsi="Times New Roman Bold"/>
          <w:smallCaps w:val="0"/>
        </w:rPr>
        <w:t>: Monitoring Network in the Northern Part of the North B Project Zone</w:t>
      </w:r>
    </w:p>
    <w:p w14:paraId="6A8B14CB" w14:textId="77777777" w:rsidR="003C476C" w:rsidRPr="00BD10A6" w:rsidRDefault="003C476C" w:rsidP="009B4246">
      <w:pPr>
        <w:rPr>
          <w:rFonts w:ascii="Times New Roman" w:hAnsi="Times New Roman"/>
        </w:rPr>
      </w:pPr>
    </w:p>
    <w:p w14:paraId="12CE25F2" w14:textId="77777777" w:rsidR="00025AE2" w:rsidRPr="00BD10A6" w:rsidRDefault="00025AE2" w:rsidP="003230BB">
      <w:pPr>
        <w:pStyle w:val="Heading3"/>
      </w:pPr>
      <w:bookmarkStart w:id="19" w:name="_Toc345583068"/>
      <w:bookmarkEnd w:id="13"/>
      <w:r w:rsidRPr="00BD10A6">
        <w:lastRenderedPageBreak/>
        <w:t>Data Management and Assessment</w:t>
      </w:r>
      <w:bookmarkStart w:id="20" w:name="_GoBack"/>
      <w:bookmarkEnd w:id="19"/>
      <w:bookmarkEnd w:id="20"/>
    </w:p>
    <w:p w14:paraId="446EBD6D" w14:textId="519A42BA" w:rsidR="00D06314" w:rsidRPr="00BD10A6" w:rsidRDefault="00B14E19" w:rsidP="00D06314">
      <w:pPr>
        <w:pStyle w:val="BodyText1"/>
        <w:rPr>
          <w:rFonts w:ascii="Times New Roman" w:hAnsi="Times New Roman"/>
        </w:rPr>
      </w:pPr>
      <w:r w:rsidRPr="00BD10A6">
        <w:rPr>
          <w:rFonts w:ascii="Times New Roman" w:hAnsi="Times New Roman"/>
        </w:rPr>
        <w:t>In 2017, t</w:t>
      </w:r>
      <w:r w:rsidR="00D06314" w:rsidRPr="00BD10A6">
        <w:rPr>
          <w:rFonts w:ascii="Times New Roman" w:hAnsi="Times New Roman"/>
        </w:rPr>
        <w:t xml:space="preserve">he Florida Watershed Information Network (WIN) replaced the Florida Storage and Retrieval (STORET) database. WIN now serves as the primary repository of ambient water quality data for the state of Florida. </w:t>
      </w:r>
      <w:r w:rsidR="00453690" w:rsidRPr="00BD10A6">
        <w:rPr>
          <w:rFonts w:ascii="Times New Roman" w:hAnsi="Times New Roman"/>
        </w:rPr>
        <w:t>W</w:t>
      </w:r>
      <w:r w:rsidR="00D06314" w:rsidRPr="00BD10A6">
        <w:rPr>
          <w:rFonts w:ascii="Times New Roman" w:hAnsi="Times New Roman"/>
        </w:rPr>
        <w:t xml:space="preserve">ater quality data </w:t>
      </w:r>
      <w:bookmarkStart w:id="21" w:name="_Hlk40702633"/>
      <w:r w:rsidR="007B2E3E" w:rsidRPr="00BD10A6">
        <w:rPr>
          <w:rFonts w:ascii="Times New Roman" w:hAnsi="Times New Roman"/>
        </w:rPr>
        <w:t xml:space="preserve">from the WIN database </w:t>
      </w:r>
      <w:r w:rsidR="00604438" w:rsidRPr="00BD10A6">
        <w:rPr>
          <w:rFonts w:ascii="Times New Roman" w:hAnsi="Times New Roman"/>
        </w:rPr>
        <w:t>are</w:t>
      </w:r>
      <w:r w:rsidR="007B2E3E" w:rsidRPr="00BD10A6">
        <w:rPr>
          <w:rFonts w:ascii="Times New Roman" w:hAnsi="Times New Roman"/>
        </w:rPr>
        <w:t xml:space="preserve"> </w:t>
      </w:r>
      <w:bookmarkEnd w:id="21"/>
      <w:r w:rsidR="00D06314" w:rsidRPr="00BD10A6">
        <w:rPr>
          <w:rFonts w:ascii="Times New Roman" w:hAnsi="Times New Roman"/>
        </w:rPr>
        <w:t>used for impaired water</w:t>
      </w:r>
      <w:r w:rsidR="007B2E3E" w:rsidRPr="00BD10A6">
        <w:rPr>
          <w:rFonts w:ascii="Times New Roman" w:hAnsi="Times New Roman"/>
        </w:rPr>
        <w:t>s rule</w:t>
      </w:r>
      <w:r w:rsidR="00D06314" w:rsidRPr="00BD10A6">
        <w:rPr>
          <w:rFonts w:ascii="Times New Roman" w:hAnsi="Times New Roman"/>
        </w:rPr>
        <w:t xml:space="preserve"> </w:t>
      </w:r>
      <w:r w:rsidR="007B2E3E" w:rsidRPr="00BD10A6">
        <w:rPr>
          <w:rFonts w:ascii="Times New Roman" w:hAnsi="Times New Roman"/>
        </w:rPr>
        <w:t xml:space="preserve">assessments </w:t>
      </w:r>
      <w:r w:rsidR="00D06314" w:rsidRPr="00BD10A6">
        <w:rPr>
          <w:rFonts w:ascii="Times New Roman" w:hAnsi="Times New Roman"/>
        </w:rPr>
        <w:t>and TMDL development. Ambient water quality data collected as part of the BMAP will be uploaded into WIN for long-term storage and availability. All BMAP data providers have agreed to upload ambient water quality data to WIN at least</w:t>
      </w:r>
      <w:r w:rsidR="003C476C" w:rsidRPr="00BD10A6">
        <w:rPr>
          <w:rFonts w:ascii="Times New Roman" w:hAnsi="Times New Roman"/>
        </w:rPr>
        <w:t xml:space="preserve"> quarterly</w:t>
      </w:r>
      <w:r w:rsidR="00EB07FA" w:rsidRPr="00BD10A6">
        <w:rPr>
          <w:rFonts w:ascii="Times New Roman" w:hAnsi="Times New Roman"/>
        </w:rPr>
        <w:t>,</w:t>
      </w:r>
      <w:r w:rsidR="00D06314" w:rsidRPr="00BD10A6">
        <w:rPr>
          <w:rFonts w:ascii="Times New Roman" w:hAnsi="Times New Roman"/>
        </w:rPr>
        <w:t xml:space="preserve"> upon completion of the appropriate quality assurance/quality control (QA/QC) checks.</w:t>
      </w:r>
    </w:p>
    <w:p w14:paraId="6765D0A4" w14:textId="76B3EC4B" w:rsidR="00D06314" w:rsidRPr="00BD10A6" w:rsidRDefault="00EB07FA" w:rsidP="00D06314">
      <w:pPr>
        <w:pStyle w:val="BodyText1"/>
        <w:rPr>
          <w:rFonts w:ascii="Times New Roman" w:hAnsi="Times New Roman"/>
        </w:rPr>
      </w:pPr>
      <w:r w:rsidRPr="00BD10A6">
        <w:rPr>
          <w:rFonts w:ascii="Times New Roman" w:hAnsi="Times New Roman"/>
        </w:rPr>
        <w:t xml:space="preserve">Biological data used to assess the biological health of streams and lakes may be provided to department staff in the Watershed Assessment Section. For more information on submitting external biological data, please visit </w:t>
      </w:r>
      <w:r w:rsidR="003C476C" w:rsidRPr="00BD10A6">
        <w:rPr>
          <w:rFonts w:ascii="Times New Roman" w:hAnsi="Times New Roman"/>
        </w:rPr>
        <w:t xml:space="preserve">the DEP website. </w:t>
      </w:r>
      <w:hyperlink w:history="1"/>
      <w:r w:rsidR="00D06314" w:rsidRPr="00BD10A6">
        <w:rPr>
          <w:rFonts w:ascii="Times New Roman" w:hAnsi="Times New Roman"/>
        </w:rPr>
        <w:t xml:space="preserve">Other data, such as </w:t>
      </w:r>
      <w:r w:rsidR="008614BE" w:rsidRPr="00BD10A6">
        <w:rPr>
          <w:rFonts w:ascii="Times New Roman" w:hAnsi="Times New Roman"/>
        </w:rPr>
        <w:t xml:space="preserve">the </w:t>
      </w:r>
      <w:r w:rsidRPr="00BD10A6">
        <w:rPr>
          <w:rFonts w:ascii="Times New Roman" w:hAnsi="Times New Roman"/>
        </w:rPr>
        <w:t>extent and abundance of seagrass coverages</w:t>
      </w:r>
      <w:r w:rsidR="003C476C" w:rsidRPr="00BD10A6">
        <w:rPr>
          <w:rFonts w:ascii="Times New Roman" w:hAnsi="Times New Roman"/>
        </w:rPr>
        <w:t>, groundwater,</w:t>
      </w:r>
      <w:r w:rsidRPr="00BD10A6">
        <w:rPr>
          <w:rFonts w:ascii="Times New Roman" w:hAnsi="Times New Roman"/>
        </w:rPr>
        <w:t xml:space="preserve"> </w:t>
      </w:r>
      <w:r w:rsidR="00D06314" w:rsidRPr="00BD10A6">
        <w:rPr>
          <w:rFonts w:ascii="Times New Roman" w:hAnsi="Times New Roman"/>
        </w:rPr>
        <w:t>and storm event, may also be collected</w:t>
      </w:r>
      <w:r w:rsidR="003C476C" w:rsidRPr="00BD10A6">
        <w:rPr>
          <w:rFonts w:ascii="Times New Roman" w:hAnsi="Times New Roman"/>
        </w:rPr>
        <w:t>.</w:t>
      </w:r>
      <w:r w:rsidR="00E802D6" w:rsidRPr="00BD10A6">
        <w:rPr>
          <w:rFonts w:ascii="Times New Roman" w:hAnsi="Times New Roman"/>
        </w:rPr>
        <w:t xml:space="preserve"> </w:t>
      </w:r>
      <w:r w:rsidR="00D06314" w:rsidRPr="00BD10A6">
        <w:rPr>
          <w:rFonts w:ascii="Times New Roman" w:hAnsi="Times New Roman"/>
        </w:rPr>
        <w:t xml:space="preserve">Stakeholders agree to provide these data to other BMAP partners upon request, and when appropriate, for inclusion in BMAP data analyses and adaptive management evaluations. </w:t>
      </w:r>
    </w:p>
    <w:p w14:paraId="1A427CA4" w14:textId="7956A4D7" w:rsidR="00025AE2" w:rsidRPr="00BD10A6" w:rsidRDefault="00025AE2" w:rsidP="00025AE2">
      <w:pPr>
        <w:pStyle w:val="BodyText1"/>
        <w:rPr>
          <w:rFonts w:ascii="Times New Roman" w:hAnsi="Times New Roman"/>
        </w:rPr>
      </w:pPr>
      <w:r w:rsidRPr="00BD10A6">
        <w:rPr>
          <w:rFonts w:ascii="Times New Roman" w:hAnsi="Times New Roman"/>
        </w:rPr>
        <w:t xml:space="preserve">The water quality data will be analyzed </w:t>
      </w:r>
      <w:bookmarkStart w:id="22" w:name="_Hlk40702716"/>
      <w:r w:rsidR="003C476C" w:rsidRPr="00BD10A6">
        <w:rPr>
          <w:rFonts w:ascii="Times New Roman" w:hAnsi="Times New Roman"/>
        </w:rPr>
        <w:t>periodically</w:t>
      </w:r>
      <w:bookmarkEnd w:id="22"/>
      <w:r w:rsidRPr="00BD10A6">
        <w:rPr>
          <w:rFonts w:ascii="Times New Roman" w:hAnsi="Times New Roman"/>
        </w:rPr>
        <w:t xml:space="preserve"> to determine trends in water quality in the lagoon</w:t>
      </w:r>
      <w:r w:rsidR="00D06314" w:rsidRPr="00BD10A6">
        <w:rPr>
          <w:rFonts w:ascii="Times New Roman" w:hAnsi="Times New Roman"/>
        </w:rPr>
        <w:t xml:space="preserve">. </w:t>
      </w:r>
      <w:r w:rsidRPr="00BD10A6">
        <w:rPr>
          <w:rFonts w:ascii="Times New Roman" w:hAnsi="Times New Roman"/>
        </w:rPr>
        <w:t>Specific statistical analyses were not identified during BMAP development; however, commonly accepted methods of data analysis will be used.</w:t>
      </w:r>
    </w:p>
    <w:p w14:paraId="03B45BD3" w14:textId="77777777" w:rsidR="00025AE2" w:rsidRPr="00BD10A6" w:rsidRDefault="00025AE2" w:rsidP="003230BB">
      <w:pPr>
        <w:pStyle w:val="Heading3"/>
      </w:pPr>
      <w:bookmarkStart w:id="23" w:name="_Toc219541668"/>
      <w:bookmarkStart w:id="24" w:name="_Toc249759423"/>
      <w:bookmarkStart w:id="25" w:name="_Toc323297682"/>
      <w:bookmarkStart w:id="26" w:name="_Toc323303044"/>
      <w:bookmarkStart w:id="27" w:name="_Toc345583069"/>
      <w:r w:rsidRPr="00BD10A6">
        <w:t>Quality Assurance/Quality Control</w:t>
      </w:r>
      <w:bookmarkEnd w:id="23"/>
      <w:bookmarkEnd w:id="24"/>
      <w:bookmarkEnd w:id="25"/>
      <w:bookmarkEnd w:id="26"/>
      <w:bookmarkEnd w:id="27"/>
    </w:p>
    <w:p w14:paraId="393362A1" w14:textId="4A2A1646" w:rsidR="00025AE2" w:rsidRPr="00BD10A6" w:rsidRDefault="00025AE2" w:rsidP="00025AE2">
      <w:pPr>
        <w:pStyle w:val="BodyText1"/>
        <w:rPr>
          <w:rFonts w:ascii="Times New Roman" w:hAnsi="Times New Roman"/>
        </w:rPr>
      </w:pPr>
      <w:r w:rsidRPr="00BD10A6">
        <w:rPr>
          <w:rFonts w:ascii="Times New Roman" w:hAnsi="Times New Roman"/>
        </w:rPr>
        <w:t xml:space="preserve">Stakeholders participating in the monitoring plan must collect water quality data in a manner consistent with </w:t>
      </w:r>
      <w:r w:rsidR="00D06314" w:rsidRPr="00BD10A6">
        <w:rPr>
          <w:rFonts w:ascii="Times New Roman" w:hAnsi="Times New Roman"/>
        </w:rPr>
        <w:t>the DEP</w:t>
      </w:r>
      <w:r w:rsidRPr="00BD10A6">
        <w:rPr>
          <w:rFonts w:ascii="Times New Roman" w:hAnsi="Times New Roman"/>
        </w:rPr>
        <w:t xml:space="preserve"> standard operating procedures (SOPs) for QA/QC</w:t>
      </w:r>
      <w:r w:rsidR="00D06314" w:rsidRPr="00BD10A6">
        <w:rPr>
          <w:rFonts w:ascii="Times New Roman" w:hAnsi="Times New Roman"/>
        </w:rPr>
        <w:t xml:space="preserve">. </w:t>
      </w:r>
      <w:r w:rsidRPr="00BD10A6">
        <w:rPr>
          <w:rFonts w:ascii="Times New Roman" w:hAnsi="Times New Roman"/>
        </w:rPr>
        <w:t xml:space="preserve">The most current version of these procedures can be downloaded from </w:t>
      </w:r>
      <w:r w:rsidR="003C476C" w:rsidRPr="00BD10A6">
        <w:rPr>
          <w:rFonts w:ascii="Times New Roman" w:hAnsi="Times New Roman"/>
        </w:rPr>
        <w:t>the DEP website.</w:t>
      </w:r>
      <w:r w:rsidR="003C476C" w:rsidRPr="00BD10A6" w:rsidDel="003C476C">
        <w:rPr>
          <w:rFonts w:ascii="Times New Roman" w:hAnsi="Times New Roman"/>
        </w:rPr>
        <w:t xml:space="preserve"> </w:t>
      </w:r>
      <w:hyperlink w:history="1"/>
      <w:r w:rsidR="002F448C" w:rsidRPr="00BD10A6">
        <w:rPr>
          <w:rFonts w:ascii="Times New Roman" w:hAnsi="Times New Roman"/>
        </w:rPr>
        <w:t xml:space="preserve"> </w:t>
      </w:r>
      <w:r w:rsidRPr="00BD10A6">
        <w:rPr>
          <w:rFonts w:ascii="Times New Roman" w:hAnsi="Times New Roman"/>
        </w:rPr>
        <w:t xml:space="preserve">For BMAP-related data analyses, entities should use National Environmental Laboratory Accreditation Council (NELAC) National Environmental Laboratory Accreditation Program (NELAP) certified laboratories or other labs that meet the certification and other requirements outlined in the </w:t>
      </w:r>
      <w:r w:rsidR="007B2E3E" w:rsidRPr="00BD10A6">
        <w:rPr>
          <w:rFonts w:ascii="Times New Roman" w:hAnsi="Times New Roman"/>
        </w:rPr>
        <w:t xml:space="preserve">DEP </w:t>
      </w:r>
      <w:r w:rsidRPr="00BD10A6">
        <w:rPr>
          <w:rFonts w:ascii="Times New Roman" w:hAnsi="Times New Roman"/>
        </w:rPr>
        <w:t>SOPs</w:t>
      </w:r>
      <w:r w:rsidR="00D06314" w:rsidRPr="00BD10A6">
        <w:rPr>
          <w:rFonts w:ascii="Times New Roman" w:hAnsi="Times New Roman"/>
        </w:rPr>
        <w:t xml:space="preserve">. </w:t>
      </w:r>
      <w:r w:rsidRPr="00BD10A6">
        <w:rPr>
          <w:rFonts w:ascii="Times New Roman" w:hAnsi="Times New Roman"/>
        </w:rPr>
        <w:t xml:space="preserve">SJRWMD staff and contractors collect, process, and preserve samples according to the SJRWMD’s </w:t>
      </w:r>
      <w:r w:rsidR="007820A6" w:rsidRPr="00BD10A6">
        <w:rPr>
          <w:rFonts w:ascii="Times New Roman" w:hAnsi="Times New Roman"/>
        </w:rPr>
        <w:t xml:space="preserve">Field </w:t>
      </w:r>
      <w:r w:rsidRPr="00BD10A6">
        <w:rPr>
          <w:rFonts w:ascii="Times New Roman" w:hAnsi="Times New Roman"/>
        </w:rPr>
        <w:t>Standard Operating Procedures for Surface Water</w:t>
      </w:r>
      <w:r w:rsidR="007820A6" w:rsidRPr="00BD10A6">
        <w:rPr>
          <w:rFonts w:ascii="Times New Roman" w:hAnsi="Times New Roman"/>
        </w:rPr>
        <w:t xml:space="preserve"> Sampling Fiscal Year 2020</w:t>
      </w:r>
      <w:r w:rsidR="00D06314" w:rsidRPr="00BD10A6">
        <w:rPr>
          <w:rFonts w:ascii="Times New Roman" w:hAnsi="Times New Roman"/>
        </w:rPr>
        <w:t xml:space="preserve">. </w:t>
      </w:r>
      <w:r w:rsidRPr="00BD10A6">
        <w:rPr>
          <w:rFonts w:ascii="Times New Roman" w:hAnsi="Times New Roman"/>
        </w:rPr>
        <w:t xml:space="preserve">Where SJRWMD and </w:t>
      </w:r>
      <w:r w:rsidR="00D06314" w:rsidRPr="00BD10A6">
        <w:rPr>
          <w:rFonts w:ascii="Times New Roman" w:hAnsi="Times New Roman"/>
        </w:rPr>
        <w:t>DEP</w:t>
      </w:r>
      <w:r w:rsidRPr="00BD10A6">
        <w:rPr>
          <w:rFonts w:ascii="Times New Roman" w:hAnsi="Times New Roman"/>
        </w:rPr>
        <w:t xml:space="preserve"> SOPs do not correspond to one another, SJRWMD staff and contractors defer to </w:t>
      </w:r>
      <w:r w:rsidR="00D06314" w:rsidRPr="00BD10A6">
        <w:rPr>
          <w:rFonts w:ascii="Times New Roman" w:hAnsi="Times New Roman"/>
        </w:rPr>
        <w:t>the DEP</w:t>
      </w:r>
      <w:r w:rsidRPr="00BD10A6">
        <w:rPr>
          <w:rFonts w:ascii="Times New Roman" w:hAnsi="Times New Roman"/>
        </w:rPr>
        <w:t xml:space="preserve"> SOPs</w:t>
      </w:r>
      <w:r w:rsidR="00D06314" w:rsidRPr="00BD10A6">
        <w:rPr>
          <w:rFonts w:ascii="Times New Roman" w:hAnsi="Times New Roman"/>
        </w:rPr>
        <w:t xml:space="preserve">. </w:t>
      </w:r>
    </w:p>
    <w:p w14:paraId="035B7E14" w14:textId="77777777" w:rsidR="00025AE2" w:rsidRPr="00BD10A6" w:rsidRDefault="00025AE2" w:rsidP="003230BB">
      <w:pPr>
        <w:pStyle w:val="Heading2"/>
      </w:pPr>
      <w:bookmarkStart w:id="28" w:name="_Toc323297683"/>
      <w:bookmarkStart w:id="29" w:name="_Toc323303045"/>
      <w:bookmarkStart w:id="30" w:name="_Toc345583070"/>
      <w:r w:rsidRPr="00BD10A6">
        <w:t>Research Priorities</w:t>
      </w:r>
      <w:bookmarkEnd w:id="28"/>
      <w:bookmarkEnd w:id="29"/>
      <w:bookmarkEnd w:id="30"/>
    </w:p>
    <w:p w14:paraId="68007298" w14:textId="414D8681" w:rsidR="00025AE2" w:rsidRPr="00BD10A6" w:rsidRDefault="00025AE2" w:rsidP="00025AE2">
      <w:pPr>
        <w:pStyle w:val="BodyText1"/>
        <w:rPr>
          <w:rFonts w:ascii="Times New Roman" w:hAnsi="Times New Roman"/>
        </w:rPr>
      </w:pPr>
      <w:r w:rsidRPr="00BD10A6">
        <w:rPr>
          <w:rFonts w:ascii="Times New Roman" w:hAnsi="Times New Roman"/>
        </w:rPr>
        <w:t>During the BMAP process, the stakeholders identified several research priorities they would like to pursue, if funding becomes available</w:t>
      </w:r>
      <w:r w:rsidR="00D06314" w:rsidRPr="00BD10A6">
        <w:rPr>
          <w:rFonts w:ascii="Times New Roman" w:hAnsi="Times New Roman"/>
        </w:rPr>
        <w:t xml:space="preserve">. </w:t>
      </w:r>
      <w:r w:rsidR="00687925" w:rsidRPr="00BD10A6">
        <w:rPr>
          <w:rFonts w:ascii="Times New Roman" w:hAnsi="Times New Roman"/>
        </w:rPr>
        <w:t xml:space="preserve">The investments prompted by the 2011 </w:t>
      </w:r>
      <w:proofErr w:type="spellStart"/>
      <w:r w:rsidR="00687925" w:rsidRPr="00BD10A6">
        <w:rPr>
          <w:rFonts w:ascii="Times New Roman" w:hAnsi="Times New Roman"/>
        </w:rPr>
        <w:t>superbloom</w:t>
      </w:r>
      <w:proofErr w:type="spellEnd"/>
      <w:r w:rsidR="00687925" w:rsidRPr="00BD10A6">
        <w:rPr>
          <w:rFonts w:ascii="Times New Roman" w:hAnsi="Times New Roman"/>
        </w:rPr>
        <w:t xml:space="preserve"> generated research topics that include:</w:t>
      </w:r>
    </w:p>
    <w:p w14:paraId="74392D4C" w14:textId="373F6529" w:rsidR="00025AE2" w:rsidRPr="00BD10A6" w:rsidRDefault="00025AE2">
      <w:pPr>
        <w:pStyle w:val="ListBullet"/>
        <w:rPr>
          <w:rFonts w:ascii="Times New Roman" w:hAnsi="Times New Roman" w:cs="Times New Roman"/>
        </w:rPr>
      </w:pPr>
      <w:r w:rsidRPr="00BD10A6">
        <w:rPr>
          <w:rFonts w:ascii="Times New Roman" w:hAnsi="Times New Roman" w:cs="Times New Roman"/>
        </w:rPr>
        <w:t xml:space="preserve">Collecting data to update the bathymetry for the IRL Basin, which would be used in </w:t>
      </w:r>
      <w:r w:rsidR="00687925" w:rsidRPr="00BD10A6">
        <w:rPr>
          <w:rFonts w:ascii="Times New Roman" w:hAnsi="Times New Roman" w:cs="Times New Roman"/>
        </w:rPr>
        <w:t>evaluations of</w:t>
      </w:r>
      <w:r w:rsidRPr="00BD10A6">
        <w:rPr>
          <w:rFonts w:ascii="Times New Roman" w:hAnsi="Times New Roman" w:cs="Times New Roman"/>
        </w:rPr>
        <w:t xml:space="preserve"> seagrass depth limit</w:t>
      </w:r>
      <w:r w:rsidR="00687925" w:rsidRPr="00BD10A6">
        <w:rPr>
          <w:rFonts w:ascii="Times New Roman" w:hAnsi="Times New Roman" w:cs="Times New Roman"/>
        </w:rPr>
        <w:t>s</w:t>
      </w:r>
      <w:r w:rsidRPr="00BD10A6">
        <w:rPr>
          <w:rFonts w:ascii="Times New Roman" w:hAnsi="Times New Roman" w:cs="Times New Roman"/>
        </w:rPr>
        <w:t>.</w:t>
      </w:r>
    </w:p>
    <w:p w14:paraId="1AAC56C3" w14:textId="4BA55FFC" w:rsidR="00025AE2" w:rsidRPr="00BD10A6" w:rsidRDefault="006F1EA4">
      <w:pPr>
        <w:pStyle w:val="ListBullet"/>
        <w:rPr>
          <w:rFonts w:ascii="Times New Roman" w:hAnsi="Times New Roman" w:cs="Times New Roman"/>
        </w:rPr>
      </w:pPr>
      <w:r w:rsidRPr="00BD10A6">
        <w:rPr>
          <w:rFonts w:ascii="Times New Roman" w:hAnsi="Times New Roman" w:cs="Times New Roman"/>
        </w:rPr>
        <w:t>Continuing</w:t>
      </w:r>
      <w:r w:rsidR="00025AE2" w:rsidRPr="00BD10A6">
        <w:rPr>
          <w:rFonts w:ascii="Times New Roman" w:hAnsi="Times New Roman" w:cs="Times New Roman"/>
        </w:rPr>
        <w:t xml:space="preserve"> </w:t>
      </w:r>
      <w:r w:rsidR="00687925" w:rsidRPr="00BD10A6">
        <w:rPr>
          <w:rFonts w:ascii="Times New Roman" w:hAnsi="Times New Roman" w:cs="Times New Roman"/>
        </w:rPr>
        <w:t xml:space="preserve">coordinated monitoring of </w:t>
      </w:r>
      <w:r w:rsidR="00025AE2" w:rsidRPr="00BD10A6">
        <w:rPr>
          <w:rFonts w:ascii="Times New Roman" w:hAnsi="Times New Roman" w:cs="Times New Roman"/>
        </w:rPr>
        <w:t>phytoplankton, drift algae, and macroalgae in the basin</w:t>
      </w:r>
      <w:r w:rsidR="00687925" w:rsidRPr="00BD10A6">
        <w:rPr>
          <w:rFonts w:ascii="Times New Roman" w:hAnsi="Times New Roman" w:cs="Times New Roman"/>
        </w:rPr>
        <w:t xml:space="preserve"> to gain insights into cycling of nutrients</w:t>
      </w:r>
      <w:r w:rsidR="00025AE2" w:rsidRPr="00BD10A6">
        <w:rPr>
          <w:rFonts w:ascii="Times New Roman" w:hAnsi="Times New Roman" w:cs="Times New Roman"/>
        </w:rPr>
        <w:t>.</w:t>
      </w:r>
    </w:p>
    <w:p w14:paraId="6089376D" w14:textId="2260173F" w:rsidR="00025AE2" w:rsidRPr="00BD10A6" w:rsidRDefault="00241159" w:rsidP="009B4246">
      <w:pPr>
        <w:pStyle w:val="ListBullet"/>
        <w:rPr>
          <w:rFonts w:ascii="Times New Roman" w:hAnsi="Times New Roman" w:cs="Times New Roman"/>
        </w:rPr>
      </w:pPr>
      <w:r w:rsidRPr="00BD10A6">
        <w:rPr>
          <w:rFonts w:ascii="Times New Roman" w:hAnsi="Times New Roman" w:cs="Times New Roman"/>
        </w:rPr>
        <w:t xml:space="preserve">Data analysis of </w:t>
      </w:r>
      <w:r w:rsidR="00025AE2" w:rsidRPr="00BD10A6">
        <w:rPr>
          <w:rFonts w:ascii="Times New Roman" w:hAnsi="Times New Roman" w:cs="Times New Roman"/>
        </w:rPr>
        <w:t>storm event monitoring at the major outfalls.</w:t>
      </w:r>
    </w:p>
    <w:p w14:paraId="4FD82AAA" w14:textId="530038F3" w:rsidR="00025AE2" w:rsidRPr="00BD10A6" w:rsidRDefault="00025AE2">
      <w:pPr>
        <w:pStyle w:val="ListBullet"/>
        <w:rPr>
          <w:rFonts w:ascii="Times New Roman" w:hAnsi="Times New Roman" w:cs="Times New Roman"/>
        </w:rPr>
      </w:pPr>
      <w:r w:rsidRPr="00BD10A6">
        <w:rPr>
          <w:rFonts w:ascii="Times New Roman" w:hAnsi="Times New Roman" w:cs="Times New Roman"/>
        </w:rPr>
        <w:t>Testing/verifying the TN, TP, and seagrass depth regression equations using data collected since 1999.</w:t>
      </w:r>
    </w:p>
    <w:p w14:paraId="32E9AB7A" w14:textId="17332798" w:rsidR="00025AE2" w:rsidRPr="00BD10A6" w:rsidRDefault="006F1EA4">
      <w:pPr>
        <w:pStyle w:val="ListBullet"/>
        <w:rPr>
          <w:rFonts w:ascii="Times New Roman" w:hAnsi="Times New Roman" w:cs="Times New Roman"/>
        </w:rPr>
      </w:pPr>
      <w:r w:rsidRPr="00BD10A6">
        <w:rPr>
          <w:rFonts w:ascii="Times New Roman" w:hAnsi="Times New Roman" w:cs="Times New Roman"/>
        </w:rPr>
        <w:t>Refining load estimates</w:t>
      </w:r>
      <w:r w:rsidR="00687925" w:rsidRPr="00BD10A6">
        <w:rPr>
          <w:rFonts w:ascii="Times New Roman" w:hAnsi="Times New Roman" w:cs="Times New Roman"/>
        </w:rPr>
        <w:t xml:space="preserve"> delivered by </w:t>
      </w:r>
      <w:r w:rsidRPr="00BD10A6">
        <w:rPr>
          <w:rFonts w:ascii="Times New Roman" w:hAnsi="Times New Roman" w:cs="Times New Roman"/>
        </w:rPr>
        <w:t>baseflows</w:t>
      </w:r>
      <w:r w:rsidR="00025AE2" w:rsidRPr="00BD10A6">
        <w:rPr>
          <w:rFonts w:ascii="Times New Roman" w:hAnsi="Times New Roman" w:cs="Times New Roman"/>
        </w:rPr>
        <w:t xml:space="preserve"> and </w:t>
      </w:r>
      <w:r w:rsidR="00687925" w:rsidRPr="00BD10A6">
        <w:rPr>
          <w:rFonts w:ascii="Times New Roman" w:hAnsi="Times New Roman" w:cs="Times New Roman"/>
        </w:rPr>
        <w:t xml:space="preserve">modeling the contributions of </w:t>
      </w:r>
      <w:r w:rsidRPr="00BD10A6">
        <w:rPr>
          <w:rFonts w:ascii="Times New Roman" w:hAnsi="Times New Roman" w:cs="Times New Roman"/>
        </w:rPr>
        <w:t>baseflows</w:t>
      </w:r>
      <w:r w:rsidR="00687925" w:rsidRPr="00BD10A6">
        <w:rPr>
          <w:rFonts w:ascii="Times New Roman" w:hAnsi="Times New Roman" w:cs="Times New Roman"/>
        </w:rPr>
        <w:t>.</w:t>
      </w:r>
    </w:p>
    <w:p w14:paraId="525FCC3B" w14:textId="23768FCB" w:rsidR="00C918D8" w:rsidRPr="00BD10A6" w:rsidRDefault="006F1EA4" w:rsidP="009B4246">
      <w:pPr>
        <w:pStyle w:val="ListBullet"/>
        <w:rPr>
          <w:rFonts w:ascii="Times New Roman" w:hAnsi="Times New Roman" w:cs="Times New Roman"/>
        </w:rPr>
      </w:pPr>
      <w:r w:rsidRPr="00BD10A6">
        <w:rPr>
          <w:rFonts w:ascii="Times New Roman" w:hAnsi="Times New Roman" w:cs="Times New Roman"/>
        </w:rPr>
        <w:t>Synthesizing data on nutrient flux/internal recycling of legacy nutrient loads held within the IRL sediments and exchanged with the water column.</w:t>
      </w:r>
      <w:r w:rsidR="00C918D8" w:rsidRPr="00BD10A6">
        <w:rPr>
          <w:rFonts w:ascii="Times New Roman" w:hAnsi="Times New Roman" w:cs="Times New Roman"/>
        </w:rPr>
        <w:t xml:space="preserve"> </w:t>
      </w:r>
    </w:p>
    <w:p w14:paraId="167717EB" w14:textId="77777777" w:rsidR="00562F23" w:rsidRPr="00BD10A6" w:rsidRDefault="00562F23" w:rsidP="009B4246">
      <w:pPr>
        <w:pStyle w:val="ListBullet"/>
        <w:numPr>
          <w:ilvl w:val="0"/>
          <w:numId w:val="0"/>
        </w:numPr>
        <w:rPr>
          <w:rFonts w:ascii="Times New Roman" w:hAnsi="Times New Roman" w:cs="Times New Roman"/>
          <w:i w:val="0"/>
        </w:rPr>
      </w:pPr>
    </w:p>
    <w:p w14:paraId="3B15DC4A" w14:textId="74045B34" w:rsidR="006E7774" w:rsidRPr="00BD10A6" w:rsidRDefault="006E7774">
      <w:pPr>
        <w:pStyle w:val="ListBullet"/>
        <w:rPr>
          <w:rFonts w:ascii="Times New Roman" w:hAnsi="Times New Roman" w:cs="Times New Roman"/>
        </w:rPr>
      </w:pPr>
      <w:r w:rsidRPr="00BD10A6">
        <w:rPr>
          <w:rFonts w:ascii="Times New Roman" w:hAnsi="Times New Roman" w:cs="Times New Roman"/>
        </w:rPr>
        <w:lastRenderedPageBreak/>
        <w:t>Completing development, calibration, and validation of a water quality model</w:t>
      </w:r>
      <w:r w:rsidRPr="00BD10A6">
        <w:rPr>
          <w:rFonts w:ascii="Times New Roman" w:hAnsi="Times New Roman" w:cs="Times New Roman"/>
          <w:shd w:val="clear" w:color="auto" w:fill="FFFFFF"/>
        </w:rPr>
        <w:t> that can be used to design, site and prioritize projects that reduce loads of nutrients</w:t>
      </w:r>
      <w:r w:rsidRPr="00BD10A6">
        <w:rPr>
          <w:rFonts w:ascii="Times New Roman" w:hAnsi="Times New Roman" w:cs="Times New Roman"/>
        </w:rPr>
        <w:t xml:space="preserve"> (e.g., Hydrologic Simulation Program FORTRAN [HSPF] or S</w:t>
      </w:r>
      <w:r w:rsidR="00562F23" w:rsidRPr="00BD10A6">
        <w:rPr>
          <w:rFonts w:ascii="Times New Roman" w:hAnsi="Times New Roman" w:cs="Times New Roman"/>
        </w:rPr>
        <w:t>patial</w:t>
      </w:r>
      <w:r w:rsidRPr="00BD10A6">
        <w:rPr>
          <w:rFonts w:ascii="Times New Roman" w:hAnsi="Times New Roman" w:cs="Times New Roman"/>
        </w:rPr>
        <w:t xml:space="preserve"> Water</w:t>
      </w:r>
      <w:r w:rsidR="00562F23" w:rsidRPr="00BD10A6">
        <w:rPr>
          <w:rFonts w:ascii="Times New Roman" w:hAnsi="Times New Roman" w:cs="Times New Roman"/>
        </w:rPr>
        <w:t>shed</w:t>
      </w:r>
      <w:r w:rsidRPr="00BD10A6">
        <w:rPr>
          <w:rFonts w:ascii="Times New Roman" w:hAnsi="Times New Roman" w:cs="Times New Roman"/>
        </w:rPr>
        <w:t xml:space="preserve"> Iterative Loading </w:t>
      </w:r>
      <w:r w:rsidR="00194F16">
        <w:rPr>
          <w:rFonts w:ascii="Times New Roman" w:hAnsi="Times New Roman" w:cs="Times New Roman"/>
        </w:rPr>
        <w:t>M</w:t>
      </w:r>
      <w:r w:rsidRPr="00BD10A6">
        <w:rPr>
          <w:rFonts w:ascii="Times New Roman" w:hAnsi="Times New Roman" w:cs="Times New Roman"/>
        </w:rPr>
        <w:t xml:space="preserve">odel [SWIL </w:t>
      </w:r>
      <w:r w:rsidR="00194F16">
        <w:rPr>
          <w:rFonts w:ascii="Times New Roman" w:hAnsi="Times New Roman" w:cs="Times New Roman"/>
        </w:rPr>
        <w:t>M</w:t>
      </w:r>
      <w:r w:rsidRPr="00BD10A6">
        <w:rPr>
          <w:rFonts w:ascii="Times New Roman" w:hAnsi="Times New Roman" w:cs="Times New Roman"/>
        </w:rPr>
        <w:t>odel] coupled with Environmental Fluid Dynamics Code [EFDC] or another model that generates predictions of biological effects).</w:t>
      </w:r>
    </w:p>
    <w:p w14:paraId="2524BF14" w14:textId="00653A7B" w:rsidR="00025AE2" w:rsidRPr="00BD10A6" w:rsidRDefault="007B2E3E" w:rsidP="009B4246">
      <w:pPr>
        <w:pStyle w:val="ListBullet"/>
        <w:numPr>
          <w:ilvl w:val="0"/>
          <w:numId w:val="0"/>
        </w:numPr>
        <w:rPr>
          <w:rFonts w:ascii="Times New Roman" w:hAnsi="Times New Roman" w:cs="Times New Roman"/>
        </w:rPr>
      </w:pPr>
      <w:r w:rsidRPr="00BD10A6">
        <w:rPr>
          <w:rFonts w:ascii="Times New Roman" w:hAnsi="Times New Roman" w:cs="Times New Roman"/>
          <w:i w:val="0"/>
          <w:szCs w:val="20"/>
        </w:rPr>
        <w:t>T</w:t>
      </w:r>
      <w:r w:rsidR="00025AE2" w:rsidRPr="00BD10A6">
        <w:rPr>
          <w:rFonts w:ascii="Times New Roman" w:hAnsi="Times New Roman" w:cs="Times New Roman"/>
          <w:i w:val="0"/>
          <w:szCs w:val="20"/>
        </w:rPr>
        <w:t xml:space="preserve">he stakeholders will </w:t>
      </w:r>
      <w:r w:rsidRPr="00BD10A6">
        <w:rPr>
          <w:rFonts w:ascii="Times New Roman" w:hAnsi="Times New Roman" w:cs="Times New Roman"/>
          <w:i w:val="0"/>
          <w:szCs w:val="20"/>
        </w:rPr>
        <w:t xml:space="preserve">continue to </w:t>
      </w:r>
      <w:r w:rsidR="00025AE2" w:rsidRPr="00BD10A6">
        <w:rPr>
          <w:rFonts w:ascii="Times New Roman" w:hAnsi="Times New Roman" w:cs="Times New Roman"/>
          <w:i w:val="0"/>
          <w:szCs w:val="20"/>
        </w:rPr>
        <w:t xml:space="preserve">work with </w:t>
      </w:r>
      <w:r w:rsidR="00D06314" w:rsidRPr="00BD10A6">
        <w:rPr>
          <w:rFonts w:ascii="Times New Roman" w:hAnsi="Times New Roman" w:cs="Times New Roman"/>
          <w:i w:val="0"/>
          <w:szCs w:val="20"/>
        </w:rPr>
        <w:t>DEP</w:t>
      </w:r>
      <w:r w:rsidR="00025AE2" w:rsidRPr="00BD10A6">
        <w:rPr>
          <w:rFonts w:ascii="Times New Roman" w:hAnsi="Times New Roman" w:cs="Times New Roman"/>
          <w:i w:val="0"/>
          <w:szCs w:val="20"/>
        </w:rPr>
        <w:t xml:space="preserve"> and IRL NEP to identify other research needs, prioritize these needs, and develop scopes of work to address research </w:t>
      </w:r>
      <w:r w:rsidRPr="00BD10A6">
        <w:rPr>
          <w:rFonts w:ascii="Times New Roman" w:hAnsi="Times New Roman" w:cs="Times New Roman"/>
          <w:i w:val="0"/>
          <w:szCs w:val="20"/>
        </w:rPr>
        <w:t>priorities as appropriate</w:t>
      </w:r>
      <w:r w:rsidR="00D06314" w:rsidRPr="00BD10A6">
        <w:rPr>
          <w:rFonts w:ascii="Times New Roman" w:hAnsi="Times New Roman" w:cs="Times New Roman"/>
          <w:i w:val="0"/>
          <w:szCs w:val="20"/>
        </w:rPr>
        <w:t xml:space="preserve">. </w:t>
      </w:r>
      <w:r w:rsidR="00025AE2" w:rsidRPr="00BD10A6">
        <w:rPr>
          <w:rFonts w:ascii="Times New Roman" w:hAnsi="Times New Roman" w:cs="Times New Roman"/>
          <w:i w:val="0"/>
          <w:szCs w:val="20"/>
        </w:rPr>
        <w:t xml:space="preserve">This information </w:t>
      </w:r>
      <w:r w:rsidR="006F1EA4" w:rsidRPr="00BD10A6">
        <w:rPr>
          <w:rFonts w:ascii="Times New Roman" w:hAnsi="Times New Roman" w:cs="Times New Roman"/>
          <w:i w:val="0"/>
          <w:szCs w:val="20"/>
        </w:rPr>
        <w:t>may</w:t>
      </w:r>
      <w:r w:rsidR="00025AE2" w:rsidRPr="00BD10A6">
        <w:rPr>
          <w:rFonts w:ascii="Times New Roman" w:hAnsi="Times New Roman" w:cs="Times New Roman"/>
          <w:i w:val="0"/>
          <w:szCs w:val="20"/>
        </w:rPr>
        <w:t xml:space="preserve"> be organized in a more detailed research plan that </w:t>
      </w:r>
      <w:r w:rsidRPr="00BD10A6">
        <w:rPr>
          <w:rFonts w:ascii="Times New Roman" w:hAnsi="Times New Roman" w:cs="Times New Roman"/>
          <w:i w:val="0"/>
          <w:szCs w:val="20"/>
        </w:rPr>
        <w:t xml:space="preserve">could </w:t>
      </w:r>
      <w:r w:rsidR="00025AE2" w:rsidRPr="00BD10A6">
        <w:rPr>
          <w:rFonts w:ascii="Times New Roman" w:hAnsi="Times New Roman" w:cs="Times New Roman"/>
          <w:i w:val="0"/>
          <w:szCs w:val="20"/>
        </w:rPr>
        <w:t>be used to guide future efforts, as funding becomes available</w:t>
      </w:r>
      <w:r w:rsidR="00D06314" w:rsidRPr="00BD10A6">
        <w:rPr>
          <w:rFonts w:ascii="Times New Roman" w:hAnsi="Times New Roman" w:cs="Times New Roman"/>
          <w:i w:val="0"/>
          <w:szCs w:val="20"/>
        </w:rPr>
        <w:t xml:space="preserve">. </w:t>
      </w:r>
      <w:r w:rsidR="00025AE2" w:rsidRPr="00BD10A6">
        <w:rPr>
          <w:rFonts w:ascii="Times New Roman" w:hAnsi="Times New Roman" w:cs="Times New Roman"/>
          <w:i w:val="0"/>
          <w:szCs w:val="20"/>
        </w:rPr>
        <w:t>These research projects are not BMAP requirements but would provide valuable information for future assessments of the health of the North IRL.</w:t>
      </w:r>
    </w:p>
    <w:p w14:paraId="76572149" w14:textId="77777777" w:rsidR="00025AE2" w:rsidRPr="00BD10A6" w:rsidRDefault="00025AE2" w:rsidP="009B4246">
      <w:pPr>
        <w:pStyle w:val="BodyText"/>
        <w:rPr>
          <w:rFonts w:ascii="Times New Roman" w:hAnsi="Times New Roman"/>
        </w:rPr>
      </w:pPr>
    </w:p>
    <w:p w14:paraId="7F19FE1A" w14:textId="77777777" w:rsidR="00C918D8" w:rsidRPr="00BD10A6" w:rsidRDefault="00C918D8">
      <w:pPr>
        <w:rPr>
          <w:rFonts w:ascii="Times New Roman" w:hAnsi="Times New Roman"/>
        </w:rPr>
      </w:pPr>
    </w:p>
    <w:sectPr w:rsidR="00C918D8" w:rsidRPr="00BD10A6" w:rsidSect="003C476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5CEB4" w14:textId="77777777" w:rsidR="00D259B2" w:rsidRDefault="00D259B2" w:rsidP="00025AE2">
      <w:r>
        <w:separator/>
      </w:r>
    </w:p>
  </w:endnote>
  <w:endnote w:type="continuationSeparator" w:id="0">
    <w:p w14:paraId="44D46520" w14:textId="77777777" w:rsidR="00D259B2" w:rsidRDefault="00D259B2" w:rsidP="00025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auto"/>
    <w:pitch w:val="variable"/>
    <w:sig w:usb0="00000003" w:usb1="00000000" w:usb2="00000000" w:usb3="00000000" w:csb0="00000001" w:csb1="00000000"/>
  </w:font>
  <w:font w:name="Century Schoolbook">
    <w:altName w:val="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0"/>
        <w:szCs w:val="18"/>
      </w:rPr>
      <w:id w:val="-767465973"/>
      <w:docPartObj>
        <w:docPartGallery w:val="Page Numbers (Bottom of Page)"/>
        <w:docPartUnique/>
      </w:docPartObj>
    </w:sdtPr>
    <w:sdtEndPr/>
    <w:sdtContent>
      <w:sdt>
        <w:sdtPr>
          <w:rPr>
            <w:rFonts w:ascii="Times New Roman" w:hAnsi="Times New Roman"/>
            <w:sz w:val="20"/>
            <w:szCs w:val="18"/>
          </w:rPr>
          <w:id w:val="1728636285"/>
          <w:docPartObj>
            <w:docPartGallery w:val="Page Numbers (Top of Page)"/>
            <w:docPartUnique/>
          </w:docPartObj>
        </w:sdtPr>
        <w:sdtEndPr/>
        <w:sdtContent>
          <w:p w14:paraId="59336787" w14:textId="38B962EC" w:rsidR="00BE0C00" w:rsidRPr="00BD10A6" w:rsidRDefault="00BE0C00">
            <w:pPr>
              <w:pStyle w:val="Footer"/>
              <w:jc w:val="center"/>
              <w:rPr>
                <w:rFonts w:ascii="Times New Roman" w:hAnsi="Times New Roman"/>
                <w:sz w:val="20"/>
                <w:szCs w:val="18"/>
              </w:rPr>
            </w:pPr>
            <w:r w:rsidRPr="00BD10A6">
              <w:rPr>
                <w:rFonts w:ascii="Times New Roman" w:hAnsi="Times New Roman"/>
                <w:sz w:val="20"/>
                <w:szCs w:val="18"/>
              </w:rPr>
              <w:t xml:space="preserve">Page </w:t>
            </w:r>
            <w:r w:rsidRPr="00BD10A6">
              <w:rPr>
                <w:rFonts w:ascii="Times New Roman" w:hAnsi="Times New Roman"/>
                <w:szCs w:val="22"/>
              </w:rPr>
              <w:fldChar w:fldCharType="begin"/>
            </w:r>
            <w:r w:rsidRPr="00BD10A6">
              <w:rPr>
                <w:rFonts w:ascii="Times New Roman" w:hAnsi="Times New Roman"/>
                <w:sz w:val="20"/>
                <w:szCs w:val="18"/>
              </w:rPr>
              <w:instrText xml:space="preserve"> PAGE </w:instrText>
            </w:r>
            <w:r w:rsidRPr="00BD10A6">
              <w:rPr>
                <w:rFonts w:ascii="Times New Roman" w:hAnsi="Times New Roman"/>
                <w:szCs w:val="22"/>
              </w:rPr>
              <w:fldChar w:fldCharType="separate"/>
            </w:r>
            <w:r w:rsidRPr="00BD10A6">
              <w:rPr>
                <w:rFonts w:ascii="Times New Roman" w:hAnsi="Times New Roman"/>
                <w:noProof/>
                <w:sz w:val="20"/>
                <w:szCs w:val="18"/>
              </w:rPr>
              <w:t>2</w:t>
            </w:r>
            <w:r w:rsidRPr="00BD10A6">
              <w:rPr>
                <w:rFonts w:ascii="Times New Roman" w:hAnsi="Times New Roman"/>
                <w:szCs w:val="22"/>
              </w:rPr>
              <w:fldChar w:fldCharType="end"/>
            </w:r>
            <w:r w:rsidRPr="00BD10A6">
              <w:rPr>
                <w:rFonts w:ascii="Times New Roman" w:hAnsi="Times New Roman"/>
                <w:sz w:val="20"/>
                <w:szCs w:val="18"/>
              </w:rPr>
              <w:t xml:space="preserve"> of </w:t>
            </w:r>
            <w:r w:rsidRPr="00BD10A6">
              <w:rPr>
                <w:rFonts w:ascii="Times New Roman" w:hAnsi="Times New Roman"/>
                <w:szCs w:val="22"/>
              </w:rPr>
              <w:fldChar w:fldCharType="begin"/>
            </w:r>
            <w:r w:rsidRPr="00BD10A6">
              <w:rPr>
                <w:rFonts w:ascii="Times New Roman" w:hAnsi="Times New Roman"/>
                <w:sz w:val="20"/>
                <w:szCs w:val="18"/>
              </w:rPr>
              <w:instrText xml:space="preserve"> NUMPAGES  </w:instrText>
            </w:r>
            <w:r w:rsidRPr="00BD10A6">
              <w:rPr>
                <w:rFonts w:ascii="Times New Roman" w:hAnsi="Times New Roman"/>
                <w:szCs w:val="22"/>
              </w:rPr>
              <w:fldChar w:fldCharType="separate"/>
            </w:r>
            <w:r w:rsidRPr="00BD10A6">
              <w:rPr>
                <w:rFonts w:ascii="Times New Roman" w:hAnsi="Times New Roman"/>
                <w:noProof/>
                <w:sz w:val="20"/>
                <w:szCs w:val="18"/>
              </w:rPr>
              <w:t>2</w:t>
            </w:r>
            <w:r w:rsidRPr="00BD10A6">
              <w:rPr>
                <w:rFonts w:ascii="Times New Roman" w:hAnsi="Times New Roman"/>
                <w:szCs w:val="22"/>
              </w:rPr>
              <w:fldChar w:fldCharType="end"/>
            </w:r>
          </w:p>
        </w:sdtContent>
      </w:sdt>
    </w:sdtContent>
  </w:sdt>
  <w:p w14:paraId="4762EEAF" w14:textId="77777777" w:rsidR="00C918D8" w:rsidRPr="00BD10A6" w:rsidRDefault="00C918D8">
    <w:pPr>
      <w:pStyle w:val="Footer"/>
      <w:rPr>
        <w:rFonts w:ascii="Times New Roman" w:hAnsi="Times New Roman"/>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CCF56" w14:textId="77777777" w:rsidR="00D259B2" w:rsidRDefault="00D259B2" w:rsidP="00025AE2">
      <w:r>
        <w:separator/>
      </w:r>
    </w:p>
  </w:footnote>
  <w:footnote w:type="continuationSeparator" w:id="0">
    <w:p w14:paraId="58DDD794" w14:textId="77777777" w:rsidR="00D259B2" w:rsidRDefault="00D259B2" w:rsidP="00025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93DD1" w14:textId="75543B32" w:rsidR="00C918D8" w:rsidRPr="00BD10A6" w:rsidRDefault="00C918D8" w:rsidP="00025AE2">
    <w:pPr>
      <w:rPr>
        <w:rFonts w:ascii="Times New Roman" w:hAnsi="Times New Roman"/>
        <w:i/>
        <w:iCs/>
      </w:rPr>
    </w:pPr>
    <w:r w:rsidRPr="00BD10A6">
      <w:rPr>
        <w:rFonts w:ascii="Times New Roman" w:hAnsi="Times New Roman"/>
        <w:i/>
        <w:iCs/>
      </w:rPr>
      <w:t>Draft North Indian River Lagoon BMAP Monitoring Section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3AE4B74"/>
    <w:lvl w:ilvl="0">
      <w:start w:val="1"/>
      <w:numFmt w:val="bullet"/>
      <w:pStyle w:val="ListBullet"/>
      <w:lvlText w:val=""/>
      <w:lvlJc w:val="left"/>
      <w:pPr>
        <w:tabs>
          <w:tab w:val="num" w:pos="432"/>
        </w:tabs>
        <w:ind w:left="432" w:hanging="432"/>
      </w:pPr>
      <w:rPr>
        <w:rFonts w:ascii="Symbol" w:hAnsi="Symbol" w:hint="default"/>
      </w:rPr>
    </w:lvl>
  </w:abstractNum>
  <w:abstractNum w:abstractNumId="1" w15:restartNumberingAfterBreak="0">
    <w:nsid w:val="7F677088"/>
    <w:multiLevelType w:val="multilevel"/>
    <w:tmpl w:val="1DF801EA"/>
    <w:lvl w:ilvl="0">
      <w:start w:val="1"/>
      <w:numFmt w:val="decimal"/>
      <w:pStyle w:val="Heading1"/>
      <w:suff w:val="nothing"/>
      <w:lvlText w:val="Chapter %1"/>
      <w:lvlJc w:val="left"/>
      <w:pPr>
        <w:ind w:left="432" w:hanging="432"/>
      </w:pPr>
      <w:rPr>
        <w:rFonts w:ascii="Arial Bold" w:hAnsi="Arial Bold" w:hint="default"/>
        <w:b/>
        <w:i w:val="0"/>
        <w:caps/>
        <w:strike w:val="0"/>
        <w:dstrike w:val="0"/>
        <w:outline w:val="0"/>
        <w:shadow w:val="0"/>
        <w:emboss w:val="0"/>
        <w:imprint w:val="0"/>
        <w:vanish w:val="0"/>
        <w:sz w:val="32"/>
        <w:szCs w:val="32"/>
        <w:vertAlign w:val="baseline"/>
      </w:rPr>
    </w:lvl>
    <w:lvl w:ilvl="1">
      <w:start w:val="1"/>
      <w:numFmt w:val="decimal"/>
      <w:pStyle w:val="Heading2"/>
      <w:lvlText w:val="%1.%2"/>
      <w:lvlJc w:val="left"/>
      <w:pPr>
        <w:tabs>
          <w:tab w:val="num" w:pos="576"/>
        </w:tabs>
        <w:ind w:left="576" w:hanging="57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864"/>
        </w:tabs>
        <w:ind w:left="864" w:hanging="864"/>
      </w:pPr>
      <w:rPr>
        <w:rFonts w:ascii="Arial Bold" w:hAnsi="Arial Bold" w:hint="default"/>
        <w:b/>
        <w:i w:val="0"/>
        <w:sz w:val="24"/>
        <w:szCs w:val="24"/>
      </w:rPr>
    </w:lvl>
    <w:lvl w:ilvl="4">
      <w:start w:val="1"/>
      <w:numFmt w:val="decimal"/>
      <w:pStyle w:val="Heading5"/>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1"/>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AE2"/>
    <w:rsid w:val="00022A9E"/>
    <w:rsid w:val="00025AE2"/>
    <w:rsid w:val="00035026"/>
    <w:rsid w:val="00083694"/>
    <w:rsid w:val="00086A0B"/>
    <w:rsid w:val="0009232F"/>
    <w:rsid w:val="000D54B5"/>
    <w:rsid w:val="00100362"/>
    <w:rsid w:val="00130801"/>
    <w:rsid w:val="00135478"/>
    <w:rsid w:val="0013773B"/>
    <w:rsid w:val="0018268C"/>
    <w:rsid w:val="00194F16"/>
    <w:rsid w:val="001E309E"/>
    <w:rsid w:val="00241159"/>
    <w:rsid w:val="00263858"/>
    <w:rsid w:val="002953DD"/>
    <w:rsid w:val="002A5791"/>
    <w:rsid w:val="002F448C"/>
    <w:rsid w:val="003230BB"/>
    <w:rsid w:val="003C476C"/>
    <w:rsid w:val="003D25EB"/>
    <w:rsid w:val="0042333B"/>
    <w:rsid w:val="00453690"/>
    <w:rsid w:val="00471BE3"/>
    <w:rsid w:val="004F009F"/>
    <w:rsid w:val="00512626"/>
    <w:rsid w:val="005428B3"/>
    <w:rsid w:val="00562F23"/>
    <w:rsid w:val="00577A37"/>
    <w:rsid w:val="005C5BB0"/>
    <w:rsid w:val="00604438"/>
    <w:rsid w:val="006230F8"/>
    <w:rsid w:val="0065725C"/>
    <w:rsid w:val="0066616F"/>
    <w:rsid w:val="00687925"/>
    <w:rsid w:val="006C2B1E"/>
    <w:rsid w:val="006C4792"/>
    <w:rsid w:val="006D2CC3"/>
    <w:rsid w:val="006E7774"/>
    <w:rsid w:val="006F0200"/>
    <w:rsid w:val="006F1EA4"/>
    <w:rsid w:val="00705D1F"/>
    <w:rsid w:val="007135B7"/>
    <w:rsid w:val="0075141D"/>
    <w:rsid w:val="007626B4"/>
    <w:rsid w:val="00764074"/>
    <w:rsid w:val="007820A6"/>
    <w:rsid w:val="00793ECE"/>
    <w:rsid w:val="007948E0"/>
    <w:rsid w:val="007B2E3E"/>
    <w:rsid w:val="00801E82"/>
    <w:rsid w:val="008216D9"/>
    <w:rsid w:val="00836E5F"/>
    <w:rsid w:val="008377BE"/>
    <w:rsid w:val="008614BE"/>
    <w:rsid w:val="00891734"/>
    <w:rsid w:val="00952526"/>
    <w:rsid w:val="009A2123"/>
    <w:rsid w:val="009A5F77"/>
    <w:rsid w:val="009B4246"/>
    <w:rsid w:val="009D3973"/>
    <w:rsid w:val="009F723F"/>
    <w:rsid w:val="00A04908"/>
    <w:rsid w:val="00AA7C97"/>
    <w:rsid w:val="00AD3269"/>
    <w:rsid w:val="00B14E19"/>
    <w:rsid w:val="00B468DA"/>
    <w:rsid w:val="00B52935"/>
    <w:rsid w:val="00B61580"/>
    <w:rsid w:val="00B931C2"/>
    <w:rsid w:val="00BB161B"/>
    <w:rsid w:val="00BB5FE1"/>
    <w:rsid w:val="00BC213C"/>
    <w:rsid w:val="00BD10A6"/>
    <w:rsid w:val="00BE0C00"/>
    <w:rsid w:val="00C23F94"/>
    <w:rsid w:val="00C26CEB"/>
    <w:rsid w:val="00C918D8"/>
    <w:rsid w:val="00CB2A46"/>
    <w:rsid w:val="00CD1124"/>
    <w:rsid w:val="00D05215"/>
    <w:rsid w:val="00D06314"/>
    <w:rsid w:val="00D259B2"/>
    <w:rsid w:val="00D4242B"/>
    <w:rsid w:val="00D54341"/>
    <w:rsid w:val="00E802D6"/>
    <w:rsid w:val="00EA6FEE"/>
    <w:rsid w:val="00EB07FA"/>
    <w:rsid w:val="00EB1B0E"/>
    <w:rsid w:val="00ED5587"/>
    <w:rsid w:val="00EE52B2"/>
    <w:rsid w:val="00F66176"/>
    <w:rsid w:val="00FA5622"/>
    <w:rsid w:val="00FD3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4AFC8"/>
  <w15:chartTrackingRefBased/>
  <w15:docId w15:val="{E616F322-D5A2-4ED2-9029-9B11DDEED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25AE2"/>
    <w:pPr>
      <w:spacing w:after="0" w:line="240" w:lineRule="auto"/>
      <w:jc w:val="both"/>
    </w:pPr>
    <w:rPr>
      <w:rFonts w:ascii="Arial" w:eastAsia="Times New Roman" w:hAnsi="Arial" w:cs="Times New Roman"/>
      <w:szCs w:val="20"/>
    </w:rPr>
  </w:style>
  <w:style w:type="paragraph" w:styleId="Heading1">
    <w:name w:val="heading 1"/>
    <w:basedOn w:val="Normal"/>
    <w:next w:val="Normal"/>
    <w:link w:val="Heading1Char"/>
    <w:qFormat/>
    <w:rsid w:val="00025AE2"/>
    <w:pPr>
      <w:keepNext/>
      <w:numPr>
        <w:numId w:val="1"/>
      </w:numPr>
      <w:pBdr>
        <w:bottom w:val="single" w:sz="18" w:space="1" w:color="auto"/>
      </w:pBdr>
      <w:spacing w:before="240" w:after="60"/>
      <w:jc w:val="center"/>
      <w:outlineLvl w:val="0"/>
    </w:pPr>
    <w:rPr>
      <w:rFonts w:ascii="Arial Bold" w:hAnsi="Arial Bold" w:cs="Arial"/>
      <w:b/>
      <w:bCs/>
      <w:smallCaps/>
      <w:kern w:val="32"/>
      <w:sz w:val="32"/>
      <w:szCs w:val="32"/>
    </w:rPr>
  </w:style>
  <w:style w:type="paragraph" w:styleId="Heading2">
    <w:name w:val="heading 2"/>
    <w:basedOn w:val="Normal"/>
    <w:next w:val="Normal"/>
    <w:link w:val="Heading2Char"/>
    <w:qFormat/>
    <w:rsid w:val="003230BB"/>
    <w:pPr>
      <w:keepNext/>
      <w:numPr>
        <w:ilvl w:val="1"/>
        <w:numId w:val="1"/>
      </w:numPr>
      <w:spacing w:before="240" w:after="60"/>
      <w:outlineLvl w:val="1"/>
    </w:pPr>
    <w:rPr>
      <w:rFonts w:ascii="Times New Roman" w:hAnsi="Times New Roman" w:cs="Arial"/>
      <w:b/>
      <w:bCs/>
      <w:iCs/>
      <w:smallCaps/>
      <w:sz w:val="28"/>
      <w:szCs w:val="28"/>
    </w:rPr>
  </w:style>
  <w:style w:type="paragraph" w:styleId="Heading3">
    <w:name w:val="heading 3"/>
    <w:basedOn w:val="Normal"/>
    <w:next w:val="Normal"/>
    <w:link w:val="Heading3Char"/>
    <w:qFormat/>
    <w:rsid w:val="003230BB"/>
    <w:pPr>
      <w:keepNext/>
      <w:numPr>
        <w:ilvl w:val="2"/>
        <w:numId w:val="1"/>
      </w:numPr>
      <w:spacing w:before="240" w:after="60"/>
      <w:outlineLvl w:val="2"/>
    </w:pPr>
    <w:rPr>
      <w:rFonts w:ascii="Times New Roman" w:hAnsi="Times New Roman"/>
      <w:b/>
      <w:bCs/>
      <w:i/>
      <w:smallCaps/>
      <w:sz w:val="24"/>
      <w:szCs w:val="24"/>
    </w:rPr>
  </w:style>
  <w:style w:type="paragraph" w:styleId="Heading4">
    <w:name w:val="heading 4"/>
    <w:basedOn w:val="Normal"/>
    <w:next w:val="Normal"/>
    <w:link w:val="Heading4Char"/>
    <w:qFormat/>
    <w:rsid w:val="00025AE2"/>
    <w:pPr>
      <w:keepNext/>
      <w:numPr>
        <w:ilvl w:val="3"/>
        <w:numId w:val="1"/>
      </w:numPr>
      <w:spacing w:before="240" w:after="60"/>
      <w:ind w:left="0" w:firstLine="0"/>
      <w:outlineLvl w:val="3"/>
    </w:pPr>
    <w:rPr>
      <w:b/>
      <w:bCs/>
      <w:sz w:val="24"/>
      <w:szCs w:val="28"/>
    </w:rPr>
  </w:style>
  <w:style w:type="paragraph" w:styleId="Heading5">
    <w:name w:val="heading 5"/>
    <w:basedOn w:val="Normal"/>
    <w:next w:val="Normal"/>
    <w:link w:val="Heading5Char"/>
    <w:qFormat/>
    <w:rsid w:val="00025AE2"/>
    <w:pPr>
      <w:numPr>
        <w:ilvl w:val="4"/>
        <w:numId w:val="1"/>
      </w:numPr>
      <w:spacing w:before="240" w:after="60"/>
      <w:outlineLvl w:val="4"/>
    </w:pPr>
    <w:rPr>
      <w:b/>
      <w:bCs/>
      <w:iCs/>
      <w:sz w:val="24"/>
      <w:szCs w:val="26"/>
    </w:rPr>
  </w:style>
  <w:style w:type="paragraph" w:styleId="Heading6">
    <w:name w:val="heading 6"/>
    <w:basedOn w:val="Normal"/>
    <w:next w:val="Normal"/>
    <w:link w:val="Heading6Char"/>
    <w:qFormat/>
    <w:rsid w:val="00025AE2"/>
    <w:pPr>
      <w:numPr>
        <w:ilvl w:val="5"/>
        <w:numId w:val="1"/>
      </w:numPr>
      <w:spacing w:before="240" w:after="60"/>
      <w:outlineLvl w:val="5"/>
    </w:pPr>
    <w:rPr>
      <w:b/>
      <w:bCs/>
      <w:sz w:val="24"/>
      <w:szCs w:val="22"/>
    </w:rPr>
  </w:style>
  <w:style w:type="paragraph" w:styleId="Heading7">
    <w:name w:val="heading 7"/>
    <w:basedOn w:val="Normal"/>
    <w:next w:val="Normal"/>
    <w:link w:val="Heading7Char"/>
    <w:qFormat/>
    <w:rsid w:val="00025AE2"/>
    <w:pPr>
      <w:numPr>
        <w:ilvl w:val="6"/>
        <w:numId w:val="1"/>
      </w:numPr>
      <w:spacing w:before="240" w:after="60"/>
      <w:outlineLvl w:val="6"/>
    </w:pPr>
    <w:rPr>
      <w:b/>
      <w:sz w:val="24"/>
      <w:szCs w:val="24"/>
    </w:rPr>
  </w:style>
  <w:style w:type="paragraph" w:styleId="Heading8">
    <w:name w:val="heading 8"/>
    <w:basedOn w:val="Normal"/>
    <w:next w:val="Normal"/>
    <w:link w:val="Heading8Char"/>
    <w:qFormat/>
    <w:rsid w:val="00025AE2"/>
    <w:pPr>
      <w:numPr>
        <w:ilvl w:val="7"/>
        <w:numId w:val="1"/>
      </w:numPr>
      <w:spacing w:before="240" w:after="60"/>
      <w:outlineLvl w:val="7"/>
    </w:pPr>
    <w:rPr>
      <w:b/>
      <w:iCs/>
      <w:sz w:val="24"/>
      <w:szCs w:val="24"/>
    </w:rPr>
  </w:style>
  <w:style w:type="paragraph" w:styleId="Heading9">
    <w:name w:val="heading 9"/>
    <w:basedOn w:val="Normal"/>
    <w:next w:val="Normal"/>
    <w:link w:val="Heading9Char"/>
    <w:qFormat/>
    <w:rsid w:val="00025AE2"/>
    <w:pPr>
      <w:numPr>
        <w:ilvl w:val="8"/>
        <w:numId w:val="1"/>
      </w:numPr>
      <w:spacing w:before="240" w:after="60"/>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25AE2"/>
    <w:rPr>
      <w:rFonts w:ascii="Arial Bold" w:eastAsia="Times New Roman" w:hAnsi="Arial Bold" w:cs="Arial"/>
      <w:b/>
      <w:bCs/>
      <w:smallCaps/>
      <w:kern w:val="32"/>
      <w:sz w:val="32"/>
      <w:szCs w:val="32"/>
    </w:rPr>
  </w:style>
  <w:style w:type="character" w:customStyle="1" w:styleId="Heading2Char">
    <w:name w:val="Heading 2 Char"/>
    <w:basedOn w:val="DefaultParagraphFont"/>
    <w:link w:val="Heading2"/>
    <w:rsid w:val="003230BB"/>
    <w:rPr>
      <w:rFonts w:ascii="Times New Roman" w:eastAsia="Times New Roman" w:hAnsi="Times New Roman" w:cs="Arial"/>
      <w:b/>
      <w:bCs/>
      <w:iCs/>
      <w:smallCaps/>
      <w:sz w:val="28"/>
      <w:szCs w:val="28"/>
    </w:rPr>
  </w:style>
  <w:style w:type="character" w:customStyle="1" w:styleId="Heading3Char">
    <w:name w:val="Heading 3 Char"/>
    <w:basedOn w:val="DefaultParagraphFont"/>
    <w:link w:val="Heading3"/>
    <w:rsid w:val="003230BB"/>
    <w:rPr>
      <w:rFonts w:ascii="Times New Roman" w:eastAsia="Times New Roman" w:hAnsi="Times New Roman" w:cs="Times New Roman"/>
      <w:b/>
      <w:bCs/>
      <w:i/>
      <w:smallCaps/>
      <w:sz w:val="24"/>
      <w:szCs w:val="24"/>
    </w:rPr>
  </w:style>
  <w:style w:type="character" w:customStyle="1" w:styleId="Heading4Char">
    <w:name w:val="Heading 4 Char"/>
    <w:basedOn w:val="DefaultParagraphFont"/>
    <w:link w:val="Heading4"/>
    <w:rsid w:val="00025AE2"/>
    <w:rPr>
      <w:rFonts w:ascii="Arial" w:eastAsia="Times New Roman" w:hAnsi="Arial" w:cs="Times New Roman"/>
      <w:b/>
      <w:bCs/>
      <w:sz w:val="24"/>
      <w:szCs w:val="28"/>
    </w:rPr>
  </w:style>
  <w:style w:type="character" w:customStyle="1" w:styleId="Heading5Char">
    <w:name w:val="Heading 5 Char"/>
    <w:basedOn w:val="DefaultParagraphFont"/>
    <w:link w:val="Heading5"/>
    <w:rsid w:val="00025AE2"/>
    <w:rPr>
      <w:rFonts w:ascii="Arial" w:eastAsia="Times New Roman" w:hAnsi="Arial" w:cs="Times New Roman"/>
      <w:b/>
      <w:bCs/>
      <w:iCs/>
      <w:sz w:val="24"/>
      <w:szCs w:val="26"/>
    </w:rPr>
  </w:style>
  <w:style w:type="character" w:customStyle="1" w:styleId="Heading6Char">
    <w:name w:val="Heading 6 Char"/>
    <w:basedOn w:val="DefaultParagraphFont"/>
    <w:link w:val="Heading6"/>
    <w:rsid w:val="00025AE2"/>
    <w:rPr>
      <w:rFonts w:ascii="Arial" w:eastAsia="Times New Roman" w:hAnsi="Arial" w:cs="Times New Roman"/>
      <w:b/>
      <w:bCs/>
      <w:sz w:val="24"/>
    </w:rPr>
  </w:style>
  <w:style w:type="character" w:customStyle="1" w:styleId="Heading7Char">
    <w:name w:val="Heading 7 Char"/>
    <w:basedOn w:val="DefaultParagraphFont"/>
    <w:link w:val="Heading7"/>
    <w:rsid w:val="00025AE2"/>
    <w:rPr>
      <w:rFonts w:ascii="Arial" w:eastAsia="Times New Roman" w:hAnsi="Arial" w:cs="Times New Roman"/>
      <w:b/>
      <w:sz w:val="24"/>
      <w:szCs w:val="24"/>
    </w:rPr>
  </w:style>
  <w:style w:type="character" w:customStyle="1" w:styleId="Heading8Char">
    <w:name w:val="Heading 8 Char"/>
    <w:basedOn w:val="DefaultParagraphFont"/>
    <w:link w:val="Heading8"/>
    <w:rsid w:val="00025AE2"/>
    <w:rPr>
      <w:rFonts w:ascii="Arial" w:eastAsia="Times New Roman" w:hAnsi="Arial" w:cs="Times New Roman"/>
      <w:b/>
      <w:iCs/>
      <w:sz w:val="24"/>
      <w:szCs w:val="24"/>
    </w:rPr>
  </w:style>
  <w:style w:type="character" w:customStyle="1" w:styleId="Heading9Char">
    <w:name w:val="Heading 9 Char"/>
    <w:basedOn w:val="DefaultParagraphFont"/>
    <w:link w:val="Heading9"/>
    <w:rsid w:val="00025AE2"/>
    <w:rPr>
      <w:rFonts w:ascii="Arial" w:eastAsia="Times New Roman" w:hAnsi="Arial" w:cs="Arial"/>
      <w:b/>
      <w:sz w:val="24"/>
    </w:rPr>
  </w:style>
  <w:style w:type="paragraph" w:customStyle="1" w:styleId="Table">
    <w:name w:val="Table"/>
    <w:next w:val="BodyText"/>
    <w:qFormat/>
    <w:rsid w:val="00025AE2"/>
    <w:pPr>
      <w:spacing w:after="0" w:line="240" w:lineRule="auto"/>
      <w:jc w:val="center"/>
    </w:pPr>
    <w:rPr>
      <w:rFonts w:ascii="Arial Bold" w:eastAsia="Times New Roman" w:hAnsi="Arial Bold" w:cs="Times New Roman"/>
      <w:b/>
      <w:smallCaps/>
    </w:rPr>
  </w:style>
  <w:style w:type="paragraph" w:customStyle="1" w:styleId="Figure">
    <w:name w:val="Figure"/>
    <w:next w:val="BodyText"/>
    <w:qFormat/>
    <w:rsid w:val="00025AE2"/>
    <w:pPr>
      <w:spacing w:after="0" w:line="240" w:lineRule="auto"/>
      <w:jc w:val="center"/>
    </w:pPr>
    <w:rPr>
      <w:rFonts w:ascii="Arial Bold" w:eastAsia="Times New Roman" w:hAnsi="Arial Bold" w:cs="Times New Roman"/>
      <w:b/>
      <w:smallCaps/>
    </w:rPr>
  </w:style>
  <w:style w:type="paragraph" w:styleId="BodyText">
    <w:name w:val="Body Text"/>
    <w:basedOn w:val="Normal"/>
    <w:link w:val="BodyTextChar"/>
    <w:qFormat/>
    <w:rsid w:val="00025AE2"/>
    <w:pPr>
      <w:spacing w:after="120"/>
    </w:pPr>
  </w:style>
  <w:style w:type="character" w:customStyle="1" w:styleId="BodyTextChar">
    <w:name w:val="Body Text Char"/>
    <w:basedOn w:val="DefaultParagraphFont"/>
    <w:link w:val="BodyText"/>
    <w:rsid w:val="00025AE2"/>
    <w:rPr>
      <w:rFonts w:ascii="Arial" w:eastAsia="Times New Roman" w:hAnsi="Arial" w:cs="Times New Roman"/>
      <w:szCs w:val="20"/>
    </w:rPr>
  </w:style>
  <w:style w:type="character" w:styleId="Hyperlink">
    <w:name w:val="Hyperlink"/>
    <w:basedOn w:val="DefaultParagraphFont"/>
    <w:uiPriority w:val="99"/>
    <w:rsid w:val="00025AE2"/>
    <w:rPr>
      <w:color w:val="0000FF"/>
      <w:u w:val="single"/>
    </w:rPr>
  </w:style>
  <w:style w:type="paragraph" w:styleId="ListBullet">
    <w:name w:val="List Bullet"/>
    <w:basedOn w:val="Normal"/>
    <w:autoRedefine/>
    <w:rsid w:val="00A04908"/>
    <w:pPr>
      <w:numPr>
        <w:numId w:val="2"/>
      </w:numPr>
      <w:tabs>
        <w:tab w:val="left" w:pos="1100"/>
      </w:tabs>
      <w:spacing w:after="120"/>
      <w:ind w:right="605"/>
      <w:jc w:val="left"/>
    </w:pPr>
    <w:rPr>
      <w:rFonts w:cs="Arial"/>
      <w:i/>
      <w:szCs w:val="22"/>
    </w:rPr>
  </w:style>
  <w:style w:type="paragraph" w:customStyle="1" w:styleId="BodyText1">
    <w:name w:val="Body Text1"/>
    <w:basedOn w:val="BodyTextIndent"/>
    <w:link w:val="BodytextChar1"/>
    <w:uiPriority w:val="99"/>
    <w:rsid w:val="00025AE2"/>
    <w:pPr>
      <w:spacing w:after="180"/>
      <w:ind w:left="0"/>
    </w:pPr>
  </w:style>
  <w:style w:type="character" w:customStyle="1" w:styleId="BodytextChar1">
    <w:name w:val="Body text Char1"/>
    <w:basedOn w:val="DefaultParagraphFont"/>
    <w:link w:val="BodyText1"/>
    <w:uiPriority w:val="99"/>
    <w:rsid w:val="00025AE2"/>
    <w:rPr>
      <w:rFonts w:ascii="Arial" w:eastAsia="Times New Roman" w:hAnsi="Arial" w:cs="Times New Roman"/>
      <w:szCs w:val="20"/>
    </w:rPr>
  </w:style>
  <w:style w:type="paragraph" w:styleId="BodyTextIndent">
    <w:name w:val="Body Text Indent"/>
    <w:basedOn w:val="Normal"/>
    <w:link w:val="BodyTextIndentChar"/>
    <w:uiPriority w:val="99"/>
    <w:semiHidden/>
    <w:unhideWhenUsed/>
    <w:rsid w:val="00025AE2"/>
    <w:pPr>
      <w:spacing w:after="120"/>
      <w:ind w:left="360"/>
    </w:pPr>
  </w:style>
  <w:style w:type="character" w:customStyle="1" w:styleId="BodyTextIndentChar">
    <w:name w:val="Body Text Indent Char"/>
    <w:basedOn w:val="DefaultParagraphFont"/>
    <w:link w:val="BodyTextIndent"/>
    <w:uiPriority w:val="99"/>
    <w:semiHidden/>
    <w:rsid w:val="00025AE2"/>
    <w:rPr>
      <w:rFonts w:ascii="Arial" w:eastAsia="Times New Roman" w:hAnsi="Arial" w:cs="Times New Roman"/>
      <w:szCs w:val="20"/>
    </w:rPr>
  </w:style>
  <w:style w:type="paragraph" w:styleId="Header">
    <w:name w:val="header"/>
    <w:basedOn w:val="Normal"/>
    <w:link w:val="HeaderChar"/>
    <w:uiPriority w:val="99"/>
    <w:unhideWhenUsed/>
    <w:rsid w:val="00025AE2"/>
    <w:pPr>
      <w:tabs>
        <w:tab w:val="center" w:pos="4680"/>
        <w:tab w:val="right" w:pos="9360"/>
      </w:tabs>
    </w:pPr>
  </w:style>
  <w:style w:type="character" w:customStyle="1" w:styleId="HeaderChar">
    <w:name w:val="Header Char"/>
    <w:basedOn w:val="DefaultParagraphFont"/>
    <w:link w:val="Header"/>
    <w:uiPriority w:val="99"/>
    <w:rsid w:val="00025AE2"/>
    <w:rPr>
      <w:rFonts w:ascii="Arial" w:eastAsia="Times New Roman" w:hAnsi="Arial" w:cs="Times New Roman"/>
      <w:szCs w:val="20"/>
    </w:rPr>
  </w:style>
  <w:style w:type="paragraph" w:styleId="Footer">
    <w:name w:val="footer"/>
    <w:basedOn w:val="Normal"/>
    <w:link w:val="FooterChar"/>
    <w:uiPriority w:val="99"/>
    <w:unhideWhenUsed/>
    <w:rsid w:val="00025AE2"/>
    <w:pPr>
      <w:tabs>
        <w:tab w:val="center" w:pos="4680"/>
        <w:tab w:val="right" w:pos="9360"/>
      </w:tabs>
    </w:pPr>
  </w:style>
  <w:style w:type="character" w:customStyle="1" w:styleId="FooterChar">
    <w:name w:val="Footer Char"/>
    <w:basedOn w:val="DefaultParagraphFont"/>
    <w:link w:val="Footer"/>
    <w:uiPriority w:val="99"/>
    <w:rsid w:val="00025AE2"/>
    <w:rPr>
      <w:rFonts w:ascii="Arial" w:eastAsia="Times New Roman" w:hAnsi="Arial" w:cs="Times New Roman"/>
      <w:szCs w:val="20"/>
    </w:rPr>
  </w:style>
  <w:style w:type="paragraph" w:styleId="BalloonText">
    <w:name w:val="Balloon Text"/>
    <w:basedOn w:val="Normal"/>
    <w:link w:val="BalloonTextChar"/>
    <w:uiPriority w:val="99"/>
    <w:semiHidden/>
    <w:unhideWhenUsed/>
    <w:rsid w:val="00D063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31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06314"/>
    <w:rPr>
      <w:sz w:val="16"/>
      <w:szCs w:val="16"/>
    </w:rPr>
  </w:style>
  <w:style w:type="paragraph" w:styleId="CommentText">
    <w:name w:val="annotation text"/>
    <w:basedOn w:val="Normal"/>
    <w:link w:val="CommentTextChar"/>
    <w:uiPriority w:val="99"/>
    <w:unhideWhenUsed/>
    <w:rsid w:val="00D06314"/>
    <w:rPr>
      <w:sz w:val="20"/>
    </w:rPr>
  </w:style>
  <w:style w:type="character" w:customStyle="1" w:styleId="CommentTextChar">
    <w:name w:val="Comment Text Char"/>
    <w:basedOn w:val="DefaultParagraphFont"/>
    <w:link w:val="CommentText"/>
    <w:uiPriority w:val="99"/>
    <w:rsid w:val="00D0631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06314"/>
    <w:rPr>
      <w:b/>
      <w:bCs/>
    </w:rPr>
  </w:style>
  <w:style w:type="character" w:customStyle="1" w:styleId="CommentSubjectChar">
    <w:name w:val="Comment Subject Char"/>
    <w:basedOn w:val="CommentTextChar"/>
    <w:link w:val="CommentSubject"/>
    <w:uiPriority w:val="99"/>
    <w:semiHidden/>
    <w:rsid w:val="00D06314"/>
    <w:rPr>
      <w:rFonts w:ascii="Arial" w:eastAsia="Times New Roman" w:hAnsi="Arial" w:cs="Times New Roman"/>
      <w:b/>
      <w:bCs/>
      <w:sz w:val="20"/>
      <w:szCs w:val="20"/>
    </w:rPr>
  </w:style>
  <w:style w:type="character" w:customStyle="1" w:styleId="UnresolvedMention1">
    <w:name w:val="Unresolved Mention1"/>
    <w:basedOn w:val="DefaultParagraphFont"/>
    <w:uiPriority w:val="99"/>
    <w:semiHidden/>
    <w:unhideWhenUsed/>
    <w:rsid w:val="002F448C"/>
    <w:rPr>
      <w:color w:val="605E5C"/>
      <w:shd w:val="clear" w:color="auto" w:fill="E1DFDD"/>
    </w:rPr>
  </w:style>
  <w:style w:type="character" w:styleId="UnresolvedMention">
    <w:name w:val="Unresolved Mention"/>
    <w:basedOn w:val="DefaultParagraphFont"/>
    <w:uiPriority w:val="99"/>
    <w:semiHidden/>
    <w:unhideWhenUsed/>
    <w:rsid w:val="003C476C"/>
    <w:rPr>
      <w:color w:val="605E5C"/>
      <w:shd w:val="clear" w:color="auto" w:fill="E1DFDD"/>
    </w:rPr>
  </w:style>
  <w:style w:type="paragraph" w:styleId="Revision">
    <w:name w:val="Revision"/>
    <w:hidden/>
    <w:uiPriority w:val="99"/>
    <w:semiHidden/>
    <w:rsid w:val="00EE52B2"/>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48909">
      <w:bodyDiv w:val="1"/>
      <w:marLeft w:val="0"/>
      <w:marRight w:val="0"/>
      <w:marTop w:val="0"/>
      <w:marBottom w:val="0"/>
      <w:divBdr>
        <w:top w:val="none" w:sz="0" w:space="0" w:color="auto"/>
        <w:left w:val="none" w:sz="0" w:space="0" w:color="auto"/>
        <w:bottom w:val="none" w:sz="0" w:space="0" w:color="auto"/>
        <w:right w:val="none" w:sz="0" w:space="0" w:color="auto"/>
      </w:divBdr>
    </w:div>
    <w:div w:id="108502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6</Pages>
  <Words>1378</Words>
  <Characters>7860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Busby</dc:creator>
  <cp:keywords/>
  <dc:description/>
  <cp:lastModifiedBy>Davis, Sara C.</cp:lastModifiedBy>
  <cp:revision>12</cp:revision>
  <dcterms:created xsi:type="dcterms:W3CDTF">2020-06-01T16:50:00Z</dcterms:created>
  <dcterms:modified xsi:type="dcterms:W3CDTF">2020-06-01T20:38:00Z</dcterms:modified>
</cp:coreProperties>
</file>