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061" w:rsidRDefault="00934061" w:rsidP="00934061">
      <w:pPr>
        <w:rPr>
          <w:rFonts w:ascii="Arial" w:hAnsi="Arial" w:cs="Arial"/>
          <w:color w:val="000080"/>
          <w:sz w:val="20"/>
          <w:szCs w:val="20"/>
        </w:rPr>
      </w:pPr>
      <w:r>
        <w:rPr>
          <w:rFonts w:ascii="Arial" w:hAnsi="Arial" w:cs="Arial"/>
          <w:color w:val="000080"/>
          <w:sz w:val="20"/>
          <w:szCs w:val="20"/>
        </w:rPr>
        <w:t xml:space="preserve">Eric, </w:t>
      </w:r>
      <w:proofErr w:type="gramStart"/>
      <w:r>
        <w:rPr>
          <w:rFonts w:ascii="Arial" w:hAnsi="Arial" w:cs="Arial"/>
          <w:color w:val="000080"/>
          <w:sz w:val="20"/>
          <w:szCs w:val="20"/>
        </w:rPr>
        <w:t>We</w:t>
      </w:r>
      <w:proofErr w:type="gramEnd"/>
      <w:r>
        <w:rPr>
          <w:rFonts w:ascii="Arial" w:hAnsi="Arial" w:cs="Arial"/>
          <w:color w:val="000080"/>
          <w:sz w:val="20"/>
          <w:szCs w:val="20"/>
        </w:rPr>
        <w:t xml:space="preserve"> have run some comparisons on previously approved projects and find table 3.2 yields are markedly less predevelopment loading. Here also are the rest of the criteria which make the handbook problematic.</w:t>
      </w:r>
    </w:p>
    <w:p w:rsidR="00934061" w:rsidRDefault="00934061" w:rsidP="00934061">
      <w:pPr>
        <w:rPr>
          <w:rFonts w:ascii="Calibri" w:hAnsi="Calibri"/>
          <w:sz w:val="22"/>
          <w:szCs w:val="22"/>
        </w:rPr>
      </w:pPr>
      <w:proofErr w:type="spellStart"/>
      <w:r>
        <w:rPr>
          <w:rFonts w:ascii="Calibri" w:hAnsi="Calibri"/>
          <w:color w:val="000080"/>
          <w:sz w:val="22"/>
          <w:szCs w:val="22"/>
        </w:rPr>
        <w:t>S</w:t>
      </w:r>
      <w:r>
        <w:rPr>
          <w:rFonts w:ascii="Calibri" w:hAnsi="Calibri"/>
          <w:sz w:val="22"/>
          <w:szCs w:val="22"/>
        </w:rPr>
        <w:t>tormwater</w:t>
      </w:r>
      <w:proofErr w:type="spellEnd"/>
      <w:r>
        <w:rPr>
          <w:rFonts w:ascii="Calibri" w:hAnsi="Calibri"/>
          <w:sz w:val="22"/>
          <w:szCs w:val="22"/>
        </w:rPr>
        <w:t xml:space="preserve"> quality handbook concerns:</w:t>
      </w:r>
    </w:p>
    <w:p w:rsidR="00934061" w:rsidRDefault="00934061" w:rsidP="00934061">
      <w:pPr>
        <w:numPr>
          <w:ilvl w:val="0"/>
          <w:numId w:val="1"/>
        </w:numPr>
        <w:rPr>
          <w:rFonts w:ascii="Calibri" w:hAnsi="Calibri"/>
          <w:sz w:val="22"/>
          <w:szCs w:val="22"/>
        </w:rPr>
      </w:pPr>
      <w:r>
        <w:rPr>
          <w:rFonts w:ascii="Calibri" w:hAnsi="Calibri"/>
          <w:sz w:val="22"/>
          <w:szCs w:val="22"/>
        </w:rPr>
        <w:t>Pre-development loading rates are considerably lower compared to previous methodology</w:t>
      </w:r>
    </w:p>
    <w:p w:rsidR="00934061" w:rsidRDefault="00934061" w:rsidP="00934061">
      <w:pPr>
        <w:numPr>
          <w:ilvl w:val="1"/>
          <w:numId w:val="1"/>
        </w:numPr>
        <w:rPr>
          <w:rFonts w:ascii="Calibri" w:hAnsi="Calibri"/>
          <w:sz w:val="22"/>
          <w:szCs w:val="22"/>
        </w:rPr>
      </w:pPr>
      <w:r>
        <w:rPr>
          <w:rFonts w:ascii="Calibri" w:hAnsi="Calibri"/>
          <w:sz w:val="22"/>
          <w:szCs w:val="22"/>
        </w:rPr>
        <w:t>Converting 0.00769 kg/ac-inch/yr N and 0.00226 kg/ac-inch/yr P</w:t>
      </w:r>
      <w:proofErr w:type="gramStart"/>
      <w:r>
        <w:rPr>
          <w:rFonts w:ascii="Calibri" w:hAnsi="Calibri"/>
          <w:sz w:val="22"/>
          <w:szCs w:val="22"/>
        </w:rPr>
        <w:t>  yields</w:t>
      </w:r>
      <w:proofErr w:type="gramEnd"/>
      <w:r>
        <w:rPr>
          <w:rFonts w:ascii="Calibri" w:hAnsi="Calibri"/>
          <w:sz w:val="22"/>
          <w:szCs w:val="22"/>
        </w:rPr>
        <w:t xml:space="preserve"> 0.00079 mg/l of N and 0.000232 mg/l of P.</w:t>
      </w:r>
    </w:p>
    <w:p w:rsidR="00934061" w:rsidRDefault="00934061" w:rsidP="00934061">
      <w:pPr>
        <w:numPr>
          <w:ilvl w:val="1"/>
          <w:numId w:val="1"/>
        </w:numPr>
        <w:rPr>
          <w:rFonts w:ascii="Calibri" w:hAnsi="Calibri"/>
          <w:sz w:val="22"/>
          <w:szCs w:val="22"/>
        </w:rPr>
      </w:pPr>
      <w:r>
        <w:rPr>
          <w:rFonts w:ascii="Calibri" w:hAnsi="Calibri"/>
          <w:sz w:val="22"/>
          <w:szCs w:val="22"/>
        </w:rPr>
        <w:t>Those numbers equate to less than 10% of the amount of nutrients found in nutrient readings in areas such as those.</w:t>
      </w:r>
    </w:p>
    <w:p w:rsidR="00934061" w:rsidRDefault="00934061" w:rsidP="00934061">
      <w:pPr>
        <w:numPr>
          <w:ilvl w:val="1"/>
          <w:numId w:val="1"/>
        </w:numPr>
        <w:rPr>
          <w:rFonts w:ascii="Calibri" w:hAnsi="Calibri"/>
          <w:sz w:val="22"/>
          <w:szCs w:val="22"/>
        </w:rPr>
      </w:pPr>
      <w:r>
        <w:rPr>
          <w:rFonts w:ascii="Calibri" w:hAnsi="Calibri"/>
          <w:sz w:val="22"/>
          <w:szCs w:val="22"/>
        </w:rPr>
        <w:t xml:space="preserve">We </w:t>
      </w:r>
      <w:proofErr w:type="gramStart"/>
      <w:r>
        <w:rPr>
          <w:rFonts w:ascii="Calibri" w:hAnsi="Calibri"/>
          <w:sz w:val="22"/>
          <w:szCs w:val="22"/>
        </w:rPr>
        <w:t>are having</w:t>
      </w:r>
      <w:proofErr w:type="gramEnd"/>
      <w:r>
        <w:rPr>
          <w:rFonts w:ascii="Calibri" w:hAnsi="Calibri"/>
          <w:sz w:val="22"/>
          <w:szCs w:val="22"/>
        </w:rPr>
        <w:t xml:space="preserve"> to plug in a high c-value for post development which is realistic and compare that with a very low built in c-value (</w:t>
      </w:r>
      <w:proofErr w:type="spellStart"/>
      <w:r>
        <w:rPr>
          <w:rFonts w:ascii="Calibri" w:hAnsi="Calibri"/>
          <w:sz w:val="22"/>
          <w:szCs w:val="22"/>
        </w:rPr>
        <w:t>Aprox</w:t>
      </w:r>
      <w:proofErr w:type="spellEnd"/>
      <w:r>
        <w:rPr>
          <w:rFonts w:ascii="Calibri" w:hAnsi="Calibri"/>
          <w:sz w:val="22"/>
          <w:szCs w:val="22"/>
        </w:rPr>
        <w:t>. high 30’s) for pre development that is just not found in our area.</w:t>
      </w:r>
    </w:p>
    <w:p w:rsidR="00934061" w:rsidRDefault="00934061" w:rsidP="00934061">
      <w:pPr>
        <w:numPr>
          <w:ilvl w:val="1"/>
          <w:numId w:val="1"/>
        </w:numPr>
        <w:spacing w:after="240"/>
        <w:rPr>
          <w:rFonts w:ascii="Calibri" w:hAnsi="Calibri"/>
          <w:sz w:val="22"/>
          <w:szCs w:val="22"/>
        </w:rPr>
      </w:pPr>
      <w:r>
        <w:rPr>
          <w:rFonts w:ascii="Calibri" w:hAnsi="Calibri"/>
          <w:sz w:val="22"/>
          <w:szCs w:val="22"/>
        </w:rPr>
        <w:t>We have run comparison loadings with the new table and previously approved projects. They are considerably different.</w:t>
      </w:r>
    </w:p>
    <w:p w:rsidR="00934061" w:rsidRDefault="00934061" w:rsidP="00934061">
      <w:pPr>
        <w:spacing w:after="240"/>
        <w:ind w:left="1080"/>
        <w:rPr>
          <w:rFonts w:ascii="Calibri" w:hAnsi="Calibri"/>
          <w:sz w:val="22"/>
          <w:szCs w:val="22"/>
        </w:rPr>
      </w:pPr>
      <w:r>
        <w:rPr>
          <w:rFonts w:ascii="Calibri" w:hAnsi="Calibri"/>
          <w:sz w:val="22"/>
          <w:szCs w:val="22"/>
        </w:rPr>
        <w:t>The areal table doesn’t work ….plain and simple</w:t>
      </w:r>
    </w:p>
    <w:p w:rsidR="00934061" w:rsidRDefault="00934061" w:rsidP="00934061">
      <w:pPr>
        <w:numPr>
          <w:ilvl w:val="0"/>
          <w:numId w:val="1"/>
        </w:numPr>
        <w:rPr>
          <w:rFonts w:ascii="Calibri" w:hAnsi="Calibri"/>
          <w:sz w:val="22"/>
          <w:szCs w:val="22"/>
        </w:rPr>
      </w:pPr>
      <w:r>
        <w:rPr>
          <w:rFonts w:ascii="Calibri" w:hAnsi="Calibri"/>
          <w:sz w:val="22"/>
          <w:szCs w:val="22"/>
        </w:rPr>
        <w:t xml:space="preserve">Required soil borings and hydraulic conductivity tests are </w:t>
      </w:r>
      <w:proofErr w:type="gramStart"/>
      <w:r>
        <w:rPr>
          <w:rFonts w:ascii="Calibri" w:hAnsi="Calibri"/>
          <w:sz w:val="22"/>
          <w:szCs w:val="22"/>
        </w:rPr>
        <w:t>an added cost that need</w:t>
      </w:r>
      <w:proofErr w:type="gramEnd"/>
      <w:r>
        <w:rPr>
          <w:rFonts w:ascii="Calibri" w:hAnsi="Calibri"/>
          <w:sz w:val="22"/>
          <w:szCs w:val="22"/>
        </w:rPr>
        <w:t xml:space="preserve"> to be vetted with </w:t>
      </w:r>
      <w:proofErr w:type="spellStart"/>
      <w:r>
        <w:rPr>
          <w:rFonts w:ascii="Calibri" w:hAnsi="Calibri"/>
          <w:sz w:val="22"/>
          <w:szCs w:val="22"/>
        </w:rPr>
        <w:t>hydrogeologists</w:t>
      </w:r>
      <w:proofErr w:type="spellEnd"/>
      <w:r>
        <w:rPr>
          <w:rFonts w:ascii="Calibri" w:hAnsi="Calibri"/>
          <w:sz w:val="22"/>
          <w:szCs w:val="22"/>
        </w:rPr>
        <w:t>.</w:t>
      </w:r>
    </w:p>
    <w:p w:rsidR="00934061" w:rsidRDefault="00934061" w:rsidP="00934061">
      <w:pPr>
        <w:numPr>
          <w:ilvl w:val="0"/>
          <w:numId w:val="1"/>
        </w:numPr>
        <w:rPr>
          <w:rFonts w:ascii="Calibri" w:hAnsi="Calibri"/>
          <w:sz w:val="22"/>
          <w:szCs w:val="22"/>
        </w:rPr>
      </w:pPr>
      <w:r>
        <w:rPr>
          <w:rFonts w:ascii="Calibri" w:hAnsi="Calibri"/>
          <w:sz w:val="22"/>
          <w:szCs w:val="22"/>
        </w:rPr>
        <w:t xml:space="preserve">Dry retention bleed down requirements will be hard to achieve in areas where the water table is only a few feet below the ground surface in the wet </w:t>
      </w:r>
      <w:proofErr w:type="gramStart"/>
      <w:r>
        <w:rPr>
          <w:rFonts w:ascii="Calibri" w:hAnsi="Calibri"/>
          <w:sz w:val="22"/>
          <w:szCs w:val="22"/>
        </w:rPr>
        <w:t>season ,</w:t>
      </w:r>
      <w:proofErr w:type="gramEnd"/>
      <w:r>
        <w:rPr>
          <w:rFonts w:ascii="Calibri" w:hAnsi="Calibri"/>
          <w:sz w:val="22"/>
          <w:szCs w:val="22"/>
        </w:rPr>
        <w:t xml:space="preserve"> Dry season works fine.</w:t>
      </w:r>
    </w:p>
    <w:p w:rsidR="00934061" w:rsidRDefault="00934061" w:rsidP="00934061">
      <w:pPr>
        <w:tabs>
          <w:tab w:val="left" w:pos="720"/>
        </w:tabs>
        <w:ind w:firstLine="360"/>
        <w:rPr>
          <w:rFonts w:ascii="Calibri" w:hAnsi="Calibri"/>
          <w:color w:val="000080"/>
          <w:sz w:val="22"/>
          <w:szCs w:val="22"/>
        </w:rPr>
      </w:pPr>
      <w:r>
        <w:rPr>
          <w:rFonts w:ascii="Calibri" w:hAnsi="Calibri"/>
          <w:color w:val="000080"/>
          <w:sz w:val="22"/>
          <w:szCs w:val="22"/>
        </w:rPr>
        <w:t>4.</w:t>
      </w:r>
      <w:r>
        <w:rPr>
          <w:rFonts w:ascii="Calibri" w:hAnsi="Calibri"/>
          <w:color w:val="000080"/>
          <w:sz w:val="22"/>
          <w:szCs w:val="22"/>
        </w:rPr>
        <w:tab/>
        <w:t xml:space="preserve"> 0 load from </w:t>
      </w:r>
      <w:proofErr w:type="spellStart"/>
      <w:proofErr w:type="gramStart"/>
      <w:r>
        <w:rPr>
          <w:rFonts w:ascii="Calibri" w:hAnsi="Calibri"/>
          <w:color w:val="000080"/>
          <w:sz w:val="22"/>
          <w:szCs w:val="22"/>
        </w:rPr>
        <w:t>Hydric</w:t>
      </w:r>
      <w:proofErr w:type="spellEnd"/>
      <w:proofErr w:type="gramEnd"/>
      <w:r>
        <w:rPr>
          <w:rFonts w:ascii="Calibri" w:hAnsi="Calibri"/>
          <w:color w:val="000080"/>
          <w:sz w:val="22"/>
          <w:szCs w:val="22"/>
        </w:rPr>
        <w:t xml:space="preserve"> soils (aka wetlands?)- Deal killer in south Florida. Not reasonable</w:t>
      </w:r>
    </w:p>
    <w:p w:rsidR="00934061" w:rsidRDefault="00934061" w:rsidP="00934061">
      <w:pPr>
        <w:tabs>
          <w:tab w:val="left" w:pos="720"/>
        </w:tabs>
        <w:ind w:firstLine="360"/>
        <w:rPr>
          <w:rFonts w:ascii="Calibri" w:hAnsi="Calibri"/>
          <w:color w:val="000080"/>
          <w:sz w:val="22"/>
          <w:szCs w:val="22"/>
        </w:rPr>
      </w:pPr>
      <w:r>
        <w:rPr>
          <w:rFonts w:ascii="Calibri" w:hAnsi="Calibri"/>
          <w:color w:val="000080"/>
          <w:sz w:val="22"/>
          <w:szCs w:val="22"/>
        </w:rPr>
        <w:t>5.</w:t>
      </w:r>
      <w:r>
        <w:rPr>
          <w:rFonts w:ascii="Calibri" w:hAnsi="Calibri"/>
          <w:color w:val="000080"/>
          <w:sz w:val="22"/>
          <w:szCs w:val="22"/>
        </w:rPr>
        <w:tab/>
        <w:t xml:space="preserve">No wet detention in </w:t>
      </w:r>
      <w:proofErr w:type="spellStart"/>
      <w:r>
        <w:rPr>
          <w:rFonts w:ascii="Calibri" w:hAnsi="Calibri"/>
          <w:color w:val="000080"/>
          <w:sz w:val="22"/>
          <w:szCs w:val="22"/>
        </w:rPr>
        <w:t>limerock</w:t>
      </w:r>
      <w:proofErr w:type="spellEnd"/>
      <w:r>
        <w:rPr>
          <w:rFonts w:ascii="Calibri" w:hAnsi="Calibri"/>
          <w:color w:val="000080"/>
          <w:sz w:val="22"/>
          <w:szCs w:val="22"/>
        </w:rPr>
        <w:t xml:space="preserve">. Again does not make sense in south </w:t>
      </w:r>
      <w:proofErr w:type="gramStart"/>
      <w:r>
        <w:rPr>
          <w:rFonts w:ascii="Calibri" w:hAnsi="Calibri"/>
          <w:color w:val="000080"/>
          <w:sz w:val="22"/>
          <w:szCs w:val="22"/>
        </w:rPr>
        <w:t>florida</w:t>
      </w:r>
      <w:proofErr w:type="gramEnd"/>
    </w:p>
    <w:p w:rsidR="00934061" w:rsidRDefault="00934061" w:rsidP="00934061">
      <w:pPr>
        <w:tabs>
          <w:tab w:val="left" w:pos="720"/>
        </w:tabs>
        <w:ind w:firstLine="360"/>
        <w:rPr>
          <w:rFonts w:ascii="Arial" w:hAnsi="Arial" w:cs="Arial"/>
          <w:color w:val="000080"/>
          <w:sz w:val="20"/>
          <w:szCs w:val="20"/>
        </w:rPr>
      </w:pPr>
      <w:r>
        <w:rPr>
          <w:rFonts w:ascii="Arial" w:hAnsi="Arial" w:cs="Arial"/>
          <w:color w:val="000080"/>
          <w:sz w:val="20"/>
          <w:szCs w:val="20"/>
        </w:rPr>
        <w:t>6.</w:t>
      </w:r>
      <w:r>
        <w:rPr>
          <w:rFonts w:ascii="Arial" w:hAnsi="Arial" w:cs="Arial"/>
          <w:color w:val="000080"/>
          <w:sz w:val="20"/>
          <w:szCs w:val="20"/>
        </w:rPr>
        <w:tab/>
        <w:t> Natural vegetation loading instead of true existing conditions isn’t reasonable.</w:t>
      </w:r>
    </w:p>
    <w:p w:rsidR="00934061" w:rsidRDefault="00934061" w:rsidP="00934061">
      <w:pPr>
        <w:tabs>
          <w:tab w:val="left" w:pos="720"/>
        </w:tabs>
        <w:ind w:firstLine="360"/>
        <w:rPr>
          <w:rFonts w:ascii="Calibri" w:hAnsi="Calibri"/>
          <w:sz w:val="22"/>
          <w:szCs w:val="22"/>
        </w:rPr>
      </w:pPr>
      <w:r>
        <w:rPr>
          <w:rFonts w:ascii="Arial" w:hAnsi="Arial" w:cs="Arial"/>
          <w:color w:val="000080"/>
          <w:sz w:val="20"/>
          <w:szCs w:val="20"/>
        </w:rPr>
        <w:t>7.</w:t>
      </w:r>
      <w:r>
        <w:rPr>
          <w:rFonts w:ascii="Arial" w:hAnsi="Arial" w:cs="Arial"/>
          <w:color w:val="000080"/>
          <w:sz w:val="20"/>
          <w:szCs w:val="20"/>
        </w:rPr>
        <w:tab/>
        <w:t xml:space="preserve">Discharge to impaired waters” is not defined </w:t>
      </w:r>
      <w:proofErr w:type="gramStart"/>
      <w:r>
        <w:rPr>
          <w:rFonts w:ascii="Arial" w:hAnsi="Arial" w:cs="Arial"/>
          <w:color w:val="000080"/>
          <w:sz w:val="20"/>
          <w:szCs w:val="20"/>
        </w:rPr>
        <w:t>( we</w:t>
      </w:r>
      <w:proofErr w:type="gramEnd"/>
      <w:r>
        <w:rPr>
          <w:rFonts w:ascii="Arial" w:hAnsi="Arial" w:cs="Arial"/>
          <w:color w:val="000080"/>
          <w:sz w:val="20"/>
          <w:szCs w:val="20"/>
        </w:rPr>
        <w:t xml:space="preserve"> have two miles from the impaired waters and </w:t>
      </w:r>
      <w:r>
        <w:rPr>
          <w:rFonts w:ascii="Arial" w:hAnsi="Arial" w:cs="Arial"/>
          <w:color w:val="000080"/>
          <w:sz w:val="20"/>
          <w:szCs w:val="20"/>
        </w:rPr>
        <w:tab/>
        <w:t>that was interrupted to be a direct discharge) This really needs to be reasonable and well defined</w:t>
      </w:r>
    </w:p>
    <w:p w:rsidR="00934061" w:rsidRDefault="00934061" w:rsidP="00934061">
      <w:pPr>
        <w:rPr>
          <w:rFonts w:ascii="Arial" w:hAnsi="Arial" w:cs="Arial"/>
          <w:color w:val="000080"/>
          <w:sz w:val="20"/>
          <w:szCs w:val="20"/>
        </w:rPr>
      </w:pPr>
    </w:p>
    <w:p w:rsidR="00934061" w:rsidRDefault="00934061" w:rsidP="00934061">
      <w:pPr>
        <w:rPr>
          <w:rFonts w:ascii="Arial" w:hAnsi="Arial" w:cs="Arial"/>
          <w:sz w:val="20"/>
          <w:szCs w:val="20"/>
        </w:rPr>
      </w:pPr>
      <w:r>
        <w:rPr>
          <w:rFonts w:ascii="Arial" w:hAnsi="Arial" w:cs="Arial"/>
          <w:sz w:val="20"/>
          <w:szCs w:val="20"/>
        </w:rPr>
        <w:t>I know this Handbook is a monumental task and it will never be perfect in the eyes of the practitioners. I haven’t had time to go through it in detail what is your present plan of attack?</w:t>
      </w:r>
    </w:p>
    <w:p w:rsidR="00934061" w:rsidRDefault="00934061" w:rsidP="00934061">
      <w:pPr>
        <w:rPr>
          <w:rFonts w:ascii="Arial" w:hAnsi="Arial" w:cs="Arial"/>
          <w:sz w:val="20"/>
          <w:szCs w:val="20"/>
        </w:rPr>
      </w:pPr>
    </w:p>
    <w:p w:rsidR="00934061" w:rsidRDefault="00934061" w:rsidP="00934061">
      <w:pPr>
        <w:spacing w:before="100" w:beforeAutospacing="1" w:after="100" w:afterAutospacing="1"/>
        <w:rPr>
          <w:color w:val="800000"/>
          <w:sz w:val="20"/>
          <w:szCs w:val="20"/>
        </w:rPr>
      </w:pPr>
      <w:r>
        <w:rPr>
          <w:color w:val="800000"/>
        </w:rPr>
        <w:t>Frederick T. Barber III, P.E.</w:t>
      </w:r>
      <w:r>
        <w:rPr>
          <w:color w:val="800000"/>
        </w:rPr>
        <w:br/>
      </w:r>
      <w:r>
        <w:rPr>
          <w:i/>
          <w:iCs/>
          <w:color w:val="800000"/>
        </w:rPr>
        <w:t>Chief Executive Officer</w:t>
      </w:r>
      <w:r>
        <w:rPr>
          <w:color w:val="800000"/>
        </w:rPr>
        <w:br/>
      </w:r>
      <w:proofErr w:type="spellStart"/>
      <w:r>
        <w:rPr>
          <w:color w:val="800000"/>
        </w:rPr>
        <w:t>Agnoli</w:t>
      </w:r>
      <w:proofErr w:type="spellEnd"/>
      <w:r>
        <w:rPr>
          <w:color w:val="800000"/>
        </w:rPr>
        <w:t xml:space="preserve">, Barber, &amp; </w:t>
      </w:r>
      <w:proofErr w:type="spellStart"/>
      <w:r>
        <w:rPr>
          <w:color w:val="800000"/>
        </w:rPr>
        <w:t>Brundage</w:t>
      </w:r>
      <w:proofErr w:type="spellEnd"/>
      <w:r>
        <w:rPr>
          <w:color w:val="800000"/>
        </w:rPr>
        <w:t xml:space="preserve"> Inc.</w:t>
      </w:r>
      <w:r>
        <w:rPr>
          <w:color w:val="800000"/>
        </w:rPr>
        <w:br/>
      </w:r>
      <w:r>
        <w:rPr>
          <w:color w:val="800000"/>
          <w:sz w:val="20"/>
          <w:szCs w:val="20"/>
        </w:rPr>
        <w:t xml:space="preserve">7400 </w:t>
      </w:r>
      <w:proofErr w:type="spellStart"/>
      <w:r>
        <w:rPr>
          <w:color w:val="800000"/>
          <w:sz w:val="20"/>
          <w:szCs w:val="20"/>
        </w:rPr>
        <w:t>Tamiami</w:t>
      </w:r>
      <w:proofErr w:type="spellEnd"/>
      <w:r>
        <w:rPr>
          <w:color w:val="800000"/>
          <w:sz w:val="20"/>
          <w:szCs w:val="20"/>
        </w:rPr>
        <w:t xml:space="preserve"> Tr. N., </w:t>
      </w:r>
      <w:smartTag w:uri="urn:schemas-microsoft-com:office:smarttags" w:element="address">
        <w:smartTag w:uri="urn:schemas-microsoft-com:office:smarttags" w:element="Street">
          <w:r>
            <w:rPr>
              <w:color w:val="800000"/>
              <w:sz w:val="20"/>
              <w:szCs w:val="20"/>
            </w:rPr>
            <w:t>Suite</w:t>
          </w:r>
        </w:smartTag>
        <w:r>
          <w:rPr>
            <w:color w:val="800000"/>
            <w:sz w:val="20"/>
            <w:szCs w:val="20"/>
          </w:rPr>
          <w:t xml:space="preserve"> 200</w:t>
        </w:r>
      </w:smartTag>
      <w:r>
        <w:rPr>
          <w:color w:val="800000"/>
          <w:sz w:val="20"/>
          <w:szCs w:val="20"/>
        </w:rPr>
        <w:t xml:space="preserve">, </w:t>
      </w:r>
      <w:smartTag w:uri="urn:schemas-microsoft-com:office:smarttags" w:element="place">
        <w:smartTag w:uri="urn:schemas-microsoft-com:office:smarttags" w:element="City">
          <w:r>
            <w:rPr>
              <w:color w:val="800000"/>
              <w:sz w:val="20"/>
              <w:szCs w:val="20"/>
            </w:rPr>
            <w:t>Naples</w:t>
          </w:r>
        </w:smartTag>
        <w:r>
          <w:rPr>
            <w:color w:val="800000"/>
            <w:sz w:val="20"/>
            <w:szCs w:val="20"/>
          </w:rPr>
          <w:t xml:space="preserve">, </w:t>
        </w:r>
        <w:smartTag w:uri="urn:schemas-microsoft-com:office:smarttags" w:element="State">
          <w:r>
            <w:rPr>
              <w:color w:val="800000"/>
              <w:sz w:val="20"/>
              <w:szCs w:val="20"/>
            </w:rPr>
            <w:t>FL</w:t>
          </w:r>
        </w:smartTag>
        <w:r>
          <w:rPr>
            <w:color w:val="800000"/>
            <w:sz w:val="20"/>
            <w:szCs w:val="20"/>
          </w:rPr>
          <w:t xml:space="preserve"> </w:t>
        </w:r>
        <w:smartTag w:uri="urn:schemas-microsoft-com:office:smarttags" w:element="PostalCode">
          <w:r>
            <w:rPr>
              <w:color w:val="800000"/>
              <w:sz w:val="20"/>
              <w:szCs w:val="20"/>
            </w:rPr>
            <w:t>34108</w:t>
          </w:r>
        </w:smartTag>
      </w:smartTag>
      <w:r>
        <w:rPr>
          <w:color w:val="800000"/>
          <w:sz w:val="20"/>
          <w:szCs w:val="20"/>
        </w:rPr>
        <w:br/>
        <w:t>Phone (239) 597-3111</w:t>
      </w:r>
      <w:r>
        <w:rPr>
          <w:color w:val="800000"/>
          <w:sz w:val="20"/>
          <w:szCs w:val="20"/>
        </w:rPr>
        <w:br/>
        <w:t>Fax (239) 566-2203</w:t>
      </w:r>
      <w:r>
        <w:rPr>
          <w:color w:val="800000"/>
          <w:sz w:val="20"/>
          <w:szCs w:val="20"/>
        </w:rPr>
        <w:br/>
      </w:r>
      <w:hyperlink r:id="rId5" w:tooltip="mailto:barberr@abbinc.com" w:history="1">
        <w:r>
          <w:rPr>
            <w:rStyle w:val="Hyperlink"/>
            <w:sz w:val="20"/>
            <w:szCs w:val="20"/>
          </w:rPr>
          <w:t>barberr@abbinc.com</w:t>
        </w:r>
      </w:hyperlink>
    </w:p>
    <w:p w:rsidR="00934061" w:rsidRDefault="00934061" w:rsidP="00934061"/>
    <w:p w:rsidR="002635CA" w:rsidRDefault="002635CA"/>
    <w:sectPr w:rsidR="002635CA" w:rsidSect="002635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D01576"/>
    <w:multiLevelType w:val="hybridMultilevel"/>
    <w:tmpl w:val="29C6E4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4061"/>
    <w:rsid w:val="002635CA"/>
    <w:rsid w:val="003A03E5"/>
    <w:rsid w:val="009340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06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4061"/>
    <w:rPr>
      <w:color w:val="0000FF"/>
      <w:u w:val="single"/>
    </w:rPr>
  </w:style>
</w:styles>
</file>

<file path=word/webSettings.xml><?xml version="1.0" encoding="utf-8"?>
<w:webSettings xmlns:r="http://schemas.openxmlformats.org/officeDocument/2006/relationships" xmlns:w="http://schemas.openxmlformats.org/wordprocessingml/2006/main">
  <w:divs>
    <w:div w:id="64339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BLOCKED::mailto:barberr@abbin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340</Words>
  <Characters>1810</Characters>
  <Application>Microsoft Office Word</Application>
  <DocSecurity>0</DocSecurity>
  <Lines>36</Lines>
  <Paragraphs>15</Paragraphs>
  <ScaleCrop>false</ScaleCrop>
  <Company> </Company>
  <LinksUpToDate>false</LinksUpToDate>
  <CharactersWithSpaces>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Livingston_E</dc:creator>
  <cp:keywords/>
  <dc:description/>
  <cp:lastModifiedBy>Livingston_E</cp:lastModifiedBy>
  <cp:revision>1</cp:revision>
  <dcterms:created xsi:type="dcterms:W3CDTF">2010-06-18T16:11:00Z</dcterms:created>
  <dcterms:modified xsi:type="dcterms:W3CDTF">2010-06-18T16:14:00Z</dcterms:modified>
</cp:coreProperties>
</file>