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70A" w:rsidRPr="000B170A" w:rsidRDefault="000B170A" w:rsidP="000B170A">
      <w:pPr>
        <w:pStyle w:val="Heading2"/>
        <w:jc w:val="both"/>
        <w:rPr>
          <w:rFonts w:ascii="Arial" w:hAnsi="Arial" w:cs="Arial"/>
          <w:color w:val="auto"/>
          <w:sz w:val="22"/>
          <w:szCs w:val="22"/>
        </w:rPr>
      </w:pPr>
      <w:bookmarkStart w:id="0" w:name="_Toc253406142"/>
      <w:r w:rsidRPr="000B170A">
        <w:rPr>
          <w:rFonts w:ascii="Arial" w:hAnsi="Arial" w:cs="Arial"/>
          <w:color w:val="auto"/>
          <w:sz w:val="22"/>
          <w:szCs w:val="22"/>
        </w:rPr>
        <w:t>Freshwater Section</w:t>
      </w:r>
      <w:bookmarkEnd w:id="0"/>
    </w:p>
    <w:p w:rsidR="000B170A" w:rsidRPr="000B170A" w:rsidRDefault="000B170A" w:rsidP="000B170A">
      <w:pPr>
        <w:jc w:val="both"/>
        <w:rPr>
          <w:rFonts w:ascii="Arial" w:hAnsi="Arial" w:cs="Arial"/>
        </w:rPr>
      </w:pPr>
      <w:r w:rsidRPr="000B170A">
        <w:rPr>
          <w:rFonts w:ascii="Arial" w:hAnsi="Arial" w:cs="Arial"/>
        </w:rPr>
        <w:t>In the freshwater section of the river, 3 WWTF, 3 MS4, and 6 non-MS4 projects were completed in the last year.  These projects together provided an estimated total reduction of 4,409.8 kg/yr of TP and 27,919.5 kg/yr of TN.  The largest portion of the reductions came from WWTF upgrade projects completed by the City of Palatka.  Palatka completed 3 reuse projects that achieved an estimated 3,451 kg/yr of TP and 26,045 kg/yr of TN reductions.  Both Clay County and the City of Green Cove Springs completed MS4 projects this past year.  Clay County conducted public education and outreach efforts and traded with the CCUA to achieve a portion of the TP reductions.  These efforts provided approximately 189.6 kg/yr of TP and 111.0 kg/yr of TN reductions.  Green Cove Springs completed a stormwater treatment project at the Vystar Credit Union that yielded an additional 0.5 kg/yr of TN reductions.</w:t>
      </w:r>
    </w:p>
    <w:p w:rsidR="000B170A" w:rsidRPr="000B170A" w:rsidRDefault="000B170A" w:rsidP="000B170A">
      <w:pPr>
        <w:jc w:val="both"/>
        <w:rPr>
          <w:rFonts w:ascii="Arial" w:hAnsi="Arial" w:cs="Arial"/>
        </w:rPr>
      </w:pPr>
    </w:p>
    <w:p w:rsidR="000B170A" w:rsidRPr="000B170A" w:rsidRDefault="000B170A" w:rsidP="000B170A">
      <w:pPr>
        <w:jc w:val="both"/>
        <w:rPr>
          <w:rFonts w:ascii="Arial" w:hAnsi="Arial" w:cs="Arial"/>
        </w:rPr>
      </w:pPr>
      <w:r w:rsidRPr="000B170A">
        <w:rPr>
          <w:rFonts w:ascii="Arial" w:hAnsi="Arial" w:cs="Arial"/>
        </w:rPr>
        <w:t>For the non-MS4 entities, Clay County, St. Johns County, Town of Hastings, and Town of Welaka all completed projects.  Clay County met the non-MS4 portion of their reduction also through education and outreach efforts and the trade with CCUA.  St. Johns County implemented street sweeping and conducted stormwater education activities.  The Town of Hastings traded with their WWTF, which was upgraded to add chemical feed systems.  In addition, the Town of Welaka completed phase-outs of failing septic tanks near surface waters.  These projects combined provided reductions of 769.2 kg/yr of TP and 1,763 kg/yr of TN.</w:t>
      </w:r>
    </w:p>
    <w:p w:rsidR="000B170A" w:rsidRPr="000B170A" w:rsidRDefault="000B170A" w:rsidP="000B170A">
      <w:pPr>
        <w:jc w:val="both"/>
        <w:rPr>
          <w:rFonts w:ascii="Arial" w:hAnsi="Arial" w:cs="Arial"/>
        </w:rPr>
      </w:pPr>
    </w:p>
    <w:p w:rsidR="000B170A" w:rsidRPr="000B170A" w:rsidRDefault="000B170A" w:rsidP="000B170A">
      <w:pPr>
        <w:jc w:val="both"/>
        <w:rPr>
          <w:rFonts w:ascii="Arial" w:hAnsi="Arial" w:cs="Arial"/>
        </w:rPr>
      </w:pPr>
      <w:r w:rsidRPr="000B170A">
        <w:rPr>
          <w:rFonts w:ascii="Arial" w:hAnsi="Arial" w:cs="Arial"/>
        </w:rPr>
        <w:t>Credit was also assigned in the BMAP for projects completed since the baseline period (1997-1998).  The combination of the completed projects listed in the BMAP and those noted above have made significant progress towards meeting the TMDL targets.  The WWTFs have reduced a total of 35,874 kg/yr of TP and 131,291 kg/yr of TN.  This means, in terms of estimated project reductions, that an additional 4,075 kg/yr of TP and 6,120 kg/yr of TN reductions are needed from the WWTFs to meet their TMDL allocation.</w:t>
      </w:r>
    </w:p>
    <w:p w:rsidR="000B170A" w:rsidRPr="000B170A" w:rsidRDefault="000B170A" w:rsidP="000B170A">
      <w:pPr>
        <w:pStyle w:val="ListParagraph"/>
        <w:ind w:left="0"/>
        <w:jc w:val="both"/>
        <w:rPr>
          <w:rFonts w:ascii="Arial" w:hAnsi="Arial" w:cs="Arial"/>
        </w:rPr>
      </w:pPr>
    </w:p>
    <w:p w:rsidR="000B170A" w:rsidRPr="000B170A" w:rsidRDefault="000B170A" w:rsidP="000B170A">
      <w:pPr>
        <w:pStyle w:val="ListParagraph"/>
        <w:keepNext/>
        <w:ind w:left="0"/>
        <w:jc w:val="center"/>
        <w:rPr>
          <w:rFonts w:ascii="Arial" w:hAnsi="Arial" w:cs="Arial"/>
        </w:rPr>
      </w:pPr>
      <w:r w:rsidRPr="000B170A">
        <w:rPr>
          <w:rFonts w:ascii="Arial" w:hAnsi="Arial" w:cs="Arial"/>
          <w:noProof/>
        </w:rPr>
        <w:drawing>
          <wp:inline distT="0" distB="0" distL="0" distR="0">
            <wp:extent cx="4229100" cy="2959713"/>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29100" cy="2959713"/>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1" w:name="_Toc253406149"/>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3</w:t>
      </w:r>
      <w:r w:rsidRPr="000B170A">
        <w:rPr>
          <w:rFonts w:ascii="Arial" w:hAnsi="Arial" w:cs="Arial"/>
          <w:color w:val="auto"/>
          <w:sz w:val="22"/>
          <w:szCs w:val="22"/>
        </w:rPr>
        <w:fldChar w:fldCharType="end"/>
      </w:r>
      <w:r w:rsidRPr="000B170A">
        <w:rPr>
          <w:rFonts w:ascii="Arial" w:hAnsi="Arial" w:cs="Arial"/>
          <w:color w:val="auto"/>
          <w:sz w:val="22"/>
          <w:szCs w:val="22"/>
        </w:rPr>
        <w:t>: WWTF Progress towards the TP Freshwater TMDL</w:t>
      </w:r>
      <w:bookmarkEnd w:id="1"/>
    </w:p>
    <w:p w:rsidR="000B170A" w:rsidRPr="000B170A" w:rsidRDefault="000B170A" w:rsidP="000B170A">
      <w:pPr>
        <w:pStyle w:val="ListParagraph"/>
        <w:ind w:left="0"/>
        <w:jc w:val="center"/>
        <w:rPr>
          <w:rFonts w:ascii="Arial" w:hAnsi="Arial" w:cs="Arial"/>
          <w:b/>
          <w:bCs/>
        </w:rPr>
      </w:pPr>
    </w:p>
    <w:p w:rsidR="000B170A" w:rsidRPr="000B170A" w:rsidRDefault="000B170A" w:rsidP="000B170A">
      <w:pPr>
        <w:pStyle w:val="ListParagraph"/>
        <w:ind w:left="0"/>
        <w:jc w:val="center"/>
        <w:rPr>
          <w:rFonts w:ascii="Arial" w:hAnsi="Arial" w:cs="Arial"/>
        </w:rPr>
      </w:pPr>
      <w:r w:rsidRPr="000B170A">
        <w:rPr>
          <w:rFonts w:ascii="Arial" w:hAnsi="Arial" w:cs="Arial"/>
          <w:noProof/>
        </w:rPr>
        <w:lastRenderedPageBreak/>
        <w:drawing>
          <wp:inline distT="0" distB="0" distL="0" distR="0">
            <wp:extent cx="3800475" cy="2582903"/>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804959" cy="2585950"/>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color w:val="auto"/>
          <w:sz w:val="22"/>
          <w:szCs w:val="22"/>
        </w:rPr>
      </w:pPr>
      <w:bookmarkStart w:id="2" w:name="_Toc253406150"/>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4</w:t>
      </w:r>
      <w:r w:rsidRPr="000B170A">
        <w:rPr>
          <w:rFonts w:ascii="Arial" w:hAnsi="Arial" w:cs="Arial"/>
          <w:color w:val="auto"/>
          <w:sz w:val="22"/>
          <w:szCs w:val="22"/>
        </w:rPr>
        <w:fldChar w:fldCharType="end"/>
      </w:r>
      <w:r w:rsidRPr="000B170A">
        <w:rPr>
          <w:rFonts w:ascii="Arial" w:hAnsi="Arial" w:cs="Arial"/>
          <w:color w:val="auto"/>
          <w:sz w:val="22"/>
          <w:szCs w:val="22"/>
        </w:rPr>
        <w:t>: WWTF Progress towards the TN Freshwater TMDL</w:t>
      </w:r>
      <w:bookmarkEnd w:id="2"/>
    </w:p>
    <w:p w:rsidR="000B170A" w:rsidRPr="000B170A" w:rsidRDefault="000B170A" w:rsidP="000B170A">
      <w:pPr>
        <w:pStyle w:val="ListParagraph"/>
        <w:ind w:left="0"/>
        <w:rPr>
          <w:rFonts w:ascii="Arial" w:hAnsi="Arial" w:cs="Arial"/>
        </w:rPr>
      </w:pPr>
    </w:p>
    <w:p w:rsidR="000B170A" w:rsidRPr="000B170A" w:rsidRDefault="000B170A" w:rsidP="000B170A">
      <w:pPr>
        <w:pStyle w:val="ListParagraph"/>
        <w:spacing w:after="0" w:line="240" w:lineRule="auto"/>
        <w:ind w:left="0"/>
        <w:jc w:val="both"/>
        <w:rPr>
          <w:rFonts w:ascii="Arial" w:hAnsi="Arial" w:cs="Arial"/>
        </w:rPr>
      </w:pPr>
      <w:r w:rsidRPr="000B170A">
        <w:rPr>
          <w:rFonts w:ascii="Arial" w:hAnsi="Arial" w:cs="Arial"/>
        </w:rPr>
        <w:t>The MS4 projects have achieved a total of 244 kg/yr of TP and 217 kg/yr of TN reductions.  The estimated project reductions for TP have achieved the TP required reductions for the MS4s in the freshwater section.  An additional 829 kg/yr of TN reductions is needed to achieve the TN portion of the TMDL.</w:t>
      </w:r>
    </w:p>
    <w:p w:rsidR="000B170A" w:rsidRPr="000B170A" w:rsidRDefault="000B170A" w:rsidP="000B170A">
      <w:pPr>
        <w:pStyle w:val="ListParagraph"/>
        <w:spacing w:after="0" w:line="240" w:lineRule="auto"/>
        <w:ind w:left="0"/>
        <w:rPr>
          <w:rFonts w:ascii="Arial" w:hAnsi="Arial" w:cs="Arial"/>
        </w:rPr>
      </w:pPr>
    </w:p>
    <w:p w:rsidR="000B170A" w:rsidRPr="000B170A" w:rsidRDefault="000B170A" w:rsidP="000B170A">
      <w:pPr>
        <w:pStyle w:val="ListParagraph"/>
        <w:ind w:left="0"/>
        <w:jc w:val="center"/>
        <w:rPr>
          <w:rFonts w:ascii="Arial" w:hAnsi="Arial" w:cs="Arial"/>
        </w:rPr>
      </w:pPr>
      <w:r w:rsidRPr="000B170A">
        <w:rPr>
          <w:rFonts w:ascii="Arial" w:hAnsi="Arial" w:cs="Arial"/>
          <w:noProof/>
        </w:rPr>
        <w:drawing>
          <wp:inline distT="0" distB="0" distL="0" distR="0">
            <wp:extent cx="3429000" cy="237722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429000" cy="2377225"/>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3" w:name="_Toc253406151"/>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5</w:t>
      </w:r>
      <w:r w:rsidRPr="000B170A">
        <w:rPr>
          <w:rFonts w:ascii="Arial" w:hAnsi="Arial" w:cs="Arial"/>
          <w:color w:val="auto"/>
          <w:sz w:val="22"/>
          <w:szCs w:val="22"/>
        </w:rPr>
        <w:fldChar w:fldCharType="end"/>
      </w:r>
      <w:r w:rsidRPr="000B170A">
        <w:rPr>
          <w:rFonts w:ascii="Arial" w:hAnsi="Arial" w:cs="Arial"/>
          <w:color w:val="auto"/>
          <w:sz w:val="22"/>
          <w:szCs w:val="22"/>
        </w:rPr>
        <w:t>: MS4 Progress towards the TP Freshwater TMDL</w:t>
      </w:r>
      <w:bookmarkEnd w:id="3"/>
    </w:p>
    <w:p w:rsidR="000B170A" w:rsidRPr="000B170A" w:rsidRDefault="000B170A" w:rsidP="000B170A">
      <w:pPr>
        <w:pStyle w:val="ListParagraph"/>
        <w:ind w:left="0"/>
        <w:jc w:val="center"/>
        <w:rPr>
          <w:rFonts w:ascii="Arial" w:hAnsi="Arial" w:cs="Arial"/>
          <w:b/>
          <w:bCs/>
        </w:rPr>
      </w:pPr>
    </w:p>
    <w:p w:rsidR="000B170A" w:rsidRPr="000B170A" w:rsidRDefault="000B170A" w:rsidP="000B170A">
      <w:pPr>
        <w:pStyle w:val="ListParagraph"/>
        <w:keepNext/>
        <w:ind w:left="0"/>
        <w:jc w:val="center"/>
        <w:rPr>
          <w:rFonts w:ascii="Arial" w:hAnsi="Arial" w:cs="Arial"/>
        </w:rPr>
      </w:pPr>
      <w:r w:rsidRPr="000B170A">
        <w:rPr>
          <w:rFonts w:ascii="Arial" w:hAnsi="Arial" w:cs="Arial"/>
          <w:noProof/>
        </w:rPr>
        <w:lastRenderedPageBreak/>
        <w:drawing>
          <wp:inline distT="0" distB="0" distL="0" distR="0">
            <wp:extent cx="3733800" cy="2300737"/>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740962" cy="2305150"/>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4" w:name="_Toc253406152"/>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6</w:t>
      </w:r>
      <w:r w:rsidRPr="000B170A">
        <w:rPr>
          <w:rFonts w:ascii="Arial" w:hAnsi="Arial" w:cs="Arial"/>
          <w:color w:val="auto"/>
          <w:sz w:val="22"/>
          <w:szCs w:val="22"/>
        </w:rPr>
        <w:fldChar w:fldCharType="end"/>
      </w:r>
      <w:r w:rsidRPr="000B170A">
        <w:rPr>
          <w:rFonts w:ascii="Arial" w:hAnsi="Arial" w:cs="Arial"/>
          <w:color w:val="auto"/>
          <w:sz w:val="22"/>
          <w:szCs w:val="22"/>
        </w:rPr>
        <w:t>: MS4 Progress towards the TN Freshwater TMDL</w:t>
      </w:r>
      <w:bookmarkEnd w:id="4"/>
    </w:p>
    <w:p w:rsidR="000B170A" w:rsidRPr="000B170A" w:rsidRDefault="000B170A" w:rsidP="000B170A">
      <w:pPr>
        <w:pStyle w:val="ListParagraph"/>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The non-MS4 projects have resulted in 1,285 kg/yr of TP and 2,780 kg/yr of TN reductions.  An additional 1,665 kg/yr of TP and 11,806 kg/yr of TN reductions are needed to achieve the non-MS4 part of the TMDL in the freshwater section.</w:t>
      </w:r>
    </w:p>
    <w:p w:rsidR="000B170A" w:rsidRPr="000B170A" w:rsidRDefault="000B170A" w:rsidP="000B170A">
      <w:pPr>
        <w:pStyle w:val="ListParagraph"/>
        <w:ind w:left="0"/>
        <w:rPr>
          <w:rFonts w:ascii="Arial" w:hAnsi="Arial" w:cs="Arial"/>
        </w:rPr>
      </w:pPr>
    </w:p>
    <w:p w:rsidR="000B170A" w:rsidRPr="000B170A" w:rsidRDefault="000B170A" w:rsidP="000B170A">
      <w:pPr>
        <w:pStyle w:val="ListParagraph"/>
        <w:ind w:left="0"/>
        <w:jc w:val="center"/>
        <w:rPr>
          <w:rFonts w:ascii="Arial" w:hAnsi="Arial" w:cs="Arial"/>
        </w:rPr>
      </w:pPr>
      <w:r w:rsidRPr="000B170A">
        <w:rPr>
          <w:rFonts w:ascii="Arial" w:hAnsi="Arial" w:cs="Arial"/>
          <w:noProof/>
        </w:rPr>
        <w:drawing>
          <wp:inline distT="0" distB="0" distL="0" distR="0">
            <wp:extent cx="3848100" cy="250894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851753" cy="2511322"/>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5" w:name="_Toc253406153"/>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7</w:t>
      </w:r>
      <w:r w:rsidRPr="000B170A">
        <w:rPr>
          <w:rFonts w:ascii="Arial" w:hAnsi="Arial" w:cs="Arial"/>
          <w:color w:val="auto"/>
          <w:sz w:val="22"/>
          <w:szCs w:val="22"/>
        </w:rPr>
        <w:fldChar w:fldCharType="end"/>
      </w:r>
      <w:r w:rsidRPr="000B170A">
        <w:rPr>
          <w:rFonts w:ascii="Arial" w:hAnsi="Arial" w:cs="Arial"/>
          <w:color w:val="auto"/>
          <w:sz w:val="22"/>
          <w:szCs w:val="22"/>
        </w:rPr>
        <w:t>: Non-MS4 Progress towards the TP Freshwater TMDL</w:t>
      </w:r>
      <w:bookmarkEnd w:id="5"/>
    </w:p>
    <w:p w:rsidR="000B170A" w:rsidRPr="000B170A" w:rsidRDefault="000B170A" w:rsidP="000B170A">
      <w:pPr>
        <w:pStyle w:val="ListParagraph"/>
        <w:ind w:left="0"/>
        <w:jc w:val="center"/>
        <w:rPr>
          <w:rFonts w:ascii="Arial" w:hAnsi="Arial" w:cs="Arial"/>
          <w:b/>
          <w:bCs/>
        </w:rPr>
      </w:pPr>
    </w:p>
    <w:p w:rsidR="000B170A" w:rsidRPr="000B170A" w:rsidRDefault="000B170A" w:rsidP="000B170A">
      <w:pPr>
        <w:pStyle w:val="ListParagraph"/>
        <w:ind w:left="0"/>
        <w:jc w:val="center"/>
        <w:rPr>
          <w:rFonts w:ascii="Arial" w:hAnsi="Arial" w:cs="Arial"/>
        </w:rPr>
      </w:pPr>
      <w:r w:rsidRPr="000B170A">
        <w:rPr>
          <w:rFonts w:ascii="Arial" w:hAnsi="Arial" w:cs="Arial"/>
          <w:noProof/>
        </w:rPr>
        <w:lastRenderedPageBreak/>
        <w:drawing>
          <wp:inline distT="0" distB="0" distL="0" distR="0">
            <wp:extent cx="3810000" cy="2340649"/>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817275" cy="2345118"/>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6" w:name="_Toc253406154"/>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8</w:t>
      </w:r>
      <w:r w:rsidRPr="000B170A">
        <w:rPr>
          <w:rFonts w:ascii="Arial" w:hAnsi="Arial" w:cs="Arial"/>
          <w:color w:val="auto"/>
          <w:sz w:val="22"/>
          <w:szCs w:val="22"/>
        </w:rPr>
        <w:fldChar w:fldCharType="end"/>
      </w:r>
      <w:r w:rsidRPr="000B170A">
        <w:rPr>
          <w:rFonts w:ascii="Arial" w:hAnsi="Arial" w:cs="Arial"/>
          <w:color w:val="auto"/>
          <w:sz w:val="22"/>
          <w:szCs w:val="22"/>
        </w:rPr>
        <w:t>: Non-MS4 Progress towards the TN Freshwater TMDL</w:t>
      </w:r>
      <w:bookmarkEnd w:id="6"/>
    </w:p>
    <w:p w:rsidR="000B170A" w:rsidRPr="000B170A" w:rsidRDefault="000B170A" w:rsidP="000B170A">
      <w:pPr>
        <w:pStyle w:val="Heading2"/>
        <w:jc w:val="left"/>
        <w:rPr>
          <w:rFonts w:ascii="Arial" w:hAnsi="Arial" w:cs="Arial"/>
          <w:color w:val="auto"/>
          <w:sz w:val="22"/>
          <w:szCs w:val="22"/>
        </w:rPr>
      </w:pPr>
      <w:bookmarkStart w:id="7" w:name="_Toc253406143"/>
      <w:r w:rsidRPr="000B170A">
        <w:rPr>
          <w:rFonts w:ascii="Arial" w:hAnsi="Arial" w:cs="Arial"/>
          <w:color w:val="auto"/>
          <w:sz w:val="22"/>
          <w:szCs w:val="22"/>
        </w:rPr>
        <w:t>Marine Section</w:t>
      </w:r>
      <w:bookmarkEnd w:id="7"/>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For the marine section of the river, 10 MS4 projects and 3 non-MS4 projects were completed in the past year.  These projects provided an estimated reduction of 4,678 kg/yr of TN.  In addition, 6 JEA WWTF upgrade projects that were shown as completed in the BMAP were given revised reduction estimates based on actual monitoring data.  The revised estimates provide an additional 110,636 kg/yr of TN reductions.</w:t>
      </w:r>
    </w:p>
    <w:p w:rsidR="000B170A" w:rsidRPr="000B170A" w:rsidRDefault="000B170A" w:rsidP="000B170A">
      <w:pPr>
        <w:pStyle w:val="ListParagraph"/>
        <w:ind w:left="0"/>
        <w:rPr>
          <w:rFonts w:ascii="Arial" w:hAnsi="Arial" w:cs="Arial"/>
        </w:rPr>
      </w:pPr>
    </w:p>
    <w:p w:rsidR="000B170A" w:rsidRPr="000B170A" w:rsidRDefault="000B170A" w:rsidP="000B170A">
      <w:pPr>
        <w:pStyle w:val="ListParagraph"/>
        <w:ind w:left="0"/>
        <w:jc w:val="center"/>
        <w:rPr>
          <w:rFonts w:ascii="Arial" w:hAnsi="Arial" w:cs="Arial"/>
        </w:rPr>
      </w:pPr>
      <w:r w:rsidRPr="000B170A">
        <w:rPr>
          <w:rFonts w:ascii="Arial" w:hAnsi="Arial" w:cs="Arial"/>
          <w:noProof/>
        </w:rPr>
        <w:drawing>
          <wp:inline distT="0" distB="0" distL="0" distR="0">
            <wp:extent cx="3676650" cy="2245918"/>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84412" cy="2250659"/>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8" w:name="_Toc253406155"/>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9</w:t>
      </w:r>
      <w:r w:rsidRPr="000B170A">
        <w:rPr>
          <w:rFonts w:ascii="Arial" w:hAnsi="Arial" w:cs="Arial"/>
          <w:color w:val="auto"/>
          <w:sz w:val="22"/>
          <w:szCs w:val="22"/>
        </w:rPr>
        <w:fldChar w:fldCharType="end"/>
      </w:r>
      <w:r w:rsidRPr="000B170A">
        <w:rPr>
          <w:rFonts w:ascii="Arial" w:hAnsi="Arial" w:cs="Arial"/>
          <w:color w:val="auto"/>
          <w:sz w:val="22"/>
          <w:szCs w:val="22"/>
        </w:rPr>
        <w:t>: WWTF Progress towards the TN Marine TMDL</w:t>
      </w:r>
      <w:bookmarkEnd w:id="8"/>
    </w:p>
    <w:p w:rsidR="000B170A" w:rsidRPr="000B170A" w:rsidRDefault="000B170A" w:rsidP="000B170A">
      <w:pPr>
        <w:pStyle w:val="ListParagraph"/>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During the past year, the City of Atlantic Beach, City of Jacksonville, FDOT, Clay County, and St. Johns County all completed MS4 projects.  Atlantic Beach completed a regional stormwater treatment system.  The City of Jacksonville completed a wet detention stormwater project and phased out 151 septic tanks in close proximity to surface waters.  FDOT completed four roadway treatment projects.  Clay County conducted public education and outreach efforts.  St. Johns County implemented street sweeping and conducted stormwater education activities.  These projects result in an estimated reduction of 3,685 kg/yr of TN.</w:t>
      </w:r>
    </w:p>
    <w:p w:rsidR="000B170A" w:rsidRPr="000B170A" w:rsidRDefault="000B170A" w:rsidP="000B170A">
      <w:pPr>
        <w:pStyle w:val="ListParagraph"/>
        <w:spacing w:line="240" w:lineRule="auto"/>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lastRenderedPageBreak/>
        <w:t>In addition, Clay County and St. Johns County also completed non-MS4 projects.  Clay County utilized their education efforts and St. Johns County conducted street sweeping and stormwater education.  These projects provided approximately 993 kg/yr of TN reductions.</w:t>
      </w:r>
    </w:p>
    <w:p w:rsidR="000B170A" w:rsidRPr="000B170A" w:rsidRDefault="000B170A" w:rsidP="000B170A">
      <w:pPr>
        <w:pStyle w:val="ListParagraph"/>
        <w:spacing w:line="240" w:lineRule="auto"/>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The combined project efforts that were shown as completed in the BMAP and those described above have made considerable progress towards the marine section TN TMDL.  The largest reductions were achieved through WWTF projects for a total of 525,980 kg/yr of TN.  An additional 387,215 kg/yr of TN reductions is needed to meet the WWTF portion of the marine section TMDL.</w:t>
      </w:r>
    </w:p>
    <w:p w:rsidR="000B170A" w:rsidRPr="000B170A" w:rsidRDefault="000B170A" w:rsidP="000B170A">
      <w:pPr>
        <w:pStyle w:val="ListParagraph"/>
        <w:spacing w:line="240" w:lineRule="auto"/>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 xml:space="preserve">The MS4 projects have resulted in a reduction of 18,639 kg/yr of TN with an additional 136,596 kg/yr of TN needed to meet the TMDL.  </w:t>
      </w:r>
    </w:p>
    <w:p w:rsidR="000B170A" w:rsidRPr="000B170A" w:rsidRDefault="000B170A" w:rsidP="000B170A">
      <w:pPr>
        <w:pStyle w:val="ListParagraph"/>
        <w:ind w:left="0"/>
        <w:rPr>
          <w:rFonts w:ascii="Arial" w:hAnsi="Arial" w:cs="Arial"/>
        </w:rPr>
      </w:pPr>
    </w:p>
    <w:p w:rsidR="000B170A" w:rsidRPr="000B170A" w:rsidRDefault="000B170A" w:rsidP="000B170A">
      <w:pPr>
        <w:pStyle w:val="ListParagraph"/>
        <w:ind w:left="0"/>
        <w:jc w:val="center"/>
        <w:rPr>
          <w:rFonts w:ascii="Arial" w:hAnsi="Arial" w:cs="Arial"/>
        </w:rPr>
      </w:pPr>
      <w:r w:rsidRPr="000B170A">
        <w:rPr>
          <w:rFonts w:ascii="Arial" w:hAnsi="Arial" w:cs="Arial"/>
          <w:noProof/>
        </w:rPr>
        <w:drawing>
          <wp:inline distT="0" distB="0" distL="0" distR="0">
            <wp:extent cx="3562350" cy="2266951"/>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568477" cy="2270850"/>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9" w:name="_Toc253406156"/>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10</w:t>
      </w:r>
      <w:r w:rsidRPr="000B170A">
        <w:rPr>
          <w:rFonts w:ascii="Arial" w:hAnsi="Arial" w:cs="Arial"/>
          <w:color w:val="auto"/>
          <w:sz w:val="22"/>
          <w:szCs w:val="22"/>
        </w:rPr>
        <w:fldChar w:fldCharType="end"/>
      </w:r>
      <w:r w:rsidRPr="000B170A">
        <w:rPr>
          <w:rFonts w:ascii="Arial" w:hAnsi="Arial" w:cs="Arial"/>
          <w:color w:val="auto"/>
          <w:sz w:val="22"/>
          <w:szCs w:val="22"/>
        </w:rPr>
        <w:t>: MS4 Progress towards the TN Marine TMDL</w:t>
      </w:r>
      <w:bookmarkEnd w:id="9"/>
    </w:p>
    <w:p w:rsidR="000B170A" w:rsidRPr="000B170A" w:rsidRDefault="000B170A" w:rsidP="000B170A">
      <w:pPr>
        <w:pStyle w:val="ListParagraph"/>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The estimated non-MS4 project reduction is 1,179 kg/yr of TN and an additional 6,396 kg/yr of TN reductions will be needed to achieve the TMDL.</w:t>
      </w:r>
    </w:p>
    <w:p w:rsidR="000B170A" w:rsidRPr="000B170A" w:rsidRDefault="000B170A" w:rsidP="000B170A">
      <w:pPr>
        <w:pStyle w:val="ListParagraph"/>
        <w:spacing w:line="240" w:lineRule="auto"/>
        <w:ind w:left="0"/>
        <w:rPr>
          <w:rFonts w:ascii="Arial" w:hAnsi="Arial" w:cs="Arial"/>
        </w:rPr>
      </w:pPr>
    </w:p>
    <w:p w:rsidR="000B170A" w:rsidRPr="000B170A" w:rsidRDefault="000B170A" w:rsidP="000B170A">
      <w:pPr>
        <w:pStyle w:val="ListParagraph"/>
        <w:ind w:left="0"/>
        <w:jc w:val="center"/>
        <w:rPr>
          <w:rFonts w:ascii="Arial" w:hAnsi="Arial" w:cs="Arial"/>
        </w:rPr>
      </w:pPr>
      <w:r w:rsidRPr="000B170A">
        <w:rPr>
          <w:rFonts w:ascii="Arial" w:hAnsi="Arial" w:cs="Arial"/>
          <w:noProof/>
        </w:rPr>
        <w:drawing>
          <wp:inline distT="0" distB="0" distL="0" distR="0">
            <wp:extent cx="3724275" cy="2217217"/>
            <wp:effectExtent l="19050" t="0" r="952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729301" cy="2220209"/>
                    </a:xfrm>
                    <a:prstGeom prst="rect">
                      <a:avLst/>
                    </a:prstGeom>
                    <a:noFill/>
                    <a:ln w="9525">
                      <a:noFill/>
                      <a:miter lim="800000"/>
                      <a:headEnd/>
                      <a:tailEnd/>
                    </a:ln>
                  </pic:spPr>
                </pic:pic>
              </a:graphicData>
            </a:graphic>
          </wp:inline>
        </w:drawing>
      </w:r>
    </w:p>
    <w:p w:rsidR="000B170A" w:rsidRPr="000B170A" w:rsidRDefault="000B170A" w:rsidP="000B170A">
      <w:pPr>
        <w:pStyle w:val="Caption"/>
        <w:spacing w:after="0"/>
        <w:rPr>
          <w:rFonts w:ascii="Arial" w:hAnsi="Arial" w:cs="Arial"/>
          <w:b w:val="0"/>
          <w:bCs w:val="0"/>
          <w:color w:val="auto"/>
          <w:sz w:val="22"/>
          <w:szCs w:val="22"/>
        </w:rPr>
      </w:pPr>
      <w:bookmarkStart w:id="10" w:name="_Toc253406157"/>
      <w:r w:rsidRPr="000B170A">
        <w:rPr>
          <w:rFonts w:ascii="Arial" w:hAnsi="Arial" w:cs="Arial"/>
          <w:color w:val="auto"/>
          <w:sz w:val="22"/>
          <w:szCs w:val="22"/>
        </w:rPr>
        <w:t xml:space="preserve">Figure </w:t>
      </w:r>
      <w:r w:rsidRPr="000B170A">
        <w:rPr>
          <w:rFonts w:ascii="Arial" w:hAnsi="Arial" w:cs="Arial"/>
          <w:color w:val="auto"/>
          <w:sz w:val="22"/>
          <w:szCs w:val="22"/>
        </w:rPr>
        <w:fldChar w:fldCharType="begin"/>
      </w:r>
      <w:r w:rsidRPr="000B170A">
        <w:rPr>
          <w:rFonts w:ascii="Arial" w:hAnsi="Arial" w:cs="Arial"/>
          <w:color w:val="auto"/>
          <w:sz w:val="22"/>
          <w:szCs w:val="22"/>
        </w:rPr>
        <w:instrText xml:space="preserve"> SEQ Figure \* ARABIC </w:instrText>
      </w:r>
      <w:r w:rsidRPr="000B170A">
        <w:rPr>
          <w:rFonts w:ascii="Arial" w:hAnsi="Arial" w:cs="Arial"/>
          <w:color w:val="auto"/>
          <w:sz w:val="22"/>
          <w:szCs w:val="22"/>
        </w:rPr>
        <w:fldChar w:fldCharType="separate"/>
      </w:r>
      <w:r w:rsidRPr="000B170A">
        <w:rPr>
          <w:rFonts w:ascii="Arial" w:hAnsi="Arial" w:cs="Arial"/>
          <w:noProof/>
          <w:color w:val="auto"/>
          <w:sz w:val="22"/>
          <w:szCs w:val="22"/>
        </w:rPr>
        <w:t>11</w:t>
      </w:r>
      <w:r w:rsidRPr="000B170A">
        <w:rPr>
          <w:rFonts w:ascii="Arial" w:hAnsi="Arial" w:cs="Arial"/>
          <w:color w:val="auto"/>
          <w:sz w:val="22"/>
          <w:szCs w:val="22"/>
        </w:rPr>
        <w:fldChar w:fldCharType="end"/>
      </w:r>
      <w:r w:rsidRPr="000B170A">
        <w:rPr>
          <w:rFonts w:ascii="Arial" w:hAnsi="Arial" w:cs="Arial"/>
          <w:color w:val="auto"/>
          <w:sz w:val="22"/>
          <w:szCs w:val="22"/>
        </w:rPr>
        <w:t>: Non-MS4 Progress towards the TN Marine TMDL</w:t>
      </w:r>
      <w:bookmarkEnd w:id="10"/>
    </w:p>
    <w:p w:rsidR="000B170A" w:rsidRPr="000B170A" w:rsidRDefault="000B170A" w:rsidP="000B170A">
      <w:pPr>
        <w:pStyle w:val="Heading2"/>
        <w:jc w:val="left"/>
        <w:rPr>
          <w:rFonts w:ascii="Arial" w:hAnsi="Arial" w:cs="Arial"/>
          <w:color w:val="auto"/>
          <w:sz w:val="22"/>
          <w:szCs w:val="22"/>
        </w:rPr>
      </w:pPr>
      <w:bookmarkStart w:id="11" w:name="_Toc253406144"/>
      <w:r w:rsidRPr="000B170A">
        <w:rPr>
          <w:rFonts w:ascii="Arial" w:hAnsi="Arial" w:cs="Arial"/>
          <w:color w:val="auto"/>
          <w:sz w:val="22"/>
          <w:szCs w:val="22"/>
        </w:rPr>
        <w:lastRenderedPageBreak/>
        <w:t>Agriculture</w:t>
      </w:r>
      <w:bookmarkEnd w:id="11"/>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 xml:space="preserve">Agriculture is also found in each section of the river and was, therefore, given TN and TP reductions in the freshwater section and TN reductions in the marine section.  To achieve these reductions, FDACS has been working with producers in the basin to sign them up for the appropriate best management practice (BMP) manual.  This past year, FDACS has continued to sign up growers under the vegetable and agronomic crop BMP manual, and began efforts to sign up growers under the newly adopted sod and cow/calf manuals.  </w:t>
      </w:r>
    </w:p>
    <w:p w:rsidR="000B170A" w:rsidRPr="000B170A" w:rsidRDefault="000B170A" w:rsidP="000B170A">
      <w:pPr>
        <w:pStyle w:val="ListParagraph"/>
        <w:spacing w:line="240" w:lineRule="auto"/>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While estimates of the expected TN and TP reductions associated with BMP implementation are not yet available, FDACS was able to provide the percent of each commodity acreage that are enrolled in BMPs for the annual report.  This information includes acreages in Clay, Duval, Flagler, Putnam, and St. Johns counties; however, some of these areas are outside the LSJR Basin.  A total of 26% of the citrus acreage is enrolled in BMPs, 9% for vegetable and agronomic crops, 5% for container nurseries and leatherleaf ferns, and 17% for sod.</w:t>
      </w:r>
    </w:p>
    <w:p w:rsidR="000B170A" w:rsidRPr="000B170A" w:rsidRDefault="000B170A" w:rsidP="000B170A">
      <w:pPr>
        <w:pStyle w:val="ListParagraph"/>
        <w:spacing w:line="240" w:lineRule="auto"/>
        <w:ind w:left="0"/>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In addition, since BMP implementation alone will not be sufficient to achieve the agricultural reductions, SJRWMD is assessing the most cost effective means to meet the remainder of the reductions.  Options to achieve the reductions include regional stormwater treatment facilities, improved BMPs, and land buffers.</w:t>
      </w:r>
    </w:p>
    <w:p w:rsidR="000B170A" w:rsidRPr="000B170A" w:rsidRDefault="000B170A" w:rsidP="000B170A">
      <w:pPr>
        <w:pStyle w:val="Heading2"/>
        <w:jc w:val="left"/>
        <w:rPr>
          <w:rFonts w:ascii="Arial" w:hAnsi="Arial" w:cs="Arial"/>
          <w:color w:val="auto"/>
          <w:sz w:val="22"/>
          <w:szCs w:val="22"/>
        </w:rPr>
      </w:pPr>
      <w:bookmarkStart w:id="12" w:name="_Toc253406145"/>
      <w:r w:rsidRPr="000B170A">
        <w:rPr>
          <w:rFonts w:ascii="Arial" w:hAnsi="Arial" w:cs="Arial"/>
          <w:color w:val="auto"/>
          <w:sz w:val="22"/>
          <w:szCs w:val="22"/>
        </w:rPr>
        <w:t>Monitoring</w:t>
      </w:r>
      <w:bookmarkEnd w:id="12"/>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The BMAP monitoring plan includes sampling in the freshwater section, marine section, and tributaries to help determine progress towards achieving the TMDL.  The plan built off of existing monitoring efforts in the basin and added components to gather the necessary information to determine success of BMAP implementation.</w:t>
      </w:r>
    </w:p>
    <w:p w:rsidR="000B170A" w:rsidRPr="000B170A" w:rsidRDefault="000B170A" w:rsidP="000B170A">
      <w:pPr>
        <w:pStyle w:val="ListParagraph"/>
        <w:spacing w:line="240" w:lineRule="auto"/>
        <w:ind w:left="0"/>
        <w:jc w:val="both"/>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In the freshwater section, routine ambient monitoring efforts by SJRWMD and City of Jacksonville are included to assess the overall water quality in this section of the river.  For the BMAP, transect sampling was added in the 2 worst case waterbody segments.  The transect sampling involves collecting 29 samples in each of the 2 waterbody segments (a total of 58 samples per event) on a biweekly basis during the high chlorophyll period of the year (April through October).  The data gathered from the transect sampling will be used to determine chlorophyll concentrations across all portions of the 2 worst case waterbody segments, and when the TMDL target is met in these segments, it is likely that the remainder of the freshwater section will have achieved the target.  This sampling is conducted by FDEP and is funded by Georgia-Pacific and Seminole Electric.</w:t>
      </w:r>
    </w:p>
    <w:p w:rsidR="000B170A" w:rsidRPr="000B170A" w:rsidRDefault="000B170A" w:rsidP="000B170A">
      <w:pPr>
        <w:pStyle w:val="ListParagraph"/>
        <w:spacing w:line="240" w:lineRule="auto"/>
        <w:ind w:left="0"/>
        <w:jc w:val="both"/>
        <w:rPr>
          <w:rFonts w:ascii="Arial" w:hAnsi="Arial" w:cs="Arial"/>
        </w:rPr>
      </w:pPr>
    </w:p>
    <w:p w:rsidR="000B170A" w:rsidRPr="000B170A" w:rsidRDefault="000B170A" w:rsidP="000B170A">
      <w:pPr>
        <w:pStyle w:val="ListParagraph"/>
        <w:spacing w:line="240" w:lineRule="auto"/>
        <w:ind w:left="0"/>
        <w:jc w:val="both"/>
        <w:rPr>
          <w:rFonts w:ascii="Arial" w:hAnsi="Arial" w:cs="Arial"/>
        </w:rPr>
      </w:pPr>
      <w:r w:rsidRPr="000B170A">
        <w:rPr>
          <w:rFonts w:ascii="Arial" w:hAnsi="Arial" w:cs="Arial"/>
        </w:rPr>
        <w:t>To assess the marine section DO target, continuous DO stations were added to the worst case waterbody segment in this reach of the river.  The existing U.S. Geological Survey (USGS) station in the area was augmented with a back-up DO sonde to ensure a continuous data feed.  In addition, FDEP added 2 new continuous DO stations, which JEA is responsible for maintaining.  Data are collected at these stations every 15 minutes to provide detailed information to assess progress towards the marine TMDL.</w:t>
      </w:r>
    </w:p>
    <w:p w:rsidR="000B170A" w:rsidRPr="000B170A" w:rsidRDefault="000B170A" w:rsidP="000B170A">
      <w:pPr>
        <w:pStyle w:val="ListParagraph"/>
        <w:spacing w:line="240" w:lineRule="auto"/>
        <w:ind w:left="0"/>
        <w:jc w:val="both"/>
        <w:rPr>
          <w:rFonts w:ascii="Arial" w:hAnsi="Arial" w:cs="Arial"/>
        </w:rPr>
      </w:pPr>
    </w:p>
    <w:p w:rsidR="00F15A8B" w:rsidRPr="000B170A" w:rsidRDefault="000B170A" w:rsidP="000B170A">
      <w:pPr>
        <w:jc w:val="both"/>
        <w:rPr>
          <w:rFonts w:ascii="Arial" w:hAnsi="Arial" w:cs="Arial"/>
        </w:rPr>
      </w:pPr>
      <w:r w:rsidRPr="000B170A">
        <w:rPr>
          <w:rFonts w:ascii="Arial" w:hAnsi="Arial" w:cs="Arial"/>
        </w:rPr>
        <w:t xml:space="preserve">In addition, the major tributaries to the LSJR are monitored to determine the loads entering the main stem of the river from its tributaries and to estimate the reductions associated with the implementation of stormwater projects.  The tributaries monitoring includes ambient sampling by SJRWMD and JEA to determine water quality in the tributaries.  High-flow event (or storm event) sampling is also conducted to assess loads to the river during qualifying rain events.  </w:t>
      </w:r>
      <w:r w:rsidRPr="000B170A">
        <w:rPr>
          <w:rFonts w:ascii="Arial" w:hAnsi="Arial" w:cs="Arial"/>
        </w:rPr>
        <w:lastRenderedPageBreak/>
        <w:t>This sampling was started by CCUA and will also be conducted by SJRWMD and City of Jacksonville in the second year of BMAP implementation.</w:t>
      </w:r>
    </w:p>
    <w:sectPr w:rsidR="00F15A8B" w:rsidRPr="000B170A" w:rsidSect="00F15A8B">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8D8" w:rsidRDefault="009F48D8" w:rsidP="000B170A">
      <w:r>
        <w:separator/>
      </w:r>
    </w:p>
  </w:endnote>
  <w:endnote w:type="continuationSeparator" w:id="0">
    <w:p w:rsidR="009F48D8" w:rsidRDefault="009F48D8" w:rsidP="000B17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454"/>
      <w:docPartObj>
        <w:docPartGallery w:val="Page Numbers (Bottom of Page)"/>
        <w:docPartUnique/>
      </w:docPartObj>
    </w:sdtPr>
    <w:sdtEndPr>
      <w:rPr>
        <w:rFonts w:ascii="Arial" w:hAnsi="Arial" w:cs="Arial"/>
        <w:sz w:val="20"/>
        <w:szCs w:val="20"/>
      </w:rPr>
    </w:sdtEndPr>
    <w:sdtContent>
      <w:sdt>
        <w:sdtPr>
          <w:id w:val="98381352"/>
          <w:docPartObj>
            <w:docPartGallery w:val="Page Numbers (Top of Page)"/>
            <w:docPartUnique/>
          </w:docPartObj>
        </w:sdtPr>
        <w:sdtEndPr>
          <w:rPr>
            <w:rFonts w:ascii="Arial" w:hAnsi="Arial" w:cs="Arial"/>
            <w:sz w:val="20"/>
            <w:szCs w:val="20"/>
          </w:rPr>
        </w:sdtEndPr>
        <w:sdtContent>
          <w:p w:rsidR="000B170A" w:rsidRDefault="000B170A">
            <w:pPr>
              <w:pStyle w:val="Footer"/>
            </w:pPr>
            <w:r w:rsidRPr="000B170A">
              <w:rPr>
                <w:rFonts w:ascii="Arial" w:hAnsi="Arial" w:cs="Arial"/>
                <w:sz w:val="20"/>
                <w:szCs w:val="20"/>
              </w:rPr>
              <w:t xml:space="preserve">Page </w:t>
            </w:r>
            <w:r w:rsidRPr="000B170A">
              <w:rPr>
                <w:rFonts w:ascii="Arial" w:hAnsi="Arial" w:cs="Arial"/>
                <w:sz w:val="20"/>
                <w:szCs w:val="20"/>
              </w:rPr>
              <w:fldChar w:fldCharType="begin"/>
            </w:r>
            <w:r w:rsidRPr="000B170A">
              <w:rPr>
                <w:rFonts w:ascii="Arial" w:hAnsi="Arial" w:cs="Arial"/>
                <w:sz w:val="20"/>
                <w:szCs w:val="20"/>
              </w:rPr>
              <w:instrText xml:space="preserve"> PAGE </w:instrText>
            </w:r>
            <w:r w:rsidRPr="000B170A">
              <w:rPr>
                <w:rFonts w:ascii="Arial" w:hAnsi="Arial" w:cs="Arial"/>
                <w:sz w:val="20"/>
                <w:szCs w:val="20"/>
              </w:rPr>
              <w:fldChar w:fldCharType="separate"/>
            </w:r>
            <w:r>
              <w:rPr>
                <w:rFonts w:ascii="Arial" w:hAnsi="Arial" w:cs="Arial"/>
                <w:noProof/>
                <w:sz w:val="20"/>
                <w:szCs w:val="20"/>
              </w:rPr>
              <w:t>2</w:t>
            </w:r>
            <w:r w:rsidRPr="000B170A">
              <w:rPr>
                <w:rFonts w:ascii="Arial" w:hAnsi="Arial" w:cs="Arial"/>
                <w:sz w:val="20"/>
                <w:szCs w:val="20"/>
              </w:rPr>
              <w:fldChar w:fldCharType="end"/>
            </w:r>
            <w:r w:rsidRPr="000B170A">
              <w:rPr>
                <w:rFonts w:ascii="Arial" w:hAnsi="Arial" w:cs="Arial"/>
                <w:sz w:val="20"/>
                <w:szCs w:val="20"/>
              </w:rPr>
              <w:t xml:space="preserve"> of </w:t>
            </w:r>
            <w:r w:rsidRPr="000B170A">
              <w:rPr>
                <w:rFonts w:ascii="Arial" w:hAnsi="Arial" w:cs="Arial"/>
                <w:sz w:val="20"/>
                <w:szCs w:val="20"/>
              </w:rPr>
              <w:fldChar w:fldCharType="begin"/>
            </w:r>
            <w:r w:rsidRPr="000B170A">
              <w:rPr>
                <w:rFonts w:ascii="Arial" w:hAnsi="Arial" w:cs="Arial"/>
                <w:sz w:val="20"/>
                <w:szCs w:val="20"/>
              </w:rPr>
              <w:instrText xml:space="preserve"> NUMPAGES  </w:instrText>
            </w:r>
            <w:r w:rsidRPr="000B170A">
              <w:rPr>
                <w:rFonts w:ascii="Arial" w:hAnsi="Arial" w:cs="Arial"/>
                <w:sz w:val="20"/>
                <w:szCs w:val="20"/>
              </w:rPr>
              <w:fldChar w:fldCharType="separate"/>
            </w:r>
            <w:r>
              <w:rPr>
                <w:rFonts w:ascii="Arial" w:hAnsi="Arial" w:cs="Arial"/>
                <w:noProof/>
                <w:sz w:val="20"/>
                <w:szCs w:val="20"/>
              </w:rPr>
              <w:t>7</w:t>
            </w:r>
            <w:r w:rsidRPr="000B170A">
              <w:rPr>
                <w:rFonts w:ascii="Arial" w:hAnsi="Arial" w:cs="Arial"/>
                <w:sz w:val="20"/>
                <w:szCs w:val="20"/>
              </w:rPr>
              <w:fldChar w:fldCharType="end"/>
            </w:r>
          </w:p>
        </w:sdtContent>
      </w:sdt>
    </w:sdtContent>
  </w:sdt>
  <w:p w:rsidR="000B170A" w:rsidRDefault="000B17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8D8" w:rsidRDefault="009F48D8" w:rsidP="000B170A">
      <w:r>
        <w:separator/>
      </w:r>
    </w:p>
  </w:footnote>
  <w:footnote w:type="continuationSeparator" w:id="0">
    <w:p w:rsidR="009F48D8" w:rsidRDefault="009F48D8" w:rsidP="000B17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B170A"/>
    <w:rsid w:val="000A5EDE"/>
    <w:rsid w:val="000B170A"/>
    <w:rsid w:val="000E6C4B"/>
    <w:rsid w:val="00145CFD"/>
    <w:rsid w:val="001F5429"/>
    <w:rsid w:val="002769C3"/>
    <w:rsid w:val="00276DC3"/>
    <w:rsid w:val="00282AC4"/>
    <w:rsid w:val="00442BF0"/>
    <w:rsid w:val="004A5BF7"/>
    <w:rsid w:val="00543291"/>
    <w:rsid w:val="006C4BF8"/>
    <w:rsid w:val="006E334A"/>
    <w:rsid w:val="006F3C04"/>
    <w:rsid w:val="00734BA0"/>
    <w:rsid w:val="00843B35"/>
    <w:rsid w:val="008953E3"/>
    <w:rsid w:val="00942CE6"/>
    <w:rsid w:val="009F48D8"/>
    <w:rsid w:val="00A34D2B"/>
    <w:rsid w:val="00AB01D2"/>
    <w:rsid w:val="00D57EFD"/>
    <w:rsid w:val="00DA08FE"/>
    <w:rsid w:val="00DF211E"/>
    <w:rsid w:val="00E714A0"/>
    <w:rsid w:val="00ED6779"/>
    <w:rsid w:val="00F15A8B"/>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70A"/>
    <w:pPr>
      <w:spacing w:after="0" w:line="240" w:lineRule="auto"/>
      <w:jc w:val="center"/>
    </w:pPr>
  </w:style>
  <w:style w:type="paragraph" w:styleId="Heading2">
    <w:name w:val="heading 2"/>
    <w:basedOn w:val="Normal"/>
    <w:next w:val="Normal"/>
    <w:link w:val="Heading2Char"/>
    <w:uiPriority w:val="9"/>
    <w:unhideWhenUsed/>
    <w:qFormat/>
    <w:rsid w:val="000B17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170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B170A"/>
    <w:pPr>
      <w:spacing w:after="200" w:line="276" w:lineRule="auto"/>
      <w:ind w:left="720"/>
      <w:contextualSpacing/>
      <w:jc w:val="left"/>
    </w:pPr>
  </w:style>
  <w:style w:type="paragraph" w:styleId="Caption">
    <w:name w:val="caption"/>
    <w:basedOn w:val="Normal"/>
    <w:next w:val="Normal"/>
    <w:uiPriority w:val="35"/>
    <w:unhideWhenUsed/>
    <w:qFormat/>
    <w:rsid w:val="000B170A"/>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0B170A"/>
    <w:rPr>
      <w:rFonts w:ascii="Tahoma" w:hAnsi="Tahoma" w:cs="Tahoma"/>
      <w:sz w:val="16"/>
      <w:szCs w:val="16"/>
    </w:rPr>
  </w:style>
  <w:style w:type="character" w:customStyle="1" w:styleId="BalloonTextChar">
    <w:name w:val="Balloon Text Char"/>
    <w:basedOn w:val="DefaultParagraphFont"/>
    <w:link w:val="BalloonText"/>
    <w:uiPriority w:val="99"/>
    <w:semiHidden/>
    <w:rsid w:val="000B170A"/>
    <w:rPr>
      <w:rFonts w:ascii="Tahoma" w:hAnsi="Tahoma" w:cs="Tahoma"/>
      <w:sz w:val="16"/>
      <w:szCs w:val="16"/>
    </w:rPr>
  </w:style>
  <w:style w:type="paragraph" w:styleId="Header">
    <w:name w:val="header"/>
    <w:basedOn w:val="Normal"/>
    <w:link w:val="HeaderChar"/>
    <w:uiPriority w:val="99"/>
    <w:semiHidden/>
    <w:unhideWhenUsed/>
    <w:rsid w:val="000B170A"/>
    <w:pPr>
      <w:tabs>
        <w:tab w:val="center" w:pos="4680"/>
        <w:tab w:val="right" w:pos="9360"/>
      </w:tabs>
    </w:pPr>
  </w:style>
  <w:style w:type="character" w:customStyle="1" w:styleId="HeaderChar">
    <w:name w:val="Header Char"/>
    <w:basedOn w:val="DefaultParagraphFont"/>
    <w:link w:val="Header"/>
    <w:uiPriority w:val="99"/>
    <w:semiHidden/>
    <w:rsid w:val="000B170A"/>
  </w:style>
  <w:style w:type="paragraph" w:styleId="Footer">
    <w:name w:val="footer"/>
    <w:basedOn w:val="Normal"/>
    <w:link w:val="FooterChar"/>
    <w:uiPriority w:val="99"/>
    <w:unhideWhenUsed/>
    <w:rsid w:val="000B170A"/>
    <w:pPr>
      <w:tabs>
        <w:tab w:val="center" w:pos="4680"/>
        <w:tab w:val="right" w:pos="9360"/>
      </w:tabs>
    </w:pPr>
  </w:style>
  <w:style w:type="character" w:customStyle="1" w:styleId="FooterChar">
    <w:name w:val="Footer Char"/>
    <w:basedOn w:val="DefaultParagraphFont"/>
    <w:link w:val="Footer"/>
    <w:uiPriority w:val="99"/>
    <w:rsid w:val="000B17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1343</Words>
  <Characters>7657</Characters>
  <Application>Microsoft Office Word</Application>
  <DocSecurity>0</DocSecurity>
  <Lines>63</Lines>
  <Paragraphs>17</Paragraphs>
  <ScaleCrop>false</ScaleCrop>
  <Company/>
  <LinksUpToDate>false</LinksUpToDate>
  <CharactersWithSpaces>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1</cp:revision>
  <dcterms:created xsi:type="dcterms:W3CDTF">2010-02-09T13:56:00Z</dcterms:created>
  <dcterms:modified xsi:type="dcterms:W3CDTF">2010-02-09T13:59:00Z</dcterms:modified>
</cp:coreProperties>
</file>