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979" w:rsidRDefault="00F43979" w:rsidP="00E76C59">
      <w:pPr>
        <w:pStyle w:val="NoSpacing"/>
        <w:rPr>
          <w:rFonts w:ascii="Times New Roman" w:hAnsi="Times New Roman" w:cs="Times New Roman"/>
        </w:rPr>
      </w:pPr>
    </w:p>
    <w:p w:rsidR="00F43979" w:rsidRDefault="00F43979" w:rsidP="00F43979">
      <w:r>
        <w:t xml:space="preserve">FDEP Comments on the draft final </w:t>
      </w:r>
      <w:proofErr w:type="gramStart"/>
      <w:r>
        <w:t>report :</w:t>
      </w:r>
      <w:proofErr w:type="gramEnd"/>
      <w:r>
        <w:t xml:space="preserve"> TCAA Water Quality Data Review and Information-Sharing Program</w:t>
      </w:r>
    </w:p>
    <w:p w:rsidR="00F43979" w:rsidRDefault="00F43979" w:rsidP="00F43979">
      <w:pPr>
        <w:shd w:val="clear" w:color="auto" w:fill="FFFFFF"/>
        <w:spacing w:before="100" w:beforeAutospacing="1" w:after="100" w:afterAutospacing="1" w:line="240" w:lineRule="auto"/>
        <w:ind w:left="66"/>
        <w:textAlignment w:val="top"/>
        <w:rPr>
          <w:rFonts w:eastAsia="Times New Roman" w:cs="Times New Roman"/>
          <w:color w:val="000000"/>
          <w:u w:val="single"/>
        </w:rPr>
      </w:pPr>
      <w:r w:rsidRPr="00D71303">
        <w:rPr>
          <w:rFonts w:eastAsia="Times New Roman" w:cs="Times New Roman"/>
          <w:color w:val="000000"/>
          <w:u w:val="single"/>
        </w:rPr>
        <w:t>Section 1.a</w:t>
      </w:r>
      <w:r>
        <w:rPr>
          <w:rFonts w:eastAsia="Times New Roman" w:cs="Times New Roman"/>
          <w:color w:val="000000"/>
          <w:u w:val="single"/>
        </w:rPr>
        <w:t>:</w:t>
      </w:r>
    </w:p>
    <w:p w:rsidR="00F43979" w:rsidRDefault="00F43979" w:rsidP="00F43979">
      <w:pPr>
        <w:pStyle w:val="ListParagraph"/>
        <w:numPr>
          <w:ilvl w:val="0"/>
          <w:numId w:val="5"/>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Part of the objective of this project is to identify ways improve communication and information sharing among stakeholders.  Perhaps this section should also identify some of the public participation elements of the assessment/listing process, TMDL, and BMAP process.</w:t>
      </w:r>
    </w:p>
    <w:p w:rsidR="00F43979" w:rsidRDefault="00F43979" w:rsidP="00F43979">
      <w:pPr>
        <w:pStyle w:val="ListParagraph"/>
        <w:numPr>
          <w:ilvl w:val="1"/>
          <w:numId w:val="5"/>
        </w:numPr>
      </w:pPr>
      <w:r w:rsidRPr="00216756">
        <w:rPr>
          <w:rFonts w:eastAsia="Times New Roman" w:cs="Times New Roman"/>
          <w:color w:val="000000"/>
        </w:rPr>
        <w:t>Public meetings were held to present draft lists of potentially impaired waters and waters to be removed from the 1998 303(d) list.  At these public meetings, presentations were given on the assessment methodology, available data used in the assessments, a</w:t>
      </w:r>
      <w:r>
        <w:rPr>
          <w:rFonts w:eastAsia="Times New Roman" w:cs="Times New Roman"/>
          <w:color w:val="000000"/>
        </w:rPr>
        <w:t>nd</w:t>
      </w:r>
      <w:r w:rsidRPr="00216756">
        <w:rPr>
          <w:rFonts w:eastAsia="Times New Roman" w:cs="Times New Roman"/>
          <w:color w:val="000000"/>
        </w:rPr>
        <w:t xml:space="preserve"> basis for listing.  Notices were published in the FAW, posted on the FDEP website (</w:t>
      </w:r>
      <w:hyperlink r:id="rId5" w:history="1">
        <w:r w:rsidRPr="00E5677C">
          <w:rPr>
            <w:rStyle w:val="Hyperlink"/>
          </w:rPr>
          <w:t>http://tlhora6.dep.state.fl.us/onw/pilot.asp</w:t>
        </w:r>
      </w:hyperlink>
      <w:r>
        <w:t>) and distributed via email through stakeholder based distribution lists.  In this case, public meetings on the draft list were held on May 14, 2003 and June 25, 2011.  At each public meeting requests were made for public comment and additional data sets that might not have been included in the assessment.</w:t>
      </w:r>
    </w:p>
    <w:p w:rsidR="00F43979" w:rsidRPr="009A29F9" w:rsidRDefault="00F43979" w:rsidP="00F43979">
      <w:pPr>
        <w:pStyle w:val="ListParagraph"/>
        <w:numPr>
          <w:ilvl w:val="1"/>
          <w:numId w:val="5"/>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With respect to the TMDL process, FDEP and SJRWMD collaborated to produce a plan of study document for development of TMDLs/PLRGs for the LSJR (</w:t>
      </w:r>
      <w:r>
        <w:t xml:space="preserve">Hendrickson, J., and W. Magley. 2001. </w:t>
      </w:r>
      <w:r>
        <w:rPr>
          <w:i/>
          <w:iCs/>
        </w:rPr>
        <w:t xml:space="preserve">Development of total maximum daily loads and pollutant load reduction goals for the Lower St. Johns River Basin: Plan of study. </w:t>
      </w:r>
      <w:r>
        <w:t>St. Johns River Water Management District).  Comments on a draft version were solicited from stakeholders and incorporated into the final report (public meeting held April 23, 2001).</w:t>
      </w:r>
    </w:p>
    <w:p w:rsidR="00F43979" w:rsidRPr="00864713" w:rsidRDefault="00F43979" w:rsidP="00F43979">
      <w:pPr>
        <w:pStyle w:val="ListParagraph"/>
        <w:numPr>
          <w:ilvl w:val="1"/>
          <w:numId w:val="5"/>
        </w:numPr>
        <w:shd w:val="clear" w:color="auto" w:fill="FFFFFF"/>
        <w:spacing w:before="100" w:beforeAutospacing="1" w:after="100" w:afterAutospacing="1" w:line="240" w:lineRule="auto"/>
        <w:textAlignment w:val="top"/>
        <w:rPr>
          <w:rFonts w:eastAsia="Times New Roman" w:cs="Times New Roman"/>
          <w:color w:val="000000"/>
        </w:rPr>
      </w:pPr>
      <w:r>
        <w:t>As part of the TMDL process the Director of the NE FDEP District formed an Executive Committee comprised of representatives from various stakeholder groups that met regularly and reviewed the development of the TMDL</w:t>
      </w:r>
      <w:r w:rsidR="007E52A6">
        <w:t xml:space="preserve">. </w:t>
      </w:r>
      <w:r>
        <w:t>The committee started meeting in July 2002.  The following table lists the members of the committee:</w:t>
      </w:r>
    </w:p>
    <w:p w:rsidR="00F43979" w:rsidRDefault="00F43979" w:rsidP="00F43979">
      <w:pPr>
        <w:pStyle w:val="ListParagraph"/>
        <w:shd w:val="clear" w:color="auto" w:fill="FFFFFF"/>
        <w:spacing w:before="100" w:beforeAutospacing="1" w:after="100" w:afterAutospacing="1" w:line="240" w:lineRule="auto"/>
        <w:ind w:left="1440"/>
        <w:textAlignment w:val="top"/>
        <w:rPr>
          <w:rFonts w:eastAsia="Times New Roman" w:cs="Times New Roman"/>
          <w:color w:val="000000"/>
        </w:rPr>
      </w:pPr>
    </w:p>
    <w:p w:rsidR="00F43979" w:rsidRPr="00864713" w:rsidRDefault="00F43979" w:rsidP="00F43979">
      <w:pPr>
        <w:pStyle w:val="ListParagraph"/>
        <w:shd w:val="clear" w:color="auto" w:fill="FFFFFF"/>
        <w:spacing w:before="100" w:beforeAutospacing="1" w:after="100" w:afterAutospacing="1" w:line="240" w:lineRule="auto"/>
        <w:ind w:left="1440"/>
        <w:textAlignment w:val="top"/>
        <w:rPr>
          <w:rFonts w:eastAsia="Times New Roman" w:cs="Times New Roman"/>
          <w:color w:val="000000"/>
        </w:rPr>
      </w:pPr>
      <w:r>
        <w:rPr>
          <w:rFonts w:eastAsia="Times New Roman" w:cs="Times New Roman"/>
          <w:noProof/>
          <w:color w:val="000000"/>
        </w:rPr>
        <w:drawing>
          <wp:inline distT="0" distB="0" distL="0" distR="0">
            <wp:extent cx="5943600" cy="2846796"/>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3600" cy="2846796"/>
                    </a:xfrm>
                    <a:prstGeom prst="rect">
                      <a:avLst/>
                    </a:prstGeom>
                    <a:noFill/>
                    <a:ln w="9525">
                      <a:noFill/>
                      <a:miter lim="800000"/>
                      <a:headEnd/>
                      <a:tailEnd/>
                    </a:ln>
                  </pic:spPr>
                </pic:pic>
              </a:graphicData>
            </a:graphic>
          </wp:inline>
        </w:drawing>
      </w:r>
    </w:p>
    <w:p w:rsidR="00F43979" w:rsidRPr="001E2634" w:rsidRDefault="00F43979" w:rsidP="00F43979">
      <w:pPr>
        <w:pStyle w:val="ListParagraph"/>
        <w:shd w:val="clear" w:color="auto" w:fill="FFFFFF"/>
        <w:spacing w:before="100" w:beforeAutospacing="1" w:after="100" w:afterAutospacing="1" w:line="240" w:lineRule="auto"/>
        <w:ind w:left="1440"/>
        <w:textAlignment w:val="top"/>
        <w:rPr>
          <w:rFonts w:eastAsia="Times New Roman" w:cs="Times New Roman"/>
          <w:color w:val="000000"/>
        </w:rPr>
      </w:pPr>
      <w:r>
        <w:lastRenderedPageBreak/>
        <w:t>The meetings were open to the public and input from the public was solicited at these meetings.   At each meeting, presentations were made to the committee on the progress, next steps, and recommendations were made by the committee at various key decision points in the TMDL development process.  Typically, a stakeholder meeting was held the preceding date where similar presentations were made to a broader group.  These meetings go back to at least early 2003 (again, Tiffany Busby may have a most complete record of meeting dates)</w:t>
      </w:r>
    </w:p>
    <w:p w:rsidR="00F43979" w:rsidRPr="000F2750" w:rsidRDefault="00F43979" w:rsidP="00F43979">
      <w:pPr>
        <w:pStyle w:val="ListParagraph"/>
        <w:numPr>
          <w:ilvl w:val="1"/>
          <w:numId w:val="5"/>
        </w:numPr>
        <w:shd w:val="clear" w:color="auto" w:fill="FFFFFF"/>
        <w:spacing w:before="100" w:beforeAutospacing="1" w:after="100" w:afterAutospacing="1" w:line="240" w:lineRule="auto"/>
        <w:textAlignment w:val="top"/>
        <w:rPr>
          <w:rFonts w:eastAsia="Times New Roman" w:cs="Times New Roman"/>
          <w:color w:val="000000"/>
        </w:rPr>
      </w:pPr>
      <w:r>
        <w:t>The Executive Committee was retained to review the subsequent allocation and BMAP process.  Note that some of the individual members representing various interest groups changed over time.</w:t>
      </w:r>
    </w:p>
    <w:p w:rsidR="00F43979" w:rsidRPr="000F2750" w:rsidRDefault="00F43979" w:rsidP="00F43979">
      <w:pPr>
        <w:pStyle w:val="ListParagraph"/>
        <w:numPr>
          <w:ilvl w:val="0"/>
          <w:numId w:val="5"/>
        </w:numPr>
        <w:shd w:val="clear" w:color="auto" w:fill="FFFFFF"/>
        <w:spacing w:before="100" w:beforeAutospacing="1" w:after="100" w:afterAutospacing="1" w:line="240" w:lineRule="auto"/>
        <w:textAlignment w:val="top"/>
        <w:rPr>
          <w:rFonts w:eastAsia="Times New Roman" w:cs="Times New Roman"/>
          <w:color w:val="000000"/>
        </w:rPr>
      </w:pPr>
      <w:r>
        <w:t>Under legal basis, in the last paragraph the citation for Interpretation of Narrative Nutrient Criteria should be 62-303.350 rather than 62-303.305.  In addition, the citations should include the corresponding Part III (Verified List) sections 62-303.410, 62-303.430, and 62-303.450.</w:t>
      </w:r>
    </w:p>
    <w:p w:rsidR="00F43979" w:rsidRDefault="00F43979" w:rsidP="00F43979">
      <w:pPr>
        <w:pStyle w:val="ListParagraph"/>
        <w:numPr>
          <w:ilvl w:val="0"/>
          <w:numId w:val="5"/>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Under verifying impairment, page </w:t>
      </w:r>
      <w:proofErr w:type="gramStart"/>
      <w:r>
        <w:rPr>
          <w:rFonts w:eastAsia="Times New Roman" w:cs="Times New Roman"/>
          <w:color w:val="000000"/>
        </w:rPr>
        <w:t>9,</w:t>
      </w:r>
      <w:proofErr w:type="gramEnd"/>
      <w:r>
        <w:rPr>
          <w:rFonts w:eastAsia="Times New Roman" w:cs="Times New Roman"/>
          <w:color w:val="000000"/>
        </w:rPr>
        <w:t xml:space="preserve"> note that the freshwater zone extends south of Palatka (freshwater </w:t>
      </w:r>
      <w:proofErr w:type="spellStart"/>
      <w:r>
        <w:rPr>
          <w:rFonts w:eastAsia="Times New Roman" w:cs="Times New Roman"/>
          <w:color w:val="000000"/>
        </w:rPr>
        <w:t>riverine</w:t>
      </w:r>
      <w:proofErr w:type="spellEnd"/>
      <w:r>
        <w:rPr>
          <w:rFonts w:eastAsia="Times New Roman" w:cs="Times New Roman"/>
          <w:color w:val="000000"/>
        </w:rPr>
        <w:t>).</w:t>
      </w:r>
    </w:p>
    <w:p w:rsidR="00F43979" w:rsidRDefault="00F43979" w:rsidP="00F43979">
      <w:pPr>
        <w:pStyle w:val="ListParagraph"/>
        <w:numPr>
          <w:ilvl w:val="0"/>
          <w:numId w:val="5"/>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There needs to be some clarification of the discussion on page 10 of the marine zone dissolved oxygen standards and verification of impairment.  The cycle 1 adopted verified lists for the LSJR did not include marine </w:t>
      </w:r>
      <w:proofErr w:type="spellStart"/>
      <w:r>
        <w:rPr>
          <w:rFonts w:eastAsia="Times New Roman" w:cs="Times New Roman"/>
          <w:color w:val="000000"/>
        </w:rPr>
        <w:t>mainstem</w:t>
      </w:r>
      <w:proofErr w:type="spellEnd"/>
      <w:r>
        <w:rPr>
          <w:rFonts w:eastAsia="Times New Roman" w:cs="Times New Roman"/>
          <w:color w:val="000000"/>
        </w:rPr>
        <w:t xml:space="preserve"> segments for dissolved oxygen.  The USGS data </w:t>
      </w:r>
      <w:proofErr w:type="spellStart"/>
      <w:r>
        <w:rPr>
          <w:rFonts w:eastAsia="Times New Roman" w:cs="Times New Roman"/>
          <w:color w:val="000000"/>
        </w:rPr>
        <w:t>sonde</w:t>
      </w:r>
      <w:proofErr w:type="spellEnd"/>
      <w:r>
        <w:rPr>
          <w:rFonts w:eastAsia="Times New Roman" w:cs="Times New Roman"/>
          <w:color w:val="000000"/>
        </w:rPr>
        <w:t xml:space="preserve"> records were not included in the data sets used in the assessments.  During the TMDL process critical periods of low dissolved oxygen were identified in the marine zone based on these records and were used to establish appropriate nutrient targets that would be protective of designated uses.  As described in the 2004 TMDL document:</w:t>
      </w:r>
    </w:p>
    <w:p w:rsidR="00F43979" w:rsidRDefault="00F43979" w:rsidP="00F43979">
      <w:pPr>
        <w:pStyle w:val="ListParagraph"/>
        <w:shd w:val="clear" w:color="auto" w:fill="FFFFFF"/>
        <w:spacing w:before="100" w:beforeAutospacing="1" w:after="100" w:afterAutospacing="1" w:line="240" w:lineRule="auto"/>
        <w:textAlignment w:val="top"/>
        <w:rPr>
          <w:rFonts w:eastAsia="Times New Roman" w:cs="Times New Roman"/>
          <w:color w:val="000000"/>
        </w:rPr>
      </w:pPr>
    </w:p>
    <w:p w:rsidR="00F43979" w:rsidRDefault="00F43979" w:rsidP="00F43979">
      <w:pPr>
        <w:ind w:left="720"/>
      </w:pPr>
      <w:r>
        <w:t>It should be noted that the nutrient TMDL for the estuarine portion of the St. Johns River is based on maintaining DO levels above those that have been calculated using this EPA method, rather than the applicable state DO criterion.  In acknowledgement of this distinction, the SJRWMD and the Department are pursuing the development of site-specific alternative criteria (SSAC) for DO for this portion of the river in accordance with Subsection 62-302.500(2</w:t>
      </w:r>
      <w:proofErr w:type="gramStart"/>
      <w:r>
        <w:t>)(</w:t>
      </w:r>
      <w:proofErr w:type="gramEnd"/>
      <w:r>
        <w:t xml:space="preserve">f), F.A.C.  The Department also plans to evaluate the methodology for potential use to determine the statewide DO criterion for predominantly marine waters.  Since this TMDL proposes nutrient reductions to address a nutrient impairment, it will only have beneficial impacts on DO.  Therefore, even though the Department is not using the approved water quality standard as a target for this TMDL, implementation will not result in degradation with respect to DO.  </w:t>
      </w:r>
    </w:p>
    <w:p w:rsidR="00F43979" w:rsidRDefault="00F43979" w:rsidP="00F43979">
      <w:pPr>
        <w:pStyle w:val="ListParagraph"/>
        <w:numPr>
          <w:ilvl w:val="0"/>
          <w:numId w:val="7"/>
        </w:numPr>
      </w:pPr>
      <w:r>
        <w:t xml:space="preserve">It is not clear whether the scope of work included a brief history of the listing through BMAP adoption process but various portions of this document have focused on the basis of listing, TMDL development and adoption and subsequent allocation and implementation phases of the BMAP.  Perhaps there should be an appendix to the document that offers a brief timeline of key events.  As described under the Florida Watershed Restoration Act, the assessment, TMDL, and BMAP </w:t>
      </w:r>
      <w:proofErr w:type="gramStart"/>
      <w:r>
        <w:t>efforts involve multiple state agencies and includes</w:t>
      </w:r>
      <w:proofErr w:type="gramEnd"/>
      <w:r>
        <w:t xml:space="preserve"> public participation throughout each phase.   For example some of the key events associated with the listing and TMDL elements are listed below.</w:t>
      </w:r>
    </w:p>
    <w:p w:rsidR="00F43979" w:rsidRDefault="00F43979" w:rsidP="00F43979">
      <w:pPr>
        <w:pStyle w:val="ListParagraph"/>
        <w:numPr>
          <w:ilvl w:val="1"/>
          <w:numId w:val="7"/>
        </w:numPr>
      </w:pPr>
      <w:r>
        <w:t>5/2/03 Notice of public meeting to present draft list of assessed waters in the LSJRB (Meeting held 5/14/03)</w:t>
      </w:r>
    </w:p>
    <w:p w:rsidR="00F43979" w:rsidRDefault="00F43979" w:rsidP="00F43979">
      <w:pPr>
        <w:pStyle w:val="ListParagraph"/>
        <w:numPr>
          <w:ilvl w:val="1"/>
          <w:numId w:val="7"/>
        </w:numPr>
      </w:pPr>
      <w:r>
        <w:lastRenderedPageBreak/>
        <w:t>6/13/03 Notice of public meeting to present revised draft verified list of waters in LSJRB (Meeting held 6/25/03)</w:t>
      </w:r>
    </w:p>
    <w:p w:rsidR="00F43979" w:rsidRDefault="00F43979" w:rsidP="00F43979">
      <w:pPr>
        <w:pStyle w:val="ListParagraph"/>
        <w:numPr>
          <w:ilvl w:val="1"/>
          <w:numId w:val="7"/>
        </w:numPr>
      </w:pPr>
      <w:r>
        <w:t>7/25/03 Notice of public meeting to present draft LSJR nutrient TMDL (Meeting held 8/5/03)</w:t>
      </w:r>
    </w:p>
    <w:p w:rsidR="00F43979" w:rsidRDefault="00F43979" w:rsidP="00F43979">
      <w:pPr>
        <w:pStyle w:val="ListParagraph"/>
        <w:numPr>
          <w:ilvl w:val="1"/>
          <w:numId w:val="7"/>
        </w:numPr>
      </w:pPr>
      <w:r>
        <w:t>9/5/03 Notice  of LSJR nutrient TMDL as rule</w:t>
      </w:r>
    </w:p>
    <w:p w:rsidR="00F43979" w:rsidRDefault="00F43979" w:rsidP="00F43979">
      <w:pPr>
        <w:pStyle w:val="ListParagraph"/>
        <w:numPr>
          <w:ilvl w:val="1"/>
          <w:numId w:val="7"/>
        </w:numPr>
      </w:pPr>
      <w:r>
        <w:t xml:space="preserve">9/30/03 LSJR TMDL rule adoption held at the request of LSJR </w:t>
      </w:r>
      <w:proofErr w:type="spellStart"/>
      <w:r>
        <w:t>Riverkeeper</w:t>
      </w:r>
      <w:proofErr w:type="spellEnd"/>
      <w:r>
        <w:t xml:space="preserve"> (</w:t>
      </w:r>
      <w:r w:rsidRPr="00F23A8B">
        <w:rPr>
          <w:rFonts w:ascii="Calibri" w:eastAsia="Calibri" w:hAnsi="Calibri" w:cs="Times New Roman"/>
        </w:rPr>
        <w:t xml:space="preserve">Mr. </w:t>
      </w:r>
      <w:proofErr w:type="spellStart"/>
      <w:r w:rsidRPr="00F23A8B">
        <w:rPr>
          <w:rFonts w:ascii="Calibri" w:eastAsia="Calibri" w:hAnsi="Calibri" w:cs="Times New Roman"/>
        </w:rPr>
        <w:t>Armingeon</w:t>
      </w:r>
      <w:proofErr w:type="spellEnd"/>
      <w:r w:rsidRPr="00F23A8B">
        <w:t>)</w:t>
      </w:r>
    </w:p>
    <w:p w:rsidR="00F43979" w:rsidRDefault="00F43979" w:rsidP="00F43979">
      <w:pPr>
        <w:pStyle w:val="ListParagraph"/>
        <w:numPr>
          <w:ilvl w:val="1"/>
          <w:numId w:val="7"/>
        </w:numPr>
      </w:pPr>
      <w:r>
        <w:t xml:space="preserve">9/30/03 Date Submitted to EPA </w:t>
      </w:r>
    </w:p>
    <w:p w:rsidR="00F43979" w:rsidRDefault="00F43979" w:rsidP="00F43979">
      <w:pPr>
        <w:pStyle w:val="ListParagraph"/>
        <w:numPr>
          <w:ilvl w:val="1"/>
          <w:numId w:val="7"/>
        </w:numPr>
      </w:pPr>
      <w:r>
        <w:t>12/3/03 Date LSJR nutrient rule final</w:t>
      </w:r>
    </w:p>
    <w:p w:rsidR="00F43979" w:rsidRDefault="00F43979" w:rsidP="00F43979">
      <w:pPr>
        <w:pStyle w:val="ListParagraph"/>
        <w:numPr>
          <w:ilvl w:val="1"/>
          <w:numId w:val="7"/>
        </w:numPr>
      </w:pPr>
      <w:r>
        <w:t>4/27/04 Date EPA approved LSJR nutrient TMDL</w:t>
      </w:r>
    </w:p>
    <w:p w:rsidR="00F43979" w:rsidRDefault="00F43979" w:rsidP="00F43979">
      <w:pPr>
        <w:pStyle w:val="ListParagraph"/>
        <w:numPr>
          <w:ilvl w:val="1"/>
          <w:numId w:val="7"/>
        </w:numPr>
      </w:pPr>
      <w:r>
        <w:t xml:space="preserve">EPA was sued by the LSJR </w:t>
      </w:r>
      <w:proofErr w:type="spellStart"/>
      <w:r>
        <w:t>Riverkeeper</w:t>
      </w:r>
      <w:proofErr w:type="spellEnd"/>
      <w:r>
        <w:t xml:space="preserve"> on their approval of the state TMDL (Civil action 3:04-CV-699-UA-MCR).  Basis of lawsuit was </w:t>
      </w:r>
      <w:r>
        <w:rPr>
          <w:rFonts w:eastAsia="Times New Roman" w:cs="Times New Roman"/>
          <w:color w:val="000000"/>
        </w:rPr>
        <w:t>not attaining the existing marine dissolved criteria at all times and the absence of an approved SSAC for dissolved oxygen</w:t>
      </w:r>
    </w:p>
    <w:p w:rsidR="00F43979" w:rsidRDefault="00F43979" w:rsidP="00F43979">
      <w:pPr>
        <w:pStyle w:val="ListParagraph"/>
        <w:numPr>
          <w:ilvl w:val="1"/>
          <w:numId w:val="7"/>
        </w:numPr>
      </w:pPr>
      <w:r>
        <w:t>EPA rescinded their approval of the state TMDL and established a TMDL on 1/23/06</w:t>
      </w:r>
    </w:p>
    <w:p w:rsidR="00F43979" w:rsidRDefault="00F43979" w:rsidP="00F43979">
      <w:pPr>
        <w:pStyle w:val="ListParagraph"/>
        <w:numPr>
          <w:ilvl w:val="1"/>
          <w:numId w:val="7"/>
        </w:numPr>
      </w:pPr>
      <w:r>
        <w:t>5/25/2006 Florida Environmental Regulation Commission approved a DO SSAC for marine portions of the LSJR</w:t>
      </w:r>
    </w:p>
    <w:p w:rsidR="00F43979" w:rsidRDefault="00F43979" w:rsidP="00F43979">
      <w:pPr>
        <w:pStyle w:val="ListParagraph"/>
        <w:numPr>
          <w:ilvl w:val="1"/>
          <w:numId w:val="7"/>
        </w:numPr>
      </w:pPr>
      <w:r>
        <w:t>6/3/2006 The DO SSAC for marine portion of the LSJR submitted to EPA for approval</w:t>
      </w:r>
    </w:p>
    <w:p w:rsidR="00F43979" w:rsidRDefault="00F43979" w:rsidP="00F43979">
      <w:pPr>
        <w:pStyle w:val="ListParagraph"/>
        <w:numPr>
          <w:ilvl w:val="1"/>
          <w:numId w:val="7"/>
        </w:numPr>
      </w:pPr>
      <w:r>
        <w:t>10/10/06 EPA approval of the DO SSAC</w:t>
      </w:r>
    </w:p>
    <w:p w:rsidR="00F43979" w:rsidRDefault="00F43979" w:rsidP="00F43979">
      <w:pPr>
        <w:pStyle w:val="ListParagraph"/>
        <w:numPr>
          <w:ilvl w:val="1"/>
          <w:numId w:val="7"/>
        </w:numPr>
      </w:pPr>
      <w:r>
        <w:t>9/30/2007 EPA proposed a new nutrient TMDL for LSJR based on SSAC</w:t>
      </w:r>
    </w:p>
    <w:p w:rsidR="00F43979" w:rsidRDefault="00F43979" w:rsidP="00F43979">
      <w:pPr>
        <w:pStyle w:val="ListParagraph"/>
        <w:numPr>
          <w:ilvl w:val="1"/>
          <w:numId w:val="7"/>
        </w:numPr>
      </w:pPr>
      <w:r>
        <w:t>1/25/08 Notice of public meeting on revised state nutrient TMDL (Meeting held 2/13/08)</w:t>
      </w:r>
    </w:p>
    <w:p w:rsidR="00F43979" w:rsidRDefault="00F43979" w:rsidP="00F43979">
      <w:pPr>
        <w:pStyle w:val="ListParagraph"/>
        <w:numPr>
          <w:ilvl w:val="1"/>
          <w:numId w:val="7"/>
        </w:numPr>
      </w:pPr>
      <w:r>
        <w:t>3/21/08 Notice of revised LSRJ nutrient TMDL as rule</w:t>
      </w:r>
    </w:p>
    <w:p w:rsidR="00F43979" w:rsidRDefault="00F43979" w:rsidP="00F43979">
      <w:pPr>
        <w:pStyle w:val="ListParagraph"/>
        <w:numPr>
          <w:ilvl w:val="1"/>
          <w:numId w:val="7"/>
        </w:numPr>
      </w:pPr>
      <w:r>
        <w:t>4/30/08 Date revised LSJR nutrient rule final</w:t>
      </w:r>
    </w:p>
    <w:p w:rsidR="00F43979" w:rsidRDefault="00F43979" w:rsidP="00F43979">
      <w:pPr>
        <w:pStyle w:val="ListParagraph"/>
        <w:numPr>
          <w:ilvl w:val="1"/>
          <w:numId w:val="7"/>
        </w:numPr>
      </w:pPr>
      <w:r>
        <w:t>8/22/08 Date revised TMDL submitted to EPA for approval</w:t>
      </w:r>
    </w:p>
    <w:p w:rsidR="00F43979" w:rsidRDefault="00F43979" w:rsidP="00F43979">
      <w:pPr>
        <w:pStyle w:val="ListParagraph"/>
        <w:numPr>
          <w:ilvl w:val="1"/>
          <w:numId w:val="7"/>
        </w:numPr>
      </w:pPr>
      <w:r>
        <w:t>9/23/08 Date EPA approved the revised TMDL</w:t>
      </w:r>
    </w:p>
    <w:p w:rsidR="00F43979" w:rsidRDefault="00F43979" w:rsidP="00F43979">
      <w:pPr>
        <w:pStyle w:val="ListParagraph"/>
        <w:numPr>
          <w:ilvl w:val="1"/>
          <w:numId w:val="7"/>
        </w:numPr>
      </w:pPr>
      <w:r>
        <w:t>As discussed earlier, the TMDL Executive committee held meetings starting in July 2002 and specific dates can be obtained from Tiffany Busby</w:t>
      </w:r>
    </w:p>
    <w:p w:rsidR="00FD1B8B" w:rsidRDefault="00FD1B8B"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There were also a number of public meetings associated with the development of the Site Specific Alternative Criterion (SSAC).  Those dates were:</w:t>
      </w:r>
    </w:p>
    <w:p w:rsidR="00FD1B8B" w:rsidRDefault="00FD1B8B" w:rsidP="00FD1B8B">
      <w:pPr>
        <w:pStyle w:val="ListParagraph"/>
        <w:numPr>
          <w:ilvl w:val="1"/>
          <w:numId w:val="6"/>
        </w:numPr>
      </w:pPr>
      <w:r>
        <w:t>1</w:t>
      </w:r>
      <w:r w:rsidRPr="00FD1B8B">
        <w:rPr>
          <w:vertAlign w:val="superscript"/>
        </w:rPr>
        <w:t>st</w:t>
      </w:r>
      <w:r>
        <w:t xml:space="preserve"> Workshop = 1/20/2006</w:t>
      </w:r>
    </w:p>
    <w:p w:rsidR="00FD1B8B" w:rsidRDefault="00FD1B8B" w:rsidP="00FD1B8B">
      <w:pPr>
        <w:pStyle w:val="ListParagraph"/>
        <w:numPr>
          <w:ilvl w:val="1"/>
          <w:numId w:val="6"/>
        </w:numPr>
      </w:pPr>
      <w:r>
        <w:t>2</w:t>
      </w:r>
      <w:r w:rsidRPr="00FD1B8B">
        <w:rPr>
          <w:vertAlign w:val="superscript"/>
        </w:rPr>
        <w:t>nd</w:t>
      </w:r>
      <w:r>
        <w:t xml:space="preserve"> Workshop = 4/7/2006</w:t>
      </w:r>
    </w:p>
    <w:p w:rsidR="00FD1B8B" w:rsidRDefault="00FD1B8B" w:rsidP="00FD1B8B">
      <w:pPr>
        <w:pStyle w:val="ListParagraph"/>
        <w:numPr>
          <w:ilvl w:val="1"/>
          <w:numId w:val="6"/>
        </w:numPr>
      </w:pPr>
      <w:r>
        <w:t>ERC Approval  = 5/25/06</w:t>
      </w:r>
    </w:p>
    <w:p w:rsidR="00FD1B8B" w:rsidRDefault="00FD1B8B" w:rsidP="00FD1B8B">
      <w:pPr>
        <w:pStyle w:val="ListParagraph"/>
        <w:numPr>
          <w:ilvl w:val="1"/>
          <w:numId w:val="6"/>
        </w:numPr>
      </w:pPr>
      <w:r>
        <w:t>Submittal to EPA = 6/30/2006</w:t>
      </w:r>
    </w:p>
    <w:p w:rsidR="00FD1B8B" w:rsidRDefault="00FD1B8B" w:rsidP="00FD1B8B">
      <w:pPr>
        <w:pStyle w:val="ListParagraph"/>
        <w:numPr>
          <w:ilvl w:val="1"/>
          <w:numId w:val="6"/>
        </w:numPr>
      </w:pPr>
      <w:r>
        <w:t>EPA Approval = 10/10/2006</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Under the freshwater zone: chlorophyll a and </w:t>
      </w:r>
      <w:proofErr w:type="spellStart"/>
      <w:r>
        <w:rPr>
          <w:rFonts w:eastAsia="Times New Roman" w:cs="Times New Roman"/>
          <w:color w:val="000000"/>
        </w:rPr>
        <w:t>trophic</w:t>
      </w:r>
      <w:proofErr w:type="spellEnd"/>
      <w:r>
        <w:rPr>
          <w:rFonts w:eastAsia="Times New Roman" w:cs="Times New Roman"/>
          <w:color w:val="000000"/>
        </w:rPr>
        <w:t xml:space="preserve"> state indices section on page 11, there are additional provisions in the IWR related to impairment decisions, some of which were applicable in this case.  </w:t>
      </w:r>
    </w:p>
    <w:p w:rsidR="00F43979" w:rsidRPr="002B5EA4" w:rsidRDefault="00F43979" w:rsidP="00F43979">
      <w:pPr>
        <w:pStyle w:val="ListParagraph"/>
        <w:numPr>
          <w:ilvl w:val="1"/>
          <w:numId w:val="6"/>
        </w:numPr>
        <w:shd w:val="clear" w:color="auto" w:fill="FFFFFF"/>
        <w:spacing w:before="100" w:beforeAutospacing="1" w:after="100" w:afterAutospacing="1" w:line="240" w:lineRule="auto"/>
        <w:textAlignment w:val="top"/>
        <w:rPr>
          <w:rFonts w:eastAsia="Times New Roman" w:cs="Times New Roman"/>
          <w:color w:val="000000"/>
        </w:rPr>
      </w:pPr>
      <w:r>
        <w:rPr>
          <w:rFonts w:ascii="Calibri" w:eastAsia="Calibri" w:hAnsi="Calibri" w:cs="Times New Roman"/>
        </w:rPr>
        <w:t>62-</w:t>
      </w:r>
      <w:proofErr w:type="gramStart"/>
      <w:r>
        <w:rPr>
          <w:rFonts w:ascii="Calibri" w:eastAsia="Calibri" w:hAnsi="Calibri" w:cs="Times New Roman"/>
        </w:rPr>
        <w:t>303.353</w:t>
      </w:r>
      <w:r>
        <w:t xml:space="preserve">  </w:t>
      </w:r>
      <w:r>
        <w:rPr>
          <w:rFonts w:ascii="Calibri" w:eastAsia="Calibri" w:hAnsi="Calibri" w:cs="Times New Roman"/>
        </w:rPr>
        <w:t>Nutrients</w:t>
      </w:r>
      <w:proofErr w:type="gramEnd"/>
      <w:r>
        <w:rPr>
          <w:rFonts w:ascii="Calibri" w:eastAsia="Calibri" w:hAnsi="Calibri" w:cs="Times New Roman"/>
        </w:rPr>
        <w:t xml:space="preserve"> in Estuaries and Open Coastal Waters</w:t>
      </w:r>
      <w:r>
        <w:t xml:space="preserve">  </w:t>
      </w:r>
      <w:r>
        <w:rPr>
          <w:rFonts w:cs="Arial"/>
        </w:rPr>
        <w:t xml:space="preserve"> </w:t>
      </w:r>
      <w:r w:rsidRPr="002B5EA4">
        <w:rPr>
          <w:rFonts w:ascii="Calibri" w:eastAsia="Calibri" w:hAnsi="Calibri" w:cs="Arial"/>
        </w:rPr>
        <w:t xml:space="preserve">Estuaries, estuary segments, or open coastal waters shall be included on the planning list for nutrients if their annual mean chlorophyll a for any year is greater than 11 </w:t>
      </w:r>
      <w:proofErr w:type="spellStart"/>
      <w:r w:rsidRPr="002B5EA4">
        <w:rPr>
          <w:rFonts w:ascii="Calibri" w:eastAsia="Calibri" w:hAnsi="Calibri" w:cs="Arial"/>
        </w:rPr>
        <w:t>ug</w:t>
      </w:r>
      <w:proofErr w:type="spellEnd"/>
      <w:r w:rsidRPr="002B5EA4">
        <w:rPr>
          <w:rFonts w:ascii="Calibri" w:eastAsia="Calibri" w:hAnsi="Calibri" w:cs="Arial"/>
        </w:rPr>
        <w:t xml:space="preserve">/l </w:t>
      </w:r>
      <w:r w:rsidRPr="002B5EA4">
        <w:rPr>
          <w:rFonts w:ascii="Calibri" w:eastAsia="Calibri" w:hAnsi="Calibri" w:cs="Arial"/>
          <w:highlight w:val="yellow"/>
        </w:rPr>
        <w:t>or if data indicate annual mean chlorophyll a values have increased by more than 50% over historical values for at least two consecutive years</w:t>
      </w:r>
      <w:r w:rsidRPr="002B5EA4">
        <w:rPr>
          <w:rFonts w:ascii="Calibri" w:eastAsia="Calibri" w:hAnsi="Calibri" w:cs="Arial"/>
        </w:rPr>
        <w:t>.</w:t>
      </w:r>
      <w:r>
        <w:rPr>
          <w:rFonts w:cs="Arial"/>
        </w:rPr>
        <w:t xml:space="preserve"> (</w:t>
      </w:r>
      <w:proofErr w:type="gramStart"/>
      <w:r>
        <w:rPr>
          <w:rFonts w:cs="Arial"/>
        </w:rPr>
        <w:t>also</w:t>
      </w:r>
      <w:proofErr w:type="gramEnd"/>
      <w:r>
        <w:rPr>
          <w:rFonts w:cs="Arial"/>
        </w:rPr>
        <w:t xml:space="preserve"> applies to the verified list).</w:t>
      </w:r>
    </w:p>
    <w:p w:rsidR="00F43979" w:rsidRPr="002B5EA4" w:rsidRDefault="00F43979" w:rsidP="00F43979">
      <w:pPr>
        <w:pStyle w:val="ListParagraph"/>
        <w:numPr>
          <w:ilvl w:val="1"/>
          <w:numId w:val="6"/>
        </w:numPr>
        <w:shd w:val="clear" w:color="auto" w:fill="FFFFFF"/>
        <w:spacing w:before="100" w:beforeAutospacing="1" w:after="100" w:afterAutospacing="1" w:line="240" w:lineRule="auto"/>
        <w:textAlignment w:val="top"/>
        <w:rPr>
          <w:rFonts w:eastAsia="Times New Roman" w:cs="Times New Roman"/>
          <w:color w:val="000000"/>
        </w:rPr>
      </w:pPr>
      <w:r>
        <w:rPr>
          <w:rFonts w:ascii="Calibri" w:eastAsia="Calibri" w:hAnsi="Calibri" w:cs="Times New Roman"/>
        </w:rPr>
        <w:t>62-303.351</w:t>
      </w:r>
      <w:r>
        <w:t xml:space="preserve"> </w:t>
      </w:r>
      <w:r>
        <w:rPr>
          <w:rFonts w:ascii="Calibri" w:eastAsia="Calibri" w:hAnsi="Calibri" w:cs="Times New Roman"/>
        </w:rPr>
        <w:t>Nutrients in Streams</w:t>
      </w:r>
      <w:r>
        <w:t xml:space="preserve"> </w:t>
      </w:r>
      <w:r w:rsidRPr="002B5EA4">
        <w:rPr>
          <w:rFonts w:ascii="Calibri" w:eastAsia="Calibri" w:hAnsi="Calibri" w:cs="Arial"/>
        </w:rPr>
        <w:t>(2)</w:t>
      </w:r>
      <w:r w:rsidRPr="002B5EA4">
        <w:rPr>
          <w:rFonts w:cs="Arial"/>
        </w:rPr>
        <w:t xml:space="preserve"> </w:t>
      </w:r>
      <w:r w:rsidRPr="002B5EA4">
        <w:rPr>
          <w:rFonts w:ascii="Calibri" w:eastAsia="Calibri" w:hAnsi="Calibri" w:cs="Arial"/>
        </w:rPr>
        <w:t xml:space="preserve">Annual mean chlorophyll a concentrations are greater than 20 </w:t>
      </w:r>
      <w:proofErr w:type="spellStart"/>
      <w:r w:rsidRPr="002B5EA4">
        <w:rPr>
          <w:rFonts w:ascii="Calibri" w:eastAsia="Calibri" w:hAnsi="Calibri" w:cs="Arial"/>
        </w:rPr>
        <w:t>ug</w:t>
      </w:r>
      <w:proofErr w:type="spellEnd"/>
      <w:r w:rsidRPr="002B5EA4">
        <w:rPr>
          <w:rFonts w:ascii="Calibri" w:eastAsia="Calibri" w:hAnsi="Calibri" w:cs="Arial"/>
        </w:rPr>
        <w:t xml:space="preserve">/l </w:t>
      </w:r>
      <w:r w:rsidRPr="002B5EA4">
        <w:rPr>
          <w:rFonts w:ascii="Calibri" w:eastAsia="Calibri" w:hAnsi="Calibri" w:cs="Arial"/>
          <w:highlight w:val="yellow"/>
        </w:rPr>
        <w:t>or if data indicate annual mean chlorophyll a values have increased by more than 50% over historical values for at least two consecutive years</w:t>
      </w:r>
      <w:r>
        <w:rPr>
          <w:rFonts w:cs="Arial"/>
        </w:rPr>
        <w:t xml:space="preserve"> (also applies to the verified list).</w:t>
      </w:r>
    </w:p>
    <w:p w:rsidR="00F43979" w:rsidRPr="006F1C9D" w:rsidRDefault="00F43979" w:rsidP="00F43979">
      <w:pPr>
        <w:pStyle w:val="ListParagraph"/>
        <w:numPr>
          <w:ilvl w:val="1"/>
          <w:numId w:val="6"/>
        </w:numPr>
        <w:shd w:val="clear" w:color="auto" w:fill="FFFFFF"/>
        <w:spacing w:before="100" w:beforeAutospacing="1" w:after="100" w:afterAutospacing="1" w:line="240" w:lineRule="auto"/>
        <w:textAlignment w:val="top"/>
        <w:rPr>
          <w:rFonts w:eastAsia="Times New Roman" w:cs="Times New Roman"/>
          <w:color w:val="000000"/>
        </w:rPr>
      </w:pPr>
      <w:r w:rsidRPr="002B5EA4">
        <w:lastRenderedPageBreak/>
        <w:t xml:space="preserve"> </w:t>
      </w:r>
      <w:r>
        <w:rPr>
          <w:rFonts w:ascii="Calibri" w:eastAsia="Calibri" w:hAnsi="Calibri" w:cs="Times New Roman"/>
        </w:rPr>
        <w:t>62-303.352</w:t>
      </w:r>
      <w:r>
        <w:t xml:space="preserve"> </w:t>
      </w:r>
      <w:r>
        <w:rPr>
          <w:rFonts w:ascii="Calibri" w:eastAsia="Calibri" w:hAnsi="Calibri" w:cs="Times New Roman"/>
        </w:rPr>
        <w:t>Nutrients in Lakes</w:t>
      </w:r>
      <w:r w:rsidRPr="002B5EA4">
        <w:t xml:space="preserve"> </w:t>
      </w:r>
      <w:proofErr w:type="gramStart"/>
      <w:r>
        <w:t>-  note</w:t>
      </w:r>
      <w:proofErr w:type="gramEnd"/>
      <w:r>
        <w:t xml:space="preserve"> that the TSI thresholds could be 60 or 40 depending on mean color levels.  There are also provisions for listing based on a trend test or a 10 TSI unit increase over historical values.</w:t>
      </w:r>
    </w:p>
    <w:p w:rsidR="00F43979" w:rsidRPr="001F5A5D"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t>On page 11 it states that the impairment verification period was 1996 – 2001.  The Lower St. Johns River Basin was a group 2 basin and for the first cycle the planning period was January 1, 1991 – December 31, 2000 and the verified period was January 1996 – June 30, 2003.</w:t>
      </w:r>
    </w:p>
    <w:p w:rsidR="00F43979" w:rsidRPr="001F5A5D"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t xml:space="preserve">In the legend for Table 1, some of the </w:t>
      </w:r>
      <w:proofErr w:type="spellStart"/>
      <w:r>
        <w:t>Chla</w:t>
      </w:r>
      <w:proofErr w:type="spellEnd"/>
      <w:r>
        <w:t xml:space="preserve"> impairments in marine segments were based on exceeding the historic minimum by more than 50% for two or more consecutive years.</w:t>
      </w:r>
    </w:p>
    <w:p w:rsidR="00F43979" w:rsidRPr="00951AD5"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t>In section 1.b. under input parameters for land use, was the intent to refer to the BMAP or should it refer to the TMDL?</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On page 21 and in Figures 9 and 10, comparisons are made between the PLSM water quality coefficients and those from Harper (1994).  Perhaps some additional information should be provided regarding the basis of coefficients in Harper (1994).  In the case of total nitrogen (TN), Harper calculated a mean concentration of 2.88 mg/L based on 7 studies.  Four of the studies were from the Upper St. Johns basin and two of the studies were from the Tampa Bay area.  Results from the individual studies ranged between 1.45 and 4.73 mg/L for TN.  The mean total phosphorus (TP) value Harper reported from the 7 studies was 0.638 mg/L with individual studies ranging between 0.163 and 1.50 mg/L.  Although the Harper report cited references for the individual studies, no details were provided regarding the types of row crops, duration of the studies, or comparability of methods used to develop the mean runoff concentrations in each individual study.</w:t>
      </w:r>
    </w:p>
    <w:p w:rsidR="00F43979" w:rsidRPr="00B11A34"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sidRPr="00B11A34">
        <w:rPr>
          <w:rFonts w:eastAsia="Times New Roman" w:cs="Times New Roman"/>
          <w:color w:val="000000"/>
          <w:u w:val="single"/>
        </w:rPr>
        <w:t>Section 1.b</w:t>
      </w:r>
      <w:r>
        <w:rPr>
          <w:rFonts w:eastAsia="Times New Roman" w:cs="Times New Roman"/>
          <w:color w:val="000000"/>
        </w:rPr>
        <w:t>:</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In section 1.b.ii, for Tables 6, 7, 8, and 9 it would be informative to clearly identify the period of data considered in the statistical summary as well as the number of samples upon which the statistics are based.  In addition, what is the source of the data (is it routine monitoring by the SJRWMD, a combination of entities, multiple locations in the calibration watersheds, etc.).</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In section 1.b.ii., on page 32 it states that there is a strong potential to reduce total loads by managing extreme runoff events.  Perhaps a figure should be added to the document that illustrates monthly rainfall totals over the 1991 through current period shown in Figures 24 – 28.  It is unclear from the time series axis in Figures 27 and 28 whether these figures extend into 2011 as was the case in Figures 24 and 25.</w:t>
      </w:r>
    </w:p>
    <w:p w:rsidR="00F43979" w:rsidRPr="00B11A34"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sidRPr="00B11A34">
        <w:rPr>
          <w:rFonts w:eastAsia="Times New Roman" w:cs="Times New Roman"/>
          <w:color w:val="000000"/>
          <w:u w:val="single"/>
        </w:rPr>
        <w:t>Section 1.c</w:t>
      </w:r>
      <w:r>
        <w:rPr>
          <w:rFonts w:eastAsia="Times New Roman" w:cs="Times New Roman"/>
          <w:color w:val="000000"/>
        </w:rPr>
        <w:t>:</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In section 1.c on page 36, the document describes the freshwater </w:t>
      </w:r>
      <w:proofErr w:type="spellStart"/>
      <w:r>
        <w:rPr>
          <w:rFonts w:eastAsia="Times New Roman" w:cs="Times New Roman"/>
          <w:color w:val="000000"/>
        </w:rPr>
        <w:t>chla</w:t>
      </w:r>
      <w:proofErr w:type="spellEnd"/>
      <w:r>
        <w:rPr>
          <w:rFonts w:eastAsia="Times New Roman" w:cs="Times New Roman"/>
          <w:color w:val="000000"/>
        </w:rPr>
        <w:t xml:space="preserve"> TMDL target and how it differed from the IWR threshold </w:t>
      </w:r>
      <w:proofErr w:type="gramStart"/>
      <w:r>
        <w:rPr>
          <w:rFonts w:eastAsia="Times New Roman" w:cs="Times New Roman"/>
          <w:color w:val="000000"/>
        </w:rPr>
        <w:t xml:space="preserve">of 20 </w:t>
      </w:r>
      <w:proofErr w:type="spellStart"/>
      <w:r>
        <w:rPr>
          <w:rFonts w:eastAsia="Times New Roman" w:cs="Times New Roman"/>
          <w:color w:val="000000"/>
        </w:rPr>
        <w:t>ug</w:t>
      </w:r>
      <w:proofErr w:type="spellEnd"/>
      <w:r>
        <w:rPr>
          <w:rFonts w:eastAsia="Times New Roman" w:cs="Times New Roman"/>
          <w:color w:val="000000"/>
        </w:rPr>
        <w:t>/L.</w:t>
      </w:r>
      <w:proofErr w:type="gramEnd"/>
      <w:r>
        <w:rPr>
          <w:rFonts w:eastAsia="Times New Roman" w:cs="Times New Roman"/>
          <w:color w:val="000000"/>
        </w:rPr>
        <w:t xml:space="preserve">  Earlier in the document the IWR stream threshold of 20 </w:t>
      </w:r>
      <w:proofErr w:type="spellStart"/>
      <w:r>
        <w:rPr>
          <w:rFonts w:eastAsia="Times New Roman" w:cs="Times New Roman"/>
          <w:color w:val="000000"/>
        </w:rPr>
        <w:t>ug</w:t>
      </w:r>
      <w:proofErr w:type="spellEnd"/>
      <w:r>
        <w:rPr>
          <w:rFonts w:eastAsia="Times New Roman" w:cs="Times New Roman"/>
          <w:color w:val="000000"/>
        </w:rPr>
        <w:t xml:space="preserve">/L </w:t>
      </w:r>
      <w:proofErr w:type="spellStart"/>
      <w:r>
        <w:rPr>
          <w:rFonts w:eastAsia="Times New Roman" w:cs="Times New Roman"/>
          <w:color w:val="000000"/>
        </w:rPr>
        <w:t>chla</w:t>
      </w:r>
      <w:proofErr w:type="spellEnd"/>
      <w:r>
        <w:rPr>
          <w:rFonts w:eastAsia="Times New Roman" w:cs="Times New Roman"/>
          <w:color w:val="000000"/>
        </w:rPr>
        <w:t xml:space="preserve"> as an annual average was discussed along with a lake annual TSI of 60.  An annual lake TSI of 60 typically corresponds to a </w:t>
      </w:r>
      <w:proofErr w:type="spellStart"/>
      <w:r>
        <w:rPr>
          <w:rFonts w:eastAsia="Times New Roman" w:cs="Times New Roman"/>
          <w:color w:val="000000"/>
        </w:rPr>
        <w:t>chla</w:t>
      </w:r>
      <w:proofErr w:type="spellEnd"/>
      <w:r>
        <w:rPr>
          <w:rFonts w:eastAsia="Times New Roman" w:cs="Times New Roman"/>
          <w:color w:val="000000"/>
        </w:rPr>
        <w:t xml:space="preserve"> annual average </w:t>
      </w:r>
      <w:proofErr w:type="gramStart"/>
      <w:r>
        <w:rPr>
          <w:rFonts w:eastAsia="Times New Roman" w:cs="Times New Roman"/>
          <w:color w:val="000000"/>
        </w:rPr>
        <w:t xml:space="preserve">of 20 </w:t>
      </w:r>
      <w:proofErr w:type="spellStart"/>
      <w:r>
        <w:rPr>
          <w:rFonts w:eastAsia="Times New Roman" w:cs="Times New Roman"/>
          <w:color w:val="000000"/>
        </w:rPr>
        <w:t>ug</w:t>
      </w:r>
      <w:proofErr w:type="spellEnd"/>
      <w:r>
        <w:rPr>
          <w:rFonts w:eastAsia="Times New Roman" w:cs="Times New Roman"/>
          <w:color w:val="000000"/>
        </w:rPr>
        <w:t>/L.</w:t>
      </w:r>
      <w:proofErr w:type="gramEnd"/>
      <w:r>
        <w:rPr>
          <w:rFonts w:eastAsia="Times New Roman" w:cs="Times New Roman"/>
          <w:color w:val="000000"/>
        </w:rPr>
        <w:t xml:space="preserve">  The TMDL target </w:t>
      </w:r>
      <w:proofErr w:type="gramStart"/>
      <w:r>
        <w:rPr>
          <w:rFonts w:eastAsia="Times New Roman" w:cs="Times New Roman"/>
          <w:color w:val="000000"/>
        </w:rPr>
        <w:t xml:space="preserve">of 40 </w:t>
      </w:r>
      <w:proofErr w:type="spellStart"/>
      <w:r>
        <w:rPr>
          <w:rFonts w:eastAsia="Times New Roman" w:cs="Times New Roman"/>
          <w:color w:val="000000"/>
        </w:rPr>
        <w:t>ug</w:t>
      </w:r>
      <w:proofErr w:type="spellEnd"/>
      <w:r>
        <w:rPr>
          <w:rFonts w:eastAsia="Times New Roman" w:cs="Times New Roman"/>
          <w:color w:val="000000"/>
        </w:rPr>
        <w:t>/L not to be exceeded more than 10% of the time</w:t>
      </w:r>
      <w:proofErr w:type="gramEnd"/>
      <w:r>
        <w:rPr>
          <w:rFonts w:eastAsia="Times New Roman" w:cs="Times New Roman"/>
          <w:color w:val="000000"/>
        </w:rPr>
        <w:t xml:space="preserve"> is not the same as an annual average.  This TMDL target was presented to the TMDL executive committee prior to completion of the TMDL, so the reference to LSJR Executive Committee 2008 on page 37 is incorrect.  The correct time frame would have been 2003.</w:t>
      </w:r>
    </w:p>
    <w:p w:rsidR="00F43979" w:rsidRPr="00B11A34"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sidRPr="00B11A34">
        <w:rPr>
          <w:rFonts w:eastAsia="Times New Roman" w:cs="Times New Roman"/>
          <w:color w:val="000000"/>
          <w:u w:val="single"/>
        </w:rPr>
        <w:t>Section 1.d</w:t>
      </w:r>
      <w:r>
        <w:rPr>
          <w:rFonts w:eastAsia="Times New Roman" w:cs="Times New Roman"/>
          <w:color w:val="000000"/>
        </w:rPr>
        <w:t>:</w:t>
      </w:r>
    </w:p>
    <w:p w:rsidR="00F43979" w:rsidRDefault="00F43979" w:rsidP="00F43979">
      <w:pPr>
        <w:pStyle w:val="ListParagraph"/>
        <w:numPr>
          <w:ilvl w:val="0"/>
          <w:numId w:val="6"/>
        </w:numPr>
        <w:autoSpaceDE w:val="0"/>
        <w:autoSpaceDN w:val="0"/>
        <w:adjustRightInd w:val="0"/>
        <w:spacing w:after="0" w:line="240" w:lineRule="auto"/>
        <w:rPr>
          <w:rFonts w:eastAsia="Times New Roman" w:cs="Times New Roman"/>
          <w:color w:val="000000"/>
        </w:rPr>
      </w:pPr>
      <w:r w:rsidRPr="00B11A34">
        <w:rPr>
          <w:rFonts w:eastAsia="Times New Roman" w:cs="Times New Roman"/>
          <w:color w:val="000000"/>
        </w:rPr>
        <w:lastRenderedPageBreak/>
        <w:t xml:space="preserve">Section 1.d., page 39, paragraph 1 states that the ATAC allocation process consists of a three step process in regards to agriculture.   Perhaps this should be reworded to state the </w:t>
      </w:r>
      <w:proofErr w:type="spellStart"/>
      <w:r w:rsidRPr="00B11A34">
        <w:rPr>
          <w:rFonts w:eastAsia="Times New Roman" w:cs="Times New Roman"/>
          <w:color w:val="000000"/>
        </w:rPr>
        <w:t>the</w:t>
      </w:r>
      <w:proofErr w:type="spellEnd"/>
      <w:r w:rsidRPr="00B11A34">
        <w:rPr>
          <w:rFonts w:eastAsia="Times New Roman" w:cs="Times New Roman"/>
          <w:color w:val="000000"/>
        </w:rPr>
        <w:t xml:space="preserve"> ATAC allocation process consisted of a three step process with respect to allocation to nonpoint sources, including agriculture.  Steps 1 and 2 included participation rates for </w:t>
      </w:r>
      <w:proofErr w:type="spellStart"/>
      <w:r w:rsidRPr="00B11A34">
        <w:rPr>
          <w:rFonts w:eastAsia="Times New Roman" w:cs="Times New Roman"/>
          <w:color w:val="000000"/>
        </w:rPr>
        <w:t>silviculture</w:t>
      </w:r>
      <w:proofErr w:type="spellEnd"/>
      <w:r w:rsidRPr="00B11A34">
        <w:rPr>
          <w:rFonts w:eastAsia="Times New Roman" w:cs="Times New Roman"/>
          <w:color w:val="000000"/>
        </w:rPr>
        <w:t xml:space="preserve">, agriculture, and urban areas in implementation of appropriate BMPs or </w:t>
      </w:r>
      <w:proofErr w:type="spellStart"/>
      <w:r w:rsidRPr="00B11A34">
        <w:rPr>
          <w:rFonts w:eastAsia="Times New Roman" w:cs="Times New Roman"/>
          <w:color w:val="000000"/>
        </w:rPr>
        <w:t>stormwater</w:t>
      </w:r>
      <w:proofErr w:type="spellEnd"/>
      <w:r w:rsidRPr="00B11A34">
        <w:rPr>
          <w:rFonts w:eastAsia="Times New Roman" w:cs="Times New Roman"/>
          <w:color w:val="000000"/>
        </w:rPr>
        <w:t xml:space="preserve"> treatment requirements for new construction.  </w:t>
      </w:r>
      <w:r>
        <w:rPr>
          <w:rFonts w:eastAsia="Times New Roman" w:cs="Times New Roman"/>
          <w:color w:val="000000"/>
        </w:rPr>
        <w:t>As discussed in section 1.d.ii on page 41, 100 percent implementation of BMPs was required for agriculture to cover their “fair share.”  Th</w:t>
      </w:r>
      <w:r w:rsidRPr="00B11A34">
        <w:rPr>
          <w:rFonts w:eastAsia="Times New Roman" w:cs="Times New Roman"/>
          <w:color w:val="000000"/>
        </w:rPr>
        <w:t xml:space="preserve">is document </w:t>
      </w:r>
      <w:r>
        <w:rPr>
          <w:rFonts w:eastAsia="Times New Roman" w:cs="Times New Roman"/>
          <w:color w:val="000000"/>
        </w:rPr>
        <w:t xml:space="preserve">should </w:t>
      </w:r>
      <w:r w:rsidRPr="00B11A34">
        <w:rPr>
          <w:rFonts w:eastAsia="Times New Roman" w:cs="Times New Roman"/>
          <w:color w:val="000000"/>
        </w:rPr>
        <w:t xml:space="preserve">point out that </w:t>
      </w:r>
      <w:r>
        <w:rPr>
          <w:rFonts w:eastAsia="Times New Roman" w:cs="Times New Roman"/>
          <w:color w:val="000000"/>
        </w:rPr>
        <w:t>this was consistent with the ATAC allocation process.</w:t>
      </w:r>
      <w:r w:rsidRPr="00B11A34">
        <w:rPr>
          <w:rFonts w:eastAsia="Times New Roman" w:cs="Times New Roman"/>
          <w:color w:val="000000"/>
        </w:rPr>
        <w:t xml:space="preserve"> </w:t>
      </w:r>
    </w:p>
    <w:p w:rsidR="00F43979" w:rsidRPr="00152161" w:rsidRDefault="00F43979" w:rsidP="00F43979">
      <w:pPr>
        <w:pStyle w:val="ListParagraph"/>
        <w:numPr>
          <w:ilvl w:val="0"/>
          <w:numId w:val="6"/>
        </w:numPr>
        <w:autoSpaceDE w:val="0"/>
        <w:autoSpaceDN w:val="0"/>
        <w:adjustRightInd w:val="0"/>
        <w:spacing w:after="0" w:line="240" w:lineRule="auto"/>
        <w:rPr>
          <w:rFonts w:eastAsia="Times New Roman" w:cs="Times New Roman"/>
          <w:color w:val="000000"/>
        </w:rPr>
      </w:pPr>
      <w:r w:rsidRPr="00152161">
        <w:rPr>
          <w:rFonts w:eastAsia="Times New Roman" w:cs="Times New Roman"/>
          <w:color w:val="000000"/>
        </w:rPr>
        <w:t>Section 1.d.i., page 41 points out that where nutrient load reductions from BMP implementation in the basin are not expected to achieve the designated load reductions to meet the TMDL, regional treatment strategies have been undertaken.  It should be pointed out that under F.S. 403.067(7</w:t>
      </w:r>
      <w:proofErr w:type="gramStart"/>
      <w:r w:rsidRPr="00152161">
        <w:rPr>
          <w:rFonts w:eastAsia="Times New Roman" w:cs="Times New Roman"/>
          <w:color w:val="000000"/>
        </w:rPr>
        <w:t>)(</w:t>
      </w:r>
      <w:proofErr w:type="gramEnd"/>
      <w:r w:rsidRPr="00152161">
        <w:rPr>
          <w:rFonts w:eastAsia="Times New Roman" w:cs="Times New Roman"/>
          <w:color w:val="000000"/>
        </w:rPr>
        <w:t>a)5, public works, including capital funding is one of the programs identified as part of implementation of TMDLs.  In addition the ATAC report to the Governor and Legislature had a consensus that “</w:t>
      </w:r>
      <w:r w:rsidRPr="00152161">
        <w:rPr>
          <w:rFonts w:cs="Arial"/>
        </w:rPr>
        <w:t xml:space="preserve">Public funds should be used to provide any needed reductions in NPS loadings beyond that achieved by implementation of approved BMPs because BMPs take economic constraints into account and further reductions by individual landowners are likely not practical.”  </w:t>
      </w:r>
      <w:r>
        <w:rPr>
          <w:rFonts w:cs="Arial"/>
        </w:rPr>
        <w:t>It should also be pointed out under F.S. 403.067(7</w:t>
      </w:r>
      <w:proofErr w:type="gramStart"/>
      <w:r>
        <w:rPr>
          <w:rFonts w:cs="Arial"/>
        </w:rPr>
        <w:t>)(</w:t>
      </w:r>
      <w:proofErr w:type="gramEnd"/>
      <w:r>
        <w:rPr>
          <w:rFonts w:cs="Arial"/>
        </w:rPr>
        <w:t>d) “</w:t>
      </w:r>
      <w:r>
        <w:t>Where water quality problems are detected despite the appropriate implementation, operation, and maintenance of best management practices and other measures according to rules adopted under this paragraph, the Department of Agriculture and Consumer Services shall institute a reevaluation of the best management practice or other measure.”</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Section 1.d.iii discussed the performance of the two existing RSTs.  Where is the Deep Creek West RST located relative to the Deep Creek calibration site illustrated in Figures 24 -28?  How much of the 1,196 acre catchment drainage captured by this RST is row crop agriculture (and </w:t>
      </w:r>
      <w:proofErr w:type="spellStart"/>
      <w:r>
        <w:rPr>
          <w:rFonts w:eastAsia="Times New Roman" w:cs="Times New Roman"/>
          <w:color w:val="000000"/>
        </w:rPr>
        <w:t>silviculture</w:t>
      </w:r>
      <w:proofErr w:type="spellEnd"/>
      <w:r>
        <w:rPr>
          <w:rFonts w:eastAsia="Times New Roman" w:cs="Times New Roman"/>
          <w:color w:val="000000"/>
        </w:rPr>
        <w:t xml:space="preserve">) and what percentage of the agricultural lands within that catchment have implemented nutrient related BMPs?  Tables 11 and 12 present loadings into and out of the RST for ambient and </w:t>
      </w:r>
      <w:proofErr w:type="spellStart"/>
      <w:r>
        <w:rPr>
          <w:rFonts w:eastAsia="Times New Roman" w:cs="Times New Roman"/>
          <w:color w:val="000000"/>
        </w:rPr>
        <w:t>stormflow</w:t>
      </w:r>
      <w:proofErr w:type="spellEnd"/>
      <w:r>
        <w:rPr>
          <w:rFonts w:eastAsia="Times New Roman" w:cs="Times New Roman"/>
          <w:color w:val="000000"/>
        </w:rPr>
        <w:t xml:space="preserve"> events.  Perhaps some text should be provided that describes how loads are separated into ambient versus </w:t>
      </w:r>
      <w:proofErr w:type="spellStart"/>
      <w:r>
        <w:rPr>
          <w:rFonts w:eastAsia="Times New Roman" w:cs="Times New Roman"/>
          <w:color w:val="000000"/>
        </w:rPr>
        <w:t>stormflow</w:t>
      </w:r>
      <w:proofErr w:type="spellEnd"/>
      <w:r>
        <w:rPr>
          <w:rFonts w:eastAsia="Times New Roman" w:cs="Times New Roman"/>
          <w:color w:val="000000"/>
        </w:rPr>
        <w:t xml:space="preserve"> periods.  On page 43 it discusses the influence of time delays on performance calculations.  Presumably some information could be provided regarding residence times for the wet retention pond and constructed treatment wetland under representative ambient and storm event periods.</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Section 1.d.iii refers to an Edgefield RST and Figure 29 illustrates the site.  Although flow information was unavailable to calculate nutrient removal or performance, some text should be provided that describes similar information provided for the Deep Creek West RST (location, when operational, area of drainage treated, facility characteristics, etc.).  Similar questions that were posed for the Deep Creek West RST with respect to agricultural activities in the catchment drainage area captured and percentage of BMPs implementation should be addressed in this document.  Is part of the catchment area for this RST represented by one of the agricultural sites or watershed illustrated in Figures 24-28?</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Tables 11 -13 present loading calculations through August 2010 that were presented in a 2011 report.  Was it outside the scope of this project to obtain data for this RST from the SJRWMD to complete the annual loading calculations through 2011?</w:t>
      </w:r>
    </w:p>
    <w:p w:rsidR="00F43979" w:rsidRDefault="00F43979" w:rsidP="00F43979">
      <w:pPr>
        <w:pStyle w:val="ListParagraph"/>
        <w:numPr>
          <w:ilvl w:val="0"/>
          <w:numId w:val="6"/>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On page 37 total load reductions and % reductions relative to the BMP performance target for the RST were presented.  It should be noted that the 2010 period represented calculations only through August and so the calculations are based on less than two years of data.  </w:t>
      </w:r>
    </w:p>
    <w:p w:rsidR="00F43979" w:rsidRDefault="00F43979" w:rsidP="00F43979">
      <w:pPr>
        <w:pStyle w:val="ListParagraph"/>
        <w:shd w:val="clear" w:color="auto" w:fill="FFFFFF"/>
        <w:spacing w:before="100" w:beforeAutospacing="1" w:after="100" w:afterAutospacing="1" w:line="240" w:lineRule="auto"/>
        <w:ind w:left="360"/>
        <w:textAlignment w:val="top"/>
        <w:rPr>
          <w:rFonts w:eastAsia="Times New Roman" w:cs="Times New Roman"/>
          <w:color w:val="000000"/>
        </w:rPr>
      </w:pPr>
    </w:p>
    <w:p w:rsidR="00F43979" w:rsidRPr="007365D5"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u w:val="single"/>
        </w:rPr>
        <w:t>Conclusions and Recommendations</w:t>
      </w:r>
      <w:r w:rsidRPr="007365D5">
        <w:rPr>
          <w:rFonts w:eastAsia="Times New Roman" w:cs="Times New Roman"/>
          <w:color w:val="000000"/>
        </w:rPr>
        <w:t>:</w:t>
      </w:r>
    </w:p>
    <w:p w:rsidR="00F43979" w:rsidRDefault="00F43979" w:rsidP="00F43979">
      <w:pPr>
        <w:pStyle w:val="ListParagraph"/>
        <w:numPr>
          <w:ilvl w:val="0"/>
          <w:numId w:val="8"/>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lastRenderedPageBreak/>
        <w:t>The last paragraph discusses the use of the PLSM model for development of landscape loads.  It states that the procedure required many assumptions and best professional judgment calls.  A number of technical reports were developed and cited in the TMDL that described the process used to develop the external loads in the basin and included comparisons between model simulated values versus observed values.  The PLSM model has also been applied in conjunction with models such as HSPF in other basins (Indian River Lagoon) and indicated results were comparable between the two models.  As additional stream flow and water quality data become available the intent is to continue to expand the model time domain and make refinements as necessary.  It was unclear whether the statement that “conducting these activities in collaboration with stakeholders” was going to lead to any specific recommendations as to the types of collaborative efforts that the agricultural stakeholders should consider.</w:t>
      </w:r>
    </w:p>
    <w:p w:rsidR="00F43979" w:rsidRDefault="00F43979" w:rsidP="00F43979">
      <w:pPr>
        <w:pStyle w:val="ListParagraph"/>
        <w:numPr>
          <w:ilvl w:val="0"/>
          <w:numId w:val="8"/>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With respect to uncertainty in data, models, etc. perhaps it is worth pointing out that there will always be some level of uncertainty regardless of the approach used and the goal is to better understand the level of certainty associated with various elements of the process and the sensitivity of the outcome to that uncertainty.</w:t>
      </w:r>
    </w:p>
    <w:p w:rsidR="00F43979" w:rsidRDefault="00F43979" w:rsidP="00F43979">
      <w:pPr>
        <w:pStyle w:val="ListParagraph"/>
        <w:numPr>
          <w:ilvl w:val="0"/>
          <w:numId w:val="8"/>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Several references are cited regarding various methods for engaging the public in environmental decision making.  Will those references be provided as part of this contract?  Were there a few specific strategies from those references that were going to be included in this document as recommendations?</w:t>
      </w:r>
    </w:p>
    <w:p w:rsidR="00F43979"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sidRPr="00D87FC6">
        <w:rPr>
          <w:rFonts w:eastAsia="Times New Roman" w:cs="Times New Roman"/>
          <w:color w:val="000000"/>
          <w:u w:val="single"/>
        </w:rPr>
        <w:t>Appendix A</w:t>
      </w:r>
      <w:r>
        <w:rPr>
          <w:rFonts w:eastAsia="Times New Roman" w:cs="Times New Roman"/>
          <w:color w:val="000000"/>
        </w:rPr>
        <w:t>:</w:t>
      </w:r>
    </w:p>
    <w:p w:rsidR="00F43979" w:rsidRDefault="00F43979" w:rsidP="00F43979">
      <w:pPr>
        <w:pStyle w:val="ListParagraph"/>
        <w:numPr>
          <w:ilvl w:val="0"/>
          <w:numId w:val="4"/>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According to the Introduction (page 6) the questions in Appendix A were either answered there or linked by reference to sections in the main body of the report.  Neither answers nor links were found in Appendix A to the questions.</w:t>
      </w:r>
    </w:p>
    <w:p w:rsidR="00F43979"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sidRPr="00D87FC6">
        <w:rPr>
          <w:rFonts w:eastAsia="Times New Roman" w:cs="Times New Roman"/>
          <w:color w:val="000000"/>
          <w:u w:val="single"/>
        </w:rPr>
        <w:t>Spelling and punctuation</w:t>
      </w:r>
      <w:r>
        <w:rPr>
          <w:rFonts w:eastAsia="Times New Roman" w:cs="Times New Roman"/>
          <w:color w:val="000000"/>
        </w:rPr>
        <w:t>:</w:t>
      </w:r>
    </w:p>
    <w:p w:rsidR="00F43979" w:rsidRDefault="00F43979" w:rsidP="00F43979">
      <w:p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A comprehensive review was not </w:t>
      </w:r>
      <w:proofErr w:type="gramStart"/>
      <w:r>
        <w:rPr>
          <w:rFonts w:eastAsia="Times New Roman" w:cs="Times New Roman"/>
          <w:color w:val="000000"/>
        </w:rPr>
        <w:t>performed,</w:t>
      </w:r>
      <w:proofErr w:type="gramEnd"/>
      <w:r>
        <w:rPr>
          <w:rFonts w:eastAsia="Times New Roman" w:cs="Times New Roman"/>
          <w:color w:val="000000"/>
        </w:rPr>
        <w:t xml:space="preserve"> however a few potential errors are identified below.</w:t>
      </w:r>
    </w:p>
    <w:p w:rsidR="00F43979" w:rsidRDefault="00F43979" w:rsidP="00F43979">
      <w:pPr>
        <w:pStyle w:val="ListParagraph"/>
        <w:numPr>
          <w:ilvl w:val="1"/>
          <w:numId w:val="4"/>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Page 3, paragraph 3, line 4, insert comma after coefficients.</w:t>
      </w:r>
    </w:p>
    <w:p w:rsidR="00F43979" w:rsidRDefault="00F43979" w:rsidP="00F43979">
      <w:pPr>
        <w:pStyle w:val="ListParagraph"/>
        <w:numPr>
          <w:ilvl w:val="1"/>
          <w:numId w:val="4"/>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 xml:space="preserve">Page 3, paragraph 3, line10, insert comma after </w:t>
      </w:r>
      <w:proofErr w:type="gramStart"/>
      <w:r>
        <w:rPr>
          <w:rFonts w:eastAsia="Times New Roman" w:cs="Times New Roman"/>
          <w:color w:val="000000"/>
        </w:rPr>
        <w:t>In</w:t>
      </w:r>
      <w:proofErr w:type="gramEnd"/>
      <w:r>
        <w:rPr>
          <w:rFonts w:eastAsia="Times New Roman" w:cs="Times New Roman"/>
          <w:color w:val="000000"/>
        </w:rPr>
        <w:t xml:space="preserve"> and before addition.</w:t>
      </w:r>
    </w:p>
    <w:p w:rsidR="00F43979" w:rsidRDefault="00F43979" w:rsidP="00F43979">
      <w:pPr>
        <w:pStyle w:val="ListParagraph"/>
        <w:numPr>
          <w:ilvl w:val="1"/>
          <w:numId w:val="4"/>
        </w:numPr>
        <w:shd w:val="clear" w:color="auto" w:fill="FFFFFF"/>
        <w:spacing w:before="100" w:beforeAutospacing="1" w:after="100" w:afterAutospacing="1" w:line="240" w:lineRule="auto"/>
        <w:textAlignment w:val="top"/>
        <w:rPr>
          <w:rFonts w:eastAsia="Times New Roman" w:cs="Times New Roman"/>
          <w:color w:val="000000"/>
        </w:rPr>
      </w:pPr>
      <w:r>
        <w:rPr>
          <w:rFonts w:eastAsia="Times New Roman" w:cs="Times New Roman"/>
          <w:color w:val="000000"/>
        </w:rPr>
        <w:t>Page 17</w:t>
      </w:r>
      <w:proofErr w:type="gramStart"/>
      <w:r>
        <w:rPr>
          <w:rFonts w:eastAsia="Times New Roman" w:cs="Times New Roman"/>
          <w:color w:val="000000"/>
        </w:rPr>
        <w:t>,last</w:t>
      </w:r>
      <w:proofErr w:type="gramEnd"/>
      <w:r>
        <w:rPr>
          <w:rFonts w:eastAsia="Times New Roman" w:cs="Times New Roman"/>
          <w:color w:val="000000"/>
        </w:rPr>
        <w:t xml:space="preserve"> line, change “patters” to “patterns.”</w:t>
      </w:r>
    </w:p>
    <w:p w:rsidR="00F43979" w:rsidRPr="00D87FC6" w:rsidRDefault="00F43979" w:rsidP="00F43979">
      <w:pPr>
        <w:pStyle w:val="ListParagraph"/>
        <w:shd w:val="clear" w:color="auto" w:fill="FFFFFF"/>
        <w:spacing w:before="100" w:beforeAutospacing="1" w:after="100" w:afterAutospacing="1" w:line="240" w:lineRule="auto"/>
        <w:ind w:left="1080"/>
        <w:textAlignment w:val="top"/>
        <w:rPr>
          <w:rFonts w:eastAsia="Times New Roman" w:cs="Times New Roman"/>
          <w:color w:val="000000"/>
        </w:rPr>
      </w:pPr>
    </w:p>
    <w:p w:rsidR="00F43979" w:rsidRDefault="00F43979">
      <w:pPr>
        <w:rPr>
          <w:rFonts w:ascii="Times New Roman" w:hAnsi="Times New Roman" w:cs="Times New Roman"/>
          <w:color w:val="000000"/>
          <w:sz w:val="24"/>
          <w:szCs w:val="24"/>
        </w:rPr>
      </w:pPr>
      <w:r>
        <w:rPr>
          <w:rFonts w:ascii="Times New Roman" w:hAnsi="Times New Roman" w:cs="Times New Roman"/>
        </w:rPr>
        <w:br w:type="page"/>
      </w:r>
    </w:p>
    <w:p w:rsidR="00F43979" w:rsidRDefault="00F43979" w:rsidP="00E76C59">
      <w:pPr>
        <w:pStyle w:val="NoSpacing"/>
        <w:rPr>
          <w:rFonts w:ascii="Times New Roman" w:hAnsi="Times New Roman" w:cs="Times New Roman"/>
        </w:rPr>
      </w:pPr>
    </w:p>
    <w:p w:rsidR="00F43979" w:rsidRDefault="00F43979" w:rsidP="00E76C59">
      <w:pPr>
        <w:pStyle w:val="NoSpacing"/>
        <w:rPr>
          <w:rFonts w:ascii="Times New Roman" w:hAnsi="Times New Roman" w:cs="Times New Roman"/>
        </w:rPr>
      </w:pPr>
    </w:p>
    <w:p w:rsidR="00F43979" w:rsidRDefault="00F43979" w:rsidP="00E76C59">
      <w:pPr>
        <w:pStyle w:val="NoSpacing"/>
        <w:rPr>
          <w:rFonts w:ascii="Times New Roman" w:hAnsi="Times New Roman" w:cs="Times New Roman"/>
        </w:rPr>
      </w:pPr>
    </w:p>
    <w:p w:rsidR="009E5575" w:rsidRPr="00F43979" w:rsidRDefault="009E5575" w:rsidP="00E76C59">
      <w:pPr>
        <w:pStyle w:val="NoSpacing"/>
        <w:rPr>
          <w:rFonts w:cs="Times New Roman"/>
          <w:sz w:val="22"/>
          <w:szCs w:val="22"/>
        </w:rPr>
      </w:pPr>
      <w:r w:rsidRPr="00F43979">
        <w:rPr>
          <w:rFonts w:cs="Times New Roman"/>
          <w:sz w:val="22"/>
          <w:szCs w:val="22"/>
        </w:rPr>
        <w:t xml:space="preserve">Comments to “TCAA Water Quality Data Review and Information-Sharing Program” draft final report, compiled by John Hendrickson, SJRWMD, 4/13/12.  </w:t>
      </w:r>
    </w:p>
    <w:p w:rsidR="0037063A" w:rsidRPr="00F43979" w:rsidRDefault="0037063A" w:rsidP="00E76C59">
      <w:pPr>
        <w:spacing w:line="240" w:lineRule="auto"/>
        <w:rPr>
          <w:rFonts w:cs="Times New Roman"/>
        </w:rPr>
      </w:pPr>
    </w:p>
    <w:p w:rsidR="00627E65" w:rsidRPr="00F43979" w:rsidRDefault="00627E65" w:rsidP="00E76C59">
      <w:pPr>
        <w:spacing w:line="240" w:lineRule="auto"/>
        <w:rPr>
          <w:rFonts w:cs="Times New Roman"/>
        </w:rPr>
      </w:pPr>
      <w:r w:rsidRPr="00F43979">
        <w:rPr>
          <w:rFonts w:cs="Times New Roman"/>
        </w:rPr>
        <w:t xml:space="preserve">On page 18, it is stated that “Future work should formally test the sensitivity of PLSM </w:t>
      </w:r>
      <w:proofErr w:type="spellStart"/>
      <w:r w:rsidRPr="00F43979">
        <w:rPr>
          <w:rFonts w:cs="Times New Roman"/>
        </w:rPr>
        <w:t>streamflow</w:t>
      </w:r>
      <w:proofErr w:type="spellEnd"/>
      <w:r w:rsidRPr="00F43979">
        <w:rPr>
          <w:rFonts w:cs="Times New Roman"/>
        </w:rPr>
        <w:t xml:space="preserve"> volume model predictions to model structure and parameter uncertainty.  In addition evaluation of the model’s predictive value should be conducted with additional data that has been collected since the model was originally developed.”  This conforms to IFAS’ proposal for funding.  </w:t>
      </w:r>
    </w:p>
    <w:p w:rsidR="0037063A" w:rsidRPr="00F43979" w:rsidRDefault="009E5575" w:rsidP="00E76C59">
      <w:pPr>
        <w:spacing w:line="240" w:lineRule="auto"/>
        <w:rPr>
          <w:rFonts w:cs="Times New Roman"/>
        </w:rPr>
      </w:pPr>
      <w:r w:rsidRPr="00F43979">
        <w:rPr>
          <w:rFonts w:cs="Times New Roman"/>
        </w:rPr>
        <w:t xml:space="preserve">Pg. 2, </w:t>
      </w:r>
      <w:r w:rsidR="002B77D0" w:rsidRPr="00F43979">
        <w:rPr>
          <w:rFonts w:cs="Times New Roman"/>
        </w:rPr>
        <w:t xml:space="preserve">Executive summary:   </w:t>
      </w:r>
      <w:r w:rsidRPr="00F43979">
        <w:rPr>
          <w:rFonts w:cs="Times New Roman"/>
        </w:rPr>
        <w:t>The first paragraph is dedicated to the EPA rescinding</w:t>
      </w:r>
      <w:r w:rsidR="002B77D0" w:rsidRPr="00F43979">
        <w:rPr>
          <w:rFonts w:cs="Times New Roman"/>
        </w:rPr>
        <w:t xml:space="preserve"> the original TMDL.  </w:t>
      </w:r>
      <w:r w:rsidR="00462882" w:rsidRPr="00F43979">
        <w:rPr>
          <w:rFonts w:cs="Times New Roman"/>
        </w:rPr>
        <w:t>In the wording used here, t</w:t>
      </w:r>
      <w:r w:rsidR="0037063A" w:rsidRPr="00F43979">
        <w:rPr>
          <w:rFonts w:cs="Times New Roman"/>
        </w:rPr>
        <w:t xml:space="preserve">here appears to be some misrepresentation of the factors surrounding this event, to the extent that it almost seems that the intent is to discredit the process and cast the agencies as disorganized.  I have added text in track changes in the review copy.  In general, it would seem that this chain of events is outside the scope of the TCAA WQ review, as summarized on page 5.  I would suggest that this information be removed.  </w:t>
      </w:r>
    </w:p>
    <w:p w:rsidR="00912FD0" w:rsidRPr="00F43979" w:rsidRDefault="00912FD0" w:rsidP="00912FD0">
      <w:pPr>
        <w:pStyle w:val="BodyText2"/>
        <w:jc w:val="left"/>
        <w:rPr>
          <w:rFonts w:asciiTheme="minorHAnsi" w:hAnsiTheme="minorHAnsi"/>
          <w:sz w:val="22"/>
          <w:szCs w:val="22"/>
        </w:rPr>
      </w:pPr>
      <w:proofErr w:type="gramStart"/>
      <w:r w:rsidRPr="00F43979">
        <w:rPr>
          <w:rFonts w:asciiTheme="minorHAnsi" w:hAnsiTheme="minorHAnsi"/>
          <w:sz w:val="22"/>
          <w:szCs w:val="22"/>
        </w:rPr>
        <w:t>Pg. 18, 2</w:t>
      </w:r>
      <w:r w:rsidRPr="00F43979">
        <w:rPr>
          <w:rFonts w:asciiTheme="minorHAnsi" w:hAnsiTheme="minorHAnsi"/>
          <w:sz w:val="22"/>
          <w:szCs w:val="22"/>
          <w:vertAlign w:val="superscript"/>
        </w:rPr>
        <w:t>nd</w:t>
      </w:r>
      <w:r w:rsidRPr="00F43979">
        <w:rPr>
          <w:rFonts w:asciiTheme="minorHAnsi" w:hAnsiTheme="minorHAnsi"/>
          <w:sz w:val="22"/>
          <w:szCs w:val="22"/>
        </w:rPr>
        <w:t xml:space="preserve"> Par.</w:t>
      </w:r>
      <w:proofErr w:type="gramEnd"/>
      <w:r w:rsidRPr="00F43979">
        <w:rPr>
          <w:rFonts w:asciiTheme="minorHAnsi" w:hAnsiTheme="minorHAnsi"/>
          <w:sz w:val="22"/>
          <w:szCs w:val="22"/>
        </w:rPr>
        <w:t xml:space="preserve"> - It is stated that “The re</w:t>
      </w:r>
      <w:r w:rsidR="00462882" w:rsidRPr="00F43979">
        <w:rPr>
          <w:rFonts w:asciiTheme="minorHAnsi" w:hAnsiTheme="minorHAnsi"/>
          <w:sz w:val="22"/>
          <w:szCs w:val="22"/>
        </w:rPr>
        <w:t xml:space="preserve">sulting [PLSM] model structure </w:t>
      </w:r>
      <w:r w:rsidRPr="00F43979">
        <w:rPr>
          <w:rFonts w:asciiTheme="minorHAnsi" w:hAnsiTheme="minorHAnsi"/>
          <w:sz w:val="22"/>
          <w:szCs w:val="22"/>
        </w:rPr>
        <w:t xml:space="preserve">required that 180 runoff coefficients (15 land uses*4 soil types*3 seasons= 180 runoff coefficients) be estimated, with only 45 seasonal data points available to evaluate the fit of the model to the data.”  These runoff coefficients were not estimated, but were taken directly from the existing model structure of </w:t>
      </w:r>
      <w:proofErr w:type="spellStart"/>
      <w:r w:rsidRPr="00F43979">
        <w:rPr>
          <w:rFonts w:asciiTheme="minorHAnsi" w:hAnsiTheme="minorHAnsi"/>
          <w:sz w:val="22"/>
          <w:szCs w:val="22"/>
        </w:rPr>
        <w:t>Adamus</w:t>
      </w:r>
      <w:proofErr w:type="spellEnd"/>
      <w:r w:rsidRPr="00F43979">
        <w:rPr>
          <w:rFonts w:asciiTheme="minorHAnsi" w:hAnsiTheme="minorHAnsi"/>
          <w:sz w:val="22"/>
          <w:szCs w:val="22"/>
        </w:rPr>
        <w:t xml:space="preserve"> and Bergman (1995), which were based on literature values. The only estimates performed for the TMDL application were to adjust the entire RC suite based on observed seasonal runoff of 3 seasons, and to adjust yield, again based on observed data, to account for long term changes in rainfall.  </w:t>
      </w:r>
    </w:p>
    <w:p w:rsidR="00462882" w:rsidRPr="00F43979" w:rsidRDefault="00462882" w:rsidP="00E76C59">
      <w:pPr>
        <w:spacing w:line="240" w:lineRule="auto"/>
        <w:rPr>
          <w:rFonts w:cs="Times New Roman"/>
        </w:rPr>
      </w:pPr>
    </w:p>
    <w:p w:rsidR="00CD6869" w:rsidRPr="00F43979" w:rsidRDefault="00CD6869" w:rsidP="00E76C59">
      <w:pPr>
        <w:spacing w:line="240" w:lineRule="auto"/>
        <w:rPr>
          <w:rFonts w:cs="Times New Roman"/>
        </w:rPr>
      </w:pPr>
      <w:r w:rsidRPr="00F43979">
        <w:rPr>
          <w:rFonts w:cs="Times New Roman"/>
        </w:rPr>
        <w:t xml:space="preserve">Pg. 25, Last Par.  </w:t>
      </w:r>
      <w:r w:rsidR="00E11012" w:rsidRPr="00F43979">
        <w:rPr>
          <w:rFonts w:cs="Times New Roman"/>
        </w:rPr>
        <w:t xml:space="preserve">The authors contend here that the model results are non-unique, stating that </w:t>
      </w:r>
      <w:r w:rsidRPr="00F43979">
        <w:rPr>
          <w:rFonts w:cs="Times New Roman"/>
        </w:rPr>
        <w:t>“It is possible that use of different assumptions, additional data and different model-fitting procedures could produce different models and coefficient estimates that might fit the data as well or better than the current model.”</w:t>
      </w:r>
      <w:r w:rsidR="000B61AE" w:rsidRPr="00F43979">
        <w:rPr>
          <w:rFonts w:cs="Times New Roman"/>
        </w:rPr>
        <w:t xml:space="preserve">  The only way that an estimate of contributor nonpoint source load can be truly unique is if </w:t>
      </w:r>
      <w:r w:rsidR="002F617A" w:rsidRPr="00F43979">
        <w:rPr>
          <w:rFonts w:cs="Times New Roman"/>
        </w:rPr>
        <w:t xml:space="preserve">every individual </w:t>
      </w:r>
      <w:r w:rsidR="006B5086" w:rsidRPr="00F43979">
        <w:rPr>
          <w:rFonts w:cs="Times New Roman"/>
        </w:rPr>
        <w:t xml:space="preserve">pollutant load-contributing </w:t>
      </w:r>
      <w:r w:rsidR="002F617A" w:rsidRPr="00F43979">
        <w:rPr>
          <w:rFonts w:cs="Times New Roman"/>
        </w:rPr>
        <w:t xml:space="preserve">entity within the basin has been adequately sampled such that its concentration and load can be quantified with acceptable statistical confidence.  </w:t>
      </w:r>
      <w:r w:rsidR="000B61AE" w:rsidRPr="00F43979">
        <w:rPr>
          <w:rFonts w:cs="Times New Roman"/>
        </w:rPr>
        <w:t xml:space="preserve">No watershed model used to characterize loads and their sources is truly unique. </w:t>
      </w:r>
      <w:r w:rsidR="006B5086" w:rsidRPr="00F43979">
        <w:rPr>
          <w:rFonts w:cs="Times New Roman"/>
        </w:rPr>
        <w:t>All w</w:t>
      </w:r>
      <w:r w:rsidR="002F617A" w:rsidRPr="00F43979">
        <w:rPr>
          <w:rFonts w:cs="Times New Roman"/>
        </w:rPr>
        <w:t xml:space="preserve">atershed models are based on factors and coefficients that have been developed from studies at various locations, </w:t>
      </w:r>
      <w:r w:rsidR="006B5086" w:rsidRPr="00F43979">
        <w:rPr>
          <w:rFonts w:cs="Times New Roman"/>
        </w:rPr>
        <w:t xml:space="preserve">which are then </w:t>
      </w:r>
      <w:r w:rsidR="002F617A" w:rsidRPr="00F43979">
        <w:rPr>
          <w:rFonts w:cs="Times New Roman"/>
        </w:rPr>
        <w:t xml:space="preserve">applied to similar land development and physiographic </w:t>
      </w:r>
      <w:r w:rsidR="006B5086" w:rsidRPr="00F43979">
        <w:rPr>
          <w:rFonts w:cs="Times New Roman"/>
        </w:rPr>
        <w:t xml:space="preserve">settings elsewhere, under the </w:t>
      </w:r>
      <w:r w:rsidR="006B5086" w:rsidRPr="00F43979">
        <w:rPr>
          <w:rFonts w:cs="Times New Roman"/>
          <w:i/>
        </w:rPr>
        <w:t>assumption</w:t>
      </w:r>
      <w:r w:rsidR="006B5086" w:rsidRPr="00F43979">
        <w:rPr>
          <w:rFonts w:cs="Times New Roman"/>
        </w:rPr>
        <w:t xml:space="preserve"> that a similar response in constituent load will be elicited.  </w:t>
      </w:r>
      <w:r w:rsidR="0025535E" w:rsidRPr="00F43979">
        <w:rPr>
          <w:rFonts w:cs="Times New Roman"/>
        </w:rPr>
        <w:t>With regard to the assertion that a different set of assumptions and model fitting procedures would produce different results, it is of course true that this would lead to different results in an absolute</w:t>
      </w:r>
      <w:r w:rsidR="00820116" w:rsidRPr="00F43979">
        <w:rPr>
          <w:rFonts w:cs="Times New Roman"/>
        </w:rPr>
        <w:t>, numerical</w:t>
      </w:r>
      <w:r w:rsidR="0025535E" w:rsidRPr="00F43979">
        <w:rPr>
          <w:rFonts w:cs="Times New Roman"/>
        </w:rPr>
        <w:t xml:space="preserve"> sense</w:t>
      </w:r>
      <w:r w:rsidR="000B61AE" w:rsidRPr="00F43979">
        <w:rPr>
          <w:rFonts w:cs="Times New Roman"/>
        </w:rPr>
        <w:t>.  H</w:t>
      </w:r>
      <w:r w:rsidR="0025535E" w:rsidRPr="00F43979">
        <w:rPr>
          <w:rFonts w:cs="Times New Roman"/>
        </w:rPr>
        <w:t>owever, in a qualitative sense, no reasonable set of assumptions wo</w:t>
      </w:r>
      <w:r w:rsidR="00820116" w:rsidRPr="00F43979">
        <w:rPr>
          <w:rFonts w:cs="Times New Roman"/>
        </w:rPr>
        <w:t>ul</w:t>
      </w:r>
      <w:r w:rsidR="0025535E" w:rsidRPr="00F43979">
        <w:rPr>
          <w:rFonts w:cs="Times New Roman"/>
        </w:rPr>
        <w:t xml:space="preserve">d lead to a different conclusion that nutrient loads from the TCAA </w:t>
      </w:r>
      <w:r w:rsidR="00717754" w:rsidRPr="00F43979">
        <w:rPr>
          <w:rFonts w:cs="Times New Roman"/>
        </w:rPr>
        <w:t>an order</w:t>
      </w:r>
      <w:r w:rsidR="0025535E" w:rsidRPr="00F43979">
        <w:rPr>
          <w:rFonts w:cs="Times New Roman"/>
        </w:rPr>
        <w:t xml:space="preserve"> of magnitude higher than those from undeveloped land.  </w:t>
      </w:r>
      <w:r w:rsidR="00820116" w:rsidRPr="00F43979">
        <w:rPr>
          <w:rFonts w:cs="Times New Roman"/>
        </w:rPr>
        <w:t xml:space="preserve">The fact that (as the authors point out) the objective, multiple regression approach to setting the PLSM WQ coefficients led to values remarkably similar to that from the SJRWMD TCAA BMP study (Livingston Way, 2001) verifies the robust nature of the PLSM development assumptions.  And finally, </w:t>
      </w:r>
      <w:r w:rsidR="000B61AE" w:rsidRPr="00F43979">
        <w:rPr>
          <w:rFonts w:cs="Times New Roman"/>
        </w:rPr>
        <w:t>from a regulatory perspective, the actual nutrient load from the TCAA is irre</w:t>
      </w:r>
      <w:r w:rsidR="00ED738B" w:rsidRPr="00F43979">
        <w:rPr>
          <w:rFonts w:cs="Times New Roman"/>
        </w:rPr>
        <w:t>leva</w:t>
      </w:r>
      <w:r w:rsidR="000B61AE" w:rsidRPr="00F43979">
        <w:rPr>
          <w:rFonts w:cs="Times New Roman"/>
        </w:rPr>
        <w:t xml:space="preserve">nt, as growers of the TCAA are provided presumptive compliance through the application of a set </w:t>
      </w:r>
      <w:r w:rsidR="00DB4053" w:rsidRPr="00F43979">
        <w:rPr>
          <w:rFonts w:cs="Times New Roman"/>
        </w:rPr>
        <w:t xml:space="preserve">of recommended </w:t>
      </w:r>
      <w:r w:rsidR="000B61AE" w:rsidRPr="00F43979">
        <w:rPr>
          <w:rFonts w:cs="Times New Roman"/>
        </w:rPr>
        <w:t>best management practices</w:t>
      </w:r>
      <w:r w:rsidR="00ED738B" w:rsidRPr="00F43979">
        <w:rPr>
          <w:rFonts w:cs="Times New Roman"/>
        </w:rPr>
        <w:t>, rather than a numeric reduction target based on nonpoint source load modeling results</w:t>
      </w:r>
      <w:r w:rsidR="000B61AE" w:rsidRPr="00F43979">
        <w:rPr>
          <w:rFonts w:cs="Times New Roman"/>
        </w:rPr>
        <w:t xml:space="preserve">.  </w:t>
      </w:r>
      <w:r w:rsidR="00820116" w:rsidRPr="00F43979">
        <w:rPr>
          <w:rFonts w:cs="Times New Roman"/>
        </w:rPr>
        <w:t xml:space="preserve">    </w:t>
      </w:r>
    </w:p>
    <w:p w:rsidR="00E92A64" w:rsidRPr="00F43979" w:rsidRDefault="003C2640" w:rsidP="00E76C59">
      <w:pPr>
        <w:spacing w:line="240" w:lineRule="auto"/>
        <w:rPr>
          <w:rFonts w:cs="Times New Roman"/>
        </w:rPr>
      </w:pPr>
      <w:r w:rsidRPr="00F43979">
        <w:rPr>
          <w:rFonts w:cs="Times New Roman"/>
        </w:rPr>
        <w:lastRenderedPageBreak/>
        <w:t xml:space="preserve">With regard to the assertion that the “uncertainty” in the PLSM has not been quantified, below </w:t>
      </w:r>
      <w:r w:rsidR="00E76C59" w:rsidRPr="00F43979">
        <w:rPr>
          <w:rFonts w:cs="Times New Roman"/>
        </w:rPr>
        <w:t>are the section</w:t>
      </w:r>
      <w:r w:rsidR="00DB4053" w:rsidRPr="00F43979">
        <w:rPr>
          <w:rFonts w:cs="Times New Roman"/>
        </w:rPr>
        <w:t>s</w:t>
      </w:r>
      <w:r w:rsidR="00E76C59" w:rsidRPr="00F43979">
        <w:rPr>
          <w:rFonts w:cs="Times New Roman"/>
        </w:rPr>
        <w:t xml:space="preserve"> of the </w:t>
      </w:r>
      <w:proofErr w:type="gramStart"/>
      <w:r w:rsidR="00E92A64" w:rsidRPr="00F43979">
        <w:rPr>
          <w:rFonts w:cs="Times New Roman"/>
        </w:rPr>
        <w:t>report  “</w:t>
      </w:r>
      <w:proofErr w:type="gramEnd"/>
      <w:r w:rsidR="00E92A64" w:rsidRPr="00F43979">
        <w:rPr>
          <w:rFonts w:cs="Times New Roman"/>
        </w:rPr>
        <w:t xml:space="preserve">TMDL and PLRG Modeling of the Lower St. Johns River Technical Report Series Volume 1:Calculation of the External Load”, </w:t>
      </w:r>
      <w:r w:rsidR="00DB4053" w:rsidRPr="00F43979">
        <w:rPr>
          <w:rFonts w:cs="Times New Roman"/>
        </w:rPr>
        <w:t>(</w:t>
      </w:r>
      <w:r w:rsidR="00E92A64" w:rsidRPr="00F43979">
        <w:rPr>
          <w:rFonts w:cs="Times New Roman"/>
        </w:rPr>
        <w:t>which was provi</w:t>
      </w:r>
      <w:r w:rsidR="00E76C59" w:rsidRPr="00F43979">
        <w:rPr>
          <w:rFonts w:cs="Times New Roman"/>
        </w:rPr>
        <w:t>ded to the committee</w:t>
      </w:r>
      <w:r w:rsidR="00DB4053" w:rsidRPr="00F43979">
        <w:rPr>
          <w:rFonts w:cs="Times New Roman"/>
        </w:rPr>
        <w:t>)</w:t>
      </w:r>
      <w:r w:rsidR="00E92A64" w:rsidRPr="00F43979">
        <w:rPr>
          <w:rFonts w:cs="Times New Roman"/>
        </w:rPr>
        <w:t xml:space="preserve">, </w:t>
      </w:r>
      <w:r w:rsidR="00DB4053" w:rsidRPr="00F43979">
        <w:rPr>
          <w:rFonts w:cs="Times New Roman"/>
        </w:rPr>
        <w:t xml:space="preserve">where </w:t>
      </w:r>
      <w:r w:rsidR="00E92A64" w:rsidRPr="00F43979">
        <w:rPr>
          <w:rFonts w:cs="Times New Roman"/>
        </w:rPr>
        <w:t xml:space="preserve">calibration and </w:t>
      </w:r>
      <w:r w:rsidR="00E76C59" w:rsidRPr="00F43979">
        <w:rPr>
          <w:rFonts w:cs="Times New Roman"/>
        </w:rPr>
        <w:t xml:space="preserve">model </w:t>
      </w:r>
      <w:r w:rsidR="00E92A64" w:rsidRPr="00F43979">
        <w:rPr>
          <w:rFonts w:cs="Times New Roman"/>
        </w:rPr>
        <w:t xml:space="preserve">performance information related to the PLSM </w:t>
      </w:r>
      <w:r w:rsidR="00E76C59" w:rsidRPr="00F43979">
        <w:rPr>
          <w:rFonts w:cs="Times New Roman"/>
        </w:rPr>
        <w:t>are reported</w:t>
      </w:r>
      <w:r w:rsidR="00E92A64" w:rsidRPr="00F43979">
        <w:rPr>
          <w:rFonts w:cs="Times New Roman"/>
        </w:rPr>
        <w:t xml:space="preserve">:  </w:t>
      </w:r>
    </w:p>
    <w:p w:rsidR="00E92A64" w:rsidRPr="00F43979" w:rsidRDefault="00E92A64" w:rsidP="00E76C59">
      <w:pPr>
        <w:pStyle w:val="ListParagraph"/>
        <w:numPr>
          <w:ilvl w:val="0"/>
          <w:numId w:val="1"/>
        </w:numPr>
        <w:spacing w:after="0" w:line="240" w:lineRule="auto"/>
        <w:outlineLvl w:val="3"/>
        <w:rPr>
          <w:rFonts w:eastAsia="Times New Roman" w:cs="Times New Roman"/>
        </w:rPr>
      </w:pPr>
      <w:r w:rsidRPr="00F43979">
        <w:rPr>
          <w:rFonts w:eastAsia="Times New Roman" w:cs="Times New Roman"/>
        </w:rPr>
        <w:t>In the section “Determination of Labile and Refractory Organic Nutrients”, page 24, the method of compartmentalizing organic N and P is described, and the statistical relationship between the C:N and C:P ratios and percent labile organic carbon</w:t>
      </w:r>
      <w:r w:rsidR="00E67CA3" w:rsidRPr="00F43979">
        <w:rPr>
          <w:rFonts w:eastAsia="Times New Roman" w:cs="Times New Roman"/>
        </w:rPr>
        <w:t xml:space="preserve"> are provided in figure 5 and 6;</w:t>
      </w:r>
    </w:p>
    <w:p w:rsidR="00E92A64" w:rsidRPr="00F43979" w:rsidRDefault="00E67CA3" w:rsidP="00E76C59">
      <w:pPr>
        <w:pStyle w:val="BodyText2"/>
        <w:numPr>
          <w:ilvl w:val="0"/>
          <w:numId w:val="1"/>
        </w:numPr>
        <w:jc w:val="left"/>
        <w:rPr>
          <w:rFonts w:asciiTheme="minorHAnsi" w:hAnsiTheme="minorHAnsi"/>
          <w:sz w:val="22"/>
          <w:szCs w:val="22"/>
        </w:rPr>
      </w:pPr>
      <w:r w:rsidRPr="00F43979">
        <w:rPr>
          <w:rFonts w:asciiTheme="minorHAnsi" w:hAnsiTheme="minorHAnsi"/>
          <w:sz w:val="22"/>
          <w:szCs w:val="22"/>
        </w:rPr>
        <w:t xml:space="preserve">In the section “Nonpoint Source Load Estimation”, (pg. 24) the methods </w:t>
      </w:r>
      <w:r w:rsidR="00E76C59" w:rsidRPr="00F43979">
        <w:rPr>
          <w:rFonts w:asciiTheme="minorHAnsi" w:hAnsiTheme="minorHAnsi"/>
          <w:sz w:val="22"/>
          <w:szCs w:val="22"/>
        </w:rPr>
        <w:t xml:space="preserve">are described that are </w:t>
      </w:r>
      <w:r w:rsidRPr="00F43979">
        <w:rPr>
          <w:rFonts w:asciiTheme="minorHAnsi" w:hAnsiTheme="minorHAnsi"/>
          <w:sz w:val="22"/>
          <w:szCs w:val="22"/>
        </w:rPr>
        <w:t>used to transform the PLSM from a screening to</w:t>
      </w:r>
      <w:r w:rsidR="00E76C59" w:rsidRPr="00F43979">
        <w:rPr>
          <w:rFonts w:asciiTheme="minorHAnsi" w:hAnsiTheme="minorHAnsi"/>
          <w:sz w:val="22"/>
          <w:szCs w:val="22"/>
        </w:rPr>
        <w:t>ol to a predictive model</w:t>
      </w:r>
      <w:r w:rsidRPr="00F43979">
        <w:rPr>
          <w:rFonts w:asciiTheme="minorHAnsi" w:hAnsiTheme="minorHAnsi"/>
          <w:sz w:val="22"/>
          <w:szCs w:val="22"/>
        </w:rPr>
        <w:t xml:space="preserve">.  </w:t>
      </w:r>
    </w:p>
    <w:p w:rsidR="00E67CA3" w:rsidRPr="00F43979" w:rsidRDefault="00E67CA3" w:rsidP="00E76C59">
      <w:pPr>
        <w:pStyle w:val="ListParagraph"/>
        <w:numPr>
          <w:ilvl w:val="0"/>
          <w:numId w:val="1"/>
        </w:numPr>
        <w:spacing w:after="0" w:line="240" w:lineRule="auto"/>
        <w:outlineLvl w:val="3"/>
        <w:rPr>
          <w:rFonts w:eastAsia="Times New Roman" w:cs="Times New Roman"/>
          <w:u w:val="single"/>
        </w:rPr>
      </w:pPr>
      <w:r w:rsidRPr="00F43979">
        <w:rPr>
          <w:rFonts w:eastAsia="Times New Roman" w:cs="Times New Roman"/>
        </w:rPr>
        <w:t>In the section “Watershed NPS Hydrologic Set-Up and Calibration</w:t>
      </w:r>
      <w:r w:rsidR="00403809" w:rsidRPr="00F43979">
        <w:rPr>
          <w:rFonts w:eastAsia="Times New Roman" w:cs="Times New Roman"/>
        </w:rPr>
        <w:t>” (Pg 31) the development of the long-term rain ratio as a means to adjust PLSM runoff coefficients to reflect changes in watershed yield in response to long term changes in rainfall is thoroughly described</w:t>
      </w:r>
      <w:r w:rsidR="005A7CC0" w:rsidRPr="00F43979">
        <w:rPr>
          <w:rFonts w:eastAsia="Times New Roman" w:cs="Times New Roman"/>
        </w:rPr>
        <w:t>, and performance characteristics of the model parameters are provided in figure 9, and overall hydrologic estimation performance, as double mass balance curves, are provided in figure 11</w:t>
      </w:r>
      <w:r w:rsidR="00403809" w:rsidRPr="00F43979">
        <w:rPr>
          <w:rFonts w:eastAsia="Times New Roman" w:cs="Times New Roman"/>
        </w:rPr>
        <w:t>;</w:t>
      </w:r>
    </w:p>
    <w:p w:rsidR="00403809" w:rsidRPr="00F43979" w:rsidRDefault="005A7CC0" w:rsidP="00E76C59">
      <w:pPr>
        <w:pStyle w:val="ListParagraph"/>
        <w:numPr>
          <w:ilvl w:val="0"/>
          <w:numId w:val="1"/>
        </w:numPr>
        <w:spacing w:after="0" w:line="240" w:lineRule="auto"/>
        <w:outlineLvl w:val="3"/>
        <w:rPr>
          <w:rFonts w:eastAsia="Times New Roman" w:cs="Times New Roman"/>
        </w:rPr>
      </w:pPr>
      <w:r w:rsidRPr="00F43979">
        <w:rPr>
          <w:rFonts w:eastAsia="Times New Roman" w:cs="Times New Roman"/>
        </w:rPr>
        <w:t xml:space="preserve">In the section “Water Quality Setup and Calibration”, (Pg. 37), detailed information is provided on the multiple regression approach used to create “best-fit” PLSM WQ coefficients based on actual, observed LSJR monitoring data.  </w:t>
      </w:r>
      <w:r w:rsidR="00CC7F8A" w:rsidRPr="00F43979">
        <w:rPr>
          <w:rFonts w:eastAsia="Times New Roman" w:cs="Times New Roman"/>
        </w:rPr>
        <w:t xml:space="preserve">F-statistics for these highly significant multiple regressions are provided in Table 5.  </w:t>
      </w:r>
    </w:p>
    <w:p w:rsidR="00E67CA3" w:rsidRPr="00F43979" w:rsidRDefault="00CC7F8A" w:rsidP="00E76C59">
      <w:pPr>
        <w:pStyle w:val="BodyText2"/>
        <w:numPr>
          <w:ilvl w:val="0"/>
          <w:numId w:val="1"/>
        </w:numPr>
        <w:jc w:val="left"/>
        <w:rPr>
          <w:rFonts w:asciiTheme="minorHAnsi" w:hAnsiTheme="minorHAnsi"/>
          <w:sz w:val="22"/>
          <w:szCs w:val="22"/>
        </w:rPr>
      </w:pPr>
      <w:r w:rsidRPr="00F43979">
        <w:rPr>
          <w:rFonts w:asciiTheme="minorHAnsi" w:hAnsiTheme="minorHAnsi"/>
          <w:sz w:val="22"/>
          <w:szCs w:val="22"/>
        </w:rPr>
        <w:t xml:space="preserve">In the section “Watershed Model Calibration”, starting pg. 58, </w:t>
      </w:r>
      <w:r w:rsidR="00E76C59" w:rsidRPr="00F43979">
        <w:rPr>
          <w:rFonts w:asciiTheme="minorHAnsi" w:hAnsiTheme="minorHAnsi"/>
          <w:sz w:val="22"/>
          <w:szCs w:val="22"/>
        </w:rPr>
        <w:t>t</w:t>
      </w:r>
      <w:r w:rsidR="001043AC" w:rsidRPr="00F43979">
        <w:rPr>
          <w:rFonts w:asciiTheme="minorHAnsi" w:hAnsiTheme="minorHAnsi"/>
          <w:sz w:val="22"/>
          <w:szCs w:val="22"/>
        </w:rPr>
        <w:t>h</w:t>
      </w:r>
      <w:r w:rsidR="00E76C59" w:rsidRPr="00F43979">
        <w:rPr>
          <w:rFonts w:asciiTheme="minorHAnsi" w:hAnsiTheme="minorHAnsi"/>
          <w:sz w:val="22"/>
          <w:szCs w:val="22"/>
        </w:rPr>
        <w:t>e</w:t>
      </w:r>
      <w:r w:rsidR="001043AC" w:rsidRPr="00F43979">
        <w:rPr>
          <w:rFonts w:asciiTheme="minorHAnsi" w:hAnsiTheme="minorHAnsi"/>
          <w:sz w:val="22"/>
          <w:szCs w:val="22"/>
        </w:rPr>
        <w:t xml:space="preserve"> predicted PLSM whole watershed WQ constituent concentrations are compared to the observed data (Figures 19 – 21).  </w:t>
      </w:r>
    </w:p>
    <w:p w:rsidR="001043AC" w:rsidRPr="00F43979" w:rsidRDefault="00DB4053" w:rsidP="00E76C59">
      <w:pPr>
        <w:pStyle w:val="BodyText2"/>
        <w:numPr>
          <w:ilvl w:val="0"/>
          <w:numId w:val="1"/>
        </w:numPr>
        <w:jc w:val="left"/>
        <w:rPr>
          <w:rFonts w:asciiTheme="minorHAnsi" w:hAnsiTheme="minorHAnsi"/>
          <w:sz w:val="22"/>
          <w:szCs w:val="22"/>
        </w:rPr>
      </w:pPr>
      <w:r w:rsidRPr="00F43979">
        <w:rPr>
          <w:rFonts w:asciiTheme="minorHAnsi" w:hAnsiTheme="minorHAnsi"/>
          <w:sz w:val="22"/>
          <w:szCs w:val="22"/>
        </w:rPr>
        <w:t>I</w:t>
      </w:r>
      <w:r w:rsidR="001043AC" w:rsidRPr="00F43979">
        <w:rPr>
          <w:rFonts w:asciiTheme="minorHAnsi" w:hAnsiTheme="minorHAnsi"/>
          <w:sz w:val="22"/>
          <w:szCs w:val="22"/>
        </w:rPr>
        <w:t>n Table 7 (pg 68)  Pearson product-moment correlations were calculated to estimate general agreement between observed and simulated values, and zero-intercept regression slopes and confidence intervals, in which the observed flow-weighted concentration represented the independent variable, were calculated to assess potential bias in model water quality coefficients</w:t>
      </w:r>
    </w:p>
    <w:p w:rsidR="00FB5023" w:rsidRPr="00F43979" w:rsidRDefault="001043AC" w:rsidP="00E76C59">
      <w:pPr>
        <w:pStyle w:val="BodyText2"/>
        <w:numPr>
          <w:ilvl w:val="0"/>
          <w:numId w:val="1"/>
        </w:numPr>
        <w:jc w:val="left"/>
        <w:rPr>
          <w:rFonts w:asciiTheme="minorHAnsi" w:hAnsiTheme="minorHAnsi"/>
          <w:sz w:val="22"/>
          <w:szCs w:val="22"/>
        </w:rPr>
      </w:pPr>
      <w:r w:rsidRPr="00F43979">
        <w:rPr>
          <w:rFonts w:asciiTheme="minorHAnsi" w:hAnsiTheme="minorHAnsi"/>
          <w:sz w:val="22"/>
          <w:szCs w:val="22"/>
        </w:rPr>
        <w:t>To assess the accuracy of load prediction (the product of concentration and discharge volume), daily loads calculated at water quality sampling stations that also have established stream-flow gauging installations were compared to watershed model simulated daily loads</w:t>
      </w:r>
      <w:r w:rsidR="00FB5023" w:rsidRPr="00F43979">
        <w:rPr>
          <w:rFonts w:asciiTheme="minorHAnsi" w:hAnsiTheme="minorHAnsi"/>
          <w:sz w:val="22"/>
          <w:szCs w:val="22"/>
        </w:rPr>
        <w:t>.  These graphical comparisons were inadvertently excluded in the rep</w:t>
      </w:r>
      <w:r w:rsidR="00DB4053" w:rsidRPr="00F43979">
        <w:rPr>
          <w:rFonts w:asciiTheme="minorHAnsi" w:hAnsiTheme="minorHAnsi"/>
          <w:sz w:val="22"/>
          <w:szCs w:val="22"/>
        </w:rPr>
        <w:t xml:space="preserve">ort (should be figure 22).  </w:t>
      </w:r>
      <w:r w:rsidR="00376C7D" w:rsidRPr="00F43979">
        <w:rPr>
          <w:rFonts w:asciiTheme="minorHAnsi" w:hAnsiTheme="minorHAnsi"/>
          <w:sz w:val="22"/>
          <w:szCs w:val="22"/>
        </w:rPr>
        <w:t xml:space="preserve">These </w:t>
      </w:r>
      <w:proofErr w:type="gramStart"/>
      <w:r w:rsidR="00376C7D" w:rsidRPr="00F43979">
        <w:rPr>
          <w:rFonts w:asciiTheme="minorHAnsi" w:hAnsiTheme="minorHAnsi"/>
          <w:sz w:val="22"/>
          <w:szCs w:val="22"/>
        </w:rPr>
        <w:t>plots</w:t>
      </w:r>
      <w:r w:rsidR="00DB4053" w:rsidRPr="00F43979">
        <w:rPr>
          <w:rFonts w:asciiTheme="minorHAnsi" w:hAnsiTheme="minorHAnsi"/>
          <w:sz w:val="22"/>
          <w:szCs w:val="22"/>
        </w:rPr>
        <w:t>,</w:t>
      </w:r>
      <w:proofErr w:type="gramEnd"/>
      <w:r w:rsidR="00376C7D" w:rsidRPr="00F43979">
        <w:rPr>
          <w:rFonts w:asciiTheme="minorHAnsi" w:hAnsiTheme="minorHAnsi"/>
          <w:sz w:val="22"/>
          <w:szCs w:val="22"/>
        </w:rPr>
        <w:t xml:space="preserve"> </w:t>
      </w:r>
      <w:r w:rsidR="00DB4053" w:rsidRPr="00F43979">
        <w:rPr>
          <w:rFonts w:asciiTheme="minorHAnsi" w:hAnsiTheme="minorHAnsi"/>
          <w:sz w:val="22"/>
          <w:szCs w:val="22"/>
        </w:rPr>
        <w:t xml:space="preserve">can be provided to the committee, </w:t>
      </w:r>
      <w:r w:rsidR="00376C7D" w:rsidRPr="00F43979">
        <w:rPr>
          <w:rFonts w:asciiTheme="minorHAnsi" w:hAnsiTheme="minorHAnsi"/>
          <w:sz w:val="22"/>
          <w:szCs w:val="22"/>
        </w:rPr>
        <w:t xml:space="preserve">show </w:t>
      </w:r>
      <w:r w:rsidR="00DB4053" w:rsidRPr="00F43979">
        <w:rPr>
          <w:rFonts w:asciiTheme="minorHAnsi" w:hAnsiTheme="minorHAnsi"/>
          <w:sz w:val="22"/>
          <w:szCs w:val="22"/>
        </w:rPr>
        <w:t>very good</w:t>
      </w:r>
      <w:r w:rsidR="00376C7D" w:rsidRPr="00F43979">
        <w:rPr>
          <w:rFonts w:asciiTheme="minorHAnsi" w:hAnsiTheme="minorHAnsi"/>
          <w:sz w:val="22"/>
          <w:szCs w:val="22"/>
        </w:rPr>
        <w:t xml:space="preserve"> agreement between the predicted and observed loads.  </w:t>
      </w:r>
    </w:p>
    <w:p w:rsidR="00EF235C" w:rsidRPr="00F43979" w:rsidRDefault="00EF235C" w:rsidP="00E76C59">
      <w:pPr>
        <w:pStyle w:val="BodyText2"/>
        <w:jc w:val="left"/>
        <w:rPr>
          <w:rFonts w:asciiTheme="minorHAnsi" w:hAnsiTheme="minorHAnsi"/>
          <w:sz w:val="22"/>
          <w:szCs w:val="22"/>
        </w:rPr>
      </w:pPr>
    </w:p>
    <w:p w:rsidR="00EF235C" w:rsidRPr="00F43979" w:rsidRDefault="00EF235C" w:rsidP="00E76C59">
      <w:pPr>
        <w:pStyle w:val="BodyText2"/>
        <w:jc w:val="left"/>
        <w:rPr>
          <w:rFonts w:asciiTheme="minorHAnsi" w:hAnsiTheme="minorHAnsi"/>
          <w:sz w:val="22"/>
          <w:szCs w:val="22"/>
        </w:rPr>
      </w:pPr>
    </w:p>
    <w:p w:rsidR="00C12ED4" w:rsidRPr="00F43979" w:rsidRDefault="00C12ED4" w:rsidP="00E76C59">
      <w:pPr>
        <w:spacing w:line="240" w:lineRule="auto"/>
        <w:rPr>
          <w:rFonts w:cs="Times New Roman"/>
        </w:rPr>
      </w:pPr>
      <w:r w:rsidRPr="00F43979">
        <w:rPr>
          <w:rFonts w:cs="Times New Roman"/>
        </w:rPr>
        <w:t xml:space="preserve">In general, </w:t>
      </w:r>
      <w:r w:rsidR="00627E65" w:rsidRPr="00F43979">
        <w:rPr>
          <w:rFonts w:cs="Times New Roman"/>
        </w:rPr>
        <w:t xml:space="preserve">I disagree that the PLSM was based on assumptions and BPJ.  Its </w:t>
      </w:r>
      <w:r w:rsidR="00912FD0" w:rsidRPr="00F43979">
        <w:rPr>
          <w:rFonts w:cs="Times New Roman"/>
        </w:rPr>
        <w:t>development of the PLSM for the LSJR TMDL</w:t>
      </w:r>
      <w:r w:rsidR="00627E65" w:rsidRPr="00F43979">
        <w:rPr>
          <w:rFonts w:cs="Times New Roman"/>
        </w:rPr>
        <w:t xml:space="preserve"> was novel in </w:t>
      </w:r>
      <w:r w:rsidRPr="00F43979">
        <w:rPr>
          <w:rFonts w:cs="Times New Roman"/>
        </w:rPr>
        <w:t xml:space="preserve">the following respects:  </w:t>
      </w:r>
    </w:p>
    <w:p w:rsidR="00D82722" w:rsidRPr="00F43979" w:rsidRDefault="00C12ED4" w:rsidP="00C12ED4">
      <w:pPr>
        <w:pStyle w:val="BodyText2"/>
        <w:numPr>
          <w:ilvl w:val="0"/>
          <w:numId w:val="3"/>
        </w:numPr>
        <w:jc w:val="left"/>
        <w:rPr>
          <w:rFonts w:asciiTheme="minorHAnsi" w:hAnsiTheme="minorHAnsi"/>
          <w:sz w:val="22"/>
          <w:szCs w:val="22"/>
        </w:rPr>
      </w:pPr>
      <w:r w:rsidRPr="00F43979">
        <w:rPr>
          <w:rFonts w:asciiTheme="minorHAnsi" w:hAnsiTheme="minorHAnsi"/>
          <w:sz w:val="22"/>
          <w:szCs w:val="22"/>
        </w:rPr>
        <w:t xml:space="preserve">The establishment of model parameters was </w:t>
      </w:r>
      <w:r w:rsidR="00D82722" w:rsidRPr="00F43979">
        <w:rPr>
          <w:rFonts w:asciiTheme="minorHAnsi" w:hAnsiTheme="minorHAnsi"/>
          <w:sz w:val="22"/>
          <w:szCs w:val="22"/>
        </w:rPr>
        <w:t>inductive</w:t>
      </w:r>
      <w:r w:rsidRPr="00F43979">
        <w:rPr>
          <w:rFonts w:asciiTheme="minorHAnsi" w:hAnsiTheme="minorHAnsi"/>
          <w:sz w:val="22"/>
          <w:szCs w:val="22"/>
        </w:rPr>
        <w:t xml:space="preserve"> in that it was</w:t>
      </w:r>
      <w:r w:rsidR="00D82722" w:rsidRPr="00F43979">
        <w:rPr>
          <w:rFonts w:asciiTheme="minorHAnsi" w:hAnsiTheme="minorHAnsi"/>
          <w:sz w:val="22"/>
          <w:szCs w:val="22"/>
        </w:rPr>
        <w:t xml:space="preserve"> based on proven, first principles of hydrology (i.e., rain makes runoff, runoff is controlled by antecedent soil moisture and impervious surface, land development controls runoff WQ) that</w:t>
      </w:r>
      <w:r w:rsidR="00DB4053" w:rsidRPr="00F43979">
        <w:rPr>
          <w:rFonts w:asciiTheme="minorHAnsi" w:hAnsiTheme="minorHAnsi"/>
          <w:sz w:val="22"/>
          <w:szCs w:val="22"/>
        </w:rPr>
        <w:t xml:space="preserve"> </w:t>
      </w:r>
      <w:r w:rsidR="00D82722" w:rsidRPr="00F43979">
        <w:rPr>
          <w:rFonts w:asciiTheme="minorHAnsi" w:hAnsiTheme="minorHAnsi"/>
          <w:sz w:val="22"/>
          <w:szCs w:val="22"/>
        </w:rPr>
        <w:t>are used in a multiple regression</w:t>
      </w:r>
      <w:r w:rsidR="00DB4053" w:rsidRPr="00F43979">
        <w:rPr>
          <w:rFonts w:asciiTheme="minorHAnsi" w:hAnsiTheme="minorHAnsi"/>
          <w:sz w:val="22"/>
          <w:szCs w:val="22"/>
        </w:rPr>
        <w:t>, best-fit</w:t>
      </w:r>
      <w:r w:rsidR="00D82722" w:rsidRPr="00F43979">
        <w:rPr>
          <w:rFonts w:asciiTheme="minorHAnsi" w:hAnsiTheme="minorHAnsi"/>
          <w:sz w:val="22"/>
          <w:szCs w:val="22"/>
        </w:rPr>
        <w:t xml:space="preserve"> approach</w:t>
      </w:r>
    </w:p>
    <w:p w:rsidR="00BB53F3" w:rsidRPr="00F43979" w:rsidRDefault="00D82722" w:rsidP="00C12ED4">
      <w:pPr>
        <w:pStyle w:val="BodyText2"/>
        <w:numPr>
          <w:ilvl w:val="0"/>
          <w:numId w:val="3"/>
        </w:numPr>
        <w:jc w:val="left"/>
        <w:rPr>
          <w:rFonts w:asciiTheme="minorHAnsi" w:hAnsiTheme="minorHAnsi"/>
          <w:sz w:val="22"/>
          <w:szCs w:val="22"/>
        </w:rPr>
      </w:pPr>
      <w:r w:rsidRPr="00F43979">
        <w:rPr>
          <w:rFonts w:asciiTheme="minorHAnsi" w:hAnsiTheme="minorHAnsi"/>
          <w:sz w:val="22"/>
          <w:szCs w:val="22"/>
        </w:rPr>
        <w:t>The final result, in aggregate, is accurate, as it is</w:t>
      </w:r>
      <w:r w:rsidR="00C12ED4" w:rsidRPr="00F43979">
        <w:rPr>
          <w:rFonts w:asciiTheme="minorHAnsi" w:hAnsiTheme="minorHAnsi"/>
          <w:sz w:val="22"/>
          <w:szCs w:val="22"/>
        </w:rPr>
        <w:t xml:space="preserve"> constrained by the observed data.  The use of observed data, when available, is preferred over simulated data developing in external loads for input</w:t>
      </w:r>
      <w:r w:rsidR="00BB53F3" w:rsidRPr="00F43979">
        <w:rPr>
          <w:rFonts w:asciiTheme="minorHAnsi" w:hAnsiTheme="minorHAnsi"/>
          <w:sz w:val="22"/>
          <w:szCs w:val="22"/>
        </w:rPr>
        <w:t xml:space="preserve"> to water quality models (EPA, 1991</w:t>
      </w:r>
      <w:r w:rsidR="00C12ED4" w:rsidRPr="00F43979">
        <w:rPr>
          <w:rFonts w:asciiTheme="minorHAnsi" w:hAnsiTheme="minorHAnsi"/>
          <w:sz w:val="22"/>
          <w:szCs w:val="22"/>
        </w:rPr>
        <w:t xml:space="preserve">).   The use of observed data is objective in the assignment of parameter values, thus reducing bias. </w:t>
      </w:r>
    </w:p>
    <w:p w:rsidR="00BB53F3" w:rsidRPr="00F43979" w:rsidRDefault="00C12ED4" w:rsidP="00C12ED4">
      <w:pPr>
        <w:pStyle w:val="BodyText2"/>
        <w:numPr>
          <w:ilvl w:val="0"/>
          <w:numId w:val="3"/>
        </w:numPr>
        <w:jc w:val="left"/>
        <w:rPr>
          <w:rFonts w:asciiTheme="minorHAnsi" w:hAnsiTheme="minorHAnsi"/>
          <w:sz w:val="22"/>
          <w:szCs w:val="22"/>
        </w:rPr>
      </w:pPr>
      <w:r w:rsidRPr="00F43979">
        <w:rPr>
          <w:rFonts w:asciiTheme="minorHAnsi" w:hAnsiTheme="minorHAnsi"/>
          <w:sz w:val="22"/>
          <w:szCs w:val="22"/>
        </w:rPr>
        <w:t>The approach to the compartmentalization of labile and refractory nutrients was peer-reviewed and published in the well-respecte</w:t>
      </w:r>
      <w:r w:rsidR="00BB53F3" w:rsidRPr="00F43979">
        <w:rPr>
          <w:rFonts w:asciiTheme="minorHAnsi" w:hAnsiTheme="minorHAnsi"/>
          <w:sz w:val="22"/>
          <w:szCs w:val="22"/>
        </w:rPr>
        <w:t>d JAWRA (Hendrickson et al, 2007);</w:t>
      </w:r>
    </w:p>
    <w:p w:rsidR="00912FD0" w:rsidRPr="00F43979" w:rsidRDefault="00C12ED4" w:rsidP="00C12ED4">
      <w:pPr>
        <w:pStyle w:val="BodyText2"/>
        <w:numPr>
          <w:ilvl w:val="0"/>
          <w:numId w:val="3"/>
        </w:numPr>
        <w:jc w:val="left"/>
        <w:rPr>
          <w:rFonts w:asciiTheme="minorHAnsi" w:hAnsiTheme="minorHAnsi"/>
          <w:sz w:val="22"/>
          <w:szCs w:val="22"/>
        </w:rPr>
      </w:pPr>
      <w:r w:rsidRPr="00F43979">
        <w:rPr>
          <w:rFonts w:asciiTheme="minorHAnsi" w:hAnsiTheme="minorHAnsi"/>
          <w:sz w:val="22"/>
          <w:szCs w:val="22"/>
        </w:rPr>
        <w:lastRenderedPageBreak/>
        <w:t>The use of whole-watershed observed data allows for the implicit attenuation of WQ constituent concentrations, eliminating the need for decay coefficients of literature values developed from homogeneous land use small catchment studies.</w:t>
      </w:r>
    </w:p>
    <w:p w:rsidR="00627E65" w:rsidRPr="00F43979" w:rsidRDefault="00627E65" w:rsidP="00E76C59">
      <w:pPr>
        <w:pStyle w:val="BodyText2"/>
        <w:jc w:val="left"/>
        <w:rPr>
          <w:rFonts w:asciiTheme="minorHAnsi" w:hAnsiTheme="minorHAnsi"/>
          <w:sz w:val="22"/>
          <w:szCs w:val="22"/>
        </w:rPr>
      </w:pPr>
    </w:p>
    <w:p w:rsidR="00627E65" w:rsidRPr="00F43979" w:rsidRDefault="00627E65" w:rsidP="00E76C59">
      <w:pPr>
        <w:pStyle w:val="BodyText2"/>
        <w:jc w:val="left"/>
        <w:rPr>
          <w:rFonts w:asciiTheme="minorHAnsi" w:hAnsiTheme="minorHAnsi"/>
          <w:sz w:val="22"/>
          <w:szCs w:val="22"/>
        </w:rPr>
      </w:pPr>
    </w:p>
    <w:p w:rsidR="007371A6" w:rsidRPr="00F43979" w:rsidRDefault="00756412" w:rsidP="00E76C59">
      <w:pPr>
        <w:pStyle w:val="BodyText2"/>
        <w:jc w:val="left"/>
        <w:rPr>
          <w:rFonts w:asciiTheme="minorHAnsi" w:hAnsiTheme="minorHAnsi"/>
          <w:sz w:val="22"/>
          <w:szCs w:val="22"/>
        </w:rPr>
      </w:pPr>
      <w:r w:rsidRPr="00F43979">
        <w:rPr>
          <w:rFonts w:asciiTheme="minorHAnsi" w:hAnsiTheme="minorHAnsi"/>
          <w:sz w:val="22"/>
          <w:szCs w:val="22"/>
        </w:rPr>
        <w:t>The selection of the</w:t>
      </w:r>
      <w:r w:rsidR="00ED7EA3" w:rsidRPr="00F43979">
        <w:rPr>
          <w:rFonts w:asciiTheme="minorHAnsi" w:hAnsiTheme="minorHAnsi"/>
          <w:sz w:val="22"/>
          <w:szCs w:val="22"/>
        </w:rPr>
        <w:t xml:space="preserve"> PLSM was driven primarily by the need for an accurate representation the watershed nonpoint source external load as input to the Lower St. Johns River application of CE-QUAL-ICM.  SJRWMD conducted a thorough examination of available watershed models</w:t>
      </w:r>
      <w:r w:rsidR="00557A61" w:rsidRPr="00F43979">
        <w:rPr>
          <w:rFonts w:asciiTheme="minorHAnsi" w:hAnsiTheme="minorHAnsi"/>
          <w:sz w:val="22"/>
          <w:szCs w:val="22"/>
        </w:rPr>
        <w:t xml:space="preserve"> with the capability to predict the nutrient and organic carbon compartmentalization needed for CE-QUAL-ICM, and then worked several years with SWET to adapt its Watershed Assessment Model (WAM) to predict this nutrient and ca</w:t>
      </w:r>
      <w:r w:rsidR="00912FD0" w:rsidRPr="00F43979">
        <w:rPr>
          <w:rFonts w:asciiTheme="minorHAnsi" w:hAnsiTheme="minorHAnsi"/>
          <w:sz w:val="22"/>
          <w:szCs w:val="22"/>
        </w:rPr>
        <w:t>rbon suite. After these endeavors</w:t>
      </w:r>
      <w:r w:rsidR="00557A61" w:rsidRPr="00F43979">
        <w:rPr>
          <w:rFonts w:asciiTheme="minorHAnsi" w:hAnsiTheme="minorHAnsi"/>
          <w:sz w:val="22"/>
          <w:szCs w:val="22"/>
        </w:rPr>
        <w:t xml:space="preserve">, it was clear that no process-based watershed model had the capability to accurately predict the sophisticated </w:t>
      </w:r>
      <w:r w:rsidR="007371A6" w:rsidRPr="00F43979">
        <w:rPr>
          <w:rFonts w:asciiTheme="minorHAnsi" w:hAnsiTheme="minorHAnsi"/>
          <w:sz w:val="22"/>
          <w:szCs w:val="22"/>
        </w:rPr>
        <w:t xml:space="preserve">WQ constituent suite needed for CE-QUAL-ICM.  </w:t>
      </w:r>
    </w:p>
    <w:p w:rsidR="007371A6" w:rsidRPr="00F43979" w:rsidRDefault="007371A6" w:rsidP="00E76C59">
      <w:pPr>
        <w:pStyle w:val="BodyText2"/>
        <w:jc w:val="left"/>
        <w:rPr>
          <w:rFonts w:asciiTheme="minorHAnsi" w:hAnsiTheme="minorHAnsi"/>
          <w:sz w:val="22"/>
          <w:szCs w:val="22"/>
        </w:rPr>
      </w:pPr>
    </w:p>
    <w:p w:rsidR="00BA28E9" w:rsidRPr="00F43979" w:rsidRDefault="00BA28E9" w:rsidP="00E76C59">
      <w:pPr>
        <w:pStyle w:val="BodyText2"/>
        <w:jc w:val="left"/>
        <w:rPr>
          <w:rFonts w:asciiTheme="minorHAnsi" w:hAnsiTheme="minorHAnsi"/>
          <w:sz w:val="22"/>
          <w:szCs w:val="22"/>
        </w:rPr>
      </w:pPr>
      <w:r w:rsidRPr="00F43979">
        <w:rPr>
          <w:rFonts w:asciiTheme="minorHAnsi" w:hAnsiTheme="minorHAnsi"/>
          <w:sz w:val="22"/>
          <w:szCs w:val="22"/>
        </w:rPr>
        <w:t>Pgs</w:t>
      </w:r>
      <w:r w:rsidR="00912FD0" w:rsidRPr="00F43979">
        <w:rPr>
          <w:rFonts w:asciiTheme="minorHAnsi" w:hAnsiTheme="minorHAnsi"/>
          <w:sz w:val="22"/>
          <w:szCs w:val="22"/>
        </w:rPr>
        <w:t>.</w:t>
      </w:r>
      <w:r w:rsidRPr="00F43979">
        <w:rPr>
          <w:rFonts w:asciiTheme="minorHAnsi" w:hAnsiTheme="minorHAnsi"/>
          <w:sz w:val="22"/>
          <w:szCs w:val="22"/>
        </w:rPr>
        <w:t xml:space="preserve"> 25 – 28.  This section provides a critique of the PLSM application, as it was set up by Hendrickson and </w:t>
      </w:r>
      <w:proofErr w:type="spellStart"/>
      <w:r w:rsidRPr="00F43979">
        <w:rPr>
          <w:rFonts w:asciiTheme="minorHAnsi" w:hAnsiTheme="minorHAnsi"/>
          <w:sz w:val="22"/>
          <w:szCs w:val="22"/>
        </w:rPr>
        <w:t>Konwinski</w:t>
      </w:r>
      <w:proofErr w:type="spellEnd"/>
      <w:r w:rsidRPr="00F43979">
        <w:rPr>
          <w:rFonts w:asciiTheme="minorHAnsi" w:hAnsiTheme="minorHAnsi"/>
          <w:sz w:val="22"/>
          <w:szCs w:val="22"/>
        </w:rPr>
        <w:t xml:space="preserve"> (1998) in</w:t>
      </w:r>
      <w:r w:rsidR="009F121F" w:rsidRPr="00F43979">
        <w:rPr>
          <w:rFonts w:asciiTheme="minorHAnsi" w:hAnsiTheme="minorHAnsi"/>
          <w:sz w:val="22"/>
          <w:szCs w:val="22"/>
        </w:rPr>
        <w:t xml:space="preserve"> </w:t>
      </w:r>
      <w:r w:rsidRPr="00F43979">
        <w:rPr>
          <w:rFonts w:asciiTheme="minorHAnsi" w:hAnsiTheme="minorHAnsi"/>
          <w:sz w:val="22"/>
          <w:szCs w:val="22"/>
        </w:rPr>
        <w:t xml:space="preserve">its initial use </w:t>
      </w:r>
      <w:r w:rsidR="009F121F" w:rsidRPr="00F43979">
        <w:rPr>
          <w:rFonts w:asciiTheme="minorHAnsi" w:hAnsiTheme="minorHAnsi"/>
          <w:sz w:val="22"/>
          <w:szCs w:val="22"/>
        </w:rPr>
        <w:t>(</w:t>
      </w:r>
      <w:r w:rsidRPr="00F43979">
        <w:rPr>
          <w:rFonts w:asciiTheme="minorHAnsi" w:hAnsiTheme="minorHAnsi"/>
          <w:sz w:val="22"/>
          <w:szCs w:val="22"/>
        </w:rPr>
        <w:t>under a gr</w:t>
      </w:r>
      <w:r w:rsidR="009F121F" w:rsidRPr="00F43979">
        <w:rPr>
          <w:rFonts w:asciiTheme="minorHAnsi" w:hAnsiTheme="minorHAnsi"/>
          <w:sz w:val="22"/>
          <w:szCs w:val="22"/>
        </w:rPr>
        <w:t>a</w:t>
      </w:r>
      <w:r w:rsidRPr="00F43979">
        <w:rPr>
          <w:rFonts w:asciiTheme="minorHAnsi" w:hAnsiTheme="minorHAnsi"/>
          <w:sz w:val="22"/>
          <w:szCs w:val="22"/>
        </w:rPr>
        <w:t>nt project from the FDEP</w:t>
      </w:r>
      <w:r w:rsidR="009F121F" w:rsidRPr="00F43979">
        <w:rPr>
          <w:rFonts w:asciiTheme="minorHAnsi" w:hAnsiTheme="minorHAnsi"/>
          <w:sz w:val="22"/>
          <w:szCs w:val="22"/>
        </w:rPr>
        <w:t>)</w:t>
      </w:r>
      <w:r w:rsidRPr="00F43979">
        <w:rPr>
          <w:rFonts w:asciiTheme="minorHAnsi" w:hAnsiTheme="minorHAnsi"/>
          <w:sz w:val="22"/>
          <w:szCs w:val="22"/>
        </w:rPr>
        <w:t xml:space="preserve">.  No mention is made of the fact that the form of the model applied for the TMDL </w:t>
      </w:r>
      <w:r w:rsidR="009F121F" w:rsidRPr="00F43979">
        <w:rPr>
          <w:rFonts w:asciiTheme="minorHAnsi" w:hAnsiTheme="minorHAnsi"/>
          <w:sz w:val="22"/>
          <w:szCs w:val="22"/>
        </w:rPr>
        <w:t xml:space="preserve">(described in the report Hendrickson et al (2002), which was provided to the committee) </w:t>
      </w:r>
      <w:r w:rsidRPr="00F43979">
        <w:rPr>
          <w:rFonts w:asciiTheme="minorHAnsi" w:hAnsiTheme="minorHAnsi"/>
          <w:sz w:val="22"/>
          <w:szCs w:val="22"/>
        </w:rPr>
        <w:t>was greatly advanced from this initial application, having added seasonality factors, long term rainfall adjustment factors, and algo</w:t>
      </w:r>
      <w:r w:rsidR="009F121F" w:rsidRPr="00F43979">
        <w:rPr>
          <w:rFonts w:asciiTheme="minorHAnsi" w:hAnsiTheme="minorHAnsi"/>
          <w:sz w:val="22"/>
          <w:szCs w:val="22"/>
        </w:rPr>
        <w:t>rithm</w:t>
      </w:r>
      <w:r w:rsidRPr="00F43979">
        <w:rPr>
          <w:rFonts w:asciiTheme="minorHAnsi" w:hAnsiTheme="minorHAnsi"/>
          <w:sz w:val="22"/>
          <w:szCs w:val="22"/>
        </w:rPr>
        <w:t xml:space="preserve"> to distinguish between </w:t>
      </w:r>
      <w:proofErr w:type="spellStart"/>
      <w:r w:rsidRPr="00F43979">
        <w:rPr>
          <w:rFonts w:asciiTheme="minorHAnsi" w:hAnsiTheme="minorHAnsi"/>
          <w:sz w:val="22"/>
          <w:szCs w:val="22"/>
        </w:rPr>
        <w:t>bioavailable</w:t>
      </w:r>
      <w:proofErr w:type="spellEnd"/>
      <w:r w:rsidRPr="00F43979">
        <w:rPr>
          <w:rFonts w:asciiTheme="minorHAnsi" w:hAnsiTheme="minorHAnsi"/>
          <w:sz w:val="22"/>
          <w:szCs w:val="22"/>
        </w:rPr>
        <w:t xml:space="preserve"> (labile) and non-</w:t>
      </w:r>
      <w:proofErr w:type="spellStart"/>
      <w:r w:rsidRPr="00F43979">
        <w:rPr>
          <w:rFonts w:asciiTheme="minorHAnsi" w:hAnsiTheme="minorHAnsi"/>
          <w:sz w:val="22"/>
          <w:szCs w:val="22"/>
        </w:rPr>
        <w:t>bioavailable</w:t>
      </w:r>
      <w:proofErr w:type="spellEnd"/>
      <w:r w:rsidRPr="00F43979">
        <w:rPr>
          <w:rFonts w:asciiTheme="minorHAnsi" w:hAnsiTheme="minorHAnsi"/>
          <w:sz w:val="22"/>
          <w:szCs w:val="22"/>
        </w:rPr>
        <w:t xml:space="preserve"> (refractory) organic nutrient forms. </w:t>
      </w:r>
      <w:r w:rsidR="009F121F" w:rsidRPr="00F43979">
        <w:rPr>
          <w:rFonts w:asciiTheme="minorHAnsi" w:hAnsiTheme="minorHAnsi"/>
          <w:sz w:val="22"/>
          <w:szCs w:val="22"/>
        </w:rPr>
        <w:t xml:space="preserve"> The assessment of agreement of simulated to</w:t>
      </w:r>
      <w:r w:rsidR="00912FD0" w:rsidRPr="00F43979">
        <w:rPr>
          <w:rFonts w:asciiTheme="minorHAnsi" w:hAnsiTheme="minorHAnsi"/>
          <w:sz w:val="22"/>
          <w:szCs w:val="22"/>
        </w:rPr>
        <w:t xml:space="preserve"> </w:t>
      </w:r>
      <w:proofErr w:type="gramStart"/>
      <w:r w:rsidR="009F121F" w:rsidRPr="00F43979">
        <w:rPr>
          <w:rFonts w:asciiTheme="minorHAnsi" w:hAnsiTheme="minorHAnsi"/>
          <w:sz w:val="22"/>
          <w:szCs w:val="22"/>
        </w:rPr>
        <w:t>observed</w:t>
      </w:r>
      <w:proofErr w:type="gramEnd"/>
      <w:r w:rsidR="009F121F" w:rsidRPr="00F43979">
        <w:rPr>
          <w:rFonts w:asciiTheme="minorHAnsi" w:hAnsiTheme="minorHAnsi"/>
          <w:sz w:val="22"/>
          <w:szCs w:val="22"/>
        </w:rPr>
        <w:t xml:space="preserve"> as only “fair” is based on the initial model application (Hendrickson and </w:t>
      </w:r>
      <w:proofErr w:type="spellStart"/>
      <w:r w:rsidR="009F121F" w:rsidRPr="00F43979">
        <w:rPr>
          <w:rFonts w:asciiTheme="minorHAnsi" w:hAnsiTheme="minorHAnsi"/>
          <w:sz w:val="22"/>
          <w:szCs w:val="22"/>
        </w:rPr>
        <w:t>Konwinski</w:t>
      </w:r>
      <w:proofErr w:type="spellEnd"/>
      <w:r w:rsidR="009F121F" w:rsidRPr="00F43979">
        <w:rPr>
          <w:rFonts w:asciiTheme="minorHAnsi" w:hAnsiTheme="minorHAnsi"/>
          <w:sz w:val="22"/>
          <w:szCs w:val="22"/>
        </w:rPr>
        <w:t xml:space="preserve">, 1998), and does not pertain to the TMDL application.  </w:t>
      </w:r>
      <w:r w:rsidRPr="00F43979">
        <w:rPr>
          <w:rFonts w:asciiTheme="minorHAnsi" w:hAnsiTheme="minorHAnsi"/>
          <w:sz w:val="22"/>
          <w:szCs w:val="22"/>
        </w:rPr>
        <w:t xml:space="preserve">  </w:t>
      </w:r>
    </w:p>
    <w:p w:rsidR="00552E68" w:rsidRPr="00F43979" w:rsidRDefault="00552E68" w:rsidP="00E76C59">
      <w:pPr>
        <w:pStyle w:val="BodyText2"/>
        <w:jc w:val="left"/>
        <w:rPr>
          <w:rFonts w:asciiTheme="minorHAnsi" w:hAnsiTheme="minorHAnsi"/>
          <w:sz w:val="22"/>
          <w:szCs w:val="22"/>
        </w:rPr>
      </w:pPr>
    </w:p>
    <w:p w:rsidR="00552E68" w:rsidRPr="00F43979" w:rsidRDefault="00552E68" w:rsidP="00E76C59">
      <w:pPr>
        <w:pStyle w:val="BodyText2"/>
        <w:jc w:val="left"/>
        <w:rPr>
          <w:rFonts w:asciiTheme="minorHAnsi" w:hAnsiTheme="minorHAnsi"/>
          <w:sz w:val="22"/>
          <w:szCs w:val="22"/>
        </w:rPr>
      </w:pPr>
      <w:proofErr w:type="gramStart"/>
      <w:r w:rsidRPr="00F43979">
        <w:rPr>
          <w:rFonts w:asciiTheme="minorHAnsi" w:hAnsiTheme="minorHAnsi"/>
          <w:sz w:val="22"/>
          <w:szCs w:val="22"/>
        </w:rPr>
        <w:t>Pg. 41, 2</w:t>
      </w:r>
      <w:r w:rsidRPr="00F43979">
        <w:rPr>
          <w:rFonts w:asciiTheme="minorHAnsi" w:hAnsiTheme="minorHAnsi"/>
          <w:sz w:val="22"/>
          <w:szCs w:val="22"/>
          <w:vertAlign w:val="superscript"/>
        </w:rPr>
        <w:t>nd</w:t>
      </w:r>
      <w:r w:rsidRPr="00F43979">
        <w:rPr>
          <w:rFonts w:asciiTheme="minorHAnsi" w:hAnsiTheme="minorHAnsi"/>
          <w:sz w:val="22"/>
          <w:szCs w:val="22"/>
        </w:rPr>
        <w:t xml:space="preserve"> Par.</w:t>
      </w:r>
      <w:proofErr w:type="gramEnd"/>
      <w:r w:rsidRPr="00F43979">
        <w:rPr>
          <w:rFonts w:asciiTheme="minorHAnsi" w:hAnsiTheme="minorHAnsi"/>
          <w:sz w:val="22"/>
          <w:szCs w:val="22"/>
        </w:rPr>
        <w:t xml:space="preserve"> It is stated that “. . .  land use changes since [2000] have reduced the number of [row crop] acres under production.”  No quantitative information is provided to support this claim.  Also in this paragraph it is stated </w:t>
      </w:r>
      <w:proofErr w:type="gramStart"/>
      <w:r w:rsidRPr="00F43979">
        <w:rPr>
          <w:rFonts w:asciiTheme="minorHAnsi" w:hAnsiTheme="minorHAnsi"/>
          <w:sz w:val="22"/>
          <w:szCs w:val="22"/>
        </w:rPr>
        <w:t>“ .</w:t>
      </w:r>
      <w:proofErr w:type="gramEnd"/>
      <w:r w:rsidRPr="00F43979">
        <w:rPr>
          <w:rFonts w:asciiTheme="minorHAnsi" w:hAnsiTheme="minorHAnsi"/>
          <w:sz w:val="22"/>
          <w:szCs w:val="22"/>
        </w:rPr>
        <w:t xml:space="preserve"> . .  several dairies that were initially in the load allocation calculations are no longer in op</w:t>
      </w:r>
      <w:r w:rsidR="00AE0AF4" w:rsidRPr="00F43979">
        <w:rPr>
          <w:rFonts w:asciiTheme="minorHAnsi" w:hAnsiTheme="minorHAnsi"/>
          <w:sz w:val="22"/>
          <w:szCs w:val="22"/>
        </w:rPr>
        <w:t xml:space="preserve">eration.”  This is true and was </w:t>
      </w:r>
      <w:r w:rsidRPr="00F43979">
        <w:rPr>
          <w:rFonts w:asciiTheme="minorHAnsi" w:hAnsiTheme="minorHAnsi"/>
          <w:sz w:val="22"/>
          <w:szCs w:val="22"/>
        </w:rPr>
        <w:t xml:space="preserve">noted in the </w:t>
      </w:r>
      <w:r w:rsidR="00AE0AF4" w:rsidRPr="00F43979">
        <w:rPr>
          <w:rFonts w:asciiTheme="minorHAnsi" w:hAnsiTheme="minorHAnsi"/>
          <w:sz w:val="22"/>
          <w:szCs w:val="22"/>
        </w:rPr>
        <w:t xml:space="preserve">2012 LSJR TMDL BMAP annual report.  However, nutrient loads from dairy were separately assessed and are not included in the TCAA row crop allocation. </w:t>
      </w:r>
    </w:p>
    <w:p w:rsidR="001F7884" w:rsidRPr="00F43979" w:rsidRDefault="001F7884" w:rsidP="00E76C59">
      <w:pPr>
        <w:pStyle w:val="BodyText2"/>
        <w:jc w:val="left"/>
        <w:rPr>
          <w:rFonts w:asciiTheme="minorHAnsi" w:hAnsiTheme="minorHAnsi"/>
          <w:sz w:val="22"/>
          <w:szCs w:val="22"/>
        </w:rPr>
      </w:pPr>
    </w:p>
    <w:p w:rsidR="00155780" w:rsidRPr="00F43979" w:rsidRDefault="00155780" w:rsidP="00E76C59">
      <w:pPr>
        <w:pStyle w:val="BodyText2"/>
        <w:jc w:val="left"/>
        <w:rPr>
          <w:rFonts w:asciiTheme="minorHAnsi" w:hAnsiTheme="minorHAnsi"/>
          <w:sz w:val="22"/>
          <w:szCs w:val="22"/>
        </w:rPr>
      </w:pPr>
      <w:proofErr w:type="gramStart"/>
      <w:r w:rsidRPr="00F43979">
        <w:rPr>
          <w:rFonts w:asciiTheme="minorHAnsi" w:hAnsiTheme="minorHAnsi"/>
          <w:sz w:val="22"/>
          <w:szCs w:val="22"/>
        </w:rPr>
        <w:t>Pg. 49, 1</w:t>
      </w:r>
      <w:r w:rsidRPr="00F43979">
        <w:rPr>
          <w:rFonts w:asciiTheme="minorHAnsi" w:hAnsiTheme="minorHAnsi"/>
          <w:sz w:val="22"/>
          <w:szCs w:val="22"/>
          <w:vertAlign w:val="superscript"/>
        </w:rPr>
        <w:t>st</w:t>
      </w:r>
      <w:r w:rsidRPr="00F43979">
        <w:rPr>
          <w:rFonts w:asciiTheme="minorHAnsi" w:hAnsiTheme="minorHAnsi"/>
          <w:sz w:val="22"/>
          <w:szCs w:val="22"/>
        </w:rPr>
        <w:t xml:space="preserve"> Par.</w:t>
      </w:r>
      <w:proofErr w:type="gramEnd"/>
      <w:r w:rsidRPr="00F43979">
        <w:rPr>
          <w:rFonts w:asciiTheme="minorHAnsi" w:hAnsiTheme="minorHAnsi"/>
          <w:sz w:val="22"/>
          <w:szCs w:val="22"/>
        </w:rPr>
        <w:t xml:space="preserve"> </w:t>
      </w:r>
      <w:r w:rsidR="0071480B" w:rsidRPr="00F43979">
        <w:rPr>
          <w:rFonts w:asciiTheme="minorHAnsi" w:hAnsiTheme="minorHAnsi"/>
          <w:sz w:val="22"/>
          <w:szCs w:val="22"/>
        </w:rPr>
        <w:t xml:space="preserve">Statistical variance, termed “uncertainty” here, was quantified in several steps in the model parameter development and in model prediction adherence to observed data.    Contrary to the assertion here, the PLSM development and results were vetted in a number of stakeholder meetings.  </w:t>
      </w:r>
      <w:r w:rsidR="00F26F06" w:rsidRPr="00F43979">
        <w:rPr>
          <w:rFonts w:asciiTheme="minorHAnsi" w:hAnsiTheme="minorHAnsi"/>
          <w:sz w:val="22"/>
          <w:szCs w:val="22"/>
        </w:rPr>
        <w:t>The process-oriented models that are recommended as alternatives here, have many more variables, require many more assumptions, and since not constrained by the observed data, can produce results that are wildly divergent from reality.</w:t>
      </w:r>
      <w:r w:rsidR="00912FD0" w:rsidRPr="00F43979">
        <w:rPr>
          <w:rFonts w:asciiTheme="minorHAnsi" w:hAnsiTheme="minorHAnsi"/>
          <w:sz w:val="22"/>
          <w:szCs w:val="22"/>
        </w:rPr>
        <w:t xml:space="preserve">  This is </w:t>
      </w:r>
      <w:proofErr w:type="spellStart"/>
      <w:r w:rsidR="00912FD0" w:rsidRPr="00F43979">
        <w:rPr>
          <w:rFonts w:asciiTheme="minorHAnsi" w:hAnsiTheme="minorHAnsi"/>
          <w:sz w:val="22"/>
          <w:szCs w:val="22"/>
        </w:rPr>
        <w:t>particulary</w:t>
      </w:r>
      <w:proofErr w:type="spellEnd"/>
      <w:r w:rsidR="00912FD0" w:rsidRPr="00F43979">
        <w:rPr>
          <w:rFonts w:asciiTheme="minorHAnsi" w:hAnsiTheme="minorHAnsi"/>
          <w:sz w:val="22"/>
          <w:szCs w:val="22"/>
        </w:rPr>
        <w:t xml:space="preserve"> true for watershed models, due to the tremendous amou</w:t>
      </w:r>
      <w:r w:rsidR="00462882" w:rsidRPr="00F43979">
        <w:rPr>
          <w:rFonts w:asciiTheme="minorHAnsi" w:hAnsiTheme="minorHAnsi"/>
          <w:sz w:val="22"/>
          <w:szCs w:val="22"/>
        </w:rPr>
        <w:t>nt</w:t>
      </w:r>
      <w:r w:rsidR="00912FD0" w:rsidRPr="00F43979">
        <w:rPr>
          <w:rFonts w:asciiTheme="minorHAnsi" w:hAnsiTheme="minorHAnsi"/>
          <w:sz w:val="22"/>
          <w:szCs w:val="22"/>
        </w:rPr>
        <w:t xml:space="preserve"> of heterogeneity </w:t>
      </w:r>
      <w:r w:rsidR="00462882" w:rsidRPr="00F43979">
        <w:rPr>
          <w:rFonts w:asciiTheme="minorHAnsi" w:hAnsiTheme="minorHAnsi"/>
          <w:sz w:val="22"/>
          <w:szCs w:val="22"/>
        </w:rPr>
        <w:t xml:space="preserve">caused by the interactions and human activities and landscape variables </w:t>
      </w:r>
      <w:r w:rsidR="00912FD0" w:rsidRPr="00F43979">
        <w:rPr>
          <w:rFonts w:asciiTheme="minorHAnsi" w:hAnsiTheme="minorHAnsi"/>
          <w:sz w:val="22"/>
          <w:szCs w:val="22"/>
        </w:rPr>
        <w:t>in the terrestrial e</w:t>
      </w:r>
      <w:r w:rsidR="00462882" w:rsidRPr="00F43979">
        <w:rPr>
          <w:rFonts w:asciiTheme="minorHAnsi" w:hAnsiTheme="minorHAnsi"/>
          <w:sz w:val="22"/>
          <w:szCs w:val="22"/>
        </w:rPr>
        <w:t xml:space="preserve">nvironment.   </w:t>
      </w:r>
    </w:p>
    <w:p w:rsidR="00F26F06" w:rsidRPr="00F43979" w:rsidRDefault="00F26F06" w:rsidP="00E76C59">
      <w:pPr>
        <w:pStyle w:val="BodyText2"/>
        <w:jc w:val="left"/>
        <w:rPr>
          <w:rFonts w:asciiTheme="minorHAnsi" w:hAnsiTheme="minorHAnsi"/>
          <w:sz w:val="22"/>
          <w:szCs w:val="22"/>
        </w:rPr>
      </w:pPr>
    </w:p>
    <w:p w:rsidR="006C042D" w:rsidRPr="00F43979" w:rsidRDefault="00F8306A" w:rsidP="00E76C59">
      <w:pPr>
        <w:pStyle w:val="BodyText2"/>
        <w:jc w:val="left"/>
        <w:rPr>
          <w:rFonts w:asciiTheme="minorHAnsi" w:hAnsiTheme="minorHAnsi"/>
          <w:sz w:val="22"/>
          <w:szCs w:val="22"/>
        </w:rPr>
      </w:pPr>
      <w:proofErr w:type="gramStart"/>
      <w:r w:rsidRPr="00F43979">
        <w:rPr>
          <w:rFonts w:asciiTheme="minorHAnsi" w:hAnsiTheme="minorHAnsi"/>
          <w:sz w:val="22"/>
          <w:szCs w:val="22"/>
        </w:rPr>
        <w:t>Pg. 49, 2</w:t>
      </w:r>
      <w:r w:rsidRPr="00F43979">
        <w:rPr>
          <w:rFonts w:asciiTheme="minorHAnsi" w:hAnsiTheme="minorHAnsi"/>
          <w:sz w:val="22"/>
          <w:szCs w:val="22"/>
          <w:vertAlign w:val="superscript"/>
        </w:rPr>
        <w:t>nd</w:t>
      </w:r>
      <w:r w:rsidRPr="00F43979">
        <w:rPr>
          <w:rFonts w:asciiTheme="minorHAnsi" w:hAnsiTheme="minorHAnsi"/>
          <w:sz w:val="22"/>
          <w:szCs w:val="22"/>
        </w:rPr>
        <w:t xml:space="preserve"> Par.</w:t>
      </w:r>
      <w:proofErr w:type="gramEnd"/>
      <w:r w:rsidRPr="00F43979">
        <w:rPr>
          <w:rFonts w:asciiTheme="minorHAnsi" w:hAnsiTheme="minorHAnsi"/>
          <w:sz w:val="22"/>
          <w:szCs w:val="22"/>
        </w:rPr>
        <w:t xml:space="preserve">  It is stated that “Although the exact efficacy of agricultural BMPs is impossible to estimate . . . </w:t>
      </w:r>
      <w:proofErr w:type="gramStart"/>
      <w:r w:rsidRPr="00F43979">
        <w:rPr>
          <w:rFonts w:asciiTheme="minorHAnsi" w:hAnsiTheme="minorHAnsi"/>
          <w:sz w:val="22"/>
          <w:szCs w:val="22"/>
        </w:rPr>
        <w:t>“  If</w:t>
      </w:r>
      <w:proofErr w:type="gramEnd"/>
      <w:r w:rsidRPr="00F43979">
        <w:rPr>
          <w:rFonts w:asciiTheme="minorHAnsi" w:hAnsiTheme="minorHAnsi"/>
          <w:sz w:val="22"/>
          <w:szCs w:val="22"/>
        </w:rPr>
        <w:t xml:space="preserve"> “efficacy” here relates to performance, this has been assessed in several </w:t>
      </w:r>
      <w:r w:rsidR="00462882" w:rsidRPr="00F43979">
        <w:rPr>
          <w:rFonts w:asciiTheme="minorHAnsi" w:hAnsiTheme="minorHAnsi"/>
          <w:sz w:val="22"/>
          <w:szCs w:val="22"/>
        </w:rPr>
        <w:t>studies</w:t>
      </w:r>
      <w:r w:rsidRPr="00F43979">
        <w:rPr>
          <w:rFonts w:asciiTheme="minorHAnsi" w:hAnsiTheme="minorHAnsi"/>
          <w:sz w:val="22"/>
          <w:szCs w:val="22"/>
        </w:rPr>
        <w:t xml:space="preserve">.  If it relates to “affordability” or “feasibility”, this is an open question and contingent upon profits </w:t>
      </w:r>
      <w:r w:rsidR="00462882" w:rsidRPr="00F43979">
        <w:rPr>
          <w:rFonts w:asciiTheme="minorHAnsi" w:hAnsiTheme="minorHAnsi"/>
          <w:sz w:val="22"/>
          <w:szCs w:val="22"/>
        </w:rPr>
        <w:t xml:space="preserve">and interests </w:t>
      </w:r>
      <w:r w:rsidRPr="00F43979">
        <w:rPr>
          <w:rFonts w:asciiTheme="minorHAnsi" w:hAnsiTheme="minorHAnsi"/>
          <w:sz w:val="22"/>
          <w:szCs w:val="22"/>
        </w:rPr>
        <w:t xml:space="preserve">that </w:t>
      </w:r>
      <w:r w:rsidR="00462882" w:rsidRPr="00F43979">
        <w:rPr>
          <w:rFonts w:asciiTheme="minorHAnsi" w:hAnsiTheme="minorHAnsi"/>
          <w:sz w:val="22"/>
          <w:szCs w:val="22"/>
        </w:rPr>
        <w:t>are</w:t>
      </w:r>
      <w:r w:rsidRPr="00F43979">
        <w:rPr>
          <w:rFonts w:asciiTheme="minorHAnsi" w:hAnsiTheme="minorHAnsi"/>
          <w:sz w:val="22"/>
          <w:szCs w:val="22"/>
        </w:rPr>
        <w:t xml:space="preserve"> proprietary information of the TCAA growers.  </w:t>
      </w:r>
    </w:p>
    <w:p w:rsidR="006C042D" w:rsidRPr="00F43979" w:rsidRDefault="006C042D" w:rsidP="00E76C59">
      <w:pPr>
        <w:pStyle w:val="BodyText2"/>
        <w:jc w:val="left"/>
        <w:rPr>
          <w:rFonts w:asciiTheme="minorHAnsi" w:hAnsiTheme="minorHAnsi"/>
          <w:sz w:val="22"/>
          <w:szCs w:val="22"/>
        </w:rPr>
      </w:pPr>
    </w:p>
    <w:p w:rsidR="00F26F06" w:rsidRPr="00F43979" w:rsidRDefault="006C042D" w:rsidP="00E76C59">
      <w:pPr>
        <w:pStyle w:val="BodyText2"/>
        <w:jc w:val="left"/>
        <w:rPr>
          <w:rFonts w:asciiTheme="minorHAnsi" w:hAnsiTheme="minorHAnsi"/>
          <w:sz w:val="22"/>
          <w:szCs w:val="22"/>
        </w:rPr>
      </w:pPr>
      <w:r w:rsidRPr="00F43979">
        <w:rPr>
          <w:rFonts w:asciiTheme="minorHAnsi" w:hAnsiTheme="minorHAnsi"/>
          <w:sz w:val="22"/>
          <w:szCs w:val="22"/>
        </w:rPr>
        <w:t>Pg. 49, Last Par. The first sentence “The review committee found it difficult to navigate the myriad of documents and often complex, and sometimes conflicting, wording within documents to determine what data and information was used to support models and assumptions in the TMDL and BMAP.”  No specific information is provid</w:t>
      </w:r>
      <w:r w:rsidR="00E80AAE" w:rsidRPr="00F43979">
        <w:rPr>
          <w:rFonts w:asciiTheme="minorHAnsi" w:hAnsiTheme="minorHAnsi"/>
          <w:sz w:val="22"/>
          <w:szCs w:val="22"/>
        </w:rPr>
        <w:t xml:space="preserve">ed to support this claim.  And, as indicated earlier, an extensive and lengthy </w:t>
      </w:r>
      <w:r w:rsidR="00E80AAE" w:rsidRPr="00F43979">
        <w:rPr>
          <w:rFonts w:asciiTheme="minorHAnsi" w:hAnsiTheme="minorHAnsi"/>
          <w:sz w:val="22"/>
          <w:szCs w:val="22"/>
        </w:rPr>
        <w:lastRenderedPageBreak/>
        <w:t>stakeholder process accompanied the TMDL development, and agriculture was provided a</w:t>
      </w:r>
      <w:r w:rsidR="009E5575" w:rsidRPr="00F43979">
        <w:rPr>
          <w:rFonts w:asciiTheme="minorHAnsi" w:hAnsiTheme="minorHAnsi"/>
          <w:sz w:val="22"/>
          <w:szCs w:val="22"/>
        </w:rPr>
        <w:t xml:space="preserve"> place in the stakeholder and executive committee process.  </w:t>
      </w:r>
      <w:r w:rsidRPr="00F43979">
        <w:rPr>
          <w:rFonts w:asciiTheme="minorHAnsi" w:hAnsiTheme="minorHAnsi"/>
          <w:sz w:val="22"/>
          <w:szCs w:val="22"/>
        </w:rPr>
        <w:t xml:space="preserve"> </w:t>
      </w:r>
      <w:r w:rsidR="00F8306A" w:rsidRPr="00F43979">
        <w:rPr>
          <w:rFonts w:asciiTheme="minorHAnsi" w:hAnsiTheme="minorHAnsi"/>
          <w:sz w:val="22"/>
          <w:szCs w:val="22"/>
        </w:rPr>
        <w:t xml:space="preserve"> </w:t>
      </w:r>
    </w:p>
    <w:p w:rsidR="001043AC" w:rsidRPr="00F43979" w:rsidRDefault="005400B0" w:rsidP="00E76C59">
      <w:pPr>
        <w:pStyle w:val="BodyText2"/>
        <w:jc w:val="left"/>
        <w:rPr>
          <w:rFonts w:asciiTheme="minorHAnsi" w:hAnsiTheme="minorHAnsi"/>
          <w:sz w:val="22"/>
          <w:szCs w:val="22"/>
        </w:rPr>
      </w:pPr>
      <w:r w:rsidRPr="00F43979">
        <w:rPr>
          <w:rFonts w:asciiTheme="minorHAnsi" w:hAnsiTheme="minorHAnsi"/>
          <w:sz w:val="22"/>
          <w:szCs w:val="22"/>
        </w:rPr>
        <w:t xml:space="preserve"> </w:t>
      </w:r>
    </w:p>
    <w:p w:rsidR="00FB5023" w:rsidRPr="00F43979" w:rsidRDefault="00FB5023" w:rsidP="00E76C59">
      <w:pPr>
        <w:pStyle w:val="BodyText2"/>
        <w:jc w:val="left"/>
        <w:rPr>
          <w:rFonts w:asciiTheme="minorHAnsi" w:hAnsiTheme="minorHAnsi"/>
          <w:sz w:val="22"/>
          <w:szCs w:val="22"/>
        </w:rPr>
      </w:pPr>
    </w:p>
    <w:p w:rsidR="00E92A64" w:rsidRPr="00F43979" w:rsidRDefault="00BB53F3" w:rsidP="008A0102">
      <w:pPr>
        <w:ind w:left="432" w:hanging="432"/>
        <w:rPr>
          <w:rFonts w:cs="Times New Roman"/>
          <w:bCs/>
        </w:rPr>
      </w:pPr>
      <w:r w:rsidRPr="00F43979">
        <w:rPr>
          <w:rFonts w:cs="Times New Roman"/>
          <w:bCs/>
        </w:rPr>
        <w:t xml:space="preserve">[EPA] U.S. Environmental Protection Agency.  1991.  Guidance for water quality-based decisions: The TMDL process.  </w:t>
      </w:r>
      <w:proofErr w:type="gramStart"/>
      <w:r w:rsidRPr="00F43979">
        <w:rPr>
          <w:rFonts w:cs="Times New Roman"/>
          <w:bCs/>
        </w:rPr>
        <w:t>EPA 440/4-91-002.</w:t>
      </w:r>
      <w:proofErr w:type="gramEnd"/>
      <w:r w:rsidRPr="00F43979">
        <w:rPr>
          <w:rFonts w:cs="Times New Roman"/>
          <w:bCs/>
        </w:rPr>
        <w:t xml:space="preserve">  </w:t>
      </w:r>
      <w:proofErr w:type="gramStart"/>
      <w:r w:rsidRPr="00F43979">
        <w:rPr>
          <w:rFonts w:cs="Times New Roman"/>
          <w:bCs/>
        </w:rPr>
        <w:t>Assessment and Watershed Protection Division.</w:t>
      </w:r>
      <w:proofErr w:type="gramEnd"/>
      <w:r w:rsidRPr="00F43979">
        <w:rPr>
          <w:rFonts w:cs="Times New Roman"/>
          <w:bCs/>
        </w:rPr>
        <w:t xml:space="preserve">  Washington, D.C.  </w:t>
      </w:r>
      <w:proofErr w:type="gramStart"/>
      <w:r w:rsidRPr="00F43979">
        <w:rPr>
          <w:rFonts w:cs="Times New Roman"/>
          <w:bCs/>
        </w:rPr>
        <w:t>58 pp.</w:t>
      </w:r>
      <w:proofErr w:type="gramEnd"/>
    </w:p>
    <w:p w:rsidR="00DD6AD4" w:rsidRPr="00F43979" w:rsidRDefault="00DD6AD4" w:rsidP="008A0102">
      <w:pPr>
        <w:ind w:left="432" w:hanging="432"/>
        <w:rPr>
          <w:rFonts w:cs="Times New Roman"/>
          <w:bCs/>
        </w:rPr>
      </w:pPr>
    </w:p>
    <w:p w:rsidR="00DD6AD4" w:rsidRPr="00F43979" w:rsidRDefault="00DD6AD4">
      <w:pPr>
        <w:rPr>
          <w:rFonts w:cs="Times New Roman"/>
          <w:bCs/>
        </w:rPr>
      </w:pPr>
    </w:p>
    <w:sectPr w:rsidR="00DD6AD4" w:rsidRPr="00F43979" w:rsidSect="00392E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4D4A"/>
    <w:multiLevelType w:val="hybridMultilevel"/>
    <w:tmpl w:val="13B8C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05126"/>
    <w:multiLevelType w:val="hybridMultilevel"/>
    <w:tmpl w:val="C122E0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E30BFE"/>
    <w:multiLevelType w:val="hybridMultilevel"/>
    <w:tmpl w:val="24A2C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9E66C1"/>
    <w:multiLevelType w:val="hybridMultilevel"/>
    <w:tmpl w:val="71A65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344709"/>
    <w:multiLevelType w:val="hybridMultilevel"/>
    <w:tmpl w:val="FCB44A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96677D0"/>
    <w:multiLevelType w:val="hybridMultilevel"/>
    <w:tmpl w:val="5C50E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8CA51A2"/>
    <w:multiLevelType w:val="hybridMultilevel"/>
    <w:tmpl w:val="7D8E1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7F47A0"/>
    <w:multiLevelType w:val="hybridMultilevel"/>
    <w:tmpl w:val="5122E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0"/>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4D34"/>
    <w:rsid w:val="00016387"/>
    <w:rsid w:val="0005100F"/>
    <w:rsid w:val="0006609B"/>
    <w:rsid w:val="000B61AE"/>
    <w:rsid w:val="000C0DC4"/>
    <w:rsid w:val="000C6419"/>
    <w:rsid w:val="000F2F9D"/>
    <w:rsid w:val="000F7C56"/>
    <w:rsid w:val="001043AC"/>
    <w:rsid w:val="00155780"/>
    <w:rsid w:val="00166CE7"/>
    <w:rsid w:val="001D5626"/>
    <w:rsid w:val="001F7884"/>
    <w:rsid w:val="0025535E"/>
    <w:rsid w:val="00277C58"/>
    <w:rsid w:val="0029375A"/>
    <w:rsid w:val="002B77D0"/>
    <w:rsid w:val="002C137F"/>
    <w:rsid w:val="002D7FD6"/>
    <w:rsid w:val="002F617A"/>
    <w:rsid w:val="003023ED"/>
    <w:rsid w:val="0033571D"/>
    <w:rsid w:val="0037063A"/>
    <w:rsid w:val="00376C7D"/>
    <w:rsid w:val="00392EE4"/>
    <w:rsid w:val="003B3FE6"/>
    <w:rsid w:val="003C2640"/>
    <w:rsid w:val="00403809"/>
    <w:rsid w:val="00462882"/>
    <w:rsid w:val="00521715"/>
    <w:rsid w:val="005400B0"/>
    <w:rsid w:val="00552E68"/>
    <w:rsid w:val="00557A61"/>
    <w:rsid w:val="005A7CC0"/>
    <w:rsid w:val="00627E65"/>
    <w:rsid w:val="006B5086"/>
    <w:rsid w:val="006C042D"/>
    <w:rsid w:val="0071480B"/>
    <w:rsid w:val="00717754"/>
    <w:rsid w:val="007371A6"/>
    <w:rsid w:val="00753953"/>
    <w:rsid w:val="00756412"/>
    <w:rsid w:val="00764C4D"/>
    <w:rsid w:val="00764CE6"/>
    <w:rsid w:val="007A7B8E"/>
    <w:rsid w:val="007E52A6"/>
    <w:rsid w:val="00820116"/>
    <w:rsid w:val="0087171B"/>
    <w:rsid w:val="008A0102"/>
    <w:rsid w:val="008C6140"/>
    <w:rsid w:val="00912FD0"/>
    <w:rsid w:val="009D78D8"/>
    <w:rsid w:val="009E5575"/>
    <w:rsid w:val="009F121F"/>
    <w:rsid w:val="00A20794"/>
    <w:rsid w:val="00A54D34"/>
    <w:rsid w:val="00AC039D"/>
    <w:rsid w:val="00AE0AF4"/>
    <w:rsid w:val="00B70FAB"/>
    <w:rsid w:val="00BA28E9"/>
    <w:rsid w:val="00BB53F3"/>
    <w:rsid w:val="00C12ED4"/>
    <w:rsid w:val="00C91900"/>
    <w:rsid w:val="00CC7F8A"/>
    <w:rsid w:val="00CD1B4F"/>
    <w:rsid w:val="00CD6869"/>
    <w:rsid w:val="00D50F8B"/>
    <w:rsid w:val="00D82722"/>
    <w:rsid w:val="00DB4053"/>
    <w:rsid w:val="00DD6AD4"/>
    <w:rsid w:val="00E11012"/>
    <w:rsid w:val="00E67CA3"/>
    <w:rsid w:val="00E76C59"/>
    <w:rsid w:val="00E80AAE"/>
    <w:rsid w:val="00E92A64"/>
    <w:rsid w:val="00EB6947"/>
    <w:rsid w:val="00EB768A"/>
    <w:rsid w:val="00ED738B"/>
    <w:rsid w:val="00ED7EA3"/>
    <w:rsid w:val="00EF235C"/>
    <w:rsid w:val="00F26F06"/>
    <w:rsid w:val="00F43979"/>
    <w:rsid w:val="00F8306A"/>
    <w:rsid w:val="00FB5023"/>
    <w:rsid w:val="00FD1B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EE4"/>
  </w:style>
  <w:style w:type="paragraph" w:styleId="Heading4">
    <w:name w:val="heading 4"/>
    <w:basedOn w:val="BodyText"/>
    <w:next w:val="Normal"/>
    <w:link w:val="Heading4Char"/>
    <w:qFormat/>
    <w:rsid w:val="00E92A64"/>
    <w:pPr>
      <w:spacing w:after="0" w:line="360" w:lineRule="auto"/>
      <w:outlineLvl w:val="3"/>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rsid w:val="00E92A64"/>
    <w:pPr>
      <w:spacing w:after="0" w:line="240" w:lineRule="auto"/>
      <w:jc w:val="center"/>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semiHidden/>
    <w:rsid w:val="00E92A64"/>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2A64"/>
    <w:rPr>
      <w:rFonts w:ascii="Times New Roman" w:eastAsia="Times New Roman" w:hAnsi="Times New Roman" w:cs="Times New Roman"/>
      <w:sz w:val="24"/>
      <w:szCs w:val="20"/>
      <w:u w:val="single"/>
    </w:rPr>
  </w:style>
  <w:style w:type="paragraph" w:styleId="BodyText">
    <w:name w:val="Body Text"/>
    <w:basedOn w:val="Normal"/>
    <w:link w:val="BodyTextChar"/>
    <w:uiPriority w:val="99"/>
    <w:semiHidden/>
    <w:unhideWhenUsed/>
    <w:rsid w:val="00E92A64"/>
    <w:pPr>
      <w:spacing w:after="120"/>
    </w:pPr>
  </w:style>
  <w:style w:type="character" w:customStyle="1" w:styleId="BodyTextChar">
    <w:name w:val="Body Text Char"/>
    <w:basedOn w:val="DefaultParagraphFont"/>
    <w:link w:val="BodyText"/>
    <w:uiPriority w:val="99"/>
    <w:semiHidden/>
    <w:rsid w:val="00E92A64"/>
  </w:style>
  <w:style w:type="paragraph" w:styleId="ListParagraph">
    <w:name w:val="List Paragraph"/>
    <w:basedOn w:val="Normal"/>
    <w:uiPriority w:val="34"/>
    <w:qFormat/>
    <w:rsid w:val="00E92A64"/>
    <w:pPr>
      <w:ind w:left="720"/>
      <w:contextualSpacing/>
    </w:pPr>
  </w:style>
  <w:style w:type="paragraph" w:styleId="NoSpacing">
    <w:name w:val="No Spacing"/>
    <w:basedOn w:val="Normal"/>
    <w:uiPriority w:val="1"/>
    <w:qFormat/>
    <w:rsid w:val="00EF235C"/>
    <w:pPr>
      <w:autoSpaceDE w:val="0"/>
      <w:autoSpaceDN w:val="0"/>
      <w:adjustRightInd w:val="0"/>
      <w:spacing w:after="0" w:line="240" w:lineRule="auto"/>
    </w:pPr>
    <w:rPr>
      <w:rFonts w:cstheme="minorHAnsi"/>
      <w:color w:val="000000"/>
      <w:sz w:val="24"/>
      <w:szCs w:val="24"/>
    </w:rPr>
  </w:style>
  <w:style w:type="character" w:styleId="Hyperlink">
    <w:name w:val="Hyperlink"/>
    <w:basedOn w:val="DefaultParagraphFont"/>
    <w:uiPriority w:val="99"/>
    <w:unhideWhenUsed/>
    <w:rsid w:val="00DD6AD4"/>
    <w:rPr>
      <w:color w:val="006699"/>
      <w:u w:val="single"/>
    </w:rPr>
  </w:style>
  <w:style w:type="paragraph" w:styleId="BalloonText">
    <w:name w:val="Balloon Text"/>
    <w:basedOn w:val="Normal"/>
    <w:link w:val="BalloonTextChar"/>
    <w:uiPriority w:val="99"/>
    <w:semiHidden/>
    <w:unhideWhenUsed/>
    <w:rsid w:val="00DD6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A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84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tlhora6.dep.state.fl.us/onw/pilot.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10</Pages>
  <Words>4341</Words>
  <Characters>24745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29028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c:creator>
  <cp:keywords/>
  <dc:description/>
  <cp:lastModifiedBy>abendroth_j</cp:lastModifiedBy>
  <cp:revision>26</cp:revision>
  <cp:lastPrinted>2012-04-26T17:14:00Z</cp:lastPrinted>
  <dcterms:created xsi:type="dcterms:W3CDTF">2012-04-03T13:20:00Z</dcterms:created>
  <dcterms:modified xsi:type="dcterms:W3CDTF">2012-04-26T17:14:00Z</dcterms:modified>
</cp:coreProperties>
</file>