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935" w:rsidRDefault="00610935" w:rsidP="00610935">
      <w:pPr>
        <w:pStyle w:val="Heading1"/>
        <w:rPr>
          <w:rFonts w:ascii="Tahoma" w:hAnsi="Tahoma" w:cs="Tahoma"/>
          <w:sz w:val="22"/>
          <w:szCs w:val="22"/>
        </w:rPr>
      </w:pPr>
      <w:r>
        <w:rPr>
          <w:rFonts w:ascii="Tahoma" w:hAnsi="Tahoma" w:cs="Tahoma"/>
          <w:sz w:val="22"/>
          <w:szCs w:val="22"/>
        </w:rPr>
        <w:t>Trout River Basin Management Action Plan</w:t>
      </w:r>
    </w:p>
    <w:p w:rsidR="00610935" w:rsidRPr="00F17598" w:rsidRDefault="00610935" w:rsidP="00610935">
      <w:pPr>
        <w:pStyle w:val="Heading1"/>
        <w:rPr>
          <w:rFonts w:ascii="Tahoma" w:hAnsi="Tahoma" w:cs="Tahoma"/>
          <w:sz w:val="22"/>
          <w:szCs w:val="22"/>
        </w:rPr>
      </w:pPr>
      <w:r>
        <w:rPr>
          <w:rFonts w:ascii="Tahoma" w:hAnsi="Tahoma" w:cs="Tahoma"/>
          <w:sz w:val="22"/>
          <w:szCs w:val="22"/>
        </w:rPr>
        <w:t xml:space="preserve">Technical </w:t>
      </w:r>
      <w:r w:rsidRPr="00F17598">
        <w:rPr>
          <w:rFonts w:ascii="Tahoma" w:hAnsi="Tahoma" w:cs="Tahoma"/>
          <w:sz w:val="22"/>
          <w:szCs w:val="22"/>
        </w:rPr>
        <w:t>Meeting Summary</w:t>
      </w:r>
    </w:p>
    <w:p w:rsidR="00610935" w:rsidRPr="0074157A" w:rsidRDefault="00610935" w:rsidP="00610935">
      <w:pPr>
        <w:jc w:val="center"/>
        <w:rPr>
          <w:rFonts w:ascii="Tahoma" w:hAnsi="Tahoma" w:cs="Tahoma"/>
          <w:sz w:val="22"/>
        </w:rPr>
      </w:pPr>
      <w:r>
        <w:rPr>
          <w:rFonts w:ascii="Tahoma" w:hAnsi="Tahoma" w:cs="Tahoma"/>
          <w:sz w:val="22"/>
        </w:rPr>
        <w:t>Tuesday, October 25, 2011</w:t>
      </w:r>
    </w:p>
    <w:p w:rsidR="00610935" w:rsidRPr="0074157A" w:rsidRDefault="00610935" w:rsidP="00610935">
      <w:pPr>
        <w:jc w:val="center"/>
        <w:rPr>
          <w:rFonts w:ascii="Tahoma" w:hAnsi="Tahoma" w:cs="Tahoma"/>
          <w:sz w:val="22"/>
        </w:rPr>
      </w:pPr>
      <w:r>
        <w:rPr>
          <w:rFonts w:ascii="Tahoma" w:hAnsi="Tahoma" w:cs="Tahoma"/>
          <w:sz w:val="22"/>
        </w:rPr>
        <w:t>1:30 PM – 4:00 PM</w:t>
      </w:r>
    </w:p>
    <w:p w:rsidR="00610935" w:rsidRPr="00CF6D97" w:rsidRDefault="00610935" w:rsidP="00610935">
      <w:pPr>
        <w:jc w:val="center"/>
        <w:rPr>
          <w:rFonts w:ascii="Tahoma" w:eastAsia="Calibri" w:hAnsi="Tahoma" w:cs="Tahoma"/>
          <w:b/>
          <w:i/>
          <w:sz w:val="22"/>
          <w:szCs w:val="24"/>
        </w:rPr>
      </w:pPr>
      <w:r>
        <w:rPr>
          <w:rFonts w:ascii="Tahoma" w:eastAsia="Calibri" w:hAnsi="Tahoma" w:cs="Tahoma"/>
          <w:b/>
          <w:i/>
          <w:sz w:val="22"/>
          <w:szCs w:val="24"/>
        </w:rPr>
        <w:t>Florida Department of Environmental Protection – Northeast District Office</w:t>
      </w:r>
    </w:p>
    <w:p w:rsidR="00610935" w:rsidRPr="00CF6D97" w:rsidRDefault="00610935" w:rsidP="00610935">
      <w:pPr>
        <w:jc w:val="center"/>
        <w:rPr>
          <w:rFonts w:ascii="Tahoma" w:eastAsia="Calibri" w:hAnsi="Tahoma" w:cs="Tahoma"/>
          <w:b/>
          <w:i/>
          <w:sz w:val="22"/>
          <w:szCs w:val="24"/>
        </w:rPr>
      </w:pPr>
      <w:r>
        <w:rPr>
          <w:rFonts w:ascii="Tahoma" w:eastAsia="Calibri" w:hAnsi="Tahoma" w:cs="Tahoma"/>
          <w:b/>
          <w:i/>
          <w:sz w:val="22"/>
          <w:szCs w:val="24"/>
        </w:rPr>
        <w:t>Conference Rooms A and B</w:t>
      </w:r>
    </w:p>
    <w:p w:rsidR="00610935" w:rsidRPr="0074157A" w:rsidRDefault="00610935" w:rsidP="00610935">
      <w:pPr>
        <w:jc w:val="center"/>
        <w:rPr>
          <w:rFonts w:ascii="Tahoma" w:hAnsi="Tahoma" w:cs="Tahoma"/>
          <w:b/>
          <w:i/>
          <w:sz w:val="22"/>
        </w:rPr>
      </w:pPr>
      <w:r w:rsidRPr="0089478C">
        <w:rPr>
          <w:rFonts w:ascii="Tahoma" w:eastAsia="Calibri" w:hAnsi="Tahoma" w:cs="Tahoma"/>
          <w:b/>
          <w:i/>
          <w:sz w:val="22"/>
          <w:szCs w:val="24"/>
        </w:rPr>
        <w:t xml:space="preserve">7825 </w:t>
      </w:r>
      <w:proofErr w:type="spellStart"/>
      <w:r w:rsidRPr="0089478C">
        <w:rPr>
          <w:rFonts w:ascii="Tahoma" w:eastAsia="Calibri" w:hAnsi="Tahoma" w:cs="Tahoma"/>
          <w:b/>
          <w:i/>
          <w:sz w:val="22"/>
          <w:szCs w:val="24"/>
        </w:rPr>
        <w:t>Baymeadows</w:t>
      </w:r>
      <w:proofErr w:type="spellEnd"/>
      <w:r w:rsidRPr="0089478C">
        <w:rPr>
          <w:rFonts w:ascii="Tahoma" w:eastAsia="Calibri" w:hAnsi="Tahoma" w:cs="Tahoma"/>
          <w:b/>
          <w:i/>
          <w:sz w:val="22"/>
          <w:szCs w:val="24"/>
        </w:rPr>
        <w:t xml:space="preserve"> Way, Suite B200</w:t>
      </w:r>
      <w:r>
        <w:rPr>
          <w:rFonts w:ascii="Tahoma" w:eastAsia="Calibri" w:hAnsi="Tahoma" w:cs="Tahoma"/>
          <w:b/>
          <w:i/>
          <w:sz w:val="22"/>
          <w:szCs w:val="24"/>
        </w:rPr>
        <w:t>, J</w:t>
      </w:r>
      <w:r w:rsidRPr="0089478C">
        <w:rPr>
          <w:rFonts w:ascii="Tahoma" w:eastAsia="Calibri" w:hAnsi="Tahoma" w:cs="Tahoma"/>
          <w:b/>
          <w:i/>
          <w:sz w:val="22"/>
          <w:szCs w:val="24"/>
        </w:rPr>
        <w:t>acksonville, FL 32256</w:t>
      </w:r>
    </w:p>
    <w:p w:rsidR="00610935" w:rsidRDefault="00610935" w:rsidP="00610935">
      <w:pPr>
        <w:ind w:left="1440" w:hanging="1440"/>
        <w:jc w:val="both"/>
        <w:rPr>
          <w:rFonts w:ascii="Tahoma" w:hAnsi="Tahoma" w:cs="Tahoma"/>
          <w:b/>
          <w:sz w:val="22"/>
          <w:szCs w:val="22"/>
        </w:rPr>
      </w:pPr>
    </w:p>
    <w:p w:rsidR="00610935" w:rsidRPr="00F17598" w:rsidRDefault="00610935" w:rsidP="00610935">
      <w:pPr>
        <w:rPr>
          <w:rFonts w:ascii="Tahoma" w:hAnsi="Tahoma" w:cs="Tahoma"/>
          <w:b/>
          <w:sz w:val="22"/>
          <w:szCs w:val="22"/>
          <w:u w:val="single"/>
        </w:rPr>
      </w:pPr>
      <w:r w:rsidRPr="00F17598">
        <w:rPr>
          <w:rFonts w:ascii="Tahoma" w:hAnsi="Tahoma" w:cs="Tahoma"/>
          <w:b/>
          <w:sz w:val="22"/>
          <w:szCs w:val="22"/>
          <w:u w:val="single"/>
        </w:rPr>
        <w:t>Participants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816"/>
        <w:gridCol w:w="4071"/>
      </w:tblGrid>
      <w:tr w:rsidR="00610935" w:rsidRPr="00F17598" w:rsidTr="007D731C">
        <w:tc>
          <w:tcPr>
            <w:tcW w:w="3816" w:type="dxa"/>
          </w:tcPr>
          <w:p w:rsidR="00E5456E" w:rsidRDefault="00E5456E" w:rsidP="007D731C">
            <w:pPr>
              <w:jc w:val="both"/>
              <w:rPr>
                <w:rFonts w:ascii="Tahoma" w:hAnsi="Tahoma" w:cs="Tahoma"/>
                <w:sz w:val="22"/>
                <w:szCs w:val="22"/>
              </w:rPr>
            </w:pPr>
            <w:r>
              <w:rPr>
                <w:rFonts w:ascii="Tahoma" w:hAnsi="Tahoma" w:cs="Tahoma"/>
                <w:sz w:val="22"/>
                <w:szCs w:val="22"/>
              </w:rPr>
              <w:t>John Abendroth, FDEP</w:t>
            </w:r>
          </w:p>
          <w:p w:rsidR="00E5456E" w:rsidRDefault="00E5456E" w:rsidP="007D731C">
            <w:pPr>
              <w:jc w:val="both"/>
              <w:rPr>
                <w:rFonts w:ascii="Tahoma" w:hAnsi="Tahoma" w:cs="Tahoma"/>
                <w:sz w:val="22"/>
                <w:szCs w:val="22"/>
              </w:rPr>
            </w:pPr>
            <w:r>
              <w:rPr>
                <w:rFonts w:ascii="Tahoma" w:hAnsi="Tahoma" w:cs="Tahoma"/>
                <w:sz w:val="22"/>
                <w:szCs w:val="22"/>
              </w:rPr>
              <w:t>Errol Bos, ETM</w:t>
            </w:r>
          </w:p>
          <w:p w:rsidR="00E5456E" w:rsidRDefault="00E5456E" w:rsidP="007D731C">
            <w:pPr>
              <w:jc w:val="both"/>
              <w:rPr>
                <w:rFonts w:ascii="Tahoma" w:hAnsi="Tahoma" w:cs="Tahoma"/>
                <w:sz w:val="22"/>
                <w:szCs w:val="22"/>
              </w:rPr>
            </w:pPr>
            <w:r>
              <w:rPr>
                <w:rFonts w:ascii="Tahoma" w:hAnsi="Tahoma" w:cs="Tahoma"/>
                <w:sz w:val="22"/>
                <w:szCs w:val="22"/>
              </w:rPr>
              <w:t>Derek Busby, SJRWMD</w:t>
            </w:r>
          </w:p>
          <w:p w:rsidR="00610935" w:rsidRDefault="00610935" w:rsidP="007D731C">
            <w:pPr>
              <w:jc w:val="both"/>
              <w:rPr>
                <w:rFonts w:ascii="Tahoma" w:hAnsi="Tahoma" w:cs="Tahoma"/>
                <w:sz w:val="22"/>
                <w:szCs w:val="22"/>
              </w:rPr>
            </w:pPr>
            <w:r w:rsidRPr="00F17598">
              <w:rPr>
                <w:rFonts w:ascii="Tahoma" w:hAnsi="Tahoma" w:cs="Tahoma"/>
                <w:sz w:val="22"/>
                <w:szCs w:val="22"/>
              </w:rPr>
              <w:t>Tiffany Busby, Wildwood Consulting</w:t>
            </w:r>
          </w:p>
          <w:p w:rsidR="00610935" w:rsidRDefault="00610935" w:rsidP="007D731C">
            <w:pPr>
              <w:jc w:val="both"/>
              <w:rPr>
                <w:rFonts w:ascii="Tahoma" w:hAnsi="Tahoma" w:cs="Tahoma"/>
                <w:sz w:val="22"/>
                <w:szCs w:val="22"/>
              </w:rPr>
            </w:pPr>
            <w:r>
              <w:rPr>
                <w:rFonts w:ascii="Tahoma" w:hAnsi="Tahoma" w:cs="Tahoma"/>
                <w:sz w:val="22"/>
                <w:szCs w:val="22"/>
              </w:rPr>
              <w:t>Jocelyn Croci, FDOT</w:t>
            </w:r>
          </w:p>
          <w:p w:rsidR="00610935" w:rsidRDefault="00610935" w:rsidP="007D731C">
            <w:pPr>
              <w:jc w:val="both"/>
              <w:rPr>
                <w:rFonts w:ascii="Tahoma" w:hAnsi="Tahoma" w:cs="Tahoma"/>
                <w:sz w:val="22"/>
                <w:szCs w:val="22"/>
              </w:rPr>
            </w:pPr>
            <w:r>
              <w:rPr>
                <w:rFonts w:ascii="Tahoma" w:hAnsi="Tahoma" w:cs="Tahoma"/>
                <w:sz w:val="22"/>
                <w:szCs w:val="22"/>
              </w:rPr>
              <w:t>Betsy Deuerling, COJ</w:t>
            </w:r>
          </w:p>
          <w:p w:rsidR="00E5456E" w:rsidRDefault="00E5456E" w:rsidP="007D731C">
            <w:pPr>
              <w:jc w:val="both"/>
              <w:rPr>
                <w:rFonts w:ascii="Tahoma" w:hAnsi="Tahoma" w:cs="Tahoma"/>
                <w:sz w:val="22"/>
                <w:szCs w:val="22"/>
              </w:rPr>
            </w:pPr>
            <w:r>
              <w:rPr>
                <w:rFonts w:ascii="Tahoma" w:hAnsi="Tahoma" w:cs="Tahoma"/>
                <w:sz w:val="22"/>
                <w:szCs w:val="22"/>
              </w:rPr>
              <w:t>Katie Hallas, FDEP</w:t>
            </w:r>
          </w:p>
          <w:p w:rsidR="00610935" w:rsidRDefault="00610935" w:rsidP="007D731C">
            <w:pPr>
              <w:jc w:val="both"/>
              <w:rPr>
                <w:rFonts w:ascii="Tahoma" w:hAnsi="Tahoma" w:cs="Tahoma"/>
                <w:sz w:val="22"/>
                <w:szCs w:val="22"/>
              </w:rPr>
            </w:pPr>
            <w:r>
              <w:rPr>
                <w:rFonts w:ascii="Tahoma" w:hAnsi="Tahoma" w:cs="Tahoma"/>
                <w:sz w:val="22"/>
                <w:szCs w:val="22"/>
              </w:rPr>
              <w:t>Janet Hearn, ATM</w:t>
            </w:r>
          </w:p>
          <w:p w:rsidR="00E5456E" w:rsidRDefault="00E5456E" w:rsidP="007D731C">
            <w:pPr>
              <w:jc w:val="both"/>
              <w:rPr>
                <w:rFonts w:ascii="Tahoma" w:hAnsi="Tahoma" w:cs="Tahoma"/>
                <w:sz w:val="22"/>
                <w:szCs w:val="22"/>
              </w:rPr>
            </w:pPr>
            <w:r>
              <w:rPr>
                <w:rFonts w:ascii="Tahoma" w:hAnsi="Tahoma" w:cs="Tahoma"/>
                <w:sz w:val="22"/>
                <w:szCs w:val="22"/>
              </w:rPr>
              <w:t>Tom Kallemeyn, FDEP</w:t>
            </w:r>
          </w:p>
          <w:p w:rsidR="00610935" w:rsidRDefault="00610935" w:rsidP="007D731C">
            <w:pPr>
              <w:jc w:val="both"/>
              <w:rPr>
                <w:rFonts w:ascii="Tahoma" w:hAnsi="Tahoma" w:cs="Tahoma"/>
                <w:sz w:val="22"/>
                <w:szCs w:val="22"/>
              </w:rPr>
            </w:pPr>
            <w:r>
              <w:rPr>
                <w:rFonts w:ascii="Tahoma" w:hAnsi="Tahoma" w:cs="Tahoma"/>
                <w:sz w:val="22"/>
                <w:szCs w:val="22"/>
              </w:rPr>
              <w:t>Karen Kohoutek-Luckin, FDOT</w:t>
            </w:r>
          </w:p>
          <w:p w:rsidR="00610935" w:rsidRPr="00F17598" w:rsidRDefault="00E5456E" w:rsidP="007D731C">
            <w:pPr>
              <w:jc w:val="both"/>
              <w:rPr>
                <w:rFonts w:ascii="Tahoma" w:hAnsi="Tahoma" w:cs="Tahoma"/>
                <w:sz w:val="22"/>
                <w:szCs w:val="22"/>
              </w:rPr>
            </w:pPr>
            <w:r>
              <w:rPr>
                <w:rFonts w:ascii="Tahoma" w:hAnsi="Tahoma" w:cs="Tahoma"/>
                <w:sz w:val="22"/>
                <w:szCs w:val="22"/>
              </w:rPr>
              <w:t>Mark Kuhn, FDOT</w:t>
            </w:r>
          </w:p>
        </w:tc>
        <w:tc>
          <w:tcPr>
            <w:tcW w:w="4071" w:type="dxa"/>
          </w:tcPr>
          <w:p w:rsidR="00E5456E" w:rsidRDefault="00E5456E" w:rsidP="00E5456E">
            <w:pPr>
              <w:jc w:val="both"/>
              <w:rPr>
                <w:rFonts w:ascii="Tahoma" w:hAnsi="Tahoma" w:cs="Tahoma"/>
                <w:sz w:val="22"/>
                <w:szCs w:val="22"/>
              </w:rPr>
            </w:pPr>
            <w:r>
              <w:rPr>
                <w:rFonts w:ascii="Tahoma" w:hAnsi="Tahoma" w:cs="Tahoma"/>
                <w:sz w:val="22"/>
                <w:szCs w:val="22"/>
              </w:rPr>
              <w:t>Tom Mallet, COJ</w:t>
            </w:r>
          </w:p>
          <w:p w:rsidR="00E5456E" w:rsidRDefault="00E5456E" w:rsidP="00E5456E">
            <w:pPr>
              <w:jc w:val="both"/>
              <w:rPr>
                <w:rFonts w:ascii="Tahoma" w:hAnsi="Tahoma" w:cs="Tahoma"/>
                <w:sz w:val="22"/>
                <w:szCs w:val="22"/>
              </w:rPr>
            </w:pPr>
            <w:r>
              <w:rPr>
                <w:rFonts w:ascii="Tahoma" w:hAnsi="Tahoma" w:cs="Tahoma"/>
                <w:sz w:val="22"/>
                <w:szCs w:val="22"/>
              </w:rPr>
              <w:t xml:space="preserve">Dana Morton, COJ </w:t>
            </w:r>
          </w:p>
          <w:p w:rsidR="00610935" w:rsidRDefault="00610935" w:rsidP="00E5456E">
            <w:pPr>
              <w:jc w:val="both"/>
              <w:rPr>
                <w:rFonts w:ascii="Tahoma" w:hAnsi="Tahoma" w:cs="Tahoma"/>
                <w:sz w:val="22"/>
                <w:szCs w:val="22"/>
              </w:rPr>
            </w:pPr>
            <w:r>
              <w:rPr>
                <w:rFonts w:ascii="Tahoma" w:hAnsi="Tahoma" w:cs="Tahoma"/>
                <w:sz w:val="22"/>
                <w:szCs w:val="22"/>
              </w:rPr>
              <w:t>Alan Obaigbena, FDOT</w:t>
            </w:r>
          </w:p>
          <w:p w:rsidR="00E5456E" w:rsidRDefault="00E5456E" w:rsidP="007D731C">
            <w:pPr>
              <w:jc w:val="both"/>
              <w:rPr>
                <w:rFonts w:ascii="Tahoma" w:hAnsi="Tahoma" w:cs="Tahoma"/>
                <w:sz w:val="22"/>
                <w:szCs w:val="22"/>
              </w:rPr>
            </w:pPr>
            <w:r>
              <w:rPr>
                <w:rFonts w:ascii="Tahoma" w:hAnsi="Tahoma" w:cs="Tahoma"/>
                <w:sz w:val="22"/>
                <w:szCs w:val="22"/>
              </w:rPr>
              <w:t>John Pappas, COJ</w:t>
            </w:r>
          </w:p>
          <w:p w:rsidR="00610935" w:rsidRDefault="00610935" w:rsidP="007D731C">
            <w:pPr>
              <w:jc w:val="both"/>
              <w:rPr>
                <w:rFonts w:ascii="Tahoma" w:hAnsi="Tahoma" w:cs="Tahoma"/>
                <w:sz w:val="22"/>
                <w:szCs w:val="22"/>
              </w:rPr>
            </w:pPr>
            <w:r>
              <w:rPr>
                <w:rFonts w:ascii="Tahoma" w:hAnsi="Tahoma" w:cs="Tahoma"/>
                <w:sz w:val="22"/>
                <w:szCs w:val="22"/>
              </w:rPr>
              <w:t>Sharon Piltz, FDEP</w:t>
            </w:r>
          </w:p>
          <w:p w:rsidR="00610935" w:rsidRDefault="00610935" w:rsidP="007D731C">
            <w:pPr>
              <w:jc w:val="both"/>
              <w:rPr>
                <w:rFonts w:ascii="Tahoma" w:hAnsi="Tahoma" w:cs="Tahoma"/>
                <w:sz w:val="22"/>
                <w:szCs w:val="22"/>
              </w:rPr>
            </w:pPr>
            <w:r w:rsidRPr="00F17598">
              <w:rPr>
                <w:rFonts w:ascii="Tahoma" w:hAnsi="Tahoma" w:cs="Tahoma"/>
                <w:sz w:val="22"/>
                <w:szCs w:val="22"/>
              </w:rPr>
              <w:t>Marcy Policastro, Wildwood Consulting</w:t>
            </w:r>
          </w:p>
          <w:p w:rsidR="00E5456E" w:rsidRDefault="00E5456E" w:rsidP="007D731C">
            <w:pPr>
              <w:jc w:val="both"/>
              <w:rPr>
                <w:rFonts w:ascii="Tahoma" w:hAnsi="Tahoma" w:cs="Tahoma"/>
                <w:sz w:val="22"/>
                <w:szCs w:val="22"/>
              </w:rPr>
            </w:pPr>
            <w:r>
              <w:rPr>
                <w:rFonts w:ascii="Tahoma" w:hAnsi="Tahoma" w:cs="Tahoma"/>
                <w:sz w:val="22"/>
                <w:szCs w:val="22"/>
              </w:rPr>
              <w:t>Geoff Sample, SJRWMD</w:t>
            </w:r>
          </w:p>
          <w:p w:rsidR="00E5456E" w:rsidRDefault="00E5456E" w:rsidP="007D731C">
            <w:pPr>
              <w:jc w:val="both"/>
              <w:rPr>
                <w:rFonts w:ascii="Tahoma" w:hAnsi="Tahoma" w:cs="Tahoma"/>
                <w:sz w:val="22"/>
                <w:szCs w:val="22"/>
              </w:rPr>
            </w:pPr>
            <w:r>
              <w:rPr>
                <w:rFonts w:ascii="Tahoma" w:hAnsi="Tahoma" w:cs="Tahoma"/>
                <w:sz w:val="22"/>
                <w:szCs w:val="22"/>
              </w:rPr>
              <w:t>Vince Seibold, COJ</w:t>
            </w:r>
          </w:p>
          <w:p w:rsidR="00610935" w:rsidRDefault="00610935" w:rsidP="007D731C">
            <w:pPr>
              <w:jc w:val="both"/>
              <w:rPr>
                <w:rFonts w:ascii="Tahoma" w:hAnsi="Tahoma" w:cs="Tahoma"/>
                <w:sz w:val="22"/>
                <w:szCs w:val="22"/>
              </w:rPr>
            </w:pPr>
            <w:r>
              <w:rPr>
                <w:rFonts w:ascii="Tahoma" w:hAnsi="Tahoma" w:cs="Tahoma"/>
                <w:sz w:val="22"/>
                <w:szCs w:val="22"/>
              </w:rPr>
              <w:t>Lisa Sterling, CDM</w:t>
            </w:r>
          </w:p>
          <w:p w:rsidR="00610935" w:rsidRDefault="00610935" w:rsidP="007D731C">
            <w:pPr>
              <w:jc w:val="both"/>
              <w:rPr>
                <w:rFonts w:ascii="Tahoma" w:hAnsi="Tahoma" w:cs="Tahoma"/>
                <w:sz w:val="22"/>
                <w:szCs w:val="22"/>
              </w:rPr>
            </w:pPr>
            <w:r>
              <w:rPr>
                <w:rFonts w:ascii="Tahoma" w:hAnsi="Tahoma" w:cs="Tahoma"/>
                <w:sz w:val="22"/>
                <w:szCs w:val="22"/>
              </w:rPr>
              <w:t>Amy Tracy, ETM</w:t>
            </w:r>
          </w:p>
          <w:p w:rsidR="00610935" w:rsidRPr="00F17598" w:rsidRDefault="00610935" w:rsidP="007D731C">
            <w:pPr>
              <w:jc w:val="both"/>
              <w:rPr>
                <w:rFonts w:ascii="Tahoma" w:hAnsi="Tahoma" w:cs="Tahoma"/>
                <w:sz w:val="22"/>
                <w:szCs w:val="22"/>
              </w:rPr>
            </w:pPr>
            <w:r>
              <w:rPr>
                <w:rFonts w:ascii="Tahoma" w:hAnsi="Tahoma" w:cs="Tahoma"/>
                <w:sz w:val="22"/>
                <w:szCs w:val="22"/>
              </w:rPr>
              <w:t>Gary Weise, COJ</w:t>
            </w:r>
          </w:p>
        </w:tc>
      </w:tr>
    </w:tbl>
    <w:p w:rsidR="00610935" w:rsidRDefault="00610935" w:rsidP="00610935">
      <w:pPr>
        <w:ind w:left="1440" w:hanging="1440"/>
        <w:jc w:val="both"/>
        <w:rPr>
          <w:rFonts w:ascii="Tahoma" w:hAnsi="Tahoma" w:cs="Tahoma"/>
          <w:b/>
          <w:sz w:val="22"/>
          <w:szCs w:val="22"/>
        </w:rPr>
      </w:pPr>
    </w:p>
    <w:p w:rsidR="00610935" w:rsidRPr="007D4D9D" w:rsidRDefault="00610935" w:rsidP="00610935">
      <w:pPr>
        <w:jc w:val="both"/>
        <w:rPr>
          <w:rFonts w:ascii="Tahoma" w:hAnsi="Tahoma"/>
          <w:b/>
          <w:sz w:val="22"/>
          <w:szCs w:val="22"/>
        </w:rPr>
      </w:pPr>
      <w:r w:rsidRPr="007D4D9D">
        <w:rPr>
          <w:rFonts w:ascii="Tahoma" w:hAnsi="Tahoma"/>
          <w:b/>
          <w:sz w:val="22"/>
          <w:szCs w:val="22"/>
        </w:rPr>
        <w:t>Action Items</w:t>
      </w:r>
    </w:p>
    <w:p w:rsidR="00610935" w:rsidRDefault="00610935" w:rsidP="00610935">
      <w:pPr>
        <w:numPr>
          <w:ilvl w:val="0"/>
          <w:numId w:val="35"/>
        </w:numPr>
        <w:jc w:val="both"/>
        <w:rPr>
          <w:rFonts w:ascii="Tahoma" w:hAnsi="Tahoma"/>
          <w:sz w:val="22"/>
          <w:szCs w:val="22"/>
        </w:rPr>
      </w:pPr>
      <w:r>
        <w:rPr>
          <w:rFonts w:ascii="Tahoma" w:hAnsi="Tahoma"/>
          <w:sz w:val="22"/>
          <w:szCs w:val="22"/>
        </w:rPr>
        <w:t>Jody</w:t>
      </w:r>
      <w:r w:rsidR="00E5456E">
        <w:rPr>
          <w:rFonts w:ascii="Tahoma" w:hAnsi="Tahoma"/>
          <w:sz w:val="22"/>
          <w:szCs w:val="22"/>
        </w:rPr>
        <w:t xml:space="preserve"> Lee</w:t>
      </w:r>
      <w:r>
        <w:rPr>
          <w:rFonts w:ascii="Tahoma" w:hAnsi="Tahoma"/>
          <w:sz w:val="22"/>
          <w:szCs w:val="22"/>
        </w:rPr>
        <w:t xml:space="preserve"> will follow up on the property near the Upper Trout River northwestern branch to find out what activities are happening on site and what the past operations were.</w:t>
      </w:r>
    </w:p>
    <w:p w:rsidR="00D1267B" w:rsidRDefault="00D1267B" w:rsidP="00D1267B">
      <w:pPr>
        <w:numPr>
          <w:ilvl w:val="0"/>
          <w:numId w:val="35"/>
        </w:numPr>
        <w:jc w:val="both"/>
        <w:rPr>
          <w:rFonts w:ascii="Tahoma" w:hAnsi="Tahoma"/>
          <w:sz w:val="22"/>
          <w:szCs w:val="22"/>
        </w:rPr>
      </w:pPr>
      <w:r>
        <w:rPr>
          <w:rFonts w:ascii="Tahoma" w:hAnsi="Tahoma"/>
          <w:sz w:val="22"/>
          <w:szCs w:val="22"/>
        </w:rPr>
        <w:t xml:space="preserve">Jody will check the site at the southern branch at Garden Street to determine if there are any agricultural uses.  </w:t>
      </w:r>
    </w:p>
    <w:p w:rsidR="00D1267B" w:rsidRDefault="00D1267B" w:rsidP="00D1267B">
      <w:pPr>
        <w:numPr>
          <w:ilvl w:val="0"/>
          <w:numId w:val="35"/>
        </w:numPr>
        <w:jc w:val="both"/>
        <w:rPr>
          <w:rFonts w:ascii="Tahoma" w:hAnsi="Tahoma"/>
          <w:sz w:val="22"/>
          <w:szCs w:val="22"/>
        </w:rPr>
      </w:pPr>
      <w:r>
        <w:rPr>
          <w:rFonts w:ascii="Tahoma" w:hAnsi="Tahoma"/>
          <w:sz w:val="22"/>
          <w:szCs w:val="22"/>
        </w:rPr>
        <w:t>Jody will determine what equestrian uses are located on the site near Gulley Branch.</w:t>
      </w:r>
    </w:p>
    <w:p w:rsidR="00EF043E" w:rsidRDefault="00EF043E" w:rsidP="00D1267B">
      <w:pPr>
        <w:numPr>
          <w:ilvl w:val="0"/>
          <w:numId w:val="35"/>
        </w:numPr>
        <w:jc w:val="both"/>
        <w:rPr>
          <w:rFonts w:ascii="Tahoma" w:hAnsi="Tahoma"/>
          <w:sz w:val="22"/>
          <w:szCs w:val="22"/>
        </w:rPr>
      </w:pPr>
      <w:r>
        <w:rPr>
          <w:rFonts w:ascii="Tahoma" w:hAnsi="Tahoma"/>
          <w:sz w:val="22"/>
          <w:szCs w:val="22"/>
        </w:rPr>
        <w:t>Kati</w:t>
      </w:r>
      <w:r w:rsidR="0020511C">
        <w:rPr>
          <w:rFonts w:ascii="Tahoma" w:hAnsi="Tahoma"/>
          <w:sz w:val="22"/>
          <w:szCs w:val="22"/>
        </w:rPr>
        <w:t>e Hallas will talk with Jody</w:t>
      </w:r>
      <w:r>
        <w:rPr>
          <w:rFonts w:ascii="Tahoma" w:hAnsi="Tahoma"/>
          <w:sz w:val="22"/>
          <w:szCs w:val="22"/>
        </w:rPr>
        <w:t xml:space="preserve"> about the correlation of land use changes versus nutrients over time within the basin.</w:t>
      </w:r>
    </w:p>
    <w:p w:rsidR="00EF043E" w:rsidRDefault="00EF043E" w:rsidP="00D1267B">
      <w:pPr>
        <w:numPr>
          <w:ilvl w:val="0"/>
          <w:numId w:val="35"/>
        </w:numPr>
        <w:jc w:val="both"/>
        <w:rPr>
          <w:rFonts w:ascii="Tahoma" w:hAnsi="Tahoma"/>
          <w:sz w:val="22"/>
          <w:szCs w:val="22"/>
        </w:rPr>
      </w:pPr>
      <w:r>
        <w:rPr>
          <w:rFonts w:ascii="Tahoma" w:hAnsi="Tahoma"/>
          <w:sz w:val="22"/>
          <w:szCs w:val="22"/>
        </w:rPr>
        <w:t>Ka</w:t>
      </w:r>
      <w:r w:rsidR="0020511C">
        <w:rPr>
          <w:rFonts w:ascii="Tahoma" w:hAnsi="Tahoma"/>
          <w:sz w:val="22"/>
          <w:szCs w:val="22"/>
        </w:rPr>
        <w:t>tie</w:t>
      </w:r>
      <w:r>
        <w:rPr>
          <w:rFonts w:ascii="Tahoma" w:hAnsi="Tahoma"/>
          <w:sz w:val="22"/>
          <w:szCs w:val="22"/>
        </w:rPr>
        <w:t xml:space="preserve"> will follow up with Pat O’Connor </w:t>
      </w:r>
      <w:r w:rsidR="00793D57">
        <w:rPr>
          <w:rFonts w:ascii="Tahoma" w:hAnsi="Tahoma"/>
          <w:sz w:val="22"/>
          <w:szCs w:val="22"/>
        </w:rPr>
        <w:t>(</w:t>
      </w:r>
      <w:r>
        <w:rPr>
          <w:rFonts w:ascii="Tahoma" w:hAnsi="Tahoma"/>
          <w:sz w:val="22"/>
          <w:szCs w:val="22"/>
        </w:rPr>
        <w:t>FDEP</w:t>
      </w:r>
      <w:r w:rsidR="00793D57">
        <w:rPr>
          <w:rFonts w:ascii="Tahoma" w:hAnsi="Tahoma"/>
          <w:sz w:val="22"/>
          <w:szCs w:val="22"/>
        </w:rPr>
        <w:t xml:space="preserve"> </w:t>
      </w:r>
      <w:r>
        <w:rPr>
          <w:rFonts w:ascii="Tahoma" w:hAnsi="Tahoma"/>
          <w:sz w:val="22"/>
          <w:szCs w:val="22"/>
        </w:rPr>
        <w:t>NED</w:t>
      </w:r>
      <w:r w:rsidR="00793D57">
        <w:rPr>
          <w:rFonts w:ascii="Tahoma" w:hAnsi="Tahoma"/>
          <w:sz w:val="22"/>
          <w:szCs w:val="22"/>
        </w:rPr>
        <w:t>)</w:t>
      </w:r>
      <w:r>
        <w:rPr>
          <w:rFonts w:ascii="Tahoma" w:hAnsi="Tahoma"/>
          <w:sz w:val="22"/>
          <w:szCs w:val="22"/>
        </w:rPr>
        <w:t xml:space="preserve"> to talk about the habitat assessment.</w:t>
      </w:r>
    </w:p>
    <w:p w:rsidR="00610935" w:rsidRDefault="00610935" w:rsidP="00610935">
      <w:pPr>
        <w:numPr>
          <w:ilvl w:val="0"/>
          <w:numId w:val="35"/>
        </w:numPr>
        <w:jc w:val="both"/>
        <w:rPr>
          <w:rFonts w:ascii="Tahoma" w:hAnsi="Tahoma"/>
          <w:sz w:val="22"/>
          <w:szCs w:val="22"/>
        </w:rPr>
      </w:pPr>
      <w:r>
        <w:rPr>
          <w:rFonts w:ascii="Tahoma" w:hAnsi="Tahoma"/>
          <w:sz w:val="22"/>
          <w:szCs w:val="22"/>
        </w:rPr>
        <w:t>Katie will contact the Division of Forestry to find out about gaining access to Cary State Forest to investigate the Middle Trout River headwaters.</w:t>
      </w:r>
    </w:p>
    <w:p w:rsidR="00AB1E70" w:rsidRDefault="00AB1E70" w:rsidP="00610935">
      <w:pPr>
        <w:numPr>
          <w:ilvl w:val="0"/>
          <w:numId w:val="35"/>
        </w:numPr>
        <w:jc w:val="both"/>
        <w:rPr>
          <w:rFonts w:ascii="Tahoma" w:hAnsi="Tahoma"/>
          <w:sz w:val="22"/>
          <w:szCs w:val="22"/>
        </w:rPr>
      </w:pPr>
      <w:r>
        <w:rPr>
          <w:rFonts w:ascii="Tahoma" w:hAnsi="Tahoma"/>
          <w:sz w:val="22"/>
          <w:szCs w:val="22"/>
        </w:rPr>
        <w:t>FDEP will set up a call with COJ and Julie Espy to determine what information would be needed to delist Little Trout River as impaired.</w:t>
      </w:r>
    </w:p>
    <w:p w:rsidR="007D731C" w:rsidRDefault="007D731C" w:rsidP="00610935">
      <w:pPr>
        <w:numPr>
          <w:ilvl w:val="0"/>
          <w:numId w:val="35"/>
        </w:numPr>
        <w:jc w:val="both"/>
        <w:rPr>
          <w:rFonts w:ascii="Tahoma" w:hAnsi="Tahoma"/>
          <w:sz w:val="22"/>
          <w:szCs w:val="22"/>
        </w:rPr>
      </w:pPr>
      <w:r>
        <w:rPr>
          <w:rFonts w:ascii="Tahoma" w:hAnsi="Tahoma"/>
          <w:sz w:val="22"/>
          <w:szCs w:val="22"/>
        </w:rPr>
        <w:t>FDEP will look into the septic tank estimates for the basin</w:t>
      </w:r>
      <w:r w:rsidR="00EF043E">
        <w:rPr>
          <w:rFonts w:ascii="Tahoma" w:hAnsi="Tahoma"/>
          <w:sz w:val="22"/>
          <w:szCs w:val="22"/>
        </w:rPr>
        <w:t xml:space="preserve"> that were used in the TMDL</w:t>
      </w:r>
      <w:r>
        <w:rPr>
          <w:rFonts w:ascii="Tahoma" w:hAnsi="Tahoma"/>
          <w:sz w:val="22"/>
          <w:szCs w:val="22"/>
        </w:rPr>
        <w:t>.</w:t>
      </w:r>
    </w:p>
    <w:p w:rsidR="007D731C" w:rsidRDefault="007D731C" w:rsidP="00610935">
      <w:pPr>
        <w:numPr>
          <w:ilvl w:val="0"/>
          <w:numId w:val="35"/>
        </w:numPr>
        <w:jc w:val="both"/>
        <w:rPr>
          <w:rFonts w:ascii="Tahoma" w:hAnsi="Tahoma"/>
          <w:sz w:val="22"/>
          <w:szCs w:val="22"/>
        </w:rPr>
      </w:pPr>
      <w:r>
        <w:rPr>
          <w:rFonts w:ascii="Tahoma" w:hAnsi="Tahoma"/>
          <w:sz w:val="22"/>
          <w:szCs w:val="22"/>
        </w:rPr>
        <w:t>FDEP will talk with FDACS about potential legacy loads from past dairies.</w:t>
      </w:r>
    </w:p>
    <w:p w:rsidR="0020511C" w:rsidRPr="0020511C" w:rsidRDefault="00C872F4" w:rsidP="0020511C">
      <w:pPr>
        <w:numPr>
          <w:ilvl w:val="0"/>
          <w:numId w:val="35"/>
        </w:numPr>
        <w:jc w:val="both"/>
        <w:rPr>
          <w:rFonts w:ascii="Tahoma" w:hAnsi="Tahoma"/>
          <w:sz w:val="22"/>
          <w:szCs w:val="22"/>
        </w:rPr>
      </w:pPr>
      <w:r>
        <w:rPr>
          <w:rFonts w:ascii="Tahoma" w:hAnsi="Tahoma"/>
          <w:sz w:val="22"/>
          <w:szCs w:val="22"/>
        </w:rPr>
        <w:t>The stakeholders will provide additional project information to Marcy Policastro by November 14</w:t>
      </w:r>
      <w:r w:rsidRPr="00C872F4">
        <w:rPr>
          <w:rFonts w:ascii="Tahoma" w:hAnsi="Tahoma"/>
          <w:sz w:val="22"/>
          <w:szCs w:val="22"/>
          <w:vertAlign w:val="superscript"/>
        </w:rPr>
        <w:t>th</w:t>
      </w:r>
      <w:r w:rsidR="00793D57">
        <w:rPr>
          <w:rFonts w:ascii="Tahoma" w:hAnsi="Tahoma"/>
          <w:sz w:val="22"/>
          <w:szCs w:val="22"/>
        </w:rPr>
        <w:t xml:space="preserve"> (</w:t>
      </w:r>
      <w:r w:rsidR="0020511C">
        <w:rPr>
          <w:rFonts w:ascii="Tahoma" w:hAnsi="Tahoma"/>
          <w:sz w:val="22"/>
          <w:szCs w:val="22"/>
        </w:rPr>
        <w:t xml:space="preserve">e.g., </w:t>
      </w:r>
      <w:r w:rsidR="0020511C" w:rsidRPr="0020511C">
        <w:rPr>
          <w:rFonts w:ascii="Tahoma" w:hAnsi="Tahoma"/>
          <w:sz w:val="22"/>
          <w:szCs w:val="22"/>
        </w:rPr>
        <w:t xml:space="preserve">FDOT will provide </w:t>
      </w:r>
      <w:r w:rsidR="0020511C">
        <w:rPr>
          <w:rFonts w:ascii="Tahoma" w:hAnsi="Tahoma"/>
          <w:sz w:val="22"/>
          <w:szCs w:val="22"/>
        </w:rPr>
        <w:t>information for</w:t>
      </w:r>
      <w:r w:rsidR="0020511C" w:rsidRPr="0020511C">
        <w:rPr>
          <w:rFonts w:ascii="Tahoma" w:hAnsi="Tahoma"/>
          <w:sz w:val="22"/>
          <w:szCs w:val="22"/>
        </w:rPr>
        <w:t xml:space="preserve"> street sweeping calculations</w:t>
      </w:r>
      <w:r w:rsidR="0020511C">
        <w:rPr>
          <w:rFonts w:ascii="Tahoma" w:hAnsi="Tahoma"/>
          <w:sz w:val="22"/>
          <w:szCs w:val="22"/>
        </w:rPr>
        <w:t xml:space="preserve"> and COJ will provide further information pertaining to the alternatives from</w:t>
      </w:r>
      <w:r w:rsidR="008D30C5">
        <w:rPr>
          <w:rFonts w:ascii="Tahoma" w:hAnsi="Tahoma"/>
          <w:sz w:val="22"/>
          <w:szCs w:val="22"/>
        </w:rPr>
        <w:t xml:space="preserve"> the master p</w:t>
      </w:r>
      <w:r w:rsidR="0020511C">
        <w:rPr>
          <w:rFonts w:ascii="Tahoma" w:hAnsi="Tahoma"/>
          <w:sz w:val="22"/>
          <w:szCs w:val="22"/>
        </w:rPr>
        <w:t>lan</w:t>
      </w:r>
      <w:r w:rsidR="00793D57">
        <w:rPr>
          <w:rFonts w:ascii="Tahoma" w:hAnsi="Tahoma"/>
          <w:sz w:val="22"/>
          <w:szCs w:val="22"/>
        </w:rPr>
        <w:t>)</w:t>
      </w:r>
      <w:r w:rsidR="0020511C" w:rsidRPr="0020511C">
        <w:rPr>
          <w:rFonts w:ascii="Tahoma" w:hAnsi="Tahoma"/>
          <w:sz w:val="22"/>
          <w:szCs w:val="22"/>
        </w:rPr>
        <w:t>.</w:t>
      </w:r>
    </w:p>
    <w:p w:rsidR="0019194B" w:rsidRDefault="0019194B" w:rsidP="00610935">
      <w:pPr>
        <w:numPr>
          <w:ilvl w:val="0"/>
          <w:numId w:val="35"/>
        </w:numPr>
        <w:jc w:val="both"/>
        <w:rPr>
          <w:rFonts w:ascii="Tahoma" w:hAnsi="Tahoma"/>
          <w:sz w:val="22"/>
          <w:szCs w:val="22"/>
        </w:rPr>
      </w:pPr>
      <w:r>
        <w:rPr>
          <w:rFonts w:ascii="Tahoma" w:hAnsi="Tahoma"/>
          <w:sz w:val="22"/>
          <w:szCs w:val="22"/>
        </w:rPr>
        <w:t>Katie will prepare trend analyses for TN, TP, DO, and BOD in the basin.</w:t>
      </w:r>
    </w:p>
    <w:p w:rsidR="00B63C18" w:rsidRDefault="00B63C18" w:rsidP="00610935">
      <w:pPr>
        <w:numPr>
          <w:ilvl w:val="0"/>
          <w:numId w:val="35"/>
        </w:numPr>
        <w:jc w:val="both"/>
        <w:rPr>
          <w:rFonts w:ascii="Tahoma" w:hAnsi="Tahoma"/>
          <w:sz w:val="22"/>
          <w:szCs w:val="22"/>
        </w:rPr>
      </w:pPr>
      <w:r>
        <w:rPr>
          <w:rFonts w:ascii="Tahoma" w:hAnsi="Tahoma"/>
          <w:sz w:val="22"/>
          <w:szCs w:val="22"/>
        </w:rPr>
        <w:t>Katie will look at the dates samples were collected at sites located in the same area to see if data were collected at different times.</w:t>
      </w:r>
    </w:p>
    <w:p w:rsidR="00D1267B" w:rsidRDefault="00D1267B" w:rsidP="00610935">
      <w:pPr>
        <w:numPr>
          <w:ilvl w:val="0"/>
          <w:numId w:val="35"/>
        </w:numPr>
        <w:jc w:val="both"/>
        <w:rPr>
          <w:rFonts w:ascii="Tahoma" w:hAnsi="Tahoma"/>
          <w:sz w:val="22"/>
          <w:szCs w:val="22"/>
        </w:rPr>
      </w:pPr>
      <w:r>
        <w:rPr>
          <w:rFonts w:ascii="Tahoma" w:hAnsi="Tahoma"/>
          <w:sz w:val="22"/>
          <w:szCs w:val="22"/>
        </w:rPr>
        <w:t xml:space="preserve">The stakeholders will provide Katie </w:t>
      </w:r>
      <w:r w:rsidR="00EF043E">
        <w:rPr>
          <w:rFonts w:ascii="Tahoma" w:hAnsi="Tahoma"/>
          <w:sz w:val="22"/>
          <w:szCs w:val="22"/>
        </w:rPr>
        <w:t xml:space="preserve">with </w:t>
      </w:r>
      <w:r>
        <w:rPr>
          <w:rFonts w:ascii="Tahoma" w:hAnsi="Tahoma"/>
          <w:sz w:val="22"/>
          <w:szCs w:val="22"/>
        </w:rPr>
        <w:t>feedback on the monitoring table by November 14</w:t>
      </w:r>
      <w:r w:rsidRPr="00D1267B">
        <w:rPr>
          <w:rFonts w:ascii="Tahoma" w:hAnsi="Tahoma"/>
          <w:sz w:val="22"/>
          <w:szCs w:val="22"/>
          <w:vertAlign w:val="superscript"/>
        </w:rPr>
        <w:t>th</w:t>
      </w:r>
      <w:r>
        <w:rPr>
          <w:rFonts w:ascii="Tahoma" w:hAnsi="Tahoma"/>
          <w:sz w:val="22"/>
          <w:szCs w:val="22"/>
        </w:rPr>
        <w:t xml:space="preserve">. </w:t>
      </w:r>
    </w:p>
    <w:p w:rsidR="00D1267B" w:rsidRDefault="00D1267B" w:rsidP="00610935">
      <w:pPr>
        <w:numPr>
          <w:ilvl w:val="0"/>
          <w:numId w:val="35"/>
        </w:numPr>
        <w:jc w:val="both"/>
        <w:rPr>
          <w:rFonts w:ascii="Tahoma" w:hAnsi="Tahoma"/>
          <w:sz w:val="22"/>
          <w:szCs w:val="22"/>
        </w:rPr>
      </w:pPr>
      <w:r>
        <w:rPr>
          <w:rFonts w:ascii="Tahoma" w:hAnsi="Tahoma"/>
          <w:sz w:val="22"/>
          <w:szCs w:val="22"/>
        </w:rPr>
        <w:t>Marcy will determine if there are any USGS monitoring stations in the basin.</w:t>
      </w:r>
    </w:p>
    <w:p w:rsidR="00EF043E" w:rsidRDefault="00D1267B" w:rsidP="00610935">
      <w:pPr>
        <w:numPr>
          <w:ilvl w:val="0"/>
          <w:numId w:val="35"/>
        </w:numPr>
        <w:jc w:val="both"/>
        <w:rPr>
          <w:rFonts w:ascii="Tahoma" w:hAnsi="Tahoma"/>
          <w:sz w:val="22"/>
          <w:szCs w:val="22"/>
        </w:rPr>
      </w:pPr>
      <w:r>
        <w:rPr>
          <w:rFonts w:ascii="Tahoma" w:hAnsi="Tahoma"/>
          <w:sz w:val="22"/>
          <w:szCs w:val="22"/>
        </w:rPr>
        <w:t>Katie will post the monitoring plan presentation on the FTP site for stakeholder comment.</w:t>
      </w:r>
      <w:r w:rsidR="00793D57">
        <w:rPr>
          <w:rFonts w:ascii="Tahoma" w:hAnsi="Tahoma"/>
          <w:sz w:val="22"/>
          <w:szCs w:val="22"/>
        </w:rPr>
        <w:t xml:space="preserve"> – </w:t>
      </w:r>
      <w:r w:rsidR="00793D57" w:rsidRPr="00793D57">
        <w:rPr>
          <w:rFonts w:ascii="Tahoma" w:hAnsi="Tahoma"/>
          <w:i/>
          <w:sz w:val="22"/>
          <w:szCs w:val="22"/>
        </w:rPr>
        <w:t>Complete</w:t>
      </w:r>
      <w:r w:rsidR="00793D57">
        <w:rPr>
          <w:rFonts w:ascii="Tahoma" w:hAnsi="Tahoma"/>
          <w:sz w:val="22"/>
          <w:szCs w:val="22"/>
        </w:rPr>
        <w:t>.</w:t>
      </w:r>
    </w:p>
    <w:p w:rsidR="00610935" w:rsidRDefault="00610935" w:rsidP="001415EC">
      <w:pPr>
        <w:jc w:val="both"/>
        <w:rPr>
          <w:rFonts w:ascii="Tahoma" w:hAnsi="Tahoma"/>
          <w:b/>
          <w:sz w:val="22"/>
          <w:szCs w:val="22"/>
        </w:rPr>
      </w:pPr>
    </w:p>
    <w:p w:rsidR="001D291A" w:rsidRDefault="001D291A" w:rsidP="003F55F0">
      <w:pPr>
        <w:keepNext/>
        <w:jc w:val="both"/>
        <w:rPr>
          <w:rFonts w:ascii="Tahoma" w:hAnsi="Tahoma"/>
          <w:sz w:val="22"/>
          <w:szCs w:val="22"/>
        </w:rPr>
      </w:pPr>
      <w:r w:rsidRPr="0089478C">
        <w:rPr>
          <w:rFonts w:ascii="Tahoma" w:hAnsi="Tahoma"/>
          <w:b/>
          <w:sz w:val="22"/>
          <w:szCs w:val="22"/>
        </w:rPr>
        <w:lastRenderedPageBreak/>
        <w:t xml:space="preserve">Welcome and </w:t>
      </w:r>
      <w:r w:rsidR="009239DE" w:rsidRPr="0089478C">
        <w:rPr>
          <w:rFonts w:ascii="Tahoma" w:hAnsi="Tahoma"/>
          <w:b/>
          <w:sz w:val="22"/>
          <w:szCs w:val="22"/>
        </w:rPr>
        <w:t>Introductions</w:t>
      </w:r>
      <w:r w:rsidR="009239DE" w:rsidRPr="009502A4">
        <w:rPr>
          <w:rFonts w:ascii="Tahoma" w:hAnsi="Tahoma"/>
          <w:sz w:val="22"/>
          <w:szCs w:val="22"/>
        </w:rPr>
        <w:t xml:space="preserve"> </w:t>
      </w:r>
      <w:r w:rsidRPr="009502A4">
        <w:rPr>
          <w:rFonts w:ascii="Tahoma" w:hAnsi="Tahoma"/>
          <w:sz w:val="22"/>
          <w:szCs w:val="22"/>
        </w:rPr>
        <w:t>(</w:t>
      </w:r>
      <w:r w:rsidR="00395F5A" w:rsidRPr="00395F5A">
        <w:rPr>
          <w:rFonts w:ascii="Tahoma" w:hAnsi="Tahoma"/>
          <w:b/>
          <w:i/>
          <w:sz w:val="22"/>
          <w:szCs w:val="22"/>
        </w:rPr>
        <w:t>Tiffany Busby</w:t>
      </w:r>
      <w:r w:rsidRPr="009502A4">
        <w:rPr>
          <w:rFonts w:ascii="Tahoma" w:hAnsi="Tahoma"/>
          <w:sz w:val="22"/>
          <w:szCs w:val="22"/>
        </w:rPr>
        <w:t>)</w:t>
      </w:r>
    </w:p>
    <w:p w:rsidR="00512663" w:rsidRDefault="00032794" w:rsidP="001415EC">
      <w:pPr>
        <w:autoSpaceDE w:val="0"/>
        <w:autoSpaceDN w:val="0"/>
        <w:adjustRightInd w:val="0"/>
        <w:jc w:val="both"/>
        <w:rPr>
          <w:rFonts w:ascii="Tahoma" w:hAnsi="Tahoma"/>
          <w:sz w:val="22"/>
          <w:szCs w:val="22"/>
        </w:rPr>
      </w:pPr>
      <w:r>
        <w:rPr>
          <w:rFonts w:ascii="Tahoma" w:hAnsi="Tahoma"/>
          <w:sz w:val="22"/>
          <w:szCs w:val="22"/>
        </w:rPr>
        <w:t>Tiffany</w:t>
      </w:r>
      <w:r w:rsidR="00D451F1">
        <w:rPr>
          <w:rFonts w:ascii="Tahoma" w:hAnsi="Tahoma"/>
          <w:sz w:val="22"/>
          <w:szCs w:val="22"/>
        </w:rPr>
        <w:t xml:space="preserve"> Busby</w:t>
      </w:r>
      <w:r w:rsidR="00793D57">
        <w:rPr>
          <w:rFonts w:ascii="Tahoma" w:hAnsi="Tahoma"/>
          <w:sz w:val="22"/>
          <w:szCs w:val="22"/>
        </w:rPr>
        <w:t xml:space="preserve"> (Wildwood Consulting)</w:t>
      </w:r>
      <w:r w:rsidR="00D451F1">
        <w:rPr>
          <w:rFonts w:ascii="Tahoma" w:hAnsi="Tahoma"/>
          <w:sz w:val="22"/>
          <w:szCs w:val="22"/>
        </w:rPr>
        <w:t xml:space="preserve"> welcomed everyone to the Trout River Basin Management Action Plan (</w:t>
      </w:r>
      <w:r>
        <w:rPr>
          <w:rFonts w:ascii="Tahoma" w:hAnsi="Tahoma"/>
          <w:sz w:val="22"/>
          <w:szCs w:val="22"/>
        </w:rPr>
        <w:t>BMAP</w:t>
      </w:r>
      <w:r w:rsidR="00D451F1">
        <w:rPr>
          <w:rFonts w:ascii="Tahoma" w:hAnsi="Tahoma"/>
          <w:sz w:val="22"/>
          <w:szCs w:val="22"/>
        </w:rPr>
        <w:t>)</w:t>
      </w:r>
      <w:r>
        <w:rPr>
          <w:rFonts w:ascii="Tahoma" w:hAnsi="Tahoma"/>
          <w:sz w:val="22"/>
          <w:szCs w:val="22"/>
        </w:rPr>
        <w:t xml:space="preserve"> technical meeting</w:t>
      </w:r>
      <w:r w:rsidR="00D451F1">
        <w:rPr>
          <w:rFonts w:ascii="Tahoma" w:hAnsi="Tahoma"/>
          <w:sz w:val="22"/>
          <w:szCs w:val="22"/>
        </w:rPr>
        <w:t>.  John Abendroth</w:t>
      </w:r>
      <w:r w:rsidR="00793D57">
        <w:rPr>
          <w:rFonts w:ascii="Tahoma" w:hAnsi="Tahoma"/>
          <w:sz w:val="22"/>
          <w:szCs w:val="22"/>
        </w:rPr>
        <w:t xml:space="preserve"> (FDEP)</w:t>
      </w:r>
      <w:r w:rsidR="00D451F1">
        <w:rPr>
          <w:rFonts w:ascii="Tahoma" w:hAnsi="Tahoma"/>
          <w:sz w:val="22"/>
          <w:szCs w:val="22"/>
        </w:rPr>
        <w:t xml:space="preserve"> introduced Katie </w:t>
      </w:r>
      <w:proofErr w:type="spellStart"/>
      <w:r w:rsidR="00D451F1">
        <w:rPr>
          <w:rFonts w:ascii="Tahoma" w:hAnsi="Tahoma"/>
          <w:sz w:val="22"/>
          <w:szCs w:val="22"/>
        </w:rPr>
        <w:t>Hallas</w:t>
      </w:r>
      <w:proofErr w:type="spellEnd"/>
      <w:r w:rsidR="00D451F1">
        <w:rPr>
          <w:rFonts w:ascii="Tahoma" w:hAnsi="Tahoma"/>
          <w:sz w:val="22"/>
          <w:szCs w:val="22"/>
        </w:rPr>
        <w:t xml:space="preserve"> as the new Florida Department of Environmental Protection (FDEP) Basin Coordinator.  Katie worked for FDEP for several years in the Everglades </w:t>
      </w:r>
      <w:r w:rsidR="00EF043E">
        <w:rPr>
          <w:rFonts w:ascii="Tahoma" w:hAnsi="Tahoma"/>
          <w:sz w:val="22"/>
          <w:szCs w:val="22"/>
        </w:rPr>
        <w:t>Restoration Planning and Permitting Section</w:t>
      </w:r>
      <w:r w:rsidR="00D451F1">
        <w:rPr>
          <w:rFonts w:ascii="Tahoma" w:hAnsi="Tahoma"/>
          <w:sz w:val="22"/>
          <w:szCs w:val="22"/>
        </w:rPr>
        <w:t xml:space="preserve">.  She then worked for the City of Tallahassee on their Think </w:t>
      </w:r>
      <w:proofErr w:type="gramStart"/>
      <w:r w:rsidR="00D451F1">
        <w:rPr>
          <w:rFonts w:ascii="Tahoma" w:hAnsi="Tahoma"/>
          <w:sz w:val="22"/>
          <w:szCs w:val="22"/>
        </w:rPr>
        <w:t>About</w:t>
      </w:r>
      <w:proofErr w:type="gramEnd"/>
      <w:r w:rsidR="00D451F1">
        <w:rPr>
          <w:rFonts w:ascii="Tahoma" w:hAnsi="Tahoma"/>
          <w:sz w:val="22"/>
          <w:szCs w:val="22"/>
        </w:rPr>
        <w:t xml:space="preserve"> Personal Pollution (TAPP) </w:t>
      </w:r>
      <w:r w:rsidR="0020511C">
        <w:rPr>
          <w:rFonts w:ascii="Tahoma" w:hAnsi="Tahoma"/>
          <w:sz w:val="22"/>
          <w:szCs w:val="22"/>
        </w:rPr>
        <w:t xml:space="preserve">public </w:t>
      </w:r>
      <w:r w:rsidR="00D451F1">
        <w:rPr>
          <w:rFonts w:ascii="Tahoma" w:hAnsi="Tahoma"/>
          <w:sz w:val="22"/>
          <w:szCs w:val="22"/>
        </w:rPr>
        <w:t xml:space="preserve">education program.  Katie will be the Basin Coordinator for the Trout River BMAP and future BMAPs in the Lower St. Johns River (LSJR) Basin, Nassau-St. Marys Basin, and the southeast coast.  Anita Nash (FDEP) will continue to coordinate the LSJR tributaries fecal coliform </w:t>
      </w:r>
      <w:proofErr w:type="gramStart"/>
      <w:r w:rsidR="00D451F1">
        <w:rPr>
          <w:rFonts w:ascii="Tahoma" w:hAnsi="Tahoma"/>
          <w:sz w:val="22"/>
          <w:szCs w:val="22"/>
        </w:rPr>
        <w:t>BMAPs</w:t>
      </w:r>
      <w:r w:rsidR="00EF043E">
        <w:rPr>
          <w:rFonts w:ascii="Tahoma" w:hAnsi="Tahoma"/>
          <w:sz w:val="22"/>
          <w:szCs w:val="22"/>
        </w:rPr>
        <w:t>,</w:t>
      </w:r>
      <w:proofErr w:type="gramEnd"/>
      <w:r w:rsidR="00D451F1">
        <w:rPr>
          <w:rFonts w:ascii="Tahoma" w:hAnsi="Tahoma"/>
          <w:sz w:val="22"/>
          <w:szCs w:val="22"/>
        </w:rPr>
        <w:t xml:space="preserve"> and John will keep the LSJR Main Stem BMAP.  The participants introduced themselves and the entity they represent.</w:t>
      </w:r>
    </w:p>
    <w:p w:rsidR="00136D9F" w:rsidRPr="009502A4" w:rsidRDefault="00136D9F" w:rsidP="00D451F1">
      <w:pPr>
        <w:autoSpaceDE w:val="0"/>
        <w:autoSpaceDN w:val="0"/>
        <w:adjustRightInd w:val="0"/>
        <w:jc w:val="both"/>
        <w:rPr>
          <w:rFonts w:ascii="Tahoma" w:hAnsi="Tahoma"/>
          <w:sz w:val="22"/>
          <w:szCs w:val="22"/>
        </w:rPr>
      </w:pPr>
    </w:p>
    <w:p w:rsidR="001D0A63" w:rsidRPr="009502A4" w:rsidRDefault="0089478C" w:rsidP="001415EC">
      <w:pPr>
        <w:autoSpaceDE w:val="0"/>
        <w:autoSpaceDN w:val="0"/>
        <w:adjustRightInd w:val="0"/>
        <w:jc w:val="both"/>
        <w:rPr>
          <w:rFonts w:ascii="Tahoma" w:hAnsi="Tahoma"/>
          <w:sz w:val="22"/>
          <w:szCs w:val="22"/>
        </w:rPr>
      </w:pPr>
      <w:r>
        <w:rPr>
          <w:rFonts w:ascii="Tahoma" w:hAnsi="Tahoma"/>
          <w:b/>
          <w:sz w:val="22"/>
          <w:szCs w:val="22"/>
        </w:rPr>
        <w:t>BMAP Overview</w:t>
      </w:r>
      <w:r w:rsidR="00744666">
        <w:rPr>
          <w:rFonts w:ascii="Tahoma" w:hAnsi="Tahoma"/>
          <w:sz w:val="22"/>
          <w:szCs w:val="22"/>
        </w:rPr>
        <w:t xml:space="preserve"> </w:t>
      </w:r>
      <w:r w:rsidR="00744666" w:rsidRPr="009502A4">
        <w:rPr>
          <w:rFonts w:ascii="Tahoma" w:hAnsi="Tahoma"/>
          <w:sz w:val="22"/>
          <w:szCs w:val="22"/>
        </w:rPr>
        <w:t>(</w:t>
      </w:r>
      <w:r>
        <w:rPr>
          <w:rFonts w:ascii="Tahoma" w:hAnsi="Tahoma"/>
          <w:b/>
          <w:i/>
          <w:sz w:val="22"/>
          <w:szCs w:val="22"/>
        </w:rPr>
        <w:t>Tiffany Busby</w:t>
      </w:r>
      <w:r w:rsidR="00744666" w:rsidRPr="009502A4">
        <w:rPr>
          <w:rFonts w:ascii="Tahoma" w:hAnsi="Tahoma"/>
          <w:sz w:val="22"/>
          <w:szCs w:val="22"/>
        </w:rPr>
        <w:t>)</w:t>
      </w:r>
    </w:p>
    <w:p w:rsidR="004C0CF6" w:rsidRDefault="00CA59C1" w:rsidP="001415EC">
      <w:pPr>
        <w:autoSpaceDE w:val="0"/>
        <w:autoSpaceDN w:val="0"/>
        <w:adjustRightInd w:val="0"/>
        <w:jc w:val="both"/>
        <w:rPr>
          <w:rFonts w:ascii="Tahoma" w:hAnsi="Tahoma"/>
          <w:sz w:val="22"/>
          <w:szCs w:val="22"/>
        </w:rPr>
      </w:pPr>
      <w:r>
        <w:rPr>
          <w:rFonts w:ascii="Tahoma" w:hAnsi="Tahoma"/>
          <w:sz w:val="22"/>
          <w:szCs w:val="22"/>
        </w:rPr>
        <w:t>Tiffany</w:t>
      </w:r>
      <w:r w:rsidR="003857F6">
        <w:rPr>
          <w:rFonts w:ascii="Tahoma" w:hAnsi="Tahoma"/>
          <w:sz w:val="22"/>
          <w:szCs w:val="22"/>
        </w:rPr>
        <w:t xml:space="preserve"> stated the </w:t>
      </w:r>
      <w:r>
        <w:rPr>
          <w:rFonts w:ascii="Tahoma" w:hAnsi="Tahoma"/>
          <w:sz w:val="22"/>
          <w:szCs w:val="22"/>
        </w:rPr>
        <w:t xml:space="preserve">Trout River </w:t>
      </w:r>
      <w:r w:rsidR="003857F6">
        <w:rPr>
          <w:rFonts w:ascii="Tahoma" w:hAnsi="Tahoma"/>
          <w:sz w:val="22"/>
          <w:szCs w:val="22"/>
        </w:rPr>
        <w:t xml:space="preserve">is </w:t>
      </w:r>
      <w:r>
        <w:rPr>
          <w:rFonts w:ascii="Tahoma" w:hAnsi="Tahoma"/>
          <w:sz w:val="22"/>
          <w:szCs w:val="22"/>
        </w:rPr>
        <w:t xml:space="preserve">divided into </w:t>
      </w:r>
      <w:r w:rsidR="003857F6">
        <w:rPr>
          <w:rFonts w:ascii="Tahoma" w:hAnsi="Tahoma"/>
          <w:sz w:val="22"/>
          <w:szCs w:val="22"/>
        </w:rPr>
        <w:t>three waterbody identification numbers (</w:t>
      </w:r>
      <w:r>
        <w:rPr>
          <w:rFonts w:ascii="Tahoma" w:hAnsi="Tahoma"/>
          <w:sz w:val="22"/>
          <w:szCs w:val="22"/>
        </w:rPr>
        <w:t>WBID</w:t>
      </w:r>
      <w:r w:rsidR="003857F6">
        <w:rPr>
          <w:rFonts w:ascii="Tahoma" w:hAnsi="Tahoma"/>
          <w:sz w:val="22"/>
          <w:szCs w:val="22"/>
        </w:rPr>
        <w:t xml:space="preserve">s): </w:t>
      </w:r>
      <w:r w:rsidR="002B6781">
        <w:rPr>
          <w:rFonts w:ascii="Tahoma" w:hAnsi="Tahoma"/>
          <w:sz w:val="22"/>
          <w:szCs w:val="22"/>
        </w:rPr>
        <w:t>upper</w:t>
      </w:r>
      <w:r w:rsidR="003857F6">
        <w:rPr>
          <w:rFonts w:ascii="Tahoma" w:hAnsi="Tahoma"/>
          <w:sz w:val="22"/>
          <w:szCs w:val="22"/>
        </w:rPr>
        <w:t xml:space="preserve">, </w:t>
      </w:r>
      <w:r w:rsidR="002B6781">
        <w:rPr>
          <w:rFonts w:ascii="Tahoma" w:hAnsi="Tahoma"/>
          <w:sz w:val="22"/>
          <w:szCs w:val="22"/>
        </w:rPr>
        <w:t>m</w:t>
      </w:r>
      <w:r w:rsidR="003857F6">
        <w:rPr>
          <w:rFonts w:ascii="Tahoma" w:hAnsi="Tahoma"/>
          <w:sz w:val="22"/>
          <w:szCs w:val="22"/>
        </w:rPr>
        <w:t>iddle</w:t>
      </w:r>
      <w:r w:rsidR="002B6781">
        <w:rPr>
          <w:rFonts w:ascii="Tahoma" w:hAnsi="Tahoma"/>
          <w:sz w:val="22"/>
          <w:szCs w:val="22"/>
        </w:rPr>
        <w:t>, and l</w:t>
      </w:r>
      <w:r w:rsidR="003857F6">
        <w:rPr>
          <w:rFonts w:ascii="Tahoma" w:hAnsi="Tahoma"/>
          <w:sz w:val="22"/>
          <w:szCs w:val="22"/>
        </w:rPr>
        <w:t xml:space="preserve">ower.  The </w:t>
      </w:r>
      <w:r>
        <w:rPr>
          <w:rFonts w:ascii="Tahoma" w:hAnsi="Tahoma"/>
          <w:sz w:val="22"/>
          <w:szCs w:val="22"/>
        </w:rPr>
        <w:t>focus of this BMAP is</w:t>
      </w:r>
      <w:r w:rsidR="003857F6">
        <w:rPr>
          <w:rFonts w:ascii="Tahoma" w:hAnsi="Tahoma"/>
          <w:sz w:val="22"/>
          <w:szCs w:val="22"/>
        </w:rPr>
        <w:t xml:space="preserve"> the</w:t>
      </w:r>
      <w:r>
        <w:rPr>
          <w:rFonts w:ascii="Tahoma" w:hAnsi="Tahoma"/>
          <w:sz w:val="22"/>
          <w:szCs w:val="22"/>
        </w:rPr>
        <w:t xml:space="preserve"> Middle Trout</w:t>
      </w:r>
      <w:r w:rsidR="003857F6">
        <w:rPr>
          <w:rFonts w:ascii="Tahoma" w:hAnsi="Tahoma"/>
          <w:sz w:val="22"/>
          <w:szCs w:val="22"/>
        </w:rPr>
        <w:t xml:space="preserve"> River</w:t>
      </w:r>
      <w:r>
        <w:rPr>
          <w:rFonts w:ascii="Tahoma" w:hAnsi="Tahoma"/>
          <w:sz w:val="22"/>
          <w:szCs w:val="22"/>
        </w:rPr>
        <w:t xml:space="preserve"> (WBID 2203), </w:t>
      </w:r>
      <w:r w:rsidR="003857F6">
        <w:rPr>
          <w:rFonts w:ascii="Tahoma" w:hAnsi="Tahoma"/>
          <w:sz w:val="22"/>
          <w:szCs w:val="22"/>
        </w:rPr>
        <w:t xml:space="preserve">which was </w:t>
      </w:r>
      <w:r>
        <w:rPr>
          <w:rFonts w:ascii="Tahoma" w:hAnsi="Tahoma"/>
          <w:sz w:val="22"/>
          <w:szCs w:val="22"/>
        </w:rPr>
        <w:t xml:space="preserve">verified as impaired for nutrients in </w:t>
      </w:r>
      <w:r w:rsidR="003857F6">
        <w:rPr>
          <w:rFonts w:ascii="Tahoma" w:hAnsi="Tahoma"/>
          <w:sz w:val="22"/>
          <w:szCs w:val="22"/>
        </w:rPr>
        <w:t>both Cycle 1 and Cycle 2 of the FDEP assessment process.  Middle Trout River is</w:t>
      </w:r>
      <w:r w:rsidR="001415EC">
        <w:rPr>
          <w:rFonts w:ascii="Tahoma" w:hAnsi="Tahoma"/>
          <w:sz w:val="22"/>
          <w:szCs w:val="22"/>
        </w:rPr>
        <w:t xml:space="preserve"> impaired for </w:t>
      </w:r>
      <w:r w:rsidR="003857F6">
        <w:rPr>
          <w:rFonts w:ascii="Tahoma" w:hAnsi="Tahoma"/>
          <w:sz w:val="22"/>
          <w:szCs w:val="22"/>
        </w:rPr>
        <w:t>dissolved oxygen (</w:t>
      </w:r>
      <w:r w:rsidR="001415EC">
        <w:rPr>
          <w:rFonts w:ascii="Tahoma" w:hAnsi="Tahoma"/>
          <w:sz w:val="22"/>
          <w:szCs w:val="22"/>
        </w:rPr>
        <w:t>DO</w:t>
      </w:r>
      <w:r w:rsidR="003857F6">
        <w:rPr>
          <w:rFonts w:ascii="Tahoma" w:hAnsi="Tahoma"/>
          <w:sz w:val="22"/>
          <w:szCs w:val="22"/>
        </w:rPr>
        <w:t>)</w:t>
      </w:r>
      <w:r w:rsidR="001415EC">
        <w:rPr>
          <w:rFonts w:ascii="Tahoma" w:hAnsi="Tahoma"/>
          <w:sz w:val="22"/>
          <w:szCs w:val="22"/>
        </w:rPr>
        <w:t xml:space="preserve"> with </w:t>
      </w:r>
      <w:r w:rsidR="003857F6">
        <w:rPr>
          <w:rFonts w:ascii="Tahoma" w:hAnsi="Tahoma"/>
          <w:sz w:val="22"/>
          <w:szCs w:val="22"/>
        </w:rPr>
        <w:t xml:space="preserve">the cause of the impairment being total nitrogen (TN) and total phosphorus (TP).  Middle Trout River is also included in the LSJR Tributaries BMAP II for its fecal coliform </w:t>
      </w:r>
      <w:r w:rsidR="004C0CF6">
        <w:rPr>
          <w:rFonts w:ascii="Tahoma" w:hAnsi="Tahoma"/>
          <w:sz w:val="22"/>
          <w:szCs w:val="22"/>
        </w:rPr>
        <w:t>impairment.</w:t>
      </w:r>
    </w:p>
    <w:p w:rsidR="004C0CF6" w:rsidRDefault="004C0CF6" w:rsidP="001415EC">
      <w:pPr>
        <w:autoSpaceDE w:val="0"/>
        <w:autoSpaceDN w:val="0"/>
        <w:adjustRightInd w:val="0"/>
        <w:jc w:val="both"/>
        <w:rPr>
          <w:rFonts w:ascii="Tahoma" w:hAnsi="Tahoma"/>
          <w:sz w:val="22"/>
          <w:szCs w:val="22"/>
        </w:rPr>
      </w:pPr>
    </w:p>
    <w:p w:rsidR="001C0B47" w:rsidRDefault="004C0CF6" w:rsidP="001415EC">
      <w:pPr>
        <w:autoSpaceDE w:val="0"/>
        <w:autoSpaceDN w:val="0"/>
        <w:adjustRightInd w:val="0"/>
        <w:jc w:val="both"/>
        <w:rPr>
          <w:rFonts w:ascii="Tahoma" w:hAnsi="Tahoma"/>
          <w:sz w:val="22"/>
          <w:szCs w:val="22"/>
        </w:rPr>
      </w:pPr>
      <w:r>
        <w:rPr>
          <w:rFonts w:ascii="Tahoma" w:hAnsi="Tahoma"/>
          <w:sz w:val="22"/>
          <w:szCs w:val="22"/>
        </w:rPr>
        <w:t>The Middle Trout River total maximum daily load (</w:t>
      </w:r>
      <w:r w:rsidR="001415EC">
        <w:rPr>
          <w:rFonts w:ascii="Tahoma" w:hAnsi="Tahoma"/>
          <w:sz w:val="22"/>
          <w:szCs w:val="22"/>
        </w:rPr>
        <w:t>TMDL</w:t>
      </w:r>
      <w:r>
        <w:rPr>
          <w:rFonts w:ascii="Tahoma" w:hAnsi="Tahoma"/>
          <w:sz w:val="22"/>
          <w:szCs w:val="22"/>
        </w:rPr>
        <w:t>) identified the sources of nutrients as the municipal separate storm sewer system (MS4) operated by the City of Jacksonville (COJ) and Florida Department of Transportation (FDOT)</w:t>
      </w:r>
      <w:r w:rsidR="001415EC">
        <w:rPr>
          <w:rFonts w:ascii="Tahoma" w:hAnsi="Tahoma"/>
          <w:sz w:val="22"/>
          <w:szCs w:val="22"/>
        </w:rPr>
        <w:t xml:space="preserve">, septic tanks, agricultural runoff, natural areas, </w:t>
      </w:r>
      <w:r w:rsidR="006E444F">
        <w:rPr>
          <w:rFonts w:ascii="Tahoma" w:hAnsi="Tahoma"/>
          <w:sz w:val="22"/>
          <w:szCs w:val="22"/>
        </w:rPr>
        <w:t xml:space="preserve">and the </w:t>
      </w:r>
      <w:r w:rsidR="001415EC">
        <w:rPr>
          <w:rFonts w:ascii="Tahoma" w:hAnsi="Tahoma"/>
          <w:sz w:val="22"/>
          <w:szCs w:val="22"/>
        </w:rPr>
        <w:t>contributing</w:t>
      </w:r>
      <w:r w:rsidR="006E444F">
        <w:rPr>
          <w:rFonts w:ascii="Tahoma" w:hAnsi="Tahoma"/>
          <w:sz w:val="22"/>
          <w:szCs w:val="22"/>
        </w:rPr>
        <w:t xml:space="preserve"> WBIDs of </w:t>
      </w:r>
      <w:r w:rsidR="001415EC">
        <w:rPr>
          <w:rFonts w:ascii="Tahoma" w:hAnsi="Tahoma"/>
          <w:sz w:val="22"/>
          <w:szCs w:val="22"/>
        </w:rPr>
        <w:t>Upper Trout</w:t>
      </w:r>
      <w:r w:rsidR="006E444F">
        <w:rPr>
          <w:rFonts w:ascii="Tahoma" w:hAnsi="Tahoma"/>
          <w:sz w:val="22"/>
          <w:szCs w:val="22"/>
        </w:rPr>
        <w:t xml:space="preserve"> River</w:t>
      </w:r>
      <w:r w:rsidR="001415EC">
        <w:rPr>
          <w:rFonts w:ascii="Tahoma" w:hAnsi="Tahoma"/>
          <w:sz w:val="22"/>
          <w:szCs w:val="22"/>
        </w:rPr>
        <w:t xml:space="preserve"> and Gulley Branch</w:t>
      </w:r>
      <w:r w:rsidR="006E444F">
        <w:rPr>
          <w:rFonts w:ascii="Tahoma" w:hAnsi="Tahoma"/>
          <w:sz w:val="22"/>
          <w:szCs w:val="22"/>
        </w:rPr>
        <w:t xml:space="preserve">.  </w:t>
      </w:r>
      <w:r w:rsidR="002B6781">
        <w:rPr>
          <w:rFonts w:ascii="Tahoma" w:hAnsi="Tahoma"/>
          <w:sz w:val="22"/>
          <w:szCs w:val="22"/>
        </w:rPr>
        <w:t>The LSJR Main Stem TMDL required</w:t>
      </w:r>
      <w:r w:rsidR="006E444F">
        <w:rPr>
          <w:rFonts w:ascii="Tahoma" w:hAnsi="Tahoma"/>
          <w:sz w:val="22"/>
          <w:szCs w:val="22"/>
        </w:rPr>
        <w:t xml:space="preserve"> between a 30% and 50% reduction in TN for the marine section of the river</w:t>
      </w:r>
      <w:r w:rsidR="00C92567">
        <w:rPr>
          <w:rFonts w:ascii="Tahoma" w:hAnsi="Tahoma"/>
          <w:sz w:val="22"/>
          <w:szCs w:val="22"/>
        </w:rPr>
        <w:t xml:space="preserve">, where </w:t>
      </w:r>
      <w:r w:rsidR="006E444F">
        <w:rPr>
          <w:rFonts w:ascii="Tahoma" w:hAnsi="Tahoma"/>
          <w:sz w:val="22"/>
          <w:szCs w:val="22"/>
        </w:rPr>
        <w:t xml:space="preserve">Trout River is located.  The Middle Trout River TMDL model predicted that with a 30% reduction in TN, a 70% reduction in TP was needed to achieve a DO of 5.1 </w:t>
      </w:r>
      <w:r w:rsidR="00EF043E">
        <w:rPr>
          <w:rFonts w:ascii="Tahoma" w:hAnsi="Tahoma"/>
          <w:sz w:val="22"/>
          <w:szCs w:val="22"/>
        </w:rPr>
        <w:t>milligrams per liter (</w:t>
      </w:r>
      <w:r w:rsidR="006E444F">
        <w:rPr>
          <w:rFonts w:ascii="Tahoma" w:hAnsi="Tahoma"/>
          <w:sz w:val="22"/>
          <w:szCs w:val="22"/>
        </w:rPr>
        <w:t>mg/L</w:t>
      </w:r>
      <w:r w:rsidR="00EF043E">
        <w:rPr>
          <w:rFonts w:ascii="Tahoma" w:hAnsi="Tahoma"/>
          <w:sz w:val="22"/>
          <w:szCs w:val="22"/>
        </w:rPr>
        <w:t>)</w:t>
      </w:r>
      <w:r w:rsidR="006E444F">
        <w:rPr>
          <w:rFonts w:ascii="Tahoma" w:hAnsi="Tahoma"/>
          <w:sz w:val="22"/>
          <w:szCs w:val="22"/>
        </w:rPr>
        <w:t xml:space="preserve">.  The focus of this BMAP is on </w:t>
      </w:r>
      <w:r w:rsidR="00C92567">
        <w:rPr>
          <w:rFonts w:ascii="Tahoma" w:hAnsi="Tahoma"/>
          <w:sz w:val="22"/>
          <w:szCs w:val="22"/>
        </w:rPr>
        <w:t xml:space="preserve">the </w:t>
      </w:r>
      <w:r w:rsidR="006E444F">
        <w:rPr>
          <w:rFonts w:ascii="Tahoma" w:hAnsi="Tahoma"/>
          <w:sz w:val="22"/>
          <w:szCs w:val="22"/>
        </w:rPr>
        <w:t xml:space="preserve">TP reductions because the TN reductions should be achieved through the projects submitted for the LSJR Main Stem BMAP.  The total urban required reductions for the BMAP are 3,160.68 </w:t>
      </w:r>
      <w:r w:rsidR="0020511C">
        <w:rPr>
          <w:rFonts w:ascii="Tahoma" w:hAnsi="Tahoma"/>
          <w:sz w:val="22"/>
          <w:szCs w:val="22"/>
        </w:rPr>
        <w:t>pounds per year (</w:t>
      </w:r>
      <w:r w:rsidR="006E444F">
        <w:rPr>
          <w:rFonts w:ascii="Tahoma" w:hAnsi="Tahoma"/>
          <w:sz w:val="22"/>
          <w:szCs w:val="22"/>
        </w:rPr>
        <w:t>lbs/yr</w:t>
      </w:r>
      <w:r w:rsidR="0020511C">
        <w:rPr>
          <w:rFonts w:ascii="Tahoma" w:hAnsi="Tahoma"/>
          <w:sz w:val="22"/>
          <w:szCs w:val="22"/>
        </w:rPr>
        <w:t>)</w:t>
      </w:r>
      <w:r w:rsidR="006E444F">
        <w:rPr>
          <w:rFonts w:ascii="Tahoma" w:hAnsi="Tahoma"/>
          <w:sz w:val="22"/>
          <w:szCs w:val="22"/>
        </w:rPr>
        <w:t xml:space="preserve"> of TN and 1,503.68 lbs/yr of TP.  The total agricultural reductions are 2,332.88 lbs/yr of TN and 755.86 lbs/yr of TP.</w:t>
      </w:r>
    </w:p>
    <w:p w:rsidR="006E444F" w:rsidRDefault="006E444F" w:rsidP="001415EC">
      <w:pPr>
        <w:autoSpaceDE w:val="0"/>
        <w:autoSpaceDN w:val="0"/>
        <w:adjustRightInd w:val="0"/>
        <w:jc w:val="both"/>
        <w:rPr>
          <w:rFonts w:ascii="Tahoma" w:hAnsi="Tahoma"/>
          <w:sz w:val="22"/>
          <w:szCs w:val="22"/>
        </w:rPr>
      </w:pPr>
    </w:p>
    <w:p w:rsidR="003C058E" w:rsidRDefault="009B6DBA" w:rsidP="001415EC">
      <w:pPr>
        <w:autoSpaceDE w:val="0"/>
        <w:autoSpaceDN w:val="0"/>
        <w:adjustRightInd w:val="0"/>
        <w:jc w:val="both"/>
        <w:rPr>
          <w:rFonts w:ascii="Tahoma" w:hAnsi="Tahoma"/>
          <w:sz w:val="22"/>
          <w:szCs w:val="22"/>
        </w:rPr>
      </w:pPr>
      <w:r>
        <w:rPr>
          <w:rFonts w:ascii="Tahoma" w:hAnsi="Tahoma"/>
          <w:sz w:val="22"/>
          <w:szCs w:val="22"/>
        </w:rPr>
        <w:t xml:space="preserve">Vince </w:t>
      </w:r>
      <w:r w:rsidR="0079611F">
        <w:rPr>
          <w:rFonts w:ascii="Tahoma" w:hAnsi="Tahoma"/>
          <w:sz w:val="22"/>
          <w:szCs w:val="22"/>
        </w:rPr>
        <w:t xml:space="preserve">Seibold </w:t>
      </w:r>
      <w:r w:rsidR="0020511C">
        <w:rPr>
          <w:rFonts w:ascii="Tahoma" w:hAnsi="Tahoma"/>
          <w:sz w:val="22"/>
          <w:szCs w:val="22"/>
        </w:rPr>
        <w:t xml:space="preserve">(COJ) </w:t>
      </w:r>
      <w:r w:rsidR="0079611F">
        <w:rPr>
          <w:rFonts w:ascii="Tahoma" w:hAnsi="Tahoma"/>
          <w:sz w:val="22"/>
          <w:szCs w:val="22"/>
        </w:rPr>
        <w:t xml:space="preserve">asked how loads from the septic tanks were determined in the TMDL.  Tiffany responded that </w:t>
      </w:r>
      <w:r w:rsidR="00112550">
        <w:rPr>
          <w:rFonts w:ascii="Tahoma" w:hAnsi="Tahoma"/>
          <w:sz w:val="22"/>
          <w:szCs w:val="22"/>
        </w:rPr>
        <w:t xml:space="preserve">FDEP uses a standard </w:t>
      </w:r>
      <w:r w:rsidR="00C92567">
        <w:rPr>
          <w:rFonts w:ascii="Tahoma" w:hAnsi="Tahoma"/>
          <w:sz w:val="22"/>
          <w:szCs w:val="22"/>
        </w:rPr>
        <w:t>procedure</w:t>
      </w:r>
      <w:r w:rsidR="00112550">
        <w:rPr>
          <w:rFonts w:ascii="Tahoma" w:hAnsi="Tahoma"/>
          <w:sz w:val="22"/>
          <w:szCs w:val="22"/>
        </w:rPr>
        <w:t xml:space="preserve"> to estimate septic tank loading for the TMDLs.</w:t>
      </w:r>
      <w:r w:rsidR="00FA2AD1">
        <w:rPr>
          <w:rFonts w:ascii="Tahoma" w:hAnsi="Tahoma"/>
          <w:sz w:val="22"/>
          <w:szCs w:val="22"/>
        </w:rPr>
        <w:t xml:space="preserve">  Lisa Sterling </w:t>
      </w:r>
      <w:r w:rsidR="0020511C">
        <w:rPr>
          <w:rFonts w:ascii="Tahoma" w:hAnsi="Tahoma"/>
          <w:sz w:val="22"/>
          <w:szCs w:val="22"/>
        </w:rPr>
        <w:t xml:space="preserve">(CDM) </w:t>
      </w:r>
      <w:r w:rsidR="00FA2AD1">
        <w:rPr>
          <w:rFonts w:ascii="Tahoma" w:hAnsi="Tahoma"/>
          <w:sz w:val="22"/>
          <w:szCs w:val="22"/>
        </w:rPr>
        <w:t xml:space="preserve">noted that this WBID does not include a septic tank failure area.  Tiffany responded that while septic tanks are part of the total estimated load, the stakeholders are not obligated to remove septic tanks as a project.  </w:t>
      </w:r>
      <w:r w:rsidR="003C058E">
        <w:rPr>
          <w:rFonts w:ascii="Tahoma" w:hAnsi="Tahoma"/>
          <w:sz w:val="22"/>
          <w:szCs w:val="22"/>
        </w:rPr>
        <w:t>Lisa</w:t>
      </w:r>
      <w:r w:rsidR="00FA2AD1">
        <w:rPr>
          <w:rFonts w:ascii="Tahoma" w:hAnsi="Tahoma"/>
          <w:sz w:val="22"/>
          <w:szCs w:val="22"/>
        </w:rPr>
        <w:t xml:space="preserve"> stated that the loads assigned to septic tanks do not make sense because septic tanks are more than half of the total urban TP load</w:t>
      </w:r>
      <w:r w:rsidR="0020511C">
        <w:rPr>
          <w:rFonts w:ascii="Tahoma" w:hAnsi="Tahoma"/>
          <w:sz w:val="22"/>
          <w:szCs w:val="22"/>
        </w:rPr>
        <w:t>,</w:t>
      </w:r>
      <w:r w:rsidR="00FA2AD1">
        <w:rPr>
          <w:rFonts w:ascii="Tahoma" w:hAnsi="Tahoma"/>
          <w:sz w:val="22"/>
          <w:szCs w:val="22"/>
        </w:rPr>
        <w:t xml:space="preserve"> but this is not a failure area.  Marcy Policastro </w:t>
      </w:r>
      <w:r w:rsidR="008D30C5">
        <w:rPr>
          <w:rFonts w:ascii="Tahoma" w:hAnsi="Tahoma"/>
          <w:sz w:val="22"/>
          <w:szCs w:val="22"/>
        </w:rPr>
        <w:t>(Wildwood</w:t>
      </w:r>
      <w:r w:rsidR="00793D57">
        <w:rPr>
          <w:rFonts w:ascii="Tahoma" w:hAnsi="Tahoma"/>
          <w:sz w:val="22"/>
          <w:szCs w:val="22"/>
        </w:rPr>
        <w:t xml:space="preserve"> Consulting</w:t>
      </w:r>
      <w:r w:rsidR="008D30C5">
        <w:rPr>
          <w:rFonts w:ascii="Tahoma" w:hAnsi="Tahoma"/>
          <w:sz w:val="22"/>
          <w:szCs w:val="22"/>
        </w:rPr>
        <w:t xml:space="preserve">) </w:t>
      </w:r>
      <w:r w:rsidR="00FA2AD1">
        <w:rPr>
          <w:rFonts w:ascii="Tahoma" w:hAnsi="Tahoma"/>
          <w:sz w:val="22"/>
          <w:szCs w:val="22"/>
        </w:rPr>
        <w:t xml:space="preserve">stated that the TMDL estimated the number of septic tanks in the WBID by using an estimate of 22% of the residences in Duval County connected to septic tanks.  This percentage was applied to the 2000 U.S. Census Bureau estimates for the watershed and resulted in 137 septic tanks in the basin.  Estimates of the gallons of wastewater per day per person and TN and TP concentrations in the septic tank </w:t>
      </w:r>
      <w:proofErr w:type="spellStart"/>
      <w:r w:rsidR="00FA2AD1">
        <w:rPr>
          <w:rFonts w:ascii="Tahoma" w:hAnsi="Tahoma"/>
          <w:sz w:val="22"/>
          <w:szCs w:val="22"/>
        </w:rPr>
        <w:t>drainfield</w:t>
      </w:r>
      <w:proofErr w:type="spellEnd"/>
      <w:r w:rsidR="00FA2AD1">
        <w:rPr>
          <w:rFonts w:ascii="Tahoma" w:hAnsi="Tahoma"/>
          <w:sz w:val="22"/>
          <w:szCs w:val="22"/>
        </w:rPr>
        <w:t xml:space="preserve"> resulted in a screening level estimate of the septic tank contributions.  </w:t>
      </w:r>
      <w:r w:rsidR="003C058E">
        <w:rPr>
          <w:rFonts w:ascii="Tahoma" w:hAnsi="Tahoma"/>
          <w:sz w:val="22"/>
          <w:szCs w:val="22"/>
        </w:rPr>
        <w:t>Lisa</w:t>
      </w:r>
      <w:r w:rsidR="00FA2AD1">
        <w:rPr>
          <w:rFonts w:ascii="Tahoma" w:hAnsi="Tahoma"/>
          <w:sz w:val="22"/>
          <w:szCs w:val="22"/>
        </w:rPr>
        <w:t xml:space="preserve"> noted that it would be helpful to estimate the real load from septic tanks as opposed to the calculated </w:t>
      </w:r>
      <w:r w:rsidR="00C92567">
        <w:rPr>
          <w:rFonts w:ascii="Tahoma" w:hAnsi="Tahoma"/>
          <w:sz w:val="22"/>
          <w:szCs w:val="22"/>
        </w:rPr>
        <w:t>load</w:t>
      </w:r>
      <w:r w:rsidR="00FA2AD1">
        <w:rPr>
          <w:rFonts w:ascii="Tahoma" w:hAnsi="Tahoma"/>
          <w:sz w:val="22"/>
          <w:szCs w:val="22"/>
        </w:rPr>
        <w:t>.</w:t>
      </w:r>
    </w:p>
    <w:p w:rsidR="00FA2AD1" w:rsidRDefault="00FA2AD1" w:rsidP="001415EC">
      <w:pPr>
        <w:autoSpaceDE w:val="0"/>
        <w:autoSpaceDN w:val="0"/>
        <w:adjustRightInd w:val="0"/>
        <w:jc w:val="both"/>
        <w:rPr>
          <w:rFonts w:ascii="Tahoma" w:hAnsi="Tahoma"/>
          <w:sz w:val="22"/>
          <w:szCs w:val="22"/>
        </w:rPr>
      </w:pPr>
    </w:p>
    <w:p w:rsidR="00D34DA4" w:rsidRDefault="003C058E" w:rsidP="000610DF">
      <w:pPr>
        <w:autoSpaceDE w:val="0"/>
        <w:autoSpaceDN w:val="0"/>
        <w:adjustRightInd w:val="0"/>
        <w:jc w:val="both"/>
        <w:rPr>
          <w:rFonts w:ascii="Tahoma" w:hAnsi="Tahoma"/>
          <w:sz w:val="22"/>
          <w:szCs w:val="22"/>
        </w:rPr>
      </w:pPr>
      <w:r>
        <w:rPr>
          <w:rFonts w:ascii="Tahoma" w:hAnsi="Tahoma"/>
          <w:sz w:val="22"/>
          <w:szCs w:val="22"/>
        </w:rPr>
        <w:t xml:space="preserve">Tiffany </w:t>
      </w:r>
      <w:r w:rsidR="00FA2AD1">
        <w:rPr>
          <w:rFonts w:ascii="Tahoma" w:hAnsi="Tahoma"/>
          <w:sz w:val="22"/>
          <w:szCs w:val="22"/>
        </w:rPr>
        <w:t xml:space="preserve">stated </w:t>
      </w:r>
      <w:r w:rsidR="000610DF">
        <w:rPr>
          <w:rFonts w:ascii="Tahoma" w:hAnsi="Tahoma"/>
          <w:sz w:val="22"/>
          <w:szCs w:val="22"/>
        </w:rPr>
        <w:t>that the BMAP currently does not have detailed allocations.  There are only a few stakeholders in this basin</w:t>
      </w:r>
      <w:r w:rsidR="0020511C">
        <w:rPr>
          <w:rFonts w:ascii="Tahoma" w:hAnsi="Tahoma"/>
          <w:sz w:val="22"/>
          <w:szCs w:val="22"/>
        </w:rPr>
        <w:t>,</w:t>
      </w:r>
      <w:r w:rsidR="000610DF">
        <w:rPr>
          <w:rFonts w:ascii="Tahoma" w:hAnsi="Tahoma"/>
          <w:sz w:val="22"/>
          <w:szCs w:val="22"/>
        </w:rPr>
        <w:t xml:space="preserve"> and FDEP asked for projects from these entities.  FDEP quantified the </w:t>
      </w:r>
      <w:r w:rsidR="000610DF">
        <w:rPr>
          <w:rFonts w:ascii="Tahoma" w:hAnsi="Tahoma"/>
          <w:sz w:val="22"/>
          <w:szCs w:val="22"/>
        </w:rPr>
        <w:lastRenderedPageBreak/>
        <w:t>reductions from the projects received so far and additional projects are needed to achieve the TP reductions.  Lisa stated that there were discussions in past meetings about looking at the data collected during the Walk the WBID and existing monitoring data for the basin.  Marcy responded that samples were not collected as part of the walk</w:t>
      </w:r>
      <w:r w:rsidR="0020511C">
        <w:rPr>
          <w:rFonts w:ascii="Tahoma" w:hAnsi="Tahoma"/>
          <w:sz w:val="22"/>
          <w:szCs w:val="22"/>
        </w:rPr>
        <w:t>,</w:t>
      </w:r>
      <w:r w:rsidR="000610DF">
        <w:rPr>
          <w:rFonts w:ascii="Tahoma" w:hAnsi="Tahoma"/>
          <w:sz w:val="22"/>
          <w:szCs w:val="22"/>
        </w:rPr>
        <w:t xml:space="preserve"> and there will be discussion later in the meeting about monitoring station locations.  </w:t>
      </w:r>
      <w:r w:rsidR="00D34DA4">
        <w:rPr>
          <w:rFonts w:ascii="Tahoma" w:hAnsi="Tahoma"/>
          <w:sz w:val="22"/>
          <w:szCs w:val="22"/>
        </w:rPr>
        <w:t>Amy</w:t>
      </w:r>
      <w:r w:rsidR="000610DF">
        <w:rPr>
          <w:rFonts w:ascii="Tahoma" w:hAnsi="Tahoma"/>
          <w:sz w:val="22"/>
          <w:szCs w:val="22"/>
        </w:rPr>
        <w:t xml:space="preserve"> Tracy </w:t>
      </w:r>
      <w:r w:rsidR="0020511C">
        <w:rPr>
          <w:rFonts w:ascii="Tahoma" w:hAnsi="Tahoma"/>
          <w:sz w:val="22"/>
          <w:szCs w:val="22"/>
        </w:rPr>
        <w:t xml:space="preserve">(ETM) </w:t>
      </w:r>
      <w:r w:rsidR="000610DF">
        <w:rPr>
          <w:rFonts w:ascii="Tahoma" w:hAnsi="Tahoma"/>
          <w:sz w:val="22"/>
          <w:szCs w:val="22"/>
        </w:rPr>
        <w:t>stated that there were also discussions about a stream condition index (SCI) analysis</w:t>
      </w:r>
      <w:r w:rsidR="0020511C">
        <w:rPr>
          <w:rFonts w:ascii="Tahoma" w:hAnsi="Tahoma"/>
          <w:sz w:val="22"/>
          <w:szCs w:val="22"/>
        </w:rPr>
        <w:t>,</w:t>
      </w:r>
      <w:r w:rsidR="000610DF">
        <w:rPr>
          <w:rFonts w:ascii="Tahoma" w:hAnsi="Tahoma"/>
          <w:sz w:val="22"/>
          <w:szCs w:val="22"/>
        </w:rPr>
        <w:t xml:space="preserve"> and she asked if this was completed yet.  Marcy responded that this will also be part of the monitoring plan discussion.  Amy asked if there was follow up on the facility at Garden Street.  Tom Kallemeyn </w:t>
      </w:r>
      <w:r w:rsidR="0020511C">
        <w:rPr>
          <w:rFonts w:ascii="Tahoma" w:hAnsi="Tahoma"/>
          <w:sz w:val="22"/>
          <w:szCs w:val="22"/>
        </w:rPr>
        <w:t>(FDEP</w:t>
      </w:r>
      <w:r w:rsidR="00793D57">
        <w:rPr>
          <w:rFonts w:ascii="Tahoma" w:hAnsi="Tahoma"/>
          <w:sz w:val="22"/>
          <w:szCs w:val="22"/>
        </w:rPr>
        <w:t xml:space="preserve"> NED</w:t>
      </w:r>
      <w:r w:rsidR="0020511C">
        <w:rPr>
          <w:rFonts w:ascii="Tahoma" w:hAnsi="Tahoma"/>
          <w:sz w:val="22"/>
          <w:szCs w:val="22"/>
        </w:rPr>
        <w:t xml:space="preserve">) </w:t>
      </w:r>
      <w:r w:rsidR="000610DF">
        <w:rPr>
          <w:rFonts w:ascii="Tahoma" w:hAnsi="Tahoma"/>
          <w:sz w:val="22"/>
          <w:szCs w:val="22"/>
        </w:rPr>
        <w:t xml:space="preserve">responded that FDEP did follow up and determined that there was no discharge from this facility.  The facility is only used to store </w:t>
      </w:r>
      <w:proofErr w:type="spellStart"/>
      <w:r w:rsidR="000610DF">
        <w:rPr>
          <w:rFonts w:ascii="Tahoma" w:hAnsi="Tahoma"/>
          <w:sz w:val="22"/>
          <w:szCs w:val="22"/>
        </w:rPr>
        <w:t>biosolids</w:t>
      </w:r>
      <w:proofErr w:type="spellEnd"/>
      <w:r w:rsidR="000610DF">
        <w:rPr>
          <w:rFonts w:ascii="Tahoma" w:hAnsi="Tahoma"/>
          <w:sz w:val="22"/>
          <w:szCs w:val="22"/>
        </w:rPr>
        <w:t xml:space="preserve"> before they are shipped</w:t>
      </w:r>
      <w:r w:rsidR="00E97DE2">
        <w:rPr>
          <w:rFonts w:ascii="Tahoma" w:hAnsi="Tahoma"/>
          <w:sz w:val="22"/>
          <w:szCs w:val="22"/>
        </w:rPr>
        <w:t xml:space="preserve"> to other locations</w:t>
      </w:r>
      <w:r w:rsidR="000610DF">
        <w:rPr>
          <w:rFonts w:ascii="Tahoma" w:hAnsi="Tahoma"/>
          <w:sz w:val="22"/>
          <w:szCs w:val="22"/>
        </w:rPr>
        <w:t>.</w:t>
      </w:r>
    </w:p>
    <w:p w:rsidR="000610DF" w:rsidRDefault="000610DF" w:rsidP="001415EC">
      <w:pPr>
        <w:autoSpaceDE w:val="0"/>
        <w:autoSpaceDN w:val="0"/>
        <w:adjustRightInd w:val="0"/>
        <w:jc w:val="both"/>
        <w:rPr>
          <w:rFonts w:ascii="Tahoma" w:hAnsi="Tahoma"/>
          <w:sz w:val="22"/>
          <w:szCs w:val="22"/>
        </w:rPr>
      </w:pPr>
    </w:p>
    <w:p w:rsidR="00A97F0B" w:rsidRDefault="00D34DA4" w:rsidP="00737FCC">
      <w:pPr>
        <w:autoSpaceDE w:val="0"/>
        <w:autoSpaceDN w:val="0"/>
        <w:adjustRightInd w:val="0"/>
        <w:jc w:val="both"/>
        <w:rPr>
          <w:rFonts w:ascii="Tahoma" w:hAnsi="Tahoma"/>
          <w:sz w:val="22"/>
          <w:szCs w:val="22"/>
        </w:rPr>
      </w:pPr>
      <w:r>
        <w:rPr>
          <w:rFonts w:ascii="Tahoma" w:hAnsi="Tahoma"/>
          <w:sz w:val="22"/>
          <w:szCs w:val="22"/>
        </w:rPr>
        <w:t>Dana</w:t>
      </w:r>
      <w:r w:rsidR="000610DF">
        <w:rPr>
          <w:rFonts w:ascii="Tahoma" w:hAnsi="Tahoma"/>
          <w:sz w:val="22"/>
          <w:szCs w:val="22"/>
        </w:rPr>
        <w:t xml:space="preserve"> Morton </w:t>
      </w:r>
      <w:r w:rsidR="00683C27">
        <w:rPr>
          <w:rFonts w:ascii="Tahoma" w:hAnsi="Tahoma"/>
          <w:sz w:val="22"/>
          <w:szCs w:val="22"/>
        </w:rPr>
        <w:t xml:space="preserve">(COJ) </w:t>
      </w:r>
      <w:r w:rsidR="000610DF">
        <w:rPr>
          <w:rFonts w:ascii="Tahoma" w:hAnsi="Tahoma"/>
          <w:sz w:val="22"/>
          <w:szCs w:val="22"/>
        </w:rPr>
        <w:t>asked about salinity impacts on the data.  The COJ monitoring sites at Old Kings Road and the boat ramp at U.S. 1 are brackish</w:t>
      </w:r>
      <w:r w:rsidR="007F152C">
        <w:rPr>
          <w:rFonts w:ascii="Tahoma" w:hAnsi="Tahoma"/>
          <w:sz w:val="22"/>
          <w:szCs w:val="22"/>
        </w:rPr>
        <w:t>,</w:t>
      </w:r>
      <w:r w:rsidR="000610DF">
        <w:rPr>
          <w:rFonts w:ascii="Tahoma" w:hAnsi="Tahoma"/>
          <w:sz w:val="22"/>
          <w:szCs w:val="22"/>
        </w:rPr>
        <w:t xml:space="preserve"> but the WBID is designated as freshwater.  The salinity in these types of dark water systems can cause DO concentrations to decrease</w:t>
      </w:r>
      <w:r w:rsidR="007F152C">
        <w:rPr>
          <w:rFonts w:ascii="Tahoma" w:hAnsi="Tahoma"/>
          <w:sz w:val="22"/>
          <w:szCs w:val="22"/>
        </w:rPr>
        <w:t>,</w:t>
      </w:r>
      <w:r w:rsidR="000610DF">
        <w:rPr>
          <w:rFonts w:ascii="Tahoma" w:hAnsi="Tahoma"/>
          <w:sz w:val="22"/>
          <w:szCs w:val="22"/>
        </w:rPr>
        <w:t xml:space="preserve"> and he asked if the WBID was incorrectly listed as impaired because the freshwater DO standard was used.</w:t>
      </w:r>
      <w:r w:rsidR="00737FCC">
        <w:rPr>
          <w:rFonts w:ascii="Tahoma" w:hAnsi="Tahoma"/>
          <w:sz w:val="22"/>
          <w:szCs w:val="22"/>
        </w:rPr>
        <w:t xml:space="preserve">  Tiffany responded that the current DO standard is 5.0 mg/L, whether the waterbody is marine or freshwater.  FDEP is in the process of revising the DO standards; however, there is currently only the one DO standard.  Dana asked what happened to discussions about creating site specific alternative criteria (SSAC) for Trout River because the conditions are likely natural.  Marcy responded that there were discussions about a SSAC for Trout River</w:t>
      </w:r>
      <w:r w:rsidR="007F152C">
        <w:rPr>
          <w:rFonts w:ascii="Tahoma" w:hAnsi="Tahoma"/>
          <w:sz w:val="22"/>
          <w:szCs w:val="22"/>
        </w:rPr>
        <w:t>,</w:t>
      </w:r>
      <w:r w:rsidR="00737FCC">
        <w:rPr>
          <w:rFonts w:ascii="Tahoma" w:hAnsi="Tahoma"/>
          <w:sz w:val="22"/>
          <w:szCs w:val="22"/>
        </w:rPr>
        <w:t xml:space="preserve"> but FDEP was concerned that it would be difficult to prove to the U.S. Environmental Protection Agency (EPA) that the DO is natural because TP is not meeting water quality standards.  Lisa asked where information was available on the designation of a WBID as marine or fresh.  John Abendroth responded that one of the Impaired Waters Rule (IWR) runs could be used</w:t>
      </w:r>
      <w:r w:rsidR="007F152C">
        <w:rPr>
          <w:rFonts w:ascii="Tahoma" w:hAnsi="Tahoma"/>
          <w:sz w:val="22"/>
          <w:szCs w:val="22"/>
        </w:rPr>
        <w:t>,</w:t>
      </w:r>
      <w:r w:rsidR="00737FCC">
        <w:rPr>
          <w:rFonts w:ascii="Tahoma" w:hAnsi="Tahoma"/>
          <w:sz w:val="22"/>
          <w:szCs w:val="22"/>
        </w:rPr>
        <w:t xml:space="preserve"> or Julie Espy (FDEP) could be contacted for this information.  </w:t>
      </w:r>
      <w:r w:rsidR="00A97F0B">
        <w:rPr>
          <w:rFonts w:ascii="Tahoma" w:hAnsi="Tahoma"/>
          <w:sz w:val="22"/>
          <w:szCs w:val="22"/>
        </w:rPr>
        <w:t>Dana</w:t>
      </w:r>
      <w:r w:rsidR="00737FCC">
        <w:rPr>
          <w:rFonts w:ascii="Tahoma" w:hAnsi="Tahoma"/>
          <w:sz w:val="22"/>
          <w:szCs w:val="22"/>
        </w:rPr>
        <w:t xml:space="preserve"> stated that he is concerned that the stakeholders are being asked to make reductions to address an impairment that does not exist.  He would like a level of comfort that this is a legitimate impairment.  Tiffany responded that FDEP cannot list a waterbody as impaired for DO without a causative pollutant.  FDEP did find a relationship between DO and nutrients but that does not mean that salinity is also not a factor.  John added that the sites that could be affected by salinity would need to be identified to determine what percentage of the data in the TMDL could be skewed by salinity results.</w:t>
      </w:r>
    </w:p>
    <w:p w:rsidR="00136D9F" w:rsidRDefault="00136D9F" w:rsidP="001415EC">
      <w:pPr>
        <w:autoSpaceDE w:val="0"/>
        <w:autoSpaceDN w:val="0"/>
        <w:adjustRightInd w:val="0"/>
        <w:jc w:val="both"/>
        <w:rPr>
          <w:rFonts w:ascii="Tahoma" w:hAnsi="Tahoma"/>
          <w:sz w:val="22"/>
          <w:szCs w:val="22"/>
        </w:rPr>
      </w:pPr>
    </w:p>
    <w:p w:rsidR="006F3B68" w:rsidRDefault="0089478C" w:rsidP="001415EC">
      <w:pPr>
        <w:autoSpaceDE w:val="0"/>
        <w:autoSpaceDN w:val="0"/>
        <w:adjustRightInd w:val="0"/>
        <w:jc w:val="both"/>
        <w:rPr>
          <w:rFonts w:ascii="Tahoma" w:hAnsi="Tahoma"/>
          <w:sz w:val="22"/>
          <w:szCs w:val="22"/>
        </w:rPr>
      </w:pPr>
      <w:r>
        <w:rPr>
          <w:rFonts w:ascii="Tahoma" w:hAnsi="Tahoma"/>
          <w:b/>
          <w:sz w:val="22"/>
          <w:szCs w:val="22"/>
        </w:rPr>
        <w:t>Little Trout River</w:t>
      </w:r>
      <w:r w:rsidR="001C0B47">
        <w:rPr>
          <w:rFonts w:ascii="Tahoma" w:hAnsi="Tahoma"/>
          <w:sz w:val="22"/>
          <w:szCs w:val="22"/>
        </w:rPr>
        <w:t xml:space="preserve"> (</w:t>
      </w:r>
      <w:r>
        <w:rPr>
          <w:rFonts w:ascii="Tahoma" w:hAnsi="Tahoma"/>
          <w:b/>
          <w:i/>
          <w:sz w:val="22"/>
          <w:szCs w:val="22"/>
        </w:rPr>
        <w:t>Marcy Policastro</w:t>
      </w:r>
      <w:r w:rsidR="001C0B47">
        <w:rPr>
          <w:rFonts w:ascii="Tahoma" w:hAnsi="Tahoma"/>
          <w:sz w:val="22"/>
          <w:szCs w:val="22"/>
        </w:rPr>
        <w:t>)</w:t>
      </w:r>
    </w:p>
    <w:p w:rsidR="00472034" w:rsidRDefault="005F194C" w:rsidP="001415EC">
      <w:pPr>
        <w:autoSpaceDE w:val="0"/>
        <w:autoSpaceDN w:val="0"/>
        <w:adjustRightInd w:val="0"/>
        <w:jc w:val="both"/>
        <w:rPr>
          <w:rFonts w:ascii="Tahoma" w:hAnsi="Tahoma"/>
          <w:sz w:val="22"/>
          <w:szCs w:val="22"/>
        </w:rPr>
      </w:pPr>
      <w:r>
        <w:rPr>
          <w:rFonts w:ascii="Tahoma" w:hAnsi="Tahoma"/>
          <w:sz w:val="22"/>
          <w:szCs w:val="22"/>
        </w:rPr>
        <w:t>Marcy stated that there have been several discussions about including Little Trout River in the BMAP because it is also a contributing waterbody to Middle Trout River.  Little Trout River is WBID 2206</w:t>
      </w:r>
      <w:r w:rsidR="007F152C">
        <w:rPr>
          <w:rFonts w:ascii="Tahoma" w:hAnsi="Tahoma"/>
          <w:sz w:val="22"/>
          <w:szCs w:val="22"/>
        </w:rPr>
        <w:t>,</w:t>
      </w:r>
      <w:r>
        <w:rPr>
          <w:rFonts w:ascii="Tahoma" w:hAnsi="Tahoma"/>
          <w:sz w:val="22"/>
          <w:szCs w:val="22"/>
        </w:rPr>
        <w:t xml:space="preserve"> and the land uses in the watershed are predominately agriculture, low density residential, and wetlands.  There is some wastewater and stormwater infrastructure in the watershed.  The major roadways are U.S. 1 and Old Kings Road.  Little Trout River is impaired for DO with the causative pollutants being TP and biochemical oxygen demand (BOD).  A TMDL has not been drafted yet for Little Trout River.</w:t>
      </w:r>
      <w:r w:rsidR="00472034">
        <w:rPr>
          <w:rFonts w:ascii="Tahoma" w:hAnsi="Tahoma"/>
          <w:sz w:val="22"/>
          <w:szCs w:val="22"/>
        </w:rPr>
        <w:t xml:space="preserve">  If Little Trout River is included in the BMAP, this would provide a greater area for the stakeholders to implement projects to achieve the TP reductions.  Adding this area would not change the total required reductions for the BMAP.  Projects in the Little Trout River watershed would benefit both its TMDL and the Middle Trout River TMDL.  Including Little Trout River in the BMAP could make it eligible for listing in FDEP category 4e.  This category means that the waterbody is</w:t>
      </w:r>
      <w:r w:rsidR="00472034" w:rsidRPr="00472034">
        <w:rPr>
          <w:rFonts w:ascii="Tahoma" w:hAnsi="Tahoma"/>
          <w:sz w:val="22"/>
          <w:szCs w:val="22"/>
        </w:rPr>
        <w:t>, “Impaired, but recently completed or ongoing restoration activities are underway to restore the designated uses of the waterbody.”</w:t>
      </w:r>
      <w:r w:rsidR="00472034">
        <w:rPr>
          <w:rFonts w:ascii="Tahoma" w:hAnsi="Tahoma"/>
          <w:sz w:val="22"/>
          <w:szCs w:val="22"/>
        </w:rPr>
        <w:t xml:space="preserve">  Little Trout River is currently on the verified impaired list as category 5, which means it is not achieving a designated use because of the DO impairment.  If Little Trout River is included in </w:t>
      </w:r>
      <w:r w:rsidR="00472034">
        <w:rPr>
          <w:rFonts w:ascii="Tahoma" w:hAnsi="Tahoma"/>
          <w:sz w:val="22"/>
          <w:szCs w:val="22"/>
        </w:rPr>
        <w:lastRenderedPageBreak/>
        <w:t>the BMAP, it could be moved to the delist list in category 4e because efforts are underway to address the impairment.  FDEP is scheduled to assess the Group 2 waterbodies, which includes the LSJR Basin, in 2013.  Little Trout River could be moved to category 4e at that time and then stakeholders would have another five years until the next assessment to implement projects to address the DO impairment.</w:t>
      </w:r>
    </w:p>
    <w:p w:rsidR="00472034" w:rsidRDefault="00472034" w:rsidP="001415EC">
      <w:pPr>
        <w:autoSpaceDE w:val="0"/>
        <w:autoSpaceDN w:val="0"/>
        <w:adjustRightInd w:val="0"/>
        <w:jc w:val="both"/>
        <w:rPr>
          <w:rFonts w:ascii="Tahoma" w:hAnsi="Tahoma"/>
          <w:sz w:val="22"/>
          <w:szCs w:val="22"/>
        </w:rPr>
      </w:pPr>
    </w:p>
    <w:p w:rsidR="00136D9F" w:rsidRDefault="00472034" w:rsidP="001415EC">
      <w:pPr>
        <w:autoSpaceDE w:val="0"/>
        <w:autoSpaceDN w:val="0"/>
        <w:adjustRightInd w:val="0"/>
        <w:jc w:val="both"/>
        <w:rPr>
          <w:rFonts w:ascii="Tahoma" w:hAnsi="Tahoma"/>
          <w:sz w:val="22"/>
          <w:szCs w:val="22"/>
        </w:rPr>
      </w:pPr>
      <w:r>
        <w:rPr>
          <w:rFonts w:ascii="Tahoma" w:hAnsi="Tahoma"/>
          <w:sz w:val="22"/>
          <w:szCs w:val="22"/>
        </w:rPr>
        <w:t xml:space="preserve">Marcy stated that in order for FDEP to list Little Trout River as category 4e, the stakeholders must provide sufficient projects in the watershed.  These projects should not only include ongoing efforts, such as street sweeping and education, but also future projects that will occur over the next five years to reduce nutrients.  This </w:t>
      </w:r>
      <w:r w:rsidR="007F152C">
        <w:rPr>
          <w:rFonts w:ascii="Tahoma" w:hAnsi="Tahoma"/>
          <w:sz w:val="22"/>
          <w:szCs w:val="22"/>
        </w:rPr>
        <w:t xml:space="preserve">information </w:t>
      </w:r>
      <w:r>
        <w:rPr>
          <w:rFonts w:ascii="Tahoma" w:hAnsi="Tahoma"/>
          <w:sz w:val="22"/>
          <w:szCs w:val="22"/>
        </w:rPr>
        <w:t xml:space="preserve">is important because FDEP must be able to justify to EPA why Little Trout River is being moved to category 4e.  Marcy noted that she and Katie spoke with all the stakeholders before this meeting and asked them to provide information about projects that will occur in the Little Trout River watershed.  The Florida Department of Agriculture and Consumer Services (FDACS) was not able to attend the meeting but Jody Lee (FDACS) had previously stated that they could sign up producers for best management practices (BMPs) if the Little Trout River watershed </w:t>
      </w:r>
      <w:r w:rsidR="007F152C">
        <w:rPr>
          <w:rFonts w:ascii="Tahoma" w:hAnsi="Tahoma"/>
          <w:sz w:val="22"/>
          <w:szCs w:val="22"/>
        </w:rPr>
        <w:t xml:space="preserve">was </w:t>
      </w:r>
      <w:r>
        <w:rPr>
          <w:rFonts w:ascii="Tahoma" w:hAnsi="Tahoma"/>
          <w:sz w:val="22"/>
          <w:szCs w:val="22"/>
        </w:rPr>
        <w:t>included in the BMAP.</w:t>
      </w:r>
    </w:p>
    <w:p w:rsidR="00DA715D" w:rsidRDefault="00DA715D" w:rsidP="001415EC">
      <w:pPr>
        <w:autoSpaceDE w:val="0"/>
        <w:autoSpaceDN w:val="0"/>
        <w:adjustRightInd w:val="0"/>
        <w:jc w:val="both"/>
        <w:rPr>
          <w:rFonts w:ascii="Tahoma" w:hAnsi="Tahoma"/>
          <w:sz w:val="22"/>
          <w:szCs w:val="22"/>
        </w:rPr>
      </w:pPr>
    </w:p>
    <w:p w:rsidR="00427A69" w:rsidRDefault="00DA715D" w:rsidP="001415EC">
      <w:pPr>
        <w:autoSpaceDE w:val="0"/>
        <w:autoSpaceDN w:val="0"/>
        <w:adjustRightInd w:val="0"/>
        <w:jc w:val="both"/>
        <w:rPr>
          <w:rFonts w:ascii="Tahoma" w:hAnsi="Tahoma"/>
          <w:sz w:val="22"/>
          <w:szCs w:val="22"/>
        </w:rPr>
      </w:pPr>
      <w:r>
        <w:rPr>
          <w:rFonts w:ascii="Tahoma" w:hAnsi="Tahoma"/>
          <w:sz w:val="22"/>
          <w:szCs w:val="22"/>
        </w:rPr>
        <w:t>Lisa Sterling stated that COJ has three alternatives for the regional stormwater facility in the Tr</w:t>
      </w:r>
      <w:r w:rsidR="00C92567">
        <w:rPr>
          <w:rFonts w:ascii="Tahoma" w:hAnsi="Tahoma"/>
          <w:sz w:val="22"/>
          <w:szCs w:val="22"/>
        </w:rPr>
        <w:t>out River watershed, and</w:t>
      </w:r>
      <w:r>
        <w:rPr>
          <w:rFonts w:ascii="Tahoma" w:hAnsi="Tahoma"/>
          <w:sz w:val="22"/>
          <w:szCs w:val="22"/>
        </w:rPr>
        <w:t xml:space="preserve"> Alt 1 is located in the Little Trout River watershed.  Marcy responded that Alt 1 has much lower reductions than Alt 2, which was provided for the BMAP project table.  Lisa stated that COJ was looking at groups of alternatives</w:t>
      </w:r>
      <w:r w:rsidR="007F152C">
        <w:rPr>
          <w:rFonts w:ascii="Tahoma" w:hAnsi="Tahoma"/>
          <w:sz w:val="22"/>
          <w:szCs w:val="22"/>
        </w:rPr>
        <w:t>,</w:t>
      </w:r>
      <w:r>
        <w:rPr>
          <w:rFonts w:ascii="Tahoma" w:hAnsi="Tahoma"/>
          <w:sz w:val="22"/>
          <w:szCs w:val="22"/>
        </w:rPr>
        <w:t xml:space="preserve"> and the selected project depends on feedback from </w:t>
      </w:r>
      <w:r w:rsidR="007F152C">
        <w:rPr>
          <w:rFonts w:ascii="Tahoma" w:hAnsi="Tahoma"/>
          <w:sz w:val="22"/>
          <w:szCs w:val="22"/>
        </w:rPr>
        <w:t xml:space="preserve">Eric Livingston’s group at </w:t>
      </w:r>
      <w:r>
        <w:rPr>
          <w:rFonts w:ascii="Tahoma" w:hAnsi="Tahoma"/>
          <w:sz w:val="22"/>
          <w:szCs w:val="22"/>
        </w:rPr>
        <w:t>FDEP on the credit for managed aquatic plant systems (MAPS).  If MAPS receive reasonable credit, Alt 1 and Alt 2 could be constructed.  If MAPS are not feasible, Alt 1 and Alt 3 could be constructed.  Alan Obaigbena</w:t>
      </w:r>
      <w:r w:rsidR="007F152C">
        <w:rPr>
          <w:rFonts w:ascii="Tahoma" w:hAnsi="Tahoma"/>
          <w:sz w:val="22"/>
          <w:szCs w:val="22"/>
        </w:rPr>
        <w:t xml:space="preserve"> (FDOT)</w:t>
      </w:r>
      <w:r>
        <w:rPr>
          <w:rFonts w:ascii="Tahoma" w:hAnsi="Tahoma"/>
          <w:sz w:val="22"/>
          <w:szCs w:val="22"/>
        </w:rPr>
        <w:t xml:space="preserve"> stated that FDOT is not a stakeholder in the Little Trout River watershed.  Old Kings Road is not a FDOT roadway and U.S. 1 is located outside the WBID boundary.  </w:t>
      </w:r>
    </w:p>
    <w:p w:rsidR="00427A69" w:rsidRDefault="00427A69" w:rsidP="001415EC">
      <w:pPr>
        <w:autoSpaceDE w:val="0"/>
        <w:autoSpaceDN w:val="0"/>
        <w:adjustRightInd w:val="0"/>
        <w:jc w:val="both"/>
        <w:rPr>
          <w:rFonts w:ascii="Tahoma" w:hAnsi="Tahoma"/>
          <w:sz w:val="22"/>
          <w:szCs w:val="22"/>
        </w:rPr>
      </w:pPr>
    </w:p>
    <w:p w:rsidR="00AB1E70" w:rsidRDefault="00DA715D" w:rsidP="001415EC">
      <w:pPr>
        <w:autoSpaceDE w:val="0"/>
        <w:autoSpaceDN w:val="0"/>
        <w:adjustRightInd w:val="0"/>
        <w:jc w:val="both"/>
        <w:rPr>
          <w:rFonts w:ascii="Tahoma" w:hAnsi="Tahoma"/>
          <w:sz w:val="22"/>
          <w:szCs w:val="22"/>
        </w:rPr>
      </w:pPr>
      <w:r>
        <w:rPr>
          <w:rFonts w:ascii="Tahoma" w:hAnsi="Tahoma"/>
          <w:sz w:val="22"/>
          <w:szCs w:val="22"/>
        </w:rPr>
        <w:t>Lisa asked what would occur if Little Trout River was not included in the BMAP.  Marcy responded that a TMDL would be developed for Little Trout River according to their TMDL development schedule.  John</w:t>
      </w:r>
      <w:r w:rsidR="00C872F4">
        <w:rPr>
          <w:rFonts w:ascii="Tahoma" w:hAnsi="Tahoma"/>
          <w:sz w:val="22"/>
          <w:szCs w:val="22"/>
        </w:rPr>
        <w:t xml:space="preserve"> Abendroth</w:t>
      </w:r>
      <w:r>
        <w:rPr>
          <w:rFonts w:ascii="Tahoma" w:hAnsi="Tahoma"/>
          <w:sz w:val="22"/>
          <w:szCs w:val="22"/>
        </w:rPr>
        <w:t xml:space="preserve"> added that once a waterbody is listed as impaired, FDEP has 10-12 years to develop a TMDL.</w:t>
      </w:r>
      <w:r w:rsidR="00427A69">
        <w:rPr>
          <w:rFonts w:ascii="Tahoma" w:hAnsi="Tahoma"/>
          <w:sz w:val="22"/>
          <w:szCs w:val="22"/>
        </w:rPr>
        <w:t xml:space="preserve">  Marcy stated that FDEP started discussions on Little Trout River to provide a larger area to implement projects to meet the Middle Trout TMDL reductions.  If including this area is not helpful, it does not have to be added to the BMAP.  Tiffany suggested that the stakeholders could look at the Little Trout River area as part of the monitoring plan to determine if additional monitoring could be added to gather more information about this watershed.  Lisa stated that when looking at the Little Trout River watershed, it is not very developed and would not seem to be impaired.</w:t>
      </w:r>
      <w:r w:rsidR="003E4143">
        <w:rPr>
          <w:rFonts w:ascii="Tahoma" w:hAnsi="Tahoma"/>
          <w:sz w:val="22"/>
          <w:szCs w:val="22"/>
        </w:rPr>
        <w:t xml:space="preserve">  Vince asked what the timeline would be to implement projects in this area.  Marcy responded that it would be about seven years because the next Group 2 listing is in 2013 and then the stakeholders would have five years until the next assessment cycle.  Lisa stated that there does not seem to be enough development in the Little Trout River watershed to justify the cost of projects in that area.  Lisa noted that she has a call into COJ Grounds and Maintenance about changes in fertilizer practices that could receive credit.  There would be no street sweeping in this area because it is not part of the core city.</w:t>
      </w:r>
      <w:r w:rsidR="00AB1E70">
        <w:rPr>
          <w:rFonts w:ascii="Tahoma" w:hAnsi="Tahoma"/>
          <w:sz w:val="22"/>
          <w:szCs w:val="22"/>
        </w:rPr>
        <w:t xml:space="preserve">  Amy stated that she thought Tiffany’s idea of looking at the monitoring is a good one because there were discussions about one of the Little Trout River stations being located near a wetland.  This </w:t>
      </w:r>
      <w:r w:rsidR="008D30C5">
        <w:rPr>
          <w:rFonts w:ascii="Tahoma" w:hAnsi="Tahoma"/>
          <w:sz w:val="22"/>
          <w:szCs w:val="22"/>
        </w:rPr>
        <w:t xml:space="preserve">station’s location </w:t>
      </w:r>
      <w:r w:rsidR="00AB1E70">
        <w:rPr>
          <w:rFonts w:ascii="Tahoma" w:hAnsi="Tahoma"/>
          <w:sz w:val="22"/>
          <w:szCs w:val="22"/>
        </w:rPr>
        <w:t>could be affecting the results</w:t>
      </w:r>
      <w:r w:rsidR="008D30C5">
        <w:rPr>
          <w:rFonts w:ascii="Tahoma" w:hAnsi="Tahoma"/>
          <w:sz w:val="22"/>
          <w:szCs w:val="22"/>
        </w:rPr>
        <w:t>,</w:t>
      </w:r>
      <w:r w:rsidR="00AB1E70">
        <w:rPr>
          <w:rFonts w:ascii="Tahoma" w:hAnsi="Tahoma"/>
          <w:sz w:val="22"/>
          <w:szCs w:val="22"/>
        </w:rPr>
        <w:t xml:space="preserve"> and gathering additional data could provide information for delisting.  Tom Kallemeyn stated that FDEP will start the Group 2 monitoring in January</w:t>
      </w:r>
      <w:r w:rsidR="008D30C5">
        <w:rPr>
          <w:rFonts w:ascii="Tahoma" w:hAnsi="Tahoma"/>
          <w:sz w:val="22"/>
          <w:szCs w:val="22"/>
        </w:rPr>
        <w:t>,</w:t>
      </w:r>
      <w:r w:rsidR="00AB1E70">
        <w:rPr>
          <w:rFonts w:ascii="Tahoma" w:hAnsi="Tahoma"/>
          <w:sz w:val="22"/>
          <w:szCs w:val="22"/>
        </w:rPr>
        <w:t xml:space="preserve"> but he has not yet received a list of WBIDs that need sampling.  Approximately 45-50 samples would be needed to delist a waterbody and </w:t>
      </w:r>
      <w:r w:rsidR="00AB1E70">
        <w:rPr>
          <w:rFonts w:ascii="Tahoma" w:hAnsi="Tahoma"/>
          <w:sz w:val="22"/>
          <w:szCs w:val="22"/>
        </w:rPr>
        <w:lastRenderedPageBreak/>
        <w:t xml:space="preserve">FDEP Northeast District (NED) will take about 20 samples in the next year.  FDEP will set up a call with COJ and Julie Espy to determine what information would be needed to delist Little Trout River as impaired.  </w:t>
      </w:r>
    </w:p>
    <w:p w:rsidR="00AB1E70" w:rsidRDefault="00AB1E70" w:rsidP="001415EC">
      <w:pPr>
        <w:autoSpaceDE w:val="0"/>
        <w:autoSpaceDN w:val="0"/>
        <w:adjustRightInd w:val="0"/>
        <w:jc w:val="both"/>
        <w:rPr>
          <w:rFonts w:ascii="Tahoma" w:hAnsi="Tahoma"/>
          <w:sz w:val="22"/>
          <w:szCs w:val="22"/>
        </w:rPr>
      </w:pPr>
    </w:p>
    <w:p w:rsidR="00AB1E70" w:rsidRDefault="00AB1E70" w:rsidP="001415EC">
      <w:pPr>
        <w:autoSpaceDE w:val="0"/>
        <w:autoSpaceDN w:val="0"/>
        <w:adjustRightInd w:val="0"/>
        <w:jc w:val="both"/>
        <w:rPr>
          <w:rFonts w:ascii="Tahoma" w:hAnsi="Tahoma"/>
          <w:sz w:val="22"/>
          <w:szCs w:val="22"/>
        </w:rPr>
      </w:pPr>
      <w:r>
        <w:rPr>
          <w:rFonts w:ascii="Tahoma" w:hAnsi="Tahoma"/>
          <w:sz w:val="22"/>
          <w:szCs w:val="22"/>
        </w:rPr>
        <w:t>The stakeholders determined that the best approach was to monitor Little Trout River and not include it in the BMAP.  The monitoring plan for Little Trout River may be included in the BMAP monitoring plan as a secondary objective.</w:t>
      </w:r>
    </w:p>
    <w:p w:rsidR="00136D9F" w:rsidRDefault="00136D9F" w:rsidP="001415EC">
      <w:pPr>
        <w:autoSpaceDE w:val="0"/>
        <w:autoSpaceDN w:val="0"/>
        <w:adjustRightInd w:val="0"/>
        <w:jc w:val="both"/>
        <w:rPr>
          <w:rFonts w:ascii="Tahoma" w:hAnsi="Tahoma"/>
          <w:b/>
          <w:sz w:val="22"/>
          <w:szCs w:val="22"/>
        </w:rPr>
      </w:pPr>
    </w:p>
    <w:p w:rsidR="00CB5104" w:rsidRDefault="00C70C02" w:rsidP="001415EC">
      <w:pPr>
        <w:autoSpaceDE w:val="0"/>
        <w:autoSpaceDN w:val="0"/>
        <w:adjustRightInd w:val="0"/>
        <w:jc w:val="both"/>
        <w:rPr>
          <w:rFonts w:ascii="Tahoma" w:hAnsi="Tahoma"/>
          <w:sz w:val="22"/>
          <w:szCs w:val="22"/>
        </w:rPr>
      </w:pPr>
      <w:r>
        <w:rPr>
          <w:rFonts w:ascii="Tahoma" w:hAnsi="Tahoma"/>
          <w:b/>
          <w:sz w:val="22"/>
          <w:szCs w:val="22"/>
        </w:rPr>
        <w:t>BMAP Projects</w:t>
      </w:r>
      <w:r w:rsidR="006F3B68">
        <w:rPr>
          <w:rFonts w:ascii="Tahoma" w:hAnsi="Tahoma"/>
          <w:sz w:val="22"/>
          <w:szCs w:val="22"/>
        </w:rPr>
        <w:t xml:space="preserve"> </w:t>
      </w:r>
      <w:r w:rsidR="00146F86">
        <w:rPr>
          <w:rFonts w:ascii="Tahoma" w:hAnsi="Tahoma"/>
          <w:sz w:val="22"/>
          <w:szCs w:val="22"/>
        </w:rPr>
        <w:t>(</w:t>
      </w:r>
      <w:r>
        <w:rPr>
          <w:rFonts w:ascii="Tahoma" w:hAnsi="Tahoma"/>
          <w:b/>
          <w:i/>
          <w:sz w:val="22"/>
          <w:szCs w:val="22"/>
        </w:rPr>
        <w:t>Marcy Policastro</w:t>
      </w:r>
      <w:r w:rsidR="00146F86">
        <w:rPr>
          <w:rFonts w:ascii="Tahoma" w:hAnsi="Tahoma"/>
          <w:sz w:val="22"/>
          <w:szCs w:val="22"/>
        </w:rPr>
        <w:t>)</w:t>
      </w:r>
    </w:p>
    <w:p w:rsidR="00C70C02" w:rsidRDefault="00AB1E70" w:rsidP="001415EC">
      <w:pPr>
        <w:tabs>
          <w:tab w:val="left" w:pos="1740"/>
        </w:tabs>
        <w:autoSpaceDE w:val="0"/>
        <w:autoSpaceDN w:val="0"/>
        <w:adjustRightInd w:val="0"/>
        <w:jc w:val="both"/>
        <w:rPr>
          <w:rFonts w:ascii="Tahoma" w:hAnsi="Tahoma"/>
          <w:sz w:val="22"/>
          <w:szCs w:val="22"/>
        </w:rPr>
      </w:pPr>
      <w:r>
        <w:rPr>
          <w:rFonts w:ascii="Tahoma" w:hAnsi="Tahoma"/>
          <w:sz w:val="22"/>
          <w:szCs w:val="22"/>
        </w:rPr>
        <w:t>Marcy stated that the projects received from the stakeholders so far are the COJ regional facility, COJ/FDOT education efforts, FDOT monthly street sweeping</w:t>
      </w:r>
      <w:r w:rsidR="00306689">
        <w:rPr>
          <w:rFonts w:ascii="Tahoma" w:hAnsi="Tahoma"/>
          <w:sz w:val="22"/>
          <w:szCs w:val="22"/>
        </w:rPr>
        <w:t>, FDOT catch basins, and FDOT elimination of fertilizer application.  The street sweeping and catch basin credit has not yet been quantified.  These calculations will be based on the Florida Stormwater Association (FSA) methodology</w:t>
      </w:r>
      <w:r w:rsidR="008D30C5">
        <w:rPr>
          <w:rFonts w:ascii="Tahoma" w:hAnsi="Tahoma"/>
          <w:sz w:val="22"/>
          <w:szCs w:val="22"/>
        </w:rPr>
        <w:t>,</w:t>
      </w:r>
      <w:r w:rsidR="00306689">
        <w:rPr>
          <w:rFonts w:ascii="Tahoma" w:hAnsi="Tahoma"/>
          <w:sz w:val="22"/>
          <w:szCs w:val="22"/>
        </w:rPr>
        <w:t xml:space="preserve"> and FDOT is gathering information on the weight of material collected annually from street sweeping and catch basins.  The reductions from the other projects total 4,486.7 lbs/yr of TN and 1,038.42 lbs/yr of TP.  These reductions meet the 30% TN reductions for the urban areas.  An additional 465.26 lb/yr of TP reductions are still needed; however, a portion of this will be met through the catch basins and street sweeping.  FDEP has been talking with FDACS about the agricultural reductions</w:t>
      </w:r>
      <w:r w:rsidR="008D30C5">
        <w:rPr>
          <w:rFonts w:ascii="Tahoma" w:hAnsi="Tahoma"/>
          <w:sz w:val="22"/>
          <w:szCs w:val="22"/>
        </w:rPr>
        <w:t>,</w:t>
      </w:r>
      <w:r w:rsidR="00306689">
        <w:rPr>
          <w:rFonts w:ascii="Tahoma" w:hAnsi="Tahoma"/>
          <w:sz w:val="22"/>
          <w:szCs w:val="22"/>
        </w:rPr>
        <w:t xml:space="preserve"> and the next conference call will be on November 1</w:t>
      </w:r>
      <w:r w:rsidR="00306689" w:rsidRPr="00306689">
        <w:rPr>
          <w:rFonts w:ascii="Tahoma" w:hAnsi="Tahoma"/>
          <w:sz w:val="22"/>
          <w:szCs w:val="22"/>
          <w:vertAlign w:val="superscript"/>
        </w:rPr>
        <w:t>st</w:t>
      </w:r>
      <w:r w:rsidR="00306689">
        <w:rPr>
          <w:rFonts w:ascii="Tahoma" w:hAnsi="Tahoma"/>
          <w:sz w:val="22"/>
          <w:szCs w:val="22"/>
        </w:rPr>
        <w:t>.  FDACS is looking at the 2004 land use coverage from the TMDL to determine the acreage of active agricultural operations and the number of acres already signed up for notices of intent (NOIs).</w:t>
      </w:r>
    </w:p>
    <w:p w:rsidR="00813B1F" w:rsidRDefault="00813B1F" w:rsidP="001415EC">
      <w:pPr>
        <w:tabs>
          <w:tab w:val="left" w:pos="1740"/>
        </w:tabs>
        <w:autoSpaceDE w:val="0"/>
        <w:autoSpaceDN w:val="0"/>
        <w:adjustRightInd w:val="0"/>
        <w:jc w:val="both"/>
        <w:rPr>
          <w:rFonts w:ascii="Tahoma" w:hAnsi="Tahoma"/>
          <w:sz w:val="22"/>
          <w:szCs w:val="22"/>
        </w:rPr>
      </w:pPr>
    </w:p>
    <w:p w:rsidR="00813B1F" w:rsidRDefault="007D731C" w:rsidP="001415EC">
      <w:pPr>
        <w:tabs>
          <w:tab w:val="left" w:pos="1740"/>
        </w:tabs>
        <w:autoSpaceDE w:val="0"/>
        <w:autoSpaceDN w:val="0"/>
        <w:adjustRightInd w:val="0"/>
        <w:jc w:val="both"/>
        <w:rPr>
          <w:rFonts w:ascii="Tahoma" w:hAnsi="Tahoma"/>
          <w:sz w:val="22"/>
          <w:szCs w:val="22"/>
        </w:rPr>
      </w:pPr>
      <w:r>
        <w:rPr>
          <w:rFonts w:ascii="Tahoma" w:hAnsi="Tahoma"/>
          <w:sz w:val="22"/>
          <w:szCs w:val="22"/>
        </w:rPr>
        <w:t xml:space="preserve">Dana stated that there is a new subdivision going in south of Plummer Grant Road, which will be on septic tanks.  Dana asked if COJ should plan on </w:t>
      </w:r>
      <w:proofErr w:type="spellStart"/>
      <w:r>
        <w:rPr>
          <w:rFonts w:ascii="Tahoma" w:hAnsi="Tahoma"/>
          <w:sz w:val="22"/>
          <w:szCs w:val="22"/>
        </w:rPr>
        <w:t>sewering</w:t>
      </w:r>
      <w:proofErr w:type="spellEnd"/>
      <w:r>
        <w:rPr>
          <w:rFonts w:ascii="Tahoma" w:hAnsi="Tahoma"/>
          <w:sz w:val="22"/>
          <w:szCs w:val="22"/>
        </w:rPr>
        <w:t xml:space="preserve"> this area.  Marcy responded that since this is a new subdivision, </w:t>
      </w:r>
      <w:r w:rsidR="00C872F4">
        <w:rPr>
          <w:rFonts w:ascii="Tahoma" w:hAnsi="Tahoma"/>
          <w:sz w:val="22"/>
          <w:szCs w:val="22"/>
        </w:rPr>
        <w:t>the tanks should hopefully not be a load</w:t>
      </w:r>
      <w:r>
        <w:rPr>
          <w:rFonts w:ascii="Tahoma" w:hAnsi="Tahoma"/>
          <w:sz w:val="22"/>
          <w:szCs w:val="22"/>
        </w:rPr>
        <w:t>.  Vince noted that the TMDL is based on the total number of septic tanks</w:t>
      </w:r>
      <w:r w:rsidR="008D30C5">
        <w:rPr>
          <w:rFonts w:ascii="Tahoma" w:hAnsi="Tahoma"/>
          <w:sz w:val="22"/>
          <w:szCs w:val="22"/>
        </w:rPr>
        <w:t>,</w:t>
      </w:r>
      <w:r>
        <w:rPr>
          <w:rFonts w:ascii="Tahoma" w:hAnsi="Tahoma"/>
          <w:sz w:val="22"/>
          <w:szCs w:val="22"/>
        </w:rPr>
        <w:t xml:space="preserve"> so this could be a new source.  Tiffany responded that </w:t>
      </w:r>
      <w:r w:rsidR="00E97DE2">
        <w:rPr>
          <w:rFonts w:ascii="Tahoma" w:hAnsi="Tahoma"/>
          <w:sz w:val="22"/>
          <w:szCs w:val="22"/>
        </w:rPr>
        <w:t xml:space="preserve">our best understanding of functioning septic tank contributions, such as </w:t>
      </w:r>
      <w:r>
        <w:rPr>
          <w:rFonts w:ascii="Tahoma" w:hAnsi="Tahoma"/>
          <w:sz w:val="22"/>
          <w:szCs w:val="22"/>
        </w:rPr>
        <w:t>the septic tank model being developed by Florida State University (FSU)</w:t>
      </w:r>
      <w:r w:rsidR="00E97DE2">
        <w:rPr>
          <w:rFonts w:ascii="Tahoma" w:hAnsi="Tahoma"/>
          <w:sz w:val="22"/>
          <w:szCs w:val="22"/>
        </w:rPr>
        <w:t>,</w:t>
      </w:r>
      <w:r>
        <w:rPr>
          <w:rFonts w:ascii="Tahoma" w:hAnsi="Tahoma"/>
          <w:sz w:val="22"/>
          <w:szCs w:val="22"/>
        </w:rPr>
        <w:t xml:space="preserve"> would likely not show these tanks as contributing to the load so removing these tanks would not help the DO concentration in Middle Trout River.  Janet Hearn </w:t>
      </w:r>
      <w:r w:rsidR="008D30C5">
        <w:rPr>
          <w:rFonts w:ascii="Tahoma" w:hAnsi="Tahoma"/>
          <w:sz w:val="22"/>
          <w:szCs w:val="22"/>
        </w:rPr>
        <w:t xml:space="preserve">(ATM) </w:t>
      </w:r>
      <w:r>
        <w:rPr>
          <w:rFonts w:ascii="Tahoma" w:hAnsi="Tahoma"/>
          <w:sz w:val="22"/>
          <w:szCs w:val="22"/>
        </w:rPr>
        <w:t>stated that since the required reductions were being applied to the entire urban load, the septic tank loads need to be examined more closely to determine what is reasonable.  Amy noted that this area had historic cattle and dairy farms</w:t>
      </w:r>
      <w:r w:rsidR="008D30C5">
        <w:rPr>
          <w:rFonts w:ascii="Tahoma" w:hAnsi="Tahoma"/>
          <w:sz w:val="22"/>
          <w:szCs w:val="22"/>
        </w:rPr>
        <w:t>,</w:t>
      </w:r>
      <w:r>
        <w:rPr>
          <w:rFonts w:ascii="Tahoma" w:hAnsi="Tahoma"/>
          <w:sz w:val="22"/>
          <w:szCs w:val="22"/>
        </w:rPr>
        <w:t xml:space="preserve"> so there may be legacy loads in the sediments.</w:t>
      </w:r>
    </w:p>
    <w:p w:rsidR="00132248" w:rsidRDefault="007D731C" w:rsidP="001415EC">
      <w:pPr>
        <w:tabs>
          <w:tab w:val="left" w:pos="1740"/>
        </w:tabs>
        <w:autoSpaceDE w:val="0"/>
        <w:autoSpaceDN w:val="0"/>
        <w:adjustRightInd w:val="0"/>
        <w:jc w:val="both"/>
        <w:rPr>
          <w:rFonts w:ascii="Tahoma" w:hAnsi="Tahoma"/>
          <w:sz w:val="22"/>
          <w:szCs w:val="22"/>
        </w:rPr>
      </w:pPr>
      <w:r>
        <w:rPr>
          <w:rFonts w:ascii="Tahoma" w:hAnsi="Tahoma"/>
          <w:sz w:val="22"/>
          <w:szCs w:val="22"/>
        </w:rPr>
        <w:br/>
        <w:t xml:space="preserve">Tiffany asked if </w:t>
      </w:r>
      <w:r w:rsidR="00C9463B">
        <w:rPr>
          <w:rFonts w:ascii="Tahoma" w:hAnsi="Tahoma"/>
          <w:sz w:val="22"/>
          <w:szCs w:val="22"/>
        </w:rPr>
        <w:t xml:space="preserve">the BMAP has to show how all the reductions would be achieved or if some of the TP reductions could be left unaddressed while more monitoring occurred.  John responded that not all of the TP reductions had to be addressed in the </w:t>
      </w:r>
      <w:r w:rsidR="00E97DE2">
        <w:rPr>
          <w:rFonts w:ascii="Tahoma" w:hAnsi="Tahoma"/>
          <w:sz w:val="22"/>
          <w:szCs w:val="22"/>
        </w:rPr>
        <w:t xml:space="preserve">first </w:t>
      </w:r>
      <w:r w:rsidR="00580C33">
        <w:rPr>
          <w:rFonts w:ascii="Tahoma" w:hAnsi="Tahoma"/>
          <w:sz w:val="22"/>
          <w:szCs w:val="22"/>
        </w:rPr>
        <w:t>five</w:t>
      </w:r>
      <w:r w:rsidR="00E97DE2">
        <w:rPr>
          <w:rFonts w:ascii="Tahoma" w:hAnsi="Tahoma"/>
          <w:sz w:val="22"/>
          <w:szCs w:val="22"/>
        </w:rPr>
        <w:t xml:space="preserve">-year iteration of the </w:t>
      </w:r>
      <w:r w:rsidR="00C9463B">
        <w:rPr>
          <w:rFonts w:ascii="Tahoma" w:hAnsi="Tahoma"/>
          <w:sz w:val="22"/>
          <w:szCs w:val="22"/>
        </w:rPr>
        <w:t>BMAP if the stakeholders want to add to the monitoring.  Another phase of the BMAP could be added if it is determined that additional reductions are needed.  Marcy noted that the first BMAP would have to extend for a ten</w:t>
      </w:r>
      <w:r w:rsidR="008D30C5">
        <w:rPr>
          <w:rFonts w:ascii="Tahoma" w:hAnsi="Tahoma"/>
          <w:sz w:val="22"/>
          <w:szCs w:val="22"/>
        </w:rPr>
        <w:t>-</w:t>
      </w:r>
      <w:r w:rsidR="00C9463B">
        <w:rPr>
          <w:rFonts w:ascii="Tahoma" w:hAnsi="Tahoma"/>
          <w:sz w:val="22"/>
          <w:szCs w:val="22"/>
        </w:rPr>
        <w:t>year period to match COJ’s master plan schedule.  Lisa stated that not all of the master plan projects are needed for the LSJR Main Stem BMAP</w:t>
      </w:r>
      <w:r w:rsidR="008D30C5">
        <w:rPr>
          <w:rFonts w:ascii="Tahoma" w:hAnsi="Tahoma"/>
          <w:sz w:val="22"/>
          <w:szCs w:val="22"/>
        </w:rPr>
        <w:t>,</w:t>
      </w:r>
      <w:r w:rsidR="00C9463B">
        <w:rPr>
          <w:rFonts w:ascii="Tahoma" w:hAnsi="Tahoma"/>
          <w:sz w:val="22"/>
          <w:szCs w:val="22"/>
        </w:rPr>
        <w:t xml:space="preserve"> and the projects ranked lower may not be constructed.  The Trout River regional facility was one of the lower ranked projects.  Jocelyn Croci </w:t>
      </w:r>
      <w:r w:rsidR="008D30C5">
        <w:rPr>
          <w:rFonts w:ascii="Tahoma" w:hAnsi="Tahoma"/>
          <w:sz w:val="22"/>
          <w:szCs w:val="22"/>
        </w:rPr>
        <w:t xml:space="preserve">(FDOT) </w:t>
      </w:r>
      <w:r w:rsidR="00C9463B">
        <w:rPr>
          <w:rFonts w:ascii="Tahoma" w:hAnsi="Tahoma"/>
          <w:sz w:val="22"/>
          <w:szCs w:val="22"/>
        </w:rPr>
        <w:t>asked if implementing a ten</w:t>
      </w:r>
      <w:r w:rsidR="008D30C5">
        <w:rPr>
          <w:rFonts w:ascii="Tahoma" w:hAnsi="Tahoma"/>
          <w:sz w:val="22"/>
          <w:szCs w:val="22"/>
        </w:rPr>
        <w:t>-</w:t>
      </w:r>
      <w:r w:rsidR="00C9463B">
        <w:rPr>
          <w:rFonts w:ascii="Tahoma" w:hAnsi="Tahoma"/>
          <w:sz w:val="22"/>
          <w:szCs w:val="22"/>
        </w:rPr>
        <w:t>year BMAP could be an option.  Tiffany responded that FDEP typically tries to achieve the TMDL reductions in a 15</w:t>
      </w:r>
      <w:r w:rsidR="008D30C5">
        <w:rPr>
          <w:rFonts w:ascii="Tahoma" w:hAnsi="Tahoma"/>
          <w:sz w:val="22"/>
          <w:szCs w:val="22"/>
        </w:rPr>
        <w:t>-</w:t>
      </w:r>
      <w:r w:rsidR="00C9463B">
        <w:rPr>
          <w:rFonts w:ascii="Tahoma" w:hAnsi="Tahoma"/>
          <w:sz w:val="22"/>
          <w:szCs w:val="22"/>
        </w:rPr>
        <w:t>year period.  The LSJR Main Stem BMAP covered the entire 15</w:t>
      </w:r>
      <w:r w:rsidR="008D30C5">
        <w:rPr>
          <w:rFonts w:ascii="Tahoma" w:hAnsi="Tahoma"/>
          <w:sz w:val="22"/>
          <w:szCs w:val="22"/>
        </w:rPr>
        <w:t>-</w:t>
      </w:r>
      <w:r w:rsidR="00C9463B">
        <w:rPr>
          <w:rFonts w:ascii="Tahoma" w:hAnsi="Tahoma"/>
          <w:sz w:val="22"/>
          <w:szCs w:val="22"/>
        </w:rPr>
        <w:t xml:space="preserve">year period whereas other BMAPs have been done in five year increments.  </w:t>
      </w:r>
      <w:r w:rsidR="00132248">
        <w:rPr>
          <w:rFonts w:ascii="Tahoma" w:hAnsi="Tahoma"/>
          <w:sz w:val="22"/>
          <w:szCs w:val="22"/>
        </w:rPr>
        <w:t xml:space="preserve">John </w:t>
      </w:r>
      <w:r w:rsidR="00C872F4">
        <w:rPr>
          <w:rFonts w:ascii="Tahoma" w:hAnsi="Tahoma"/>
          <w:sz w:val="22"/>
          <w:szCs w:val="22"/>
        </w:rPr>
        <w:t xml:space="preserve">Abendroth </w:t>
      </w:r>
      <w:r w:rsidR="00C9463B">
        <w:rPr>
          <w:rFonts w:ascii="Tahoma" w:hAnsi="Tahoma"/>
          <w:sz w:val="22"/>
          <w:szCs w:val="22"/>
        </w:rPr>
        <w:t xml:space="preserve">stated that state </w:t>
      </w:r>
      <w:r w:rsidR="00132248">
        <w:rPr>
          <w:rFonts w:ascii="Tahoma" w:hAnsi="Tahoma"/>
          <w:sz w:val="22"/>
          <w:szCs w:val="22"/>
        </w:rPr>
        <w:t xml:space="preserve">statute does require that </w:t>
      </w:r>
      <w:r w:rsidR="00C9463B">
        <w:rPr>
          <w:rFonts w:ascii="Tahoma" w:hAnsi="Tahoma"/>
          <w:sz w:val="22"/>
          <w:szCs w:val="22"/>
        </w:rPr>
        <w:t xml:space="preserve">FDEP </w:t>
      </w:r>
      <w:r w:rsidR="00132248">
        <w:rPr>
          <w:rFonts w:ascii="Tahoma" w:hAnsi="Tahoma"/>
          <w:sz w:val="22"/>
          <w:szCs w:val="22"/>
        </w:rPr>
        <w:t xml:space="preserve">revisit </w:t>
      </w:r>
      <w:r w:rsidR="00C9463B">
        <w:rPr>
          <w:rFonts w:ascii="Tahoma" w:hAnsi="Tahoma"/>
          <w:sz w:val="22"/>
          <w:szCs w:val="22"/>
        </w:rPr>
        <w:t xml:space="preserve">the BMAP </w:t>
      </w:r>
      <w:r w:rsidR="00132248">
        <w:rPr>
          <w:rFonts w:ascii="Tahoma" w:hAnsi="Tahoma"/>
          <w:sz w:val="22"/>
          <w:szCs w:val="22"/>
        </w:rPr>
        <w:t xml:space="preserve">every </w:t>
      </w:r>
      <w:r w:rsidR="00C9463B">
        <w:rPr>
          <w:rFonts w:ascii="Tahoma" w:hAnsi="Tahoma"/>
          <w:sz w:val="22"/>
          <w:szCs w:val="22"/>
        </w:rPr>
        <w:t>five</w:t>
      </w:r>
      <w:r w:rsidR="00132248">
        <w:rPr>
          <w:rFonts w:ascii="Tahoma" w:hAnsi="Tahoma"/>
          <w:sz w:val="22"/>
          <w:szCs w:val="22"/>
        </w:rPr>
        <w:t xml:space="preserve"> years</w:t>
      </w:r>
      <w:r w:rsidR="00C9463B">
        <w:rPr>
          <w:rFonts w:ascii="Tahoma" w:hAnsi="Tahoma"/>
          <w:sz w:val="22"/>
          <w:szCs w:val="22"/>
        </w:rPr>
        <w:t xml:space="preserve">; however, the BMAP </w:t>
      </w:r>
      <w:r w:rsidR="00E97DE2">
        <w:rPr>
          <w:rFonts w:ascii="Tahoma" w:hAnsi="Tahoma"/>
          <w:sz w:val="22"/>
          <w:szCs w:val="22"/>
        </w:rPr>
        <w:t xml:space="preserve">project reduction </w:t>
      </w:r>
      <w:r w:rsidR="00C9463B">
        <w:rPr>
          <w:rFonts w:ascii="Tahoma" w:hAnsi="Tahoma"/>
          <w:sz w:val="22"/>
          <w:szCs w:val="22"/>
        </w:rPr>
        <w:t>timeline can be longer.</w:t>
      </w:r>
    </w:p>
    <w:p w:rsidR="00C9463B" w:rsidRDefault="00C9463B" w:rsidP="001415EC">
      <w:pPr>
        <w:tabs>
          <w:tab w:val="left" w:pos="1740"/>
        </w:tabs>
        <w:autoSpaceDE w:val="0"/>
        <w:autoSpaceDN w:val="0"/>
        <w:adjustRightInd w:val="0"/>
        <w:jc w:val="both"/>
        <w:rPr>
          <w:rFonts w:ascii="Tahoma" w:hAnsi="Tahoma"/>
          <w:sz w:val="22"/>
          <w:szCs w:val="22"/>
        </w:rPr>
      </w:pPr>
    </w:p>
    <w:p w:rsidR="00132248" w:rsidRDefault="00132248" w:rsidP="001415EC">
      <w:pPr>
        <w:tabs>
          <w:tab w:val="left" w:pos="1740"/>
        </w:tabs>
        <w:autoSpaceDE w:val="0"/>
        <w:autoSpaceDN w:val="0"/>
        <w:adjustRightInd w:val="0"/>
        <w:jc w:val="both"/>
        <w:rPr>
          <w:rFonts w:ascii="Tahoma" w:hAnsi="Tahoma"/>
          <w:sz w:val="22"/>
          <w:szCs w:val="22"/>
        </w:rPr>
      </w:pPr>
      <w:r>
        <w:rPr>
          <w:rFonts w:ascii="Tahoma" w:hAnsi="Tahoma"/>
          <w:sz w:val="22"/>
          <w:szCs w:val="22"/>
        </w:rPr>
        <w:t>John P</w:t>
      </w:r>
      <w:r w:rsidR="00D645CF">
        <w:rPr>
          <w:rFonts w:ascii="Tahoma" w:hAnsi="Tahoma"/>
          <w:sz w:val="22"/>
          <w:szCs w:val="22"/>
        </w:rPr>
        <w:t xml:space="preserve">appas </w:t>
      </w:r>
      <w:r w:rsidR="008D30C5">
        <w:rPr>
          <w:rFonts w:ascii="Tahoma" w:hAnsi="Tahoma"/>
          <w:sz w:val="22"/>
          <w:szCs w:val="22"/>
        </w:rPr>
        <w:t xml:space="preserve">(COJ) </w:t>
      </w:r>
      <w:r w:rsidR="00D645CF">
        <w:rPr>
          <w:rFonts w:ascii="Tahoma" w:hAnsi="Tahoma"/>
          <w:sz w:val="22"/>
          <w:szCs w:val="22"/>
        </w:rPr>
        <w:t xml:space="preserve">stated that </w:t>
      </w:r>
      <w:r>
        <w:rPr>
          <w:rFonts w:ascii="Tahoma" w:hAnsi="Tahoma"/>
          <w:sz w:val="22"/>
          <w:szCs w:val="22"/>
        </w:rPr>
        <w:t xml:space="preserve">one of </w:t>
      </w:r>
      <w:r w:rsidR="00D645CF">
        <w:rPr>
          <w:rFonts w:ascii="Tahoma" w:hAnsi="Tahoma"/>
          <w:sz w:val="22"/>
          <w:szCs w:val="22"/>
        </w:rPr>
        <w:t xml:space="preserve">COJ’s </w:t>
      </w:r>
      <w:r>
        <w:rPr>
          <w:rFonts w:ascii="Tahoma" w:hAnsi="Tahoma"/>
          <w:sz w:val="22"/>
          <w:szCs w:val="22"/>
        </w:rPr>
        <w:t xml:space="preserve">challenges for </w:t>
      </w:r>
      <w:r w:rsidR="00D645CF">
        <w:rPr>
          <w:rFonts w:ascii="Tahoma" w:hAnsi="Tahoma"/>
          <w:sz w:val="22"/>
          <w:szCs w:val="22"/>
        </w:rPr>
        <w:t xml:space="preserve">removing </w:t>
      </w:r>
      <w:r>
        <w:rPr>
          <w:rFonts w:ascii="Tahoma" w:hAnsi="Tahoma"/>
          <w:sz w:val="22"/>
          <w:szCs w:val="22"/>
        </w:rPr>
        <w:t xml:space="preserve">septic tanks is </w:t>
      </w:r>
      <w:r w:rsidR="00D645CF">
        <w:rPr>
          <w:rFonts w:ascii="Tahoma" w:hAnsi="Tahoma"/>
          <w:sz w:val="22"/>
          <w:szCs w:val="22"/>
        </w:rPr>
        <w:t xml:space="preserve">that although the tanks are a major </w:t>
      </w:r>
      <w:r>
        <w:rPr>
          <w:rFonts w:ascii="Tahoma" w:hAnsi="Tahoma"/>
          <w:sz w:val="22"/>
          <w:szCs w:val="22"/>
        </w:rPr>
        <w:t xml:space="preserve">component of the BMAP, until </w:t>
      </w:r>
      <w:r w:rsidR="00D645CF">
        <w:rPr>
          <w:rFonts w:ascii="Tahoma" w:hAnsi="Tahoma"/>
          <w:sz w:val="22"/>
          <w:szCs w:val="22"/>
        </w:rPr>
        <w:t xml:space="preserve">COJ is </w:t>
      </w:r>
      <w:r>
        <w:rPr>
          <w:rFonts w:ascii="Tahoma" w:hAnsi="Tahoma"/>
          <w:sz w:val="22"/>
          <w:szCs w:val="22"/>
        </w:rPr>
        <w:t>sure what impacts the</w:t>
      </w:r>
      <w:r w:rsidR="00D645CF">
        <w:rPr>
          <w:rFonts w:ascii="Tahoma" w:hAnsi="Tahoma"/>
          <w:sz w:val="22"/>
          <w:szCs w:val="22"/>
        </w:rPr>
        <w:t xml:space="preserve"> tanks</w:t>
      </w:r>
      <w:r>
        <w:rPr>
          <w:rFonts w:ascii="Tahoma" w:hAnsi="Tahoma"/>
          <w:sz w:val="22"/>
          <w:szCs w:val="22"/>
        </w:rPr>
        <w:t xml:space="preserve"> have</w:t>
      </w:r>
      <w:r w:rsidR="00D645CF">
        <w:rPr>
          <w:rFonts w:ascii="Tahoma" w:hAnsi="Tahoma"/>
          <w:sz w:val="22"/>
          <w:szCs w:val="22"/>
        </w:rPr>
        <w:t xml:space="preserve"> on the waterbodies it is difficult to move forward.  There is limited funding for these projects.  Tiffany responded that FDEP is trying to balance wanting the stakeholders to use their resources well with the need for reductions to occur.</w:t>
      </w:r>
      <w:r w:rsidR="00FD223E">
        <w:rPr>
          <w:rFonts w:ascii="Tahoma" w:hAnsi="Tahoma"/>
          <w:sz w:val="22"/>
          <w:szCs w:val="22"/>
        </w:rPr>
        <w:t xml:space="preserve">  Marcy added that the LSJR Main Stem TMDL required a 30%-50% reduction in TN</w:t>
      </w:r>
      <w:r w:rsidR="008D30C5">
        <w:rPr>
          <w:rFonts w:ascii="Tahoma" w:hAnsi="Tahoma"/>
          <w:sz w:val="22"/>
          <w:szCs w:val="22"/>
        </w:rPr>
        <w:t>,</w:t>
      </w:r>
      <w:r w:rsidR="00FD223E">
        <w:rPr>
          <w:rFonts w:ascii="Tahoma" w:hAnsi="Tahoma"/>
          <w:sz w:val="22"/>
          <w:szCs w:val="22"/>
        </w:rPr>
        <w:t xml:space="preserve"> and 30% was used in the modeling.  If a greater than 30% TN reduction occurs, the entire 70% reduction in TP may not be needed.</w:t>
      </w:r>
    </w:p>
    <w:p w:rsidR="00136D9F" w:rsidRDefault="00136D9F" w:rsidP="001415EC">
      <w:pPr>
        <w:tabs>
          <w:tab w:val="left" w:pos="1740"/>
        </w:tabs>
        <w:autoSpaceDE w:val="0"/>
        <w:autoSpaceDN w:val="0"/>
        <w:adjustRightInd w:val="0"/>
        <w:jc w:val="both"/>
        <w:rPr>
          <w:rFonts w:ascii="Tahoma" w:hAnsi="Tahoma"/>
          <w:sz w:val="22"/>
          <w:szCs w:val="22"/>
        </w:rPr>
      </w:pPr>
    </w:p>
    <w:p w:rsidR="00C70C02" w:rsidRDefault="00C70C02" w:rsidP="001415EC">
      <w:pPr>
        <w:autoSpaceDE w:val="0"/>
        <w:autoSpaceDN w:val="0"/>
        <w:adjustRightInd w:val="0"/>
        <w:jc w:val="both"/>
        <w:rPr>
          <w:rFonts w:ascii="Tahoma" w:hAnsi="Tahoma"/>
          <w:sz w:val="22"/>
          <w:szCs w:val="22"/>
        </w:rPr>
      </w:pPr>
      <w:r>
        <w:rPr>
          <w:rFonts w:ascii="Tahoma" w:hAnsi="Tahoma"/>
          <w:b/>
          <w:sz w:val="22"/>
          <w:szCs w:val="22"/>
        </w:rPr>
        <w:t xml:space="preserve">Monitoring Plan </w:t>
      </w:r>
      <w:r>
        <w:rPr>
          <w:rFonts w:ascii="Tahoma" w:hAnsi="Tahoma"/>
          <w:sz w:val="22"/>
          <w:szCs w:val="22"/>
        </w:rPr>
        <w:t>(</w:t>
      </w:r>
      <w:r>
        <w:rPr>
          <w:rFonts w:ascii="Tahoma" w:hAnsi="Tahoma"/>
          <w:b/>
          <w:i/>
          <w:sz w:val="22"/>
          <w:szCs w:val="22"/>
        </w:rPr>
        <w:t>Katie Hallas</w:t>
      </w:r>
      <w:r>
        <w:rPr>
          <w:rFonts w:ascii="Tahoma" w:hAnsi="Tahoma"/>
          <w:sz w:val="22"/>
          <w:szCs w:val="22"/>
        </w:rPr>
        <w:t>)</w:t>
      </w:r>
    </w:p>
    <w:p w:rsidR="00C70C02" w:rsidRDefault="00D25679" w:rsidP="001415EC">
      <w:pPr>
        <w:tabs>
          <w:tab w:val="left" w:pos="1740"/>
        </w:tabs>
        <w:autoSpaceDE w:val="0"/>
        <w:autoSpaceDN w:val="0"/>
        <w:adjustRightInd w:val="0"/>
        <w:jc w:val="both"/>
        <w:rPr>
          <w:rFonts w:ascii="Tahoma" w:hAnsi="Tahoma"/>
          <w:sz w:val="22"/>
          <w:szCs w:val="22"/>
        </w:rPr>
      </w:pPr>
      <w:r>
        <w:rPr>
          <w:rFonts w:ascii="Tahoma" w:hAnsi="Tahoma"/>
          <w:sz w:val="22"/>
          <w:szCs w:val="22"/>
        </w:rPr>
        <w:t xml:space="preserve">Katie </w:t>
      </w:r>
      <w:r w:rsidR="00CC53A6">
        <w:rPr>
          <w:rFonts w:ascii="Tahoma" w:hAnsi="Tahoma"/>
          <w:sz w:val="22"/>
          <w:szCs w:val="22"/>
        </w:rPr>
        <w:t xml:space="preserve">stated that the purpose </w:t>
      </w:r>
      <w:r w:rsidR="00C872F4">
        <w:rPr>
          <w:rFonts w:ascii="Tahoma" w:hAnsi="Tahoma"/>
          <w:sz w:val="22"/>
          <w:szCs w:val="22"/>
        </w:rPr>
        <w:t xml:space="preserve">of the meeting was </w:t>
      </w:r>
      <w:r w:rsidR="00CC53A6">
        <w:rPr>
          <w:rFonts w:ascii="Tahoma" w:hAnsi="Tahoma"/>
          <w:sz w:val="22"/>
          <w:szCs w:val="22"/>
        </w:rPr>
        <w:t xml:space="preserve">to start discussions on the monitoring plan.  A monitoring plan is required by </w:t>
      </w:r>
      <w:r w:rsidR="008D30C5">
        <w:rPr>
          <w:rFonts w:ascii="Tahoma" w:hAnsi="Tahoma"/>
          <w:sz w:val="22"/>
          <w:szCs w:val="22"/>
        </w:rPr>
        <w:t xml:space="preserve">the Florida Watershed Restoration Act (FWRA) </w:t>
      </w:r>
      <w:r w:rsidR="00CC53A6">
        <w:rPr>
          <w:rFonts w:ascii="Tahoma" w:hAnsi="Tahoma"/>
          <w:sz w:val="22"/>
          <w:szCs w:val="22"/>
        </w:rPr>
        <w:t xml:space="preserve">to </w:t>
      </w:r>
      <w:r w:rsidR="00C677B2">
        <w:rPr>
          <w:rFonts w:ascii="Tahoma" w:hAnsi="Tahoma"/>
          <w:sz w:val="22"/>
          <w:szCs w:val="22"/>
        </w:rPr>
        <w:t>track</w:t>
      </w:r>
      <w:r w:rsidR="00CC53A6">
        <w:rPr>
          <w:rFonts w:ascii="Tahoma" w:hAnsi="Tahoma"/>
          <w:sz w:val="22"/>
          <w:szCs w:val="22"/>
        </w:rPr>
        <w:t xml:space="preserve"> BMAP progress.  When developing a monitoring plan, the stakeholders should consider the </w:t>
      </w:r>
      <w:r>
        <w:rPr>
          <w:rFonts w:ascii="Tahoma" w:hAnsi="Tahoma"/>
          <w:sz w:val="22"/>
          <w:szCs w:val="22"/>
        </w:rPr>
        <w:t xml:space="preserve">TMDL parameters (TN, TP, </w:t>
      </w:r>
      <w:r w:rsidR="00CC53A6">
        <w:rPr>
          <w:rFonts w:ascii="Tahoma" w:hAnsi="Tahoma"/>
          <w:sz w:val="22"/>
          <w:szCs w:val="22"/>
        </w:rPr>
        <w:t xml:space="preserve">and </w:t>
      </w:r>
      <w:r>
        <w:rPr>
          <w:rFonts w:ascii="Tahoma" w:hAnsi="Tahoma"/>
          <w:sz w:val="22"/>
          <w:szCs w:val="22"/>
        </w:rPr>
        <w:t>DO), goals and objectives, allocations to sources, existing stations</w:t>
      </w:r>
      <w:r w:rsidR="00BB40ED">
        <w:rPr>
          <w:rFonts w:ascii="Tahoma" w:hAnsi="Tahoma"/>
          <w:sz w:val="22"/>
          <w:szCs w:val="22"/>
        </w:rPr>
        <w:t>,</w:t>
      </w:r>
      <w:r>
        <w:rPr>
          <w:rFonts w:ascii="Tahoma" w:hAnsi="Tahoma"/>
          <w:sz w:val="22"/>
          <w:szCs w:val="22"/>
        </w:rPr>
        <w:t xml:space="preserve"> and </w:t>
      </w:r>
      <w:r w:rsidR="00CC53A6">
        <w:rPr>
          <w:rFonts w:ascii="Tahoma" w:hAnsi="Tahoma"/>
          <w:sz w:val="22"/>
          <w:szCs w:val="22"/>
        </w:rPr>
        <w:t xml:space="preserve">responsibilities.  Katie reviewed the steps in developing a monitoring plan and stated that the focus </w:t>
      </w:r>
      <w:r w:rsidR="00C677B2">
        <w:rPr>
          <w:rFonts w:ascii="Tahoma" w:hAnsi="Tahoma"/>
          <w:sz w:val="22"/>
          <w:szCs w:val="22"/>
        </w:rPr>
        <w:t>of the meeting</w:t>
      </w:r>
      <w:r w:rsidR="00CC53A6">
        <w:rPr>
          <w:rFonts w:ascii="Tahoma" w:hAnsi="Tahoma"/>
          <w:sz w:val="22"/>
          <w:szCs w:val="22"/>
        </w:rPr>
        <w:t xml:space="preserve"> would be on establishing the objectives and the monitoring design.  The other components of the plan will be discussed at future meetings.  The first step is</w:t>
      </w:r>
      <w:r w:rsidR="00A035AB">
        <w:rPr>
          <w:rFonts w:ascii="Tahoma" w:hAnsi="Tahoma"/>
          <w:sz w:val="22"/>
          <w:szCs w:val="22"/>
        </w:rPr>
        <w:t xml:space="preserve"> to</w:t>
      </w:r>
      <w:r w:rsidR="00CC53A6">
        <w:rPr>
          <w:rFonts w:ascii="Tahoma" w:hAnsi="Tahoma"/>
          <w:sz w:val="22"/>
          <w:szCs w:val="22"/>
        </w:rPr>
        <w:t xml:space="preserve"> identify existing monitoring in the basin and a handout was provided with the stations that Katie was able to find from STORET.  The next step is to establish objectives.</w:t>
      </w:r>
      <w:r w:rsidR="00A035AB">
        <w:rPr>
          <w:rFonts w:ascii="Tahoma" w:hAnsi="Tahoma"/>
          <w:sz w:val="22"/>
          <w:szCs w:val="22"/>
        </w:rPr>
        <w:t xml:space="preserve">  Katie reviewed the proposed primary objective for the plan, which is “</w:t>
      </w:r>
      <w:r w:rsidR="00A035AB" w:rsidRPr="00A035AB">
        <w:rPr>
          <w:rFonts w:ascii="Tahoma" w:hAnsi="Tahoma"/>
          <w:sz w:val="22"/>
          <w:szCs w:val="22"/>
        </w:rPr>
        <w:t xml:space="preserve">To track inputs </w:t>
      </w:r>
      <w:r w:rsidR="00A035AB">
        <w:rPr>
          <w:rFonts w:ascii="Tahoma" w:hAnsi="Tahoma"/>
          <w:sz w:val="22"/>
          <w:szCs w:val="22"/>
        </w:rPr>
        <w:t>and</w:t>
      </w:r>
      <w:r w:rsidR="00A035AB" w:rsidRPr="00A035AB">
        <w:rPr>
          <w:rFonts w:ascii="Tahoma" w:hAnsi="Tahoma"/>
          <w:sz w:val="22"/>
          <w:szCs w:val="22"/>
        </w:rPr>
        <w:t xml:space="preserve"> trends in TN </w:t>
      </w:r>
      <w:r w:rsidR="00A035AB">
        <w:rPr>
          <w:rFonts w:ascii="Tahoma" w:hAnsi="Tahoma"/>
          <w:sz w:val="22"/>
          <w:szCs w:val="22"/>
        </w:rPr>
        <w:t>and</w:t>
      </w:r>
      <w:r w:rsidR="00DB55B4">
        <w:rPr>
          <w:rFonts w:ascii="Tahoma" w:hAnsi="Tahoma"/>
          <w:sz w:val="22"/>
          <w:szCs w:val="22"/>
        </w:rPr>
        <w:t xml:space="preserve"> TP in the Middle Trout River and</w:t>
      </w:r>
      <w:r w:rsidR="00A035AB" w:rsidRPr="00A035AB">
        <w:rPr>
          <w:rFonts w:ascii="Tahoma" w:hAnsi="Tahoma"/>
          <w:sz w:val="22"/>
          <w:szCs w:val="22"/>
        </w:rPr>
        <w:t xml:space="preserve"> Little Trout River.</w:t>
      </w:r>
      <w:r w:rsidR="00A035AB">
        <w:rPr>
          <w:rFonts w:ascii="Tahoma" w:hAnsi="Tahoma"/>
          <w:sz w:val="22"/>
          <w:szCs w:val="22"/>
        </w:rPr>
        <w:t>”</w:t>
      </w:r>
      <w:r w:rsidR="00C677B2">
        <w:rPr>
          <w:rFonts w:ascii="Tahoma" w:hAnsi="Tahoma"/>
          <w:sz w:val="22"/>
          <w:szCs w:val="22"/>
        </w:rPr>
        <w:t xml:space="preserve">  </w:t>
      </w:r>
      <w:r w:rsidR="00DB55B4">
        <w:rPr>
          <w:rFonts w:ascii="Tahoma" w:hAnsi="Tahoma"/>
          <w:sz w:val="22"/>
          <w:szCs w:val="22"/>
        </w:rPr>
        <w:t>The proposed secondary objective is, “</w:t>
      </w:r>
      <w:r w:rsidR="00DB55B4" w:rsidRPr="00DB55B4">
        <w:rPr>
          <w:rFonts w:ascii="Tahoma" w:hAnsi="Tahoma"/>
          <w:sz w:val="22"/>
          <w:szCs w:val="22"/>
        </w:rPr>
        <w:t>To identify areas within the watershed with high loadings of nutrients to better focus management efforts.</w:t>
      </w:r>
      <w:r w:rsidR="00DB55B4">
        <w:rPr>
          <w:rFonts w:ascii="Tahoma" w:hAnsi="Tahoma"/>
          <w:sz w:val="22"/>
          <w:szCs w:val="22"/>
        </w:rPr>
        <w:t>”  Marcy noted that Little Trout River</w:t>
      </w:r>
      <w:r w:rsidR="00A035AB">
        <w:rPr>
          <w:rFonts w:ascii="Tahoma" w:hAnsi="Tahoma"/>
          <w:sz w:val="22"/>
          <w:szCs w:val="22"/>
        </w:rPr>
        <w:t xml:space="preserve"> </w:t>
      </w:r>
      <w:r w:rsidR="00DB55B4">
        <w:rPr>
          <w:rFonts w:ascii="Tahoma" w:hAnsi="Tahoma"/>
          <w:sz w:val="22"/>
          <w:szCs w:val="22"/>
        </w:rPr>
        <w:t>should be removed from the primary objective.</w:t>
      </w:r>
    </w:p>
    <w:p w:rsidR="00F56FB4" w:rsidRDefault="00F56FB4" w:rsidP="001415EC">
      <w:pPr>
        <w:tabs>
          <w:tab w:val="left" w:pos="1740"/>
        </w:tabs>
        <w:autoSpaceDE w:val="0"/>
        <w:autoSpaceDN w:val="0"/>
        <w:adjustRightInd w:val="0"/>
        <w:jc w:val="both"/>
        <w:rPr>
          <w:rFonts w:ascii="Tahoma" w:hAnsi="Tahoma"/>
          <w:sz w:val="22"/>
          <w:szCs w:val="22"/>
        </w:rPr>
      </w:pPr>
    </w:p>
    <w:p w:rsidR="00CC7657" w:rsidRDefault="00E04668" w:rsidP="007C634E">
      <w:pPr>
        <w:tabs>
          <w:tab w:val="left" w:pos="1740"/>
        </w:tabs>
        <w:autoSpaceDE w:val="0"/>
        <w:autoSpaceDN w:val="0"/>
        <w:adjustRightInd w:val="0"/>
        <w:jc w:val="both"/>
        <w:rPr>
          <w:rFonts w:ascii="Tahoma" w:hAnsi="Tahoma"/>
          <w:sz w:val="22"/>
          <w:szCs w:val="22"/>
        </w:rPr>
      </w:pPr>
      <w:r>
        <w:rPr>
          <w:rFonts w:ascii="Tahoma" w:hAnsi="Tahoma"/>
          <w:sz w:val="22"/>
          <w:szCs w:val="22"/>
        </w:rPr>
        <w:t xml:space="preserve">Dana </w:t>
      </w:r>
      <w:r w:rsidR="00F56FB4">
        <w:rPr>
          <w:rFonts w:ascii="Tahoma" w:hAnsi="Tahoma"/>
          <w:sz w:val="22"/>
          <w:szCs w:val="22"/>
        </w:rPr>
        <w:t xml:space="preserve">stated that the TMDL includes information about several reference streams that have similar TP values as Middle Trout River.  It does not seem that Middle Trout River should be impaired based on the reference streams.  Lisa suggested including something in the monitoring plan to determine natural background.  </w:t>
      </w:r>
      <w:r w:rsidR="00CC7657">
        <w:rPr>
          <w:rFonts w:ascii="Tahoma" w:hAnsi="Tahoma"/>
          <w:sz w:val="22"/>
          <w:szCs w:val="22"/>
        </w:rPr>
        <w:t>Amy</w:t>
      </w:r>
      <w:r w:rsidR="00F56FB4">
        <w:rPr>
          <w:rFonts w:ascii="Tahoma" w:hAnsi="Tahoma"/>
          <w:sz w:val="22"/>
          <w:szCs w:val="22"/>
        </w:rPr>
        <w:t xml:space="preserve"> noted that there have been many discussions on the role of wetlands and whether they are removing or contributing nutrients to the system.  John Abendroth responded that FDEP’s overall thought is that wetlands </w:t>
      </w:r>
      <w:r w:rsidR="00E97DE2">
        <w:rPr>
          <w:rFonts w:ascii="Tahoma" w:hAnsi="Tahoma"/>
          <w:sz w:val="22"/>
          <w:szCs w:val="22"/>
        </w:rPr>
        <w:t xml:space="preserve">generally </w:t>
      </w:r>
      <w:r w:rsidR="00F56FB4">
        <w:rPr>
          <w:rFonts w:ascii="Tahoma" w:hAnsi="Tahoma"/>
          <w:sz w:val="22"/>
          <w:szCs w:val="22"/>
        </w:rPr>
        <w:t xml:space="preserve">contribute loading to the system.  </w:t>
      </w:r>
      <w:r w:rsidR="00CC7657">
        <w:rPr>
          <w:rFonts w:ascii="Tahoma" w:hAnsi="Tahoma"/>
          <w:sz w:val="22"/>
          <w:szCs w:val="22"/>
        </w:rPr>
        <w:t>Derek</w:t>
      </w:r>
      <w:r w:rsidR="00F56FB4">
        <w:rPr>
          <w:rFonts w:ascii="Tahoma" w:hAnsi="Tahoma"/>
          <w:sz w:val="22"/>
          <w:szCs w:val="22"/>
        </w:rPr>
        <w:t xml:space="preserve"> Busby </w:t>
      </w:r>
      <w:r w:rsidR="00BB40ED">
        <w:rPr>
          <w:rFonts w:ascii="Tahoma" w:hAnsi="Tahoma"/>
          <w:sz w:val="22"/>
          <w:szCs w:val="22"/>
        </w:rPr>
        <w:t xml:space="preserve">(SJRWMD) </w:t>
      </w:r>
      <w:r w:rsidR="00F56FB4">
        <w:rPr>
          <w:rFonts w:ascii="Tahoma" w:hAnsi="Tahoma"/>
          <w:sz w:val="22"/>
          <w:szCs w:val="22"/>
        </w:rPr>
        <w:t xml:space="preserve">added that wetlands are very variable and </w:t>
      </w:r>
      <w:r w:rsidR="00CC7657">
        <w:rPr>
          <w:rFonts w:ascii="Tahoma" w:hAnsi="Tahoma"/>
          <w:sz w:val="22"/>
          <w:szCs w:val="22"/>
        </w:rPr>
        <w:t xml:space="preserve">trying to analyze </w:t>
      </w:r>
      <w:r w:rsidR="00F56FB4">
        <w:rPr>
          <w:rFonts w:ascii="Tahoma" w:hAnsi="Tahoma"/>
          <w:sz w:val="22"/>
          <w:szCs w:val="22"/>
        </w:rPr>
        <w:t xml:space="preserve">the </w:t>
      </w:r>
      <w:r w:rsidR="00CC7657">
        <w:rPr>
          <w:rFonts w:ascii="Tahoma" w:hAnsi="Tahoma"/>
          <w:sz w:val="22"/>
          <w:szCs w:val="22"/>
        </w:rPr>
        <w:t>dynamics of individual wetlands would be difficult</w:t>
      </w:r>
      <w:r w:rsidR="00F56FB4">
        <w:rPr>
          <w:rFonts w:ascii="Tahoma" w:hAnsi="Tahoma"/>
          <w:sz w:val="22"/>
          <w:szCs w:val="22"/>
        </w:rPr>
        <w:t xml:space="preserve">.  Lisa noted that the western part of the basin is state forest.  Amy </w:t>
      </w:r>
      <w:r w:rsidR="007C634E">
        <w:rPr>
          <w:rFonts w:ascii="Tahoma" w:hAnsi="Tahoma"/>
          <w:sz w:val="22"/>
          <w:szCs w:val="22"/>
        </w:rPr>
        <w:t>stated that she did receive</w:t>
      </w:r>
      <w:r w:rsidR="00F56FB4">
        <w:rPr>
          <w:rFonts w:ascii="Tahoma" w:hAnsi="Tahoma"/>
          <w:sz w:val="22"/>
          <w:szCs w:val="22"/>
        </w:rPr>
        <w:t xml:space="preserve"> a contact for the state forest</w:t>
      </w:r>
      <w:r w:rsidR="00BB40ED">
        <w:rPr>
          <w:rFonts w:ascii="Tahoma" w:hAnsi="Tahoma"/>
          <w:sz w:val="22"/>
          <w:szCs w:val="22"/>
        </w:rPr>
        <w:t>,</w:t>
      </w:r>
      <w:r w:rsidR="00F56FB4">
        <w:rPr>
          <w:rFonts w:ascii="Tahoma" w:hAnsi="Tahoma"/>
          <w:sz w:val="22"/>
          <w:szCs w:val="22"/>
        </w:rPr>
        <w:t xml:space="preserve"> so FDEP can look into access to the river.</w:t>
      </w:r>
      <w:r w:rsidR="007C634E">
        <w:rPr>
          <w:rFonts w:ascii="Tahoma" w:hAnsi="Tahoma"/>
          <w:sz w:val="22"/>
          <w:szCs w:val="22"/>
        </w:rPr>
        <w:t xml:space="preserve">  Amy suggested looking at trends in water quality to see if changes in quality could be linked to changes in land uses.  Katie responded that she started to look at water quality trends using data from January 1, 1996 (the beginning of the Cycle 1 assessment period) through September 30, 2011.  She asked what trends would be helpful for the stakeholders other than </w:t>
      </w:r>
      <w:r w:rsidR="00CC7657">
        <w:rPr>
          <w:rFonts w:ascii="Tahoma" w:hAnsi="Tahoma"/>
          <w:sz w:val="22"/>
          <w:szCs w:val="22"/>
        </w:rPr>
        <w:t xml:space="preserve">TN, TP, </w:t>
      </w:r>
      <w:r w:rsidR="007C634E">
        <w:rPr>
          <w:rFonts w:ascii="Tahoma" w:hAnsi="Tahoma"/>
          <w:sz w:val="22"/>
          <w:szCs w:val="22"/>
        </w:rPr>
        <w:t xml:space="preserve">and </w:t>
      </w:r>
      <w:r w:rsidR="00CC7657">
        <w:rPr>
          <w:rFonts w:ascii="Tahoma" w:hAnsi="Tahoma"/>
          <w:sz w:val="22"/>
          <w:szCs w:val="22"/>
        </w:rPr>
        <w:t>DO</w:t>
      </w:r>
      <w:r w:rsidR="007C634E">
        <w:rPr>
          <w:rFonts w:ascii="Tahoma" w:hAnsi="Tahoma"/>
          <w:sz w:val="22"/>
          <w:szCs w:val="22"/>
        </w:rPr>
        <w:t xml:space="preserve">.  Amy responded that BOD would be useful, if available.  </w:t>
      </w:r>
      <w:r w:rsidR="00DB7FD7">
        <w:rPr>
          <w:rFonts w:ascii="Tahoma" w:hAnsi="Tahoma"/>
          <w:sz w:val="22"/>
          <w:szCs w:val="22"/>
        </w:rPr>
        <w:t xml:space="preserve">Katie mentioned that it may be hard to see trends in these parameters as they were not routinely collected at several of the monitoring locations.  </w:t>
      </w:r>
      <w:r w:rsidR="007C634E">
        <w:rPr>
          <w:rFonts w:ascii="Tahoma" w:hAnsi="Tahoma"/>
          <w:sz w:val="22"/>
          <w:szCs w:val="22"/>
        </w:rPr>
        <w:t>Amy suggested talking with Jody Lee about changes in agricultural land uses.  Marcy responded that this is part of the discussion scheduled for November 1</w:t>
      </w:r>
      <w:r w:rsidR="007C634E" w:rsidRPr="007C634E">
        <w:rPr>
          <w:rFonts w:ascii="Tahoma" w:hAnsi="Tahoma"/>
          <w:sz w:val="22"/>
          <w:szCs w:val="22"/>
          <w:vertAlign w:val="superscript"/>
        </w:rPr>
        <w:t>st</w:t>
      </w:r>
      <w:r w:rsidR="007C634E">
        <w:rPr>
          <w:rFonts w:ascii="Tahoma" w:hAnsi="Tahoma"/>
          <w:sz w:val="22"/>
          <w:szCs w:val="22"/>
        </w:rPr>
        <w:t>.  Derek asked what happens if an are</w:t>
      </w:r>
      <w:r w:rsidR="00C677B2">
        <w:rPr>
          <w:rFonts w:ascii="Tahoma" w:hAnsi="Tahoma"/>
          <w:sz w:val="22"/>
          <w:szCs w:val="22"/>
        </w:rPr>
        <w:t xml:space="preserve">a is shown as agriculture but </w:t>
      </w:r>
      <w:r w:rsidR="007C634E">
        <w:rPr>
          <w:rFonts w:ascii="Tahoma" w:hAnsi="Tahoma"/>
          <w:sz w:val="22"/>
          <w:szCs w:val="22"/>
        </w:rPr>
        <w:t xml:space="preserve">is not in production.  John Abendroth responded that it is currently considered like a NOI for that area.  Marcy added that if an agricultural area is not </w:t>
      </w:r>
      <w:r w:rsidR="00E97DE2">
        <w:rPr>
          <w:rFonts w:ascii="Tahoma" w:hAnsi="Tahoma"/>
          <w:sz w:val="22"/>
          <w:szCs w:val="22"/>
        </w:rPr>
        <w:t xml:space="preserve">in </w:t>
      </w:r>
      <w:r w:rsidR="007C634E">
        <w:rPr>
          <w:rFonts w:ascii="Tahoma" w:hAnsi="Tahoma"/>
          <w:sz w:val="22"/>
          <w:szCs w:val="22"/>
        </w:rPr>
        <w:t>production for the BMAP period, this reduction in load is considered a credit for the BMAP period.  The land uses would be reviewed again in the next iteration of the BMAP</w:t>
      </w:r>
      <w:r w:rsidR="00BB40ED">
        <w:rPr>
          <w:rFonts w:ascii="Tahoma" w:hAnsi="Tahoma"/>
          <w:sz w:val="22"/>
          <w:szCs w:val="22"/>
        </w:rPr>
        <w:t>,</w:t>
      </w:r>
      <w:r w:rsidR="007C634E">
        <w:rPr>
          <w:rFonts w:ascii="Tahoma" w:hAnsi="Tahoma"/>
          <w:sz w:val="22"/>
          <w:szCs w:val="22"/>
        </w:rPr>
        <w:t xml:space="preserve"> and reductions would be needed if the area is in agricultural production again.</w:t>
      </w:r>
    </w:p>
    <w:p w:rsidR="007C634E" w:rsidRDefault="007C634E" w:rsidP="001415EC">
      <w:pPr>
        <w:tabs>
          <w:tab w:val="left" w:pos="1740"/>
        </w:tabs>
        <w:autoSpaceDE w:val="0"/>
        <w:autoSpaceDN w:val="0"/>
        <w:adjustRightInd w:val="0"/>
        <w:jc w:val="both"/>
        <w:rPr>
          <w:rFonts w:ascii="Tahoma" w:hAnsi="Tahoma"/>
          <w:sz w:val="22"/>
          <w:szCs w:val="22"/>
        </w:rPr>
      </w:pPr>
    </w:p>
    <w:p w:rsidR="00913906" w:rsidRDefault="001E0348" w:rsidP="001415EC">
      <w:pPr>
        <w:tabs>
          <w:tab w:val="left" w:pos="1740"/>
        </w:tabs>
        <w:autoSpaceDE w:val="0"/>
        <w:autoSpaceDN w:val="0"/>
        <w:adjustRightInd w:val="0"/>
        <w:jc w:val="both"/>
        <w:rPr>
          <w:rFonts w:ascii="Tahoma" w:hAnsi="Tahoma"/>
          <w:sz w:val="22"/>
          <w:szCs w:val="22"/>
        </w:rPr>
      </w:pPr>
      <w:r>
        <w:rPr>
          <w:rFonts w:ascii="Tahoma" w:hAnsi="Tahoma"/>
          <w:sz w:val="22"/>
          <w:szCs w:val="22"/>
        </w:rPr>
        <w:lastRenderedPageBreak/>
        <w:t>Dana</w:t>
      </w:r>
      <w:r w:rsidR="007C634E">
        <w:rPr>
          <w:rFonts w:ascii="Tahoma" w:hAnsi="Tahoma"/>
          <w:sz w:val="22"/>
          <w:szCs w:val="22"/>
        </w:rPr>
        <w:t xml:space="preserve"> asked about the numeric nutrient criteria (NNC) for this area.  Lisa stated that </w:t>
      </w:r>
      <w:r w:rsidR="00C677B2">
        <w:rPr>
          <w:rFonts w:ascii="Tahoma" w:hAnsi="Tahoma"/>
          <w:sz w:val="22"/>
          <w:szCs w:val="22"/>
        </w:rPr>
        <w:t xml:space="preserve">a </w:t>
      </w:r>
      <w:r w:rsidR="007C634E">
        <w:rPr>
          <w:rFonts w:ascii="Tahoma" w:hAnsi="Tahoma"/>
          <w:sz w:val="22"/>
          <w:szCs w:val="22"/>
        </w:rPr>
        <w:t xml:space="preserve">SCI could be useful here to show why Trout River is different than the reference streams in the TMDL.  Amy stated that she is concerned about using </w:t>
      </w:r>
      <w:r w:rsidR="00BB40ED">
        <w:rPr>
          <w:rFonts w:ascii="Tahoma" w:hAnsi="Tahoma"/>
          <w:sz w:val="22"/>
          <w:szCs w:val="22"/>
        </w:rPr>
        <w:t xml:space="preserve">the </w:t>
      </w:r>
      <w:r w:rsidR="007C634E">
        <w:rPr>
          <w:rFonts w:ascii="Tahoma" w:hAnsi="Tahoma"/>
          <w:sz w:val="22"/>
          <w:szCs w:val="22"/>
        </w:rPr>
        <w:t xml:space="preserve">SCI because the river may not pass.  Tom Kallemeyn stated that FDEP NED has not gone out yet to look for sites for the SCI.  The SCI is based on a number of </w:t>
      </w:r>
      <w:proofErr w:type="spellStart"/>
      <w:r w:rsidR="007C634E">
        <w:rPr>
          <w:rFonts w:ascii="Tahoma" w:hAnsi="Tahoma"/>
          <w:sz w:val="22"/>
          <w:szCs w:val="22"/>
        </w:rPr>
        <w:t>taxa</w:t>
      </w:r>
      <w:proofErr w:type="spellEnd"/>
      <w:r w:rsidR="00BB40ED">
        <w:rPr>
          <w:rFonts w:ascii="Tahoma" w:hAnsi="Tahoma"/>
          <w:sz w:val="22"/>
          <w:szCs w:val="22"/>
        </w:rPr>
        <w:t>,</w:t>
      </w:r>
      <w:r w:rsidR="007C634E">
        <w:rPr>
          <w:rFonts w:ascii="Tahoma" w:hAnsi="Tahoma"/>
          <w:sz w:val="22"/>
          <w:szCs w:val="22"/>
        </w:rPr>
        <w:t xml:space="preserve"> and there does not need to be a high number present to achieve a passing score.  Marcy added that FDEP NED is looking for potential sites to ensure the conditions are appropriate.  There was discussion in past meetings about using the SCI score to establish the natural conditions for the waterbody.  </w:t>
      </w:r>
      <w:r w:rsidR="001E32EC">
        <w:rPr>
          <w:rFonts w:ascii="Tahoma" w:hAnsi="Tahoma"/>
          <w:sz w:val="22"/>
          <w:szCs w:val="22"/>
        </w:rPr>
        <w:t>John A</w:t>
      </w:r>
      <w:r w:rsidR="007C634E">
        <w:rPr>
          <w:rFonts w:ascii="Tahoma" w:hAnsi="Tahoma"/>
          <w:sz w:val="22"/>
          <w:szCs w:val="22"/>
        </w:rPr>
        <w:t>bendroth noted that FDEP would need to be able to make a case to EPA for the natural conditions</w:t>
      </w:r>
      <w:r w:rsidR="00BB40ED">
        <w:rPr>
          <w:rFonts w:ascii="Tahoma" w:hAnsi="Tahoma"/>
          <w:sz w:val="22"/>
          <w:szCs w:val="22"/>
        </w:rPr>
        <w:t>,</w:t>
      </w:r>
      <w:r w:rsidR="007C634E">
        <w:rPr>
          <w:rFonts w:ascii="Tahoma" w:hAnsi="Tahoma"/>
          <w:sz w:val="22"/>
          <w:szCs w:val="22"/>
        </w:rPr>
        <w:t xml:space="preserve"> and it would be difficult because the TP concentration is not meeting standards</w:t>
      </w:r>
      <w:r w:rsidR="00BB40ED">
        <w:rPr>
          <w:rFonts w:ascii="Tahoma" w:hAnsi="Tahoma"/>
          <w:sz w:val="22"/>
          <w:szCs w:val="22"/>
        </w:rPr>
        <w:t>,</w:t>
      </w:r>
      <w:r w:rsidR="007C634E">
        <w:rPr>
          <w:rFonts w:ascii="Tahoma" w:hAnsi="Tahoma"/>
          <w:sz w:val="22"/>
          <w:szCs w:val="22"/>
        </w:rPr>
        <w:t xml:space="preserve"> and there are anthropogenic sources.</w:t>
      </w:r>
      <w:r w:rsidR="009750E6">
        <w:rPr>
          <w:rFonts w:ascii="Tahoma" w:hAnsi="Tahoma"/>
          <w:sz w:val="22"/>
          <w:szCs w:val="22"/>
        </w:rPr>
        <w:t xml:space="preserve">  </w:t>
      </w:r>
      <w:r w:rsidR="00555D76">
        <w:rPr>
          <w:rFonts w:ascii="Tahoma" w:hAnsi="Tahoma"/>
          <w:sz w:val="22"/>
          <w:szCs w:val="22"/>
        </w:rPr>
        <w:t>Lisa</w:t>
      </w:r>
      <w:r w:rsidR="009750E6">
        <w:rPr>
          <w:rFonts w:ascii="Tahoma" w:hAnsi="Tahoma"/>
          <w:sz w:val="22"/>
          <w:szCs w:val="22"/>
        </w:rPr>
        <w:t xml:space="preserve"> noted that if a SSAC is established for the Middle Trout River then the NNC would not apply.  Jocelyn asked if EPA approved creating SSACs.  Tiffany responded that </w:t>
      </w:r>
      <w:r w:rsidR="00C677B2">
        <w:rPr>
          <w:rFonts w:ascii="Tahoma" w:hAnsi="Tahoma"/>
          <w:sz w:val="22"/>
          <w:szCs w:val="22"/>
        </w:rPr>
        <w:t>this</w:t>
      </w:r>
      <w:r w:rsidR="009750E6">
        <w:rPr>
          <w:rFonts w:ascii="Tahoma" w:hAnsi="Tahoma"/>
          <w:sz w:val="22"/>
          <w:szCs w:val="22"/>
        </w:rPr>
        <w:t xml:space="preserve"> discussion is </w:t>
      </w:r>
      <w:r w:rsidR="00C677B2">
        <w:rPr>
          <w:rFonts w:ascii="Tahoma" w:hAnsi="Tahoma"/>
          <w:sz w:val="22"/>
          <w:szCs w:val="22"/>
        </w:rPr>
        <w:t>about</w:t>
      </w:r>
      <w:r w:rsidR="009750E6">
        <w:rPr>
          <w:rFonts w:ascii="Tahoma" w:hAnsi="Tahoma"/>
          <w:sz w:val="22"/>
          <w:szCs w:val="22"/>
        </w:rPr>
        <w:t xml:space="preserve"> a DO SSAC, and one was previously created for the LSJR </w:t>
      </w:r>
      <w:r w:rsidR="00BB40ED">
        <w:rPr>
          <w:rFonts w:ascii="Tahoma" w:hAnsi="Tahoma"/>
          <w:sz w:val="22"/>
          <w:szCs w:val="22"/>
        </w:rPr>
        <w:t>Main S</w:t>
      </w:r>
      <w:r w:rsidR="009750E6">
        <w:rPr>
          <w:rFonts w:ascii="Tahoma" w:hAnsi="Tahoma"/>
          <w:sz w:val="22"/>
          <w:szCs w:val="22"/>
        </w:rPr>
        <w:t xml:space="preserve">tem.  The BMAP could include a goal to gather more data for future refinement of the TMDL.  John Abendroth added that FDEP could not guarantee that </w:t>
      </w:r>
      <w:r w:rsidR="00BB40ED">
        <w:rPr>
          <w:rFonts w:ascii="Tahoma" w:hAnsi="Tahoma"/>
          <w:sz w:val="22"/>
          <w:szCs w:val="22"/>
        </w:rPr>
        <w:t xml:space="preserve">it </w:t>
      </w:r>
      <w:r w:rsidR="009750E6">
        <w:rPr>
          <w:rFonts w:ascii="Tahoma" w:hAnsi="Tahoma"/>
          <w:sz w:val="22"/>
          <w:szCs w:val="22"/>
        </w:rPr>
        <w:t xml:space="preserve">would change the TMDL but more information could be collected to see what impacts it has on the listing.  Marcy suggested adding an objective to gather data for </w:t>
      </w:r>
      <w:r w:rsidR="00913906">
        <w:rPr>
          <w:rFonts w:ascii="Tahoma" w:hAnsi="Tahoma"/>
          <w:sz w:val="22"/>
          <w:szCs w:val="22"/>
        </w:rPr>
        <w:t>potential future refinement of</w:t>
      </w:r>
      <w:r w:rsidR="009750E6">
        <w:rPr>
          <w:rFonts w:ascii="Tahoma" w:hAnsi="Tahoma"/>
          <w:sz w:val="22"/>
          <w:szCs w:val="22"/>
        </w:rPr>
        <w:t xml:space="preserve"> the</w:t>
      </w:r>
      <w:r w:rsidR="00913906">
        <w:rPr>
          <w:rFonts w:ascii="Tahoma" w:hAnsi="Tahoma"/>
          <w:sz w:val="22"/>
          <w:szCs w:val="22"/>
        </w:rPr>
        <w:t xml:space="preserve"> TMDL and BMAP</w:t>
      </w:r>
      <w:r w:rsidR="009750E6">
        <w:rPr>
          <w:rFonts w:ascii="Tahoma" w:hAnsi="Tahoma"/>
          <w:sz w:val="22"/>
          <w:szCs w:val="22"/>
        </w:rPr>
        <w:t>.</w:t>
      </w:r>
    </w:p>
    <w:p w:rsidR="009750E6" w:rsidRDefault="009750E6" w:rsidP="001415EC">
      <w:pPr>
        <w:tabs>
          <w:tab w:val="left" w:pos="1740"/>
        </w:tabs>
        <w:autoSpaceDE w:val="0"/>
        <w:autoSpaceDN w:val="0"/>
        <w:adjustRightInd w:val="0"/>
        <w:jc w:val="both"/>
        <w:rPr>
          <w:rFonts w:ascii="Tahoma" w:hAnsi="Tahoma"/>
          <w:sz w:val="22"/>
          <w:szCs w:val="22"/>
        </w:rPr>
      </w:pPr>
    </w:p>
    <w:p w:rsidR="00F22552" w:rsidRDefault="00F22552" w:rsidP="001415EC">
      <w:pPr>
        <w:tabs>
          <w:tab w:val="left" w:pos="1740"/>
        </w:tabs>
        <w:autoSpaceDE w:val="0"/>
        <w:autoSpaceDN w:val="0"/>
        <w:adjustRightInd w:val="0"/>
        <w:jc w:val="both"/>
        <w:rPr>
          <w:rFonts w:ascii="Tahoma" w:hAnsi="Tahoma"/>
          <w:sz w:val="22"/>
          <w:szCs w:val="22"/>
        </w:rPr>
      </w:pPr>
      <w:r>
        <w:rPr>
          <w:rFonts w:ascii="Tahoma" w:hAnsi="Tahoma"/>
          <w:sz w:val="22"/>
          <w:szCs w:val="22"/>
        </w:rPr>
        <w:t xml:space="preserve">Katie </w:t>
      </w:r>
      <w:r w:rsidR="009750E6">
        <w:rPr>
          <w:rFonts w:ascii="Tahoma" w:hAnsi="Tahoma"/>
          <w:sz w:val="22"/>
          <w:szCs w:val="22"/>
        </w:rPr>
        <w:t>asked if COJ wanted to add a s</w:t>
      </w:r>
      <w:r>
        <w:rPr>
          <w:rFonts w:ascii="Tahoma" w:hAnsi="Tahoma"/>
          <w:sz w:val="22"/>
          <w:szCs w:val="22"/>
        </w:rPr>
        <w:t xml:space="preserve">econdary objective for </w:t>
      </w:r>
      <w:r w:rsidR="009750E6">
        <w:rPr>
          <w:rFonts w:ascii="Tahoma" w:hAnsi="Tahoma"/>
          <w:sz w:val="22"/>
          <w:szCs w:val="22"/>
        </w:rPr>
        <w:t xml:space="preserve">the </w:t>
      </w:r>
      <w:r>
        <w:rPr>
          <w:rFonts w:ascii="Tahoma" w:hAnsi="Tahoma"/>
          <w:sz w:val="22"/>
          <w:szCs w:val="22"/>
        </w:rPr>
        <w:t>Little Trout</w:t>
      </w:r>
      <w:r w:rsidR="009750E6">
        <w:rPr>
          <w:rFonts w:ascii="Tahoma" w:hAnsi="Tahoma"/>
          <w:sz w:val="22"/>
          <w:szCs w:val="22"/>
        </w:rPr>
        <w:t xml:space="preserve"> River monitoring.  Vince responded that this would be fine as long as it is clear that this monitoring is not required.  Vince asked what “inputs” are being referenced in the primary objective.  Katie responded that the inputs are the different sources.  Marcy added that the inputs could also be the contributing tributaries.  Vince stated that if the inputs are sources then the monitoring may need to include storm event sampling.  Amy noted that </w:t>
      </w:r>
      <w:r w:rsidR="0019194B">
        <w:rPr>
          <w:rFonts w:ascii="Tahoma" w:hAnsi="Tahoma"/>
          <w:sz w:val="22"/>
          <w:szCs w:val="22"/>
        </w:rPr>
        <w:t xml:space="preserve">modeling by CDM showed that </w:t>
      </w:r>
      <w:proofErr w:type="spellStart"/>
      <w:r w:rsidR="0019194B">
        <w:rPr>
          <w:rFonts w:ascii="Tahoma" w:hAnsi="Tahoma"/>
          <w:sz w:val="22"/>
          <w:szCs w:val="22"/>
        </w:rPr>
        <w:t>Sixmile</w:t>
      </w:r>
      <w:proofErr w:type="spellEnd"/>
      <w:r w:rsidR="0019194B">
        <w:rPr>
          <w:rFonts w:ascii="Tahoma" w:hAnsi="Tahoma"/>
          <w:sz w:val="22"/>
          <w:szCs w:val="22"/>
        </w:rPr>
        <w:t xml:space="preserve"> Creek could be contributing to Trout River</w:t>
      </w:r>
      <w:r w:rsidR="00BB40ED">
        <w:rPr>
          <w:rFonts w:ascii="Tahoma" w:hAnsi="Tahoma"/>
          <w:sz w:val="22"/>
          <w:szCs w:val="22"/>
        </w:rPr>
        <w:t>,</w:t>
      </w:r>
      <w:r w:rsidR="0019194B">
        <w:rPr>
          <w:rFonts w:ascii="Tahoma" w:hAnsi="Tahoma"/>
          <w:sz w:val="22"/>
          <w:szCs w:val="22"/>
        </w:rPr>
        <w:t xml:space="preserve"> and there may be potential sources in that watershed.  Tom </w:t>
      </w:r>
      <w:proofErr w:type="spellStart"/>
      <w:r w:rsidR="0019194B">
        <w:rPr>
          <w:rFonts w:ascii="Tahoma" w:hAnsi="Tahoma"/>
          <w:sz w:val="22"/>
          <w:szCs w:val="22"/>
        </w:rPr>
        <w:t>Mallett</w:t>
      </w:r>
      <w:proofErr w:type="spellEnd"/>
      <w:r w:rsidR="0019194B">
        <w:rPr>
          <w:rFonts w:ascii="Tahoma" w:hAnsi="Tahoma"/>
          <w:sz w:val="22"/>
          <w:szCs w:val="22"/>
        </w:rPr>
        <w:t xml:space="preserve"> </w:t>
      </w:r>
      <w:r w:rsidR="00BB40ED">
        <w:rPr>
          <w:rFonts w:ascii="Tahoma" w:hAnsi="Tahoma"/>
          <w:sz w:val="22"/>
          <w:szCs w:val="22"/>
        </w:rPr>
        <w:t xml:space="preserve">(COJ) </w:t>
      </w:r>
      <w:r w:rsidR="0019194B">
        <w:rPr>
          <w:rFonts w:ascii="Tahoma" w:hAnsi="Tahoma"/>
          <w:sz w:val="22"/>
          <w:szCs w:val="22"/>
        </w:rPr>
        <w:t xml:space="preserve">asked if changes in land uses will be considered.  Marcy responded that the 2004 land use will be considered for now, and the land use would then be updated for the next iteration of the BMAP.  Credit can be assigned in the BMAP for changes to less intensive land uses. </w:t>
      </w:r>
    </w:p>
    <w:p w:rsidR="0019194B" w:rsidRDefault="0019194B" w:rsidP="001415EC">
      <w:pPr>
        <w:tabs>
          <w:tab w:val="left" w:pos="1740"/>
        </w:tabs>
        <w:autoSpaceDE w:val="0"/>
        <w:autoSpaceDN w:val="0"/>
        <w:adjustRightInd w:val="0"/>
        <w:jc w:val="both"/>
        <w:rPr>
          <w:rFonts w:ascii="Tahoma" w:hAnsi="Tahoma"/>
          <w:sz w:val="22"/>
          <w:szCs w:val="22"/>
        </w:rPr>
      </w:pPr>
    </w:p>
    <w:p w:rsidR="00456026" w:rsidRDefault="00664E30" w:rsidP="00C4486D">
      <w:pPr>
        <w:tabs>
          <w:tab w:val="left" w:pos="1740"/>
        </w:tabs>
        <w:autoSpaceDE w:val="0"/>
        <w:autoSpaceDN w:val="0"/>
        <w:adjustRightInd w:val="0"/>
        <w:jc w:val="both"/>
        <w:rPr>
          <w:rFonts w:ascii="Tahoma" w:hAnsi="Tahoma"/>
          <w:sz w:val="22"/>
          <w:szCs w:val="22"/>
        </w:rPr>
      </w:pPr>
      <w:r>
        <w:rPr>
          <w:rFonts w:ascii="Tahoma" w:hAnsi="Tahoma"/>
          <w:sz w:val="22"/>
          <w:szCs w:val="22"/>
        </w:rPr>
        <w:t>Jocelyn</w:t>
      </w:r>
      <w:r w:rsidR="0019194B">
        <w:rPr>
          <w:rFonts w:ascii="Tahoma" w:hAnsi="Tahoma"/>
          <w:sz w:val="22"/>
          <w:szCs w:val="22"/>
        </w:rPr>
        <w:t xml:space="preserve"> stated that if the monitoring stations are moved, then it is as if there are no data because the new data cannot be correlated to the historical data.  John Abendroth responded that this is not true because all the data will still be collected within the WBID, which is how FDEP analyzes the information.  Amy added that some stations are fixed, such as the COJ stations for the MS4 permit, and will not be moved.  Some stations may be located in the wrong location and should be moved as part of the monitoring plan.  </w:t>
      </w:r>
      <w:r w:rsidR="00BB40ED">
        <w:rPr>
          <w:rFonts w:ascii="Tahoma" w:hAnsi="Tahoma"/>
          <w:sz w:val="22"/>
          <w:szCs w:val="22"/>
        </w:rPr>
        <w:t xml:space="preserve">However, further discussion amongst the group would need to take place before stations are moved.  </w:t>
      </w:r>
      <w:r w:rsidR="00C677B2">
        <w:rPr>
          <w:rFonts w:ascii="Tahoma" w:hAnsi="Tahoma"/>
          <w:sz w:val="22"/>
          <w:szCs w:val="22"/>
        </w:rPr>
        <w:t>Jocelyn</w:t>
      </w:r>
      <w:r w:rsidR="0019194B">
        <w:rPr>
          <w:rFonts w:ascii="Tahoma" w:hAnsi="Tahoma"/>
          <w:sz w:val="22"/>
          <w:szCs w:val="22"/>
        </w:rPr>
        <w:t xml:space="preserve"> asked if a station is moved if the previous data would drop out of the analysis.  Tiffany responded that FDEP uses a rolling period for analysis</w:t>
      </w:r>
      <w:r w:rsidR="00BB40ED">
        <w:rPr>
          <w:rFonts w:ascii="Tahoma" w:hAnsi="Tahoma"/>
          <w:sz w:val="22"/>
          <w:szCs w:val="22"/>
        </w:rPr>
        <w:t>,</w:t>
      </w:r>
      <w:r w:rsidR="0019194B">
        <w:rPr>
          <w:rFonts w:ascii="Tahoma" w:hAnsi="Tahoma"/>
          <w:sz w:val="22"/>
          <w:szCs w:val="22"/>
        </w:rPr>
        <w:t xml:space="preserve"> so the older data would eventually fall out.  Lisa noted that she is concerned that all of the stations are located in the urban areas and are not really representative of the entire basin.  Jocelyn stated that she is concerned that </w:t>
      </w:r>
      <w:r w:rsidR="00C4486D">
        <w:rPr>
          <w:rFonts w:ascii="Tahoma" w:hAnsi="Tahoma"/>
          <w:sz w:val="22"/>
          <w:szCs w:val="22"/>
        </w:rPr>
        <w:t xml:space="preserve">if a project is implemented and then the station is moved, the associated improvement may not be shown.  Tiffany responded that the focus of the monitoring is on the total ambient conditions so improvements from projects should still be shown.  </w:t>
      </w:r>
      <w:r w:rsidR="00456026">
        <w:rPr>
          <w:rFonts w:ascii="Tahoma" w:hAnsi="Tahoma"/>
          <w:sz w:val="22"/>
          <w:szCs w:val="22"/>
        </w:rPr>
        <w:t>Derek</w:t>
      </w:r>
      <w:r w:rsidR="00C4486D">
        <w:rPr>
          <w:rFonts w:ascii="Tahoma" w:hAnsi="Tahoma"/>
          <w:sz w:val="22"/>
          <w:szCs w:val="22"/>
        </w:rPr>
        <w:t xml:space="preserve"> suggested adding an objective to assess the long</w:t>
      </w:r>
      <w:r w:rsidR="00BB40ED">
        <w:rPr>
          <w:rFonts w:ascii="Tahoma" w:hAnsi="Tahoma"/>
          <w:sz w:val="22"/>
          <w:szCs w:val="22"/>
        </w:rPr>
        <w:t>-</w:t>
      </w:r>
      <w:r w:rsidR="00C4486D">
        <w:rPr>
          <w:rFonts w:ascii="Tahoma" w:hAnsi="Tahoma"/>
          <w:sz w:val="22"/>
          <w:szCs w:val="22"/>
        </w:rPr>
        <w:t xml:space="preserve">term trend in the WBIDs.  Tom Kallemeyn stated that this could be difficult to determine because there is likely no nutrient data since 2006.  Katie noted that there is some nutrient sampling since 2006 but not much.  </w:t>
      </w:r>
      <w:r w:rsidR="00BB40ED">
        <w:rPr>
          <w:rFonts w:ascii="Tahoma" w:hAnsi="Tahoma"/>
          <w:sz w:val="22"/>
          <w:szCs w:val="22"/>
        </w:rPr>
        <w:t xml:space="preserve">She asked Tom Kallemeyn to take a look at the monitoring spreadsheet once it has been posted on the </w:t>
      </w:r>
      <w:r w:rsidR="00793D57">
        <w:rPr>
          <w:rFonts w:ascii="Tahoma" w:hAnsi="Tahoma"/>
          <w:sz w:val="22"/>
          <w:szCs w:val="22"/>
        </w:rPr>
        <w:t>FTP</w:t>
      </w:r>
      <w:r w:rsidR="00BB40ED">
        <w:rPr>
          <w:rFonts w:ascii="Tahoma" w:hAnsi="Tahoma"/>
          <w:sz w:val="22"/>
          <w:szCs w:val="22"/>
        </w:rPr>
        <w:t xml:space="preserve"> site.  </w:t>
      </w:r>
      <w:r w:rsidR="00C4486D">
        <w:rPr>
          <w:rFonts w:ascii="Tahoma" w:hAnsi="Tahoma"/>
          <w:sz w:val="22"/>
          <w:szCs w:val="22"/>
        </w:rPr>
        <w:t xml:space="preserve">Tom </w:t>
      </w:r>
      <w:proofErr w:type="spellStart"/>
      <w:r w:rsidR="00C4486D">
        <w:rPr>
          <w:rFonts w:ascii="Tahoma" w:hAnsi="Tahoma"/>
          <w:sz w:val="22"/>
          <w:szCs w:val="22"/>
        </w:rPr>
        <w:t>Mallett</w:t>
      </w:r>
      <w:proofErr w:type="spellEnd"/>
      <w:r w:rsidR="00C4486D">
        <w:rPr>
          <w:rFonts w:ascii="Tahoma" w:hAnsi="Tahoma"/>
          <w:sz w:val="22"/>
          <w:szCs w:val="22"/>
        </w:rPr>
        <w:t xml:space="preserve"> asked if there is a standard practice for dropping a sampled based on variance.  Tiffany responded that all data </w:t>
      </w:r>
      <w:r w:rsidR="00C4486D">
        <w:rPr>
          <w:rFonts w:ascii="Tahoma" w:hAnsi="Tahoma"/>
          <w:sz w:val="22"/>
          <w:szCs w:val="22"/>
        </w:rPr>
        <w:lastRenderedPageBreak/>
        <w:t>in STORET are supposed to meet quality assurance/quality control requirements.  The data also go through a screening process when they are pulled from STORET into the IWR.  If the stakeholders can provide information on why data should not be used, FDEP can consider this information.  Otherwise, data are not discarded.</w:t>
      </w:r>
    </w:p>
    <w:p w:rsidR="00C4486D" w:rsidRDefault="00C4486D" w:rsidP="001415EC">
      <w:pPr>
        <w:tabs>
          <w:tab w:val="left" w:pos="1740"/>
        </w:tabs>
        <w:autoSpaceDE w:val="0"/>
        <w:autoSpaceDN w:val="0"/>
        <w:adjustRightInd w:val="0"/>
        <w:jc w:val="both"/>
        <w:rPr>
          <w:rFonts w:ascii="Tahoma" w:hAnsi="Tahoma"/>
          <w:sz w:val="22"/>
          <w:szCs w:val="22"/>
        </w:rPr>
      </w:pPr>
    </w:p>
    <w:p w:rsidR="00C4486D" w:rsidRDefault="00FE2B94" w:rsidP="00C4486D">
      <w:pPr>
        <w:tabs>
          <w:tab w:val="left" w:pos="1740"/>
        </w:tabs>
        <w:autoSpaceDE w:val="0"/>
        <w:autoSpaceDN w:val="0"/>
        <w:adjustRightInd w:val="0"/>
        <w:jc w:val="both"/>
        <w:rPr>
          <w:rFonts w:ascii="Tahoma" w:hAnsi="Tahoma"/>
          <w:sz w:val="22"/>
          <w:szCs w:val="22"/>
        </w:rPr>
      </w:pPr>
      <w:r>
        <w:rPr>
          <w:rFonts w:ascii="Tahoma" w:hAnsi="Tahoma"/>
          <w:sz w:val="22"/>
          <w:szCs w:val="22"/>
        </w:rPr>
        <w:t>Dana</w:t>
      </w:r>
      <w:r w:rsidR="00C4486D">
        <w:rPr>
          <w:rFonts w:ascii="Tahoma" w:hAnsi="Tahoma"/>
          <w:sz w:val="22"/>
          <w:szCs w:val="22"/>
        </w:rPr>
        <w:t xml:space="preserve"> stated that some of the data may inadvertently be non-ambient, such as if the sampling point is located near agriculture.  Tom Kallemeyn stated that the purpose of the TMDL is to identify and address sources.  If there are a lot of cattle inputs, then the associated load should be determined.  </w:t>
      </w:r>
      <w:r w:rsidR="00B63C18">
        <w:rPr>
          <w:rFonts w:ascii="Tahoma" w:hAnsi="Tahoma"/>
          <w:sz w:val="22"/>
          <w:szCs w:val="22"/>
        </w:rPr>
        <w:t>Most of the monitoring is in the eastern part of the basin because there are access issues in the western portion.  Dana noted that FDACS may be able to help with access.  Marcy suggested that sites be identified</w:t>
      </w:r>
      <w:r w:rsidR="00BB40ED">
        <w:rPr>
          <w:rFonts w:ascii="Tahoma" w:hAnsi="Tahoma"/>
          <w:sz w:val="22"/>
          <w:szCs w:val="22"/>
        </w:rPr>
        <w:t>,</w:t>
      </w:r>
      <w:r w:rsidR="00B63C18">
        <w:rPr>
          <w:rFonts w:ascii="Tahoma" w:hAnsi="Tahoma"/>
          <w:sz w:val="22"/>
          <w:szCs w:val="22"/>
        </w:rPr>
        <w:t xml:space="preserve"> and these can be brought up with FDACS on the November 1</w:t>
      </w:r>
      <w:r w:rsidR="00B63C18" w:rsidRPr="00B63C18">
        <w:rPr>
          <w:rFonts w:ascii="Tahoma" w:hAnsi="Tahoma"/>
          <w:sz w:val="22"/>
          <w:szCs w:val="22"/>
          <w:vertAlign w:val="superscript"/>
        </w:rPr>
        <w:t>st</w:t>
      </w:r>
      <w:r w:rsidR="00B63C18">
        <w:rPr>
          <w:rFonts w:ascii="Tahoma" w:hAnsi="Tahoma"/>
          <w:sz w:val="22"/>
          <w:szCs w:val="22"/>
        </w:rPr>
        <w:t xml:space="preserve"> call.</w:t>
      </w:r>
    </w:p>
    <w:p w:rsidR="00B63C18" w:rsidRDefault="00B63C18" w:rsidP="001415EC">
      <w:pPr>
        <w:tabs>
          <w:tab w:val="left" w:pos="1740"/>
        </w:tabs>
        <w:autoSpaceDE w:val="0"/>
        <w:autoSpaceDN w:val="0"/>
        <w:adjustRightInd w:val="0"/>
        <w:jc w:val="both"/>
        <w:rPr>
          <w:rFonts w:ascii="Tahoma" w:hAnsi="Tahoma"/>
          <w:sz w:val="22"/>
          <w:szCs w:val="22"/>
        </w:rPr>
      </w:pPr>
    </w:p>
    <w:p w:rsidR="005C63F3" w:rsidRDefault="00FE2B94" w:rsidP="001415EC">
      <w:pPr>
        <w:tabs>
          <w:tab w:val="left" w:pos="1740"/>
        </w:tabs>
        <w:autoSpaceDE w:val="0"/>
        <w:autoSpaceDN w:val="0"/>
        <w:adjustRightInd w:val="0"/>
        <w:jc w:val="both"/>
        <w:rPr>
          <w:rFonts w:ascii="Tahoma" w:hAnsi="Tahoma"/>
          <w:sz w:val="22"/>
          <w:szCs w:val="22"/>
        </w:rPr>
      </w:pPr>
      <w:r>
        <w:rPr>
          <w:rFonts w:ascii="Tahoma" w:hAnsi="Tahoma"/>
          <w:sz w:val="22"/>
          <w:szCs w:val="22"/>
        </w:rPr>
        <w:t>Katie</w:t>
      </w:r>
      <w:r w:rsidR="00B63C18">
        <w:rPr>
          <w:rFonts w:ascii="Tahoma" w:hAnsi="Tahoma"/>
          <w:sz w:val="22"/>
          <w:szCs w:val="22"/>
        </w:rPr>
        <w:t xml:space="preserve"> stated that she </w:t>
      </w:r>
      <w:r>
        <w:rPr>
          <w:rFonts w:ascii="Tahoma" w:hAnsi="Tahoma"/>
          <w:sz w:val="22"/>
          <w:szCs w:val="22"/>
        </w:rPr>
        <w:t xml:space="preserve">pulled </w:t>
      </w:r>
      <w:r w:rsidR="00B63C18">
        <w:rPr>
          <w:rFonts w:ascii="Tahoma" w:hAnsi="Tahoma"/>
          <w:sz w:val="22"/>
          <w:szCs w:val="22"/>
        </w:rPr>
        <w:t>monitoring information f</w:t>
      </w:r>
      <w:r>
        <w:rPr>
          <w:rFonts w:ascii="Tahoma" w:hAnsi="Tahoma"/>
          <w:sz w:val="22"/>
          <w:szCs w:val="22"/>
        </w:rPr>
        <w:t>or Middle Trout</w:t>
      </w:r>
      <w:r w:rsidR="00B63C18">
        <w:rPr>
          <w:rFonts w:ascii="Tahoma" w:hAnsi="Tahoma"/>
          <w:sz w:val="22"/>
          <w:szCs w:val="22"/>
        </w:rPr>
        <w:t xml:space="preserve"> River</w:t>
      </w:r>
      <w:r>
        <w:rPr>
          <w:rFonts w:ascii="Tahoma" w:hAnsi="Tahoma"/>
          <w:sz w:val="22"/>
          <w:szCs w:val="22"/>
        </w:rPr>
        <w:t>, Upper Trout</w:t>
      </w:r>
      <w:r w:rsidR="00B63C18">
        <w:rPr>
          <w:rFonts w:ascii="Tahoma" w:hAnsi="Tahoma"/>
          <w:sz w:val="22"/>
          <w:szCs w:val="22"/>
        </w:rPr>
        <w:t xml:space="preserve"> River</w:t>
      </w:r>
      <w:r>
        <w:rPr>
          <w:rFonts w:ascii="Tahoma" w:hAnsi="Tahoma"/>
          <w:sz w:val="22"/>
          <w:szCs w:val="22"/>
        </w:rPr>
        <w:t>,</w:t>
      </w:r>
      <w:r w:rsidR="00B63C18">
        <w:rPr>
          <w:rFonts w:ascii="Tahoma" w:hAnsi="Tahoma"/>
          <w:sz w:val="22"/>
          <w:szCs w:val="22"/>
        </w:rPr>
        <w:t xml:space="preserve"> and</w:t>
      </w:r>
      <w:r>
        <w:rPr>
          <w:rFonts w:ascii="Tahoma" w:hAnsi="Tahoma"/>
          <w:sz w:val="22"/>
          <w:szCs w:val="22"/>
        </w:rPr>
        <w:t xml:space="preserve"> Little Trout</w:t>
      </w:r>
      <w:r w:rsidR="00B63C18">
        <w:rPr>
          <w:rFonts w:ascii="Tahoma" w:hAnsi="Tahoma"/>
          <w:sz w:val="22"/>
          <w:szCs w:val="22"/>
        </w:rPr>
        <w:t xml:space="preserve"> River.  There are no </w:t>
      </w:r>
      <w:r>
        <w:rPr>
          <w:rFonts w:ascii="Tahoma" w:hAnsi="Tahoma"/>
          <w:sz w:val="22"/>
          <w:szCs w:val="22"/>
        </w:rPr>
        <w:t>monitoring</w:t>
      </w:r>
      <w:r w:rsidR="00B63C18">
        <w:rPr>
          <w:rFonts w:ascii="Tahoma" w:hAnsi="Tahoma"/>
          <w:sz w:val="22"/>
          <w:szCs w:val="22"/>
        </w:rPr>
        <w:t xml:space="preserve"> stations in </w:t>
      </w:r>
      <w:r>
        <w:rPr>
          <w:rFonts w:ascii="Tahoma" w:hAnsi="Tahoma"/>
          <w:sz w:val="22"/>
          <w:szCs w:val="22"/>
        </w:rPr>
        <w:t>Gulley Branch</w:t>
      </w:r>
      <w:r w:rsidR="00B63C18">
        <w:rPr>
          <w:rFonts w:ascii="Tahoma" w:hAnsi="Tahoma"/>
          <w:sz w:val="22"/>
          <w:szCs w:val="22"/>
        </w:rPr>
        <w:t xml:space="preserve">.  </w:t>
      </w:r>
      <w:r w:rsidR="00DB7FD7">
        <w:rPr>
          <w:rFonts w:ascii="Tahoma" w:hAnsi="Tahoma"/>
          <w:sz w:val="22"/>
          <w:szCs w:val="22"/>
        </w:rPr>
        <w:t xml:space="preserve">She pointed out that not all of the stations located in STORET had </w:t>
      </w:r>
      <w:r w:rsidR="00793D57">
        <w:rPr>
          <w:rFonts w:ascii="Tahoma" w:hAnsi="Tahoma"/>
          <w:sz w:val="22"/>
          <w:szCs w:val="22"/>
        </w:rPr>
        <w:t>Geographic Information Systems (</w:t>
      </w:r>
      <w:r w:rsidR="00DB7FD7">
        <w:rPr>
          <w:rFonts w:ascii="Tahoma" w:hAnsi="Tahoma"/>
          <w:sz w:val="22"/>
          <w:szCs w:val="22"/>
        </w:rPr>
        <w:t>GIS</w:t>
      </w:r>
      <w:r w:rsidR="00793D57">
        <w:rPr>
          <w:rFonts w:ascii="Tahoma" w:hAnsi="Tahoma"/>
          <w:sz w:val="22"/>
          <w:szCs w:val="22"/>
        </w:rPr>
        <w:t>)</w:t>
      </w:r>
      <w:r w:rsidR="00DB7FD7">
        <w:rPr>
          <w:rFonts w:ascii="Tahoma" w:hAnsi="Tahoma"/>
          <w:sz w:val="22"/>
          <w:szCs w:val="22"/>
        </w:rPr>
        <w:t xml:space="preserve"> data [e.g., SJB-SL1013 (SJRWMD), 14805 (FDEP), and 39326 (FDEP)], so they are not located on the map that was shown during the presentation.  She asked if any of the stakeholders had GIS information for these locations, but no one had any further information.  In addition, she noted that not all of the sites used in the derivation of the TMDL are still be sampled, so they were not necessarily included in her data pull.  </w:t>
      </w:r>
      <w:r w:rsidR="00B63C18">
        <w:rPr>
          <w:rFonts w:ascii="Tahoma" w:hAnsi="Tahoma"/>
          <w:sz w:val="22"/>
          <w:szCs w:val="22"/>
        </w:rPr>
        <w:t>Lisa noted that many locations have multiple stations</w:t>
      </w:r>
      <w:r w:rsidR="00BB40ED">
        <w:rPr>
          <w:rFonts w:ascii="Tahoma" w:hAnsi="Tahoma"/>
          <w:sz w:val="22"/>
          <w:szCs w:val="22"/>
        </w:rPr>
        <w:t>,</w:t>
      </w:r>
      <w:r w:rsidR="00B63C18">
        <w:rPr>
          <w:rFonts w:ascii="Tahoma" w:hAnsi="Tahoma"/>
          <w:sz w:val="22"/>
          <w:szCs w:val="22"/>
        </w:rPr>
        <w:t xml:space="preserve"> and she asked if these were being used to fill in gaps.  Katie noted that she can look into this.  Katie stated that there are only three stations in Middle Trout River that were sampled in 2011.  FDEP NED is picking up three stations for the LSJR Tributaries BMAP II in Middle Trout River</w:t>
      </w:r>
      <w:r w:rsidR="00BB40ED">
        <w:rPr>
          <w:rFonts w:ascii="Tahoma" w:hAnsi="Tahoma"/>
          <w:sz w:val="22"/>
          <w:szCs w:val="22"/>
        </w:rPr>
        <w:t>,</w:t>
      </w:r>
      <w:r w:rsidR="00B63C18">
        <w:rPr>
          <w:rFonts w:ascii="Tahoma" w:hAnsi="Tahoma"/>
          <w:sz w:val="22"/>
          <w:szCs w:val="22"/>
        </w:rPr>
        <w:t xml:space="preserve"> and Pat O’Connor (FDEP) stated that samples could also be collected for the nutrient BMAP.  </w:t>
      </w:r>
      <w:r w:rsidR="00DB7FD7">
        <w:rPr>
          <w:rFonts w:ascii="Tahoma" w:hAnsi="Tahoma"/>
          <w:sz w:val="22"/>
          <w:szCs w:val="22"/>
        </w:rPr>
        <w:t xml:space="preserve">He stated that station 20030123 will be sampled quarterly, while stations 20030753 and 20030047 will be sampled monthly.  They will be sampled for suite </w:t>
      </w:r>
      <w:proofErr w:type="gramStart"/>
      <w:r w:rsidR="00DB7FD7">
        <w:rPr>
          <w:rFonts w:ascii="Tahoma" w:hAnsi="Tahoma"/>
          <w:sz w:val="22"/>
          <w:szCs w:val="22"/>
        </w:rPr>
        <w:t>A</w:t>
      </w:r>
      <w:proofErr w:type="gramEnd"/>
      <w:r w:rsidR="00DB7FD7">
        <w:rPr>
          <w:rFonts w:ascii="Tahoma" w:hAnsi="Tahoma"/>
          <w:sz w:val="22"/>
          <w:szCs w:val="22"/>
        </w:rPr>
        <w:t xml:space="preserve"> parameters as well as TN and TP.  </w:t>
      </w:r>
      <w:r w:rsidR="00B63C18">
        <w:rPr>
          <w:rFonts w:ascii="Tahoma" w:hAnsi="Tahoma"/>
          <w:sz w:val="22"/>
          <w:szCs w:val="22"/>
        </w:rPr>
        <w:t>Jocelyn noted that one of the FDEP stations is located near a dairy and this may not be a good location.  Tom Kallemeyn responded that this station was set up in the 1970s</w:t>
      </w:r>
      <w:r w:rsidR="00DB7FD7">
        <w:rPr>
          <w:rFonts w:ascii="Tahoma" w:hAnsi="Tahoma"/>
          <w:sz w:val="22"/>
          <w:szCs w:val="22"/>
        </w:rPr>
        <w:t>,</w:t>
      </w:r>
      <w:r w:rsidR="00B63C18">
        <w:rPr>
          <w:rFonts w:ascii="Tahoma" w:hAnsi="Tahoma"/>
          <w:sz w:val="22"/>
          <w:szCs w:val="22"/>
        </w:rPr>
        <w:t xml:space="preserve"> and there is no longer a dairy in this area.  </w:t>
      </w:r>
      <w:r w:rsidR="005C63F3">
        <w:rPr>
          <w:rFonts w:ascii="Tahoma" w:hAnsi="Tahoma"/>
          <w:sz w:val="22"/>
          <w:szCs w:val="22"/>
        </w:rPr>
        <w:t>Jocelyn</w:t>
      </w:r>
      <w:r w:rsidR="00B63C18">
        <w:rPr>
          <w:rFonts w:ascii="Tahoma" w:hAnsi="Tahoma"/>
          <w:sz w:val="22"/>
          <w:szCs w:val="22"/>
        </w:rPr>
        <w:t xml:space="preserve"> stated that there are </w:t>
      </w:r>
      <w:r w:rsidR="005C63F3">
        <w:rPr>
          <w:rFonts w:ascii="Tahoma" w:hAnsi="Tahoma"/>
          <w:sz w:val="22"/>
          <w:szCs w:val="22"/>
        </w:rPr>
        <w:t xml:space="preserve">data from </w:t>
      </w:r>
      <w:r w:rsidR="00B63C18">
        <w:rPr>
          <w:rFonts w:ascii="Tahoma" w:hAnsi="Tahoma"/>
          <w:sz w:val="22"/>
          <w:szCs w:val="22"/>
        </w:rPr>
        <w:t xml:space="preserve">the </w:t>
      </w:r>
      <w:r w:rsidR="005C63F3">
        <w:rPr>
          <w:rFonts w:ascii="Tahoma" w:hAnsi="Tahoma"/>
          <w:sz w:val="22"/>
          <w:szCs w:val="22"/>
        </w:rPr>
        <w:t xml:space="preserve">Everglades that show TP loads on cattle farms, </w:t>
      </w:r>
      <w:r w:rsidR="00D1267B">
        <w:rPr>
          <w:rFonts w:ascii="Tahoma" w:hAnsi="Tahoma"/>
          <w:sz w:val="22"/>
          <w:szCs w:val="22"/>
        </w:rPr>
        <w:t xml:space="preserve">and this could be a </w:t>
      </w:r>
      <w:r w:rsidR="005C63F3">
        <w:rPr>
          <w:rFonts w:ascii="Tahoma" w:hAnsi="Tahoma"/>
          <w:sz w:val="22"/>
          <w:szCs w:val="22"/>
        </w:rPr>
        <w:t xml:space="preserve">legacy </w:t>
      </w:r>
      <w:r w:rsidR="00D1267B">
        <w:rPr>
          <w:rFonts w:ascii="Tahoma" w:hAnsi="Tahoma"/>
          <w:sz w:val="22"/>
          <w:szCs w:val="22"/>
        </w:rPr>
        <w:t>load in the Middle Trout River.</w:t>
      </w:r>
    </w:p>
    <w:p w:rsidR="00D1267B" w:rsidRDefault="00D1267B" w:rsidP="001415EC">
      <w:pPr>
        <w:tabs>
          <w:tab w:val="left" w:pos="1740"/>
        </w:tabs>
        <w:autoSpaceDE w:val="0"/>
        <w:autoSpaceDN w:val="0"/>
        <w:adjustRightInd w:val="0"/>
        <w:jc w:val="both"/>
        <w:rPr>
          <w:rFonts w:ascii="Tahoma" w:hAnsi="Tahoma"/>
          <w:sz w:val="22"/>
          <w:szCs w:val="22"/>
        </w:rPr>
      </w:pPr>
    </w:p>
    <w:p w:rsidR="001324EE" w:rsidRDefault="001324EE" w:rsidP="001415EC">
      <w:pPr>
        <w:tabs>
          <w:tab w:val="left" w:pos="1740"/>
        </w:tabs>
        <w:autoSpaceDE w:val="0"/>
        <w:autoSpaceDN w:val="0"/>
        <w:adjustRightInd w:val="0"/>
        <w:jc w:val="both"/>
        <w:rPr>
          <w:rFonts w:ascii="Tahoma" w:hAnsi="Tahoma"/>
          <w:sz w:val="22"/>
          <w:szCs w:val="22"/>
        </w:rPr>
      </w:pPr>
      <w:r>
        <w:rPr>
          <w:rFonts w:ascii="Tahoma" w:hAnsi="Tahoma"/>
          <w:sz w:val="22"/>
          <w:szCs w:val="22"/>
        </w:rPr>
        <w:t>Katie</w:t>
      </w:r>
      <w:r w:rsidR="00D1267B">
        <w:rPr>
          <w:rFonts w:ascii="Tahoma" w:hAnsi="Tahoma"/>
          <w:sz w:val="22"/>
          <w:szCs w:val="22"/>
        </w:rPr>
        <w:t xml:space="preserve"> asked for the stakeholders to provide feedback on the monitoring table by Monday, November 14</w:t>
      </w:r>
      <w:r w:rsidR="00D1267B" w:rsidRPr="00D1267B">
        <w:rPr>
          <w:rFonts w:ascii="Tahoma" w:hAnsi="Tahoma"/>
          <w:sz w:val="22"/>
          <w:szCs w:val="22"/>
          <w:vertAlign w:val="superscript"/>
        </w:rPr>
        <w:t>th</w:t>
      </w:r>
      <w:r w:rsidR="00D1267B">
        <w:rPr>
          <w:rFonts w:ascii="Tahoma" w:hAnsi="Tahoma"/>
          <w:sz w:val="22"/>
          <w:szCs w:val="22"/>
        </w:rPr>
        <w:t xml:space="preserve">. </w:t>
      </w:r>
      <w:r>
        <w:rPr>
          <w:rFonts w:ascii="Tahoma" w:hAnsi="Tahoma"/>
          <w:sz w:val="22"/>
          <w:szCs w:val="22"/>
        </w:rPr>
        <w:t xml:space="preserve"> </w:t>
      </w:r>
      <w:r w:rsidR="00D1267B">
        <w:rPr>
          <w:rFonts w:ascii="Tahoma" w:hAnsi="Tahoma"/>
          <w:sz w:val="22"/>
          <w:szCs w:val="22"/>
        </w:rPr>
        <w:t xml:space="preserve">Lisa asked if there any U.S. Geological Survey (USGS) stations in the basin.  Marcy responded that she will check on this.  </w:t>
      </w:r>
      <w:r>
        <w:rPr>
          <w:rFonts w:ascii="Tahoma" w:hAnsi="Tahoma"/>
          <w:sz w:val="22"/>
          <w:szCs w:val="22"/>
        </w:rPr>
        <w:t>Katie</w:t>
      </w:r>
      <w:r w:rsidR="00D1267B">
        <w:rPr>
          <w:rFonts w:ascii="Tahoma" w:hAnsi="Tahoma"/>
          <w:sz w:val="22"/>
          <w:szCs w:val="22"/>
        </w:rPr>
        <w:t xml:space="preserve"> stated that the parameters for the monitoring plan will be discussed at the next meeting, and this presentation will be posted to the FTP site if the stakeholders want to start providing comments.  The focus of the next meeting will be on the monitoring plan.</w:t>
      </w:r>
    </w:p>
    <w:p w:rsidR="00555D76" w:rsidRDefault="00555D76" w:rsidP="001415EC">
      <w:pPr>
        <w:tabs>
          <w:tab w:val="left" w:pos="1740"/>
        </w:tabs>
        <w:autoSpaceDE w:val="0"/>
        <w:autoSpaceDN w:val="0"/>
        <w:adjustRightInd w:val="0"/>
        <w:jc w:val="both"/>
        <w:rPr>
          <w:rFonts w:ascii="Tahoma" w:hAnsi="Tahoma"/>
          <w:sz w:val="22"/>
          <w:szCs w:val="22"/>
        </w:rPr>
      </w:pPr>
    </w:p>
    <w:p w:rsidR="00B62E98" w:rsidRPr="009502A4" w:rsidRDefault="008A6208" w:rsidP="001415EC">
      <w:pPr>
        <w:tabs>
          <w:tab w:val="left" w:pos="1440"/>
        </w:tabs>
        <w:jc w:val="both"/>
        <w:rPr>
          <w:rFonts w:ascii="Tahoma" w:hAnsi="Tahoma"/>
          <w:sz w:val="22"/>
          <w:szCs w:val="22"/>
        </w:rPr>
      </w:pPr>
      <w:r w:rsidRPr="0089478C">
        <w:rPr>
          <w:rFonts w:ascii="Tahoma" w:hAnsi="Tahoma"/>
          <w:b/>
          <w:sz w:val="22"/>
          <w:szCs w:val="22"/>
        </w:rPr>
        <w:t xml:space="preserve">Public </w:t>
      </w:r>
      <w:r w:rsidR="0089478C">
        <w:rPr>
          <w:rFonts w:ascii="Tahoma" w:hAnsi="Tahoma"/>
          <w:b/>
          <w:sz w:val="22"/>
          <w:szCs w:val="22"/>
        </w:rPr>
        <w:t>C</w:t>
      </w:r>
      <w:r w:rsidR="00F27F0E" w:rsidRPr="0089478C">
        <w:rPr>
          <w:rFonts w:ascii="Tahoma" w:hAnsi="Tahoma"/>
          <w:b/>
          <w:sz w:val="22"/>
          <w:szCs w:val="22"/>
        </w:rPr>
        <w:t>omment</w:t>
      </w:r>
      <w:r w:rsidR="000F064F" w:rsidRPr="0089478C">
        <w:rPr>
          <w:rFonts w:ascii="Tahoma" w:hAnsi="Tahoma"/>
          <w:b/>
          <w:sz w:val="22"/>
          <w:szCs w:val="22"/>
        </w:rPr>
        <w:t xml:space="preserve">, </w:t>
      </w:r>
      <w:r w:rsidR="0089478C">
        <w:rPr>
          <w:rFonts w:ascii="Tahoma" w:hAnsi="Tahoma"/>
          <w:b/>
          <w:sz w:val="22"/>
          <w:szCs w:val="22"/>
        </w:rPr>
        <w:t>R</w:t>
      </w:r>
      <w:r w:rsidR="00EC47A9" w:rsidRPr="0089478C">
        <w:rPr>
          <w:rFonts w:ascii="Tahoma" w:hAnsi="Tahoma"/>
          <w:b/>
          <w:sz w:val="22"/>
          <w:szCs w:val="22"/>
        </w:rPr>
        <w:t>eview</w:t>
      </w:r>
      <w:r w:rsidR="00755E7E" w:rsidRPr="0089478C">
        <w:rPr>
          <w:rFonts w:ascii="Tahoma" w:hAnsi="Tahoma"/>
          <w:b/>
          <w:sz w:val="22"/>
          <w:szCs w:val="22"/>
        </w:rPr>
        <w:t>,</w:t>
      </w:r>
      <w:r w:rsidR="00EC47A9" w:rsidRPr="0089478C">
        <w:rPr>
          <w:rFonts w:ascii="Tahoma" w:hAnsi="Tahoma"/>
          <w:b/>
          <w:sz w:val="22"/>
          <w:szCs w:val="22"/>
        </w:rPr>
        <w:t xml:space="preserve"> and </w:t>
      </w:r>
      <w:r w:rsidR="0089478C">
        <w:rPr>
          <w:rFonts w:ascii="Tahoma" w:hAnsi="Tahoma"/>
          <w:b/>
          <w:sz w:val="22"/>
          <w:szCs w:val="22"/>
        </w:rPr>
        <w:t>W</w:t>
      </w:r>
      <w:r w:rsidR="0071413B" w:rsidRPr="0089478C">
        <w:rPr>
          <w:rFonts w:ascii="Tahoma" w:hAnsi="Tahoma"/>
          <w:b/>
          <w:sz w:val="22"/>
          <w:szCs w:val="22"/>
        </w:rPr>
        <w:t>rap-up</w:t>
      </w:r>
      <w:r w:rsidR="0071413B" w:rsidRPr="009502A4">
        <w:rPr>
          <w:rFonts w:ascii="Tahoma" w:hAnsi="Tahoma"/>
          <w:sz w:val="22"/>
          <w:szCs w:val="22"/>
        </w:rPr>
        <w:t xml:space="preserve"> </w:t>
      </w:r>
      <w:r w:rsidR="0096569E" w:rsidRPr="009502A4">
        <w:rPr>
          <w:rFonts w:ascii="Tahoma" w:hAnsi="Tahoma"/>
          <w:sz w:val="22"/>
          <w:szCs w:val="22"/>
        </w:rPr>
        <w:t>(</w:t>
      </w:r>
      <w:r w:rsidR="0096569E" w:rsidRPr="009502A4">
        <w:rPr>
          <w:rFonts w:ascii="Tahoma" w:hAnsi="Tahoma"/>
          <w:b/>
          <w:i/>
          <w:sz w:val="22"/>
          <w:szCs w:val="22"/>
        </w:rPr>
        <w:t>Tiffany Busby</w:t>
      </w:r>
      <w:r w:rsidR="0071413B" w:rsidRPr="009502A4">
        <w:rPr>
          <w:rFonts w:ascii="Tahoma" w:hAnsi="Tahoma"/>
          <w:sz w:val="22"/>
          <w:szCs w:val="22"/>
        </w:rPr>
        <w:t>)</w:t>
      </w:r>
      <w:r w:rsidR="007D4CD9" w:rsidRPr="009502A4">
        <w:rPr>
          <w:rFonts w:ascii="Tahoma" w:hAnsi="Tahoma"/>
          <w:i/>
          <w:sz w:val="22"/>
          <w:szCs w:val="22"/>
        </w:rPr>
        <w:tab/>
      </w:r>
    </w:p>
    <w:p w:rsidR="007D4CD9" w:rsidRPr="00136D9F" w:rsidRDefault="00136D9F" w:rsidP="001415EC">
      <w:pPr>
        <w:tabs>
          <w:tab w:val="left" w:pos="1440"/>
        </w:tabs>
        <w:jc w:val="both"/>
        <w:rPr>
          <w:rFonts w:ascii="Tahoma" w:hAnsi="Tahoma"/>
          <w:sz w:val="22"/>
          <w:szCs w:val="22"/>
        </w:rPr>
      </w:pPr>
      <w:r>
        <w:rPr>
          <w:rFonts w:ascii="Tahoma" w:hAnsi="Tahoma"/>
          <w:sz w:val="22"/>
          <w:szCs w:val="22"/>
        </w:rPr>
        <w:t xml:space="preserve">The next </w:t>
      </w:r>
      <w:r w:rsidR="00395F5A" w:rsidRPr="00136D9F">
        <w:rPr>
          <w:rFonts w:ascii="Tahoma" w:hAnsi="Tahoma"/>
          <w:sz w:val="22"/>
          <w:szCs w:val="22"/>
        </w:rPr>
        <w:t>technical</w:t>
      </w:r>
      <w:r w:rsidR="00146F86" w:rsidRPr="00136D9F">
        <w:rPr>
          <w:rFonts w:ascii="Tahoma" w:hAnsi="Tahoma"/>
          <w:sz w:val="22"/>
          <w:szCs w:val="22"/>
        </w:rPr>
        <w:t xml:space="preserve"> meeting </w:t>
      </w:r>
      <w:r>
        <w:rPr>
          <w:rFonts w:ascii="Tahoma" w:hAnsi="Tahoma"/>
          <w:sz w:val="22"/>
          <w:szCs w:val="22"/>
        </w:rPr>
        <w:t xml:space="preserve">will tentatively be held on </w:t>
      </w:r>
      <w:r w:rsidR="00146F86" w:rsidRPr="00136D9F">
        <w:rPr>
          <w:rFonts w:ascii="Tahoma" w:hAnsi="Tahoma"/>
          <w:sz w:val="22"/>
          <w:szCs w:val="22"/>
        </w:rPr>
        <w:t xml:space="preserve">Thursday, </w:t>
      </w:r>
      <w:r w:rsidR="00C70C02" w:rsidRPr="00136D9F">
        <w:rPr>
          <w:rFonts w:ascii="Tahoma" w:hAnsi="Tahoma"/>
          <w:sz w:val="22"/>
          <w:szCs w:val="22"/>
        </w:rPr>
        <w:t>February 9, 2012</w:t>
      </w:r>
      <w:r>
        <w:rPr>
          <w:rFonts w:ascii="Tahoma" w:hAnsi="Tahoma"/>
          <w:sz w:val="22"/>
          <w:szCs w:val="22"/>
        </w:rPr>
        <w:t xml:space="preserve"> at 1:30 PM.</w:t>
      </w:r>
    </w:p>
    <w:p w:rsidR="001D291A" w:rsidRPr="003F55F0" w:rsidRDefault="001D291A" w:rsidP="003F55F0">
      <w:pPr>
        <w:jc w:val="both"/>
        <w:rPr>
          <w:rFonts w:ascii="Tahoma" w:hAnsi="Tahoma"/>
          <w:sz w:val="22"/>
          <w:szCs w:val="22"/>
        </w:rPr>
      </w:pPr>
    </w:p>
    <w:p w:rsidR="00D82F98" w:rsidRPr="009502A4" w:rsidRDefault="0071413B" w:rsidP="001415EC">
      <w:pPr>
        <w:jc w:val="both"/>
        <w:rPr>
          <w:rFonts w:ascii="Tahoma" w:hAnsi="Tahoma"/>
          <w:b/>
          <w:i/>
          <w:sz w:val="22"/>
          <w:szCs w:val="22"/>
        </w:rPr>
      </w:pPr>
      <w:r w:rsidRPr="0089478C">
        <w:rPr>
          <w:rFonts w:ascii="Tahoma" w:hAnsi="Tahoma"/>
          <w:b/>
          <w:sz w:val="22"/>
          <w:szCs w:val="22"/>
        </w:rPr>
        <w:t>Adjournment</w:t>
      </w:r>
      <w:r w:rsidRPr="009502A4">
        <w:rPr>
          <w:rFonts w:ascii="Tahoma" w:hAnsi="Tahoma"/>
          <w:sz w:val="22"/>
          <w:szCs w:val="22"/>
        </w:rPr>
        <w:t xml:space="preserve"> (</w:t>
      </w:r>
      <w:r w:rsidR="00395F5A">
        <w:rPr>
          <w:rFonts w:ascii="Tahoma" w:hAnsi="Tahoma"/>
          <w:b/>
          <w:i/>
          <w:sz w:val="22"/>
          <w:szCs w:val="22"/>
        </w:rPr>
        <w:t>Tiffany Busby</w:t>
      </w:r>
      <w:r w:rsidR="00975D67" w:rsidRPr="009502A4">
        <w:rPr>
          <w:rFonts w:ascii="Tahoma" w:hAnsi="Tahoma"/>
          <w:sz w:val="22"/>
          <w:szCs w:val="22"/>
        </w:rPr>
        <w:t>)</w:t>
      </w:r>
      <w:r w:rsidR="00483624" w:rsidRPr="009502A4">
        <w:rPr>
          <w:rFonts w:ascii="Tahoma" w:hAnsi="Tahoma"/>
          <w:b/>
          <w:i/>
          <w:sz w:val="22"/>
          <w:szCs w:val="22"/>
        </w:rPr>
        <w:t xml:space="preserve"> </w:t>
      </w:r>
    </w:p>
    <w:p w:rsidR="004A1867" w:rsidRPr="00136D9F" w:rsidRDefault="00136D9F" w:rsidP="001415EC">
      <w:pPr>
        <w:jc w:val="both"/>
        <w:rPr>
          <w:rFonts w:ascii="Tahoma" w:hAnsi="Tahoma"/>
          <w:sz w:val="22"/>
          <w:szCs w:val="22"/>
        </w:rPr>
      </w:pPr>
      <w:r>
        <w:rPr>
          <w:rFonts w:ascii="Tahoma" w:hAnsi="Tahoma"/>
          <w:sz w:val="22"/>
          <w:szCs w:val="22"/>
        </w:rPr>
        <w:t>The meeting was adjourned at</w:t>
      </w:r>
      <w:r w:rsidR="001324EE">
        <w:rPr>
          <w:rFonts w:ascii="Tahoma" w:hAnsi="Tahoma"/>
          <w:sz w:val="22"/>
          <w:szCs w:val="22"/>
        </w:rPr>
        <w:t xml:space="preserve"> 4:</w:t>
      </w:r>
      <w:r w:rsidR="00B175EE">
        <w:rPr>
          <w:rFonts w:ascii="Tahoma" w:hAnsi="Tahoma"/>
          <w:sz w:val="22"/>
          <w:szCs w:val="22"/>
        </w:rPr>
        <w:t>07 PM.</w:t>
      </w:r>
    </w:p>
    <w:sectPr w:rsidR="004A1867" w:rsidRPr="00136D9F" w:rsidSect="003F55F0">
      <w:headerReference w:type="default" r:id="rId7"/>
      <w:footerReference w:type="default" r:id="rId8"/>
      <w:pgSz w:w="12240" w:h="15840" w:code="1"/>
      <w:pgMar w:top="1296"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01C7" w:rsidRDefault="00FE01C7">
      <w:r>
        <w:separator/>
      </w:r>
    </w:p>
  </w:endnote>
  <w:endnote w:type="continuationSeparator" w:id="0">
    <w:p w:rsidR="00FE01C7" w:rsidRDefault="00FE01C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DE2" w:rsidRPr="00136D9F" w:rsidRDefault="005177EA" w:rsidP="00610935">
    <w:pPr>
      <w:pStyle w:val="Footer"/>
      <w:tabs>
        <w:tab w:val="center" w:pos="4680"/>
      </w:tabs>
      <w:rPr>
        <w:rFonts w:ascii="Tahoma" w:hAnsi="Tahoma" w:cs="Tahoma"/>
      </w:rPr>
    </w:pPr>
    <w:r>
      <w:rPr>
        <w:rFonts w:ascii="Tahoma" w:hAnsi="Tahoma" w:cs="Tahoma"/>
      </w:rPr>
      <w:t>Distribution</w:t>
    </w:r>
    <w:r w:rsidR="00E97DE2">
      <w:rPr>
        <w:rFonts w:ascii="Tahoma" w:hAnsi="Tahoma" w:cs="Tahoma"/>
      </w:rPr>
      <w:tab/>
    </w:r>
    <w:r w:rsidR="00E97DE2" w:rsidRPr="00136D9F">
      <w:rPr>
        <w:rFonts w:ascii="Tahoma" w:hAnsi="Tahoma" w:cs="Tahoma"/>
      </w:rPr>
      <w:t xml:space="preserve">Page </w:t>
    </w:r>
    <w:r w:rsidR="007829DD" w:rsidRPr="00136D9F">
      <w:rPr>
        <w:rFonts w:ascii="Tahoma" w:hAnsi="Tahoma" w:cs="Tahoma"/>
      </w:rPr>
      <w:fldChar w:fldCharType="begin"/>
    </w:r>
    <w:r w:rsidR="00E97DE2" w:rsidRPr="00136D9F">
      <w:rPr>
        <w:rFonts w:ascii="Tahoma" w:hAnsi="Tahoma" w:cs="Tahoma"/>
      </w:rPr>
      <w:instrText xml:space="preserve"> PAGE </w:instrText>
    </w:r>
    <w:r w:rsidR="007829DD" w:rsidRPr="00136D9F">
      <w:rPr>
        <w:rFonts w:ascii="Tahoma" w:hAnsi="Tahoma" w:cs="Tahoma"/>
      </w:rPr>
      <w:fldChar w:fldCharType="separate"/>
    </w:r>
    <w:r w:rsidR="006A2FB2">
      <w:rPr>
        <w:rFonts w:ascii="Tahoma" w:hAnsi="Tahoma" w:cs="Tahoma"/>
        <w:noProof/>
      </w:rPr>
      <w:t>8</w:t>
    </w:r>
    <w:r w:rsidR="007829DD" w:rsidRPr="00136D9F">
      <w:rPr>
        <w:rFonts w:ascii="Tahoma" w:hAnsi="Tahoma" w:cs="Tahoma"/>
      </w:rPr>
      <w:fldChar w:fldCharType="end"/>
    </w:r>
    <w:r w:rsidR="00E97DE2" w:rsidRPr="00136D9F">
      <w:rPr>
        <w:rFonts w:ascii="Tahoma" w:hAnsi="Tahoma" w:cs="Tahoma"/>
      </w:rPr>
      <w:t xml:space="preserve"> of </w:t>
    </w:r>
    <w:r w:rsidR="007829DD" w:rsidRPr="00136D9F">
      <w:rPr>
        <w:rFonts w:ascii="Tahoma" w:hAnsi="Tahoma" w:cs="Tahoma"/>
      </w:rPr>
      <w:fldChar w:fldCharType="begin"/>
    </w:r>
    <w:r w:rsidR="00E97DE2" w:rsidRPr="00136D9F">
      <w:rPr>
        <w:rFonts w:ascii="Tahoma" w:hAnsi="Tahoma" w:cs="Tahoma"/>
      </w:rPr>
      <w:instrText xml:space="preserve"> NUMPAGES  </w:instrText>
    </w:r>
    <w:r w:rsidR="007829DD" w:rsidRPr="00136D9F">
      <w:rPr>
        <w:rFonts w:ascii="Tahoma" w:hAnsi="Tahoma" w:cs="Tahoma"/>
      </w:rPr>
      <w:fldChar w:fldCharType="separate"/>
    </w:r>
    <w:r w:rsidR="006A2FB2">
      <w:rPr>
        <w:rFonts w:ascii="Tahoma" w:hAnsi="Tahoma" w:cs="Tahoma"/>
        <w:noProof/>
      </w:rPr>
      <w:t>8</w:t>
    </w:r>
    <w:r w:rsidR="007829DD" w:rsidRPr="00136D9F">
      <w:rPr>
        <w:rFonts w:ascii="Tahoma" w:hAnsi="Tahoma" w:cs="Tahoma"/>
      </w:rPr>
      <w:fldChar w:fldCharType="end"/>
    </w:r>
  </w:p>
  <w:p w:rsidR="00E97DE2" w:rsidRPr="005E08C2" w:rsidRDefault="00E97DE2">
    <w:pPr>
      <w:pStyle w:val="Footer"/>
      <w:rPr>
        <w:rFonts w:ascii="Tahoma" w:hAnsi="Tahoma" w:cs="Tahoma"/>
        <w:sz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01C7" w:rsidRDefault="00FE01C7">
      <w:r>
        <w:separator/>
      </w:r>
    </w:p>
  </w:footnote>
  <w:footnote w:type="continuationSeparator" w:id="0">
    <w:p w:rsidR="00FE01C7" w:rsidRDefault="00FE01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DE2" w:rsidRDefault="00E97DE2">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52381"/>
    <w:multiLevelType w:val="hybridMultilevel"/>
    <w:tmpl w:val="82BE11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BB66C8C"/>
    <w:multiLevelType w:val="hybridMultilevel"/>
    <w:tmpl w:val="F77C105C"/>
    <w:lvl w:ilvl="0" w:tplc="04090001">
      <w:start w:val="1"/>
      <w:numFmt w:val="bullet"/>
      <w:lvlText w:val=""/>
      <w:lvlJc w:val="left"/>
      <w:pPr>
        <w:tabs>
          <w:tab w:val="num" w:pos="3510"/>
        </w:tabs>
        <w:ind w:left="3510" w:hanging="360"/>
      </w:pPr>
      <w:rPr>
        <w:rFonts w:ascii="Symbol" w:hAnsi="Symbol" w:hint="default"/>
      </w:rPr>
    </w:lvl>
    <w:lvl w:ilvl="1" w:tplc="04090003" w:tentative="1">
      <w:start w:val="1"/>
      <w:numFmt w:val="bullet"/>
      <w:lvlText w:val="o"/>
      <w:lvlJc w:val="left"/>
      <w:pPr>
        <w:tabs>
          <w:tab w:val="num" w:pos="4230"/>
        </w:tabs>
        <w:ind w:left="4230" w:hanging="360"/>
      </w:pPr>
      <w:rPr>
        <w:rFonts w:ascii="Courier New" w:hAnsi="Courier New" w:cs="Courier New" w:hint="default"/>
      </w:rPr>
    </w:lvl>
    <w:lvl w:ilvl="2" w:tplc="04090005" w:tentative="1">
      <w:start w:val="1"/>
      <w:numFmt w:val="bullet"/>
      <w:lvlText w:val=""/>
      <w:lvlJc w:val="left"/>
      <w:pPr>
        <w:tabs>
          <w:tab w:val="num" w:pos="4950"/>
        </w:tabs>
        <w:ind w:left="4950" w:hanging="360"/>
      </w:pPr>
      <w:rPr>
        <w:rFonts w:ascii="Wingdings" w:hAnsi="Wingdings" w:hint="default"/>
      </w:rPr>
    </w:lvl>
    <w:lvl w:ilvl="3" w:tplc="04090001" w:tentative="1">
      <w:start w:val="1"/>
      <w:numFmt w:val="bullet"/>
      <w:lvlText w:val=""/>
      <w:lvlJc w:val="left"/>
      <w:pPr>
        <w:tabs>
          <w:tab w:val="num" w:pos="5670"/>
        </w:tabs>
        <w:ind w:left="5670" w:hanging="360"/>
      </w:pPr>
      <w:rPr>
        <w:rFonts w:ascii="Symbol" w:hAnsi="Symbol" w:hint="default"/>
      </w:rPr>
    </w:lvl>
    <w:lvl w:ilvl="4" w:tplc="04090003" w:tentative="1">
      <w:start w:val="1"/>
      <w:numFmt w:val="bullet"/>
      <w:lvlText w:val="o"/>
      <w:lvlJc w:val="left"/>
      <w:pPr>
        <w:tabs>
          <w:tab w:val="num" w:pos="6390"/>
        </w:tabs>
        <w:ind w:left="6390" w:hanging="360"/>
      </w:pPr>
      <w:rPr>
        <w:rFonts w:ascii="Courier New" w:hAnsi="Courier New" w:cs="Courier New" w:hint="default"/>
      </w:rPr>
    </w:lvl>
    <w:lvl w:ilvl="5" w:tplc="04090005" w:tentative="1">
      <w:start w:val="1"/>
      <w:numFmt w:val="bullet"/>
      <w:lvlText w:val=""/>
      <w:lvlJc w:val="left"/>
      <w:pPr>
        <w:tabs>
          <w:tab w:val="num" w:pos="7110"/>
        </w:tabs>
        <w:ind w:left="7110" w:hanging="360"/>
      </w:pPr>
      <w:rPr>
        <w:rFonts w:ascii="Wingdings" w:hAnsi="Wingdings" w:hint="default"/>
      </w:rPr>
    </w:lvl>
    <w:lvl w:ilvl="6" w:tplc="04090001" w:tentative="1">
      <w:start w:val="1"/>
      <w:numFmt w:val="bullet"/>
      <w:lvlText w:val=""/>
      <w:lvlJc w:val="left"/>
      <w:pPr>
        <w:tabs>
          <w:tab w:val="num" w:pos="7830"/>
        </w:tabs>
        <w:ind w:left="7830" w:hanging="360"/>
      </w:pPr>
      <w:rPr>
        <w:rFonts w:ascii="Symbol" w:hAnsi="Symbol" w:hint="default"/>
      </w:rPr>
    </w:lvl>
    <w:lvl w:ilvl="7" w:tplc="04090003" w:tentative="1">
      <w:start w:val="1"/>
      <w:numFmt w:val="bullet"/>
      <w:lvlText w:val="o"/>
      <w:lvlJc w:val="left"/>
      <w:pPr>
        <w:tabs>
          <w:tab w:val="num" w:pos="8550"/>
        </w:tabs>
        <w:ind w:left="8550" w:hanging="360"/>
      </w:pPr>
      <w:rPr>
        <w:rFonts w:ascii="Courier New" w:hAnsi="Courier New" w:cs="Courier New" w:hint="default"/>
      </w:rPr>
    </w:lvl>
    <w:lvl w:ilvl="8" w:tplc="04090005" w:tentative="1">
      <w:start w:val="1"/>
      <w:numFmt w:val="bullet"/>
      <w:lvlText w:val=""/>
      <w:lvlJc w:val="left"/>
      <w:pPr>
        <w:tabs>
          <w:tab w:val="num" w:pos="9270"/>
        </w:tabs>
        <w:ind w:left="9270" w:hanging="360"/>
      </w:pPr>
      <w:rPr>
        <w:rFonts w:ascii="Wingdings" w:hAnsi="Wingdings" w:hint="default"/>
      </w:rPr>
    </w:lvl>
  </w:abstractNum>
  <w:abstractNum w:abstractNumId="2">
    <w:nsid w:val="11337928"/>
    <w:multiLevelType w:val="hybridMultilevel"/>
    <w:tmpl w:val="85C686A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237785E"/>
    <w:multiLevelType w:val="multilevel"/>
    <w:tmpl w:val="C720BAD4"/>
    <w:lvl w:ilvl="0">
      <w:start w:val="1"/>
      <w:numFmt w:val="bullet"/>
      <w:lvlText w:val=""/>
      <w:lvlJc w:val="left"/>
      <w:pPr>
        <w:tabs>
          <w:tab w:val="num" w:pos="2520"/>
        </w:tabs>
        <w:ind w:left="2520" w:hanging="360"/>
      </w:pPr>
      <w:rPr>
        <w:rFonts w:ascii="Symbol" w:hAnsi="Symbol" w:hint="default"/>
      </w:rPr>
    </w:lvl>
    <w:lvl w:ilvl="1">
      <w:start w:val="1"/>
      <w:numFmt w:val="bullet"/>
      <w:lvlText w:val="o"/>
      <w:lvlJc w:val="left"/>
      <w:pPr>
        <w:tabs>
          <w:tab w:val="num" w:pos="3240"/>
        </w:tabs>
        <w:ind w:left="3240" w:hanging="360"/>
      </w:pPr>
      <w:rPr>
        <w:rFonts w:ascii="Courier New" w:hAnsi="Courier New" w:cs="Courier New" w:hint="default"/>
      </w:rPr>
    </w:lvl>
    <w:lvl w:ilvl="2">
      <w:start w:val="1"/>
      <w:numFmt w:val="bullet"/>
      <w:lvlText w:val=""/>
      <w:lvlJc w:val="left"/>
      <w:pPr>
        <w:tabs>
          <w:tab w:val="num" w:pos="3960"/>
        </w:tabs>
        <w:ind w:left="3960" w:hanging="360"/>
      </w:pPr>
      <w:rPr>
        <w:rFonts w:ascii="Wingdings" w:hAnsi="Wingdings" w:hint="default"/>
      </w:rPr>
    </w:lvl>
    <w:lvl w:ilvl="3">
      <w:start w:val="1"/>
      <w:numFmt w:val="bullet"/>
      <w:lvlText w:val=""/>
      <w:lvlJc w:val="left"/>
      <w:pPr>
        <w:tabs>
          <w:tab w:val="num" w:pos="4680"/>
        </w:tabs>
        <w:ind w:left="4680" w:hanging="360"/>
      </w:pPr>
      <w:rPr>
        <w:rFonts w:ascii="Symbol" w:hAnsi="Symbol" w:hint="default"/>
      </w:rPr>
    </w:lvl>
    <w:lvl w:ilvl="4">
      <w:start w:val="1"/>
      <w:numFmt w:val="bullet"/>
      <w:lvlText w:val="o"/>
      <w:lvlJc w:val="left"/>
      <w:pPr>
        <w:tabs>
          <w:tab w:val="num" w:pos="5400"/>
        </w:tabs>
        <w:ind w:left="5400" w:hanging="360"/>
      </w:pPr>
      <w:rPr>
        <w:rFonts w:ascii="Courier New" w:hAnsi="Courier New" w:cs="Courier New" w:hint="default"/>
      </w:rPr>
    </w:lvl>
    <w:lvl w:ilvl="5">
      <w:start w:val="1"/>
      <w:numFmt w:val="bullet"/>
      <w:lvlText w:val=""/>
      <w:lvlJc w:val="left"/>
      <w:pPr>
        <w:tabs>
          <w:tab w:val="num" w:pos="6120"/>
        </w:tabs>
        <w:ind w:left="6120" w:hanging="360"/>
      </w:pPr>
      <w:rPr>
        <w:rFonts w:ascii="Wingdings" w:hAnsi="Wingdings" w:hint="default"/>
      </w:rPr>
    </w:lvl>
    <w:lvl w:ilvl="6">
      <w:start w:val="1"/>
      <w:numFmt w:val="bullet"/>
      <w:lvlText w:val=""/>
      <w:lvlJc w:val="left"/>
      <w:pPr>
        <w:tabs>
          <w:tab w:val="num" w:pos="6840"/>
        </w:tabs>
        <w:ind w:left="6840" w:hanging="360"/>
      </w:pPr>
      <w:rPr>
        <w:rFonts w:ascii="Symbol" w:hAnsi="Symbol" w:hint="default"/>
      </w:rPr>
    </w:lvl>
    <w:lvl w:ilvl="7">
      <w:start w:val="1"/>
      <w:numFmt w:val="bullet"/>
      <w:lvlText w:val="o"/>
      <w:lvlJc w:val="left"/>
      <w:pPr>
        <w:tabs>
          <w:tab w:val="num" w:pos="7560"/>
        </w:tabs>
        <w:ind w:left="7560" w:hanging="360"/>
      </w:pPr>
      <w:rPr>
        <w:rFonts w:ascii="Courier New" w:hAnsi="Courier New" w:cs="Courier New" w:hint="default"/>
      </w:rPr>
    </w:lvl>
    <w:lvl w:ilvl="8">
      <w:start w:val="1"/>
      <w:numFmt w:val="bullet"/>
      <w:lvlText w:val=""/>
      <w:lvlJc w:val="left"/>
      <w:pPr>
        <w:tabs>
          <w:tab w:val="num" w:pos="8280"/>
        </w:tabs>
        <w:ind w:left="8280" w:hanging="360"/>
      </w:pPr>
      <w:rPr>
        <w:rFonts w:ascii="Wingdings" w:hAnsi="Wingdings" w:hint="default"/>
      </w:rPr>
    </w:lvl>
  </w:abstractNum>
  <w:abstractNum w:abstractNumId="4">
    <w:nsid w:val="15255D04"/>
    <w:multiLevelType w:val="hybridMultilevel"/>
    <w:tmpl w:val="6F86EB12"/>
    <w:lvl w:ilvl="0" w:tplc="DC5A1156">
      <w:start w:val="1"/>
      <w:numFmt w:val="bullet"/>
      <w:lvlText w:val=""/>
      <w:lvlJc w:val="left"/>
      <w:pPr>
        <w:tabs>
          <w:tab w:val="num" w:pos="720"/>
        </w:tabs>
        <w:ind w:left="720" w:hanging="360"/>
      </w:pPr>
      <w:rPr>
        <w:rFonts w:ascii="Symbol" w:hAnsi="Symbol" w:hint="default"/>
      </w:rPr>
    </w:lvl>
    <w:lvl w:ilvl="1" w:tplc="88CA0DC2" w:tentative="1">
      <w:start w:val="1"/>
      <w:numFmt w:val="bullet"/>
      <w:lvlText w:val="o"/>
      <w:lvlJc w:val="left"/>
      <w:pPr>
        <w:tabs>
          <w:tab w:val="num" w:pos="1440"/>
        </w:tabs>
        <w:ind w:left="1440" w:hanging="360"/>
      </w:pPr>
      <w:rPr>
        <w:rFonts w:ascii="Courier New" w:hAnsi="Courier New" w:cs="Courier New" w:hint="default"/>
      </w:rPr>
    </w:lvl>
    <w:lvl w:ilvl="2" w:tplc="409C338A" w:tentative="1">
      <w:start w:val="1"/>
      <w:numFmt w:val="bullet"/>
      <w:lvlText w:val=""/>
      <w:lvlJc w:val="left"/>
      <w:pPr>
        <w:tabs>
          <w:tab w:val="num" w:pos="2160"/>
        </w:tabs>
        <w:ind w:left="2160" w:hanging="360"/>
      </w:pPr>
      <w:rPr>
        <w:rFonts w:ascii="Wingdings" w:hAnsi="Wingdings" w:hint="default"/>
      </w:rPr>
    </w:lvl>
    <w:lvl w:ilvl="3" w:tplc="A09C08C2" w:tentative="1">
      <w:start w:val="1"/>
      <w:numFmt w:val="bullet"/>
      <w:lvlText w:val=""/>
      <w:lvlJc w:val="left"/>
      <w:pPr>
        <w:tabs>
          <w:tab w:val="num" w:pos="2880"/>
        </w:tabs>
        <w:ind w:left="2880" w:hanging="360"/>
      </w:pPr>
      <w:rPr>
        <w:rFonts w:ascii="Symbol" w:hAnsi="Symbol" w:hint="default"/>
      </w:rPr>
    </w:lvl>
    <w:lvl w:ilvl="4" w:tplc="7EB69950" w:tentative="1">
      <w:start w:val="1"/>
      <w:numFmt w:val="bullet"/>
      <w:lvlText w:val="o"/>
      <w:lvlJc w:val="left"/>
      <w:pPr>
        <w:tabs>
          <w:tab w:val="num" w:pos="3600"/>
        </w:tabs>
        <w:ind w:left="3600" w:hanging="360"/>
      </w:pPr>
      <w:rPr>
        <w:rFonts w:ascii="Courier New" w:hAnsi="Courier New" w:cs="Courier New" w:hint="default"/>
      </w:rPr>
    </w:lvl>
    <w:lvl w:ilvl="5" w:tplc="12EC2A22" w:tentative="1">
      <w:start w:val="1"/>
      <w:numFmt w:val="bullet"/>
      <w:lvlText w:val=""/>
      <w:lvlJc w:val="left"/>
      <w:pPr>
        <w:tabs>
          <w:tab w:val="num" w:pos="4320"/>
        </w:tabs>
        <w:ind w:left="4320" w:hanging="360"/>
      </w:pPr>
      <w:rPr>
        <w:rFonts w:ascii="Wingdings" w:hAnsi="Wingdings" w:hint="default"/>
      </w:rPr>
    </w:lvl>
    <w:lvl w:ilvl="6" w:tplc="E00007C6" w:tentative="1">
      <w:start w:val="1"/>
      <w:numFmt w:val="bullet"/>
      <w:lvlText w:val=""/>
      <w:lvlJc w:val="left"/>
      <w:pPr>
        <w:tabs>
          <w:tab w:val="num" w:pos="5040"/>
        </w:tabs>
        <w:ind w:left="5040" w:hanging="360"/>
      </w:pPr>
      <w:rPr>
        <w:rFonts w:ascii="Symbol" w:hAnsi="Symbol" w:hint="default"/>
      </w:rPr>
    </w:lvl>
    <w:lvl w:ilvl="7" w:tplc="9132966E" w:tentative="1">
      <w:start w:val="1"/>
      <w:numFmt w:val="bullet"/>
      <w:lvlText w:val="o"/>
      <w:lvlJc w:val="left"/>
      <w:pPr>
        <w:tabs>
          <w:tab w:val="num" w:pos="5760"/>
        </w:tabs>
        <w:ind w:left="5760" w:hanging="360"/>
      </w:pPr>
      <w:rPr>
        <w:rFonts w:ascii="Courier New" w:hAnsi="Courier New" w:cs="Courier New" w:hint="default"/>
      </w:rPr>
    </w:lvl>
    <w:lvl w:ilvl="8" w:tplc="6C402E9E" w:tentative="1">
      <w:start w:val="1"/>
      <w:numFmt w:val="bullet"/>
      <w:lvlText w:val=""/>
      <w:lvlJc w:val="left"/>
      <w:pPr>
        <w:tabs>
          <w:tab w:val="num" w:pos="6480"/>
        </w:tabs>
        <w:ind w:left="6480" w:hanging="360"/>
      </w:pPr>
      <w:rPr>
        <w:rFonts w:ascii="Wingdings" w:hAnsi="Wingdings" w:hint="default"/>
      </w:rPr>
    </w:lvl>
  </w:abstractNum>
  <w:abstractNum w:abstractNumId="5">
    <w:nsid w:val="1A6E27F7"/>
    <w:multiLevelType w:val="multilevel"/>
    <w:tmpl w:val="34087E90"/>
    <w:lvl w:ilvl="0">
      <w:start w:val="1"/>
      <w:numFmt w:val="bullet"/>
      <w:lvlText w:val=""/>
      <w:lvlJc w:val="left"/>
      <w:pPr>
        <w:tabs>
          <w:tab w:val="num" w:pos="2520"/>
        </w:tabs>
        <w:ind w:left="2520" w:hanging="360"/>
      </w:pPr>
      <w:rPr>
        <w:rFonts w:ascii="Wingdings" w:hAnsi="Wingdings" w:hint="default"/>
      </w:rPr>
    </w:lvl>
    <w:lvl w:ilvl="1">
      <w:start w:val="1"/>
      <w:numFmt w:val="bullet"/>
      <w:lvlText w:val="o"/>
      <w:lvlJc w:val="left"/>
      <w:pPr>
        <w:tabs>
          <w:tab w:val="num" w:pos="2880"/>
        </w:tabs>
        <w:ind w:left="2880" w:hanging="360"/>
      </w:pPr>
      <w:rPr>
        <w:rFonts w:ascii="Courier New" w:hAnsi="Courier New" w:cs="Courier New" w:hint="default"/>
      </w:rPr>
    </w:lvl>
    <w:lvl w:ilvl="2">
      <w:start w:val="1"/>
      <w:numFmt w:val="bullet"/>
      <w:lvlText w:val=""/>
      <w:lvlJc w:val="left"/>
      <w:pPr>
        <w:tabs>
          <w:tab w:val="num" w:pos="3600"/>
        </w:tabs>
        <w:ind w:left="3600" w:hanging="360"/>
      </w:pPr>
      <w:rPr>
        <w:rFonts w:ascii="Wingdings" w:hAnsi="Wingdings" w:hint="default"/>
      </w:rPr>
    </w:lvl>
    <w:lvl w:ilvl="3">
      <w:start w:val="1"/>
      <w:numFmt w:val="bullet"/>
      <w:lvlText w:val=""/>
      <w:lvlJc w:val="left"/>
      <w:pPr>
        <w:tabs>
          <w:tab w:val="num" w:pos="4320"/>
        </w:tabs>
        <w:ind w:left="4320" w:hanging="360"/>
      </w:pPr>
      <w:rPr>
        <w:rFonts w:ascii="Symbol" w:hAnsi="Symbol" w:hint="default"/>
      </w:rPr>
    </w:lvl>
    <w:lvl w:ilvl="4">
      <w:start w:val="1"/>
      <w:numFmt w:val="bullet"/>
      <w:lvlText w:val="o"/>
      <w:lvlJc w:val="left"/>
      <w:pPr>
        <w:tabs>
          <w:tab w:val="num" w:pos="5040"/>
        </w:tabs>
        <w:ind w:left="5040" w:hanging="360"/>
      </w:pPr>
      <w:rPr>
        <w:rFonts w:ascii="Courier New" w:hAnsi="Courier New" w:cs="Courier New" w:hint="default"/>
      </w:rPr>
    </w:lvl>
    <w:lvl w:ilvl="5">
      <w:start w:val="1"/>
      <w:numFmt w:val="bullet"/>
      <w:lvlText w:val=""/>
      <w:lvlJc w:val="left"/>
      <w:pPr>
        <w:tabs>
          <w:tab w:val="num" w:pos="5760"/>
        </w:tabs>
        <w:ind w:left="5760" w:hanging="360"/>
      </w:pPr>
      <w:rPr>
        <w:rFonts w:ascii="Wingdings" w:hAnsi="Wingdings" w:hint="default"/>
      </w:rPr>
    </w:lvl>
    <w:lvl w:ilvl="6">
      <w:start w:val="1"/>
      <w:numFmt w:val="bullet"/>
      <w:lvlText w:val=""/>
      <w:lvlJc w:val="left"/>
      <w:pPr>
        <w:tabs>
          <w:tab w:val="num" w:pos="6480"/>
        </w:tabs>
        <w:ind w:left="6480" w:hanging="360"/>
      </w:pPr>
      <w:rPr>
        <w:rFonts w:ascii="Symbol" w:hAnsi="Symbol" w:hint="default"/>
      </w:rPr>
    </w:lvl>
    <w:lvl w:ilvl="7">
      <w:start w:val="1"/>
      <w:numFmt w:val="bullet"/>
      <w:lvlText w:val="o"/>
      <w:lvlJc w:val="left"/>
      <w:pPr>
        <w:tabs>
          <w:tab w:val="num" w:pos="7200"/>
        </w:tabs>
        <w:ind w:left="7200" w:hanging="360"/>
      </w:pPr>
      <w:rPr>
        <w:rFonts w:ascii="Courier New" w:hAnsi="Courier New" w:cs="Courier New" w:hint="default"/>
      </w:rPr>
    </w:lvl>
    <w:lvl w:ilvl="8">
      <w:start w:val="1"/>
      <w:numFmt w:val="bullet"/>
      <w:lvlText w:val=""/>
      <w:lvlJc w:val="left"/>
      <w:pPr>
        <w:tabs>
          <w:tab w:val="num" w:pos="7920"/>
        </w:tabs>
        <w:ind w:left="7920" w:hanging="360"/>
      </w:pPr>
      <w:rPr>
        <w:rFonts w:ascii="Wingdings" w:hAnsi="Wingdings" w:hint="default"/>
      </w:rPr>
    </w:lvl>
  </w:abstractNum>
  <w:abstractNum w:abstractNumId="6">
    <w:nsid w:val="1B8A3CAD"/>
    <w:multiLevelType w:val="hybridMultilevel"/>
    <w:tmpl w:val="E4729C32"/>
    <w:lvl w:ilvl="0" w:tplc="E328167E">
      <w:start w:val="1"/>
      <w:numFmt w:val="bullet"/>
      <w:lvlText w:val=""/>
      <w:lvlJc w:val="left"/>
      <w:pPr>
        <w:tabs>
          <w:tab w:val="num" w:pos="1440"/>
        </w:tabs>
        <w:ind w:left="1440" w:hanging="108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D6303D0"/>
    <w:multiLevelType w:val="hybridMultilevel"/>
    <w:tmpl w:val="EDEAE50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32B6EF8"/>
    <w:multiLevelType w:val="hybridMultilevel"/>
    <w:tmpl w:val="BDE20F4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7C156DF"/>
    <w:multiLevelType w:val="multilevel"/>
    <w:tmpl w:val="F1503E72"/>
    <w:lvl w:ilvl="0">
      <w:start w:val="1"/>
      <w:numFmt w:val="bullet"/>
      <w:lvlText w:val="o"/>
      <w:lvlJc w:val="left"/>
      <w:pPr>
        <w:tabs>
          <w:tab w:val="num" w:pos="2520"/>
        </w:tabs>
        <w:ind w:left="2520" w:hanging="360"/>
      </w:pPr>
      <w:rPr>
        <w:rFonts w:ascii="Courier New" w:hAnsi="Courier New" w:cs="Courier New" w:hint="default"/>
      </w:rPr>
    </w:lvl>
    <w:lvl w:ilvl="1">
      <w:start w:val="1"/>
      <w:numFmt w:val="bullet"/>
      <w:lvlText w:val="o"/>
      <w:lvlJc w:val="left"/>
      <w:pPr>
        <w:tabs>
          <w:tab w:val="num" w:pos="3240"/>
        </w:tabs>
        <w:ind w:left="3240" w:hanging="360"/>
      </w:pPr>
      <w:rPr>
        <w:rFonts w:ascii="Courier New" w:hAnsi="Courier New" w:cs="Courier New" w:hint="default"/>
      </w:rPr>
    </w:lvl>
    <w:lvl w:ilvl="2">
      <w:start w:val="1"/>
      <w:numFmt w:val="bullet"/>
      <w:lvlText w:val=""/>
      <w:lvlJc w:val="left"/>
      <w:pPr>
        <w:tabs>
          <w:tab w:val="num" w:pos="3960"/>
        </w:tabs>
        <w:ind w:left="3960" w:hanging="360"/>
      </w:pPr>
      <w:rPr>
        <w:rFonts w:ascii="Wingdings" w:hAnsi="Wingdings" w:hint="default"/>
      </w:rPr>
    </w:lvl>
    <w:lvl w:ilvl="3">
      <w:start w:val="1"/>
      <w:numFmt w:val="bullet"/>
      <w:lvlText w:val=""/>
      <w:lvlJc w:val="left"/>
      <w:pPr>
        <w:tabs>
          <w:tab w:val="num" w:pos="4680"/>
        </w:tabs>
        <w:ind w:left="4680" w:hanging="360"/>
      </w:pPr>
      <w:rPr>
        <w:rFonts w:ascii="Symbol" w:hAnsi="Symbol" w:hint="default"/>
      </w:rPr>
    </w:lvl>
    <w:lvl w:ilvl="4">
      <w:start w:val="1"/>
      <w:numFmt w:val="bullet"/>
      <w:lvlText w:val="o"/>
      <w:lvlJc w:val="left"/>
      <w:pPr>
        <w:tabs>
          <w:tab w:val="num" w:pos="5400"/>
        </w:tabs>
        <w:ind w:left="5400" w:hanging="360"/>
      </w:pPr>
      <w:rPr>
        <w:rFonts w:ascii="Courier New" w:hAnsi="Courier New" w:cs="Courier New" w:hint="default"/>
      </w:rPr>
    </w:lvl>
    <w:lvl w:ilvl="5">
      <w:start w:val="1"/>
      <w:numFmt w:val="bullet"/>
      <w:lvlText w:val=""/>
      <w:lvlJc w:val="left"/>
      <w:pPr>
        <w:tabs>
          <w:tab w:val="num" w:pos="6120"/>
        </w:tabs>
        <w:ind w:left="6120" w:hanging="360"/>
      </w:pPr>
      <w:rPr>
        <w:rFonts w:ascii="Wingdings" w:hAnsi="Wingdings" w:hint="default"/>
      </w:rPr>
    </w:lvl>
    <w:lvl w:ilvl="6">
      <w:start w:val="1"/>
      <w:numFmt w:val="bullet"/>
      <w:lvlText w:val=""/>
      <w:lvlJc w:val="left"/>
      <w:pPr>
        <w:tabs>
          <w:tab w:val="num" w:pos="6840"/>
        </w:tabs>
        <w:ind w:left="6840" w:hanging="360"/>
      </w:pPr>
      <w:rPr>
        <w:rFonts w:ascii="Symbol" w:hAnsi="Symbol" w:hint="default"/>
      </w:rPr>
    </w:lvl>
    <w:lvl w:ilvl="7">
      <w:start w:val="1"/>
      <w:numFmt w:val="bullet"/>
      <w:lvlText w:val="o"/>
      <w:lvlJc w:val="left"/>
      <w:pPr>
        <w:tabs>
          <w:tab w:val="num" w:pos="7560"/>
        </w:tabs>
        <w:ind w:left="7560" w:hanging="360"/>
      </w:pPr>
      <w:rPr>
        <w:rFonts w:ascii="Courier New" w:hAnsi="Courier New" w:cs="Courier New" w:hint="default"/>
      </w:rPr>
    </w:lvl>
    <w:lvl w:ilvl="8">
      <w:start w:val="1"/>
      <w:numFmt w:val="bullet"/>
      <w:lvlText w:val=""/>
      <w:lvlJc w:val="left"/>
      <w:pPr>
        <w:tabs>
          <w:tab w:val="num" w:pos="8280"/>
        </w:tabs>
        <w:ind w:left="8280" w:hanging="360"/>
      </w:pPr>
      <w:rPr>
        <w:rFonts w:ascii="Wingdings" w:hAnsi="Wingdings" w:hint="default"/>
      </w:rPr>
    </w:lvl>
  </w:abstractNum>
  <w:abstractNum w:abstractNumId="10">
    <w:nsid w:val="296D75E1"/>
    <w:multiLevelType w:val="hybridMultilevel"/>
    <w:tmpl w:val="F9BE89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B297DFD"/>
    <w:multiLevelType w:val="hybridMultilevel"/>
    <w:tmpl w:val="34087E90"/>
    <w:lvl w:ilvl="0" w:tplc="04090005">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nsid w:val="307C339C"/>
    <w:multiLevelType w:val="hybridMultilevel"/>
    <w:tmpl w:val="55DA28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27A3446"/>
    <w:multiLevelType w:val="hybridMultilevel"/>
    <w:tmpl w:val="DE70162A"/>
    <w:lvl w:ilvl="0" w:tplc="E328167E">
      <w:start w:val="1"/>
      <w:numFmt w:val="bullet"/>
      <w:lvlText w:val=""/>
      <w:lvlJc w:val="left"/>
      <w:pPr>
        <w:tabs>
          <w:tab w:val="num" w:pos="1440"/>
        </w:tabs>
        <w:ind w:left="1440" w:hanging="108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4107892"/>
    <w:multiLevelType w:val="hybridMultilevel"/>
    <w:tmpl w:val="9A5C66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34391C7F"/>
    <w:multiLevelType w:val="hybridMultilevel"/>
    <w:tmpl w:val="C472F50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8485989"/>
    <w:multiLevelType w:val="hybridMultilevel"/>
    <w:tmpl w:val="8EEA4A06"/>
    <w:lvl w:ilvl="0" w:tplc="6F1AD792">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90657B1"/>
    <w:multiLevelType w:val="hybridMultilevel"/>
    <w:tmpl w:val="F9EEEB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9566046"/>
    <w:multiLevelType w:val="hybridMultilevel"/>
    <w:tmpl w:val="E5D0FC26"/>
    <w:lvl w:ilvl="0" w:tplc="6F1AD792">
      <w:start w:val="1"/>
      <w:numFmt w:val="bullet"/>
      <w:lvlText w:val="–"/>
      <w:lvlJc w:val="left"/>
      <w:pPr>
        <w:tabs>
          <w:tab w:val="num" w:pos="720"/>
        </w:tabs>
        <w:ind w:left="720" w:hanging="360"/>
      </w:pPr>
      <w:rPr>
        <w:rFonts w:ascii="Arial" w:hAnsi="Aria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E1C0913"/>
    <w:multiLevelType w:val="hybridMultilevel"/>
    <w:tmpl w:val="BCB400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CE6FFC"/>
    <w:multiLevelType w:val="multilevel"/>
    <w:tmpl w:val="C720BAD4"/>
    <w:lvl w:ilvl="0">
      <w:start w:val="1"/>
      <w:numFmt w:val="bullet"/>
      <w:lvlText w:val=""/>
      <w:lvlJc w:val="left"/>
      <w:pPr>
        <w:tabs>
          <w:tab w:val="num" w:pos="2520"/>
        </w:tabs>
        <w:ind w:left="2520" w:hanging="360"/>
      </w:pPr>
      <w:rPr>
        <w:rFonts w:ascii="Symbol" w:hAnsi="Symbol" w:hint="default"/>
      </w:rPr>
    </w:lvl>
    <w:lvl w:ilvl="1">
      <w:start w:val="1"/>
      <w:numFmt w:val="bullet"/>
      <w:lvlText w:val="o"/>
      <w:lvlJc w:val="left"/>
      <w:pPr>
        <w:tabs>
          <w:tab w:val="num" w:pos="3240"/>
        </w:tabs>
        <w:ind w:left="3240" w:hanging="360"/>
      </w:pPr>
      <w:rPr>
        <w:rFonts w:ascii="Courier New" w:hAnsi="Courier New" w:cs="Courier New" w:hint="default"/>
      </w:rPr>
    </w:lvl>
    <w:lvl w:ilvl="2">
      <w:start w:val="1"/>
      <w:numFmt w:val="bullet"/>
      <w:lvlText w:val=""/>
      <w:lvlJc w:val="left"/>
      <w:pPr>
        <w:tabs>
          <w:tab w:val="num" w:pos="3960"/>
        </w:tabs>
        <w:ind w:left="3960" w:hanging="360"/>
      </w:pPr>
      <w:rPr>
        <w:rFonts w:ascii="Wingdings" w:hAnsi="Wingdings" w:hint="default"/>
      </w:rPr>
    </w:lvl>
    <w:lvl w:ilvl="3">
      <w:start w:val="1"/>
      <w:numFmt w:val="bullet"/>
      <w:lvlText w:val=""/>
      <w:lvlJc w:val="left"/>
      <w:pPr>
        <w:tabs>
          <w:tab w:val="num" w:pos="4680"/>
        </w:tabs>
        <w:ind w:left="4680" w:hanging="360"/>
      </w:pPr>
      <w:rPr>
        <w:rFonts w:ascii="Symbol" w:hAnsi="Symbol" w:hint="default"/>
      </w:rPr>
    </w:lvl>
    <w:lvl w:ilvl="4">
      <w:start w:val="1"/>
      <w:numFmt w:val="bullet"/>
      <w:lvlText w:val="o"/>
      <w:lvlJc w:val="left"/>
      <w:pPr>
        <w:tabs>
          <w:tab w:val="num" w:pos="5400"/>
        </w:tabs>
        <w:ind w:left="5400" w:hanging="360"/>
      </w:pPr>
      <w:rPr>
        <w:rFonts w:ascii="Courier New" w:hAnsi="Courier New" w:cs="Courier New" w:hint="default"/>
      </w:rPr>
    </w:lvl>
    <w:lvl w:ilvl="5">
      <w:start w:val="1"/>
      <w:numFmt w:val="bullet"/>
      <w:lvlText w:val=""/>
      <w:lvlJc w:val="left"/>
      <w:pPr>
        <w:tabs>
          <w:tab w:val="num" w:pos="6120"/>
        </w:tabs>
        <w:ind w:left="6120" w:hanging="360"/>
      </w:pPr>
      <w:rPr>
        <w:rFonts w:ascii="Wingdings" w:hAnsi="Wingdings" w:hint="default"/>
      </w:rPr>
    </w:lvl>
    <w:lvl w:ilvl="6">
      <w:start w:val="1"/>
      <w:numFmt w:val="bullet"/>
      <w:lvlText w:val=""/>
      <w:lvlJc w:val="left"/>
      <w:pPr>
        <w:tabs>
          <w:tab w:val="num" w:pos="6840"/>
        </w:tabs>
        <w:ind w:left="6840" w:hanging="360"/>
      </w:pPr>
      <w:rPr>
        <w:rFonts w:ascii="Symbol" w:hAnsi="Symbol" w:hint="default"/>
      </w:rPr>
    </w:lvl>
    <w:lvl w:ilvl="7">
      <w:start w:val="1"/>
      <w:numFmt w:val="bullet"/>
      <w:lvlText w:val="o"/>
      <w:lvlJc w:val="left"/>
      <w:pPr>
        <w:tabs>
          <w:tab w:val="num" w:pos="7560"/>
        </w:tabs>
        <w:ind w:left="7560" w:hanging="360"/>
      </w:pPr>
      <w:rPr>
        <w:rFonts w:ascii="Courier New" w:hAnsi="Courier New" w:cs="Courier New" w:hint="default"/>
      </w:rPr>
    </w:lvl>
    <w:lvl w:ilvl="8">
      <w:start w:val="1"/>
      <w:numFmt w:val="bullet"/>
      <w:lvlText w:val=""/>
      <w:lvlJc w:val="left"/>
      <w:pPr>
        <w:tabs>
          <w:tab w:val="num" w:pos="8280"/>
        </w:tabs>
        <w:ind w:left="8280" w:hanging="360"/>
      </w:pPr>
      <w:rPr>
        <w:rFonts w:ascii="Wingdings" w:hAnsi="Wingdings" w:hint="default"/>
      </w:rPr>
    </w:lvl>
  </w:abstractNum>
  <w:abstractNum w:abstractNumId="21">
    <w:nsid w:val="4E8333BC"/>
    <w:multiLevelType w:val="hybridMultilevel"/>
    <w:tmpl w:val="E55807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519C18FE"/>
    <w:multiLevelType w:val="hybridMultilevel"/>
    <w:tmpl w:val="203AC84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47E3485"/>
    <w:multiLevelType w:val="multilevel"/>
    <w:tmpl w:val="E5D0FC26"/>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5A3972D4"/>
    <w:multiLevelType w:val="hybridMultilevel"/>
    <w:tmpl w:val="083680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5C2004DD"/>
    <w:multiLevelType w:val="hybridMultilevel"/>
    <w:tmpl w:val="7F58B9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82E6C90"/>
    <w:multiLevelType w:val="hybridMultilevel"/>
    <w:tmpl w:val="48B0E0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8E43083"/>
    <w:multiLevelType w:val="hybridMultilevel"/>
    <w:tmpl w:val="88E89B4E"/>
    <w:lvl w:ilvl="0" w:tplc="6F1AD792">
      <w:start w:val="1"/>
      <w:numFmt w:val="bullet"/>
      <w:lvlText w:val="–"/>
      <w:lvlJc w:val="left"/>
      <w:pPr>
        <w:tabs>
          <w:tab w:val="num" w:pos="720"/>
        </w:tabs>
        <w:ind w:left="720" w:hanging="360"/>
      </w:pPr>
      <w:rPr>
        <w:rFonts w:ascii="Arial" w:hAnsi="Aria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8">
    <w:nsid w:val="695D53E3"/>
    <w:multiLevelType w:val="hybridMultilevel"/>
    <w:tmpl w:val="F1503E72"/>
    <w:lvl w:ilvl="0" w:tplc="04090003">
      <w:start w:val="1"/>
      <w:numFmt w:val="bullet"/>
      <w:lvlText w:val="o"/>
      <w:lvlJc w:val="left"/>
      <w:pPr>
        <w:tabs>
          <w:tab w:val="num" w:pos="2520"/>
        </w:tabs>
        <w:ind w:left="2520" w:hanging="360"/>
      </w:pPr>
      <w:rPr>
        <w:rFonts w:ascii="Courier New" w:hAnsi="Courier New" w:cs="Courier New"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9">
    <w:nsid w:val="704420EA"/>
    <w:multiLevelType w:val="hybridMultilevel"/>
    <w:tmpl w:val="B5D43320"/>
    <w:lvl w:ilvl="0" w:tplc="6F1AD792">
      <w:start w:val="1"/>
      <w:numFmt w:val="bullet"/>
      <w:lvlText w:val="–"/>
      <w:lvlJc w:val="left"/>
      <w:pPr>
        <w:tabs>
          <w:tab w:val="num" w:pos="2520"/>
        </w:tabs>
        <w:ind w:left="2520" w:hanging="360"/>
      </w:pPr>
      <w:rPr>
        <w:rFonts w:ascii="Arial" w:hAnsi="Aria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0">
    <w:nsid w:val="70FE08D9"/>
    <w:multiLevelType w:val="hybridMultilevel"/>
    <w:tmpl w:val="24C4BDB4"/>
    <w:lvl w:ilvl="0" w:tplc="04090007">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1">
    <w:nsid w:val="73611AAF"/>
    <w:multiLevelType w:val="hybridMultilevel"/>
    <w:tmpl w:val="C720BAD4"/>
    <w:lvl w:ilvl="0" w:tplc="04090001">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2">
    <w:nsid w:val="7A153C09"/>
    <w:multiLevelType w:val="hybridMultilevel"/>
    <w:tmpl w:val="B8EEF0E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3">
    <w:nsid w:val="7DB67736"/>
    <w:multiLevelType w:val="multilevel"/>
    <w:tmpl w:val="8EEA4A06"/>
    <w:lvl w:ilvl="0">
      <w:start w:val="1"/>
      <w:numFmt w:val="bullet"/>
      <w:lvlText w:val="–"/>
      <w:lvlJc w:val="left"/>
      <w:pPr>
        <w:tabs>
          <w:tab w:val="num" w:pos="720"/>
        </w:tabs>
        <w:ind w:left="720" w:hanging="360"/>
      </w:pPr>
      <w:rPr>
        <w:rFonts w:ascii="Arial" w:hAnsi="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nsid w:val="7E8F080E"/>
    <w:multiLevelType w:val="hybridMultilevel"/>
    <w:tmpl w:val="59DCE7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4"/>
  </w:num>
  <w:num w:numId="2">
    <w:abstractNumId w:val="31"/>
  </w:num>
  <w:num w:numId="3">
    <w:abstractNumId w:val="2"/>
  </w:num>
  <w:num w:numId="4">
    <w:abstractNumId w:val="25"/>
  </w:num>
  <w:num w:numId="5">
    <w:abstractNumId w:val="16"/>
  </w:num>
  <w:num w:numId="6">
    <w:abstractNumId w:val="18"/>
  </w:num>
  <w:num w:numId="7">
    <w:abstractNumId w:val="34"/>
  </w:num>
  <w:num w:numId="8">
    <w:abstractNumId w:val="22"/>
  </w:num>
  <w:num w:numId="9">
    <w:abstractNumId w:val="33"/>
  </w:num>
  <w:num w:numId="10">
    <w:abstractNumId w:val="8"/>
  </w:num>
  <w:num w:numId="11">
    <w:abstractNumId w:val="20"/>
  </w:num>
  <w:num w:numId="12">
    <w:abstractNumId w:val="28"/>
  </w:num>
  <w:num w:numId="13">
    <w:abstractNumId w:val="9"/>
  </w:num>
  <w:num w:numId="14">
    <w:abstractNumId w:val="27"/>
  </w:num>
  <w:num w:numId="15">
    <w:abstractNumId w:val="15"/>
  </w:num>
  <w:num w:numId="16">
    <w:abstractNumId w:val="3"/>
  </w:num>
  <w:num w:numId="17">
    <w:abstractNumId w:val="29"/>
  </w:num>
  <w:num w:numId="18">
    <w:abstractNumId w:val="11"/>
  </w:num>
  <w:num w:numId="19">
    <w:abstractNumId w:val="5"/>
  </w:num>
  <w:num w:numId="20">
    <w:abstractNumId w:val="30"/>
  </w:num>
  <w:num w:numId="21">
    <w:abstractNumId w:val="23"/>
  </w:num>
  <w:num w:numId="22">
    <w:abstractNumId w:val="7"/>
  </w:num>
  <w:num w:numId="23">
    <w:abstractNumId w:val="12"/>
  </w:num>
  <w:num w:numId="24">
    <w:abstractNumId w:val="10"/>
  </w:num>
  <w:num w:numId="25">
    <w:abstractNumId w:val="26"/>
  </w:num>
  <w:num w:numId="26">
    <w:abstractNumId w:val="1"/>
  </w:num>
  <w:num w:numId="27">
    <w:abstractNumId w:val="17"/>
  </w:num>
  <w:num w:numId="28">
    <w:abstractNumId w:val="13"/>
  </w:num>
  <w:num w:numId="29">
    <w:abstractNumId w:val="6"/>
  </w:num>
  <w:num w:numId="30">
    <w:abstractNumId w:val="32"/>
  </w:num>
  <w:num w:numId="31">
    <w:abstractNumId w:val="0"/>
  </w:num>
  <w:num w:numId="32">
    <w:abstractNumId w:val="24"/>
  </w:num>
  <w:num w:numId="33">
    <w:abstractNumId w:val="14"/>
  </w:num>
  <w:num w:numId="34">
    <w:abstractNumId w:val="21"/>
  </w:num>
  <w:num w:numId="35">
    <w:abstractNumId w:val="19"/>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22530"/>
  </w:hdrShapeDefaults>
  <w:footnotePr>
    <w:footnote w:id="-1"/>
    <w:footnote w:id="0"/>
  </w:footnotePr>
  <w:endnotePr>
    <w:endnote w:id="-1"/>
    <w:endnote w:id="0"/>
  </w:endnotePr>
  <w:compat/>
  <w:rsids>
    <w:rsidRoot w:val="00B678F6"/>
    <w:rsid w:val="00006E9B"/>
    <w:rsid w:val="000172BB"/>
    <w:rsid w:val="0002619E"/>
    <w:rsid w:val="00027B7F"/>
    <w:rsid w:val="00027E63"/>
    <w:rsid w:val="00032440"/>
    <w:rsid w:val="00032794"/>
    <w:rsid w:val="000347C3"/>
    <w:rsid w:val="00037BA0"/>
    <w:rsid w:val="00040BD8"/>
    <w:rsid w:val="00044838"/>
    <w:rsid w:val="00046F1A"/>
    <w:rsid w:val="00052CB5"/>
    <w:rsid w:val="00053CC8"/>
    <w:rsid w:val="000543F4"/>
    <w:rsid w:val="000552AB"/>
    <w:rsid w:val="00055DB3"/>
    <w:rsid w:val="00056F8C"/>
    <w:rsid w:val="000610DF"/>
    <w:rsid w:val="00061E6F"/>
    <w:rsid w:val="00070556"/>
    <w:rsid w:val="00076DD4"/>
    <w:rsid w:val="0008135D"/>
    <w:rsid w:val="00082496"/>
    <w:rsid w:val="000840B7"/>
    <w:rsid w:val="00094EFF"/>
    <w:rsid w:val="000A0B7D"/>
    <w:rsid w:val="000A221E"/>
    <w:rsid w:val="000A32AF"/>
    <w:rsid w:val="000B16AB"/>
    <w:rsid w:val="000B36CE"/>
    <w:rsid w:val="000B41D8"/>
    <w:rsid w:val="000C1ACE"/>
    <w:rsid w:val="000C33B0"/>
    <w:rsid w:val="000C41C3"/>
    <w:rsid w:val="000D4417"/>
    <w:rsid w:val="000D4D13"/>
    <w:rsid w:val="000E017E"/>
    <w:rsid w:val="000E2A24"/>
    <w:rsid w:val="000E3833"/>
    <w:rsid w:val="000E47C0"/>
    <w:rsid w:val="000E59B0"/>
    <w:rsid w:val="000F064F"/>
    <w:rsid w:val="000F3A69"/>
    <w:rsid w:val="000F410B"/>
    <w:rsid w:val="000F4366"/>
    <w:rsid w:val="00107E7E"/>
    <w:rsid w:val="00111178"/>
    <w:rsid w:val="0011117F"/>
    <w:rsid w:val="00112550"/>
    <w:rsid w:val="00115C2B"/>
    <w:rsid w:val="00117485"/>
    <w:rsid w:val="0012251B"/>
    <w:rsid w:val="001267D6"/>
    <w:rsid w:val="00132248"/>
    <w:rsid w:val="001324EE"/>
    <w:rsid w:val="00134C36"/>
    <w:rsid w:val="00136D9F"/>
    <w:rsid w:val="00141579"/>
    <w:rsid w:val="001415EC"/>
    <w:rsid w:val="00146F86"/>
    <w:rsid w:val="00160AC7"/>
    <w:rsid w:val="00163B71"/>
    <w:rsid w:val="001723A5"/>
    <w:rsid w:val="00175892"/>
    <w:rsid w:val="00175D0D"/>
    <w:rsid w:val="00181C72"/>
    <w:rsid w:val="0018337E"/>
    <w:rsid w:val="0019194B"/>
    <w:rsid w:val="00196EF5"/>
    <w:rsid w:val="00197EAC"/>
    <w:rsid w:val="001A4BB9"/>
    <w:rsid w:val="001B5788"/>
    <w:rsid w:val="001C0B47"/>
    <w:rsid w:val="001C1167"/>
    <w:rsid w:val="001C39BA"/>
    <w:rsid w:val="001C3AA8"/>
    <w:rsid w:val="001C3FC7"/>
    <w:rsid w:val="001C6682"/>
    <w:rsid w:val="001C79AF"/>
    <w:rsid w:val="001D0A63"/>
    <w:rsid w:val="001D1FB3"/>
    <w:rsid w:val="001D291A"/>
    <w:rsid w:val="001D3336"/>
    <w:rsid w:val="001E0348"/>
    <w:rsid w:val="001E2179"/>
    <w:rsid w:val="001E32EC"/>
    <w:rsid w:val="0020165C"/>
    <w:rsid w:val="0020511C"/>
    <w:rsid w:val="0020632A"/>
    <w:rsid w:val="0020703B"/>
    <w:rsid w:val="00211977"/>
    <w:rsid w:val="00227060"/>
    <w:rsid w:val="00235F05"/>
    <w:rsid w:val="00235FCD"/>
    <w:rsid w:val="0023693C"/>
    <w:rsid w:val="00237EE4"/>
    <w:rsid w:val="002405FB"/>
    <w:rsid w:val="002423C8"/>
    <w:rsid w:val="002457C9"/>
    <w:rsid w:val="00247959"/>
    <w:rsid w:val="00251D60"/>
    <w:rsid w:val="00253F6B"/>
    <w:rsid w:val="0025681C"/>
    <w:rsid w:val="00267E9F"/>
    <w:rsid w:val="00280822"/>
    <w:rsid w:val="002845A6"/>
    <w:rsid w:val="002854AE"/>
    <w:rsid w:val="002864FC"/>
    <w:rsid w:val="0029043D"/>
    <w:rsid w:val="00291896"/>
    <w:rsid w:val="00292404"/>
    <w:rsid w:val="00295E5B"/>
    <w:rsid w:val="002A21C4"/>
    <w:rsid w:val="002A4EC5"/>
    <w:rsid w:val="002A6F78"/>
    <w:rsid w:val="002B1441"/>
    <w:rsid w:val="002B6781"/>
    <w:rsid w:val="002C1A86"/>
    <w:rsid w:val="002C232A"/>
    <w:rsid w:val="002C4F71"/>
    <w:rsid w:val="002C6CAC"/>
    <w:rsid w:val="002C74A9"/>
    <w:rsid w:val="002D03D8"/>
    <w:rsid w:val="002D0ADE"/>
    <w:rsid w:val="002D29D8"/>
    <w:rsid w:val="002D5902"/>
    <w:rsid w:val="002D74A4"/>
    <w:rsid w:val="002E4C0F"/>
    <w:rsid w:val="002F65B9"/>
    <w:rsid w:val="002F6CAB"/>
    <w:rsid w:val="00300ABA"/>
    <w:rsid w:val="0030246F"/>
    <w:rsid w:val="00302874"/>
    <w:rsid w:val="0030616E"/>
    <w:rsid w:val="00306689"/>
    <w:rsid w:val="00322270"/>
    <w:rsid w:val="00322696"/>
    <w:rsid w:val="0032308B"/>
    <w:rsid w:val="003250EB"/>
    <w:rsid w:val="00333866"/>
    <w:rsid w:val="0033435E"/>
    <w:rsid w:val="0033463B"/>
    <w:rsid w:val="00344A86"/>
    <w:rsid w:val="00344F27"/>
    <w:rsid w:val="0035171F"/>
    <w:rsid w:val="0036064D"/>
    <w:rsid w:val="0036452A"/>
    <w:rsid w:val="00364D45"/>
    <w:rsid w:val="00382109"/>
    <w:rsid w:val="003839B5"/>
    <w:rsid w:val="003857F6"/>
    <w:rsid w:val="00395F5A"/>
    <w:rsid w:val="003A2692"/>
    <w:rsid w:val="003B4597"/>
    <w:rsid w:val="003B484B"/>
    <w:rsid w:val="003B4E2E"/>
    <w:rsid w:val="003C058E"/>
    <w:rsid w:val="003C1ACC"/>
    <w:rsid w:val="003C23EC"/>
    <w:rsid w:val="003C312C"/>
    <w:rsid w:val="003C3804"/>
    <w:rsid w:val="003C53E0"/>
    <w:rsid w:val="003D0B93"/>
    <w:rsid w:val="003D15AD"/>
    <w:rsid w:val="003E35AE"/>
    <w:rsid w:val="003E4143"/>
    <w:rsid w:val="003E4BCD"/>
    <w:rsid w:val="003E7D6C"/>
    <w:rsid w:val="003F3B76"/>
    <w:rsid w:val="003F4BD9"/>
    <w:rsid w:val="003F55F0"/>
    <w:rsid w:val="004119A9"/>
    <w:rsid w:val="00411D71"/>
    <w:rsid w:val="00416C8C"/>
    <w:rsid w:val="004218BC"/>
    <w:rsid w:val="00422735"/>
    <w:rsid w:val="0042758F"/>
    <w:rsid w:val="00427A69"/>
    <w:rsid w:val="0043107F"/>
    <w:rsid w:val="004334F8"/>
    <w:rsid w:val="004344AF"/>
    <w:rsid w:val="00436BCF"/>
    <w:rsid w:val="00441087"/>
    <w:rsid w:val="00444C0E"/>
    <w:rsid w:val="00455118"/>
    <w:rsid w:val="00455ED5"/>
    <w:rsid w:val="00456026"/>
    <w:rsid w:val="00456959"/>
    <w:rsid w:val="00456D9F"/>
    <w:rsid w:val="00460912"/>
    <w:rsid w:val="0046215D"/>
    <w:rsid w:val="00466F14"/>
    <w:rsid w:val="00472034"/>
    <w:rsid w:val="00472EE0"/>
    <w:rsid w:val="00475416"/>
    <w:rsid w:val="00483624"/>
    <w:rsid w:val="0049606E"/>
    <w:rsid w:val="00496E9E"/>
    <w:rsid w:val="004A1867"/>
    <w:rsid w:val="004A6939"/>
    <w:rsid w:val="004A74C7"/>
    <w:rsid w:val="004B0BED"/>
    <w:rsid w:val="004B1091"/>
    <w:rsid w:val="004B1F8F"/>
    <w:rsid w:val="004B7FAC"/>
    <w:rsid w:val="004C0CF6"/>
    <w:rsid w:val="004D30A8"/>
    <w:rsid w:val="004E4064"/>
    <w:rsid w:val="004E6541"/>
    <w:rsid w:val="004E67EE"/>
    <w:rsid w:val="004E7056"/>
    <w:rsid w:val="004F56F5"/>
    <w:rsid w:val="00501ED0"/>
    <w:rsid w:val="00510CF9"/>
    <w:rsid w:val="00512545"/>
    <w:rsid w:val="00512663"/>
    <w:rsid w:val="005177EA"/>
    <w:rsid w:val="005217AD"/>
    <w:rsid w:val="00523029"/>
    <w:rsid w:val="005239C0"/>
    <w:rsid w:val="00532D69"/>
    <w:rsid w:val="005355C3"/>
    <w:rsid w:val="0053567A"/>
    <w:rsid w:val="005438D6"/>
    <w:rsid w:val="00547CBF"/>
    <w:rsid w:val="00552FBE"/>
    <w:rsid w:val="00555D76"/>
    <w:rsid w:val="00562CC2"/>
    <w:rsid w:val="0056508D"/>
    <w:rsid w:val="00570682"/>
    <w:rsid w:val="00573544"/>
    <w:rsid w:val="00575759"/>
    <w:rsid w:val="0057595C"/>
    <w:rsid w:val="00575ADC"/>
    <w:rsid w:val="00580C33"/>
    <w:rsid w:val="00584883"/>
    <w:rsid w:val="0058508E"/>
    <w:rsid w:val="0058765A"/>
    <w:rsid w:val="00592F0D"/>
    <w:rsid w:val="00593A9E"/>
    <w:rsid w:val="005A04E0"/>
    <w:rsid w:val="005A1E18"/>
    <w:rsid w:val="005A2D20"/>
    <w:rsid w:val="005B6953"/>
    <w:rsid w:val="005B6CF0"/>
    <w:rsid w:val="005C0204"/>
    <w:rsid w:val="005C60DF"/>
    <w:rsid w:val="005C63F3"/>
    <w:rsid w:val="005D0425"/>
    <w:rsid w:val="005D15C1"/>
    <w:rsid w:val="005D2449"/>
    <w:rsid w:val="005D46DF"/>
    <w:rsid w:val="005D589B"/>
    <w:rsid w:val="005E08C2"/>
    <w:rsid w:val="005E571B"/>
    <w:rsid w:val="005F194C"/>
    <w:rsid w:val="005F1F61"/>
    <w:rsid w:val="0060366B"/>
    <w:rsid w:val="00604F62"/>
    <w:rsid w:val="00610935"/>
    <w:rsid w:val="00611F6D"/>
    <w:rsid w:val="0061443F"/>
    <w:rsid w:val="00625D4F"/>
    <w:rsid w:val="006273DC"/>
    <w:rsid w:val="00631D5C"/>
    <w:rsid w:val="00634B73"/>
    <w:rsid w:val="00636710"/>
    <w:rsid w:val="00646393"/>
    <w:rsid w:val="006476E1"/>
    <w:rsid w:val="00651FE7"/>
    <w:rsid w:val="006525F4"/>
    <w:rsid w:val="00652671"/>
    <w:rsid w:val="00655FF2"/>
    <w:rsid w:val="00662073"/>
    <w:rsid w:val="00664E30"/>
    <w:rsid w:val="006678BA"/>
    <w:rsid w:val="00670BF9"/>
    <w:rsid w:val="00670E7A"/>
    <w:rsid w:val="00683C27"/>
    <w:rsid w:val="00684200"/>
    <w:rsid w:val="006869B2"/>
    <w:rsid w:val="00693872"/>
    <w:rsid w:val="006A27F1"/>
    <w:rsid w:val="006A2FB2"/>
    <w:rsid w:val="006A5080"/>
    <w:rsid w:val="006B1711"/>
    <w:rsid w:val="006B654B"/>
    <w:rsid w:val="006E06B6"/>
    <w:rsid w:val="006E444F"/>
    <w:rsid w:val="006E4628"/>
    <w:rsid w:val="006F023D"/>
    <w:rsid w:val="006F127C"/>
    <w:rsid w:val="006F3B68"/>
    <w:rsid w:val="006F56C0"/>
    <w:rsid w:val="0070040C"/>
    <w:rsid w:val="007025CE"/>
    <w:rsid w:val="0070312B"/>
    <w:rsid w:val="00705750"/>
    <w:rsid w:val="00706ABE"/>
    <w:rsid w:val="00710566"/>
    <w:rsid w:val="00711D11"/>
    <w:rsid w:val="0071413B"/>
    <w:rsid w:val="007248F4"/>
    <w:rsid w:val="0073419A"/>
    <w:rsid w:val="00737FCC"/>
    <w:rsid w:val="00741956"/>
    <w:rsid w:val="00742F20"/>
    <w:rsid w:val="00744666"/>
    <w:rsid w:val="007469DE"/>
    <w:rsid w:val="00747D7D"/>
    <w:rsid w:val="00753DD8"/>
    <w:rsid w:val="00755E7E"/>
    <w:rsid w:val="00756541"/>
    <w:rsid w:val="00761FCF"/>
    <w:rsid w:val="007668EC"/>
    <w:rsid w:val="00766E16"/>
    <w:rsid w:val="00767C42"/>
    <w:rsid w:val="00770123"/>
    <w:rsid w:val="007722A7"/>
    <w:rsid w:val="00776BE9"/>
    <w:rsid w:val="007814A3"/>
    <w:rsid w:val="007829DD"/>
    <w:rsid w:val="00782B4F"/>
    <w:rsid w:val="00787099"/>
    <w:rsid w:val="00793D57"/>
    <w:rsid w:val="0079526A"/>
    <w:rsid w:val="0079611F"/>
    <w:rsid w:val="007A1167"/>
    <w:rsid w:val="007A1FB0"/>
    <w:rsid w:val="007A66A9"/>
    <w:rsid w:val="007A67E9"/>
    <w:rsid w:val="007B231D"/>
    <w:rsid w:val="007B7FD4"/>
    <w:rsid w:val="007C268C"/>
    <w:rsid w:val="007C634E"/>
    <w:rsid w:val="007D4CD9"/>
    <w:rsid w:val="007D6798"/>
    <w:rsid w:val="007D731C"/>
    <w:rsid w:val="007D73EC"/>
    <w:rsid w:val="007E37AA"/>
    <w:rsid w:val="007E698E"/>
    <w:rsid w:val="007F152C"/>
    <w:rsid w:val="007F16A3"/>
    <w:rsid w:val="008021D9"/>
    <w:rsid w:val="00810727"/>
    <w:rsid w:val="008137DA"/>
    <w:rsid w:val="00813B1F"/>
    <w:rsid w:val="0081591A"/>
    <w:rsid w:val="008269F3"/>
    <w:rsid w:val="00826C77"/>
    <w:rsid w:val="00833367"/>
    <w:rsid w:val="00835DEF"/>
    <w:rsid w:val="008401E4"/>
    <w:rsid w:val="0084115F"/>
    <w:rsid w:val="00842135"/>
    <w:rsid w:val="00847DC7"/>
    <w:rsid w:val="00853EA8"/>
    <w:rsid w:val="00854781"/>
    <w:rsid w:val="00855B1C"/>
    <w:rsid w:val="0086293A"/>
    <w:rsid w:val="00863F2C"/>
    <w:rsid w:val="00864073"/>
    <w:rsid w:val="00866FFD"/>
    <w:rsid w:val="0087239B"/>
    <w:rsid w:val="00884173"/>
    <w:rsid w:val="008946A0"/>
    <w:rsid w:val="0089478C"/>
    <w:rsid w:val="00894E62"/>
    <w:rsid w:val="00896364"/>
    <w:rsid w:val="008A4169"/>
    <w:rsid w:val="008A4EDC"/>
    <w:rsid w:val="008A6208"/>
    <w:rsid w:val="008A6E86"/>
    <w:rsid w:val="008B6C7A"/>
    <w:rsid w:val="008D30C5"/>
    <w:rsid w:val="008D6120"/>
    <w:rsid w:val="008D6AD5"/>
    <w:rsid w:val="008E5656"/>
    <w:rsid w:val="008F03BF"/>
    <w:rsid w:val="008F5B8A"/>
    <w:rsid w:val="00907471"/>
    <w:rsid w:val="009134B7"/>
    <w:rsid w:val="00913906"/>
    <w:rsid w:val="00915B1E"/>
    <w:rsid w:val="0092387F"/>
    <w:rsid w:val="009239DE"/>
    <w:rsid w:val="00923C55"/>
    <w:rsid w:val="00927DFD"/>
    <w:rsid w:val="009320AE"/>
    <w:rsid w:val="00933EAA"/>
    <w:rsid w:val="00933F7A"/>
    <w:rsid w:val="0094394B"/>
    <w:rsid w:val="00943DBD"/>
    <w:rsid w:val="00943EA4"/>
    <w:rsid w:val="009502A4"/>
    <w:rsid w:val="0095527F"/>
    <w:rsid w:val="00956CEE"/>
    <w:rsid w:val="009570A1"/>
    <w:rsid w:val="0096153C"/>
    <w:rsid w:val="00965662"/>
    <w:rsid w:val="0096569E"/>
    <w:rsid w:val="00971EDD"/>
    <w:rsid w:val="009720E9"/>
    <w:rsid w:val="00972AEB"/>
    <w:rsid w:val="00972D84"/>
    <w:rsid w:val="009750E6"/>
    <w:rsid w:val="009751D0"/>
    <w:rsid w:val="00975430"/>
    <w:rsid w:val="00975D67"/>
    <w:rsid w:val="00990965"/>
    <w:rsid w:val="00991295"/>
    <w:rsid w:val="00991976"/>
    <w:rsid w:val="0099624C"/>
    <w:rsid w:val="009A162A"/>
    <w:rsid w:val="009A2B8F"/>
    <w:rsid w:val="009B6DBA"/>
    <w:rsid w:val="009B79A5"/>
    <w:rsid w:val="009C3AFE"/>
    <w:rsid w:val="009C6D7A"/>
    <w:rsid w:val="009C6E7D"/>
    <w:rsid w:val="009C6E9C"/>
    <w:rsid w:val="009E170C"/>
    <w:rsid w:val="009E2A21"/>
    <w:rsid w:val="009E4BFD"/>
    <w:rsid w:val="009F3069"/>
    <w:rsid w:val="009F7EC8"/>
    <w:rsid w:val="00A035AB"/>
    <w:rsid w:val="00A03863"/>
    <w:rsid w:val="00A07650"/>
    <w:rsid w:val="00A1037A"/>
    <w:rsid w:val="00A1401B"/>
    <w:rsid w:val="00A247FE"/>
    <w:rsid w:val="00A251A6"/>
    <w:rsid w:val="00A320CF"/>
    <w:rsid w:val="00A34419"/>
    <w:rsid w:val="00A35534"/>
    <w:rsid w:val="00A40A9B"/>
    <w:rsid w:val="00A43BAC"/>
    <w:rsid w:val="00A56ECB"/>
    <w:rsid w:val="00A641C7"/>
    <w:rsid w:val="00A6580A"/>
    <w:rsid w:val="00A65839"/>
    <w:rsid w:val="00A70BCC"/>
    <w:rsid w:val="00A74BE6"/>
    <w:rsid w:val="00A74C96"/>
    <w:rsid w:val="00A75BAB"/>
    <w:rsid w:val="00A760CB"/>
    <w:rsid w:val="00A77A31"/>
    <w:rsid w:val="00A81E07"/>
    <w:rsid w:val="00A84C51"/>
    <w:rsid w:val="00A97805"/>
    <w:rsid w:val="00A97F0B"/>
    <w:rsid w:val="00AA4C88"/>
    <w:rsid w:val="00AA7A0F"/>
    <w:rsid w:val="00AB1E70"/>
    <w:rsid w:val="00AB2D2A"/>
    <w:rsid w:val="00AB3663"/>
    <w:rsid w:val="00AD5F20"/>
    <w:rsid w:val="00AD77F7"/>
    <w:rsid w:val="00AE1EFB"/>
    <w:rsid w:val="00AE7096"/>
    <w:rsid w:val="00AF7BF4"/>
    <w:rsid w:val="00B10D41"/>
    <w:rsid w:val="00B12184"/>
    <w:rsid w:val="00B144D7"/>
    <w:rsid w:val="00B15D09"/>
    <w:rsid w:val="00B175EE"/>
    <w:rsid w:val="00B21D8B"/>
    <w:rsid w:val="00B4546C"/>
    <w:rsid w:val="00B52525"/>
    <w:rsid w:val="00B569E9"/>
    <w:rsid w:val="00B62E98"/>
    <w:rsid w:val="00B63C18"/>
    <w:rsid w:val="00B672F3"/>
    <w:rsid w:val="00B678F6"/>
    <w:rsid w:val="00B71B64"/>
    <w:rsid w:val="00B73BCC"/>
    <w:rsid w:val="00B85E6E"/>
    <w:rsid w:val="00B87446"/>
    <w:rsid w:val="00B87A39"/>
    <w:rsid w:val="00B903D4"/>
    <w:rsid w:val="00BA0B89"/>
    <w:rsid w:val="00BA3BAA"/>
    <w:rsid w:val="00BA7D88"/>
    <w:rsid w:val="00BB40ED"/>
    <w:rsid w:val="00BB7757"/>
    <w:rsid w:val="00BB7AC6"/>
    <w:rsid w:val="00BD150A"/>
    <w:rsid w:val="00BF1830"/>
    <w:rsid w:val="00C02488"/>
    <w:rsid w:val="00C064C5"/>
    <w:rsid w:val="00C13234"/>
    <w:rsid w:val="00C1456B"/>
    <w:rsid w:val="00C2043B"/>
    <w:rsid w:val="00C22C99"/>
    <w:rsid w:val="00C3091C"/>
    <w:rsid w:val="00C37C6E"/>
    <w:rsid w:val="00C410BD"/>
    <w:rsid w:val="00C42A7D"/>
    <w:rsid w:val="00C4426E"/>
    <w:rsid w:val="00C4486D"/>
    <w:rsid w:val="00C64070"/>
    <w:rsid w:val="00C66A7D"/>
    <w:rsid w:val="00C677B2"/>
    <w:rsid w:val="00C7080B"/>
    <w:rsid w:val="00C70C02"/>
    <w:rsid w:val="00C8065C"/>
    <w:rsid w:val="00C83DAE"/>
    <w:rsid w:val="00C872F4"/>
    <w:rsid w:val="00C92567"/>
    <w:rsid w:val="00C92663"/>
    <w:rsid w:val="00C92709"/>
    <w:rsid w:val="00C9463B"/>
    <w:rsid w:val="00C9754A"/>
    <w:rsid w:val="00CA07DA"/>
    <w:rsid w:val="00CA415F"/>
    <w:rsid w:val="00CA44CA"/>
    <w:rsid w:val="00CA59C1"/>
    <w:rsid w:val="00CB5104"/>
    <w:rsid w:val="00CC2B0C"/>
    <w:rsid w:val="00CC53A6"/>
    <w:rsid w:val="00CC5A73"/>
    <w:rsid w:val="00CC6D8C"/>
    <w:rsid w:val="00CC7657"/>
    <w:rsid w:val="00CC7D47"/>
    <w:rsid w:val="00CD281B"/>
    <w:rsid w:val="00CE33AB"/>
    <w:rsid w:val="00CE5F14"/>
    <w:rsid w:val="00CF0441"/>
    <w:rsid w:val="00CF0BB1"/>
    <w:rsid w:val="00CF25AF"/>
    <w:rsid w:val="00CF499C"/>
    <w:rsid w:val="00CF6D97"/>
    <w:rsid w:val="00D11C20"/>
    <w:rsid w:val="00D1267B"/>
    <w:rsid w:val="00D1652F"/>
    <w:rsid w:val="00D205F1"/>
    <w:rsid w:val="00D20D0D"/>
    <w:rsid w:val="00D21C40"/>
    <w:rsid w:val="00D24C22"/>
    <w:rsid w:val="00D25679"/>
    <w:rsid w:val="00D30328"/>
    <w:rsid w:val="00D33EE0"/>
    <w:rsid w:val="00D34DA4"/>
    <w:rsid w:val="00D40AF4"/>
    <w:rsid w:val="00D45032"/>
    <w:rsid w:val="00D451F1"/>
    <w:rsid w:val="00D4676F"/>
    <w:rsid w:val="00D52A97"/>
    <w:rsid w:val="00D55387"/>
    <w:rsid w:val="00D56226"/>
    <w:rsid w:val="00D60014"/>
    <w:rsid w:val="00D60911"/>
    <w:rsid w:val="00D60C1B"/>
    <w:rsid w:val="00D645CF"/>
    <w:rsid w:val="00D64B1B"/>
    <w:rsid w:val="00D7381C"/>
    <w:rsid w:val="00D75EFE"/>
    <w:rsid w:val="00D77BD2"/>
    <w:rsid w:val="00D80F48"/>
    <w:rsid w:val="00D81912"/>
    <w:rsid w:val="00D82F98"/>
    <w:rsid w:val="00D90178"/>
    <w:rsid w:val="00DA2AFF"/>
    <w:rsid w:val="00DA3C3E"/>
    <w:rsid w:val="00DA4031"/>
    <w:rsid w:val="00DA5ECC"/>
    <w:rsid w:val="00DA715D"/>
    <w:rsid w:val="00DB05A5"/>
    <w:rsid w:val="00DB55B4"/>
    <w:rsid w:val="00DB7769"/>
    <w:rsid w:val="00DB7FD7"/>
    <w:rsid w:val="00DD44B6"/>
    <w:rsid w:val="00DE11CA"/>
    <w:rsid w:val="00DE1CE4"/>
    <w:rsid w:val="00DE77E2"/>
    <w:rsid w:val="00DF3B26"/>
    <w:rsid w:val="00DF3F97"/>
    <w:rsid w:val="00DF6E8D"/>
    <w:rsid w:val="00DF7E0A"/>
    <w:rsid w:val="00E04668"/>
    <w:rsid w:val="00E1018B"/>
    <w:rsid w:val="00E12F27"/>
    <w:rsid w:val="00E135BA"/>
    <w:rsid w:val="00E16F40"/>
    <w:rsid w:val="00E17BBE"/>
    <w:rsid w:val="00E21C2B"/>
    <w:rsid w:val="00E23284"/>
    <w:rsid w:val="00E26737"/>
    <w:rsid w:val="00E3625B"/>
    <w:rsid w:val="00E40277"/>
    <w:rsid w:val="00E40975"/>
    <w:rsid w:val="00E41F2C"/>
    <w:rsid w:val="00E44221"/>
    <w:rsid w:val="00E4566F"/>
    <w:rsid w:val="00E45D77"/>
    <w:rsid w:val="00E50321"/>
    <w:rsid w:val="00E529AC"/>
    <w:rsid w:val="00E52A6B"/>
    <w:rsid w:val="00E5456E"/>
    <w:rsid w:val="00E62022"/>
    <w:rsid w:val="00E62C3E"/>
    <w:rsid w:val="00E64321"/>
    <w:rsid w:val="00E71415"/>
    <w:rsid w:val="00E7146D"/>
    <w:rsid w:val="00E719C1"/>
    <w:rsid w:val="00E73C7B"/>
    <w:rsid w:val="00E90330"/>
    <w:rsid w:val="00E907BF"/>
    <w:rsid w:val="00E936A0"/>
    <w:rsid w:val="00E96DBD"/>
    <w:rsid w:val="00E97DE2"/>
    <w:rsid w:val="00EA1947"/>
    <w:rsid w:val="00EA3D6D"/>
    <w:rsid w:val="00EA6DEE"/>
    <w:rsid w:val="00EB07FF"/>
    <w:rsid w:val="00EB1482"/>
    <w:rsid w:val="00EB2B57"/>
    <w:rsid w:val="00EB490B"/>
    <w:rsid w:val="00EB6E58"/>
    <w:rsid w:val="00EC1F9F"/>
    <w:rsid w:val="00EC222C"/>
    <w:rsid w:val="00EC47A9"/>
    <w:rsid w:val="00EC5996"/>
    <w:rsid w:val="00EE6A89"/>
    <w:rsid w:val="00EF043E"/>
    <w:rsid w:val="00EF4EBC"/>
    <w:rsid w:val="00EF5F2A"/>
    <w:rsid w:val="00F023DD"/>
    <w:rsid w:val="00F02D1E"/>
    <w:rsid w:val="00F04CFA"/>
    <w:rsid w:val="00F05C90"/>
    <w:rsid w:val="00F06442"/>
    <w:rsid w:val="00F10DD6"/>
    <w:rsid w:val="00F12CFD"/>
    <w:rsid w:val="00F14033"/>
    <w:rsid w:val="00F14836"/>
    <w:rsid w:val="00F1571B"/>
    <w:rsid w:val="00F17C44"/>
    <w:rsid w:val="00F22552"/>
    <w:rsid w:val="00F23465"/>
    <w:rsid w:val="00F27F0C"/>
    <w:rsid w:val="00F27F0E"/>
    <w:rsid w:val="00F315DD"/>
    <w:rsid w:val="00F4223D"/>
    <w:rsid w:val="00F4550E"/>
    <w:rsid w:val="00F459BA"/>
    <w:rsid w:val="00F45E9D"/>
    <w:rsid w:val="00F53CE7"/>
    <w:rsid w:val="00F54B33"/>
    <w:rsid w:val="00F56FB4"/>
    <w:rsid w:val="00F61A88"/>
    <w:rsid w:val="00F64886"/>
    <w:rsid w:val="00F66B18"/>
    <w:rsid w:val="00F67E39"/>
    <w:rsid w:val="00F706E9"/>
    <w:rsid w:val="00F7445F"/>
    <w:rsid w:val="00F7478C"/>
    <w:rsid w:val="00F76A1E"/>
    <w:rsid w:val="00F83BB2"/>
    <w:rsid w:val="00F87C03"/>
    <w:rsid w:val="00F923E8"/>
    <w:rsid w:val="00F96321"/>
    <w:rsid w:val="00FA2624"/>
    <w:rsid w:val="00FA2AD1"/>
    <w:rsid w:val="00FA74CE"/>
    <w:rsid w:val="00FB0049"/>
    <w:rsid w:val="00FB1C2C"/>
    <w:rsid w:val="00FB578C"/>
    <w:rsid w:val="00FB617C"/>
    <w:rsid w:val="00FB7DFB"/>
    <w:rsid w:val="00FC3A9D"/>
    <w:rsid w:val="00FC3CDB"/>
    <w:rsid w:val="00FD223E"/>
    <w:rsid w:val="00FD3624"/>
    <w:rsid w:val="00FD687A"/>
    <w:rsid w:val="00FD7EEF"/>
    <w:rsid w:val="00FE01C7"/>
    <w:rsid w:val="00FE0714"/>
    <w:rsid w:val="00FE19B0"/>
    <w:rsid w:val="00FE1D81"/>
    <w:rsid w:val="00FE2B94"/>
    <w:rsid w:val="00FE7387"/>
    <w:rsid w:val="00FF14CE"/>
    <w:rsid w:val="00FF37C3"/>
    <w:rsid w:val="00FF41D5"/>
    <w:rsid w:val="00FF74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5118"/>
  </w:style>
  <w:style w:type="paragraph" w:styleId="Heading1">
    <w:name w:val="heading 1"/>
    <w:basedOn w:val="Normal"/>
    <w:next w:val="Normal"/>
    <w:link w:val="Heading1Char"/>
    <w:uiPriority w:val="99"/>
    <w:qFormat/>
    <w:rsid w:val="00455118"/>
    <w:pPr>
      <w:keepNext/>
      <w:jc w:val="center"/>
      <w:outlineLvl w:val="0"/>
    </w:pPr>
    <w:rPr>
      <w:b/>
      <w:bCs/>
      <w:sz w:val="32"/>
    </w:rPr>
  </w:style>
  <w:style w:type="paragraph" w:styleId="Heading2">
    <w:name w:val="heading 2"/>
    <w:basedOn w:val="Normal"/>
    <w:next w:val="Normal"/>
    <w:qFormat/>
    <w:rsid w:val="00455118"/>
    <w:pPr>
      <w:keepNext/>
      <w:outlineLvl w:val="1"/>
    </w:pPr>
    <w:rPr>
      <w:sz w:val="24"/>
    </w:rPr>
  </w:style>
  <w:style w:type="paragraph" w:styleId="Heading3">
    <w:name w:val="heading 3"/>
    <w:basedOn w:val="Normal"/>
    <w:next w:val="Normal"/>
    <w:qFormat/>
    <w:rsid w:val="00455118"/>
    <w:pPr>
      <w:keepNext/>
      <w:outlineLvl w:val="2"/>
    </w:pPr>
    <w:rPr>
      <w:i/>
      <w:iCs/>
    </w:rPr>
  </w:style>
  <w:style w:type="paragraph" w:styleId="Heading4">
    <w:name w:val="heading 4"/>
    <w:basedOn w:val="Normal"/>
    <w:next w:val="Normal"/>
    <w:qFormat/>
    <w:rsid w:val="00455118"/>
    <w:pPr>
      <w:keepNext/>
      <w:outlineLvl w:val="3"/>
    </w:pPr>
    <w:rPr>
      <w:i/>
      <w:iCs/>
      <w:sz w:val="24"/>
    </w:rPr>
  </w:style>
  <w:style w:type="paragraph" w:styleId="Heading5">
    <w:name w:val="heading 5"/>
    <w:basedOn w:val="Normal"/>
    <w:next w:val="Normal"/>
    <w:qFormat/>
    <w:rsid w:val="00455118"/>
    <w:pPr>
      <w:keepNext/>
      <w:jc w:val="center"/>
      <w:outlineLvl w:val="4"/>
    </w:pPr>
    <w:rPr>
      <w:b/>
      <w:bCs/>
      <w:sz w:val="32"/>
      <w:u w:val="single"/>
    </w:rPr>
  </w:style>
  <w:style w:type="paragraph" w:styleId="Heading6">
    <w:name w:val="heading 6"/>
    <w:basedOn w:val="Normal"/>
    <w:next w:val="Normal"/>
    <w:qFormat/>
    <w:rsid w:val="00455118"/>
    <w:pPr>
      <w:keepNext/>
      <w:outlineLvl w:val="5"/>
    </w:pPr>
    <w:rPr>
      <w:i/>
      <w:iCs/>
      <w:color w:val="FF6600"/>
    </w:rPr>
  </w:style>
  <w:style w:type="paragraph" w:styleId="Heading7">
    <w:name w:val="heading 7"/>
    <w:basedOn w:val="Normal"/>
    <w:next w:val="Normal"/>
    <w:qFormat/>
    <w:rsid w:val="00455118"/>
    <w:pPr>
      <w:keepNext/>
      <w:outlineLvl w:val="6"/>
    </w:pPr>
    <w:rPr>
      <w:rFonts w:ascii="Century Gothic" w:hAnsi="Century Gothic"/>
      <w:b/>
      <w:bCs/>
      <w:color w:val="003366"/>
      <w:szCs w:val="24"/>
    </w:rPr>
  </w:style>
  <w:style w:type="paragraph" w:styleId="Heading8">
    <w:name w:val="heading 8"/>
    <w:basedOn w:val="Normal"/>
    <w:next w:val="Normal"/>
    <w:qFormat/>
    <w:rsid w:val="00455118"/>
    <w:pPr>
      <w:keepNext/>
      <w:outlineLvl w:val="7"/>
    </w:pPr>
    <w:rPr>
      <w:i/>
      <w:iCs/>
      <w:color w:val="993300"/>
      <w:sz w:val="24"/>
    </w:rPr>
  </w:style>
  <w:style w:type="paragraph" w:styleId="Heading9">
    <w:name w:val="heading 9"/>
    <w:basedOn w:val="Normal"/>
    <w:next w:val="Normal"/>
    <w:qFormat/>
    <w:rsid w:val="00455118"/>
    <w:pPr>
      <w:keepNext/>
      <w:jc w:val="center"/>
      <w:outlineLvl w:val="8"/>
    </w:pPr>
    <w:rPr>
      <w:rFonts w:ascii="Tahoma" w:hAnsi="Tahoma"/>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55118"/>
    <w:pPr>
      <w:ind w:left="2880" w:hanging="2160"/>
    </w:pPr>
    <w:rPr>
      <w:sz w:val="24"/>
    </w:rPr>
  </w:style>
  <w:style w:type="paragraph" w:styleId="BodyTextIndent2">
    <w:name w:val="Body Text Indent 2"/>
    <w:basedOn w:val="Normal"/>
    <w:rsid w:val="00455118"/>
    <w:pPr>
      <w:ind w:left="2970" w:hanging="2250"/>
    </w:pPr>
    <w:rPr>
      <w:sz w:val="24"/>
    </w:rPr>
  </w:style>
  <w:style w:type="paragraph" w:styleId="BodyTextIndent3">
    <w:name w:val="Body Text Indent 3"/>
    <w:basedOn w:val="Normal"/>
    <w:rsid w:val="00455118"/>
    <w:pPr>
      <w:ind w:left="2880" w:hanging="2250"/>
    </w:pPr>
    <w:rPr>
      <w:sz w:val="24"/>
    </w:rPr>
  </w:style>
  <w:style w:type="paragraph" w:styleId="Header">
    <w:name w:val="header"/>
    <w:basedOn w:val="Normal"/>
    <w:rsid w:val="00455118"/>
    <w:pPr>
      <w:tabs>
        <w:tab w:val="center" w:pos="4320"/>
        <w:tab w:val="right" w:pos="8640"/>
      </w:tabs>
    </w:pPr>
  </w:style>
  <w:style w:type="paragraph" w:styleId="Footer">
    <w:name w:val="footer"/>
    <w:basedOn w:val="Normal"/>
    <w:link w:val="FooterChar"/>
    <w:uiPriority w:val="99"/>
    <w:rsid w:val="00455118"/>
    <w:pPr>
      <w:tabs>
        <w:tab w:val="center" w:pos="4320"/>
        <w:tab w:val="right" w:pos="8640"/>
      </w:tabs>
    </w:pPr>
  </w:style>
  <w:style w:type="character" w:styleId="Hyperlink">
    <w:name w:val="Hyperlink"/>
    <w:basedOn w:val="DefaultParagraphFont"/>
    <w:rsid w:val="00455118"/>
    <w:rPr>
      <w:color w:val="0000FF"/>
      <w:u w:val="single"/>
    </w:rPr>
  </w:style>
  <w:style w:type="paragraph" w:styleId="Title">
    <w:name w:val="Title"/>
    <w:basedOn w:val="Normal"/>
    <w:qFormat/>
    <w:rsid w:val="00455118"/>
    <w:pPr>
      <w:jc w:val="center"/>
    </w:pPr>
    <w:rPr>
      <w:b/>
      <w:sz w:val="32"/>
    </w:rPr>
  </w:style>
  <w:style w:type="character" w:styleId="PageNumber">
    <w:name w:val="page number"/>
    <w:basedOn w:val="DefaultParagraphFont"/>
    <w:rsid w:val="00455118"/>
  </w:style>
  <w:style w:type="paragraph" w:styleId="BalloonText">
    <w:name w:val="Balloon Text"/>
    <w:basedOn w:val="Normal"/>
    <w:semiHidden/>
    <w:rsid w:val="00455118"/>
    <w:rPr>
      <w:rFonts w:ascii="Tahoma" w:hAnsi="Tahoma" w:cs="Tahoma"/>
      <w:sz w:val="16"/>
      <w:szCs w:val="16"/>
    </w:rPr>
  </w:style>
  <w:style w:type="character" w:styleId="Strong">
    <w:name w:val="Strong"/>
    <w:basedOn w:val="DefaultParagraphFont"/>
    <w:qFormat/>
    <w:rsid w:val="00C8065C"/>
    <w:rPr>
      <w:b/>
      <w:bCs/>
    </w:rPr>
  </w:style>
  <w:style w:type="character" w:styleId="CommentReference">
    <w:name w:val="annotation reference"/>
    <w:basedOn w:val="DefaultParagraphFont"/>
    <w:semiHidden/>
    <w:rsid w:val="00A43BAC"/>
    <w:rPr>
      <w:sz w:val="16"/>
      <w:szCs w:val="16"/>
    </w:rPr>
  </w:style>
  <w:style w:type="paragraph" w:styleId="CommentText">
    <w:name w:val="annotation text"/>
    <w:basedOn w:val="Normal"/>
    <w:semiHidden/>
    <w:rsid w:val="00A43BAC"/>
  </w:style>
  <w:style w:type="paragraph" w:styleId="CommentSubject">
    <w:name w:val="annotation subject"/>
    <w:basedOn w:val="CommentText"/>
    <w:next w:val="CommentText"/>
    <w:semiHidden/>
    <w:rsid w:val="00A43BAC"/>
    <w:rPr>
      <w:b/>
      <w:bCs/>
    </w:rPr>
  </w:style>
  <w:style w:type="paragraph" w:styleId="DocumentMap">
    <w:name w:val="Document Map"/>
    <w:basedOn w:val="Normal"/>
    <w:semiHidden/>
    <w:rsid w:val="00D55387"/>
    <w:pPr>
      <w:shd w:val="clear" w:color="auto" w:fill="000080"/>
    </w:pPr>
    <w:rPr>
      <w:rFonts w:ascii="Tahoma" w:hAnsi="Tahoma" w:cs="Tahoma"/>
    </w:rPr>
  </w:style>
  <w:style w:type="character" w:styleId="FollowedHyperlink">
    <w:name w:val="FollowedHyperlink"/>
    <w:basedOn w:val="DefaultParagraphFont"/>
    <w:rsid w:val="001D1FB3"/>
    <w:rPr>
      <w:color w:val="800080"/>
      <w:u w:val="single"/>
    </w:rPr>
  </w:style>
  <w:style w:type="paragraph" w:styleId="NormalWeb">
    <w:name w:val="Normal (Web)"/>
    <w:basedOn w:val="Normal"/>
    <w:uiPriority w:val="99"/>
    <w:unhideWhenUsed/>
    <w:rsid w:val="00052CB5"/>
    <w:pPr>
      <w:spacing w:before="100" w:beforeAutospacing="1" w:after="100" w:afterAutospacing="1"/>
    </w:pPr>
    <w:rPr>
      <w:rFonts w:eastAsia="Calibri"/>
      <w:sz w:val="24"/>
      <w:szCs w:val="24"/>
    </w:rPr>
  </w:style>
  <w:style w:type="character" w:customStyle="1" w:styleId="FooterChar">
    <w:name w:val="Footer Char"/>
    <w:basedOn w:val="DefaultParagraphFont"/>
    <w:link w:val="Footer"/>
    <w:uiPriority w:val="99"/>
    <w:rsid w:val="00136D9F"/>
  </w:style>
  <w:style w:type="character" w:customStyle="1" w:styleId="Heading1Char">
    <w:name w:val="Heading 1 Char"/>
    <w:basedOn w:val="DefaultParagraphFont"/>
    <w:link w:val="Heading1"/>
    <w:uiPriority w:val="99"/>
    <w:rsid w:val="00610935"/>
    <w:rPr>
      <w:b/>
      <w:bCs/>
      <w:sz w:val="32"/>
    </w:rPr>
  </w:style>
</w:styles>
</file>

<file path=word/webSettings.xml><?xml version="1.0" encoding="utf-8"?>
<w:webSettings xmlns:r="http://schemas.openxmlformats.org/officeDocument/2006/relationships" xmlns:w="http://schemas.openxmlformats.org/wordprocessingml/2006/main">
  <w:divs>
    <w:div w:id="697391614">
      <w:bodyDiv w:val="1"/>
      <w:marLeft w:val="0"/>
      <w:marRight w:val="0"/>
      <w:marTop w:val="0"/>
      <w:marBottom w:val="0"/>
      <w:divBdr>
        <w:top w:val="none" w:sz="0" w:space="0" w:color="auto"/>
        <w:left w:val="none" w:sz="0" w:space="0" w:color="auto"/>
        <w:bottom w:val="none" w:sz="0" w:space="0" w:color="auto"/>
        <w:right w:val="none" w:sz="0" w:space="0" w:color="auto"/>
      </w:divBdr>
    </w:div>
    <w:div w:id="1009597937">
      <w:bodyDiv w:val="1"/>
      <w:marLeft w:val="0"/>
      <w:marRight w:val="0"/>
      <w:marTop w:val="0"/>
      <w:marBottom w:val="0"/>
      <w:divBdr>
        <w:top w:val="none" w:sz="0" w:space="0" w:color="auto"/>
        <w:left w:val="none" w:sz="0" w:space="0" w:color="auto"/>
        <w:bottom w:val="none" w:sz="0" w:space="0" w:color="auto"/>
        <w:right w:val="none" w:sz="0" w:space="0" w:color="auto"/>
      </w:divBdr>
    </w:div>
    <w:div w:id="1239169775">
      <w:bodyDiv w:val="1"/>
      <w:marLeft w:val="0"/>
      <w:marRight w:val="0"/>
      <w:marTop w:val="0"/>
      <w:marBottom w:val="0"/>
      <w:divBdr>
        <w:top w:val="none" w:sz="0" w:space="0" w:color="auto"/>
        <w:left w:val="none" w:sz="0" w:space="0" w:color="auto"/>
        <w:bottom w:val="none" w:sz="0" w:space="0" w:color="auto"/>
        <w:right w:val="none" w:sz="0" w:space="0" w:color="auto"/>
      </w:divBdr>
    </w:div>
    <w:div w:id="1760909549">
      <w:bodyDiv w:val="1"/>
      <w:marLeft w:val="0"/>
      <w:marRight w:val="0"/>
      <w:marTop w:val="0"/>
      <w:marBottom w:val="0"/>
      <w:divBdr>
        <w:top w:val="none" w:sz="0" w:space="0" w:color="auto"/>
        <w:left w:val="none" w:sz="0" w:space="0" w:color="auto"/>
        <w:bottom w:val="none" w:sz="0" w:space="0" w:color="auto"/>
        <w:right w:val="none" w:sz="0" w:space="0" w:color="auto"/>
      </w:divBdr>
    </w:div>
    <w:div w:id="1901480150">
      <w:bodyDiv w:val="1"/>
      <w:marLeft w:val="0"/>
      <w:marRight w:val="0"/>
      <w:marTop w:val="0"/>
      <w:marBottom w:val="0"/>
      <w:divBdr>
        <w:top w:val="none" w:sz="0" w:space="0" w:color="auto"/>
        <w:left w:val="none" w:sz="0" w:space="0" w:color="auto"/>
        <w:bottom w:val="none" w:sz="0" w:space="0" w:color="auto"/>
        <w:right w:val="none" w:sz="0" w:space="0" w:color="auto"/>
      </w:divBdr>
      <w:divsChild>
        <w:div w:id="218398084">
          <w:marLeft w:val="0"/>
          <w:marRight w:val="0"/>
          <w:marTop w:val="0"/>
          <w:marBottom w:val="0"/>
          <w:divBdr>
            <w:top w:val="none" w:sz="0" w:space="0" w:color="auto"/>
            <w:left w:val="none" w:sz="0" w:space="0" w:color="auto"/>
            <w:bottom w:val="none" w:sz="0" w:space="0" w:color="auto"/>
            <w:right w:val="none" w:sz="0" w:space="0" w:color="auto"/>
          </w:divBdr>
        </w:div>
        <w:div w:id="1369260944">
          <w:marLeft w:val="0"/>
          <w:marRight w:val="0"/>
          <w:marTop w:val="0"/>
          <w:marBottom w:val="0"/>
          <w:divBdr>
            <w:top w:val="none" w:sz="0" w:space="0" w:color="auto"/>
            <w:left w:val="none" w:sz="0" w:space="0" w:color="auto"/>
            <w:bottom w:val="none" w:sz="0" w:space="0" w:color="auto"/>
            <w:right w:val="none" w:sz="0" w:space="0" w:color="auto"/>
          </w:divBdr>
        </w:div>
        <w:div w:id="1772163690">
          <w:marLeft w:val="0"/>
          <w:marRight w:val="0"/>
          <w:marTop w:val="0"/>
          <w:marBottom w:val="0"/>
          <w:divBdr>
            <w:top w:val="none" w:sz="0" w:space="0" w:color="auto"/>
            <w:left w:val="none" w:sz="0" w:space="0" w:color="auto"/>
            <w:bottom w:val="none" w:sz="0" w:space="0" w:color="auto"/>
            <w:right w:val="none" w:sz="0" w:space="0" w:color="auto"/>
          </w:divBdr>
        </w:div>
      </w:divsChild>
    </w:div>
    <w:div w:id="208433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4517</Words>
  <Characters>25748</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TMDL Executive Committee</vt:lpstr>
    </vt:vector>
  </TitlesOfParts>
  <Company>FL Dept of Environmental Prot</Company>
  <LinksUpToDate>false</LinksUpToDate>
  <CharactersWithSpaces>30205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TMDL Executive Committee</dc:title>
  <dc:subject/>
  <dc:creator>Administration</dc:creator>
  <cp:keywords/>
  <dc:description/>
  <cp:lastModifiedBy>Marcy Policastro</cp:lastModifiedBy>
  <cp:revision>5</cp:revision>
  <cp:lastPrinted>2010-03-04T19:05:00Z</cp:lastPrinted>
  <dcterms:created xsi:type="dcterms:W3CDTF">2011-11-01T18:15:00Z</dcterms:created>
  <dcterms:modified xsi:type="dcterms:W3CDTF">2011-11-01T19:34:00Z</dcterms:modified>
</cp:coreProperties>
</file>