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B90" w:rsidRPr="00E56FBE" w:rsidRDefault="00557B90" w:rsidP="00E56FBE">
      <w:pPr>
        <w:jc w:val="center"/>
        <w:rPr>
          <w:rFonts w:ascii="Times New Roman Bold" w:hAnsi="Times New Roman Bold" w:cs="Times New Roman"/>
          <w:b/>
          <w:bCs/>
          <w:sz w:val="28"/>
        </w:rPr>
      </w:pPr>
      <w:r w:rsidRPr="00E56FBE">
        <w:rPr>
          <w:rFonts w:ascii="Times New Roman Bold" w:hAnsi="Times New Roman Bold" w:cs="Times New Roman"/>
          <w:b/>
          <w:bCs/>
          <w:sz w:val="28"/>
        </w:rPr>
        <w:t xml:space="preserve">Summary of the </w:t>
      </w:r>
      <w:r w:rsidR="00E56FBE">
        <w:rPr>
          <w:rFonts w:ascii="Times New Roman Bold" w:hAnsi="Times New Roman Bold" w:cs="Times New Roman"/>
          <w:b/>
          <w:bCs/>
          <w:sz w:val="28"/>
        </w:rPr>
        <w:t>Lakes Harney and Monroe Total Maximum Daily Load</w:t>
      </w:r>
      <w:r w:rsidR="00261554">
        <w:rPr>
          <w:rFonts w:ascii="Times New Roman Bold" w:hAnsi="Times New Roman Bold" w:cs="Times New Roman"/>
          <w:b/>
          <w:bCs/>
          <w:sz w:val="28"/>
        </w:rPr>
        <w:t>s</w:t>
      </w:r>
    </w:p>
    <w:p w:rsidR="00D63985" w:rsidRPr="00E56FBE" w:rsidRDefault="002255C8" w:rsidP="00557B90">
      <w:pPr>
        <w:jc w:val="center"/>
        <w:rPr>
          <w:rFonts w:ascii="Times New Roman Bold" w:hAnsi="Times New Roman Bold" w:cs="Times New Roman"/>
          <w:b/>
          <w:sz w:val="28"/>
        </w:rPr>
      </w:pPr>
      <w:r>
        <w:rPr>
          <w:rFonts w:ascii="Times New Roman Bold" w:hAnsi="Times New Roman Bold" w:cs="Times New Roman"/>
          <w:b/>
          <w:bCs/>
          <w:sz w:val="28"/>
        </w:rPr>
        <w:t>November 2011</w:t>
      </w:r>
    </w:p>
    <w:p w:rsidR="00557B90" w:rsidRPr="00E56FBE" w:rsidRDefault="00557B90" w:rsidP="00266D6D">
      <w:pPr>
        <w:rPr>
          <w:rFonts w:cs="Times New Roman"/>
          <w:sz w:val="22"/>
        </w:rPr>
      </w:pPr>
    </w:p>
    <w:p w:rsidR="00557B90" w:rsidRPr="00E56FBE" w:rsidRDefault="00557B90" w:rsidP="00266D6D">
      <w:pPr>
        <w:rPr>
          <w:rFonts w:cs="Times New Roman"/>
          <w:b/>
          <w:szCs w:val="24"/>
          <w:u w:val="single"/>
        </w:rPr>
      </w:pPr>
      <w:r w:rsidRPr="00E56FBE">
        <w:rPr>
          <w:rFonts w:cs="Times New Roman"/>
          <w:b/>
          <w:sz w:val="22"/>
          <w:u w:val="single"/>
        </w:rPr>
        <w:t>B</w:t>
      </w:r>
      <w:r w:rsidRPr="00E56FBE">
        <w:rPr>
          <w:rFonts w:cs="Times New Roman"/>
          <w:b/>
          <w:szCs w:val="24"/>
          <w:u w:val="single"/>
        </w:rPr>
        <w:t>asin Information</w:t>
      </w:r>
    </w:p>
    <w:p w:rsidR="004B3D49" w:rsidRDefault="004B3D49" w:rsidP="002255C8">
      <w:pPr>
        <w:rPr>
          <w:rFonts w:cs="Times New Roman"/>
          <w:szCs w:val="24"/>
        </w:rPr>
      </w:pPr>
      <w:r>
        <w:rPr>
          <w:rFonts w:cs="Times New Roman"/>
          <w:szCs w:val="24"/>
        </w:rPr>
        <w:t>The Lakes Harney and Monroe total maximum daily load</w:t>
      </w:r>
      <w:r w:rsidR="00261554">
        <w:rPr>
          <w:rFonts w:cs="Times New Roman"/>
          <w:szCs w:val="24"/>
        </w:rPr>
        <w:t>s</w:t>
      </w:r>
      <w:r>
        <w:rPr>
          <w:rFonts w:cs="Times New Roman"/>
          <w:szCs w:val="24"/>
        </w:rPr>
        <w:t xml:space="preserve"> (TMDL</w:t>
      </w:r>
      <w:r w:rsidR="00261554">
        <w:rPr>
          <w:rFonts w:cs="Times New Roman"/>
          <w:szCs w:val="24"/>
        </w:rPr>
        <w:t>s</w:t>
      </w:r>
      <w:r>
        <w:rPr>
          <w:rFonts w:cs="Times New Roman"/>
          <w:szCs w:val="24"/>
        </w:rPr>
        <w:t>) w</w:t>
      </w:r>
      <w:r w:rsidR="00261554">
        <w:rPr>
          <w:rFonts w:cs="Times New Roman"/>
          <w:szCs w:val="24"/>
        </w:rPr>
        <w:t>ere</w:t>
      </w:r>
      <w:r>
        <w:rPr>
          <w:rFonts w:cs="Times New Roman"/>
          <w:szCs w:val="24"/>
        </w:rPr>
        <w:t xml:space="preserve"> adopted by the Florida Department of Environmental Protection (FDEP) in December 2009.  The impaired waterbodies included in the TMDL</w:t>
      </w:r>
      <w:r w:rsidR="009C3973">
        <w:rPr>
          <w:rFonts w:cs="Times New Roman"/>
          <w:szCs w:val="24"/>
        </w:rPr>
        <w:t>s</w:t>
      </w:r>
      <w:r>
        <w:rPr>
          <w:rFonts w:cs="Times New Roman"/>
          <w:szCs w:val="24"/>
        </w:rPr>
        <w:t xml:space="preserve"> are Lake Harney, Lake Monroe, and the Middle St. Johns River between the inlet of Lake Harney and the confluence with the </w:t>
      </w:r>
      <w:proofErr w:type="spellStart"/>
      <w:r>
        <w:rPr>
          <w:rFonts w:cs="Times New Roman"/>
          <w:szCs w:val="24"/>
        </w:rPr>
        <w:t>Wekiva</w:t>
      </w:r>
      <w:proofErr w:type="spellEnd"/>
      <w:r>
        <w:rPr>
          <w:rFonts w:cs="Times New Roman"/>
          <w:szCs w:val="24"/>
        </w:rPr>
        <w:t xml:space="preserve"> River.  The total watershed area that drains to these impaired waterbodies is 216,486 acres</w:t>
      </w:r>
      <w:r w:rsidR="00E37DF3">
        <w:rPr>
          <w:rFonts w:cs="Times New Roman"/>
          <w:szCs w:val="24"/>
        </w:rPr>
        <w:t xml:space="preserve"> (see Figure 1)</w:t>
      </w:r>
      <w:r>
        <w:rPr>
          <w:rFonts w:cs="Times New Roman"/>
          <w:szCs w:val="24"/>
        </w:rPr>
        <w:t>.  FDEP has divided the basin into waterbody identification (WBID) numbers.  The TMDL</w:t>
      </w:r>
      <w:r w:rsidR="009C3973">
        <w:rPr>
          <w:rFonts w:cs="Times New Roman"/>
          <w:szCs w:val="24"/>
        </w:rPr>
        <w:t>s</w:t>
      </w:r>
      <w:r>
        <w:rPr>
          <w:rFonts w:cs="Times New Roman"/>
          <w:szCs w:val="24"/>
        </w:rPr>
        <w:t xml:space="preserve"> encompass six WBIDs that are impaired for dissolved oxygen (DO) and/</w:t>
      </w:r>
      <w:r w:rsidR="00C7532D">
        <w:rPr>
          <w:rFonts w:cs="Times New Roman"/>
          <w:szCs w:val="24"/>
        </w:rPr>
        <w:t>or nutrients</w:t>
      </w:r>
      <w:r>
        <w:rPr>
          <w:rFonts w:cs="Times New Roman"/>
          <w:szCs w:val="24"/>
        </w:rPr>
        <w:t>.</w:t>
      </w:r>
    </w:p>
    <w:p w:rsidR="004B3D49" w:rsidRDefault="004B3D49" w:rsidP="002255C8">
      <w:pPr>
        <w:rPr>
          <w:rFonts w:cs="Times New Roman"/>
          <w:szCs w:val="24"/>
        </w:rPr>
      </w:pPr>
    </w:p>
    <w:p w:rsidR="0023631E" w:rsidRPr="00E56FBE" w:rsidRDefault="004B3D49" w:rsidP="005A1058">
      <w:pPr>
        <w:pStyle w:val="Default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Sources in the TMDL</w:t>
      </w:r>
      <w:r w:rsidR="009C3973">
        <w:rPr>
          <w:rFonts w:cs="Times New Roman"/>
          <w:b/>
          <w:u w:val="single"/>
        </w:rPr>
        <w:t>s</w:t>
      </w:r>
    </w:p>
    <w:p w:rsidR="00AD4ADE" w:rsidRDefault="004B3D49" w:rsidP="00C7532D">
      <w:pPr>
        <w:pStyle w:val="Default"/>
        <w:rPr>
          <w:rFonts w:cs="Times New Roman"/>
        </w:rPr>
      </w:pPr>
      <w:r>
        <w:rPr>
          <w:rFonts w:cs="Times New Roman"/>
        </w:rPr>
        <w:t>The TMDL</w:t>
      </w:r>
      <w:r w:rsidR="009C3973">
        <w:rPr>
          <w:rFonts w:cs="Times New Roman"/>
        </w:rPr>
        <w:t>s</w:t>
      </w:r>
      <w:r>
        <w:rPr>
          <w:rFonts w:cs="Times New Roman"/>
        </w:rPr>
        <w:t xml:space="preserve"> identified nutrient loading from </w:t>
      </w:r>
      <w:r w:rsidR="00AD4ADE">
        <w:rPr>
          <w:rFonts w:cs="Times New Roman"/>
        </w:rPr>
        <w:t xml:space="preserve">wastewater treatment facilities (WWTFs), municipal separate storm sewer systems (MS4s), other urban stormwater sources, agriculture, failing septic tanks, groundwater, </w:t>
      </w:r>
      <w:proofErr w:type="gramStart"/>
      <w:r w:rsidR="00AD4ADE">
        <w:rPr>
          <w:rFonts w:cs="Times New Roman"/>
        </w:rPr>
        <w:t>atmospheric</w:t>
      </w:r>
      <w:proofErr w:type="gramEnd"/>
      <w:r w:rsidR="00AD4ADE">
        <w:rPr>
          <w:rFonts w:cs="Times New Roman"/>
        </w:rPr>
        <w:t xml:space="preserve"> deposition, </w:t>
      </w:r>
      <w:r w:rsidR="00E37DF3">
        <w:rPr>
          <w:rFonts w:cs="Times New Roman"/>
        </w:rPr>
        <w:t xml:space="preserve">the </w:t>
      </w:r>
      <w:r w:rsidR="00AD4ADE">
        <w:rPr>
          <w:rFonts w:cs="Times New Roman"/>
        </w:rPr>
        <w:t xml:space="preserve">Upper St. Johns River, </w:t>
      </w:r>
      <w:proofErr w:type="spellStart"/>
      <w:r w:rsidR="00AD4ADE">
        <w:rPr>
          <w:rFonts w:cs="Times New Roman"/>
        </w:rPr>
        <w:t>Econlockhatchee</w:t>
      </w:r>
      <w:proofErr w:type="spellEnd"/>
      <w:r w:rsidR="00AD4ADE">
        <w:rPr>
          <w:rFonts w:cs="Times New Roman"/>
        </w:rPr>
        <w:t xml:space="preserve"> River, and Lake Jesup.  The BMAP focuses on the reductions assigned to the MS4s, other urban stormwater sources, failing septic tanks, and agriculture.  The WWTF </w:t>
      </w:r>
      <w:r w:rsidR="00E37DF3">
        <w:rPr>
          <w:rFonts w:cs="Times New Roman"/>
        </w:rPr>
        <w:t>allocations</w:t>
      </w:r>
      <w:r w:rsidR="00AD4ADE">
        <w:rPr>
          <w:rFonts w:cs="Times New Roman"/>
        </w:rPr>
        <w:t xml:space="preserve"> were assigned in the TMDL</w:t>
      </w:r>
      <w:r w:rsidR="009C3973">
        <w:rPr>
          <w:rFonts w:cs="Times New Roman"/>
        </w:rPr>
        <w:t>s</w:t>
      </w:r>
      <w:r w:rsidR="00AD4ADE">
        <w:rPr>
          <w:rFonts w:cs="Times New Roman"/>
        </w:rPr>
        <w:t>.  Groundwater and atmospheric deposition are considered natural background</w:t>
      </w:r>
      <w:r w:rsidR="00E37DF3">
        <w:rPr>
          <w:rFonts w:cs="Times New Roman"/>
        </w:rPr>
        <w:t xml:space="preserve"> and the TMDL</w:t>
      </w:r>
      <w:r w:rsidR="009C3973">
        <w:rPr>
          <w:rFonts w:cs="Times New Roman"/>
        </w:rPr>
        <w:t>s</w:t>
      </w:r>
      <w:r w:rsidR="00E37DF3">
        <w:rPr>
          <w:rFonts w:cs="Times New Roman"/>
        </w:rPr>
        <w:t xml:space="preserve"> d</w:t>
      </w:r>
      <w:r w:rsidR="00AD4ADE">
        <w:rPr>
          <w:rFonts w:cs="Times New Roman"/>
        </w:rPr>
        <w:t>o not require reductions from these sources.  The upstream river sources and Lake Jesup sources will be addressed through other plans.</w:t>
      </w:r>
      <w:r w:rsidR="00C7532D">
        <w:rPr>
          <w:rFonts w:cs="Times New Roman"/>
        </w:rPr>
        <w:t xml:space="preserve">  </w:t>
      </w:r>
      <w:r w:rsidR="004E1FCA">
        <w:rPr>
          <w:rFonts w:cs="Times New Roman"/>
        </w:rPr>
        <w:t>The following entities are located within the watershed and are considered stakeholders in the basin management action plan (BMAP):</w:t>
      </w:r>
    </w:p>
    <w:p w:rsidR="00C7532D" w:rsidRDefault="00C7532D" w:rsidP="00C7532D">
      <w:pPr>
        <w:pStyle w:val="Default"/>
        <w:rPr>
          <w:rFonts w:cs="Times New Roman"/>
        </w:rPr>
        <w:sectPr w:rsidR="00C7532D" w:rsidSect="00F01AEA">
          <w:footerReference w:type="default" r:id="rId8"/>
          <w:type w:val="continuous"/>
          <w:pgSz w:w="12240" w:h="15840"/>
          <w:pgMar w:top="1008" w:right="1440" w:bottom="1440" w:left="1440" w:header="720" w:footer="720" w:gutter="0"/>
          <w:cols w:space="720"/>
          <w:docGrid w:linePitch="360"/>
        </w:sectPr>
      </w:pPr>
    </w:p>
    <w:p w:rsidR="00285E1F" w:rsidRDefault="0023631E" w:rsidP="00AD4ADE">
      <w:pPr>
        <w:pStyle w:val="Default"/>
        <w:numPr>
          <w:ilvl w:val="0"/>
          <w:numId w:val="3"/>
        </w:numPr>
        <w:jc w:val="left"/>
        <w:rPr>
          <w:rFonts w:cs="Times New Roman"/>
        </w:rPr>
      </w:pPr>
      <w:r w:rsidRPr="00E56FBE">
        <w:rPr>
          <w:rFonts w:cs="Times New Roman"/>
        </w:rPr>
        <w:lastRenderedPageBreak/>
        <w:t xml:space="preserve">Sanford North </w:t>
      </w:r>
      <w:r w:rsidR="002255C8">
        <w:rPr>
          <w:rFonts w:cs="Times New Roman"/>
        </w:rPr>
        <w:t>WWTF</w:t>
      </w:r>
    </w:p>
    <w:p w:rsidR="004E1FCA" w:rsidRDefault="004E1FCA" w:rsidP="00AD4ADE">
      <w:pPr>
        <w:pStyle w:val="Default"/>
        <w:numPr>
          <w:ilvl w:val="0"/>
          <w:numId w:val="3"/>
        </w:numPr>
        <w:jc w:val="left"/>
        <w:rPr>
          <w:rFonts w:cs="Times New Roman"/>
        </w:rPr>
      </w:pPr>
      <w:r>
        <w:rPr>
          <w:rFonts w:cs="Times New Roman"/>
        </w:rPr>
        <w:t>Seminole County</w:t>
      </w:r>
    </w:p>
    <w:p w:rsidR="004E1FCA" w:rsidRDefault="004E1FCA" w:rsidP="00AD4ADE">
      <w:pPr>
        <w:pStyle w:val="Default"/>
        <w:numPr>
          <w:ilvl w:val="0"/>
          <w:numId w:val="3"/>
        </w:numPr>
        <w:jc w:val="left"/>
        <w:rPr>
          <w:rFonts w:cs="Times New Roman"/>
        </w:rPr>
      </w:pPr>
      <w:r>
        <w:rPr>
          <w:rFonts w:cs="Times New Roman"/>
        </w:rPr>
        <w:t>Volusia County</w:t>
      </w:r>
    </w:p>
    <w:p w:rsidR="004E1FCA" w:rsidRDefault="004E1FCA" w:rsidP="00AD4ADE">
      <w:pPr>
        <w:pStyle w:val="Default"/>
        <w:numPr>
          <w:ilvl w:val="0"/>
          <w:numId w:val="3"/>
        </w:numPr>
        <w:jc w:val="left"/>
        <w:rPr>
          <w:rFonts w:cs="Times New Roman"/>
        </w:rPr>
      </w:pPr>
      <w:r>
        <w:rPr>
          <w:rFonts w:cs="Times New Roman"/>
        </w:rPr>
        <w:t xml:space="preserve">City of </w:t>
      </w:r>
      <w:proofErr w:type="spellStart"/>
      <w:r>
        <w:rPr>
          <w:rFonts w:cs="Times New Roman"/>
        </w:rPr>
        <w:t>DeBary</w:t>
      </w:r>
      <w:proofErr w:type="spellEnd"/>
    </w:p>
    <w:p w:rsidR="00AD4ADE" w:rsidRDefault="00AD4ADE" w:rsidP="00AD4ADE">
      <w:pPr>
        <w:pStyle w:val="Default"/>
        <w:numPr>
          <w:ilvl w:val="0"/>
          <w:numId w:val="3"/>
        </w:numPr>
        <w:jc w:val="left"/>
        <w:rPr>
          <w:rFonts w:cs="Times New Roman"/>
        </w:rPr>
      </w:pPr>
      <w:r>
        <w:rPr>
          <w:rFonts w:cs="Times New Roman"/>
        </w:rPr>
        <w:t xml:space="preserve">City of </w:t>
      </w:r>
      <w:proofErr w:type="spellStart"/>
      <w:r>
        <w:rPr>
          <w:rFonts w:cs="Times New Roman"/>
        </w:rPr>
        <w:t>DeLand</w:t>
      </w:r>
      <w:proofErr w:type="spellEnd"/>
    </w:p>
    <w:p w:rsidR="004E1FCA" w:rsidRDefault="004E1FCA" w:rsidP="00AD4ADE">
      <w:pPr>
        <w:pStyle w:val="Default"/>
        <w:numPr>
          <w:ilvl w:val="0"/>
          <w:numId w:val="3"/>
        </w:numPr>
        <w:jc w:val="left"/>
        <w:rPr>
          <w:rFonts w:cs="Times New Roman"/>
        </w:rPr>
      </w:pPr>
      <w:r>
        <w:rPr>
          <w:rFonts w:cs="Times New Roman"/>
        </w:rPr>
        <w:t>City of Deltona</w:t>
      </w:r>
    </w:p>
    <w:p w:rsidR="004E1FCA" w:rsidRDefault="004E1FCA" w:rsidP="00AD4ADE">
      <w:pPr>
        <w:pStyle w:val="Default"/>
        <w:numPr>
          <w:ilvl w:val="0"/>
          <w:numId w:val="3"/>
        </w:numPr>
        <w:jc w:val="left"/>
        <w:rPr>
          <w:rFonts w:cs="Times New Roman"/>
        </w:rPr>
      </w:pPr>
      <w:r>
        <w:rPr>
          <w:rFonts w:cs="Times New Roman"/>
        </w:rPr>
        <w:t>City of Lake Helen</w:t>
      </w:r>
    </w:p>
    <w:p w:rsidR="004E1FCA" w:rsidRDefault="004E1FCA" w:rsidP="00AD4ADE">
      <w:pPr>
        <w:pStyle w:val="Default"/>
        <w:numPr>
          <w:ilvl w:val="0"/>
          <w:numId w:val="3"/>
        </w:numPr>
        <w:jc w:val="left"/>
        <w:rPr>
          <w:rFonts w:cs="Times New Roman"/>
        </w:rPr>
      </w:pPr>
      <w:r>
        <w:rPr>
          <w:rFonts w:cs="Times New Roman"/>
        </w:rPr>
        <w:lastRenderedPageBreak/>
        <w:t>City of Lake Mary</w:t>
      </w:r>
    </w:p>
    <w:p w:rsidR="00AD4ADE" w:rsidRDefault="00AD4ADE" w:rsidP="00AD4ADE">
      <w:pPr>
        <w:pStyle w:val="Default"/>
        <w:numPr>
          <w:ilvl w:val="0"/>
          <w:numId w:val="3"/>
        </w:numPr>
        <w:jc w:val="left"/>
        <w:rPr>
          <w:rFonts w:cs="Times New Roman"/>
        </w:rPr>
      </w:pPr>
      <w:r>
        <w:rPr>
          <w:rFonts w:cs="Times New Roman"/>
        </w:rPr>
        <w:t>City of Orange City</w:t>
      </w:r>
    </w:p>
    <w:p w:rsidR="004E1FCA" w:rsidRDefault="004E1FCA" w:rsidP="00AD4ADE">
      <w:pPr>
        <w:pStyle w:val="Default"/>
        <w:numPr>
          <w:ilvl w:val="0"/>
          <w:numId w:val="3"/>
        </w:numPr>
        <w:jc w:val="left"/>
        <w:rPr>
          <w:rFonts w:cs="Times New Roman"/>
        </w:rPr>
      </w:pPr>
      <w:r>
        <w:rPr>
          <w:rFonts w:cs="Times New Roman"/>
        </w:rPr>
        <w:t>City of Sanford</w:t>
      </w:r>
    </w:p>
    <w:p w:rsidR="004E1FCA" w:rsidRDefault="004E1FCA" w:rsidP="00AD4ADE">
      <w:pPr>
        <w:pStyle w:val="Default"/>
        <w:numPr>
          <w:ilvl w:val="0"/>
          <w:numId w:val="3"/>
        </w:numPr>
        <w:jc w:val="left"/>
        <w:rPr>
          <w:rFonts w:cs="Times New Roman"/>
        </w:rPr>
      </w:pPr>
      <w:r>
        <w:rPr>
          <w:rFonts w:cs="Times New Roman"/>
        </w:rPr>
        <w:t>Florida Department of Transportation (FDOT)</w:t>
      </w:r>
    </w:p>
    <w:p w:rsidR="004E1FCA" w:rsidRDefault="004E1FCA" w:rsidP="00AD4ADE">
      <w:pPr>
        <w:pStyle w:val="Default"/>
        <w:numPr>
          <w:ilvl w:val="0"/>
          <w:numId w:val="3"/>
        </w:numPr>
        <w:jc w:val="left"/>
        <w:rPr>
          <w:rFonts w:cs="Times New Roman"/>
        </w:rPr>
      </w:pPr>
      <w:r>
        <w:rPr>
          <w:rFonts w:cs="Times New Roman"/>
        </w:rPr>
        <w:t>Turnpike Authority</w:t>
      </w:r>
    </w:p>
    <w:p w:rsidR="004E1FCA" w:rsidRPr="00E56FBE" w:rsidRDefault="004E1FCA" w:rsidP="00AD4ADE">
      <w:pPr>
        <w:pStyle w:val="Default"/>
        <w:numPr>
          <w:ilvl w:val="0"/>
          <w:numId w:val="3"/>
        </w:numPr>
        <w:jc w:val="left"/>
        <w:rPr>
          <w:rFonts w:cs="Times New Roman"/>
        </w:rPr>
      </w:pPr>
      <w:r>
        <w:rPr>
          <w:rFonts w:cs="Times New Roman"/>
        </w:rPr>
        <w:t>Agriculture</w:t>
      </w:r>
    </w:p>
    <w:p w:rsidR="00AD4ADE" w:rsidRDefault="00AD4ADE" w:rsidP="00285E1F">
      <w:pPr>
        <w:autoSpaceDE w:val="0"/>
        <w:autoSpaceDN w:val="0"/>
        <w:adjustRightInd w:val="0"/>
        <w:jc w:val="left"/>
        <w:rPr>
          <w:rFonts w:cs="Times New Roman"/>
          <w:color w:val="000000"/>
          <w:szCs w:val="24"/>
        </w:rPr>
        <w:sectPr w:rsidR="00AD4ADE" w:rsidSect="00AD4ADE">
          <w:type w:val="continuous"/>
          <w:pgSz w:w="12240" w:h="15840"/>
          <w:pgMar w:top="1440" w:right="1440" w:bottom="1440" w:left="1440" w:header="720" w:footer="720" w:gutter="0"/>
          <w:cols w:num="2" w:space="0" w:equalWidth="0">
            <w:col w:w="4032" w:space="0"/>
            <w:col w:w="5328"/>
          </w:cols>
          <w:docGrid w:linePitch="360"/>
        </w:sectPr>
      </w:pPr>
    </w:p>
    <w:p w:rsidR="00285E1F" w:rsidRPr="00E56FBE" w:rsidRDefault="00285E1F" w:rsidP="00285E1F">
      <w:pPr>
        <w:autoSpaceDE w:val="0"/>
        <w:autoSpaceDN w:val="0"/>
        <w:adjustRightInd w:val="0"/>
        <w:jc w:val="left"/>
        <w:rPr>
          <w:rFonts w:cs="Times New Roman"/>
          <w:color w:val="000000"/>
          <w:szCs w:val="24"/>
        </w:rPr>
      </w:pPr>
    </w:p>
    <w:p w:rsidR="00F34C5A" w:rsidRPr="00E56FBE" w:rsidRDefault="00F34C5A" w:rsidP="00840EA7">
      <w:pPr>
        <w:pStyle w:val="Default"/>
        <w:rPr>
          <w:rFonts w:cs="Times New Roman"/>
          <w:b/>
          <w:u w:val="single"/>
        </w:rPr>
      </w:pPr>
      <w:r w:rsidRPr="00E56FBE">
        <w:rPr>
          <w:rFonts w:cs="Times New Roman"/>
          <w:b/>
          <w:u w:val="single"/>
        </w:rPr>
        <w:t>T</w:t>
      </w:r>
      <w:r w:rsidR="00737BFC" w:rsidRPr="00E56FBE">
        <w:rPr>
          <w:rFonts w:cs="Times New Roman"/>
          <w:b/>
          <w:u w:val="single"/>
        </w:rPr>
        <w:t xml:space="preserve">otal </w:t>
      </w:r>
      <w:r w:rsidRPr="00E56FBE">
        <w:rPr>
          <w:rFonts w:cs="Times New Roman"/>
          <w:b/>
          <w:u w:val="single"/>
        </w:rPr>
        <w:t>M</w:t>
      </w:r>
      <w:r w:rsidR="00737BFC" w:rsidRPr="00E56FBE">
        <w:rPr>
          <w:rFonts w:cs="Times New Roman"/>
          <w:b/>
          <w:u w:val="single"/>
        </w:rPr>
        <w:t xml:space="preserve">aximum </w:t>
      </w:r>
      <w:r w:rsidRPr="00E56FBE">
        <w:rPr>
          <w:rFonts w:cs="Times New Roman"/>
          <w:b/>
          <w:u w:val="single"/>
        </w:rPr>
        <w:t>D</w:t>
      </w:r>
      <w:r w:rsidR="00737BFC" w:rsidRPr="00E56FBE">
        <w:rPr>
          <w:rFonts w:cs="Times New Roman"/>
          <w:b/>
          <w:u w:val="single"/>
        </w:rPr>
        <w:t xml:space="preserve">aily </w:t>
      </w:r>
      <w:r w:rsidRPr="00E56FBE">
        <w:rPr>
          <w:rFonts w:cs="Times New Roman"/>
          <w:b/>
          <w:u w:val="single"/>
        </w:rPr>
        <w:t>L</w:t>
      </w:r>
      <w:r w:rsidR="00737BFC" w:rsidRPr="00E56FBE">
        <w:rPr>
          <w:rFonts w:cs="Times New Roman"/>
          <w:b/>
          <w:u w:val="single"/>
        </w:rPr>
        <w:t>oad</w:t>
      </w:r>
    </w:p>
    <w:p w:rsidR="00840EA7" w:rsidRDefault="00C7532D" w:rsidP="00840EA7">
      <w:pPr>
        <w:pStyle w:val="Default"/>
        <w:rPr>
          <w:rFonts w:cs="Times New Roman"/>
        </w:rPr>
      </w:pPr>
      <w:r>
        <w:rPr>
          <w:rFonts w:cs="Times New Roman"/>
        </w:rPr>
        <w:t xml:space="preserve">The TMDL reductions are divided into a </w:t>
      </w:r>
      <w:proofErr w:type="spellStart"/>
      <w:r>
        <w:rPr>
          <w:rFonts w:cs="Times New Roman"/>
        </w:rPr>
        <w:t>wasteload</w:t>
      </w:r>
      <w:proofErr w:type="spellEnd"/>
      <w:r>
        <w:rPr>
          <w:rFonts w:cs="Times New Roman"/>
        </w:rPr>
        <w:t xml:space="preserve"> allocation (WLA) for point sources and a load allocation (LA) for nonpoint sources.  </w:t>
      </w:r>
      <w:r w:rsidR="009C3973">
        <w:rPr>
          <w:rFonts w:cs="Times New Roman"/>
        </w:rPr>
        <w:t>Each</w:t>
      </w:r>
      <w:r>
        <w:rPr>
          <w:rFonts w:cs="Times New Roman"/>
        </w:rPr>
        <w:t xml:space="preserve"> WLA is further divided into wastewater (</w:t>
      </w:r>
      <w:proofErr w:type="spellStart"/>
      <w:r>
        <w:rPr>
          <w:rFonts w:cs="Times New Roman"/>
        </w:rPr>
        <w:t>ww</w:t>
      </w:r>
      <w:proofErr w:type="spellEnd"/>
      <w:r>
        <w:rPr>
          <w:rFonts w:cs="Times New Roman"/>
        </w:rPr>
        <w:t xml:space="preserve">) and MS4 </w:t>
      </w:r>
      <w:proofErr w:type="spellStart"/>
      <w:r>
        <w:rPr>
          <w:rFonts w:cs="Times New Roman"/>
        </w:rPr>
        <w:t>stormwater</w:t>
      </w:r>
      <w:proofErr w:type="spellEnd"/>
      <w:r>
        <w:rPr>
          <w:rFonts w:cs="Times New Roman"/>
        </w:rPr>
        <w:t xml:space="preserve"> (</w:t>
      </w:r>
      <w:proofErr w:type="spellStart"/>
      <w:r>
        <w:rPr>
          <w:rFonts w:cs="Times New Roman"/>
        </w:rPr>
        <w:t>sw</w:t>
      </w:r>
      <w:proofErr w:type="spellEnd"/>
      <w:r>
        <w:rPr>
          <w:rFonts w:cs="Times New Roman"/>
        </w:rPr>
        <w:t xml:space="preserve">) allocations.  The reductions needed to achieve the TMDLs are summarized in Table 2. </w:t>
      </w:r>
    </w:p>
    <w:p w:rsidR="00C7532D" w:rsidRPr="00E56FBE" w:rsidRDefault="00C7532D" w:rsidP="00840EA7">
      <w:pPr>
        <w:pStyle w:val="Default"/>
        <w:rPr>
          <w:rFonts w:cs="Times New Roman"/>
        </w:rPr>
      </w:pPr>
    </w:p>
    <w:p w:rsidR="004427F0" w:rsidRPr="00E56FBE" w:rsidRDefault="004427F0" w:rsidP="004427F0">
      <w:pPr>
        <w:pStyle w:val="Caption"/>
        <w:spacing w:after="0"/>
        <w:jc w:val="center"/>
        <w:rPr>
          <w:rFonts w:cs="Times New Roman"/>
          <w:color w:val="auto"/>
          <w:sz w:val="24"/>
          <w:szCs w:val="24"/>
        </w:rPr>
      </w:pPr>
      <w:r w:rsidRPr="00E56FBE">
        <w:rPr>
          <w:rFonts w:cs="Times New Roman"/>
          <w:color w:val="auto"/>
          <w:sz w:val="24"/>
          <w:szCs w:val="24"/>
        </w:rPr>
        <w:t xml:space="preserve">Table </w:t>
      </w:r>
      <w:r w:rsidR="00C7532D">
        <w:rPr>
          <w:rFonts w:cs="Times New Roman"/>
          <w:color w:val="auto"/>
          <w:sz w:val="24"/>
          <w:szCs w:val="24"/>
        </w:rPr>
        <w:t>2</w:t>
      </w:r>
      <w:r w:rsidRPr="00E56FBE">
        <w:rPr>
          <w:rFonts w:cs="Times New Roman"/>
          <w:color w:val="auto"/>
          <w:sz w:val="24"/>
          <w:szCs w:val="24"/>
        </w:rPr>
        <w:t xml:space="preserve">: </w:t>
      </w:r>
      <w:r w:rsidR="00E37DF3">
        <w:rPr>
          <w:rFonts w:cs="Times New Roman"/>
          <w:color w:val="auto"/>
          <w:sz w:val="24"/>
          <w:szCs w:val="24"/>
        </w:rPr>
        <w:t>TMDL</w:t>
      </w:r>
      <w:r w:rsidR="009C3973">
        <w:rPr>
          <w:rFonts w:cs="Times New Roman"/>
          <w:color w:val="auto"/>
          <w:sz w:val="24"/>
          <w:szCs w:val="24"/>
        </w:rPr>
        <w:t>s</w:t>
      </w:r>
      <w:r w:rsidRPr="00E56FBE">
        <w:rPr>
          <w:rFonts w:cs="Times New Roman"/>
          <w:color w:val="auto"/>
          <w:sz w:val="24"/>
          <w:szCs w:val="24"/>
        </w:rPr>
        <w:t xml:space="preserve"> for the </w:t>
      </w:r>
      <w:r w:rsidR="00C7532D">
        <w:rPr>
          <w:rFonts w:cs="Times New Roman"/>
          <w:color w:val="auto"/>
          <w:sz w:val="24"/>
          <w:szCs w:val="24"/>
        </w:rPr>
        <w:t xml:space="preserve">Lakes Harney and Monroe </w:t>
      </w:r>
      <w:r w:rsidRPr="00E56FBE">
        <w:rPr>
          <w:rFonts w:cs="Times New Roman"/>
          <w:color w:val="auto"/>
          <w:sz w:val="24"/>
          <w:szCs w:val="24"/>
        </w:rPr>
        <w:t>Basin</w:t>
      </w:r>
    </w:p>
    <w:tbl>
      <w:tblPr>
        <w:tblW w:w="82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68"/>
        <w:gridCol w:w="1429"/>
        <w:gridCol w:w="1356"/>
        <w:gridCol w:w="1350"/>
        <w:gridCol w:w="1170"/>
        <w:gridCol w:w="1260"/>
      </w:tblGrid>
      <w:tr w:rsidR="004427F0" w:rsidRPr="00C7532D" w:rsidTr="00627719">
        <w:trPr>
          <w:trHeight w:val="70"/>
          <w:jc w:val="center"/>
        </w:trPr>
        <w:tc>
          <w:tcPr>
            <w:tcW w:w="1668" w:type="dxa"/>
            <w:shd w:val="clear" w:color="auto" w:fill="BFBFBF" w:themeFill="background1" w:themeFillShade="BF"/>
            <w:vAlign w:val="center"/>
          </w:tcPr>
          <w:p w:rsidR="004427F0" w:rsidRPr="00E37DF3" w:rsidRDefault="004427F0" w:rsidP="004427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  <w:r w:rsidRPr="00E37DF3">
              <w:rPr>
                <w:rFonts w:cs="Times New Roman"/>
                <w:b/>
                <w:bCs/>
                <w:color w:val="000000"/>
                <w:sz w:val="22"/>
              </w:rPr>
              <w:t>WBID</w:t>
            </w:r>
          </w:p>
        </w:tc>
        <w:tc>
          <w:tcPr>
            <w:tcW w:w="1429" w:type="dxa"/>
            <w:shd w:val="clear" w:color="auto" w:fill="BFBFBF" w:themeFill="background1" w:themeFillShade="BF"/>
            <w:vAlign w:val="center"/>
          </w:tcPr>
          <w:p w:rsidR="004427F0" w:rsidRPr="00E37DF3" w:rsidRDefault="004427F0" w:rsidP="004427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  <w:r w:rsidRPr="00E37DF3">
              <w:rPr>
                <w:rFonts w:cs="Times New Roman"/>
                <w:b/>
                <w:bCs/>
                <w:color w:val="000000"/>
                <w:sz w:val="22"/>
              </w:rPr>
              <w:t>Parameter</w:t>
            </w:r>
          </w:p>
        </w:tc>
        <w:tc>
          <w:tcPr>
            <w:tcW w:w="1356" w:type="dxa"/>
            <w:shd w:val="clear" w:color="auto" w:fill="BFBFBF" w:themeFill="background1" w:themeFillShade="BF"/>
            <w:vAlign w:val="center"/>
          </w:tcPr>
          <w:p w:rsidR="004427F0" w:rsidRPr="00E37DF3" w:rsidRDefault="004427F0" w:rsidP="004427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  <w:r w:rsidRPr="00E37DF3">
              <w:rPr>
                <w:rFonts w:cs="Times New Roman"/>
                <w:b/>
                <w:bCs/>
                <w:color w:val="000000"/>
                <w:sz w:val="22"/>
              </w:rPr>
              <w:t>TMDL</w:t>
            </w:r>
          </w:p>
          <w:p w:rsidR="004427F0" w:rsidRPr="00E37DF3" w:rsidRDefault="004427F0" w:rsidP="004427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  <w:r w:rsidRPr="00E37DF3">
              <w:rPr>
                <w:rFonts w:cs="Times New Roman"/>
                <w:b/>
                <w:bCs/>
                <w:color w:val="000000"/>
                <w:sz w:val="22"/>
              </w:rPr>
              <w:t>(lbs/yr)</w:t>
            </w:r>
          </w:p>
        </w:tc>
        <w:tc>
          <w:tcPr>
            <w:tcW w:w="1350" w:type="dxa"/>
            <w:shd w:val="clear" w:color="auto" w:fill="BFBFBF" w:themeFill="background1" w:themeFillShade="BF"/>
            <w:vAlign w:val="center"/>
          </w:tcPr>
          <w:p w:rsidR="004427F0" w:rsidRPr="00E37DF3" w:rsidRDefault="004427F0" w:rsidP="004427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  <w:r w:rsidRPr="00E37DF3">
              <w:rPr>
                <w:rFonts w:cs="Times New Roman"/>
                <w:b/>
                <w:bCs/>
                <w:color w:val="000000"/>
                <w:sz w:val="22"/>
              </w:rPr>
              <w:t xml:space="preserve">WLA </w:t>
            </w:r>
            <w:proofErr w:type="spellStart"/>
            <w:r w:rsidRPr="00E37DF3">
              <w:rPr>
                <w:rFonts w:cs="Times New Roman"/>
                <w:b/>
                <w:bCs/>
                <w:color w:val="000000"/>
                <w:sz w:val="22"/>
              </w:rPr>
              <w:t>ww</w:t>
            </w:r>
            <w:proofErr w:type="spellEnd"/>
          </w:p>
          <w:p w:rsidR="004427F0" w:rsidRPr="00E37DF3" w:rsidRDefault="004427F0" w:rsidP="004427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  <w:r w:rsidRPr="00E37DF3">
              <w:rPr>
                <w:rFonts w:cs="Times New Roman"/>
                <w:b/>
                <w:bCs/>
                <w:color w:val="000000"/>
                <w:sz w:val="22"/>
              </w:rPr>
              <w:t>(lbs/yr)</w:t>
            </w:r>
          </w:p>
        </w:tc>
        <w:tc>
          <w:tcPr>
            <w:tcW w:w="1170" w:type="dxa"/>
            <w:shd w:val="clear" w:color="auto" w:fill="BFBFBF" w:themeFill="background1" w:themeFillShade="BF"/>
            <w:vAlign w:val="center"/>
          </w:tcPr>
          <w:p w:rsidR="004427F0" w:rsidRPr="00E37DF3" w:rsidRDefault="004427F0" w:rsidP="004427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  <w:r w:rsidRPr="00E37DF3">
              <w:rPr>
                <w:rFonts w:cs="Times New Roman"/>
                <w:b/>
                <w:bCs/>
                <w:color w:val="000000"/>
                <w:sz w:val="22"/>
              </w:rPr>
              <w:t xml:space="preserve">WLA </w:t>
            </w:r>
            <w:proofErr w:type="spellStart"/>
            <w:r w:rsidRPr="00E37DF3">
              <w:rPr>
                <w:rFonts w:cs="Times New Roman"/>
                <w:b/>
                <w:bCs/>
                <w:color w:val="000000"/>
                <w:sz w:val="22"/>
              </w:rPr>
              <w:t>sw</w:t>
            </w:r>
            <w:proofErr w:type="spellEnd"/>
          </w:p>
        </w:tc>
        <w:tc>
          <w:tcPr>
            <w:tcW w:w="1260" w:type="dxa"/>
            <w:shd w:val="clear" w:color="auto" w:fill="BFBFBF" w:themeFill="background1" w:themeFillShade="BF"/>
            <w:vAlign w:val="center"/>
          </w:tcPr>
          <w:p w:rsidR="004427F0" w:rsidRPr="00E37DF3" w:rsidRDefault="004427F0" w:rsidP="004427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  <w:r w:rsidRPr="00E37DF3">
              <w:rPr>
                <w:rFonts w:cs="Times New Roman"/>
                <w:b/>
                <w:bCs/>
                <w:color w:val="000000"/>
                <w:sz w:val="22"/>
              </w:rPr>
              <w:t>LA</w:t>
            </w:r>
          </w:p>
          <w:p w:rsidR="004427F0" w:rsidRPr="00E37DF3" w:rsidRDefault="004427F0" w:rsidP="004427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  <w:r w:rsidRPr="00E37DF3">
              <w:rPr>
                <w:rFonts w:cs="Times New Roman"/>
                <w:b/>
                <w:bCs/>
                <w:color w:val="000000"/>
                <w:sz w:val="22"/>
              </w:rPr>
              <w:t>(lbs/yr)</w:t>
            </w:r>
          </w:p>
        </w:tc>
      </w:tr>
      <w:tr w:rsidR="004427F0" w:rsidRPr="00C7532D" w:rsidTr="00C7532D">
        <w:trPr>
          <w:trHeight w:val="70"/>
          <w:jc w:val="center"/>
        </w:trPr>
        <w:tc>
          <w:tcPr>
            <w:tcW w:w="1668" w:type="dxa"/>
            <w:vMerge w:val="restart"/>
          </w:tcPr>
          <w:p w:rsidR="004427F0" w:rsidRPr="00E37DF3" w:rsidRDefault="004427F0" w:rsidP="00840EA7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</w:rPr>
            </w:pPr>
            <w:r w:rsidRPr="00E37DF3">
              <w:rPr>
                <w:rFonts w:cs="Times New Roman"/>
                <w:color w:val="000000"/>
                <w:sz w:val="22"/>
              </w:rPr>
              <w:t xml:space="preserve">2964A </w:t>
            </w:r>
          </w:p>
          <w:p w:rsidR="004427F0" w:rsidRPr="00E37DF3" w:rsidRDefault="004427F0" w:rsidP="00840EA7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</w:rPr>
            </w:pPr>
            <w:r w:rsidRPr="00E37DF3">
              <w:rPr>
                <w:rFonts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1429" w:type="dxa"/>
          </w:tcPr>
          <w:p w:rsidR="004427F0" w:rsidRPr="00E37DF3" w:rsidRDefault="004427F0" w:rsidP="00840EA7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</w:rPr>
            </w:pPr>
            <w:r w:rsidRPr="00E37DF3">
              <w:rPr>
                <w:rFonts w:cs="Times New Roman"/>
                <w:color w:val="000000"/>
                <w:sz w:val="22"/>
              </w:rPr>
              <w:t xml:space="preserve">TN </w:t>
            </w:r>
          </w:p>
        </w:tc>
        <w:tc>
          <w:tcPr>
            <w:tcW w:w="1356" w:type="dxa"/>
          </w:tcPr>
          <w:p w:rsidR="004427F0" w:rsidRPr="00E37DF3" w:rsidRDefault="004427F0" w:rsidP="00840EA7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</w:rPr>
            </w:pPr>
            <w:r w:rsidRPr="00E37DF3">
              <w:rPr>
                <w:rFonts w:cs="Times New Roman"/>
                <w:color w:val="000000"/>
                <w:sz w:val="22"/>
              </w:rPr>
              <w:t xml:space="preserve">3,355,570 </w:t>
            </w:r>
          </w:p>
        </w:tc>
        <w:tc>
          <w:tcPr>
            <w:tcW w:w="1350" w:type="dxa"/>
          </w:tcPr>
          <w:p w:rsidR="004427F0" w:rsidRPr="00E37DF3" w:rsidRDefault="004427F0" w:rsidP="00840EA7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</w:rPr>
            </w:pPr>
            <w:r w:rsidRPr="00E37DF3">
              <w:rPr>
                <w:rFonts w:cs="Times New Roman"/>
                <w:color w:val="000000"/>
                <w:sz w:val="22"/>
              </w:rPr>
              <w:t xml:space="preserve">0 </w:t>
            </w:r>
          </w:p>
        </w:tc>
        <w:tc>
          <w:tcPr>
            <w:tcW w:w="1170" w:type="dxa"/>
          </w:tcPr>
          <w:p w:rsidR="004427F0" w:rsidRPr="00E37DF3" w:rsidRDefault="004427F0" w:rsidP="00840EA7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</w:rPr>
            </w:pPr>
            <w:r w:rsidRPr="00E37DF3">
              <w:rPr>
                <w:rFonts w:cs="Times New Roman"/>
                <w:color w:val="000000"/>
                <w:sz w:val="22"/>
              </w:rPr>
              <w:t xml:space="preserve">39% </w:t>
            </w:r>
          </w:p>
        </w:tc>
        <w:tc>
          <w:tcPr>
            <w:tcW w:w="1260" w:type="dxa"/>
          </w:tcPr>
          <w:p w:rsidR="004427F0" w:rsidRPr="00E37DF3" w:rsidRDefault="004427F0" w:rsidP="00840EA7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</w:rPr>
            </w:pPr>
            <w:r w:rsidRPr="00E37DF3">
              <w:rPr>
                <w:rFonts w:cs="Times New Roman"/>
                <w:color w:val="000000"/>
                <w:sz w:val="22"/>
              </w:rPr>
              <w:t xml:space="preserve">3,355,570 </w:t>
            </w:r>
          </w:p>
        </w:tc>
      </w:tr>
      <w:tr w:rsidR="004427F0" w:rsidRPr="00C7532D" w:rsidTr="00C7532D">
        <w:trPr>
          <w:trHeight w:val="70"/>
          <w:jc w:val="center"/>
        </w:trPr>
        <w:tc>
          <w:tcPr>
            <w:tcW w:w="1668" w:type="dxa"/>
            <w:vMerge/>
          </w:tcPr>
          <w:p w:rsidR="004427F0" w:rsidRPr="00E37DF3" w:rsidRDefault="004427F0" w:rsidP="00840EA7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429" w:type="dxa"/>
          </w:tcPr>
          <w:p w:rsidR="004427F0" w:rsidRPr="00E37DF3" w:rsidRDefault="004427F0" w:rsidP="00840EA7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</w:rPr>
            </w:pPr>
            <w:r w:rsidRPr="00E37DF3">
              <w:rPr>
                <w:rFonts w:cs="Times New Roman"/>
                <w:color w:val="000000"/>
                <w:sz w:val="22"/>
              </w:rPr>
              <w:t>TP</w:t>
            </w:r>
          </w:p>
        </w:tc>
        <w:tc>
          <w:tcPr>
            <w:tcW w:w="1356" w:type="dxa"/>
          </w:tcPr>
          <w:p w:rsidR="004427F0" w:rsidRPr="00E37DF3" w:rsidRDefault="004427F0" w:rsidP="00840EA7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</w:rPr>
            </w:pPr>
            <w:r w:rsidRPr="00E37DF3">
              <w:rPr>
                <w:rFonts w:cs="Times New Roman"/>
                <w:color w:val="000000"/>
                <w:sz w:val="22"/>
              </w:rPr>
              <w:t xml:space="preserve">241,026 </w:t>
            </w:r>
          </w:p>
        </w:tc>
        <w:tc>
          <w:tcPr>
            <w:tcW w:w="1350" w:type="dxa"/>
          </w:tcPr>
          <w:p w:rsidR="004427F0" w:rsidRPr="00E37DF3" w:rsidRDefault="004427F0" w:rsidP="00840EA7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</w:rPr>
            </w:pPr>
            <w:r w:rsidRPr="00E37DF3">
              <w:rPr>
                <w:rFonts w:cs="Times New Roman"/>
                <w:color w:val="000000"/>
                <w:sz w:val="22"/>
              </w:rPr>
              <w:t xml:space="preserve">0 </w:t>
            </w:r>
          </w:p>
        </w:tc>
        <w:tc>
          <w:tcPr>
            <w:tcW w:w="1170" w:type="dxa"/>
          </w:tcPr>
          <w:p w:rsidR="004427F0" w:rsidRPr="00E37DF3" w:rsidRDefault="004427F0" w:rsidP="00840EA7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</w:rPr>
            </w:pPr>
            <w:r w:rsidRPr="00E37DF3">
              <w:rPr>
                <w:rFonts w:cs="Times New Roman"/>
                <w:color w:val="000000"/>
                <w:sz w:val="22"/>
              </w:rPr>
              <w:t xml:space="preserve">33% </w:t>
            </w:r>
          </w:p>
        </w:tc>
        <w:tc>
          <w:tcPr>
            <w:tcW w:w="1260" w:type="dxa"/>
          </w:tcPr>
          <w:p w:rsidR="004427F0" w:rsidRPr="00E37DF3" w:rsidRDefault="004427F0" w:rsidP="00840EA7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</w:rPr>
            </w:pPr>
            <w:r w:rsidRPr="00E37DF3">
              <w:rPr>
                <w:rFonts w:cs="Times New Roman"/>
                <w:color w:val="000000"/>
                <w:sz w:val="22"/>
              </w:rPr>
              <w:t xml:space="preserve">241,026 </w:t>
            </w:r>
          </w:p>
        </w:tc>
      </w:tr>
      <w:tr w:rsidR="004427F0" w:rsidRPr="00C7532D" w:rsidTr="00C7532D">
        <w:trPr>
          <w:trHeight w:val="70"/>
          <w:jc w:val="center"/>
        </w:trPr>
        <w:tc>
          <w:tcPr>
            <w:tcW w:w="1668" w:type="dxa"/>
            <w:vMerge w:val="restart"/>
          </w:tcPr>
          <w:p w:rsidR="004427F0" w:rsidRPr="00E37DF3" w:rsidRDefault="004427F0" w:rsidP="00840EA7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</w:rPr>
            </w:pPr>
            <w:r w:rsidRPr="00E37DF3">
              <w:rPr>
                <w:rFonts w:cs="Times New Roman"/>
                <w:color w:val="000000"/>
                <w:sz w:val="22"/>
              </w:rPr>
              <w:t xml:space="preserve">2964 + 2893F </w:t>
            </w:r>
          </w:p>
        </w:tc>
        <w:tc>
          <w:tcPr>
            <w:tcW w:w="1429" w:type="dxa"/>
          </w:tcPr>
          <w:p w:rsidR="004427F0" w:rsidRPr="00E37DF3" w:rsidRDefault="004427F0" w:rsidP="00840EA7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</w:rPr>
            </w:pPr>
            <w:r w:rsidRPr="00E37DF3">
              <w:rPr>
                <w:rFonts w:cs="Times New Roman"/>
                <w:color w:val="000000"/>
                <w:sz w:val="22"/>
              </w:rPr>
              <w:t xml:space="preserve">TN </w:t>
            </w:r>
          </w:p>
        </w:tc>
        <w:tc>
          <w:tcPr>
            <w:tcW w:w="1356" w:type="dxa"/>
          </w:tcPr>
          <w:p w:rsidR="004427F0" w:rsidRPr="00E37DF3" w:rsidRDefault="004427F0" w:rsidP="00840EA7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</w:rPr>
            </w:pPr>
            <w:r w:rsidRPr="00E37DF3">
              <w:rPr>
                <w:rFonts w:cs="Times New Roman"/>
                <w:color w:val="000000"/>
                <w:sz w:val="22"/>
              </w:rPr>
              <w:t xml:space="preserve">3,741,990 </w:t>
            </w:r>
          </w:p>
        </w:tc>
        <w:tc>
          <w:tcPr>
            <w:tcW w:w="1350" w:type="dxa"/>
          </w:tcPr>
          <w:p w:rsidR="004427F0" w:rsidRPr="00E37DF3" w:rsidRDefault="004427F0" w:rsidP="00840EA7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</w:rPr>
            </w:pPr>
            <w:r w:rsidRPr="00E37DF3">
              <w:rPr>
                <w:rFonts w:cs="Times New Roman"/>
                <w:color w:val="000000"/>
                <w:sz w:val="22"/>
              </w:rPr>
              <w:t xml:space="preserve">0 </w:t>
            </w:r>
          </w:p>
        </w:tc>
        <w:tc>
          <w:tcPr>
            <w:tcW w:w="1170" w:type="dxa"/>
          </w:tcPr>
          <w:p w:rsidR="004427F0" w:rsidRPr="00E37DF3" w:rsidRDefault="004427F0" w:rsidP="00840EA7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</w:rPr>
            </w:pPr>
            <w:r w:rsidRPr="00E37DF3">
              <w:rPr>
                <w:rFonts w:cs="Times New Roman"/>
                <w:color w:val="000000"/>
                <w:sz w:val="22"/>
              </w:rPr>
              <w:t xml:space="preserve">37% </w:t>
            </w:r>
          </w:p>
        </w:tc>
        <w:tc>
          <w:tcPr>
            <w:tcW w:w="1260" w:type="dxa"/>
          </w:tcPr>
          <w:p w:rsidR="004427F0" w:rsidRPr="00E37DF3" w:rsidRDefault="004427F0" w:rsidP="00840EA7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</w:rPr>
            </w:pPr>
            <w:r w:rsidRPr="00E37DF3">
              <w:rPr>
                <w:rFonts w:cs="Times New Roman"/>
                <w:color w:val="000000"/>
                <w:sz w:val="22"/>
              </w:rPr>
              <w:t xml:space="preserve">3,741,990 </w:t>
            </w:r>
          </w:p>
        </w:tc>
      </w:tr>
      <w:tr w:rsidR="004427F0" w:rsidRPr="00C7532D" w:rsidTr="00C7532D">
        <w:trPr>
          <w:trHeight w:val="70"/>
          <w:jc w:val="center"/>
        </w:trPr>
        <w:tc>
          <w:tcPr>
            <w:tcW w:w="1668" w:type="dxa"/>
            <w:vMerge/>
          </w:tcPr>
          <w:p w:rsidR="004427F0" w:rsidRPr="00E37DF3" w:rsidRDefault="004427F0" w:rsidP="00840EA7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429" w:type="dxa"/>
          </w:tcPr>
          <w:p w:rsidR="004427F0" w:rsidRPr="00E37DF3" w:rsidRDefault="004427F0" w:rsidP="00840EA7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</w:rPr>
            </w:pPr>
            <w:r w:rsidRPr="00E37DF3">
              <w:rPr>
                <w:rFonts w:cs="Times New Roman"/>
                <w:color w:val="000000"/>
                <w:sz w:val="22"/>
              </w:rPr>
              <w:t>TP</w:t>
            </w:r>
          </w:p>
        </w:tc>
        <w:tc>
          <w:tcPr>
            <w:tcW w:w="1356" w:type="dxa"/>
          </w:tcPr>
          <w:p w:rsidR="004427F0" w:rsidRPr="00E37DF3" w:rsidRDefault="004427F0" w:rsidP="00840EA7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</w:rPr>
            </w:pPr>
            <w:r w:rsidRPr="00E37DF3">
              <w:rPr>
                <w:rFonts w:cs="Times New Roman"/>
                <w:color w:val="000000"/>
                <w:sz w:val="22"/>
              </w:rPr>
              <w:t xml:space="preserve">276,141 </w:t>
            </w:r>
          </w:p>
        </w:tc>
        <w:tc>
          <w:tcPr>
            <w:tcW w:w="1350" w:type="dxa"/>
          </w:tcPr>
          <w:p w:rsidR="004427F0" w:rsidRPr="00E37DF3" w:rsidRDefault="004427F0" w:rsidP="00840EA7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</w:rPr>
            </w:pPr>
            <w:r w:rsidRPr="00E37DF3">
              <w:rPr>
                <w:rFonts w:cs="Times New Roman"/>
                <w:color w:val="000000"/>
                <w:sz w:val="22"/>
              </w:rPr>
              <w:t xml:space="preserve">0 </w:t>
            </w:r>
          </w:p>
        </w:tc>
        <w:tc>
          <w:tcPr>
            <w:tcW w:w="1170" w:type="dxa"/>
          </w:tcPr>
          <w:p w:rsidR="004427F0" w:rsidRPr="00E37DF3" w:rsidRDefault="004427F0" w:rsidP="00840EA7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</w:rPr>
            </w:pPr>
            <w:r w:rsidRPr="00E37DF3">
              <w:rPr>
                <w:rFonts w:cs="Times New Roman"/>
                <w:color w:val="000000"/>
                <w:sz w:val="22"/>
              </w:rPr>
              <w:t xml:space="preserve">32% </w:t>
            </w:r>
          </w:p>
        </w:tc>
        <w:tc>
          <w:tcPr>
            <w:tcW w:w="1260" w:type="dxa"/>
          </w:tcPr>
          <w:p w:rsidR="004427F0" w:rsidRPr="00E37DF3" w:rsidRDefault="004427F0" w:rsidP="00840EA7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</w:rPr>
            </w:pPr>
            <w:r w:rsidRPr="00E37DF3">
              <w:rPr>
                <w:rFonts w:cs="Times New Roman"/>
                <w:color w:val="000000"/>
                <w:sz w:val="22"/>
              </w:rPr>
              <w:t xml:space="preserve">276,141 </w:t>
            </w:r>
          </w:p>
        </w:tc>
      </w:tr>
      <w:tr w:rsidR="004427F0" w:rsidRPr="00C7532D" w:rsidTr="00E56FBE">
        <w:trPr>
          <w:trHeight w:val="70"/>
          <w:jc w:val="center"/>
        </w:trPr>
        <w:tc>
          <w:tcPr>
            <w:tcW w:w="1668" w:type="dxa"/>
            <w:vMerge w:val="restart"/>
          </w:tcPr>
          <w:p w:rsidR="004427F0" w:rsidRPr="00E37DF3" w:rsidRDefault="004427F0" w:rsidP="00840EA7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</w:rPr>
            </w:pPr>
            <w:r w:rsidRPr="00E37DF3">
              <w:rPr>
                <w:rFonts w:cs="Times New Roman"/>
                <w:color w:val="000000"/>
                <w:sz w:val="22"/>
              </w:rPr>
              <w:t xml:space="preserve">2893D + 2893E </w:t>
            </w:r>
          </w:p>
        </w:tc>
        <w:tc>
          <w:tcPr>
            <w:tcW w:w="1429" w:type="dxa"/>
          </w:tcPr>
          <w:p w:rsidR="004427F0" w:rsidRPr="00E37DF3" w:rsidRDefault="004427F0" w:rsidP="00840EA7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</w:rPr>
            </w:pPr>
            <w:r w:rsidRPr="00E37DF3">
              <w:rPr>
                <w:rFonts w:cs="Times New Roman"/>
                <w:color w:val="000000"/>
                <w:sz w:val="22"/>
              </w:rPr>
              <w:t xml:space="preserve">TN </w:t>
            </w:r>
          </w:p>
        </w:tc>
        <w:tc>
          <w:tcPr>
            <w:tcW w:w="1356" w:type="dxa"/>
          </w:tcPr>
          <w:p w:rsidR="004427F0" w:rsidRPr="00E37DF3" w:rsidRDefault="004427F0" w:rsidP="00840EA7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</w:rPr>
            </w:pPr>
            <w:r w:rsidRPr="00E37DF3">
              <w:rPr>
                <w:rFonts w:cs="Times New Roman"/>
                <w:color w:val="000000"/>
                <w:sz w:val="22"/>
              </w:rPr>
              <w:t xml:space="preserve">4,171,255 </w:t>
            </w:r>
          </w:p>
        </w:tc>
        <w:tc>
          <w:tcPr>
            <w:tcW w:w="1350" w:type="dxa"/>
          </w:tcPr>
          <w:p w:rsidR="004427F0" w:rsidRPr="00E37DF3" w:rsidRDefault="004427F0" w:rsidP="00840EA7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</w:rPr>
            </w:pPr>
            <w:r w:rsidRPr="00E37DF3">
              <w:rPr>
                <w:rFonts w:cs="Times New Roman"/>
                <w:color w:val="000000"/>
                <w:sz w:val="22"/>
              </w:rPr>
              <w:t xml:space="preserve">0 </w:t>
            </w:r>
          </w:p>
        </w:tc>
        <w:tc>
          <w:tcPr>
            <w:tcW w:w="1170" w:type="dxa"/>
          </w:tcPr>
          <w:p w:rsidR="004427F0" w:rsidRPr="00E37DF3" w:rsidRDefault="004427F0" w:rsidP="00840EA7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</w:rPr>
            </w:pPr>
            <w:r w:rsidRPr="00E37DF3">
              <w:rPr>
                <w:rFonts w:cs="Times New Roman"/>
                <w:color w:val="000000"/>
                <w:sz w:val="22"/>
              </w:rPr>
              <w:t xml:space="preserve">38% </w:t>
            </w:r>
          </w:p>
        </w:tc>
        <w:tc>
          <w:tcPr>
            <w:tcW w:w="1260" w:type="dxa"/>
          </w:tcPr>
          <w:p w:rsidR="004427F0" w:rsidRPr="00E37DF3" w:rsidRDefault="004427F0" w:rsidP="00840EA7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</w:rPr>
            </w:pPr>
            <w:r w:rsidRPr="00E37DF3">
              <w:rPr>
                <w:rFonts w:cs="Times New Roman"/>
                <w:color w:val="000000"/>
                <w:sz w:val="22"/>
              </w:rPr>
              <w:t xml:space="preserve">4,171,255 </w:t>
            </w:r>
          </w:p>
        </w:tc>
      </w:tr>
      <w:tr w:rsidR="004427F0" w:rsidRPr="00C7532D" w:rsidTr="00E56FBE">
        <w:trPr>
          <w:trHeight w:val="70"/>
          <w:jc w:val="center"/>
        </w:trPr>
        <w:tc>
          <w:tcPr>
            <w:tcW w:w="1668" w:type="dxa"/>
            <w:vMerge/>
          </w:tcPr>
          <w:p w:rsidR="004427F0" w:rsidRPr="00E37DF3" w:rsidRDefault="004427F0" w:rsidP="00840EA7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429" w:type="dxa"/>
          </w:tcPr>
          <w:p w:rsidR="004427F0" w:rsidRPr="00E37DF3" w:rsidRDefault="004427F0" w:rsidP="00840EA7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</w:rPr>
            </w:pPr>
            <w:r w:rsidRPr="00E37DF3">
              <w:rPr>
                <w:rFonts w:cs="Times New Roman"/>
                <w:color w:val="000000"/>
                <w:sz w:val="22"/>
              </w:rPr>
              <w:t>TP</w:t>
            </w:r>
          </w:p>
        </w:tc>
        <w:tc>
          <w:tcPr>
            <w:tcW w:w="1356" w:type="dxa"/>
          </w:tcPr>
          <w:p w:rsidR="004427F0" w:rsidRPr="00E37DF3" w:rsidRDefault="004427F0" w:rsidP="00840EA7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</w:rPr>
            </w:pPr>
            <w:r w:rsidRPr="00E37DF3">
              <w:rPr>
                <w:rFonts w:cs="Times New Roman"/>
                <w:color w:val="000000"/>
                <w:sz w:val="22"/>
              </w:rPr>
              <w:t xml:space="preserve">315,512 </w:t>
            </w:r>
          </w:p>
        </w:tc>
        <w:tc>
          <w:tcPr>
            <w:tcW w:w="1350" w:type="dxa"/>
          </w:tcPr>
          <w:p w:rsidR="004427F0" w:rsidRPr="00E37DF3" w:rsidRDefault="004427F0" w:rsidP="00840EA7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</w:rPr>
            </w:pPr>
            <w:r w:rsidRPr="00E37DF3">
              <w:rPr>
                <w:rFonts w:cs="Times New Roman"/>
                <w:color w:val="000000"/>
                <w:sz w:val="22"/>
              </w:rPr>
              <w:t xml:space="preserve">0 </w:t>
            </w:r>
          </w:p>
        </w:tc>
        <w:tc>
          <w:tcPr>
            <w:tcW w:w="1170" w:type="dxa"/>
          </w:tcPr>
          <w:p w:rsidR="004427F0" w:rsidRPr="00E37DF3" w:rsidRDefault="004427F0" w:rsidP="00840EA7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</w:rPr>
            </w:pPr>
            <w:r w:rsidRPr="00E37DF3">
              <w:rPr>
                <w:rFonts w:cs="Times New Roman"/>
                <w:color w:val="000000"/>
                <w:sz w:val="22"/>
              </w:rPr>
              <w:t xml:space="preserve">31% </w:t>
            </w:r>
          </w:p>
        </w:tc>
        <w:tc>
          <w:tcPr>
            <w:tcW w:w="1260" w:type="dxa"/>
          </w:tcPr>
          <w:p w:rsidR="004427F0" w:rsidRPr="00E37DF3" w:rsidRDefault="004427F0" w:rsidP="00840EA7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</w:rPr>
            </w:pPr>
            <w:r w:rsidRPr="00E37DF3">
              <w:rPr>
                <w:rFonts w:cs="Times New Roman"/>
                <w:color w:val="000000"/>
                <w:sz w:val="22"/>
              </w:rPr>
              <w:t xml:space="preserve">315,512 </w:t>
            </w:r>
          </w:p>
        </w:tc>
      </w:tr>
      <w:tr w:rsidR="004427F0" w:rsidRPr="00C7532D" w:rsidTr="00E56FBE">
        <w:trPr>
          <w:trHeight w:val="70"/>
          <w:jc w:val="center"/>
        </w:trPr>
        <w:tc>
          <w:tcPr>
            <w:tcW w:w="1668" w:type="dxa"/>
            <w:vMerge w:val="restart"/>
          </w:tcPr>
          <w:p w:rsidR="004427F0" w:rsidRPr="00E37DF3" w:rsidRDefault="004427F0" w:rsidP="00840EA7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</w:rPr>
            </w:pPr>
            <w:r w:rsidRPr="00E37DF3">
              <w:rPr>
                <w:rFonts w:cs="Times New Roman"/>
                <w:color w:val="000000"/>
                <w:sz w:val="22"/>
              </w:rPr>
              <w:t xml:space="preserve">2893C </w:t>
            </w:r>
          </w:p>
        </w:tc>
        <w:tc>
          <w:tcPr>
            <w:tcW w:w="1429" w:type="dxa"/>
          </w:tcPr>
          <w:p w:rsidR="004427F0" w:rsidRPr="00E37DF3" w:rsidRDefault="004427F0" w:rsidP="00840EA7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</w:rPr>
            </w:pPr>
            <w:r w:rsidRPr="00E37DF3">
              <w:rPr>
                <w:rFonts w:cs="Times New Roman"/>
                <w:color w:val="000000"/>
                <w:sz w:val="22"/>
              </w:rPr>
              <w:t xml:space="preserve">TN </w:t>
            </w:r>
          </w:p>
        </w:tc>
        <w:tc>
          <w:tcPr>
            <w:tcW w:w="1356" w:type="dxa"/>
          </w:tcPr>
          <w:p w:rsidR="004427F0" w:rsidRPr="00E37DF3" w:rsidRDefault="004427F0" w:rsidP="00840EA7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</w:rPr>
            </w:pPr>
            <w:r w:rsidRPr="00E37DF3">
              <w:rPr>
                <w:rFonts w:cs="Times New Roman"/>
                <w:color w:val="000000"/>
                <w:sz w:val="22"/>
              </w:rPr>
              <w:t xml:space="preserve">4,202,340 </w:t>
            </w:r>
          </w:p>
        </w:tc>
        <w:tc>
          <w:tcPr>
            <w:tcW w:w="1350" w:type="dxa"/>
          </w:tcPr>
          <w:p w:rsidR="004427F0" w:rsidRPr="00E37DF3" w:rsidRDefault="004427F0" w:rsidP="00840EA7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</w:rPr>
            </w:pPr>
            <w:r w:rsidRPr="00E37DF3">
              <w:rPr>
                <w:rFonts w:cs="Times New Roman"/>
                <w:color w:val="000000"/>
                <w:sz w:val="22"/>
              </w:rPr>
              <w:t xml:space="preserve">19,342 </w:t>
            </w:r>
          </w:p>
        </w:tc>
        <w:tc>
          <w:tcPr>
            <w:tcW w:w="1170" w:type="dxa"/>
          </w:tcPr>
          <w:p w:rsidR="004427F0" w:rsidRPr="00E37DF3" w:rsidRDefault="004427F0" w:rsidP="00840EA7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</w:rPr>
            </w:pPr>
            <w:r w:rsidRPr="00E37DF3">
              <w:rPr>
                <w:rFonts w:cs="Times New Roman"/>
                <w:color w:val="000000"/>
                <w:sz w:val="22"/>
              </w:rPr>
              <w:t xml:space="preserve">37% </w:t>
            </w:r>
          </w:p>
        </w:tc>
        <w:tc>
          <w:tcPr>
            <w:tcW w:w="1260" w:type="dxa"/>
          </w:tcPr>
          <w:p w:rsidR="004427F0" w:rsidRPr="00E37DF3" w:rsidRDefault="004427F0" w:rsidP="00840EA7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</w:rPr>
            </w:pPr>
            <w:r w:rsidRPr="00E37DF3">
              <w:rPr>
                <w:rFonts w:cs="Times New Roman"/>
                <w:color w:val="000000"/>
                <w:sz w:val="22"/>
              </w:rPr>
              <w:t xml:space="preserve">4,182,998 </w:t>
            </w:r>
          </w:p>
        </w:tc>
      </w:tr>
      <w:tr w:rsidR="004427F0" w:rsidRPr="00C7532D" w:rsidTr="00E37DF3">
        <w:trPr>
          <w:trHeight w:val="70"/>
          <w:jc w:val="center"/>
        </w:trPr>
        <w:tc>
          <w:tcPr>
            <w:tcW w:w="1668" w:type="dxa"/>
            <w:vMerge/>
          </w:tcPr>
          <w:p w:rsidR="004427F0" w:rsidRPr="00E37DF3" w:rsidRDefault="004427F0" w:rsidP="00840EA7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429" w:type="dxa"/>
          </w:tcPr>
          <w:p w:rsidR="004427F0" w:rsidRPr="00E37DF3" w:rsidRDefault="004427F0" w:rsidP="00840EA7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</w:rPr>
            </w:pPr>
            <w:r w:rsidRPr="00E37DF3">
              <w:rPr>
                <w:rFonts w:cs="Times New Roman"/>
                <w:color w:val="000000"/>
                <w:sz w:val="22"/>
              </w:rPr>
              <w:t>TP</w:t>
            </w:r>
          </w:p>
        </w:tc>
        <w:tc>
          <w:tcPr>
            <w:tcW w:w="1356" w:type="dxa"/>
          </w:tcPr>
          <w:p w:rsidR="004427F0" w:rsidRPr="00E37DF3" w:rsidRDefault="004427F0" w:rsidP="00840EA7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</w:rPr>
            </w:pPr>
            <w:r w:rsidRPr="00E37DF3">
              <w:rPr>
                <w:rFonts w:cs="Times New Roman"/>
                <w:color w:val="000000"/>
                <w:sz w:val="22"/>
              </w:rPr>
              <w:t xml:space="preserve">318,236 </w:t>
            </w:r>
          </w:p>
        </w:tc>
        <w:tc>
          <w:tcPr>
            <w:tcW w:w="1350" w:type="dxa"/>
          </w:tcPr>
          <w:p w:rsidR="004427F0" w:rsidRPr="00E37DF3" w:rsidRDefault="004427F0" w:rsidP="00840EA7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</w:rPr>
            </w:pPr>
            <w:r w:rsidRPr="00E37DF3">
              <w:rPr>
                <w:rFonts w:cs="Times New Roman"/>
                <w:color w:val="000000"/>
                <w:sz w:val="22"/>
              </w:rPr>
              <w:t xml:space="preserve">2,345 </w:t>
            </w:r>
          </w:p>
        </w:tc>
        <w:tc>
          <w:tcPr>
            <w:tcW w:w="1170" w:type="dxa"/>
          </w:tcPr>
          <w:p w:rsidR="004427F0" w:rsidRPr="00E37DF3" w:rsidRDefault="004427F0" w:rsidP="00840EA7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</w:rPr>
            </w:pPr>
            <w:r w:rsidRPr="00E37DF3">
              <w:rPr>
                <w:rFonts w:cs="Times New Roman"/>
                <w:color w:val="000000"/>
                <w:sz w:val="22"/>
              </w:rPr>
              <w:t xml:space="preserve">31% </w:t>
            </w:r>
          </w:p>
        </w:tc>
        <w:tc>
          <w:tcPr>
            <w:tcW w:w="1260" w:type="dxa"/>
          </w:tcPr>
          <w:p w:rsidR="004427F0" w:rsidRPr="00E37DF3" w:rsidRDefault="004427F0" w:rsidP="00840EA7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</w:rPr>
            </w:pPr>
            <w:r w:rsidRPr="00E37DF3">
              <w:rPr>
                <w:rFonts w:cs="Times New Roman"/>
                <w:color w:val="000000"/>
                <w:sz w:val="22"/>
              </w:rPr>
              <w:t xml:space="preserve">315,891 </w:t>
            </w:r>
          </w:p>
        </w:tc>
      </w:tr>
    </w:tbl>
    <w:p w:rsidR="00840EA7" w:rsidRPr="00E56FBE" w:rsidRDefault="00F01AEA" w:rsidP="00F01AEA">
      <w:pPr>
        <w:pStyle w:val="Default"/>
        <w:jc w:val="center"/>
        <w:rPr>
          <w:rFonts w:cs="Times New Roman"/>
          <w:color w:val="auto"/>
        </w:rPr>
      </w:pPr>
      <w:r w:rsidRPr="00F01AEA">
        <w:rPr>
          <w:rFonts w:cs="Times New Roman"/>
          <w:noProof/>
        </w:rPr>
        <w:lastRenderedPageBreak/>
        <w:drawing>
          <wp:inline distT="0" distB="0" distL="0" distR="0">
            <wp:extent cx="6157567" cy="7968654"/>
            <wp:effectExtent l="19050" t="0" r="0" b="0"/>
            <wp:docPr id="2" name="Picture 0" descr="Map of the Lakes Harney and Monroe BMAP bas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in map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7056" cy="7967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0F5F" w:rsidRPr="00F01AEA">
        <w:rPr>
          <w:rFonts w:cs="Times New Roman"/>
          <w:b/>
          <w:color w:val="auto"/>
        </w:rPr>
        <w:t xml:space="preserve">Figure </w:t>
      </w:r>
      <w:r w:rsidR="00EB1560" w:rsidRPr="00F01AEA">
        <w:rPr>
          <w:rFonts w:cs="Times New Roman"/>
          <w:b/>
          <w:color w:val="auto"/>
        </w:rPr>
        <w:fldChar w:fldCharType="begin"/>
      </w:r>
      <w:r w:rsidR="00D90F5F" w:rsidRPr="00F01AEA">
        <w:rPr>
          <w:rFonts w:cs="Times New Roman"/>
          <w:b/>
          <w:color w:val="auto"/>
        </w:rPr>
        <w:instrText xml:space="preserve"> SEQ Figure \* ARABIC </w:instrText>
      </w:r>
      <w:r w:rsidR="00EB1560" w:rsidRPr="00F01AEA">
        <w:rPr>
          <w:rFonts w:cs="Times New Roman"/>
          <w:b/>
          <w:color w:val="auto"/>
        </w:rPr>
        <w:fldChar w:fldCharType="separate"/>
      </w:r>
      <w:r w:rsidR="00D90F5F" w:rsidRPr="00F01AEA">
        <w:rPr>
          <w:rFonts w:cs="Times New Roman"/>
          <w:b/>
          <w:noProof/>
          <w:color w:val="auto"/>
        </w:rPr>
        <w:t>1</w:t>
      </w:r>
      <w:r w:rsidR="00EB1560" w:rsidRPr="00F01AEA">
        <w:rPr>
          <w:rFonts w:cs="Times New Roman"/>
          <w:b/>
          <w:color w:val="auto"/>
        </w:rPr>
        <w:fldChar w:fldCharType="end"/>
      </w:r>
      <w:r w:rsidR="00D90F5F" w:rsidRPr="00F01AEA">
        <w:rPr>
          <w:rFonts w:cs="Times New Roman"/>
          <w:b/>
          <w:color w:val="auto"/>
        </w:rPr>
        <w:t xml:space="preserve">: </w:t>
      </w:r>
      <w:r w:rsidR="00E56FBE" w:rsidRPr="00F01AEA">
        <w:rPr>
          <w:rFonts w:cs="Times New Roman"/>
          <w:b/>
          <w:color w:val="auto"/>
        </w:rPr>
        <w:t>Lakes Harney and Monroe BMAP Basin</w:t>
      </w:r>
    </w:p>
    <w:sectPr w:rsidR="00840EA7" w:rsidRPr="00E56FBE" w:rsidSect="004E1FCA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08A" w:rsidRDefault="00CA408A" w:rsidP="00557B90">
      <w:r>
        <w:separator/>
      </w:r>
    </w:p>
  </w:endnote>
  <w:endnote w:type="continuationSeparator" w:id="0">
    <w:p w:rsidR="00CA408A" w:rsidRDefault="00CA408A" w:rsidP="00557B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32D" w:rsidRPr="00E56FBE" w:rsidRDefault="00EB1560" w:rsidP="00E56FBE">
    <w:pPr>
      <w:pStyle w:val="Footer"/>
      <w:rPr>
        <w:rFonts w:cs="Times New Roman"/>
        <w:sz w:val="20"/>
        <w:szCs w:val="20"/>
      </w:rPr>
    </w:pPr>
    <w:sdt>
      <w:sdtPr>
        <w:rPr>
          <w:rFonts w:ascii="Arial" w:hAnsi="Arial" w:cs="Arial"/>
          <w:sz w:val="20"/>
          <w:szCs w:val="20"/>
        </w:rPr>
        <w:id w:val="274540233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  <w:sz w:val="20"/>
              <w:szCs w:val="20"/>
            </w:rPr>
            <w:id w:val="274540234"/>
            <w:docPartObj>
              <w:docPartGallery w:val="Page Numbers (Top of Page)"/>
              <w:docPartUnique/>
            </w:docPartObj>
          </w:sdtPr>
          <w:sdtContent>
            <w:r w:rsidR="00627719">
              <w:rPr>
                <w:rFonts w:cs="Times New Roman"/>
                <w:sz w:val="20"/>
                <w:szCs w:val="20"/>
              </w:rPr>
              <w:t>Distribution</w:t>
            </w:r>
            <w:r w:rsidR="00C7532D" w:rsidRPr="00E56FBE">
              <w:rPr>
                <w:rFonts w:cs="Times New Roman"/>
                <w:sz w:val="20"/>
                <w:szCs w:val="20"/>
              </w:rPr>
              <w:tab/>
              <w:t xml:space="preserve">Page </w:t>
            </w:r>
            <w:r w:rsidRPr="00E56FBE">
              <w:rPr>
                <w:rFonts w:cs="Times New Roman"/>
                <w:sz w:val="20"/>
                <w:szCs w:val="20"/>
              </w:rPr>
              <w:fldChar w:fldCharType="begin"/>
            </w:r>
            <w:r w:rsidR="00C7532D" w:rsidRPr="00E56FBE">
              <w:rPr>
                <w:rFonts w:cs="Times New Roman"/>
                <w:sz w:val="20"/>
                <w:szCs w:val="20"/>
              </w:rPr>
              <w:instrText xml:space="preserve"> PAGE </w:instrText>
            </w:r>
            <w:r w:rsidRPr="00E56FBE">
              <w:rPr>
                <w:rFonts w:cs="Times New Roman"/>
                <w:sz w:val="20"/>
                <w:szCs w:val="20"/>
              </w:rPr>
              <w:fldChar w:fldCharType="separate"/>
            </w:r>
            <w:r w:rsidR="00E74C88">
              <w:rPr>
                <w:rFonts w:cs="Times New Roman"/>
                <w:noProof/>
                <w:sz w:val="20"/>
                <w:szCs w:val="20"/>
              </w:rPr>
              <w:t>1</w:t>
            </w:r>
            <w:r w:rsidRPr="00E56FBE">
              <w:rPr>
                <w:rFonts w:cs="Times New Roman"/>
                <w:sz w:val="20"/>
                <w:szCs w:val="20"/>
              </w:rPr>
              <w:fldChar w:fldCharType="end"/>
            </w:r>
            <w:r w:rsidR="00C7532D" w:rsidRPr="00E56FBE">
              <w:rPr>
                <w:rFonts w:cs="Times New Roman"/>
                <w:sz w:val="20"/>
                <w:szCs w:val="20"/>
              </w:rPr>
              <w:t xml:space="preserve"> of </w:t>
            </w:r>
            <w:r w:rsidRPr="00E56FBE">
              <w:rPr>
                <w:rFonts w:cs="Times New Roman"/>
                <w:sz w:val="20"/>
                <w:szCs w:val="20"/>
              </w:rPr>
              <w:fldChar w:fldCharType="begin"/>
            </w:r>
            <w:r w:rsidR="00C7532D" w:rsidRPr="00E56FBE">
              <w:rPr>
                <w:rFonts w:cs="Times New Roman"/>
                <w:sz w:val="20"/>
                <w:szCs w:val="20"/>
              </w:rPr>
              <w:instrText xml:space="preserve"> NUMPAGES  </w:instrText>
            </w:r>
            <w:r w:rsidRPr="00E56FBE">
              <w:rPr>
                <w:rFonts w:cs="Times New Roman"/>
                <w:sz w:val="20"/>
                <w:szCs w:val="20"/>
              </w:rPr>
              <w:fldChar w:fldCharType="separate"/>
            </w:r>
            <w:r w:rsidR="00E74C88">
              <w:rPr>
                <w:rFonts w:cs="Times New Roman"/>
                <w:noProof/>
                <w:sz w:val="20"/>
                <w:szCs w:val="20"/>
              </w:rPr>
              <w:t>2</w:t>
            </w:r>
            <w:r w:rsidRPr="00E56FBE">
              <w:rPr>
                <w:rFonts w:cs="Times New Roman"/>
                <w:sz w:val="20"/>
                <w:szCs w:val="20"/>
              </w:rPr>
              <w:fldChar w:fldCharType="end"/>
            </w:r>
          </w:sdtContent>
        </w:sdt>
      </w:sdtContent>
    </w:sdt>
    <w:r w:rsidR="00C7532D">
      <w:rPr>
        <w:rFonts w:ascii="Arial" w:hAnsi="Arial" w:cs="Arial"/>
        <w:sz w:val="20"/>
        <w:szCs w:val="20"/>
      </w:rPr>
      <w:tab/>
    </w:r>
  </w:p>
  <w:p w:rsidR="00C7532D" w:rsidRDefault="00C7532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08A" w:rsidRDefault="00CA408A" w:rsidP="00557B90">
      <w:r>
        <w:separator/>
      </w:r>
    </w:p>
  </w:footnote>
  <w:footnote w:type="continuationSeparator" w:id="0">
    <w:p w:rsidR="00CA408A" w:rsidRDefault="00CA408A" w:rsidP="00557B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024EC3"/>
    <w:multiLevelType w:val="hybridMultilevel"/>
    <w:tmpl w:val="A54E1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A513E5"/>
    <w:multiLevelType w:val="hybridMultilevel"/>
    <w:tmpl w:val="C99AC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153E9C"/>
    <w:multiLevelType w:val="hybridMultilevel"/>
    <w:tmpl w:val="4EBAB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6D6D"/>
    <w:rsid w:val="00096C94"/>
    <w:rsid w:val="000A5EDE"/>
    <w:rsid w:val="000E6C4B"/>
    <w:rsid w:val="00145CFD"/>
    <w:rsid w:val="00147788"/>
    <w:rsid w:val="0018256F"/>
    <w:rsid w:val="002255C8"/>
    <w:rsid w:val="0023631E"/>
    <w:rsid w:val="002422D6"/>
    <w:rsid w:val="00261554"/>
    <w:rsid w:val="00266D6D"/>
    <w:rsid w:val="002769C3"/>
    <w:rsid w:val="00276DC3"/>
    <w:rsid w:val="00282AC4"/>
    <w:rsid w:val="00285E1F"/>
    <w:rsid w:val="002A660C"/>
    <w:rsid w:val="00353A64"/>
    <w:rsid w:val="003C4C9E"/>
    <w:rsid w:val="004427F0"/>
    <w:rsid w:val="00442BF0"/>
    <w:rsid w:val="004A5BF7"/>
    <w:rsid w:val="004B3D49"/>
    <w:rsid w:val="004B66EF"/>
    <w:rsid w:val="004E1FCA"/>
    <w:rsid w:val="00543291"/>
    <w:rsid w:val="00557B90"/>
    <w:rsid w:val="005A1058"/>
    <w:rsid w:val="00604DA4"/>
    <w:rsid w:val="006229B8"/>
    <w:rsid w:val="00627719"/>
    <w:rsid w:val="0063491E"/>
    <w:rsid w:val="006C4BF8"/>
    <w:rsid w:val="006E334A"/>
    <w:rsid w:val="006F3C04"/>
    <w:rsid w:val="00734BA0"/>
    <w:rsid w:val="00737BFC"/>
    <w:rsid w:val="00801E99"/>
    <w:rsid w:val="008029A8"/>
    <w:rsid w:val="00840EA7"/>
    <w:rsid w:val="00843B35"/>
    <w:rsid w:val="008953E3"/>
    <w:rsid w:val="009402DC"/>
    <w:rsid w:val="00942CE6"/>
    <w:rsid w:val="009C1A68"/>
    <w:rsid w:val="009C3973"/>
    <w:rsid w:val="00A27F3B"/>
    <w:rsid w:val="00A34D2B"/>
    <w:rsid w:val="00A52858"/>
    <w:rsid w:val="00AB01D2"/>
    <w:rsid w:val="00AB42A5"/>
    <w:rsid w:val="00AD4ADE"/>
    <w:rsid w:val="00B76F5B"/>
    <w:rsid w:val="00BE4908"/>
    <w:rsid w:val="00BE60F5"/>
    <w:rsid w:val="00C7532D"/>
    <w:rsid w:val="00CA408A"/>
    <w:rsid w:val="00CA573A"/>
    <w:rsid w:val="00D03598"/>
    <w:rsid w:val="00D57EFD"/>
    <w:rsid w:val="00D63985"/>
    <w:rsid w:val="00D90F5F"/>
    <w:rsid w:val="00DA08FE"/>
    <w:rsid w:val="00DD24F3"/>
    <w:rsid w:val="00DF211E"/>
    <w:rsid w:val="00E100EE"/>
    <w:rsid w:val="00E1355C"/>
    <w:rsid w:val="00E37DF3"/>
    <w:rsid w:val="00E4705A"/>
    <w:rsid w:val="00E56FBE"/>
    <w:rsid w:val="00E714A0"/>
    <w:rsid w:val="00E74C88"/>
    <w:rsid w:val="00EB1560"/>
    <w:rsid w:val="00EC358A"/>
    <w:rsid w:val="00ED6779"/>
    <w:rsid w:val="00F01AEA"/>
    <w:rsid w:val="00F15A8B"/>
    <w:rsid w:val="00F34C5A"/>
    <w:rsid w:val="00F82489"/>
    <w:rsid w:val="00FA7F82"/>
    <w:rsid w:val="00FC6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D6D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52858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557B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7B90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557B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7B90"/>
    <w:rPr>
      <w:rFonts w:ascii="Times New Roman" w:hAnsi="Times New Roman"/>
      <w:sz w:val="24"/>
    </w:rPr>
  </w:style>
  <w:style w:type="paragraph" w:styleId="Caption">
    <w:name w:val="caption"/>
    <w:basedOn w:val="Normal"/>
    <w:next w:val="Normal"/>
    <w:uiPriority w:val="35"/>
    <w:unhideWhenUsed/>
    <w:qFormat/>
    <w:rsid w:val="00557B90"/>
    <w:pPr>
      <w:spacing w:after="20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29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9A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349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6D9D3FFB-2488-4666-997C-49F543951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2242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Marcy Policastro</dc:creator>
  <cp:lastModifiedBy>budd_s</cp:lastModifiedBy>
  <cp:revision>2</cp:revision>
  <dcterms:created xsi:type="dcterms:W3CDTF">2011-11-16T16:36:00Z</dcterms:created>
  <dcterms:modified xsi:type="dcterms:W3CDTF">2011-11-16T16:36:00Z</dcterms:modified>
</cp:coreProperties>
</file>