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1C5" w:rsidRPr="00116053" w:rsidRDefault="00F641C5" w:rsidP="00F641C5">
      <w:pPr>
        <w:jc w:val="center"/>
        <w:rPr>
          <w:rFonts w:ascii="Times New Roman" w:hAnsi="Times New Roman"/>
          <w:b/>
          <w:sz w:val="24"/>
          <w:szCs w:val="24"/>
        </w:rPr>
      </w:pPr>
      <w:r w:rsidRPr="00116053">
        <w:rPr>
          <w:rFonts w:ascii="Times New Roman" w:hAnsi="Times New Roman"/>
          <w:b/>
          <w:sz w:val="24"/>
          <w:szCs w:val="24"/>
        </w:rPr>
        <w:t>Technical Meeting Summary</w:t>
      </w:r>
    </w:p>
    <w:p w:rsidR="00F641C5" w:rsidRPr="00116053" w:rsidRDefault="00F641C5" w:rsidP="00F641C5">
      <w:pPr>
        <w:jc w:val="center"/>
        <w:rPr>
          <w:rFonts w:ascii="Times New Roman" w:hAnsi="Times New Roman"/>
          <w:b/>
          <w:sz w:val="24"/>
          <w:szCs w:val="24"/>
        </w:rPr>
      </w:pPr>
      <w:r w:rsidRPr="00116053">
        <w:rPr>
          <w:rFonts w:ascii="Times New Roman" w:hAnsi="Times New Roman"/>
          <w:b/>
          <w:sz w:val="24"/>
          <w:szCs w:val="24"/>
        </w:rPr>
        <w:t xml:space="preserve">Thursday, </w:t>
      </w:r>
      <w:r>
        <w:rPr>
          <w:rFonts w:ascii="Times New Roman" w:hAnsi="Times New Roman"/>
          <w:b/>
          <w:sz w:val="24"/>
          <w:szCs w:val="24"/>
        </w:rPr>
        <w:t>September 15,</w:t>
      </w:r>
      <w:r w:rsidRPr="00116053">
        <w:rPr>
          <w:rFonts w:ascii="Times New Roman" w:hAnsi="Times New Roman"/>
          <w:b/>
          <w:sz w:val="24"/>
          <w:szCs w:val="24"/>
        </w:rPr>
        <w:t xml:space="preserve"> 2011</w:t>
      </w:r>
    </w:p>
    <w:p w:rsidR="00F641C5" w:rsidRPr="00116053" w:rsidRDefault="00F641C5" w:rsidP="00F641C5">
      <w:pPr>
        <w:jc w:val="center"/>
        <w:rPr>
          <w:rFonts w:ascii="Times New Roman" w:hAnsi="Times New Roman"/>
          <w:b/>
          <w:sz w:val="24"/>
          <w:szCs w:val="24"/>
        </w:rPr>
      </w:pPr>
      <w:r w:rsidRPr="00116053">
        <w:rPr>
          <w:rFonts w:ascii="Times New Roman" w:hAnsi="Times New Roman"/>
          <w:b/>
          <w:sz w:val="24"/>
          <w:szCs w:val="24"/>
        </w:rPr>
        <w:t>1</w:t>
      </w:r>
      <w:r>
        <w:rPr>
          <w:rFonts w:ascii="Times New Roman" w:hAnsi="Times New Roman"/>
          <w:b/>
          <w:sz w:val="24"/>
          <w:szCs w:val="24"/>
        </w:rPr>
        <w:t>:30 PM – 3:3</w:t>
      </w:r>
      <w:r w:rsidRPr="00116053">
        <w:rPr>
          <w:rFonts w:ascii="Times New Roman" w:hAnsi="Times New Roman"/>
          <w:b/>
          <w:sz w:val="24"/>
          <w:szCs w:val="24"/>
        </w:rPr>
        <w:t>0 PM</w:t>
      </w:r>
    </w:p>
    <w:p w:rsidR="00F641C5" w:rsidRPr="00116053" w:rsidRDefault="00F641C5" w:rsidP="00F641C5">
      <w:pPr>
        <w:jc w:val="center"/>
        <w:rPr>
          <w:rFonts w:ascii="Times New Roman" w:hAnsi="Times New Roman"/>
          <w:b/>
          <w:sz w:val="24"/>
          <w:szCs w:val="24"/>
        </w:rPr>
      </w:pPr>
      <w:r w:rsidRPr="00F641C5">
        <w:rPr>
          <w:rFonts w:ascii="Times New Roman" w:hAnsi="Times New Roman"/>
          <w:b/>
          <w:sz w:val="24"/>
          <w:szCs w:val="24"/>
        </w:rPr>
        <w:t>Seminole County UF/IFAS Extension Services Office</w:t>
      </w:r>
      <w:r w:rsidRPr="00E76270">
        <w:rPr>
          <w:rFonts w:ascii="Times New Roman" w:hAnsi="Times New Roman"/>
          <w:b/>
          <w:sz w:val="24"/>
          <w:szCs w:val="24"/>
        </w:rPr>
        <w:t>, Sanford, Florida</w:t>
      </w:r>
    </w:p>
    <w:p w:rsidR="00F641C5" w:rsidRPr="00116053" w:rsidRDefault="00F641C5" w:rsidP="00F641C5">
      <w:pPr>
        <w:jc w:val="center"/>
        <w:rPr>
          <w:rFonts w:ascii="Times New Roman" w:hAnsi="Times New Roman"/>
          <w:sz w:val="24"/>
          <w:szCs w:val="24"/>
        </w:rPr>
      </w:pPr>
    </w:p>
    <w:p w:rsidR="00F641C5" w:rsidRPr="00116053" w:rsidRDefault="00F641C5" w:rsidP="00F641C5">
      <w:pPr>
        <w:rPr>
          <w:rFonts w:ascii="Times New Roman" w:hAnsi="Times New Roman"/>
          <w:b/>
          <w:sz w:val="24"/>
          <w:szCs w:val="24"/>
          <w:u w:val="single"/>
        </w:rPr>
      </w:pPr>
      <w:r w:rsidRPr="00116053">
        <w:rPr>
          <w:rFonts w:ascii="Times New Roman" w:hAnsi="Times New Roman"/>
          <w:b/>
          <w:sz w:val="24"/>
          <w:szCs w:val="24"/>
          <w:u w:val="single"/>
        </w:rPr>
        <w:t>Meeting Attendees</w:t>
      </w:r>
    </w:p>
    <w:tbl>
      <w:tblPr>
        <w:tblW w:w="10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50"/>
        <w:gridCol w:w="4898"/>
      </w:tblGrid>
      <w:tr w:rsidR="00F641C5" w:rsidRPr="00116053" w:rsidTr="00DA1CF0">
        <w:trPr>
          <w:jc w:val="center"/>
        </w:trPr>
        <w:tc>
          <w:tcPr>
            <w:tcW w:w="5150" w:type="dxa"/>
          </w:tcPr>
          <w:p w:rsidR="00F641C5" w:rsidRPr="00116053" w:rsidRDefault="00F641C5" w:rsidP="00DA1CF0">
            <w:pPr>
              <w:rPr>
                <w:rFonts w:ascii="Times New Roman" w:hAnsi="Times New Roman"/>
                <w:sz w:val="24"/>
                <w:szCs w:val="24"/>
              </w:rPr>
            </w:pPr>
            <w:r w:rsidRPr="00116053">
              <w:rPr>
                <w:rFonts w:ascii="Times New Roman" w:hAnsi="Times New Roman"/>
                <w:sz w:val="24"/>
                <w:szCs w:val="24"/>
              </w:rPr>
              <w:t>Brian Bates, Lake Mary</w:t>
            </w:r>
          </w:p>
          <w:p w:rsidR="00F641C5" w:rsidRDefault="00F641C5" w:rsidP="00DA1CF0">
            <w:pPr>
              <w:rPr>
                <w:rFonts w:ascii="Times New Roman" w:hAnsi="Times New Roman"/>
                <w:sz w:val="24"/>
                <w:szCs w:val="24"/>
              </w:rPr>
            </w:pPr>
            <w:r w:rsidRPr="00116053">
              <w:rPr>
                <w:rFonts w:ascii="Times New Roman" w:hAnsi="Times New Roman"/>
                <w:sz w:val="24"/>
                <w:szCs w:val="24"/>
              </w:rPr>
              <w:t>Mary Brabham, SJRWMD</w:t>
            </w:r>
          </w:p>
          <w:p w:rsidR="00F641C5" w:rsidRDefault="00F641C5" w:rsidP="00DA1CF0">
            <w:pPr>
              <w:rPr>
                <w:rFonts w:ascii="Times New Roman" w:hAnsi="Times New Roman"/>
                <w:sz w:val="24"/>
                <w:szCs w:val="24"/>
              </w:rPr>
            </w:pPr>
            <w:r w:rsidRPr="00116053">
              <w:rPr>
                <w:rFonts w:ascii="Times New Roman" w:hAnsi="Times New Roman"/>
                <w:sz w:val="24"/>
                <w:szCs w:val="24"/>
              </w:rPr>
              <w:t>Samantha Budd, FDEP</w:t>
            </w:r>
          </w:p>
          <w:p w:rsidR="00F641C5" w:rsidRDefault="00F641C5" w:rsidP="00DA1CF0">
            <w:pPr>
              <w:rPr>
                <w:rFonts w:ascii="Times New Roman" w:hAnsi="Times New Roman"/>
                <w:sz w:val="24"/>
                <w:szCs w:val="24"/>
              </w:rPr>
            </w:pPr>
            <w:r>
              <w:rPr>
                <w:rFonts w:ascii="Times New Roman" w:hAnsi="Times New Roman"/>
                <w:sz w:val="24"/>
                <w:szCs w:val="24"/>
              </w:rPr>
              <w:t>Tiffany Busby, Wildwood Consulting</w:t>
            </w:r>
          </w:p>
          <w:p w:rsidR="00F641C5" w:rsidRDefault="00F641C5" w:rsidP="00DA1CF0">
            <w:pPr>
              <w:rPr>
                <w:rFonts w:ascii="Times New Roman" w:hAnsi="Times New Roman"/>
                <w:sz w:val="24"/>
                <w:szCs w:val="24"/>
              </w:rPr>
            </w:pPr>
            <w:r w:rsidRPr="00116053">
              <w:rPr>
                <w:rFonts w:ascii="Times New Roman" w:hAnsi="Times New Roman"/>
                <w:sz w:val="24"/>
                <w:szCs w:val="24"/>
              </w:rPr>
              <w:t>Gerald Chancellor, Deltona</w:t>
            </w:r>
          </w:p>
          <w:p w:rsidR="00F641C5" w:rsidRDefault="00F641C5" w:rsidP="00DA1CF0">
            <w:pPr>
              <w:rPr>
                <w:rFonts w:ascii="Times New Roman" w:hAnsi="Times New Roman"/>
                <w:sz w:val="24"/>
                <w:szCs w:val="24"/>
              </w:rPr>
            </w:pPr>
            <w:r>
              <w:rPr>
                <w:rFonts w:ascii="Times New Roman" w:hAnsi="Times New Roman"/>
                <w:sz w:val="24"/>
                <w:szCs w:val="24"/>
              </w:rPr>
              <w:t>Bill Eggers, Aquafiber</w:t>
            </w:r>
          </w:p>
          <w:p w:rsidR="00F641C5" w:rsidRDefault="00F641C5" w:rsidP="00DA1CF0">
            <w:pPr>
              <w:rPr>
                <w:rFonts w:ascii="Times New Roman" w:hAnsi="Times New Roman"/>
                <w:sz w:val="24"/>
                <w:szCs w:val="24"/>
              </w:rPr>
            </w:pPr>
            <w:r>
              <w:rPr>
                <w:rFonts w:ascii="Times New Roman" w:hAnsi="Times New Roman"/>
                <w:sz w:val="24"/>
                <w:szCs w:val="24"/>
              </w:rPr>
              <w:t>Chris Ferraro, FDEP</w:t>
            </w:r>
          </w:p>
          <w:p w:rsidR="00F641C5" w:rsidRDefault="00F641C5" w:rsidP="00DA1CF0">
            <w:pPr>
              <w:rPr>
                <w:rFonts w:ascii="Times New Roman" w:hAnsi="Times New Roman"/>
                <w:sz w:val="24"/>
                <w:szCs w:val="24"/>
              </w:rPr>
            </w:pPr>
            <w:r>
              <w:rPr>
                <w:rFonts w:ascii="Times New Roman" w:hAnsi="Times New Roman"/>
                <w:sz w:val="24"/>
                <w:szCs w:val="24"/>
              </w:rPr>
              <w:t>Mark Flomerfelt, Seminole County</w:t>
            </w:r>
          </w:p>
          <w:p w:rsidR="00F641C5" w:rsidRDefault="00F641C5" w:rsidP="00DA1CF0">
            <w:pPr>
              <w:rPr>
                <w:rFonts w:ascii="Times New Roman" w:hAnsi="Times New Roman"/>
                <w:sz w:val="24"/>
                <w:szCs w:val="24"/>
              </w:rPr>
            </w:pPr>
            <w:r>
              <w:rPr>
                <w:rFonts w:ascii="Times New Roman" w:hAnsi="Times New Roman"/>
                <w:sz w:val="24"/>
                <w:szCs w:val="24"/>
              </w:rPr>
              <w:t xml:space="preserve">John Gamble, Volusia County </w:t>
            </w:r>
          </w:p>
          <w:p w:rsidR="007C31DA" w:rsidRDefault="007C31DA" w:rsidP="00DA1CF0">
            <w:pPr>
              <w:rPr>
                <w:rFonts w:ascii="Times New Roman" w:hAnsi="Times New Roman"/>
                <w:sz w:val="24"/>
                <w:szCs w:val="24"/>
              </w:rPr>
            </w:pPr>
            <w:r>
              <w:rPr>
                <w:rFonts w:ascii="Times New Roman" w:hAnsi="Times New Roman"/>
                <w:sz w:val="24"/>
                <w:szCs w:val="24"/>
              </w:rPr>
              <w:t xml:space="preserve">Mike Garcia, Seminole County </w:t>
            </w:r>
          </w:p>
          <w:p w:rsidR="007C31DA" w:rsidRPr="00116053" w:rsidRDefault="007C31DA" w:rsidP="00DA1CF0">
            <w:pPr>
              <w:rPr>
                <w:rFonts w:ascii="Times New Roman" w:hAnsi="Times New Roman"/>
                <w:sz w:val="24"/>
                <w:szCs w:val="24"/>
              </w:rPr>
            </w:pPr>
            <w:r>
              <w:rPr>
                <w:rFonts w:ascii="Times New Roman" w:hAnsi="Times New Roman"/>
                <w:sz w:val="24"/>
                <w:szCs w:val="24"/>
              </w:rPr>
              <w:t>Harvey Harper, ERD</w:t>
            </w:r>
          </w:p>
          <w:p w:rsidR="00F641C5" w:rsidRDefault="00F641C5" w:rsidP="00DA1CF0">
            <w:pPr>
              <w:rPr>
                <w:rFonts w:ascii="Times New Roman" w:hAnsi="Times New Roman"/>
                <w:sz w:val="24"/>
                <w:szCs w:val="24"/>
              </w:rPr>
            </w:pPr>
            <w:r w:rsidRPr="00116053">
              <w:rPr>
                <w:rFonts w:ascii="Times New Roman" w:hAnsi="Times New Roman"/>
                <w:sz w:val="24"/>
                <w:szCs w:val="24"/>
              </w:rPr>
              <w:t>Janet Hearn, ATM</w:t>
            </w:r>
          </w:p>
          <w:p w:rsidR="007C31DA" w:rsidRDefault="007C31DA" w:rsidP="007C31DA">
            <w:pPr>
              <w:rPr>
                <w:rFonts w:ascii="Times New Roman" w:hAnsi="Times New Roman"/>
                <w:sz w:val="24"/>
                <w:szCs w:val="24"/>
              </w:rPr>
            </w:pPr>
            <w:r>
              <w:rPr>
                <w:rFonts w:ascii="Times New Roman" w:hAnsi="Times New Roman"/>
                <w:sz w:val="24"/>
                <w:szCs w:val="24"/>
              </w:rPr>
              <w:t>Bilal Iftikhar, Sanford</w:t>
            </w:r>
            <w:r w:rsidRPr="00116053">
              <w:rPr>
                <w:rFonts w:ascii="Times New Roman" w:hAnsi="Times New Roman"/>
                <w:sz w:val="24"/>
                <w:szCs w:val="24"/>
              </w:rPr>
              <w:t xml:space="preserve"> </w:t>
            </w:r>
          </w:p>
          <w:p w:rsidR="007C31DA" w:rsidRPr="00116053" w:rsidRDefault="007C31DA" w:rsidP="00DA1CF0">
            <w:pPr>
              <w:rPr>
                <w:rFonts w:ascii="Times New Roman" w:hAnsi="Times New Roman"/>
                <w:sz w:val="24"/>
                <w:szCs w:val="24"/>
              </w:rPr>
            </w:pPr>
            <w:r w:rsidRPr="00116053">
              <w:rPr>
                <w:rFonts w:ascii="Times New Roman" w:hAnsi="Times New Roman"/>
                <w:sz w:val="24"/>
                <w:szCs w:val="24"/>
              </w:rPr>
              <w:t xml:space="preserve">Carol Johnson, FDACS </w:t>
            </w:r>
          </w:p>
        </w:tc>
        <w:tc>
          <w:tcPr>
            <w:tcW w:w="4898" w:type="dxa"/>
          </w:tcPr>
          <w:p w:rsidR="00F641C5" w:rsidRDefault="00F641C5" w:rsidP="00DA1CF0">
            <w:pPr>
              <w:rPr>
                <w:rFonts w:ascii="Times New Roman" w:hAnsi="Times New Roman"/>
                <w:sz w:val="24"/>
                <w:szCs w:val="24"/>
              </w:rPr>
            </w:pPr>
            <w:r>
              <w:rPr>
                <w:rFonts w:ascii="Times New Roman" w:hAnsi="Times New Roman"/>
                <w:sz w:val="24"/>
                <w:szCs w:val="24"/>
              </w:rPr>
              <w:t>Todd Jorgenson, Orange City</w:t>
            </w:r>
          </w:p>
          <w:p w:rsidR="00F641C5" w:rsidRDefault="00F641C5" w:rsidP="00DA1CF0">
            <w:pPr>
              <w:rPr>
                <w:rFonts w:ascii="Times New Roman" w:hAnsi="Times New Roman"/>
                <w:sz w:val="24"/>
                <w:szCs w:val="24"/>
              </w:rPr>
            </w:pPr>
            <w:r>
              <w:rPr>
                <w:rFonts w:ascii="Times New Roman" w:hAnsi="Times New Roman"/>
                <w:sz w:val="24"/>
                <w:szCs w:val="24"/>
              </w:rPr>
              <w:t>Kerry Kates, FFVA</w:t>
            </w:r>
          </w:p>
          <w:p w:rsidR="00F641C5" w:rsidRDefault="00F641C5" w:rsidP="00DA1CF0">
            <w:pPr>
              <w:rPr>
                <w:rFonts w:ascii="Times New Roman" w:hAnsi="Times New Roman"/>
                <w:sz w:val="24"/>
                <w:szCs w:val="24"/>
              </w:rPr>
            </w:pPr>
            <w:r>
              <w:rPr>
                <w:rFonts w:ascii="Times New Roman" w:hAnsi="Times New Roman"/>
                <w:sz w:val="24"/>
                <w:szCs w:val="24"/>
              </w:rPr>
              <w:t>Rob Kirby, Volusia County</w:t>
            </w:r>
          </w:p>
          <w:p w:rsidR="00F641C5" w:rsidRPr="00116053" w:rsidRDefault="00F641C5" w:rsidP="00DA1CF0">
            <w:pPr>
              <w:rPr>
                <w:rFonts w:ascii="Times New Roman" w:hAnsi="Times New Roman"/>
                <w:sz w:val="24"/>
                <w:szCs w:val="24"/>
              </w:rPr>
            </w:pPr>
            <w:r>
              <w:rPr>
                <w:rFonts w:ascii="Times New Roman" w:hAnsi="Times New Roman"/>
                <w:sz w:val="24"/>
                <w:szCs w:val="24"/>
              </w:rPr>
              <w:t>Gabrielle Milch, FYN</w:t>
            </w:r>
          </w:p>
          <w:p w:rsidR="00F641C5" w:rsidRDefault="00F641C5" w:rsidP="00DA1CF0">
            <w:pPr>
              <w:rPr>
                <w:rFonts w:ascii="Times New Roman" w:hAnsi="Times New Roman"/>
                <w:sz w:val="24"/>
                <w:szCs w:val="24"/>
              </w:rPr>
            </w:pPr>
            <w:r>
              <w:rPr>
                <w:rFonts w:ascii="Times New Roman" w:hAnsi="Times New Roman"/>
                <w:sz w:val="24"/>
                <w:szCs w:val="24"/>
              </w:rPr>
              <w:t>Ryan Mitchell, E Sciences</w:t>
            </w:r>
          </w:p>
          <w:p w:rsidR="00F641C5" w:rsidRPr="00116053" w:rsidRDefault="00F641C5" w:rsidP="00DA1CF0">
            <w:pPr>
              <w:rPr>
                <w:rFonts w:ascii="Times New Roman" w:hAnsi="Times New Roman"/>
                <w:sz w:val="24"/>
                <w:szCs w:val="24"/>
              </w:rPr>
            </w:pPr>
            <w:r w:rsidRPr="00116053">
              <w:rPr>
                <w:rFonts w:ascii="Times New Roman" w:hAnsi="Times New Roman"/>
                <w:sz w:val="24"/>
                <w:szCs w:val="24"/>
              </w:rPr>
              <w:t>Kim Ornberg, Seminole County</w:t>
            </w:r>
          </w:p>
          <w:p w:rsidR="00F641C5" w:rsidRDefault="00F641C5" w:rsidP="00DA1CF0">
            <w:pPr>
              <w:rPr>
                <w:rFonts w:ascii="Times New Roman" w:hAnsi="Times New Roman"/>
                <w:sz w:val="24"/>
                <w:szCs w:val="24"/>
              </w:rPr>
            </w:pPr>
            <w:r w:rsidRPr="00116053">
              <w:rPr>
                <w:rFonts w:ascii="Times New Roman" w:hAnsi="Times New Roman"/>
                <w:sz w:val="24"/>
                <w:szCs w:val="24"/>
              </w:rPr>
              <w:t>Marcy Policastro, Wildwood Consulting</w:t>
            </w:r>
          </w:p>
          <w:p w:rsidR="00F641C5" w:rsidRDefault="00F641C5" w:rsidP="00DA1CF0">
            <w:pPr>
              <w:rPr>
                <w:rFonts w:ascii="Times New Roman" w:hAnsi="Times New Roman"/>
                <w:sz w:val="24"/>
                <w:szCs w:val="24"/>
              </w:rPr>
            </w:pPr>
            <w:r>
              <w:rPr>
                <w:rFonts w:ascii="Times New Roman" w:hAnsi="Times New Roman"/>
                <w:sz w:val="24"/>
                <w:szCs w:val="24"/>
              </w:rPr>
              <w:t xml:space="preserve">Roland Raymundo, Seminole County </w:t>
            </w:r>
          </w:p>
          <w:p w:rsidR="00F641C5" w:rsidRDefault="00F641C5" w:rsidP="00DA1CF0">
            <w:pPr>
              <w:rPr>
                <w:rFonts w:ascii="Times New Roman" w:hAnsi="Times New Roman"/>
                <w:sz w:val="24"/>
                <w:szCs w:val="24"/>
              </w:rPr>
            </w:pPr>
            <w:r>
              <w:rPr>
                <w:rFonts w:ascii="Times New Roman" w:hAnsi="Times New Roman"/>
                <w:sz w:val="24"/>
                <w:szCs w:val="24"/>
              </w:rPr>
              <w:t>Leylah Saavedra, Pegasus Engineering</w:t>
            </w:r>
          </w:p>
          <w:p w:rsidR="00F641C5" w:rsidRDefault="00F641C5" w:rsidP="00DA1CF0">
            <w:pPr>
              <w:rPr>
                <w:rFonts w:ascii="Times New Roman" w:hAnsi="Times New Roman"/>
                <w:sz w:val="24"/>
                <w:szCs w:val="24"/>
              </w:rPr>
            </w:pPr>
            <w:r>
              <w:rPr>
                <w:rFonts w:ascii="Times New Roman" w:hAnsi="Times New Roman"/>
                <w:sz w:val="24"/>
                <w:szCs w:val="24"/>
              </w:rPr>
              <w:t>Russ Sheibenberger, Sanford</w:t>
            </w:r>
          </w:p>
          <w:p w:rsidR="007C31DA" w:rsidRPr="00116053" w:rsidRDefault="007C31DA" w:rsidP="00DA1CF0">
            <w:pPr>
              <w:rPr>
                <w:rFonts w:ascii="Times New Roman" w:hAnsi="Times New Roman"/>
                <w:sz w:val="24"/>
                <w:szCs w:val="24"/>
              </w:rPr>
            </w:pPr>
            <w:r>
              <w:rPr>
                <w:rFonts w:ascii="Times New Roman" w:hAnsi="Times New Roman"/>
                <w:sz w:val="24"/>
                <w:szCs w:val="24"/>
              </w:rPr>
              <w:t xml:space="preserve">Robert Walter, Seminole County </w:t>
            </w:r>
          </w:p>
          <w:p w:rsidR="00F641C5" w:rsidRPr="00116053" w:rsidRDefault="00F641C5" w:rsidP="00DA1CF0">
            <w:pPr>
              <w:rPr>
                <w:rFonts w:ascii="Times New Roman" w:hAnsi="Times New Roman"/>
                <w:sz w:val="24"/>
                <w:szCs w:val="24"/>
              </w:rPr>
            </w:pPr>
            <w:r>
              <w:rPr>
                <w:rFonts w:ascii="Times New Roman" w:hAnsi="Times New Roman"/>
                <w:sz w:val="24"/>
                <w:szCs w:val="24"/>
              </w:rPr>
              <w:t>Shannon Wetzel, Seminole County</w:t>
            </w:r>
          </w:p>
          <w:p w:rsidR="00F641C5" w:rsidRPr="00116053" w:rsidRDefault="00F641C5" w:rsidP="00DA1CF0">
            <w:pPr>
              <w:rPr>
                <w:rFonts w:ascii="Times New Roman" w:hAnsi="Times New Roman"/>
                <w:sz w:val="24"/>
                <w:szCs w:val="24"/>
              </w:rPr>
            </w:pPr>
            <w:r w:rsidRPr="00116053">
              <w:rPr>
                <w:rFonts w:ascii="Times New Roman" w:hAnsi="Times New Roman"/>
                <w:sz w:val="24"/>
                <w:szCs w:val="24"/>
              </w:rPr>
              <w:t>Kelly Young, Volusia County</w:t>
            </w:r>
          </w:p>
        </w:tc>
      </w:tr>
    </w:tbl>
    <w:p w:rsidR="00F641C5" w:rsidRDefault="00F641C5">
      <w:pPr>
        <w:rPr>
          <w:rFonts w:ascii="Times New Roman" w:hAnsi="Times New Roman" w:cs="Times New Roman"/>
          <w:b/>
          <w:sz w:val="24"/>
          <w:szCs w:val="24"/>
          <w:u w:val="single"/>
        </w:rPr>
      </w:pPr>
    </w:p>
    <w:p w:rsidR="00F15A8B" w:rsidRPr="00A45FBE" w:rsidRDefault="00A45FBE" w:rsidP="00E41A48">
      <w:pPr>
        <w:jc w:val="both"/>
        <w:rPr>
          <w:rFonts w:ascii="Times New Roman" w:hAnsi="Times New Roman" w:cs="Times New Roman"/>
          <w:b/>
          <w:sz w:val="24"/>
          <w:szCs w:val="24"/>
          <w:u w:val="single"/>
        </w:rPr>
      </w:pPr>
      <w:r w:rsidRPr="00A45FBE">
        <w:rPr>
          <w:rFonts w:ascii="Times New Roman" w:hAnsi="Times New Roman" w:cs="Times New Roman"/>
          <w:b/>
          <w:sz w:val="24"/>
          <w:szCs w:val="24"/>
          <w:u w:val="single"/>
        </w:rPr>
        <w:t>Welcome and Opening Remarks</w:t>
      </w:r>
    </w:p>
    <w:p w:rsidR="00A45FBE" w:rsidRPr="00A45FBE" w:rsidRDefault="00C26C36" w:rsidP="00E41A48">
      <w:pPr>
        <w:jc w:val="both"/>
        <w:rPr>
          <w:rFonts w:ascii="Times New Roman" w:hAnsi="Times New Roman" w:cs="Times New Roman"/>
          <w:sz w:val="24"/>
          <w:szCs w:val="24"/>
        </w:rPr>
      </w:pPr>
      <w:r>
        <w:rPr>
          <w:rFonts w:ascii="Times New Roman" w:hAnsi="Times New Roman" w:cs="Times New Roman"/>
          <w:sz w:val="24"/>
          <w:szCs w:val="24"/>
        </w:rPr>
        <w:t>Tiffany</w:t>
      </w:r>
      <w:r w:rsidR="00E41A48">
        <w:rPr>
          <w:rFonts w:ascii="Times New Roman" w:hAnsi="Times New Roman" w:cs="Times New Roman"/>
          <w:sz w:val="24"/>
          <w:szCs w:val="24"/>
        </w:rPr>
        <w:t xml:space="preserve"> Busby welcomed everyone to the Lakes Harney and Monroe Basin Management Action Plan (BMAP) meeting, and thanked Seminole County for the use of their meeting room.  The participants introduced themselves and the entity they represent.</w:t>
      </w:r>
    </w:p>
    <w:p w:rsidR="00A45FBE" w:rsidRPr="00A45FBE" w:rsidRDefault="00A45FBE" w:rsidP="00E41A48">
      <w:pPr>
        <w:jc w:val="both"/>
        <w:rPr>
          <w:rFonts w:ascii="Times New Roman" w:hAnsi="Times New Roman" w:cs="Times New Roman"/>
          <w:sz w:val="24"/>
          <w:szCs w:val="24"/>
        </w:rPr>
      </w:pPr>
    </w:p>
    <w:p w:rsidR="00A45FBE" w:rsidRPr="00A45FBE" w:rsidRDefault="00A45FBE" w:rsidP="00E41A48">
      <w:pPr>
        <w:jc w:val="both"/>
        <w:rPr>
          <w:rFonts w:ascii="Times New Roman" w:hAnsi="Times New Roman" w:cs="Times New Roman"/>
          <w:b/>
          <w:sz w:val="24"/>
          <w:szCs w:val="24"/>
          <w:u w:val="single"/>
        </w:rPr>
      </w:pPr>
      <w:r w:rsidRPr="00A45FBE">
        <w:rPr>
          <w:rFonts w:ascii="Times New Roman" w:hAnsi="Times New Roman" w:cs="Times New Roman"/>
          <w:b/>
          <w:sz w:val="24"/>
          <w:szCs w:val="24"/>
          <w:u w:val="single"/>
        </w:rPr>
        <w:t>Review of BMAP Allocations</w:t>
      </w:r>
    </w:p>
    <w:p w:rsidR="00A45FBE" w:rsidRDefault="00C153F5" w:rsidP="00E41A48">
      <w:pPr>
        <w:jc w:val="both"/>
        <w:rPr>
          <w:rFonts w:ascii="Times New Roman" w:hAnsi="Times New Roman" w:cs="Times New Roman"/>
          <w:sz w:val="24"/>
          <w:szCs w:val="24"/>
        </w:rPr>
      </w:pPr>
      <w:r>
        <w:rPr>
          <w:rFonts w:ascii="Times New Roman" w:hAnsi="Times New Roman" w:cs="Times New Roman"/>
          <w:sz w:val="24"/>
          <w:szCs w:val="24"/>
        </w:rPr>
        <w:t xml:space="preserve">Marcy Policastro stated that the allocation information </w:t>
      </w:r>
      <w:r w:rsidR="00224340">
        <w:rPr>
          <w:rFonts w:ascii="Times New Roman" w:hAnsi="Times New Roman" w:cs="Times New Roman"/>
          <w:sz w:val="24"/>
          <w:szCs w:val="24"/>
        </w:rPr>
        <w:t>i</w:t>
      </w:r>
      <w:r>
        <w:rPr>
          <w:rFonts w:ascii="Times New Roman" w:hAnsi="Times New Roman" w:cs="Times New Roman"/>
          <w:sz w:val="24"/>
          <w:szCs w:val="24"/>
        </w:rPr>
        <w:t>s a review from what was discussed at the last meeting</w:t>
      </w:r>
      <w:r w:rsidR="00224340">
        <w:rPr>
          <w:rFonts w:ascii="Times New Roman" w:hAnsi="Times New Roman" w:cs="Times New Roman"/>
          <w:sz w:val="24"/>
          <w:szCs w:val="24"/>
        </w:rPr>
        <w:t>,</w:t>
      </w:r>
      <w:r>
        <w:rPr>
          <w:rFonts w:ascii="Times New Roman" w:hAnsi="Times New Roman" w:cs="Times New Roman"/>
          <w:sz w:val="24"/>
          <w:szCs w:val="24"/>
        </w:rPr>
        <w:t xml:space="preserve"> and the stakeholders should provide any comments or questions they have on the allocations.  The first step in calculating the allocations </w:t>
      </w:r>
      <w:r w:rsidR="00224340">
        <w:rPr>
          <w:rFonts w:ascii="Times New Roman" w:hAnsi="Times New Roman" w:cs="Times New Roman"/>
          <w:sz w:val="24"/>
          <w:szCs w:val="24"/>
        </w:rPr>
        <w:t>was</w:t>
      </w:r>
      <w:r>
        <w:rPr>
          <w:rFonts w:ascii="Times New Roman" w:hAnsi="Times New Roman" w:cs="Times New Roman"/>
          <w:sz w:val="24"/>
          <w:szCs w:val="24"/>
        </w:rPr>
        <w:t xml:space="preserve"> to determine the starting loads for each of the stakeholders, which is the loading for each jurisdiction in the Hydrologic Simulation Program – FORTRAN (HSPF) model.  </w:t>
      </w:r>
      <w:r w:rsidR="00DA1CF0">
        <w:rPr>
          <w:rFonts w:ascii="Times New Roman" w:hAnsi="Times New Roman" w:cs="Times New Roman"/>
          <w:sz w:val="24"/>
          <w:szCs w:val="24"/>
        </w:rPr>
        <w:t xml:space="preserve">When calculating the starting loads, the first step was to remove all the natural areas and loading because the total maximum daily load (TMDL) does not require reductions from these land uses.  Therefore, the stakeholders are not responsible for making reductions in these areas.  Then, each of the entity shapefiles were created by clipping the jurisdictional area from the Geographic Information Systems (GIS) layer, using the jurisdictional boundaries provided by the stakeholders.  The entities were clipped from the GIS layer as follows: Florida Department of Transportation (FDOT) roads, </w:t>
      </w:r>
      <w:r w:rsidR="00255573">
        <w:rPr>
          <w:rFonts w:ascii="Times New Roman" w:hAnsi="Times New Roman" w:cs="Times New Roman"/>
          <w:sz w:val="24"/>
          <w:szCs w:val="24"/>
        </w:rPr>
        <w:t xml:space="preserve">Turnpike </w:t>
      </w:r>
      <w:r w:rsidR="00051939">
        <w:rPr>
          <w:rFonts w:ascii="Times New Roman" w:hAnsi="Times New Roman" w:cs="Times New Roman"/>
          <w:sz w:val="24"/>
          <w:szCs w:val="24"/>
        </w:rPr>
        <w:t xml:space="preserve">Authority </w:t>
      </w:r>
      <w:r w:rsidR="00255573">
        <w:rPr>
          <w:rFonts w:ascii="Times New Roman" w:hAnsi="Times New Roman" w:cs="Times New Roman"/>
          <w:sz w:val="24"/>
          <w:szCs w:val="24"/>
        </w:rPr>
        <w:t>roads, agricultural areas, the cities, and each of the counties.  These individual entity shapefiles were used in the allocation calculations and are posted on the BMAP FTP site.</w:t>
      </w:r>
    </w:p>
    <w:p w:rsidR="00255573" w:rsidRDefault="00255573" w:rsidP="00E41A48">
      <w:pPr>
        <w:jc w:val="both"/>
        <w:rPr>
          <w:rFonts w:ascii="Times New Roman" w:hAnsi="Times New Roman" w:cs="Times New Roman"/>
          <w:sz w:val="24"/>
          <w:szCs w:val="24"/>
        </w:rPr>
      </w:pPr>
    </w:p>
    <w:p w:rsidR="00255573" w:rsidRDefault="00255573" w:rsidP="00E41A48">
      <w:pPr>
        <w:jc w:val="both"/>
        <w:rPr>
          <w:rFonts w:ascii="Times New Roman" w:hAnsi="Times New Roman" w:cs="Times New Roman"/>
          <w:sz w:val="24"/>
          <w:szCs w:val="24"/>
        </w:rPr>
      </w:pPr>
      <w:r>
        <w:rPr>
          <w:rFonts w:ascii="Times New Roman" w:hAnsi="Times New Roman" w:cs="Times New Roman"/>
          <w:sz w:val="24"/>
          <w:szCs w:val="24"/>
        </w:rPr>
        <w:t xml:space="preserve">The starting loads were then sorted from highest to lowest for both total nitrogen (TN) and total phosphorus (TP) to identify </w:t>
      </w:r>
      <w:r w:rsidRPr="00255573">
        <w:rPr>
          <w:rFonts w:ascii="Times New Roman" w:hAnsi="Times New Roman" w:cs="Times New Roman"/>
          <w:i/>
          <w:sz w:val="24"/>
          <w:szCs w:val="24"/>
        </w:rPr>
        <w:t>de minimus</w:t>
      </w:r>
      <w:r>
        <w:rPr>
          <w:rFonts w:ascii="Times New Roman" w:hAnsi="Times New Roman" w:cs="Times New Roman"/>
          <w:sz w:val="24"/>
          <w:szCs w:val="24"/>
        </w:rPr>
        <w:t xml:space="preserve"> stakeholders.  The entities that were considered </w:t>
      </w:r>
      <w:r w:rsidRPr="00255573">
        <w:rPr>
          <w:rFonts w:ascii="Times New Roman" w:hAnsi="Times New Roman" w:cs="Times New Roman"/>
          <w:i/>
          <w:sz w:val="24"/>
          <w:szCs w:val="24"/>
        </w:rPr>
        <w:t>de minimus</w:t>
      </w:r>
      <w:r>
        <w:rPr>
          <w:rFonts w:ascii="Times New Roman" w:hAnsi="Times New Roman" w:cs="Times New Roman"/>
          <w:sz w:val="24"/>
          <w:szCs w:val="24"/>
        </w:rPr>
        <w:t xml:space="preserve"> are DeLand, Lake Helen, Orange City, and Turnpike Authority.  These entities are each less than 1% of the total load and combined and they are approximately 1% of the total load; therefore, their loads are considered low enough not</w:t>
      </w:r>
      <w:r w:rsidR="00493193">
        <w:rPr>
          <w:rFonts w:ascii="Times New Roman" w:hAnsi="Times New Roman" w:cs="Times New Roman"/>
          <w:sz w:val="24"/>
          <w:szCs w:val="24"/>
        </w:rPr>
        <w:t xml:space="preserve"> to</w:t>
      </w:r>
      <w:r>
        <w:rPr>
          <w:rFonts w:ascii="Times New Roman" w:hAnsi="Times New Roman" w:cs="Times New Roman"/>
          <w:sz w:val="24"/>
          <w:szCs w:val="24"/>
        </w:rPr>
        <w:t xml:space="preserve"> be significant</w:t>
      </w:r>
      <w:r w:rsidR="00051939">
        <w:rPr>
          <w:rFonts w:ascii="Times New Roman" w:hAnsi="Times New Roman" w:cs="Times New Roman"/>
          <w:sz w:val="24"/>
          <w:szCs w:val="24"/>
        </w:rPr>
        <w:t xml:space="preserve"> to be reduced in this </w:t>
      </w:r>
      <w:r w:rsidR="00051939">
        <w:rPr>
          <w:rFonts w:ascii="Times New Roman" w:hAnsi="Times New Roman" w:cs="Times New Roman"/>
          <w:sz w:val="24"/>
          <w:szCs w:val="24"/>
        </w:rPr>
        <w:lastRenderedPageBreak/>
        <w:t>iteration</w:t>
      </w:r>
      <w:r>
        <w:rPr>
          <w:rFonts w:ascii="Times New Roman" w:hAnsi="Times New Roman" w:cs="Times New Roman"/>
          <w:sz w:val="24"/>
          <w:szCs w:val="24"/>
        </w:rPr>
        <w:t>.  These stakeholders were not assigned an allocation for this iteration of the BMAP and their loads were not reallocated to the other entities in the basin.</w:t>
      </w:r>
    </w:p>
    <w:p w:rsidR="00255573" w:rsidRDefault="00255573" w:rsidP="00E41A48">
      <w:pPr>
        <w:jc w:val="both"/>
        <w:rPr>
          <w:rFonts w:ascii="Times New Roman" w:hAnsi="Times New Roman" w:cs="Times New Roman"/>
          <w:sz w:val="24"/>
          <w:szCs w:val="24"/>
        </w:rPr>
      </w:pPr>
    </w:p>
    <w:p w:rsidR="00255573" w:rsidRDefault="00255573" w:rsidP="00E41A48">
      <w:pPr>
        <w:jc w:val="both"/>
        <w:rPr>
          <w:rFonts w:ascii="Times New Roman" w:hAnsi="Times New Roman" w:cs="Times New Roman"/>
          <w:sz w:val="24"/>
          <w:szCs w:val="24"/>
        </w:rPr>
      </w:pPr>
      <w:r>
        <w:rPr>
          <w:rFonts w:ascii="Times New Roman" w:hAnsi="Times New Roman" w:cs="Times New Roman"/>
          <w:sz w:val="24"/>
          <w:szCs w:val="24"/>
        </w:rPr>
        <w:t xml:space="preserve">The TMDL identifies several sources of nutrient loading to the impaired waterbodies, but the focus of the BMAP is on the watershed inputs.  The watershed loading includes both anthropogenic and natural loads, and the anthropogenic allowable load was used to determine a target load per acre for TN and TP.  The target loads were calculated by dividing </w:t>
      </w:r>
      <w:r w:rsidR="00493193">
        <w:rPr>
          <w:rFonts w:ascii="Times New Roman" w:hAnsi="Times New Roman" w:cs="Times New Roman"/>
          <w:sz w:val="24"/>
          <w:szCs w:val="24"/>
        </w:rPr>
        <w:t xml:space="preserve">the </w:t>
      </w:r>
      <w:r>
        <w:rPr>
          <w:rFonts w:ascii="Times New Roman" w:hAnsi="Times New Roman" w:cs="Times New Roman"/>
          <w:sz w:val="24"/>
          <w:szCs w:val="24"/>
        </w:rPr>
        <w:t>anthropogenic allowable load by the total anthropogenic acres in the basin.  The resulting targets are 4.34 lbs/ac/yr TN and 0.80 lbs/ac/yr TP.  The target loads per acre per year were then multiplied by each entity’s acreage to determine the target load per year.  The starting load minus the target load yields the required reduction for each entity.</w:t>
      </w:r>
    </w:p>
    <w:p w:rsidR="00255573" w:rsidRDefault="00255573" w:rsidP="00E41A48">
      <w:pPr>
        <w:jc w:val="both"/>
        <w:rPr>
          <w:rFonts w:ascii="Times New Roman" w:hAnsi="Times New Roman" w:cs="Times New Roman"/>
          <w:sz w:val="24"/>
          <w:szCs w:val="24"/>
        </w:rPr>
      </w:pPr>
    </w:p>
    <w:p w:rsidR="00781BA7" w:rsidRDefault="00E30E7E" w:rsidP="00E41A48">
      <w:pPr>
        <w:jc w:val="both"/>
        <w:rPr>
          <w:rFonts w:ascii="Times New Roman" w:hAnsi="Times New Roman" w:cs="Times New Roman"/>
          <w:sz w:val="24"/>
          <w:szCs w:val="24"/>
        </w:rPr>
      </w:pPr>
      <w:r>
        <w:rPr>
          <w:rFonts w:ascii="Times New Roman" w:hAnsi="Times New Roman" w:cs="Times New Roman"/>
          <w:sz w:val="24"/>
          <w:szCs w:val="24"/>
        </w:rPr>
        <w:t xml:space="preserve">Kim Ornberg asked how the point source reductions were determined.  Marcy responded that the Sanford wastewater treatment facility (WWTF) is the only point source in the basin and it was assigned an allocation in the </w:t>
      </w:r>
      <w:r w:rsidR="00051939">
        <w:rPr>
          <w:rFonts w:ascii="Times New Roman" w:hAnsi="Times New Roman" w:cs="Times New Roman"/>
          <w:sz w:val="24"/>
          <w:szCs w:val="24"/>
        </w:rPr>
        <w:t xml:space="preserve">adopted </w:t>
      </w:r>
      <w:r>
        <w:rPr>
          <w:rFonts w:ascii="Times New Roman" w:hAnsi="Times New Roman" w:cs="Times New Roman"/>
          <w:sz w:val="24"/>
          <w:szCs w:val="24"/>
        </w:rPr>
        <w:t xml:space="preserve">TMDL.  This allocation was determined by applying the same percent reduction for the point source as is required by the TMDL for the stormwater sources.  Chris Ferraro added that this allocation </w:t>
      </w:r>
      <w:r w:rsidR="00051939">
        <w:rPr>
          <w:rFonts w:ascii="Times New Roman" w:hAnsi="Times New Roman" w:cs="Times New Roman"/>
          <w:sz w:val="24"/>
          <w:szCs w:val="24"/>
        </w:rPr>
        <w:t xml:space="preserve">(and associated reductions) </w:t>
      </w:r>
      <w:r>
        <w:rPr>
          <w:rFonts w:ascii="Times New Roman" w:hAnsi="Times New Roman" w:cs="Times New Roman"/>
          <w:sz w:val="24"/>
          <w:szCs w:val="24"/>
        </w:rPr>
        <w:t>has already been added to the Sanford WWTF permit.  Mark asked how the attenuation factor was determined for different areas of the basin.  Marcy responded that the GIS shapefile provided with the model output includes the attenuation factors applied to each polygon in the basin.  The model includes multiple stream reaches and as water moves through these reaches to the impaired waterbodies, some of the nutrient load is lost through attenuation.  Marcy was unsure of how the attenuation factors were actually calculated and will follow up with Dr. Xueqing Gao (FDEP) on this question.</w:t>
      </w:r>
      <w:r w:rsidR="00781BA7">
        <w:rPr>
          <w:rFonts w:ascii="Times New Roman" w:hAnsi="Times New Roman" w:cs="Times New Roman"/>
          <w:sz w:val="24"/>
          <w:szCs w:val="24"/>
        </w:rPr>
        <w:t xml:space="preserve">  </w:t>
      </w:r>
    </w:p>
    <w:p w:rsidR="00781BA7" w:rsidRDefault="00781BA7" w:rsidP="00E41A48">
      <w:pPr>
        <w:jc w:val="both"/>
        <w:rPr>
          <w:rFonts w:ascii="Times New Roman" w:hAnsi="Times New Roman" w:cs="Times New Roman"/>
          <w:sz w:val="24"/>
          <w:szCs w:val="24"/>
        </w:rPr>
      </w:pPr>
    </w:p>
    <w:p w:rsidR="00781BA7" w:rsidRDefault="00781BA7" w:rsidP="00E41A48">
      <w:pPr>
        <w:jc w:val="both"/>
        <w:rPr>
          <w:rFonts w:ascii="Times New Roman" w:hAnsi="Times New Roman" w:cs="Times New Roman"/>
          <w:sz w:val="24"/>
          <w:szCs w:val="24"/>
        </w:rPr>
      </w:pPr>
      <w:r>
        <w:rPr>
          <w:rFonts w:ascii="Times New Roman" w:hAnsi="Times New Roman" w:cs="Times New Roman"/>
          <w:sz w:val="24"/>
          <w:szCs w:val="24"/>
        </w:rPr>
        <w:t xml:space="preserve">John Gamble asked if Subbasin 14 is considered a contributing basin, if the allocations would change.  Marcy responded that the HSPF model considered Subbasin 14 to be noncontributing; therefore, the loading in this area does not drain to the impaired waterbodies.  Volusia County submitted two reports related to this subbasin because they believe a portion does contribute.  </w:t>
      </w:r>
      <w:r w:rsidR="00B25473">
        <w:rPr>
          <w:rFonts w:ascii="Times New Roman" w:hAnsi="Times New Roman" w:cs="Times New Roman"/>
          <w:sz w:val="24"/>
          <w:szCs w:val="24"/>
        </w:rPr>
        <w:t>The Florida Department of Environmental Protection (</w:t>
      </w:r>
      <w:r>
        <w:rPr>
          <w:rFonts w:ascii="Times New Roman" w:hAnsi="Times New Roman" w:cs="Times New Roman"/>
          <w:sz w:val="24"/>
          <w:szCs w:val="24"/>
        </w:rPr>
        <w:t>FDEP</w:t>
      </w:r>
      <w:r w:rsidR="00B25473">
        <w:rPr>
          <w:rFonts w:ascii="Times New Roman" w:hAnsi="Times New Roman" w:cs="Times New Roman"/>
          <w:sz w:val="24"/>
          <w:szCs w:val="24"/>
        </w:rPr>
        <w:t>)</w:t>
      </w:r>
      <w:r>
        <w:rPr>
          <w:rFonts w:ascii="Times New Roman" w:hAnsi="Times New Roman" w:cs="Times New Roman"/>
          <w:sz w:val="24"/>
          <w:szCs w:val="24"/>
        </w:rPr>
        <w:t xml:space="preserve"> is reviewing this information with the St. Johns River Water Management District (SJRWMD) to determine if the status of this subbasin should be changed.  If it is determined that the subbasin is contributing, projects in this area would count but the starting loads for entities in that area would increase.  </w:t>
      </w:r>
    </w:p>
    <w:p w:rsidR="00781BA7" w:rsidRDefault="00781BA7" w:rsidP="00E41A48">
      <w:pPr>
        <w:jc w:val="both"/>
        <w:rPr>
          <w:rFonts w:ascii="Times New Roman" w:hAnsi="Times New Roman" w:cs="Times New Roman"/>
          <w:sz w:val="24"/>
          <w:szCs w:val="24"/>
        </w:rPr>
      </w:pPr>
    </w:p>
    <w:p w:rsidR="00255573" w:rsidRPr="00A45FBE" w:rsidRDefault="00781BA7" w:rsidP="00E41A48">
      <w:pPr>
        <w:jc w:val="both"/>
        <w:rPr>
          <w:rFonts w:ascii="Times New Roman" w:hAnsi="Times New Roman" w:cs="Times New Roman"/>
          <w:sz w:val="24"/>
          <w:szCs w:val="24"/>
        </w:rPr>
      </w:pPr>
      <w:r>
        <w:rPr>
          <w:rFonts w:ascii="Times New Roman" w:hAnsi="Times New Roman" w:cs="Times New Roman"/>
          <w:sz w:val="24"/>
          <w:szCs w:val="24"/>
        </w:rPr>
        <w:t xml:space="preserve">Bilal </w:t>
      </w:r>
      <w:r>
        <w:rPr>
          <w:rFonts w:ascii="Times New Roman" w:hAnsi="Times New Roman"/>
          <w:sz w:val="24"/>
          <w:szCs w:val="24"/>
        </w:rPr>
        <w:t xml:space="preserve">Iftikhar asked if the Sanford allocation includes the WWTF allocation.  Marcy responded that the allocations </w:t>
      </w:r>
      <w:r w:rsidR="00493193">
        <w:rPr>
          <w:rFonts w:ascii="Times New Roman" w:hAnsi="Times New Roman"/>
          <w:sz w:val="24"/>
          <w:szCs w:val="24"/>
        </w:rPr>
        <w:t xml:space="preserve">in the handout </w:t>
      </w:r>
      <w:r>
        <w:rPr>
          <w:rFonts w:ascii="Times New Roman" w:hAnsi="Times New Roman"/>
          <w:sz w:val="24"/>
          <w:szCs w:val="24"/>
        </w:rPr>
        <w:t>are only for the stormwater loads</w:t>
      </w:r>
      <w:r w:rsidR="00051939">
        <w:rPr>
          <w:rFonts w:ascii="Times New Roman" w:hAnsi="Times New Roman"/>
          <w:sz w:val="24"/>
          <w:szCs w:val="24"/>
        </w:rPr>
        <w:t xml:space="preserve"> </w:t>
      </w:r>
      <w:r w:rsidR="00DB5BFD">
        <w:rPr>
          <w:rFonts w:ascii="Times New Roman" w:hAnsi="Times New Roman"/>
          <w:sz w:val="24"/>
          <w:szCs w:val="24"/>
        </w:rPr>
        <w:t>and</w:t>
      </w:r>
      <w:r w:rsidR="00051939">
        <w:rPr>
          <w:rFonts w:ascii="Times New Roman" w:hAnsi="Times New Roman"/>
          <w:sz w:val="24"/>
          <w:szCs w:val="24"/>
        </w:rPr>
        <w:t xml:space="preserve"> Sanford has a separate allocation assigned for their wastewater facility</w:t>
      </w:r>
      <w:r>
        <w:rPr>
          <w:rFonts w:ascii="Times New Roman" w:hAnsi="Times New Roman"/>
          <w:sz w:val="24"/>
          <w:szCs w:val="24"/>
        </w:rPr>
        <w:t>.</w:t>
      </w:r>
    </w:p>
    <w:p w:rsidR="00A45FBE" w:rsidRPr="00A45FBE" w:rsidRDefault="00A45FBE" w:rsidP="00E41A48">
      <w:pPr>
        <w:jc w:val="both"/>
        <w:rPr>
          <w:rFonts w:ascii="Times New Roman" w:hAnsi="Times New Roman" w:cs="Times New Roman"/>
          <w:sz w:val="24"/>
          <w:szCs w:val="24"/>
        </w:rPr>
      </w:pPr>
    </w:p>
    <w:p w:rsidR="00A45FBE" w:rsidRPr="00A45FBE" w:rsidRDefault="00A45FBE" w:rsidP="00E41A48">
      <w:pPr>
        <w:jc w:val="both"/>
        <w:rPr>
          <w:rFonts w:ascii="Times New Roman" w:hAnsi="Times New Roman" w:cs="Times New Roman"/>
          <w:b/>
          <w:sz w:val="24"/>
          <w:szCs w:val="24"/>
          <w:u w:val="single"/>
        </w:rPr>
      </w:pPr>
      <w:r w:rsidRPr="00A45FBE">
        <w:rPr>
          <w:rFonts w:ascii="Times New Roman" w:hAnsi="Times New Roman" w:cs="Times New Roman"/>
          <w:b/>
          <w:sz w:val="24"/>
          <w:szCs w:val="24"/>
          <w:u w:val="single"/>
        </w:rPr>
        <w:t>Project Credit and Timeline to Achieve Reductions</w:t>
      </w:r>
    </w:p>
    <w:p w:rsidR="00A45FBE" w:rsidRDefault="00781BA7" w:rsidP="00E41A48">
      <w:pPr>
        <w:jc w:val="both"/>
        <w:rPr>
          <w:rFonts w:ascii="Times New Roman" w:hAnsi="Times New Roman" w:cs="Times New Roman"/>
          <w:sz w:val="24"/>
          <w:szCs w:val="24"/>
        </w:rPr>
      </w:pPr>
      <w:r>
        <w:rPr>
          <w:rFonts w:ascii="Times New Roman" w:hAnsi="Times New Roman" w:cs="Times New Roman"/>
          <w:sz w:val="24"/>
          <w:szCs w:val="24"/>
        </w:rPr>
        <w:t xml:space="preserve">Marcy stated that she has heard from all of the stakeholders with completed project information.  The credit for these projects was calculated </w:t>
      </w:r>
      <w:r w:rsidR="00B25473">
        <w:rPr>
          <w:rFonts w:ascii="Times New Roman" w:hAnsi="Times New Roman" w:cs="Times New Roman"/>
          <w:sz w:val="24"/>
          <w:szCs w:val="24"/>
        </w:rPr>
        <w:t xml:space="preserve">and each entity’s project credit sheet is posted to the FTP site.  Marcy requested that the stakeholders carefully review the credit sheets and contact her if any projects are missing or information does not appear to be correct.  The credit spreadsheets include multiple tabs: </w:t>
      </w:r>
      <w:r w:rsidR="00493193">
        <w:rPr>
          <w:rFonts w:ascii="Times New Roman" w:hAnsi="Times New Roman" w:cs="Times New Roman"/>
          <w:sz w:val="24"/>
          <w:szCs w:val="24"/>
        </w:rPr>
        <w:t xml:space="preserve">a </w:t>
      </w:r>
      <w:r w:rsidR="00B25473">
        <w:rPr>
          <w:rFonts w:ascii="Times New Roman" w:hAnsi="Times New Roman" w:cs="Times New Roman"/>
          <w:sz w:val="24"/>
          <w:szCs w:val="24"/>
        </w:rPr>
        <w:t xml:space="preserve">summary sheet with all projects and credit, wet pond calculations (if applicable), retention calculations (if applicable), and individual tabs for each project with the model output associated with the area treated by the project.  Marcy noted that </w:t>
      </w:r>
      <w:r w:rsidR="00B25473">
        <w:rPr>
          <w:rFonts w:ascii="Times New Roman" w:hAnsi="Times New Roman" w:cs="Times New Roman"/>
          <w:sz w:val="24"/>
          <w:szCs w:val="24"/>
        </w:rPr>
        <w:lastRenderedPageBreak/>
        <w:t>the project credit information on the FTP site and meeting handout is only for the urban stakeholders.  FDEP has been coordinating separately with the Florida Department of Agriculture and Consumer Services (FDACS) on the agricultural loads.  A conference call will be held on September 26</w:t>
      </w:r>
      <w:r w:rsidR="00B25473" w:rsidRPr="00B25473">
        <w:rPr>
          <w:rFonts w:ascii="Times New Roman" w:hAnsi="Times New Roman" w:cs="Times New Roman"/>
          <w:sz w:val="24"/>
          <w:szCs w:val="24"/>
          <w:vertAlign w:val="superscript"/>
        </w:rPr>
        <w:t>th</w:t>
      </w:r>
      <w:r w:rsidR="00B25473">
        <w:rPr>
          <w:rFonts w:ascii="Times New Roman" w:hAnsi="Times New Roman" w:cs="Times New Roman"/>
          <w:sz w:val="24"/>
          <w:szCs w:val="24"/>
        </w:rPr>
        <w:t xml:space="preserve"> to discuss which agricultural areas have already implemented best management practices (BMPs) and to determine a plan to sign up the rest of the areas for BMPs.</w:t>
      </w:r>
    </w:p>
    <w:p w:rsidR="00E80AC0" w:rsidRDefault="00E80AC0" w:rsidP="00E41A48">
      <w:pPr>
        <w:jc w:val="both"/>
        <w:rPr>
          <w:rFonts w:ascii="Times New Roman" w:hAnsi="Times New Roman" w:cs="Times New Roman"/>
          <w:sz w:val="24"/>
          <w:szCs w:val="24"/>
        </w:rPr>
      </w:pPr>
    </w:p>
    <w:p w:rsidR="00E80AC0" w:rsidRDefault="00E80AC0" w:rsidP="00E41A48">
      <w:pPr>
        <w:jc w:val="both"/>
        <w:rPr>
          <w:rFonts w:ascii="Times New Roman" w:hAnsi="Times New Roman" w:cs="Times New Roman"/>
          <w:sz w:val="24"/>
          <w:szCs w:val="24"/>
        </w:rPr>
      </w:pPr>
      <w:r>
        <w:rPr>
          <w:rFonts w:ascii="Times New Roman" w:hAnsi="Times New Roman" w:cs="Times New Roman"/>
          <w:sz w:val="24"/>
          <w:szCs w:val="24"/>
        </w:rPr>
        <w:t xml:space="preserve">Marcy stated that the urban stakeholders have already achieved more than twice the TP reductions required by the TMDL.  In addition, they have achieved approximately 68% of the TN reductions.  Marcy noted that DeBary currently has no project credit listed in the tables; however, FDEP </w:t>
      </w:r>
      <w:r w:rsidR="004219CF">
        <w:rPr>
          <w:rFonts w:ascii="Times New Roman" w:hAnsi="Times New Roman" w:cs="Times New Roman"/>
          <w:sz w:val="24"/>
          <w:szCs w:val="24"/>
        </w:rPr>
        <w:t>has a conference call scheduled with them on September 27</w:t>
      </w:r>
      <w:r w:rsidR="004219CF" w:rsidRPr="004219CF">
        <w:rPr>
          <w:rFonts w:ascii="Times New Roman" w:hAnsi="Times New Roman" w:cs="Times New Roman"/>
          <w:sz w:val="24"/>
          <w:szCs w:val="24"/>
          <w:vertAlign w:val="superscript"/>
        </w:rPr>
        <w:t>th</w:t>
      </w:r>
      <w:r w:rsidR="004219CF">
        <w:rPr>
          <w:rFonts w:ascii="Times New Roman" w:hAnsi="Times New Roman" w:cs="Times New Roman"/>
          <w:sz w:val="24"/>
          <w:szCs w:val="24"/>
        </w:rPr>
        <w:t xml:space="preserve"> to discuss potential water quality benefits of their flood control projects and the noncontributing areas they identified in their jurisdiction that are not in the model.  Marcy stated that FDEP would like the stakeholder’s input on a reasonable timeline for achieving the TMDL reductions.  In other BMAPs, such as Lake Jesup, the overall timeline was 15 years with one-third of the reductions occurring in each of three BMAP iterations.  For the Lakes Harney and Monroe BMAP, FDEP is proposing a 10 year timeline with 50% of the reductions occurring in each of the two BMAP iterations.  This timeline is being proposed since the stakeholders have already made a lot of progress on the reductions.  For the first BMAP iteration, the TP reductions have already been achieved, and DeBary, FDOT, and Volusia County would need to make additional TP reductions to achieve </w:t>
      </w:r>
      <w:r w:rsidR="00493193">
        <w:rPr>
          <w:rFonts w:ascii="Times New Roman" w:hAnsi="Times New Roman" w:cs="Times New Roman"/>
          <w:sz w:val="24"/>
          <w:szCs w:val="24"/>
        </w:rPr>
        <w:t xml:space="preserve">the </w:t>
      </w:r>
      <w:r w:rsidR="004219CF">
        <w:rPr>
          <w:rFonts w:ascii="Times New Roman" w:hAnsi="Times New Roman" w:cs="Times New Roman"/>
          <w:sz w:val="24"/>
          <w:szCs w:val="24"/>
        </w:rPr>
        <w:t>50%</w:t>
      </w:r>
      <w:r w:rsidR="00493193">
        <w:rPr>
          <w:rFonts w:ascii="Times New Roman" w:hAnsi="Times New Roman" w:cs="Times New Roman"/>
          <w:sz w:val="24"/>
          <w:szCs w:val="24"/>
        </w:rPr>
        <w:t xml:space="preserve"> goal</w:t>
      </w:r>
      <w:r w:rsidR="004219CF">
        <w:rPr>
          <w:rFonts w:ascii="Times New Roman" w:hAnsi="Times New Roman" w:cs="Times New Roman"/>
          <w:sz w:val="24"/>
          <w:szCs w:val="24"/>
        </w:rPr>
        <w:t>.</w:t>
      </w:r>
    </w:p>
    <w:p w:rsidR="004219CF" w:rsidRDefault="004219CF" w:rsidP="00E41A48">
      <w:pPr>
        <w:jc w:val="both"/>
        <w:rPr>
          <w:rFonts w:ascii="Times New Roman" w:hAnsi="Times New Roman" w:cs="Times New Roman"/>
          <w:sz w:val="24"/>
          <w:szCs w:val="24"/>
        </w:rPr>
      </w:pPr>
    </w:p>
    <w:p w:rsidR="004219CF" w:rsidRDefault="005D0E45" w:rsidP="00E41A48">
      <w:pPr>
        <w:jc w:val="both"/>
        <w:rPr>
          <w:rFonts w:ascii="Times New Roman" w:hAnsi="Times New Roman" w:cs="Times New Roman"/>
          <w:sz w:val="24"/>
          <w:szCs w:val="24"/>
        </w:rPr>
      </w:pPr>
      <w:r>
        <w:rPr>
          <w:rFonts w:ascii="Times New Roman" w:hAnsi="Times New Roman" w:cs="Times New Roman"/>
          <w:sz w:val="24"/>
          <w:szCs w:val="24"/>
        </w:rPr>
        <w:t xml:space="preserve">Bilal stated that Sanford will need more than 10 years, possibly 20 years, to achieve all their required reductions.  Mark Flomerfelt noted that removing TP is easier than removing TN so achieving the rest of the TN reductions could be difficult.  Carol Johnson suggested that the stakeholders could identify “hotspots” in the basin with high nutrient loading to help target their projects.  Mark asked if the other contributing basins have a timeline to achieve their reductions.  Marcy responded that this is an important point because the watershed loads are approximately 4% of the TN and 3% of the TP contributions to the impaired waterbodies.  Lake Jesup already has a BMAP underway but the status of upstream St. Johns River and Econlockhatchee River efforts are not known.  FDEP will follow up on </w:t>
      </w:r>
      <w:r w:rsidR="00051939">
        <w:rPr>
          <w:rFonts w:ascii="Times New Roman" w:hAnsi="Times New Roman" w:cs="Times New Roman"/>
          <w:sz w:val="24"/>
          <w:szCs w:val="24"/>
        </w:rPr>
        <w:t xml:space="preserve">describing </w:t>
      </w:r>
      <w:r>
        <w:rPr>
          <w:rFonts w:ascii="Times New Roman" w:hAnsi="Times New Roman" w:cs="Times New Roman"/>
          <w:sz w:val="24"/>
          <w:szCs w:val="24"/>
        </w:rPr>
        <w:t>the status of the Econlockhatchee River impairments and timeline for implementation.</w:t>
      </w:r>
    </w:p>
    <w:p w:rsidR="005D0E45" w:rsidRDefault="005D0E45" w:rsidP="00E41A48">
      <w:pPr>
        <w:jc w:val="both"/>
        <w:rPr>
          <w:rFonts w:ascii="Times New Roman" w:hAnsi="Times New Roman" w:cs="Times New Roman"/>
          <w:sz w:val="24"/>
          <w:szCs w:val="24"/>
        </w:rPr>
      </w:pPr>
    </w:p>
    <w:p w:rsidR="005D0E45" w:rsidRDefault="005D0E45" w:rsidP="00E41A48">
      <w:pPr>
        <w:jc w:val="both"/>
        <w:rPr>
          <w:rFonts w:ascii="Times New Roman" w:hAnsi="Times New Roman" w:cs="Times New Roman"/>
          <w:sz w:val="24"/>
          <w:szCs w:val="24"/>
        </w:rPr>
      </w:pPr>
      <w:r>
        <w:rPr>
          <w:rFonts w:ascii="Times New Roman" w:hAnsi="Times New Roman" w:cs="Times New Roman"/>
          <w:sz w:val="24"/>
          <w:szCs w:val="24"/>
        </w:rPr>
        <w:t>Kelly Young asked when the Lakes Harney and Monroe TMDL was adopted and when it will be reevaluated.</w:t>
      </w:r>
      <w:r w:rsidR="00491530">
        <w:rPr>
          <w:rFonts w:ascii="Times New Roman" w:hAnsi="Times New Roman" w:cs="Times New Roman"/>
          <w:sz w:val="24"/>
          <w:szCs w:val="24"/>
        </w:rPr>
        <w:t xml:space="preserve">  </w:t>
      </w:r>
      <w:r w:rsidR="00493193">
        <w:rPr>
          <w:rFonts w:ascii="Times New Roman" w:hAnsi="Times New Roman" w:cs="Times New Roman"/>
          <w:sz w:val="24"/>
          <w:szCs w:val="24"/>
        </w:rPr>
        <w:t>Marcy responded that t</w:t>
      </w:r>
      <w:r w:rsidR="00491530">
        <w:rPr>
          <w:rFonts w:ascii="Times New Roman" w:hAnsi="Times New Roman" w:cs="Times New Roman"/>
          <w:sz w:val="24"/>
          <w:szCs w:val="24"/>
        </w:rPr>
        <w:t>he TMDL was adopted in December 2009</w:t>
      </w:r>
      <w:r w:rsidR="00B1050B">
        <w:rPr>
          <w:rFonts w:ascii="Times New Roman" w:hAnsi="Times New Roman" w:cs="Times New Roman"/>
          <w:sz w:val="24"/>
          <w:szCs w:val="24"/>
        </w:rPr>
        <w:t xml:space="preserve"> and the waterbodies will be reevaluated every five years according to the FDEP watershed cycle.  It is likely that the waterbodies will still be impaired in five years if the upstream sources have not made sufficient reductions.</w:t>
      </w:r>
    </w:p>
    <w:p w:rsidR="00B1050B" w:rsidRDefault="00B1050B" w:rsidP="00E41A48">
      <w:pPr>
        <w:jc w:val="both"/>
        <w:rPr>
          <w:rFonts w:ascii="Times New Roman" w:hAnsi="Times New Roman" w:cs="Times New Roman"/>
          <w:sz w:val="24"/>
          <w:szCs w:val="24"/>
        </w:rPr>
      </w:pPr>
    </w:p>
    <w:p w:rsidR="00B1050B" w:rsidRDefault="00B1050B" w:rsidP="00E41A48">
      <w:pPr>
        <w:jc w:val="both"/>
        <w:rPr>
          <w:rFonts w:ascii="Times New Roman" w:hAnsi="Times New Roman" w:cs="Times New Roman"/>
          <w:sz w:val="24"/>
          <w:szCs w:val="24"/>
        </w:rPr>
      </w:pPr>
      <w:r>
        <w:rPr>
          <w:rFonts w:ascii="Times New Roman" w:hAnsi="Times New Roman" w:cs="Times New Roman"/>
          <w:sz w:val="24"/>
          <w:szCs w:val="24"/>
        </w:rPr>
        <w:t>Bilal noted that budgets are tight now and Sanford will not have enough funding to implement</w:t>
      </w:r>
      <w:r w:rsidR="00493193">
        <w:rPr>
          <w:rFonts w:ascii="Times New Roman" w:hAnsi="Times New Roman" w:cs="Times New Roman"/>
          <w:sz w:val="24"/>
          <w:szCs w:val="24"/>
        </w:rPr>
        <w:t xml:space="preserve"> projects on a 10-</w:t>
      </w:r>
      <w:r>
        <w:rPr>
          <w:rFonts w:ascii="Times New Roman" w:hAnsi="Times New Roman" w:cs="Times New Roman"/>
          <w:sz w:val="24"/>
          <w:szCs w:val="24"/>
        </w:rPr>
        <w:t>year schedule for this BMAP, as well as achieve the Lake Jesup reductions.  Kim noted that if the street sweeping numbers in the Lake Jesup BMAP could be updated using the new Florida Stormwater Association (FSA) approach, Sanford could get more credit.  Kim also added that the assumed proportion of dry weight to total weight of material collected of 77% is very conservative and this number should be refined as more data are gathered.  Marcy responded that there could be the opportunity to update the Lake Jesup street sweeping credit during the next annual report.</w:t>
      </w:r>
    </w:p>
    <w:p w:rsidR="00B1050B" w:rsidRDefault="00B1050B" w:rsidP="00E41A48">
      <w:pPr>
        <w:jc w:val="both"/>
        <w:rPr>
          <w:rFonts w:ascii="Times New Roman" w:hAnsi="Times New Roman" w:cs="Times New Roman"/>
          <w:sz w:val="24"/>
          <w:szCs w:val="24"/>
        </w:rPr>
      </w:pPr>
    </w:p>
    <w:p w:rsidR="00B1050B" w:rsidRDefault="00B1050B" w:rsidP="00E41A48">
      <w:pPr>
        <w:jc w:val="both"/>
        <w:rPr>
          <w:rFonts w:ascii="Times New Roman" w:hAnsi="Times New Roman" w:cs="Times New Roman"/>
          <w:sz w:val="24"/>
          <w:szCs w:val="24"/>
        </w:rPr>
      </w:pPr>
      <w:r>
        <w:rPr>
          <w:rFonts w:ascii="Times New Roman" w:hAnsi="Times New Roman" w:cs="Times New Roman"/>
          <w:sz w:val="24"/>
          <w:szCs w:val="24"/>
        </w:rPr>
        <w:t xml:space="preserve">John stated that Volusia County could achieve their reductions in 10 years.  Kim suggested </w:t>
      </w:r>
      <w:r w:rsidR="00493193">
        <w:rPr>
          <w:rFonts w:ascii="Times New Roman" w:hAnsi="Times New Roman" w:cs="Times New Roman"/>
          <w:sz w:val="24"/>
          <w:szCs w:val="24"/>
        </w:rPr>
        <w:t>setting a 10-</w:t>
      </w:r>
      <w:r w:rsidR="00B22B50">
        <w:rPr>
          <w:rFonts w:ascii="Times New Roman" w:hAnsi="Times New Roman" w:cs="Times New Roman"/>
          <w:sz w:val="24"/>
          <w:szCs w:val="24"/>
        </w:rPr>
        <w:t>year timeline and then reassess if more t</w:t>
      </w:r>
      <w:r w:rsidR="00493193">
        <w:rPr>
          <w:rFonts w:ascii="Times New Roman" w:hAnsi="Times New Roman" w:cs="Times New Roman"/>
          <w:sz w:val="24"/>
          <w:szCs w:val="24"/>
        </w:rPr>
        <w:t>ime is needed after the first 5-</w:t>
      </w:r>
      <w:r w:rsidR="00B22B50">
        <w:rPr>
          <w:rFonts w:ascii="Times New Roman" w:hAnsi="Times New Roman" w:cs="Times New Roman"/>
          <w:sz w:val="24"/>
          <w:szCs w:val="24"/>
        </w:rPr>
        <w:t>year period.  Bilal noted that providing some regional project options in the basin could help achieve the reductions.  Marcy asked if Seminole County has any regional projects planned in the basin.  Mark responded that the regional projects are currently only for Lake Jesup but there may be opportunities for projects in the Lakes Harney and Monroe Basin.  Kim stated another option to achieve reductions could be the University of Central Florida’s “Bold and Gold” product, which is a soil amendment made out of recycled tires and other materials.  This product could be used in septic tank drainfields and stormwater BMPs, such as ponds.  Mark offered to send FDEP more information about this product.  Chris Ferraro stated that this product allows denitrifying bacteria to grow</w:t>
      </w:r>
      <w:r w:rsidR="00493193">
        <w:rPr>
          <w:rFonts w:ascii="Times New Roman" w:hAnsi="Times New Roman" w:cs="Times New Roman"/>
          <w:sz w:val="24"/>
          <w:szCs w:val="24"/>
        </w:rPr>
        <w:t>, which could help address the TN reductions</w:t>
      </w:r>
      <w:r w:rsidR="00B22B50">
        <w:rPr>
          <w:rFonts w:ascii="Times New Roman" w:hAnsi="Times New Roman" w:cs="Times New Roman"/>
          <w:sz w:val="24"/>
          <w:szCs w:val="24"/>
        </w:rPr>
        <w:t>.  Carol asked if changes in fertilizer practices could count for credit.  Marcy responded that this is an opportunity for credit, and FDOT completed a study on the amount of fertilizer that runs off and the associated credit by eliminating fertilizer application.</w:t>
      </w:r>
    </w:p>
    <w:p w:rsidR="002E00AF" w:rsidRDefault="002E00AF" w:rsidP="00E41A48">
      <w:pPr>
        <w:jc w:val="both"/>
        <w:rPr>
          <w:rFonts w:ascii="Times New Roman" w:hAnsi="Times New Roman" w:cs="Times New Roman"/>
          <w:sz w:val="24"/>
          <w:szCs w:val="24"/>
        </w:rPr>
      </w:pPr>
    </w:p>
    <w:p w:rsidR="00493193" w:rsidRDefault="002E00AF" w:rsidP="00E41A48">
      <w:pPr>
        <w:jc w:val="both"/>
        <w:rPr>
          <w:rFonts w:ascii="Times New Roman" w:hAnsi="Times New Roman" w:cs="Times New Roman"/>
          <w:sz w:val="24"/>
          <w:szCs w:val="24"/>
        </w:rPr>
      </w:pPr>
      <w:r>
        <w:rPr>
          <w:rFonts w:ascii="Times New Roman" w:hAnsi="Times New Roman" w:cs="Times New Roman"/>
          <w:sz w:val="24"/>
          <w:szCs w:val="24"/>
        </w:rPr>
        <w:t>Tiffany stated that the reduction schedule really needs to be laid out in the BMAP.  The stakeholders have the opportunity to adjust their project lists if better options are determined.  Samantha Budd agreed that the overall timeline should be determined for achieving the reductions.  Bilal stated that it will take time to determine what projects can be implemented and where because Sanford is very built out.  John stated that most of the stakeholders have been implementing projects for years, even before TMDLs were adopted.  Volusia County is committed to continuing to make nutrient reductions, and they hope to achieve even greater reductions than required.  Kim noted that budgets are currently very tight and without a set deadline for achieving reductions, there may be a tendency to push off implementing projects until required.</w:t>
      </w:r>
      <w:r w:rsidR="00C46098">
        <w:rPr>
          <w:rFonts w:ascii="Times New Roman" w:hAnsi="Times New Roman" w:cs="Times New Roman"/>
          <w:sz w:val="24"/>
          <w:szCs w:val="24"/>
        </w:rPr>
        <w:t xml:space="preserve">  </w:t>
      </w:r>
    </w:p>
    <w:p w:rsidR="00493193" w:rsidRDefault="00493193" w:rsidP="00E41A48">
      <w:pPr>
        <w:jc w:val="both"/>
        <w:rPr>
          <w:rFonts w:ascii="Times New Roman" w:hAnsi="Times New Roman" w:cs="Times New Roman"/>
          <w:sz w:val="24"/>
          <w:szCs w:val="24"/>
        </w:rPr>
      </w:pPr>
    </w:p>
    <w:p w:rsidR="002E00AF" w:rsidRDefault="00C46098" w:rsidP="00E41A48">
      <w:pPr>
        <w:jc w:val="both"/>
        <w:rPr>
          <w:rFonts w:ascii="Times New Roman" w:hAnsi="Times New Roman" w:cs="Times New Roman"/>
          <w:sz w:val="24"/>
          <w:szCs w:val="24"/>
        </w:rPr>
      </w:pPr>
      <w:r>
        <w:rPr>
          <w:rFonts w:ascii="Times New Roman" w:hAnsi="Times New Roman" w:cs="Times New Roman"/>
          <w:sz w:val="24"/>
          <w:szCs w:val="24"/>
        </w:rPr>
        <w:t>The stakeholders agreed that a 15 year timeline was reasonable for achieving the reductions, with at least 50% of the required reductions being met in the first BMAP iteration.</w:t>
      </w:r>
    </w:p>
    <w:p w:rsidR="00C46098" w:rsidRDefault="00C46098" w:rsidP="00E41A48">
      <w:pPr>
        <w:jc w:val="both"/>
        <w:rPr>
          <w:rFonts w:ascii="Times New Roman" w:hAnsi="Times New Roman" w:cs="Times New Roman"/>
          <w:sz w:val="24"/>
          <w:szCs w:val="24"/>
        </w:rPr>
      </w:pPr>
    </w:p>
    <w:p w:rsidR="00C46098" w:rsidRPr="00A45FBE" w:rsidRDefault="00C46098" w:rsidP="00E41A48">
      <w:pPr>
        <w:jc w:val="both"/>
        <w:rPr>
          <w:rFonts w:ascii="Times New Roman" w:hAnsi="Times New Roman" w:cs="Times New Roman"/>
          <w:sz w:val="24"/>
          <w:szCs w:val="24"/>
        </w:rPr>
      </w:pPr>
      <w:r>
        <w:rPr>
          <w:rFonts w:ascii="Times New Roman" w:hAnsi="Times New Roman" w:cs="Times New Roman"/>
          <w:sz w:val="24"/>
          <w:szCs w:val="24"/>
        </w:rPr>
        <w:t>Marcy stated that the stakeholders who need to make additional reductions for this BMAP should provide their projects by November 15</w:t>
      </w:r>
      <w:r w:rsidRPr="00C46098">
        <w:rPr>
          <w:rFonts w:ascii="Times New Roman" w:hAnsi="Times New Roman" w:cs="Times New Roman"/>
          <w:sz w:val="24"/>
          <w:szCs w:val="24"/>
          <w:vertAlign w:val="superscript"/>
        </w:rPr>
        <w:t>th</w:t>
      </w:r>
      <w:r>
        <w:rPr>
          <w:rFonts w:ascii="Times New Roman" w:hAnsi="Times New Roman" w:cs="Times New Roman"/>
          <w:sz w:val="24"/>
          <w:szCs w:val="24"/>
        </w:rPr>
        <w:t xml:space="preserve"> on the project collection spreadsheet that was previously emailed.  This spreadsheet is similar to the sheet used for the completed projects information with a few additional columns.  These new columns are for information on retention BMPs, wet detention ponds, street sweeping, and catch basins.  Ryan Mitchell asked what information should be </w:t>
      </w:r>
      <w:r w:rsidR="00493193">
        <w:rPr>
          <w:rFonts w:ascii="Times New Roman" w:hAnsi="Times New Roman" w:cs="Times New Roman"/>
          <w:sz w:val="24"/>
          <w:szCs w:val="24"/>
        </w:rPr>
        <w:t>listed</w:t>
      </w:r>
      <w:r>
        <w:rPr>
          <w:rFonts w:ascii="Times New Roman" w:hAnsi="Times New Roman" w:cs="Times New Roman"/>
          <w:sz w:val="24"/>
          <w:szCs w:val="24"/>
        </w:rPr>
        <w:t xml:space="preserve"> in the description of additional treatment provided.  FDOT has some projects where they expanded existing roads but treatment is only required on the new lanes.  Marcy responded that they should include that </w:t>
      </w:r>
      <w:r w:rsidR="00DC6216">
        <w:rPr>
          <w:rFonts w:ascii="Times New Roman" w:hAnsi="Times New Roman" w:cs="Times New Roman"/>
          <w:sz w:val="24"/>
          <w:szCs w:val="24"/>
        </w:rPr>
        <w:t>information on spreadsheet, and then from the permit she can determine what additional treatment was provided.</w:t>
      </w:r>
    </w:p>
    <w:p w:rsidR="00A45FBE" w:rsidRPr="00A45FBE" w:rsidRDefault="00A45FBE" w:rsidP="00E41A48">
      <w:pPr>
        <w:jc w:val="both"/>
        <w:rPr>
          <w:rFonts w:ascii="Times New Roman" w:hAnsi="Times New Roman" w:cs="Times New Roman"/>
          <w:sz w:val="24"/>
          <w:szCs w:val="24"/>
        </w:rPr>
      </w:pPr>
    </w:p>
    <w:p w:rsidR="00A45FBE" w:rsidRPr="00A45FBE" w:rsidRDefault="00A45FBE" w:rsidP="00E41A48">
      <w:pPr>
        <w:jc w:val="both"/>
        <w:rPr>
          <w:rFonts w:ascii="Times New Roman" w:hAnsi="Times New Roman" w:cs="Times New Roman"/>
          <w:b/>
          <w:sz w:val="24"/>
          <w:szCs w:val="24"/>
          <w:u w:val="single"/>
        </w:rPr>
      </w:pPr>
      <w:r w:rsidRPr="00A45FBE">
        <w:rPr>
          <w:rFonts w:ascii="Times New Roman" w:hAnsi="Times New Roman" w:cs="Times New Roman"/>
          <w:b/>
          <w:sz w:val="24"/>
          <w:szCs w:val="24"/>
          <w:u w:val="single"/>
        </w:rPr>
        <w:t>Monitoring Plan</w:t>
      </w:r>
    </w:p>
    <w:p w:rsidR="00A45FBE" w:rsidRPr="00A45FBE" w:rsidRDefault="00DC6216" w:rsidP="00E41A48">
      <w:pPr>
        <w:jc w:val="both"/>
        <w:rPr>
          <w:rFonts w:ascii="Times New Roman" w:hAnsi="Times New Roman" w:cs="Times New Roman"/>
          <w:sz w:val="24"/>
          <w:szCs w:val="24"/>
        </w:rPr>
      </w:pPr>
      <w:r>
        <w:rPr>
          <w:rFonts w:ascii="Times New Roman" w:hAnsi="Times New Roman" w:cs="Times New Roman"/>
          <w:sz w:val="24"/>
          <w:szCs w:val="24"/>
        </w:rPr>
        <w:t xml:space="preserve">Marcy stated that a monitoring plan is a required component in a BMAP.  The main purpose of the monitoring plan is to track trends in water quality to show progress towards achieving the TMDLs.  Other objectives can be identified by the stakeholders to gather additional types of data.  To start preparing the monitoring plan, a spreadsheet was provided to collect information on existing monitoring stations.  Monitoring data are not needed at this time; only information </w:t>
      </w:r>
      <w:r>
        <w:rPr>
          <w:rFonts w:ascii="Times New Roman" w:hAnsi="Times New Roman" w:cs="Times New Roman"/>
          <w:sz w:val="24"/>
          <w:szCs w:val="24"/>
        </w:rPr>
        <w:lastRenderedPageBreak/>
        <w:t xml:space="preserve">related to the location of the station, </w:t>
      </w:r>
      <w:r w:rsidR="004357C3">
        <w:rPr>
          <w:rFonts w:ascii="Times New Roman" w:hAnsi="Times New Roman" w:cs="Times New Roman"/>
          <w:sz w:val="24"/>
          <w:szCs w:val="24"/>
        </w:rPr>
        <w:t xml:space="preserve">period of record, whether the station is still active, </w:t>
      </w:r>
      <w:r>
        <w:rPr>
          <w:rFonts w:ascii="Times New Roman" w:hAnsi="Times New Roman" w:cs="Times New Roman"/>
          <w:sz w:val="24"/>
          <w:szCs w:val="24"/>
        </w:rPr>
        <w:t xml:space="preserve">frequency of sampling, </w:t>
      </w:r>
      <w:r w:rsidR="004357C3">
        <w:rPr>
          <w:rFonts w:ascii="Times New Roman" w:hAnsi="Times New Roman" w:cs="Times New Roman"/>
          <w:sz w:val="24"/>
          <w:szCs w:val="24"/>
        </w:rPr>
        <w:t>and parameters sampled.  The spreadsheet with existing station information is due to Marcy by September 30</w:t>
      </w:r>
      <w:r w:rsidR="004357C3" w:rsidRPr="004357C3">
        <w:rPr>
          <w:rFonts w:ascii="Times New Roman" w:hAnsi="Times New Roman" w:cs="Times New Roman"/>
          <w:sz w:val="24"/>
          <w:szCs w:val="24"/>
          <w:vertAlign w:val="superscript"/>
        </w:rPr>
        <w:t>th</w:t>
      </w:r>
      <w:r w:rsidR="004357C3">
        <w:rPr>
          <w:rFonts w:ascii="Times New Roman" w:hAnsi="Times New Roman" w:cs="Times New Roman"/>
          <w:sz w:val="24"/>
          <w:szCs w:val="24"/>
        </w:rPr>
        <w:t xml:space="preserve">.  </w:t>
      </w:r>
      <w:r w:rsidR="008F2647">
        <w:rPr>
          <w:rFonts w:ascii="Times New Roman" w:hAnsi="Times New Roman" w:cs="Times New Roman"/>
          <w:sz w:val="24"/>
          <w:szCs w:val="24"/>
        </w:rPr>
        <w:t xml:space="preserve">This information will be compiled into maps and tables for discussion at the next meeting.  </w:t>
      </w:r>
      <w:r w:rsidR="004357C3">
        <w:rPr>
          <w:rFonts w:ascii="Times New Roman" w:hAnsi="Times New Roman" w:cs="Times New Roman"/>
          <w:sz w:val="24"/>
          <w:szCs w:val="24"/>
        </w:rPr>
        <w:t>The stakeholders indicated that Seminole County, Volusia County, FDEP, and SJRWMD are the main data collectors in the basin.</w:t>
      </w:r>
    </w:p>
    <w:p w:rsidR="00A45FBE" w:rsidRDefault="00A45FBE" w:rsidP="00E41A48">
      <w:pPr>
        <w:jc w:val="both"/>
        <w:rPr>
          <w:rFonts w:ascii="Times New Roman" w:hAnsi="Times New Roman" w:cs="Times New Roman"/>
          <w:sz w:val="24"/>
          <w:szCs w:val="24"/>
        </w:rPr>
      </w:pPr>
    </w:p>
    <w:p w:rsidR="004357C3" w:rsidRDefault="004357C3" w:rsidP="00E41A48">
      <w:pPr>
        <w:jc w:val="both"/>
        <w:rPr>
          <w:rFonts w:ascii="Times New Roman" w:hAnsi="Times New Roman" w:cs="Times New Roman"/>
          <w:sz w:val="24"/>
          <w:szCs w:val="24"/>
        </w:rPr>
      </w:pPr>
      <w:r>
        <w:rPr>
          <w:rFonts w:ascii="Times New Roman" w:hAnsi="Times New Roman" w:cs="Times New Roman"/>
          <w:sz w:val="24"/>
          <w:szCs w:val="24"/>
        </w:rPr>
        <w:t xml:space="preserve">Marcy noted that the monitoring plan is developed following </w:t>
      </w:r>
      <w:r w:rsidR="00493193">
        <w:rPr>
          <w:rFonts w:ascii="Times New Roman" w:hAnsi="Times New Roman" w:cs="Times New Roman"/>
          <w:sz w:val="24"/>
          <w:szCs w:val="24"/>
        </w:rPr>
        <w:t xml:space="preserve">a </w:t>
      </w:r>
      <w:r>
        <w:rPr>
          <w:rFonts w:ascii="Times New Roman" w:hAnsi="Times New Roman" w:cs="Times New Roman"/>
          <w:sz w:val="24"/>
          <w:szCs w:val="24"/>
        </w:rPr>
        <w:t>set of steps.  The first step is to determine the monitoring objectives, which will be discussed at this meeting.  From the objectives, the stakeholders can determine the parameters to be sampled, frequency of sampling needed, monitoring network, and data collection and storage requirements.  These topics will be discussed at the October meeting.  The monitoring objectives are typically divided into primary and secondary objectives.  Primary objectives are needed to evaluate the success of the BMAP, and secondary objectives support this evaluation.  Marcy reviewed the draft objectives for discussion with the stakeholders:</w:t>
      </w:r>
    </w:p>
    <w:p w:rsidR="004357C3" w:rsidRDefault="004357C3" w:rsidP="00E41A48">
      <w:pPr>
        <w:jc w:val="both"/>
        <w:rPr>
          <w:rFonts w:ascii="Times New Roman" w:hAnsi="Times New Roman" w:cs="Times New Roman"/>
          <w:sz w:val="24"/>
          <w:szCs w:val="24"/>
        </w:rPr>
      </w:pPr>
    </w:p>
    <w:p w:rsidR="004357C3" w:rsidRDefault="004357C3" w:rsidP="004357C3">
      <w:pPr>
        <w:numPr>
          <w:ilvl w:val="0"/>
          <w:numId w:val="2"/>
        </w:numPr>
        <w:jc w:val="both"/>
        <w:rPr>
          <w:rFonts w:ascii="Times New Roman" w:hAnsi="Times New Roman" w:cs="Times New Roman"/>
          <w:sz w:val="24"/>
          <w:szCs w:val="24"/>
        </w:rPr>
      </w:pPr>
      <w:r w:rsidRPr="004357C3">
        <w:rPr>
          <w:rFonts w:ascii="Times New Roman" w:hAnsi="Times New Roman" w:cs="Times New Roman"/>
          <w:sz w:val="24"/>
          <w:szCs w:val="24"/>
        </w:rPr>
        <w:t>Primary Objective: Track inputs and trends in TN and TP loads in the major tributaries and Smith Canal.</w:t>
      </w:r>
    </w:p>
    <w:p w:rsidR="004357C3" w:rsidRPr="004357C3" w:rsidRDefault="004357C3" w:rsidP="004357C3">
      <w:pPr>
        <w:numPr>
          <w:ilvl w:val="0"/>
          <w:numId w:val="2"/>
        </w:numPr>
        <w:jc w:val="both"/>
        <w:rPr>
          <w:rFonts w:ascii="Times New Roman" w:hAnsi="Times New Roman" w:cs="Times New Roman"/>
          <w:sz w:val="24"/>
          <w:szCs w:val="24"/>
        </w:rPr>
      </w:pPr>
      <w:r w:rsidRPr="004357C3">
        <w:rPr>
          <w:rFonts w:ascii="Times New Roman" w:hAnsi="Times New Roman" w:cs="Times New Roman"/>
          <w:sz w:val="24"/>
          <w:szCs w:val="24"/>
        </w:rPr>
        <w:t>Secondary Objective: Identify areas within the watershed with high loadings of nutrients to better focus management efforts.</w:t>
      </w:r>
    </w:p>
    <w:p w:rsidR="004357C3" w:rsidRDefault="004357C3" w:rsidP="004357C3">
      <w:pPr>
        <w:jc w:val="both"/>
        <w:rPr>
          <w:rFonts w:ascii="Times New Roman" w:hAnsi="Times New Roman" w:cs="Times New Roman"/>
          <w:sz w:val="24"/>
          <w:szCs w:val="24"/>
        </w:rPr>
      </w:pPr>
    </w:p>
    <w:p w:rsidR="004357C3" w:rsidRDefault="004357C3" w:rsidP="004357C3">
      <w:pPr>
        <w:jc w:val="both"/>
        <w:rPr>
          <w:rFonts w:ascii="Times New Roman" w:hAnsi="Times New Roman" w:cs="Times New Roman"/>
          <w:sz w:val="24"/>
          <w:szCs w:val="24"/>
        </w:rPr>
      </w:pPr>
      <w:r>
        <w:rPr>
          <w:rFonts w:ascii="Times New Roman" w:hAnsi="Times New Roman" w:cs="Times New Roman"/>
          <w:sz w:val="24"/>
          <w:szCs w:val="24"/>
        </w:rPr>
        <w:t>The primary objective is focused on tracking trends in the major tributaries and Smith Canal since reductions in watershed loads will likely not be reflected in the impaired waterbodies.  However, monitoring of Lake Harney, Lake Monroe, and the river should be included in the plan.  The secondary objective was suggested to help focus future management actions in the basin.</w:t>
      </w:r>
    </w:p>
    <w:p w:rsidR="008F2647" w:rsidRDefault="008F2647" w:rsidP="004357C3">
      <w:pPr>
        <w:jc w:val="both"/>
        <w:rPr>
          <w:rFonts w:ascii="Times New Roman" w:hAnsi="Times New Roman" w:cs="Times New Roman"/>
          <w:sz w:val="24"/>
          <w:szCs w:val="24"/>
        </w:rPr>
      </w:pPr>
    </w:p>
    <w:p w:rsidR="008F2647" w:rsidRDefault="008F2647" w:rsidP="004357C3">
      <w:pPr>
        <w:jc w:val="both"/>
        <w:rPr>
          <w:rFonts w:ascii="Times New Roman" w:hAnsi="Times New Roman" w:cs="Times New Roman"/>
          <w:sz w:val="24"/>
          <w:szCs w:val="24"/>
        </w:rPr>
      </w:pPr>
      <w:r>
        <w:rPr>
          <w:rFonts w:ascii="Times New Roman" w:hAnsi="Times New Roman" w:cs="Times New Roman"/>
          <w:sz w:val="24"/>
          <w:szCs w:val="24"/>
        </w:rPr>
        <w:t>Mark stated that there are not really any major tributaries in the basin other than Deep Creek.  John added that tracking trends in Deep Creek will be difficult because there are times of the year where the creek is dry.  The creek rarely discharges and there is sometimes flow in one part of the creek but not another.  Shannon Wetzel noted that Seminole County has this issue with sampling Soldiers Creek in the Lake Jesup B</w:t>
      </w:r>
      <w:r w:rsidR="00493193">
        <w:rPr>
          <w:rFonts w:ascii="Times New Roman" w:hAnsi="Times New Roman" w:cs="Times New Roman"/>
          <w:sz w:val="24"/>
          <w:szCs w:val="24"/>
        </w:rPr>
        <w:t>asin</w:t>
      </w:r>
      <w:r>
        <w:rPr>
          <w:rFonts w:ascii="Times New Roman" w:hAnsi="Times New Roman" w:cs="Times New Roman"/>
          <w:sz w:val="24"/>
          <w:szCs w:val="24"/>
        </w:rPr>
        <w:t xml:space="preserve">.  The creek is not always flowing and the samplers make a </w:t>
      </w:r>
      <w:r w:rsidR="00051939">
        <w:rPr>
          <w:rFonts w:ascii="Times New Roman" w:hAnsi="Times New Roman" w:cs="Times New Roman"/>
          <w:sz w:val="24"/>
          <w:szCs w:val="24"/>
        </w:rPr>
        <w:t xml:space="preserve">professional </w:t>
      </w:r>
      <w:r>
        <w:rPr>
          <w:rFonts w:ascii="Times New Roman" w:hAnsi="Times New Roman" w:cs="Times New Roman"/>
          <w:sz w:val="24"/>
          <w:szCs w:val="24"/>
        </w:rPr>
        <w:t>judgment call on whether they should collect a sample.  Marcy added that part of the monitoring plan discussion will be determining standard operating procedures for sampling.  Shannon asked if the stakeholders are interested in tracking loads by jurisdiction because this was a major concern in Lake Jesup. Tiffany added that this was a concern in Lake Jesup because attenuation was not included in the model.  Carol noted that storm event sampling could be useful.  Marcy responded that storm event sampling is expensive and labor intensive so it may be difficult to implement.</w:t>
      </w:r>
    </w:p>
    <w:p w:rsidR="008F2647" w:rsidRDefault="008F2647" w:rsidP="004357C3">
      <w:pPr>
        <w:jc w:val="both"/>
        <w:rPr>
          <w:rFonts w:ascii="Times New Roman" w:hAnsi="Times New Roman" w:cs="Times New Roman"/>
          <w:sz w:val="24"/>
          <w:szCs w:val="24"/>
        </w:rPr>
      </w:pPr>
    </w:p>
    <w:p w:rsidR="008F2647" w:rsidRPr="004357C3" w:rsidRDefault="008F2647" w:rsidP="004357C3">
      <w:pPr>
        <w:jc w:val="both"/>
        <w:rPr>
          <w:rFonts w:ascii="Times New Roman" w:hAnsi="Times New Roman" w:cs="Times New Roman"/>
          <w:sz w:val="24"/>
          <w:szCs w:val="24"/>
        </w:rPr>
      </w:pPr>
      <w:r>
        <w:rPr>
          <w:rFonts w:ascii="Times New Roman" w:hAnsi="Times New Roman" w:cs="Times New Roman"/>
          <w:sz w:val="24"/>
          <w:szCs w:val="24"/>
        </w:rPr>
        <w:t>Tiffany asked since there are no major tributaries in the basin, what is the best way to track water quality trends in the watershed.  Kim suggested looking at the maps at the next meeting to determine where there might be waterbodies that could be sampled.</w:t>
      </w:r>
      <w:r w:rsidR="00755A73">
        <w:rPr>
          <w:rFonts w:ascii="Times New Roman" w:hAnsi="Times New Roman" w:cs="Times New Roman"/>
          <w:sz w:val="24"/>
          <w:szCs w:val="24"/>
        </w:rPr>
        <w:t xml:space="preserve">  John asked since the watershed is only 3% of the total loading, how reductions were going to occur upstream.  Chris stated that SJRWMD has constructed the Upper Basin project, which has addressed a lot of the load in that area.  Mary added that SJRWMD currently does not have any plans for the Econlockhatchee River Basin.  Marcy stated that the purpose of the BMAP monitoring plan is to </w:t>
      </w:r>
      <w:r w:rsidR="00755A73">
        <w:rPr>
          <w:rFonts w:ascii="Times New Roman" w:hAnsi="Times New Roman" w:cs="Times New Roman"/>
          <w:sz w:val="24"/>
          <w:szCs w:val="24"/>
        </w:rPr>
        <w:lastRenderedPageBreak/>
        <w:t>show that the projects implemented in the watershed are achieving reductions.  Then, the other inputs will have to reduce to fully achieve the TMDL.</w:t>
      </w:r>
    </w:p>
    <w:p w:rsidR="004357C3" w:rsidRDefault="004357C3" w:rsidP="00E41A48">
      <w:pPr>
        <w:jc w:val="both"/>
        <w:rPr>
          <w:rFonts w:ascii="Times New Roman" w:hAnsi="Times New Roman" w:cs="Times New Roman"/>
          <w:sz w:val="24"/>
          <w:szCs w:val="24"/>
        </w:rPr>
      </w:pPr>
    </w:p>
    <w:p w:rsidR="00755A73" w:rsidRDefault="00755A73" w:rsidP="00E41A48">
      <w:pPr>
        <w:jc w:val="both"/>
        <w:rPr>
          <w:rFonts w:ascii="Times New Roman" w:hAnsi="Times New Roman" w:cs="Times New Roman"/>
          <w:sz w:val="24"/>
          <w:szCs w:val="24"/>
        </w:rPr>
      </w:pPr>
      <w:r>
        <w:rPr>
          <w:rFonts w:ascii="Times New Roman" w:hAnsi="Times New Roman" w:cs="Times New Roman"/>
          <w:sz w:val="24"/>
          <w:szCs w:val="24"/>
        </w:rPr>
        <w:t>Gerald Chancellor noted that Deltona has an area that drains to the Volusia County stormwater system, which then discharges to Lake Monroe.  The city was interested in learning about the nutrient concentrations in the discharge to the county system so they started to gather quarterly samples at the discharge points.  The problem is that the system has been very dry lately and they were only able to collect samples one time in the last year.  Marcy responded that</w:t>
      </w:r>
      <w:r w:rsidR="00493193">
        <w:rPr>
          <w:rFonts w:ascii="Times New Roman" w:hAnsi="Times New Roman" w:cs="Times New Roman"/>
          <w:sz w:val="24"/>
          <w:szCs w:val="24"/>
        </w:rPr>
        <w:t xml:space="preserve"> the</w:t>
      </w:r>
      <w:r>
        <w:rPr>
          <w:rFonts w:ascii="Times New Roman" w:hAnsi="Times New Roman" w:cs="Times New Roman"/>
          <w:sz w:val="24"/>
          <w:szCs w:val="24"/>
        </w:rPr>
        <w:t xml:space="preserve"> monitoring plan will have a sampling frequency but the stakeholders can only collect samples when there is flow at the stations.</w:t>
      </w:r>
      <w:r w:rsidR="00224340">
        <w:rPr>
          <w:rFonts w:ascii="Times New Roman" w:hAnsi="Times New Roman" w:cs="Times New Roman"/>
          <w:sz w:val="24"/>
          <w:szCs w:val="24"/>
        </w:rPr>
        <w:t xml:space="preserve">  Gerald noted that in the samples they were able to collect, the TN and TP concentrations were very low.</w:t>
      </w:r>
    </w:p>
    <w:p w:rsidR="00224340" w:rsidRDefault="00224340" w:rsidP="00E41A48">
      <w:pPr>
        <w:jc w:val="both"/>
        <w:rPr>
          <w:rFonts w:ascii="Times New Roman" w:hAnsi="Times New Roman" w:cs="Times New Roman"/>
          <w:sz w:val="24"/>
          <w:szCs w:val="24"/>
        </w:rPr>
      </w:pPr>
    </w:p>
    <w:p w:rsidR="00224340" w:rsidRDefault="00224340" w:rsidP="00E41A48">
      <w:pPr>
        <w:jc w:val="both"/>
        <w:rPr>
          <w:rFonts w:ascii="Times New Roman" w:hAnsi="Times New Roman" w:cs="Times New Roman"/>
          <w:sz w:val="24"/>
          <w:szCs w:val="24"/>
        </w:rPr>
      </w:pPr>
      <w:r>
        <w:rPr>
          <w:rFonts w:ascii="Times New Roman" w:hAnsi="Times New Roman" w:cs="Times New Roman"/>
          <w:sz w:val="24"/>
          <w:szCs w:val="24"/>
        </w:rPr>
        <w:t>The stakeholders agreed to keep the proposed primary and secondary objectives as they were written.  The objectives may be modified during the next meeting.</w:t>
      </w:r>
    </w:p>
    <w:p w:rsidR="004357C3" w:rsidRPr="00A45FBE" w:rsidRDefault="004357C3" w:rsidP="00E41A48">
      <w:pPr>
        <w:jc w:val="both"/>
        <w:rPr>
          <w:rFonts w:ascii="Times New Roman" w:hAnsi="Times New Roman" w:cs="Times New Roman"/>
          <w:sz w:val="24"/>
          <w:szCs w:val="24"/>
        </w:rPr>
      </w:pPr>
    </w:p>
    <w:p w:rsidR="00A45FBE" w:rsidRPr="00A45FBE" w:rsidRDefault="00A45FBE" w:rsidP="00E41A48">
      <w:pPr>
        <w:jc w:val="both"/>
        <w:rPr>
          <w:rFonts w:ascii="Times New Roman" w:hAnsi="Times New Roman" w:cs="Times New Roman"/>
          <w:b/>
          <w:sz w:val="24"/>
          <w:szCs w:val="24"/>
          <w:u w:val="single"/>
        </w:rPr>
      </w:pPr>
      <w:r w:rsidRPr="00A45FBE">
        <w:rPr>
          <w:rFonts w:ascii="Times New Roman" w:hAnsi="Times New Roman" w:cs="Times New Roman"/>
          <w:b/>
          <w:sz w:val="24"/>
          <w:szCs w:val="24"/>
          <w:u w:val="single"/>
        </w:rPr>
        <w:t>Public Comment and Wrap Up</w:t>
      </w:r>
    </w:p>
    <w:p w:rsidR="00224340" w:rsidRPr="00A45FBE" w:rsidRDefault="00224340" w:rsidP="00224340">
      <w:pPr>
        <w:jc w:val="both"/>
        <w:rPr>
          <w:rFonts w:ascii="Times New Roman" w:hAnsi="Times New Roman" w:cs="Times New Roman"/>
          <w:sz w:val="24"/>
          <w:szCs w:val="24"/>
        </w:rPr>
      </w:pPr>
      <w:r>
        <w:rPr>
          <w:rFonts w:ascii="Times New Roman" w:hAnsi="Times New Roman" w:cs="Times New Roman"/>
          <w:sz w:val="24"/>
          <w:szCs w:val="24"/>
        </w:rPr>
        <w:t>The next meeting will be October 20</w:t>
      </w:r>
      <w:r w:rsidRPr="00A60AB8">
        <w:rPr>
          <w:rFonts w:ascii="Times New Roman" w:hAnsi="Times New Roman" w:cs="Times New Roman"/>
          <w:sz w:val="24"/>
          <w:szCs w:val="24"/>
          <w:vertAlign w:val="superscript"/>
        </w:rPr>
        <w:t>th</w:t>
      </w:r>
      <w:r>
        <w:rPr>
          <w:rFonts w:ascii="Times New Roman" w:hAnsi="Times New Roman" w:cs="Times New Roman"/>
          <w:sz w:val="24"/>
          <w:szCs w:val="24"/>
        </w:rPr>
        <w:t xml:space="preserve"> at 1:30 PM at the Seminole C</w:t>
      </w:r>
      <w:r w:rsidRPr="00224340">
        <w:rPr>
          <w:rFonts w:ascii="Times New Roman" w:hAnsi="Times New Roman" w:cs="Times New Roman"/>
          <w:sz w:val="24"/>
          <w:szCs w:val="24"/>
        </w:rPr>
        <w:t>ounty Services Building</w:t>
      </w:r>
      <w:r>
        <w:rPr>
          <w:rFonts w:ascii="Times New Roman" w:hAnsi="Times New Roman" w:cs="Times New Roman"/>
          <w:sz w:val="24"/>
          <w:szCs w:val="24"/>
        </w:rPr>
        <w:t>.</w:t>
      </w:r>
    </w:p>
    <w:p w:rsidR="00224340" w:rsidRDefault="00224340" w:rsidP="00E41A48">
      <w:pPr>
        <w:jc w:val="both"/>
        <w:rPr>
          <w:rFonts w:ascii="Times New Roman" w:hAnsi="Times New Roman" w:cs="Times New Roman"/>
          <w:sz w:val="24"/>
          <w:szCs w:val="24"/>
        </w:rPr>
      </w:pPr>
    </w:p>
    <w:p w:rsidR="00A60AB8" w:rsidRDefault="00A60AB8" w:rsidP="00FC7DA3">
      <w:pPr>
        <w:jc w:val="both"/>
        <w:rPr>
          <w:rFonts w:ascii="Times New Roman" w:hAnsi="Times New Roman" w:cs="Times New Roman"/>
          <w:sz w:val="24"/>
          <w:szCs w:val="24"/>
        </w:rPr>
      </w:pPr>
      <w:r>
        <w:rPr>
          <w:rFonts w:ascii="Times New Roman" w:hAnsi="Times New Roman" w:cs="Times New Roman"/>
          <w:sz w:val="24"/>
          <w:szCs w:val="24"/>
        </w:rPr>
        <w:t xml:space="preserve">Kim </w:t>
      </w:r>
      <w:r w:rsidR="00224340">
        <w:rPr>
          <w:rFonts w:ascii="Times New Roman" w:hAnsi="Times New Roman" w:cs="Times New Roman"/>
          <w:sz w:val="24"/>
          <w:szCs w:val="24"/>
        </w:rPr>
        <w:t xml:space="preserve">asked about the status of the Wekiva BMAP.  Samantha responded that she would like to provide a summary and a map of the all projects at the next meeting.  FDEP has received all the project information from the stakeholders and they are now creating the maps.  Samantha is working to find a </w:t>
      </w:r>
      <w:r w:rsidR="00FC7DA3">
        <w:rPr>
          <w:rFonts w:ascii="Times New Roman" w:hAnsi="Times New Roman" w:cs="Times New Roman"/>
          <w:sz w:val="24"/>
          <w:szCs w:val="24"/>
        </w:rPr>
        <w:t xml:space="preserve">good </w:t>
      </w:r>
      <w:r w:rsidR="00224340">
        <w:rPr>
          <w:rFonts w:ascii="Times New Roman" w:hAnsi="Times New Roman" w:cs="Times New Roman"/>
          <w:sz w:val="24"/>
          <w:szCs w:val="24"/>
        </w:rPr>
        <w:t>meeting date and then she will send a meeting notice.</w:t>
      </w:r>
    </w:p>
    <w:p w:rsidR="00A60AB8" w:rsidRDefault="00A60AB8" w:rsidP="00FC7DA3">
      <w:pPr>
        <w:jc w:val="both"/>
        <w:rPr>
          <w:rFonts w:ascii="Times New Roman" w:hAnsi="Times New Roman" w:cs="Times New Roman"/>
          <w:sz w:val="24"/>
          <w:szCs w:val="24"/>
        </w:rPr>
      </w:pPr>
    </w:p>
    <w:p w:rsidR="00A60AB8" w:rsidRDefault="00A60AB8" w:rsidP="00FC7DA3">
      <w:pPr>
        <w:jc w:val="both"/>
        <w:rPr>
          <w:rFonts w:ascii="Times New Roman" w:hAnsi="Times New Roman" w:cs="Times New Roman"/>
          <w:sz w:val="24"/>
          <w:szCs w:val="24"/>
        </w:rPr>
      </w:pPr>
      <w:r>
        <w:rPr>
          <w:rFonts w:ascii="Times New Roman" w:hAnsi="Times New Roman" w:cs="Times New Roman"/>
          <w:sz w:val="24"/>
          <w:szCs w:val="24"/>
        </w:rPr>
        <w:t xml:space="preserve">John </w:t>
      </w:r>
      <w:r w:rsidR="00224340">
        <w:rPr>
          <w:rFonts w:ascii="Times New Roman" w:hAnsi="Times New Roman" w:cs="Times New Roman"/>
          <w:sz w:val="24"/>
          <w:szCs w:val="24"/>
        </w:rPr>
        <w:t xml:space="preserve">asked if there were any updates to </w:t>
      </w:r>
      <w:r w:rsidR="00FC7DA3">
        <w:rPr>
          <w:rFonts w:ascii="Times New Roman" w:hAnsi="Times New Roman" w:cs="Times New Roman"/>
          <w:sz w:val="24"/>
          <w:szCs w:val="24"/>
        </w:rPr>
        <w:t xml:space="preserve">receiving </w:t>
      </w:r>
      <w:r w:rsidR="00224340">
        <w:rPr>
          <w:rFonts w:ascii="Times New Roman" w:hAnsi="Times New Roman" w:cs="Times New Roman"/>
          <w:sz w:val="24"/>
          <w:szCs w:val="24"/>
        </w:rPr>
        <w:t>credit for paving dirt roads.  Marcy responded that just paving dirt roads does not provide credit.  If stormwater treatment is provided that is not required by permit, this treatment would be eligible for credit.</w:t>
      </w:r>
    </w:p>
    <w:p w:rsidR="00A45FBE" w:rsidRPr="00A45FBE" w:rsidRDefault="00A45FBE" w:rsidP="00FC7DA3">
      <w:pPr>
        <w:jc w:val="both"/>
        <w:rPr>
          <w:rFonts w:ascii="Times New Roman" w:hAnsi="Times New Roman" w:cs="Times New Roman"/>
          <w:sz w:val="24"/>
          <w:szCs w:val="24"/>
        </w:rPr>
      </w:pPr>
    </w:p>
    <w:p w:rsidR="00A45FBE" w:rsidRPr="00A45FBE" w:rsidRDefault="00A45FBE" w:rsidP="00FC7DA3">
      <w:pPr>
        <w:jc w:val="both"/>
        <w:rPr>
          <w:rFonts w:ascii="Times New Roman" w:hAnsi="Times New Roman" w:cs="Times New Roman"/>
          <w:b/>
          <w:sz w:val="24"/>
          <w:szCs w:val="24"/>
          <w:u w:val="single"/>
        </w:rPr>
      </w:pPr>
      <w:r w:rsidRPr="00A45FBE">
        <w:rPr>
          <w:rFonts w:ascii="Times New Roman" w:hAnsi="Times New Roman" w:cs="Times New Roman"/>
          <w:b/>
          <w:sz w:val="24"/>
          <w:szCs w:val="24"/>
          <w:u w:val="single"/>
        </w:rPr>
        <w:t>Adjourn</w:t>
      </w:r>
    </w:p>
    <w:p w:rsidR="00A45FBE" w:rsidRDefault="00A45FBE" w:rsidP="00FC7DA3">
      <w:pPr>
        <w:jc w:val="both"/>
        <w:rPr>
          <w:rFonts w:ascii="Times New Roman" w:hAnsi="Times New Roman" w:cs="Times New Roman"/>
          <w:sz w:val="24"/>
          <w:szCs w:val="24"/>
        </w:rPr>
      </w:pPr>
      <w:r w:rsidRPr="00A45FBE">
        <w:rPr>
          <w:rFonts w:ascii="Times New Roman" w:hAnsi="Times New Roman" w:cs="Times New Roman"/>
          <w:sz w:val="24"/>
          <w:szCs w:val="24"/>
        </w:rPr>
        <w:t>The meeting was adjourned at</w:t>
      </w:r>
      <w:r w:rsidR="00A60AB8">
        <w:rPr>
          <w:rFonts w:ascii="Times New Roman" w:hAnsi="Times New Roman" w:cs="Times New Roman"/>
          <w:sz w:val="24"/>
          <w:szCs w:val="24"/>
        </w:rPr>
        <w:t xml:space="preserve"> </w:t>
      </w:r>
      <w:r w:rsidR="00E92D99">
        <w:rPr>
          <w:rFonts w:ascii="Times New Roman" w:hAnsi="Times New Roman" w:cs="Times New Roman"/>
          <w:sz w:val="24"/>
          <w:szCs w:val="24"/>
        </w:rPr>
        <w:t>2:56</w:t>
      </w:r>
      <w:r w:rsidR="00E30E7E">
        <w:rPr>
          <w:rFonts w:ascii="Times New Roman" w:hAnsi="Times New Roman" w:cs="Times New Roman"/>
          <w:sz w:val="24"/>
          <w:szCs w:val="24"/>
        </w:rPr>
        <w:t xml:space="preserve"> PM.</w:t>
      </w:r>
    </w:p>
    <w:p w:rsidR="00E30E7E" w:rsidRDefault="00E30E7E" w:rsidP="00FC7DA3">
      <w:pPr>
        <w:jc w:val="both"/>
        <w:rPr>
          <w:rFonts w:ascii="Times New Roman" w:hAnsi="Times New Roman" w:cs="Times New Roman"/>
          <w:sz w:val="24"/>
          <w:szCs w:val="24"/>
        </w:rPr>
      </w:pPr>
    </w:p>
    <w:p w:rsidR="00E30E7E" w:rsidRPr="00E30E7E" w:rsidRDefault="00E30E7E" w:rsidP="00FC7DA3">
      <w:pPr>
        <w:jc w:val="both"/>
        <w:rPr>
          <w:rFonts w:ascii="Times New Roman" w:hAnsi="Times New Roman" w:cs="Times New Roman"/>
          <w:b/>
          <w:sz w:val="24"/>
          <w:szCs w:val="24"/>
          <w:u w:val="single"/>
        </w:rPr>
      </w:pPr>
      <w:r w:rsidRPr="00E30E7E">
        <w:rPr>
          <w:rFonts w:ascii="Times New Roman" w:hAnsi="Times New Roman" w:cs="Times New Roman"/>
          <w:b/>
          <w:sz w:val="24"/>
          <w:szCs w:val="24"/>
          <w:u w:val="single"/>
        </w:rPr>
        <w:t>Action Items</w:t>
      </w:r>
    </w:p>
    <w:p w:rsidR="00E30E7E" w:rsidRDefault="00E30E7E" w:rsidP="00FC7DA3">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FDEP staff will follow up with Dr. Xueqing Gao on how the attenuation factors were calculated.</w:t>
      </w:r>
      <w:r w:rsidR="00DB5BFD">
        <w:rPr>
          <w:rFonts w:ascii="Times New Roman" w:hAnsi="Times New Roman" w:cs="Times New Roman"/>
          <w:sz w:val="24"/>
          <w:szCs w:val="24"/>
        </w:rPr>
        <w:t xml:space="preserve"> – </w:t>
      </w:r>
      <w:r w:rsidR="00DB5BFD" w:rsidRPr="00DB5BFD">
        <w:rPr>
          <w:rFonts w:ascii="Times New Roman" w:hAnsi="Times New Roman" w:cs="Times New Roman"/>
          <w:i/>
          <w:sz w:val="24"/>
          <w:szCs w:val="24"/>
        </w:rPr>
        <w:t>Completed</w:t>
      </w:r>
      <w:r w:rsidR="00DB5BFD">
        <w:rPr>
          <w:rFonts w:ascii="Times New Roman" w:hAnsi="Times New Roman" w:cs="Times New Roman"/>
          <w:sz w:val="24"/>
          <w:szCs w:val="24"/>
        </w:rPr>
        <w:t>.</w:t>
      </w:r>
    </w:p>
    <w:p w:rsidR="004219CF" w:rsidRDefault="004219CF" w:rsidP="00FC7DA3">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stakeholders will review their project credit spreadsheets and provide any correction</w:t>
      </w:r>
      <w:r w:rsidR="00FC7DA3">
        <w:rPr>
          <w:rFonts w:ascii="Times New Roman" w:hAnsi="Times New Roman" w:cs="Times New Roman"/>
          <w:sz w:val="24"/>
          <w:szCs w:val="24"/>
        </w:rPr>
        <w:t>s</w:t>
      </w:r>
      <w:r>
        <w:rPr>
          <w:rFonts w:ascii="Times New Roman" w:hAnsi="Times New Roman" w:cs="Times New Roman"/>
          <w:sz w:val="24"/>
          <w:szCs w:val="24"/>
        </w:rPr>
        <w:t xml:space="preserve"> to Marcy Policastro.</w:t>
      </w:r>
    </w:p>
    <w:p w:rsidR="005D0E45" w:rsidRPr="00FC7DA3" w:rsidRDefault="005D0E45" w:rsidP="00FC7DA3">
      <w:pPr>
        <w:pStyle w:val="ListParagraph"/>
        <w:numPr>
          <w:ilvl w:val="0"/>
          <w:numId w:val="1"/>
        </w:numPr>
        <w:jc w:val="both"/>
        <w:rPr>
          <w:rFonts w:ascii="Times New Roman" w:hAnsi="Times New Roman" w:cs="Times New Roman"/>
          <w:i/>
          <w:sz w:val="24"/>
          <w:szCs w:val="24"/>
        </w:rPr>
      </w:pPr>
      <w:r>
        <w:rPr>
          <w:rFonts w:ascii="Times New Roman" w:hAnsi="Times New Roman" w:cs="Times New Roman"/>
          <w:sz w:val="24"/>
          <w:szCs w:val="24"/>
        </w:rPr>
        <w:t>FDEP will follow up on the status of the Econlockhatchee River impairments and timeline for implementation.</w:t>
      </w:r>
      <w:r w:rsidR="00FC7DA3">
        <w:rPr>
          <w:rFonts w:ascii="Times New Roman" w:hAnsi="Times New Roman" w:cs="Times New Roman"/>
          <w:sz w:val="24"/>
          <w:szCs w:val="24"/>
        </w:rPr>
        <w:t xml:space="preserve"> – </w:t>
      </w:r>
      <w:r w:rsidR="00FC7DA3" w:rsidRPr="00FC7DA3">
        <w:rPr>
          <w:rFonts w:ascii="Times New Roman" w:hAnsi="Times New Roman" w:cs="Times New Roman"/>
          <w:i/>
          <w:sz w:val="24"/>
          <w:szCs w:val="24"/>
        </w:rPr>
        <w:t xml:space="preserve">Completed.  The Econlockhatchee River is impaired for nutrients and fecal coliforms.  However the nutrient impairments are limited to the lake segments only (Buck Lake, Lake Susannah, Lake Gear, </w:t>
      </w:r>
      <w:r w:rsidR="00FC7DA3">
        <w:rPr>
          <w:rFonts w:ascii="Times New Roman" w:hAnsi="Times New Roman" w:cs="Times New Roman"/>
          <w:i/>
          <w:sz w:val="24"/>
          <w:szCs w:val="24"/>
        </w:rPr>
        <w:t xml:space="preserve">and </w:t>
      </w:r>
      <w:r w:rsidR="00FC7DA3" w:rsidRPr="00FC7DA3">
        <w:rPr>
          <w:rFonts w:ascii="Times New Roman" w:hAnsi="Times New Roman" w:cs="Times New Roman"/>
          <w:i/>
          <w:sz w:val="24"/>
          <w:szCs w:val="24"/>
        </w:rPr>
        <w:t>Lake Barton).</w:t>
      </w:r>
    </w:p>
    <w:p w:rsidR="00B22B50" w:rsidRDefault="00B22B50" w:rsidP="00FC7DA3">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Mark Flomerfelt will send FDEP information about the “Bold and Gold” product</w:t>
      </w:r>
      <w:r w:rsidR="00051939">
        <w:rPr>
          <w:rFonts w:ascii="Times New Roman" w:hAnsi="Times New Roman" w:cs="Times New Roman"/>
          <w:sz w:val="24"/>
          <w:szCs w:val="24"/>
        </w:rPr>
        <w:t xml:space="preserve"> to be distributed to the technical email list</w:t>
      </w:r>
      <w:r>
        <w:rPr>
          <w:rFonts w:ascii="Times New Roman" w:hAnsi="Times New Roman" w:cs="Times New Roman"/>
          <w:sz w:val="24"/>
          <w:szCs w:val="24"/>
        </w:rPr>
        <w:t>.</w:t>
      </w:r>
      <w:r w:rsidR="00051939">
        <w:rPr>
          <w:rFonts w:ascii="Times New Roman" w:hAnsi="Times New Roman" w:cs="Times New Roman"/>
          <w:sz w:val="24"/>
          <w:szCs w:val="24"/>
        </w:rPr>
        <w:t xml:space="preserve"> – </w:t>
      </w:r>
      <w:r w:rsidR="00245651" w:rsidRPr="00245651">
        <w:rPr>
          <w:rFonts w:ascii="Times New Roman" w:hAnsi="Times New Roman" w:cs="Times New Roman"/>
          <w:i/>
          <w:sz w:val="24"/>
          <w:szCs w:val="24"/>
        </w:rPr>
        <w:t>Completed.</w:t>
      </w:r>
    </w:p>
    <w:p w:rsidR="00C46098" w:rsidRDefault="00C46098" w:rsidP="00FC7DA3">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stakeholders will provide additional project information to Marcy by November 15</w:t>
      </w:r>
      <w:r w:rsidRPr="00C46098">
        <w:rPr>
          <w:rFonts w:ascii="Times New Roman" w:hAnsi="Times New Roman" w:cs="Times New Roman"/>
          <w:sz w:val="24"/>
          <w:szCs w:val="24"/>
          <w:vertAlign w:val="superscript"/>
        </w:rPr>
        <w:t>th</w:t>
      </w:r>
      <w:r>
        <w:rPr>
          <w:rFonts w:ascii="Times New Roman" w:hAnsi="Times New Roman" w:cs="Times New Roman"/>
          <w:sz w:val="24"/>
          <w:szCs w:val="24"/>
        </w:rPr>
        <w:t>.</w:t>
      </w:r>
    </w:p>
    <w:p w:rsidR="004357C3" w:rsidRPr="00E30E7E" w:rsidRDefault="004357C3" w:rsidP="00FC7DA3">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stakeholders that conduct monitoring in the basin will provide the monitoring spreadsheet to Marcy by September 30</w:t>
      </w:r>
      <w:r w:rsidRPr="004357C3">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sectPr w:rsidR="004357C3" w:rsidRPr="00E30E7E" w:rsidSect="00F15A8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059" w:rsidRDefault="00204059" w:rsidP="00C26C36">
      <w:r>
        <w:separator/>
      </w:r>
    </w:p>
  </w:endnote>
  <w:endnote w:type="continuationSeparator" w:id="0">
    <w:p w:rsidR="00204059" w:rsidRDefault="00204059" w:rsidP="00C26C36">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110"/>
      <w:docPartObj>
        <w:docPartGallery w:val="Page Numbers (Bottom of Page)"/>
        <w:docPartUnique/>
      </w:docPartObj>
    </w:sdtPr>
    <w:sdtEndPr>
      <w:rPr>
        <w:rFonts w:ascii="Times New Roman" w:hAnsi="Times New Roman" w:cs="Times New Roman"/>
        <w:sz w:val="20"/>
        <w:szCs w:val="20"/>
      </w:rPr>
    </w:sdtEndPr>
    <w:sdtContent>
      <w:sdt>
        <w:sdtPr>
          <w:id w:val="565050477"/>
          <w:docPartObj>
            <w:docPartGallery w:val="Page Numbers (Top of Page)"/>
            <w:docPartUnique/>
          </w:docPartObj>
        </w:sdtPr>
        <w:sdtEndPr>
          <w:rPr>
            <w:rFonts w:ascii="Times New Roman" w:hAnsi="Times New Roman" w:cs="Times New Roman"/>
            <w:sz w:val="20"/>
            <w:szCs w:val="20"/>
          </w:rPr>
        </w:sdtEndPr>
        <w:sdtContent>
          <w:p w:rsidR="00493193" w:rsidRPr="00C26C36" w:rsidRDefault="00283CD9" w:rsidP="00E41A48">
            <w:pPr>
              <w:pStyle w:val="Footer"/>
              <w:rPr>
                <w:rFonts w:ascii="Times New Roman" w:hAnsi="Times New Roman" w:cs="Times New Roman"/>
                <w:sz w:val="20"/>
                <w:szCs w:val="20"/>
              </w:rPr>
            </w:pPr>
            <w:r>
              <w:rPr>
                <w:rFonts w:ascii="Times New Roman" w:hAnsi="Times New Roman" w:cs="Times New Roman"/>
                <w:sz w:val="20"/>
                <w:szCs w:val="20"/>
              </w:rPr>
              <w:t>Distribution</w:t>
            </w:r>
            <w:r w:rsidR="00493193">
              <w:tab/>
            </w:r>
            <w:r w:rsidR="00493193" w:rsidRPr="00C26C36">
              <w:rPr>
                <w:rFonts w:ascii="Times New Roman" w:hAnsi="Times New Roman" w:cs="Times New Roman"/>
                <w:sz w:val="20"/>
                <w:szCs w:val="20"/>
              </w:rPr>
              <w:t xml:space="preserve">Page </w:t>
            </w:r>
            <w:r w:rsidR="00E14077" w:rsidRPr="00C26C36">
              <w:rPr>
                <w:rFonts w:ascii="Times New Roman" w:hAnsi="Times New Roman" w:cs="Times New Roman"/>
                <w:sz w:val="20"/>
                <w:szCs w:val="20"/>
              </w:rPr>
              <w:fldChar w:fldCharType="begin"/>
            </w:r>
            <w:r w:rsidR="00493193" w:rsidRPr="00C26C36">
              <w:rPr>
                <w:rFonts w:ascii="Times New Roman" w:hAnsi="Times New Roman" w:cs="Times New Roman"/>
                <w:sz w:val="20"/>
                <w:szCs w:val="20"/>
              </w:rPr>
              <w:instrText xml:space="preserve"> PAGE </w:instrText>
            </w:r>
            <w:r w:rsidR="00E14077" w:rsidRPr="00C26C36">
              <w:rPr>
                <w:rFonts w:ascii="Times New Roman" w:hAnsi="Times New Roman" w:cs="Times New Roman"/>
                <w:sz w:val="20"/>
                <w:szCs w:val="20"/>
              </w:rPr>
              <w:fldChar w:fldCharType="separate"/>
            </w:r>
            <w:r>
              <w:rPr>
                <w:rFonts w:ascii="Times New Roman" w:hAnsi="Times New Roman" w:cs="Times New Roman"/>
                <w:noProof/>
                <w:sz w:val="20"/>
                <w:szCs w:val="20"/>
              </w:rPr>
              <w:t>2</w:t>
            </w:r>
            <w:r w:rsidR="00E14077" w:rsidRPr="00C26C36">
              <w:rPr>
                <w:rFonts w:ascii="Times New Roman" w:hAnsi="Times New Roman" w:cs="Times New Roman"/>
                <w:sz w:val="20"/>
                <w:szCs w:val="20"/>
              </w:rPr>
              <w:fldChar w:fldCharType="end"/>
            </w:r>
            <w:r w:rsidR="00493193" w:rsidRPr="00C26C36">
              <w:rPr>
                <w:rFonts w:ascii="Times New Roman" w:hAnsi="Times New Roman" w:cs="Times New Roman"/>
                <w:sz w:val="20"/>
                <w:szCs w:val="20"/>
              </w:rPr>
              <w:t xml:space="preserve"> of </w:t>
            </w:r>
            <w:r w:rsidR="00E14077" w:rsidRPr="00C26C36">
              <w:rPr>
                <w:rFonts w:ascii="Times New Roman" w:hAnsi="Times New Roman" w:cs="Times New Roman"/>
                <w:sz w:val="20"/>
                <w:szCs w:val="20"/>
              </w:rPr>
              <w:fldChar w:fldCharType="begin"/>
            </w:r>
            <w:r w:rsidR="00493193" w:rsidRPr="00C26C36">
              <w:rPr>
                <w:rFonts w:ascii="Times New Roman" w:hAnsi="Times New Roman" w:cs="Times New Roman"/>
                <w:sz w:val="20"/>
                <w:szCs w:val="20"/>
              </w:rPr>
              <w:instrText xml:space="preserve"> NUMPAGES  </w:instrText>
            </w:r>
            <w:r w:rsidR="00E14077" w:rsidRPr="00C26C36">
              <w:rPr>
                <w:rFonts w:ascii="Times New Roman" w:hAnsi="Times New Roman" w:cs="Times New Roman"/>
                <w:sz w:val="20"/>
                <w:szCs w:val="20"/>
              </w:rPr>
              <w:fldChar w:fldCharType="separate"/>
            </w:r>
            <w:r>
              <w:rPr>
                <w:rFonts w:ascii="Times New Roman" w:hAnsi="Times New Roman" w:cs="Times New Roman"/>
                <w:noProof/>
                <w:sz w:val="20"/>
                <w:szCs w:val="20"/>
              </w:rPr>
              <w:t>6</w:t>
            </w:r>
            <w:r w:rsidR="00E14077" w:rsidRPr="00C26C36">
              <w:rPr>
                <w:rFonts w:ascii="Times New Roman" w:hAnsi="Times New Roman" w:cs="Times New Roman"/>
                <w:sz w:val="20"/>
                <w:szCs w:val="20"/>
              </w:rPr>
              <w:fldChar w:fldCharType="end"/>
            </w:r>
          </w:p>
        </w:sdtContent>
      </w:sdt>
    </w:sdtContent>
  </w:sdt>
  <w:p w:rsidR="00493193" w:rsidRDefault="004931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059" w:rsidRDefault="00204059" w:rsidP="00C26C36">
      <w:r>
        <w:separator/>
      </w:r>
    </w:p>
  </w:footnote>
  <w:footnote w:type="continuationSeparator" w:id="0">
    <w:p w:rsidR="00204059" w:rsidRDefault="00204059" w:rsidP="00C26C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193" w:rsidRDefault="00493193" w:rsidP="00F641C5">
    <w:pPr>
      <w:jc w:val="center"/>
      <w:rPr>
        <w:rFonts w:ascii="Times New Roman" w:hAnsi="Times New Roman"/>
        <w:b/>
        <w:sz w:val="24"/>
        <w:szCs w:val="24"/>
      </w:rPr>
    </w:pPr>
    <w:r w:rsidRPr="009B1CEB">
      <w:rPr>
        <w:rFonts w:ascii="Times New Roman" w:hAnsi="Times New Roman"/>
        <w:b/>
        <w:sz w:val="24"/>
        <w:szCs w:val="24"/>
      </w:rPr>
      <w:t xml:space="preserve">Lakes Harney and Monroe </w:t>
    </w:r>
  </w:p>
  <w:p w:rsidR="00493193" w:rsidRDefault="00493193" w:rsidP="00F641C5">
    <w:pPr>
      <w:pStyle w:val="Header"/>
      <w:jc w:val="center"/>
    </w:pPr>
    <w:r w:rsidRPr="009B1CEB">
      <w:rPr>
        <w:rFonts w:ascii="Times New Roman" w:hAnsi="Times New Roman"/>
        <w:b/>
        <w:sz w:val="24"/>
        <w:szCs w:val="24"/>
      </w:rPr>
      <w:t>Basi</w:t>
    </w:r>
    <w:r>
      <w:rPr>
        <w:rFonts w:ascii="Times New Roman" w:hAnsi="Times New Roman"/>
        <w:b/>
        <w:sz w:val="24"/>
        <w:szCs w:val="24"/>
      </w:rPr>
      <w:t>n Management Action Plan (BMAP)</w:t>
    </w:r>
  </w:p>
  <w:p w:rsidR="00493193" w:rsidRDefault="004931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962F5"/>
    <w:multiLevelType w:val="hybridMultilevel"/>
    <w:tmpl w:val="595C7ED6"/>
    <w:lvl w:ilvl="0" w:tplc="5DF85E7E">
      <w:start w:val="1"/>
      <w:numFmt w:val="bullet"/>
      <w:lvlText w:val=""/>
      <w:lvlJc w:val="left"/>
      <w:pPr>
        <w:tabs>
          <w:tab w:val="num" w:pos="720"/>
        </w:tabs>
        <w:ind w:left="720" w:hanging="360"/>
      </w:pPr>
      <w:rPr>
        <w:rFonts w:ascii="Wingdings 2" w:hAnsi="Wingdings 2" w:hint="default"/>
      </w:rPr>
    </w:lvl>
    <w:lvl w:ilvl="1" w:tplc="6C5C5E34">
      <w:start w:val="1905"/>
      <w:numFmt w:val="bullet"/>
      <w:lvlText w:val=""/>
      <w:lvlJc w:val="left"/>
      <w:pPr>
        <w:tabs>
          <w:tab w:val="num" w:pos="1440"/>
        </w:tabs>
        <w:ind w:left="1440" w:hanging="360"/>
      </w:pPr>
      <w:rPr>
        <w:rFonts w:ascii="Wingdings 2" w:hAnsi="Wingdings 2" w:hint="default"/>
      </w:rPr>
    </w:lvl>
    <w:lvl w:ilvl="2" w:tplc="6CD8080E" w:tentative="1">
      <w:start w:val="1"/>
      <w:numFmt w:val="bullet"/>
      <w:lvlText w:val=""/>
      <w:lvlJc w:val="left"/>
      <w:pPr>
        <w:tabs>
          <w:tab w:val="num" w:pos="2160"/>
        </w:tabs>
        <w:ind w:left="2160" w:hanging="360"/>
      </w:pPr>
      <w:rPr>
        <w:rFonts w:ascii="Wingdings 2" w:hAnsi="Wingdings 2" w:hint="default"/>
      </w:rPr>
    </w:lvl>
    <w:lvl w:ilvl="3" w:tplc="700007F0" w:tentative="1">
      <w:start w:val="1"/>
      <w:numFmt w:val="bullet"/>
      <w:lvlText w:val=""/>
      <w:lvlJc w:val="left"/>
      <w:pPr>
        <w:tabs>
          <w:tab w:val="num" w:pos="2880"/>
        </w:tabs>
        <w:ind w:left="2880" w:hanging="360"/>
      </w:pPr>
      <w:rPr>
        <w:rFonts w:ascii="Wingdings 2" w:hAnsi="Wingdings 2" w:hint="default"/>
      </w:rPr>
    </w:lvl>
    <w:lvl w:ilvl="4" w:tplc="EB34B10E" w:tentative="1">
      <w:start w:val="1"/>
      <w:numFmt w:val="bullet"/>
      <w:lvlText w:val=""/>
      <w:lvlJc w:val="left"/>
      <w:pPr>
        <w:tabs>
          <w:tab w:val="num" w:pos="3600"/>
        </w:tabs>
        <w:ind w:left="3600" w:hanging="360"/>
      </w:pPr>
      <w:rPr>
        <w:rFonts w:ascii="Wingdings 2" w:hAnsi="Wingdings 2" w:hint="default"/>
      </w:rPr>
    </w:lvl>
    <w:lvl w:ilvl="5" w:tplc="0D8E710C" w:tentative="1">
      <w:start w:val="1"/>
      <w:numFmt w:val="bullet"/>
      <w:lvlText w:val=""/>
      <w:lvlJc w:val="left"/>
      <w:pPr>
        <w:tabs>
          <w:tab w:val="num" w:pos="4320"/>
        </w:tabs>
        <w:ind w:left="4320" w:hanging="360"/>
      </w:pPr>
      <w:rPr>
        <w:rFonts w:ascii="Wingdings 2" w:hAnsi="Wingdings 2" w:hint="default"/>
      </w:rPr>
    </w:lvl>
    <w:lvl w:ilvl="6" w:tplc="531E2B14" w:tentative="1">
      <w:start w:val="1"/>
      <w:numFmt w:val="bullet"/>
      <w:lvlText w:val=""/>
      <w:lvlJc w:val="left"/>
      <w:pPr>
        <w:tabs>
          <w:tab w:val="num" w:pos="5040"/>
        </w:tabs>
        <w:ind w:left="5040" w:hanging="360"/>
      </w:pPr>
      <w:rPr>
        <w:rFonts w:ascii="Wingdings 2" w:hAnsi="Wingdings 2" w:hint="default"/>
      </w:rPr>
    </w:lvl>
    <w:lvl w:ilvl="7" w:tplc="1E5CFC70" w:tentative="1">
      <w:start w:val="1"/>
      <w:numFmt w:val="bullet"/>
      <w:lvlText w:val=""/>
      <w:lvlJc w:val="left"/>
      <w:pPr>
        <w:tabs>
          <w:tab w:val="num" w:pos="5760"/>
        </w:tabs>
        <w:ind w:left="5760" w:hanging="360"/>
      </w:pPr>
      <w:rPr>
        <w:rFonts w:ascii="Wingdings 2" w:hAnsi="Wingdings 2" w:hint="default"/>
      </w:rPr>
    </w:lvl>
    <w:lvl w:ilvl="8" w:tplc="E682CBBC" w:tentative="1">
      <w:start w:val="1"/>
      <w:numFmt w:val="bullet"/>
      <w:lvlText w:val=""/>
      <w:lvlJc w:val="left"/>
      <w:pPr>
        <w:tabs>
          <w:tab w:val="num" w:pos="6480"/>
        </w:tabs>
        <w:ind w:left="6480" w:hanging="360"/>
      </w:pPr>
      <w:rPr>
        <w:rFonts w:ascii="Wingdings 2" w:hAnsi="Wingdings 2" w:hint="default"/>
      </w:rPr>
    </w:lvl>
  </w:abstractNum>
  <w:abstractNum w:abstractNumId="1">
    <w:nsid w:val="24E5243D"/>
    <w:multiLevelType w:val="hybridMultilevel"/>
    <w:tmpl w:val="DB7CE030"/>
    <w:lvl w:ilvl="0" w:tplc="1ECAA488">
      <w:start w:val="1"/>
      <w:numFmt w:val="bullet"/>
      <w:lvlText w:val=""/>
      <w:lvlJc w:val="left"/>
      <w:pPr>
        <w:tabs>
          <w:tab w:val="num" w:pos="720"/>
        </w:tabs>
        <w:ind w:left="720" w:hanging="360"/>
      </w:pPr>
      <w:rPr>
        <w:rFonts w:ascii="Wingdings 2" w:hAnsi="Wingdings 2" w:hint="default"/>
      </w:rPr>
    </w:lvl>
    <w:lvl w:ilvl="1" w:tplc="86BC3C0A">
      <w:start w:val="1912"/>
      <w:numFmt w:val="bullet"/>
      <w:lvlText w:val=""/>
      <w:lvlJc w:val="left"/>
      <w:pPr>
        <w:tabs>
          <w:tab w:val="num" w:pos="1440"/>
        </w:tabs>
        <w:ind w:left="1440" w:hanging="360"/>
      </w:pPr>
      <w:rPr>
        <w:rFonts w:ascii="Wingdings 2" w:hAnsi="Wingdings 2" w:hint="default"/>
      </w:rPr>
    </w:lvl>
    <w:lvl w:ilvl="2" w:tplc="996C40EC" w:tentative="1">
      <w:start w:val="1"/>
      <w:numFmt w:val="bullet"/>
      <w:lvlText w:val=""/>
      <w:lvlJc w:val="left"/>
      <w:pPr>
        <w:tabs>
          <w:tab w:val="num" w:pos="2160"/>
        </w:tabs>
        <w:ind w:left="2160" w:hanging="360"/>
      </w:pPr>
      <w:rPr>
        <w:rFonts w:ascii="Wingdings 2" w:hAnsi="Wingdings 2" w:hint="default"/>
      </w:rPr>
    </w:lvl>
    <w:lvl w:ilvl="3" w:tplc="082CBB48" w:tentative="1">
      <w:start w:val="1"/>
      <w:numFmt w:val="bullet"/>
      <w:lvlText w:val=""/>
      <w:lvlJc w:val="left"/>
      <w:pPr>
        <w:tabs>
          <w:tab w:val="num" w:pos="2880"/>
        </w:tabs>
        <w:ind w:left="2880" w:hanging="360"/>
      </w:pPr>
      <w:rPr>
        <w:rFonts w:ascii="Wingdings 2" w:hAnsi="Wingdings 2" w:hint="default"/>
      </w:rPr>
    </w:lvl>
    <w:lvl w:ilvl="4" w:tplc="700266F8" w:tentative="1">
      <w:start w:val="1"/>
      <w:numFmt w:val="bullet"/>
      <w:lvlText w:val=""/>
      <w:lvlJc w:val="left"/>
      <w:pPr>
        <w:tabs>
          <w:tab w:val="num" w:pos="3600"/>
        </w:tabs>
        <w:ind w:left="3600" w:hanging="360"/>
      </w:pPr>
      <w:rPr>
        <w:rFonts w:ascii="Wingdings 2" w:hAnsi="Wingdings 2" w:hint="default"/>
      </w:rPr>
    </w:lvl>
    <w:lvl w:ilvl="5" w:tplc="8DCEA302" w:tentative="1">
      <w:start w:val="1"/>
      <w:numFmt w:val="bullet"/>
      <w:lvlText w:val=""/>
      <w:lvlJc w:val="left"/>
      <w:pPr>
        <w:tabs>
          <w:tab w:val="num" w:pos="4320"/>
        </w:tabs>
        <w:ind w:left="4320" w:hanging="360"/>
      </w:pPr>
      <w:rPr>
        <w:rFonts w:ascii="Wingdings 2" w:hAnsi="Wingdings 2" w:hint="default"/>
      </w:rPr>
    </w:lvl>
    <w:lvl w:ilvl="6" w:tplc="28D61CC2" w:tentative="1">
      <w:start w:val="1"/>
      <w:numFmt w:val="bullet"/>
      <w:lvlText w:val=""/>
      <w:lvlJc w:val="left"/>
      <w:pPr>
        <w:tabs>
          <w:tab w:val="num" w:pos="5040"/>
        </w:tabs>
        <w:ind w:left="5040" w:hanging="360"/>
      </w:pPr>
      <w:rPr>
        <w:rFonts w:ascii="Wingdings 2" w:hAnsi="Wingdings 2" w:hint="default"/>
      </w:rPr>
    </w:lvl>
    <w:lvl w:ilvl="7" w:tplc="C8340D50" w:tentative="1">
      <w:start w:val="1"/>
      <w:numFmt w:val="bullet"/>
      <w:lvlText w:val=""/>
      <w:lvlJc w:val="left"/>
      <w:pPr>
        <w:tabs>
          <w:tab w:val="num" w:pos="5760"/>
        </w:tabs>
        <w:ind w:left="5760" w:hanging="360"/>
      </w:pPr>
      <w:rPr>
        <w:rFonts w:ascii="Wingdings 2" w:hAnsi="Wingdings 2" w:hint="default"/>
      </w:rPr>
    </w:lvl>
    <w:lvl w:ilvl="8" w:tplc="334C346A" w:tentative="1">
      <w:start w:val="1"/>
      <w:numFmt w:val="bullet"/>
      <w:lvlText w:val=""/>
      <w:lvlJc w:val="left"/>
      <w:pPr>
        <w:tabs>
          <w:tab w:val="num" w:pos="6480"/>
        </w:tabs>
        <w:ind w:left="6480" w:hanging="360"/>
      </w:pPr>
      <w:rPr>
        <w:rFonts w:ascii="Wingdings 2" w:hAnsi="Wingdings 2" w:hint="default"/>
      </w:rPr>
    </w:lvl>
  </w:abstractNum>
  <w:abstractNum w:abstractNumId="2">
    <w:nsid w:val="72DD4D48"/>
    <w:multiLevelType w:val="hybridMultilevel"/>
    <w:tmpl w:val="24B46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45FBE"/>
    <w:rsid w:val="00051939"/>
    <w:rsid w:val="000A5213"/>
    <w:rsid w:val="000A5EDE"/>
    <w:rsid w:val="000C3478"/>
    <w:rsid w:val="000E6C4B"/>
    <w:rsid w:val="00145CFD"/>
    <w:rsid w:val="00204059"/>
    <w:rsid w:val="00224340"/>
    <w:rsid w:val="00245651"/>
    <w:rsid w:val="00255573"/>
    <w:rsid w:val="002769C3"/>
    <w:rsid w:val="00276DC3"/>
    <w:rsid w:val="00282AC4"/>
    <w:rsid w:val="00283CD9"/>
    <w:rsid w:val="002E00AF"/>
    <w:rsid w:val="003D2968"/>
    <w:rsid w:val="004219CF"/>
    <w:rsid w:val="004357C3"/>
    <w:rsid w:val="00442BF0"/>
    <w:rsid w:val="00491530"/>
    <w:rsid w:val="00493193"/>
    <w:rsid w:val="004A5BF7"/>
    <w:rsid w:val="005315C1"/>
    <w:rsid w:val="00543291"/>
    <w:rsid w:val="005D0E45"/>
    <w:rsid w:val="006B4AE5"/>
    <w:rsid w:val="006C4BF8"/>
    <w:rsid w:val="006C7361"/>
    <w:rsid w:val="006E334A"/>
    <w:rsid w:val="006F3C04"/>
    <w:rsid w:val="00703738"/>
    <w:rsid w:val="00734BA0"/>
    <w:rsid w:val="00754CE7"/>
    <w:rsid w:val="00755A73"/>
    <w:rsid w:val="00781BA7"/>
    <w:rsid w:val="007946B9"/>
    <w:rsid w:val="007C31DA"/>
    <w:rsid w:val="00843B35"/>
    <w:rsid w:val="008953E3"/>
    <w:rsid w:val="008F2647"/>
    <w:rsid w:val="00926A87"/>
    <w:rsid w:val="00942CE6"/>
    <w:rsid w:val="00A34D2B"/>
    <w:rsid w:val="00A35EF2"/>
    <w:rsid w:val="00A45FBE"/>
    <w:rsid w:val="00A60AB8"/>
    <w:rsid w:val="00AB01D2"/>
    <w:rsid w:val="00B1050B"/>
    <w:rsid w:val="00B22B50"/>
    <w:rsid w:val="00B25473"/>
    <w:rsid w:val="00B42608"/>
    <w:rsid w:val="00C153F5"/>
    <w:rsid w:val="00C26C36"/>
    <w:rsid w:val="00C46098"/>
    <w:rsid w:val="00C85E9A"/>
    <w:rsid w:val="00CE0A58"/>
    <w:rsid w:val="00CF25CE"/>
    <w:rsid w:val="00D57EFD"/>
    <w:rsid w:val="00DA08FE"/>
    <w:rsid w:val="00DA1CF0"/>
    <w:rsid w:val="00DB5BFD"/>
    <w:rsid w:val="00DC6216"/>
    <w:rsid w:val="00DF211E"/>
    <w:rsid w:val="00E14077"/>
    <w:rsid w:val="00E30E7E"/>
    <w:rsid w:val="00E41A48"/>
    <w:rsid w:val="00E714A0"/>
    <w:rsid w:val="00E80AC0"/>
    <w:rsid w:val="00E92D99"/>
    <w:rsid w:val="00ED6779"/>
    <w:rsid w:val="00F15A8B"/>
    <w:rsid w:val="00F641C5"/>
    <w:rsid w:val="00FC6B79"/>
    <w:rsid w:val="00FC7D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26C36"/>
    <w:pPr>
      <w:tabs>
        <w:tab w:val="center" w:pos="4680"/>
        <w:tab w:val="right" w:pos="9360"/>
      </w:tabs>
    </w:pPr>
  </w:style>
  <w:style w:type="character" w:customStyle="1" w:styleId="HeaderChar">
    <w:name w:val="Header Char"/>
    <w:basedOn w:val="DefaultParagraphFont"/>
    <w:link w:val="Header"/>
    <w:uiPriority w:val="99"/>
    <w:semiHidden/>
    <w:rsid w:val="00C26C36"/>
  </w:style>
  <w:style w:type="paragraph" w:styleId="Footer">
    <w:name w:val="footer"/>
    <w:basedOn w:val="Normal"/>
    <w:link w:val="FooterChar"/>
    <w:uiPriority w:val="99"/>
    <w:unhideWhenUsed/>
    <w:rsid w:val="00C26C36"/>
    <w:pPr>
      <w:tabs>
        <w:tab w:val="center" w:pos="4680"/>
        <w:tab w:val="right" w:pos="9360"/>
      </w:tabs>
    </w:pPr>
  </w:style>
  <w:style w:type="character" w:customStyle="1" w:styleId="FooterChar">
    <w:name w:val="Footer Char"/>
    <w:basedOn w:val="DefaultParagraphFont"/>
    <w:link w:val="Footer"/>
    <w:uiPriority w:val="99"/>
    <w:rsid w:val="00C26C36"/>
  </w:style>
  <w:style w:type="paragraph" w:styleId="ListParagraph">
    <w:name w:val="List Paragraph"/>
    <w:basedOn w:val="Normal"/>
    <w:uiPriority w:val="34"/>
    <w:qFormat/>
    <w:rsid w:val="00E30E7E"/>
    <w:pPr>
      <w:ind w:left="720"/>
      <w:contextualSpacing/>
    </w:pPr>
  </w:style>
  <w:style w:type="paragraph" w:styleId="BalloonText">
    <w:name w:val="Balloon Text"/>
    <w:basedOn w:val="Normal"/>
    <w:link w:val="BalloonTextChar"/>
    <w:uiPriority w:val="99"/>
    <w:semiHidden/>
    <w:unhideWhenUsed/>
    <w:rsid w:val="00051939"/>
    <w:rPr>
      <w:rFonts w:ascii="Tahoma" w:hAnsi="Tahoma" w:cs="Tahoma"/>
      <w:sz w:val="16"/>
      <w:szCs w:val="16"/>
    </w:rPr>
  </w:style>
  <w:style w:type="character" w:customStyle="1" w:styleId="BalloonTextChar">
    <w:name w:val="Balloon Text Char"/>
    <w:basedOn w:val="DefaultParagraphFont"/>
    <w:link w:val="BalloonText"/>
    <w:uiPriority w:val="99"/>
    <w:semiHidden/>
    <w:rsid w:val="000519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0925459">
      <w:bodyDiv w:val="1"/>
      <w:marLeft w:val="0"/>
      <w:marRight w:val="0"/>
      <w:marTop w:val="0"/>
      <w:marBottom w:val="0"/>
      <w:divBdr>
        <w:top w:val="none" w:sz="0" w:space="0" w:color="auto"/>
        <w:left w:val="none" w:sz="0" w:space="0" w:color="auto"/>
        <w:bottom w:val="none" w:sz="0" w:space="0" w:color="auto"/>
        <w:right w:val="none" w:sz="0" w:space="0" w:color="auto"/>
      </w:divBdr>
      <w:divsChild>
        <w:div w:id="674067893">
          <w:marLeft w:val="432"/>
          <w:marRight w:val="0"/>
          <w:marTop w:val="125"/>
          <w:marBottom w:val="0"/>
          <w:divBdr>
            <w:top w:val="none" w:sz="0" w:space="0" w:color="auto"/>
            <w:left w:val="none" w:sz="0" w:space="0" w:color="auto"/>
            <w:bottom w:val="none" w:sz="0" w:space="0" w:color="auto"/>
            <w:right w:val="none" w:sz="0" w:space="0" w:color="auto"/>
          </w:divBdr>
        </w:div>
        <w:div w:id="1077629611">
          <w:marLeft w:val="1008"/>
          <w:marRight w:val="0"/>
          <w:marTop w:val="115"/>
          <w:marBottom w:val="0"/>
          <w:divBdr>
            <w:top w:val="none" w:sz="0" w:space="0" w:color="auto"/>
            <w:left w:val="none" w:sz="0" w:space="0" w:color="auto"/>
            <w:bottom w:val="none" w:sz="0" w:space="0" w:color="auto"/>
            <w:right w:val="none" w:sz="0" w:space="0" w:color="auto"/>
          </w:divBdr>
        </w:div>
      </w:divsChild>
    </w:div>
    <w:div w:id="1129930777">
      <w:bodyDiv w:val="1"/>
      <w:marLeft w:val="0"/>
      <w:marRight w:val="0"/>
      <w:marTop w:val="0"/>
      <w:marBottom w:val="0"/>
      <w:divBdr>
        <w:top w:val="none" w:sz="0" w:space="0" w:color="auto"/>
        <w:left w:val="none" w:sz="0" w:space="0" w:color="auto"/>
        <w:bottom w:val="none" w:sz="0" w:space="0" w:color="auto"/>
        <w:right w:val="none" w:sz="0" w:space="0" w:color="auto"/>
      </w:divBdr>
      <w:divsChild>
        <w:div w:id="201480280">
          <w:marLeft w:val="432"/>
          <w:marRight w:val="0"/>
          <w:marTop w:val="125"/>
          <w:marBottom w:val="0"/>
          <w:divBdr>
            <w:top w:val="none" w:sz="0" w:space="0" w:color="auto"/>
            <w:left w:val="none" w:sz="0" w:space="0" w:color="auto"/>
            <w:bottom w:val="none" w:sz="0" w:space="0" w:color="auto"/>
            <w:right w:val="none" w:sz="0" w:space="0" w:color="auto"/>
          </w:divBdr>
        </w:div>
        <w:div w:id="1137844838">
          <w:marLeft w:val="1008"/>
          <w:marRight w:val="0"/>
          <w:marTop w:val="115"/>
          <w:marBottom w:val="0"/>
          <w:divBdr>
            <w:top w:val="none" w:sz="0" w:space="0" w:color="auto"/>
            <w:left w:val="none" w:sz="0" w:space="0" w:color="auto"/>
            <w:bottom w:val="none" w:sz="0" w:space="0" w:color="auto"/>
            <w:right w:val="none" w:sz="0" w:space="0" w:color="auto"/>
          </w:divBdr>
        </w:div>
      </w:divsChild>
    </w:div>
    <w:div w:id="1132871759">
      <w:bodyDiv w:val="1"/>
      <w:marLeft w:val="0"/>
      <w:marRight w:val="0"/>
      <w:marTop w:val="0"/>
      <w:marBottom w:val="0"/>
      <w:divBdr>
        <w:top w:val="none" w:sz="0" w:space="0" w:color="auto"/>
        <w:left w:val="none" w:sz="0" w:space="0" w:color="auto"/>
        <w:bottom w:val="none" w:sz="0" w:space="0" w:color="auto"/>
        <w:right w:val="none" w:sz="0" w:space="0" w:color="auto"/>
      </w:divBdr>
      <w:divsChild>
        <w:div w:id="936324873">
          <w:marLeft w:val="432"/>
          <w:marRight w:val="0"/>
          <w:marTop w:val="125"/>
          <w:marBottom w:val="0"/>
          <w:divBdr>
            <w:top w:val="none" w:sz="0" w:space="0" w:color="auto"/>
            <w:left w:val="none" w:sz="0" w:space="0" w:color="auto"/>
            <w:bottom w:val="none" w:sz="0" w:space="0" w:color="auto"/>
            <w:right w:val="none" w:sz="0" w:space="0" w:color="auto"/>
          </w:divBdr>
        </w:div>
        <w:div w:id="2146460030">
          <w:marLeft w:val="1008"/>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2973</Words>
  <Characters>16951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4</cp:revision>
  <cp:lastPrinted>2011-09-16T19:22:00Z</cp:lastPrinted>
  <dcterms:created xsi:type="dcterms:W3CDTF">2011-09-26T13:16:00Z</dcterms:created>
  <dcterms:modified xsi:type="dcterms:W3CDTF">2011-09-26T14:52:00Z</dcterms:modified>
</cp:coreProperties>
</file>