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F3" w:rsidRPr="007A3A5C" w:rsidRDefault="007A3A5C" w:rsidP="00EE37F3">
      <w:pPr>
        <w:rPr>
          <w:b/>
          <w:sz w:val="24"/>
          <w:szCs w:val="24"/>
        </w:rPr>
      </w:pPr>
      <w:r w:rsidRPr="007A3A5C">
        <w:rPr>
          <w:b/>
          <w:sz w:val="24"/>
          <w:szCs w:val="24"/>
        </w:rPr>
        <w:t>M</w:t>
      </w:r>
      <w:r w:rsidR="00EE37F3" w:rsidRPr="007A3A5C">
        <w:rPr>
          <w:b/>
          <w:sz w:val="24"/>
          <w:szCs w:val="24"/>
        </w:rPr>
        <w:t>onitoring Guidelines for Incorporating Attenuation in the Updated Lake Jesup TMDL/BMAP</w:t>
      </w:r>
    </w:p>
    <w:p w:rsidR="00DB7510" w:rsidRPr="00EE37F3" w:rsidRDefault="00EE37F3" w:rsidP="00DB7510">
      <w:pPr>
        <w:spacing w:after="0"/>
      </w:pPr>
      <w:r>
        <w:t xml:space="preserve">To:  </w:t>
      </w:r>
      <w:r w:rsidR="00DB7510" w:rsidRPr="00EE37F3">
        <w:t>Bruce Paster, City of Lake Mary</w:t>
      </w:r>
      <w:r>
        <w:t xml:space="preserve"> </w:t>
      </w:r>
    </w:p>
    <w:p w:rsidR="00DB7510" w:rsidRDefault="00EE37F3" w:rsidP="00EE37F3">
      <w:pPr>
        <w:pBdr>
          <w:bottom w:val="single" w:sz="12" w:space="1" w:color="auto"/>
        </w:pBdr>
        <w:spacing w:after="0"/>
      </w:pPr>
      <w:r>
        <w:t xml:space="preserve">From: </w:t>
      </w:r>
      <w:r w:rsidR="00DB7510" w:rsidRPr="00EE37F3">
        <w:t xml:space="preserve"> Jennifer Gihring &amp; Dr. Xueqing Gao, FDEP</w:t>
      </w:r>
    </w:p>
    <w:p w:rsidR="00EE37F3" w:rsidRPr="00EE37F3" w:rsidRDefault="00EE37F3" w:rsidP="00EE37F3">
      <w:pPr>
        <w:spacing w:after="0"/>
      </w:pPr>
    </w:p>
    <w:p w:rsidR="00EE37F3" w:rsidRPr="00882198" w:rsidRDefault="00843C0B">
      <w:r>
        <w:t>This</w:t>
      </w:r>
      <w:r w:rsidR="00DB7510">
        <w:t xml:space="preserve"> document </w:t>
      </w:r>
      <w:r>
        <w:t>outlines</w:t>
      </w:r>
      <w:r w:rsidR="00DB7510">
        <w:t xml:space="preserve"> the monitoring necessary to </w:t>
      </w:r>
      <w:r>
        <w:t>support</w:t>
      </w:r>
      <w:r w:rsidR="00DB7510">
        <w:t xml:space="preserve"> incorporation of natural attenuation in the next iteration of the Lake Jesup TMDL/BMAP.   This issue was discussed extensively d</w:t>
      </w:r>
      <w:r>
        <w:t xml:space="preserve">uring development of the current BMAP.  </w:t>
      </w:r>
      <w:r w:rsidR="00DB7510">
        <w:t xml:space="preserve">Although </w:t>
      </w:r>
      <w:r>
        <w:t xml:space="preserve">several jurisdictions had water quality data sufficient to support attenuation calculations, this </w:t>
      </w:r>
      <w:r w:rsidR="00650594">
        <w:t>was</w:t>
      </w:r>
      <w:r>
        <w:t xml:space="preserve"> not true for every </w:t>
      </w:r>
      <w:r w:rsidR="00EE37F3">
        <w:t>entity</w:t>
      </w:r>
      <w:r>
        <w:t xml:space="preserve">.  </w:t>
      </w:r>
      <w:r w:rsidR="00A53751">
        <w:t xml:space="preserve">Thus, because attenuation </w:t>
      </w:r>
      <w:r w:rsidR="00992798">
        <w:t>is</w:t>
      </w:r>
      <w:r w:rsidR="00A53751">
        <w:t xml:space="preserve"> not </w:t>
      </w:r>
      <w:r w:rsidR="00992798">
        <w:t>quantifiable</w:t>
      </w:r>
      <w:r w:rsidR="00A53751">
        <w:t xml:space="preserve"> for every allocation entity</w:t>
      </w:r>
      <w:r w:rsidR="00992798">
        <w:t xml:space="preserve"> with the current spatial resolution of the model</w:t>
      </w:r>
      <w:r w:rsidR="00A53751">
        <w:t xml:space="preserve">, attenuation is not incorporated at this time.  </w:t>
      </w:r>
      <w:r w:rsidR="00EE37F3">
        <w:t>T</w:t>
      </w:r>
      <w:r w:rsidR="00D278FE">
        <w:t>his decision i</w:t>
      </w:r>
      <w:r w:rsidR="00EE37F3">
        <w:t xml:space="preserve">s </w:t>
      </w:r>
      <w:r w:rsidR="00EE37F3" w:rsidRPr="00882198">
        <w:t xml:space="preserve">consistent with the overall goal </w:t>
      </w:r>
      <w:r w:rsidR="00D278FE" w:rsidRPr="00882198">
        <w:t>of</w:t>
      </w:r>
      <w:r w:rsidR="00EE37F3" w:rsidRPr="00882198">
        <w:t xml:space="preserve"> maintain</w:t>
      </w:r>
      <w:r w:rsidR="00D278FE" w:rsidRPr="00882198">
        <w:t>ing</w:t>
      </w:r>
      <w:r w:rsidR="00EE37F3" w:rsidRPr="00882198">
        <w:t xml:space="preserve"> </w:t>
      </w:r>
      <w:r w:rsidRPr="00882198">
        <w:t xml:space="preserve">equity </w:t>
      </w:r>
      <w:r w:rsidR="00D278FE" w:rsidRPr="00882198">
        <w:t>among allocation entities</w:t>
      </w:r>
      <w:r w:rsidR="00EE37F3" w:rsidRPr="00882198">
        <w:t>.</w:t>
      </w:r>
    </w:p>
    <w:p w:rsidR="00EE37F3" w:rsidRPr="00882198" w:rsidRDefault="00EE37F3">
      <w:r w:rsidRPr="00882198">
        <w:t xml:space="preserve">It is of critical importance that allocation entities, in partnership with </w:t>
      </w:r>
      <w:r w:rsidR="00823760">
        <w:t>SJRWMD and FDEP</w:t>
      </w:r>
      <w:r w:rsidRPr="00882198">
        <w:t xml:space="preserve">, gather sufficient water quality data to allow quantification of natural attenuation </w:t>
      </w:r>
      <w:r w:rsidR="00992798">
        <w:t xml:space="preserve">at the necessary spatial resolution </w:t>
      </w:r>
      <w:r w:rsidRPr="00882198">
        <w:t xml:space="preserve">in the next iteration of the TMDL/BMAP.    This document outlines the monitoring needed to </w:t>
      </w:r>
      <w:r w:rsidR="00882198" w:rsidRPr="00882198">
        <w:t>support</w:t>
      </w:r>
      <w:r w:rsidRPr="00882198">
        <w:t xml:space="preserve"> this quantification.</w:t>
      </w:r>
    </w:p>
    <w:p w:rsidR="00882198" w:rsidRPr="00882198" w:rsidRDefault="00882198">
      <w:pPr>
        <w:rPr>
          <w:b/>
        </w:rPr>
      </w:pPr>
      <w:r w:rsidRPr="00882198">
        <w:rPr>
          <w:b/>
        </w:rPr>
        <w:t xml:space="preserve">Modeling Approach for TMDL </w:t>
      </w:r>
      <w:r w:rsidR="00710719">
        <w:rPr>
          <w:b/>
        </w:rPr>
        <w:t>Recalculation</w:t>
      </w:r>
    </w:p>
    <w:p w:rsidR="0038022F" w:rsidRDefault="00882198">
      <w:r>
        <w:t xml:space="preserve">The model used for the adopted TMDL was an expanded version of a model originally developed by PBS&amp;J for use in Seminole County.  </w:t>
      </w:r>
      <w:r w:rsidR="0038022F">
        <w:t xml:space="preserve">Due to the lack of fine resolution </w:t>
      </w:r>
      <w:r w:rsidR="00823760">
        <w:t xml:space="preserve">water quality </w:t>
      </w:r>
      <w:r w:rsidR="0038022F">
        <w:t xml:space="preserve">data across the watershed, this model was calibrated at a subbasin scale (e.g. Howell Creek subbasin, which includes portions of 11 local governments).  </w:t>
      </w:r>
      <w:r w:rsidR="00823760">
        <w:t>Thus, the model was</w:t>
      </w:r>
      <w:r w:rsidR="0038022F">
        <w:t xml:space="preserve"> able to capture accurate</w:t>
      </w:r>
      <w:r w:rsidR="00823760">
        <w:t xml:space="preserve"> loading rates by subbasin</w:t>
      </w:r>
      <w:r w:rsidR="0038022F">
        <w:t>.  However, this aggregates loading and in</w:t>
      </w:r>
      <w:r w:rsidR="00391943">
        <w:t>-</w:t>
      </w:r>
      <w:r w:rsidR="0038022F">
        <w:t>stream/in</w:t>
      </w:r>
      <w:r w:rsidR="00391943">
        <w:t>-</w:t>
      </w:r>
      <w:r w:rsidR="0038022F">
        <w:t xml:space="preserve">lake processes across </w:t>
      </w:r>
      <w:r w:rsidR="00823760">
        <w:t>all entities within the subbasin</w:t>
      </w:r>
      <w:r w:rsidR="0038022F">
        <w:t>.</w:t>
      </w:r>
      <w:r w:rsidR="00823760">
        <w:t xml:space="preserve">  </w:t>
      </w:r>
      <w:r w:rsidR="0038022F">
        <w:t xml:space="preserve"> </w:t>
      </w:r>
    </w:p>
    <w:p w:rsidR="00710719" w:rsidRDefault="007B222E">
      <w:r>
        <w:t>This model has</w:t>
      </w:r>
      <w:r w:rsidR="00882198">
        <w:t xml:space="preserve"> some limitations, relative to the ability to calculate detailed allocations in the BMAP.  </w:t>
      </w:r>
      <w:r w:rsidR="00710719">
        <w:t xml:space="preserve">The primary reason for this is that detailed </w:t>
      </w:r>
      <w:r w:rsidR="00992798">
        <w:t xml:space="preserve">hydrology </w:t>
      </w:r>
      <w:r w:rsidR="00710719">
        <w:t xml:space="preserve">and water quality data was not available at the outlet of each jurisdiction.  This data was available at the outlet of each subbasin, which allowed for accurate calibration of the model at that scale.  </w:t>
      </w:r>
      <w:r>
        <w:t xml:space="preserve">Due to the absence of defensible measured data, assumptions were required for several model components (e.g. </w:t>
      </w:r>
      <w:r w:rsidR="00992798">
        <w:t>subbasin-wide attenuation</w:t>
      </w:r>
      <w:r>
        <w:t>).  These assumptions were based on calculations from the model.</w:t>
      </w:r>
      <w:r w:rsidR="00823760">
        <w:t xml:space="preserve">  Thus, although the model was able to support calculation of detailed allocations, the lack of detailed water quality data did not allow the model to incorporate natural attenuation into the allocation calculations. </w:t>
      </w:r>
    </w:p>
    <w:p w:rsidR="00710719" w:rsidRPr="00995FC4" w:rsidRDefault="00710719">
      <w:r>
        <w:t xml:space="preserve">TMDL unknowns were discussed repeatedly in the BMAP development process.  </w:t>
      </w:r>
      <w:r w:rsidR="00823760">
        <w:t>Through these discussions, the need to recalculate the TMDL and address current unknowns (e.g. natural attenuation, sediment flux, etc</w:t>
      </w:r>
      <w:r w:rsidR="00823760" w:rsidRPr="00995FC4">
        <w:t xml:space="preserve">.) in the allocations became clear.  </w:t>
      </w:r>
      <w:r w:rsidRPr="00995FC4">
        <w:t>This need is identified in the Lake Jesup BMAP</w:t>
      </w:r>
      <w:r w:rsidR="007F4E31">
        <w:t xml:space="preserve"> and information necessary to address each unknown in future iterations is described</w:t>
      </w:r>
      <w:r w:rsidRPr="00995FC4">
        <w:t xml:space="preserve">.  Two modeling options exist for recalculation of the TMDL: </w:t>
      </w:r>
      <w:r w:rsidR="007F4E31">
        <w:t xml:space="preserve">(1) </w:t>
      </w:r>
      <w:r w:rsidRPr="00995FC4">
        <w:t>the PBS&amp;J model used for the original TMDL</w:t>
      </w:r>
      <w:r w:rsidR="007F4E31">
        <w:t>;</w:t>
      </w:r>
      <w:r w:rsidRPr="00995FC4">
        <w:t xml:space="preserve"> and </w:t>
      </w:r>
      <w:r w:rsidR="007F4E31">
        <w:t xml:space="preserve">(2) </w:t>
      </w:r>
      <w:r w:rsidRPr="00995FC4">
        <w:t>a</w:t>
      </w:r>
      <w:r w:rsidR="007F4E31">
        <w:t>n</w:t>
      </w:r>
      <w:r w:rsidRPr="00995FC4">
        <w:t xml:space="preserve"> HSPF model developed by the SJRWMD.  </w:t>
      </w:r>
    </w:p>
    <w:p w:rsidR="00823760" w:rsidRPr="00995FC4" w:rsidRDefault="00823760" w:rsidP="00823760">
      <w:r w:rsidRPr="00995FC4">
        <w:lastRenderedPageBreak/>
        <w:t xml:space="preserve">The </w:t>
      </w:r>
      <w:r w:rsidR="007F4E31">
        <w:t>SJR</w:t>
      </w:r>
      <w:r w:rsidRPr="00995FC4">
        <w:t xml:space="preserve">WMD HSPF model has a more detailed watershed loading calculation process and a much shorter running time (hours) than the PBS&amp;J model (annual) and therefore allows you to calibrate the model using data from each sampling event.  </w:t>
      </w:r>
      <w:r w:rsidR="007F4E31">
        <w:t xml:space="preserve">For example, </w:t>
      </w:r>
      <w:r w:rsidRPr="00995FC4">
        <w:t>if a local stakeholder collects water quality samples on a monthly basis</w:t>
      </w:r>
      <w:r w:rsidR="007F4E31">
        <w:t xml:space="preserve">, then over </w:t>
      </w:r>
      <w:r w:rsidRPr="00995FC4">
        <w:t xml:space="preserve">a five-year period </w:t>
      </w:r>
      <w:r w:rsidR="007F4E31">
        <w:t xml:space="preserve">there </w:t>
      </w:r>
      <w:r w:rsidRPr="00995FC4">
        <w:t xml:space="preserve">will </w:t>
      </w:r>
      <w:r w:rsidR="007F4E31">
        <w:t>be</w:t>
      </w:r>
      <w:r w:rsidR="007F4E31" w:rsidRPr="00995FC4">
        <w:t xml:space="preserve"> </w:t>
      </w:r>
      <w:r w:rsidRPr="00995FC4">
        <w:t xml:space="preserve">60 data points to calibrate </w:t>
      </w:r>
      <w:r w:rsidR="007F4E31">
        <w:t xml:space="preserve">the </w:t>
      </w:r>
      <w:r w:rsidRPr="00995FC4">
        <w:t xml:space="preserve">HSPF model, but </w:t>
      </w:r>
      <w:r w:rsidR="007F4E31">
        <w:t xml:space="preserve">there would </w:t>
      </w:r>
      <w:r w:rsidRPr="00995FC4">
        <w:t xml:space="preserve">only </w:t>
      </w:r>
      <w:r w:rsidR="007F4E31">
        <w:t>be</w:t>
      </w:r>
      <w:r w:rsidR="007F4E31" w:rsidRPr="00995FC4">
        <w:t xml:space="preserve"> </w:t>
      </w:r>
      <w:r w:rsidRPr="00995FC4">
        <w:t xml:space="preserve">5 data points to calibrate the PBS&amp;J model.  </w:t>
      </w:r>
      <w:r w:rsidR="007F4E31">
        <w:t xml:space="preserve">By utilizing </w:t>
      </w:r>
      <w:r w:rsidRPr="00995FC4">
        <w:t>more data for calibration</w:t>
      </w:r>
      <w:r w:rsidR="007F4E31">
        <w:t>, the</w:t>
      </w:r>
      <w:r w:rsidR="00391943">
        <w:t xml:space="preserve"> model will yield a</w:t>
      </w:r>
      <w:r w:rsidRPr="00995FC4">
        <w:t xml:space="preserve"> more accurate loading number.</w:t>
      </w:r>
    </w:p>
    <w:p w:rsidR="007B222E" w:rsidRDefault="007B222E" w:rsidP="007B222E">
      <w:r w:rsidRPr="00995FC4">
        <w:t xml:space="preserve">In addition, </w:t>
      </w:r>
      <w:r w:rsidR="00391943">
        <w:t xml:space="preserve">the </w:t>
      </w:r>
      <w:r w:rsidRPr="00995FC4">
        <w:t>HSPF model also addresses the in-stream assimilation of nutrient</w:t>
      </w:r>
      <w:r w:rsidR="00391943">
        <w:t>s</w:t>
      </w:r>
      <w:r w:rsidRPr="00995FC4">
        <w:t xml:space="preserve"> while </w:t>
      </w:r>
      <w:r w:rsidR="00391943">
        <w:t xml:space="preserve">the </w:t>
      </w:r>
      <w:r w:rsidRPr="00995FC4">
        <w:t xml:space="preserve">PBS&amp;J model does not have an in-stream component.  Therefore, </w:t>
      </w:r>
      <w:r w:rsidR="00391943">
        <w:t>in the</w:t>
      </w:r>
      <w:r w:rsidR="00391943" w:rsidRPr="00995FC4">
        <w:t xml:space="preserve"> </w:t>
      </w:r>
      <w:r w:rsidRPr="00995FC4">
        <w:t xml:space="preserve">PBS&amp;J model, attenuation can only </w:t>
      </w:r>
      <w:r w:rsidR="00391943">
        <w:t>occur</w:t>
      </w:r>
      <w:r w:rsidR="00391943" w:rsidRPr="00995FC4">
        <w:t xml:space="preserve"> </w:t>
      </w:r>
      <w:r w:rsidRPr="00995FC4">
        <w:t xml:space="preserve">in the watershed, while </w:t>
      </w:r>
      <w:r w:rsidR="00391943">
        <w:t xml:space="preserve">in the </w:t>
      </w:r>
      <w:r w:rsidRPr="00995FC4">
        <w:t>HSPF</w:t>
      </w:r>
      <w:r w:rsidR="00391943">
        <w:t xml:space="preserve"> model</w:t>
      </w:r>
      <w:r w:rsidRPr="00995FC4">
        <w:t>, attenuation can happen both in the watershed and in the receiving water, which is closer to reality.</w:t>
      </w:r>
    </w:p>
    <w:p w:rsidR="0075625F" w:rsidRPr="00995FC4" w:rsidRDefault="007D13A8" w:rsidP="0075625F">
      <w:r>
        <w:t xml:space="preserve">The HSPF model will also allow the watershed loading and in-lake process components to be linked in the same model.  The PBS&amp;J model </w:t>
      </w:r>
      <w:r w:rsidR="0075625F">
        <w:t xml:space="preserve">does not have a receiving-water component, </w:t>
      </w:r>
      <w:r>
        <w:t xml:space="preserve">so the Bathtub model was used in the TMDL </w:t>
      </w:r>
      <w:r w:rsidR="0075625F">
        <w:t xml:space="preserve">to </w:t>
      </w:r>
      <w:r>
        <w:t>simulate</w:t>
      </w:r>
      <w:r w:rsidR="0075625F">
        <w:t xml:space="preserve"> </w:t>
      </w:r>
      <w:r>
        <w:t xml:space="preserve">the trophic state of Lake Jesup. </w:t>
      </w:r>
      <w:r w:rsidR="0075625F">
        <w:t xml:space="preserve">Using two models to address Lake Jesup nutrient conditions adds to the complication of the model simulation.  </w:t>
      </w:r>
    </w:p>
    <w:p w:rsidR="007B222E" w:rsidRPr="00995FC4" w:rsidRDefault="007B222E" w:rsidP="007B222E">
      <w:r w:rsidRPr="00995FC4">
        <w:t xml:space="preserve">The PBS&amp;J model was used for the TMDL because it was available at the time the TMDL was developed.  The HSPF model has been developed since that time.  Although the decision depends on data availability, the Department anticipates that future recalculation of the Lake Jesup TMDL will use the HSPF modeling platform, due to its advantages over the PBS&amp;J model. </w:t>
      </w:r>
    </w:p>
    <w:p w:rsidR="00882198" w:rsidRPr="00995FC4" w:rsidRDefault="00823760">
      <w:r w:rsidRPr="00995FC4">
        <w:t>The following three factors apply to recalculation of the TMDL, regardless of which model platform is selected:</w:t>
      </w:r>
    </w:p>
    <w:p w:rsidR="00882198" w:rsidRDefault="00710719" w:rsidP="00710719">
      <w:pPr>
        <w:pStyle w:val="ListParagraph"/>
        <w:numPr>
          <w:ilvl w:val="0"/>
          <w:numId w:val="2"/>
        </w:numPr>
      </w:pPr>
      <w:r w:rsidRPr="00995FC4">
        <w:t>Subbasin delineation</w:t>
      </w:r>
      <w:r w:rsidR="00823760" w:rsidRPr="00995FC4">
        <w:t>: subbasins will need to be d</w:t>
      </w:r>
      <w:r w:rsidR="00823760">
        <w:t>efined consistent with the drainage area of each allocation entity</w:t>
      </w:r>
      <w:r w:rsidR="00B97FDD">
        <w:t xml:space="preserve"> (note – </w:t>
      </w:r>
      <w:r w:rsidR="001E0AFF">
        <w:t>this may involve identification of multiple subbasins for some jurisdictions to achieve the appropriate spatial resolution)</w:t>
      </w:r>
      <w:r w:rsidR="00823760">
        <w:t>;</w:t>
      </w:r>
    </w:p>
    <w:p w:rsidR="00710719" w:rsidRDefault="00710719" w:rsidP="00710719">
      <w:pPr>
        <w:pStyle w:val="ListParagraph"/>
        <w:numPr>
          <w:ilvl w:val="0"/>
          <w:numId w:val="2"/>
        </w:numPr>
      </w:pPr>
      <w:r>
        <w:t>Subbasin monitoring stations for streams</w:t>
      </w:r>
      <w:r w:rsidR="00823760">
        <w:t>: sufficient water quality data will be needed at the outlet of each subbasin to facilitate calibration and calculation of attenuation by entity; and</w:t>
      </w:r>
    </w:p>
    <w:p w:rsidR="00710719" w:rsidRDefault="00710719" w:rsidP="00710719">
      <w:pPr>
        <w:pStyle w:val="ListParagraph"/>
        <w:numPr>
          <w:ilvl w:val="0"/>
          <w:numId w:val="2"/>
        </w:numPr>
      </w:pPr>
      <w:r>
        <w:t xml:space="preserve">Inflow </w:t>
      </w:r>
      <w:r w:rsidR="00391943">
        <w:t>and</w:t>
      </w:r>
      <w:r>
        <w:t xml:space="preserve"> in-lake stations for lakes</w:t>
      </w:r>
      <w:r w:rsidR="00823760">
        <w:t>: data will be needed on the inflow and in-lake water quality also to facilitate calibration and attenuation calculations.</w:t>
      </w:r>
    </w:p>
    <w:p w:rsidR="00882198" w:rsidRDefault="00622FD1">
      <w:pPr>
        <w:rPr>
          <w:b/>
        </w:rPr>
      </w:pPr>
      <w:r>
        <w:rPr>
          <w:b/>
        </w:rPr>
        <w:t>Sampling Regime</w:t>
      </w:r>
    </w:p>
    <w:p w:rsidR="00622FD1" w:rsidRDefault="00C411CD">
      <w:r w:rsidRPr="00C411CD">
        <w:t xml:space="preserve">The following table describes the data requirements necessary </w:t>
      </w:r>
      <w:r w:rsidR="00C238A6">
        <w:t>to incorporate</w:t>
      </w:r>
      <w:r w:rsidRPr="00C411CD">
        <w:t xml:space="preserve"> natural attenuation in the Lake Jesup BMAP allocations. </w:t>
      </w:r>
      <w:r w:rsidR="007A3A5C">
        <w:t xml:space="preserve"> </w:t>
      </w:r>
      <w:r w:rsidR="00391943">
        <w:t>The number of</w:t>
      </w:r>
      <w:r w:rsidR="007A3A5C">
        <w:t xml:space="preserve"> data</w:t>
      </w:r>
      <w:r w:rsidR="00391943">
        <w:t xml:space="preserve"> points that</w:t>
      </w:r>
      <w:r w:rsidR="007A3A5C">
        <w:t xml:space="preserve"> is needed</w:t>
      </w:r>
      <w:r w:rsidR="00391943">
        <w:t xml:space="preserve"> depends on the level of statistical </w:t>
      </w:r>
      <w:r w:rsidR="007A3A5C">
        <w:t xml:space="preserve">confidence </w:t>
      </w:r>
      <w:r w:rsidR="00391943">
        <w:t>required for</w:t>
      </w:r>
      <w:r w:rsidR="007A3A5C">
        <w:t xml:space="preserve"> the </w:t>
      </w:r>
      <w:r w:rsidR="00C238A6">
        <w:t xml:space="preserve">final </w:t>
      </w:r>
      <w:r w:rsidR="007A3A5C">
        <w:t xml:space="preserve">values.  </w:t>
      </w:r>
      <w:r w:rsidR="00622FD1">
        <w:t>The sampling regime reflects the need for long-term ambient sampling (storm-event and/or high intensity</w:t>
      </w:r>
      <w:r w:rsidR="00391943">
        <w:t>;</w:t>
      </w:r>
      <w:r w:rsidR="00622FD1">
        <w:t xml:space="preserve"> short-t</w:t>
      </w:r>
      <w:r w:rsidR="00391943">
        <w:t>erm</w:t>
      </w:r>
      <w:r w:rsidR="00622FD1">
        <w:t xml:space="preserve"> sampling is not sufficient for calculation of natural attenuation).  Flow monitoring is not necessary for calculation of natural attenuation rates.  </w:t>
      </w:r>
    </w:p>
    <w:p w:rsidR="00EF5F0C" w:rsidRDefault="00622FD1">
      <w:r>
        <w:t>Three options are provided below.  The minimum sampling regime noted would provide more information than is currently available.  However, if this</w:t>
      </w:r>
      <w:r w:rsidR="002B0F15">
        <w:t xml:space="preserve"> </w:t>
      </w:r>
      <w:r>
        <w:t>regime is implemented</w:t>
      </w:r>
      <w:r w:rsidR="00C238A6">
        <w:t xml:space="preserve">, </w:t>
      </w:r>
      <w:r w:rsidR="002B0F15">
        <w:t xml:space="preserve">any unforeseen </w:t>
      </w:r>
      <w:r w:rsidR="002B0F15">
        <w:lastRenderedPageBreak/>
        <w:t xml:space="preserve">circumstances that prevent one sample from being usable (e.g. weather events, lab problems, field QA/QC issues, etc.) would require that the sample be </w:t>
      </w:r>
      <w:r w:rsidR="00C238A6">
        <w:t>accounted for</w:t>
      </w:r>
      <w:r w:rsidR="002B0F15">
        <w:t xml:space="preserve"> with an assumption during model recalibration. </w:t>
      </w:r>
      <w:r w:rsidR="00C238A6">
        <w:t xml:space="preserve"> Any assumptions made during this process would err on the side of being conservative</w:t>
      </w:r>
      <w:r>
        <w:t xml:space="preserve"> (i.e. assuming less natural attenuation).  The ideal sampling regime would allow natural attenuation calculations to be based on measured data.  Although unforeseen circumstances can always come into play, the more measured data that can be used for the calculation, the more confidence one can have in the final outcome.</w:t>
      </w:r>
      <w:r w:rsidR="00506BE3" w:rsidRPr="00506BE3">
        <w:t xml:space="preserve"> </w:t>
      </w:r>
      <w:r w:rsidR="00506BE3">
        <w:t xml:space="preserve"> A four year monitoring regime is the minimum time frame needed to provide sufficient data to accurately calculate attenuation .  Therefore, it will not be possible to provide attenuation credit within the first phase of the BMAP.</w:t>
      </w:r>
    </w:p>
    <w:p w:rsidR="00CB6E24" w:rsidRPr="00622FD1" w:rsidRDefault="00622FD1">
      <w:pPr>
        <w:rPr>
          <w:b/>
        </w:rPr>
      </w:pPr>
      <w:r w:rsidRPr="00622FD1">
        <w:rPr>
          <w:b/>
        </w:rPr>
        <w:t>Three Levels of Sampling Effort to Support Natural Attenuation Calculations</w:t>
      </w:r>
    </w:p>
    <w:tbl>
      <w:tblPr>
        <w:tblStyle w:val="TableGrid"/>
        <w:tblW w:w="0" w:type="auto"/>
        <w:tblInd w:w="108" w:type="dxa"/>
        <w:tblLook w:val="04A0"/>
      </w:tblPr>
      <w:tblGrid>
        <w:gridCol w:w="1807"/>
        <w:gridCol w:w="2333"/>
        <w:gridCol w:w="2430"/>
        <w:gridCol w:w="2700"/>
      </w:tblGrid>
      <w:tr w:rsidR="00EF5F0C" w:rsidTr="00C238A6">
        <w:tc>
          <w:tcPr>
            <w:tcW w:w="1807" w:type="dxa"/>
            <w:tcBorders>
              <w:bottom w:val="single" w:sz="4" w:space="0" w:color="000000" w:themeColor="text1"/>
            </w:tcBorders>
            <w:shd w:val="clear" w:color="auto" w:fill="D9D9D9" w:themeFill="background1" w:themeFillShade="D9"/>
          </w:tcPr>
          <w:p w:rsidR="007A3A5C" w:rsidRDefault="007A3A5C"/>
        </w:tc>
        <w:tc>
          <w:tcPr>
            <w:tcW w:w="2333" w:type="dxa"/>
            <w:shd w:val="clear" w:color="auto" w:fill="D9D9D9" w:themeFill="background1" w:themeFillShade="D9"/>
          </w:tcPr>
          <w:p w:rsidR="007A3A5C" w:rsidRPr="00C238A6" w:rsidRDefault="007A3A5C">
            <w:pPr>
              <w:rPr>
                <w:b/>
              </w:rPr>
            </w:pPr>
            <w:r w:rsidRPr="00C238A6">
              <w:rPr>
                <w:b/>
              </w:rPr>
              <w:t>MINIMUM</w:t>
            </w:r>
          </w:p>
        </w:tc>
        <w:tc>
          <w:tcPr>
            <w:tcW w:w="2430" w:type="dxa"/>
            <w:shd w:val="clear" w:color="auto" w:fill="D9D9D9" w:themeFill="background1" w:themeFillShade="D9"/>
          </w:tcPr>
          <w:p w:rsidR="007A3A5C" w:rsidRPr="00C238A6" w:rsidRDefault="007A3A5C">
            <w:pPr>
              <w:rPr>
                <w:b/>
              </w:rPr>
            </w:pPr>
            <w:r w:rsidRPr="00C238A6">
              <w:rPr>
                <w:b/>
              </w:rPr>
              <w:t>MODERATE</w:t>
            </w:r>
          </w:p>
        </w:tc>
        <w:tc>
          <w:tcPr>
            <w:tcW w:w="2700" w:type="dxa"/>
            <w:shd w:val="clear" w:color="auto" w:fill="D9D9D9" w:themeFill="background1" w:themeFillShade="D9"/>
          </w:tcPr>
          <w:p w:rsidR="007A3A5C" w:rsidRPr="00C238A6" w:rsidRDefault="007A3A5C">
            <w:pPr>
              <w:rPr>
                <w:b/>
              </w:rPr>
            </w:pPr>
            <w:r w:rsidRPr="00C238A6">
              <w:rPr>
                <w:b/>
              </w:rPr>
              <w:t>IDEAL</w:t>
            </w:r>
          </w:p>
        </w:tc>
      </w:tr>
      <w:tr w:rsidR="007A3A5C" w:rsidTr="00C238A6">
        <w:tc>
          <w:tcPr>
            <w:tcW w:w="1807" w:type="dxa"/>
            <w:shd w:val="clear" w:color="auto" w:fill="D9D9D9" w:themeFill="background1" w:themeFillShade="D9"/>
          </w:tcPr>
          <w:p w:rsidR="007A3A5C" w:rsidRPr="00C238A6" w:rsidRDefault="007A3A5C">
            <w:pPr>
              <w:rPr>
                <w:b/>
              </w:rPr>
            </w:pPr>
            <w:r w:rsidRPr="00C238A6">
              <w:rPr>
                <w:b/>
              </w:rPr>
              <w:t>Frequency</w:t>
            </w:r>
          </w:p>
        </w:tc>
        <w:tc>
          <w:tcPr>
            <w:tcW w:w="2333" w:type="dxa"/>
          </w:tcPr>
          <w:p w:rsidR="007A3A5C" w:rsidRDefault="007A3A5C">
            <w:r>
              <w:t>Bimonthly</w:t>
            </w:r>
            <w:r w:rsidR="00391943">
              <w:t xml:space="preserve"> (every other month)</w:t>
            </w:r>
          </w:p>
        </w:tc>
        <w:tc>
          <w:tcPr>
            <w:tcW w:w="2430" w:type="dxa"/>
          </w:tcPr>
          <w:p w:rsidR="007A3A5C" w:rsidRDefault="007A3A5C">
            <w:r>
              <w:t>Monthly</w:t>
            </w:r>
          </w:p>
        </w:tc>
        <w:tc>
          <w:tcPr>
            <w:tcW w:w="2700" w:type="dxa"/>
          </w:tcPr>
          <w:p w:rsidR="007A3A5C" w:rsidRDefault="007A3A5C">
            <w:r>
              <w:t>Biweekly</w:t>
            </w:r>
            <w:r w:rsidR="00391943">
              <w:t xml:space="preserve"> (every other week)</w:t>
            </w:r>
          </w:p>
        </w:tc>
      </w:tr>
      <w:tr w:rsidR="007A3A5C" w:rsidTr="00C238A6">
        <w:tc>
          <w:tcPr>
            <w:tcW w:w="1807" w:type="dxa"/>
            <w:shd w:val="clear" w:color="auto" w:fill="D9D9D9" w:themeFill="background1" w:themeFillShade="D9"/>
          </w:tcPr>
          <w:p w:rsidR="007A3A5C" w:rsidRPr="00C238A6" w:rsidRDefault="007A3A5C">
            <w:pPr>
              <w:rPr>
                <w:b/>
              </w:rPr>
            </w:pPr>
            <w:r w:rsidRPr="00C238A6">
              <w:rPr>
                <w:b/>
              </w:rPr>
              <w:t>Duration</w:t>
            </w:r>
          </w:p>
        </w:tc>
        <w:tc>
          <w:tcPr>
            <w:tcW w:w="2333" w:type="dxa"/>
          </w:tcPr>
          <w:p w:rsidR="007A3A5C" w:rsidRDefault="007A3A5C" w:rsidP="00391943">
            <w:r>
              <w:t xml:space="preserve">4 </w:t>
            </w:r>
            <w:r w:rsidR="00391943">
              <w:t>years</w:t>
            </w:r>
          </w:p>
        </w:tc>
        <w:tc>
          <w:tcPr>
            <w:tcW w:w="2430" w:type="dxa"/>
          </w:tcPr>
          <w:p w:rsidR="007A3A5C" w:rsidRDefault="007A3A5C" w:rsidP="00391943">
            <w:r>
              <w:t xml:space="preserve">4 </w:t>
            </w:r>
            <w:r w:rsidR="00391943">
              <w:t>years</w:t>
            </w:r>
          </w:p>
        </w:tc>
        <w:tc>
          <w:tcPr>
            <w:tcW w:w="2700" w:type="dxa"/>
          </w:tcPr>
          <w:p w:rsidR="007A3A5C" w:rsidRDefault="007A3A5C" w:rsidP="00391943">
            <w:r>
              <w:t xml:space="preserve">5 </w:t>
            </w:r>
            <w:r w:rsidR="00391943">
              <w:t>years</w:t>
            </w:r>
          </w:p>
        </w:tc>
      </w:tr>
      <w:tr w:rsidR="007A3A5C" w:rsidTr="00C238A6">
        <w:tc>
          <w:tcPr>
            <w:tcW w:w="1807" w:type="dxa"/>
            <w:shd w:val="clear" w:color="auto" w:fill="D9D9D9" w:themeFill="background1" w:themeFillShade="D9"/>
          </w:tcPr>
          <w:p w:rsidR="007A3A5C" w:rsidRPr="00C238A6" w:rsidRDefault="007A3A5C">
            <w:pPr>
              <w:rPr>
                <w:b/>
              </w:rPr>
            </w:pPr>
            <w:r w:rsidRPr="00C238A6">
              <w:rPr>
                <w:b/>
              </w:rPr>
              <w:t>Parameters</w:t>
            </w:r>
          </w:p>
        </w:tc>
        <w:tc>
          <w:tcPr>
            <w:tcW w:w="2333" w:type="dxa"/>
          </w:tcPr>
          <w:p w:rsidR="007A3A5C" w:rsidRDefault="00EF5F0C">
            <w:r>
              <w:t>Full Parameter Suite *</w:t>
            </w:r>
          </w:p>
        </w:tc>
        <w:tc>
          <w:tcPr>
            <w:tcW w:w="2430" w:type="dxa"/>
          </w:tcPr>
          <w:p w:rsidR="007A3A5C" w:rsidRDefault="00EF5F0C" w:rsidP="006D6020">
            <w:r>
              <w:t>Full Parameter Suite *</w:t>
            </w:r>
          </w:p>
        </w:tc>
        <w:tc>
          <w:tcPr>
            <w:tcW w:w="2700" w:type="dxa"/>
          </w:tcPr>
          <w:p w:rsidR="007A3A5C" w:rsidRDefault="00EF5F0C" w:rsidP="006D6020">
            <w:r>
              <w:t>Full Parameter Suite * plus BOD</w:t>
            </w:r>
          </w:p>
        </w:tc>
      </w:tr>
      <w:tr w:rsidR="007A3A5C" w:rsidTr="00C238A6">
        <w:tc>
          <w:tcPr>
            <w:tcW w:w="1807" w:type="dxa"/>
            <w:tcBorders>
              <w:bottom w:val="single" w:sz="4" w:space="0" w:color="000000" w:themeColor="text1"/>
            </w:tcBorders>
            <w:shd w:val="clear" w:color="auto" w:fill="D9D9D9" w:themeFill="background1" w:themeFillShade="D9"/>
          </w:tcPr>
          <w:p w:rsidR="007A3A5C" w:rsidRPr="00C238A6" w:rsidRDefault="007A3A5C" w:rsidP="00C238A6">
            <w:pPr>
              <w:rPr>
                <w:b/>
              </w:rPr>
            </w:pPr>
            <w:r w:rsidRPr="00C238A6">
              <w:rPr>
                <w:b/>
              </w:rPr>
              <w:t xml:space="preserve">Improvement in Allocation </w:t>
            </w:r>
            <w:r w:rsidR="00C238A6">
              <w:rPr>
                <w:b/>
              </w:rPr>
              <w:t>Number</w:t>
            </w:r>
            <w:r w:rsidRPr="00C238A6">
              <w:rPr>
                <w:b/>
              </w:rPr>
              <w:t>s</w:t>
            </w:r>
          </w:p>
        </w:tc>
        <w:tc>
          <w:tcPr>
            <w:tcW w:w="2333" w:type="dxa"/>
          </w:tcPr>
          <w:p w:rsidR="007A3A5C" w:rsidRDefault="007A3A5C">
            <w:r>
              <w:t>Allows us to incorporate natural attenuation, but will likely require some assumptions (e.g. if weather precludes 1-2 sampling events).</w:t>
            </w:r>
          </w:p>
        </w:tc>
        <w:tc>
          <w:tcPr>
            <w:tcW w:w="2430" w:type="dxa"/>
          </w:tcPr>
          <w:p w:rsidR="007A3A5C" w:rsidRDefault="007A3A5C" w:rsidP="007A3A5C">
            <w:r>
              <w:t>Allows us to incorporate natural attenuation; limited assumptions may be needed.</w:t>
            </w:r>
          </w:p>
        </w:tc>
        <w:tc>
          <w:tcPr>
            <w:tcW w:w="2700" w:type="dxa"/>
          </w:tcPr>
          <w:p w:rsidR="007A3A5C" w:rsidRDefault="007A3A5C">
            <w:r>
              <w:t>Allows us to incorporate natural attenuation based entirely on measured data.</w:t>
            </w:r>
          </w:p>
        </w:tc>
      </w:tr>
      <w:tr w:rsidR="00C238A6" w:rsidTr="00C238A6">
        <w:tc>
          <w:tcPr>
            <w:tcW w:w="1807" w:type="dxa"/>
            <w:shd w:val="clear" w:color="auto" w:fill="D9D9D9" w:themeFill="background1" w:themeFillShade="D9"/>
          </w:tcPr>
          <w:p w:rsidR="00C238A6" w:rsidRPr="00C238A6" w:rsidRDefault="00C238A6" w:rsidP="006D6020">
            <w:pPr>
              <w:rPr>
                <w:b/>
              </w:rPr>
            </w:pPr>
            <w:r>
              <w:rPr>
                <w:b/>
              </w:rPr>
              <w:t xml:space="preserve">Cost Estimate </w:t>
            </w:r>
            <w:r w:rsidR="00EF5F0C">
              <w:rPr>
                <w:b/>
              </w:rPr>
              <w:t>(depends on the lab and sampling entity)</w:t>
            </w:r>
          </w:p>
        </w:tc>
        <w:tc>
          <w:tcPr>
            <w:tcW w:w="2333" w:type="dxa"/>
          </w:tcPr>
          <w:p w:rsidR="00000000" w:rsidRDefault="006D6020">
            <w:r>
              <w:t>~ $</w:t>
            </w:r>
            <w:r w:rsidR="00EF5F0C">
              <w:t>8</w:t>
            </w:r>
            <w:r>
              <w:t>0/sample</w:t>
            </w:r>
          </w:p>
        </w:tc>
        <w:tc>
          <w:tcPr>
            <w:tcW w:w="2430" w:type="dxa"/>
          </w:tcPr>
          <w:p w:rsidR="00000000" w:rsidRDefault="006D6020">
            <w:r>
              <w:t>~$1</w:t>
            </w:r>
            <w:r w:rsidR="00EF5F0C">
              <w:t>8</w:t>
            </w:r>
            <w:r>
              <w:t>0/sample</w:t>
            </w:r>
          </w:p>
        </w:tc>
        <w:tc>
          <w:tcPr>
            <w:tcW w:w="2700" w:type="dxa"/>
          </w:tcPr>
          <w:p w:rsidR="00000000" w:rsidRDefault="006D6020">
            <w:r>
              <w:t>~$1</w:t>
            </w:r>
            <w:r w:rsidR="00EF5F0C">
              <w:t>8</w:t>
            </w:r>
            <w:r>
              <w:t>0/sample</w:t>
            </w:r>
          </w:p>
        </w:tc>
      </w:tr>
    </w:tbl>
    <w:p w:rsidR="00000000" w:rsidRDefault="00EF5F0C">
      <w:pPr>
        <w:tabs>
          <w:tab w:val="left" w:pos="0"/>
        </w:tabs>
      </w:pPr>
      <w:r>
        <w:t xml:space="preserve">* </w:t>
      </w:r>
      <w:r w:rsidR="006D6020">
        <w:t xml:space="preserve">Alkalinity, </w:t>
      </w:r>
      <w:r>
        <w:t xml:space="preserve">Chl-a, </w:t>
      </w:r>
      <w:r w:rsidR="006D6020">
        <w:t>pH, DO, Specific Conductance, Temperature, Chlorophyll-a, TSS, Total Dissolved Solids, Ammonia as N, Nitrate/Nitrite as N, Total Phosphorous, Total N, Orthophosphate as P, &amp; Total Kjeldahl N</w:t>
      </w:r>
      <w:r>
        <w:t xml:space="preserve"> </w:t>
      </w:r>
    </w:p>
    <w:p w:rsidR="00EF5F0C" w:rsidRDefault="00EF5F0C" w:rsidP="00EF5F0C">
      <w:pPr>
        <w:rPr>
          <w:b/>
        </w:rPr>
      </w:pPr>
      <w:r>
        <w:rPr>
          <w:b/>
        </w:rPr>
        <w:t>Sampling Locations</w:t>
      </w:r>
    </w:p>
    <w:p w:rsidR="00EF5F0C" w:rsidRPr="005F495C" w:rsidRDefault="005F495C" w:rsidP="00EF5F0C">
      <w:r>
        <w:t xml:space="preserve">The following map shows two sets of monitoring stations.  The </w:t>
      </w:r>
      <w:r w:rsidR="001F03B4" w:rsidRPr="001F03B4">
        <w:rPr>
          <w:b/>
        </w:rPr>
        <w:t>red</w:t>
      </w:r>
      <w:r>
        <w:t xml:space="preserve"> stations are the bare minimum stations that would need to be sampled.  With only these stations, assumptions would still need to be made regarding loading from the remainder of the City.  The </w:t>
      </w:r>
      <w:r w:rsidR="001F03B4" w:rsidRPr="001F03B4">
        <w:rPr>
          <w:b/>
        </w:rPr>
        <w:t>red</w:t>
      </w:r>
      <w:r>
        <w:t xml:space="preserve"> and </w:t>
      </w:r>
      <w:r w:rsidR="001F03B4" w:rsidRPr="001F03B4">
        <w:rPr>
          <w:b/>
        </w:rPr>
        <w:t>orange</w:t>
      </w:r>
      <w:r>
        <w:t xml:space="preserve"> stations together would allow the City to better demonstrate the attenuation benefits of the internal wetlands as well as loading that leaves the City through Lake </w:t>
      </w:r>
      <w:r w:rsidR="005D2943">
        <w:t>Mary proper to discriminate between loading from the City of Lake Mary and the City of Sanford.</w:t>
      </w:r>
    </w:p>
    <w:p w:rsidR="00000000" w:rsidRDefault="00D82426">
      <w:pPr>
        <w:pStyle w:val="ListParagraph"/>
        <w:ind w:left="0"/>
      </w:pPr>
      <w:r>
        <w:rPr>
          <w:noProof/>
        </w:rPr>
        <w:lastRenderedPageBreak/>
        <w:drawing>
          <wp:inline distT="0" distB="0" distL="0" distR="0">
            <wp:extent cx="5943600" cy="490207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4902077"/>
                    </a:xfrm>
                    <a:prstGeom prst="rect">
                      <a:avLst/>
                    </a:prstGeom>
                    <a:noFill/>
                    <a:ln w="9525">
                      <a:noFill/>
                      <a:miter lim="800000"/>
                      <a:headEnd/>
                      <a:tailEnd/>
                    </a:ln>
                  </pic:spPr>
                </pic:pic>
              </a:graphicData>
            </a:graphic>
          </wp:inline>
        </w:drawing>
      </w:r>
    </w:p>
    <w:p w:rsidR="005D2943" w:rsidRDefault="005D2943">
      <w:pPr>
        <w:rPr>
          <w:b/>
        </w:rPr>
      </w:pPr>
    </w:p>
    <w:p w:rsidR="001E331B" w:rsidRPr="00650594" w:rsidRDefault="00823760">
      <w:pPr>
        <w:rPr>
          <w:b/>
        </w:rPr>
      </w:pPr>
      <w:r>
        <w:rPr>
          <w:b/>
        </w:rPr>
        <w:t>BMAP Considerations</w:t>
      </w:r>
    </w:p>
    <w:p w:rsidR="003412A0" w:rsidRDefault="003412A0">
      <w:r>
        <w:t>The following three implementation-specific items need to be incorporated in any decision regarding the extent of a monitoring strategy to address natural attenuation:</w:t>
      </w:r>
    </w:p>
    <w:p w:rsidR="00650594" w:rsidRDefault="00650594" w:rsidP="003412A0">
      <w:pPr>
        <w:pStyle w:val="ListParagraph"/>
        <w:numPr>
          <w:ilvl w:val="0"/>
          <w:numId w:val="3"/>
        </w:numPr>
      </w:pPr>
      <w:r>
        <w:t xml:space="preserve">If loads </w:t>
      </w:r>
      <w:r w:rsidR="00391943">
        <w:t xml:space="preserve">from a jurisdiction </w:t>
      </w:r>
      <w:r>
        <w:t>are attenuated, then benefits of projects</w:t>
      </w:r>
      <w:r w:rsidR="00391943">
        <w:t xml:space="preserve"> any projects in that jurisdictions</w:t>
      </w:r>
      <w:r>
        <w:t xml:space="preserve"> will be as well.</w:t>
      </w:r>
    </w:p>
    <w:p w:rsidR="00823760" w:rsidRDefault="00622FD1" w:rsidP="003412A0">
      <w:pPr>
        <w:pStyle w:val="ListParagraph"/>
        <w:numPr>
          <w:ilvl w:val="0"/>
          <w:numId w:val="3"/>
        </w:numPr>
      </w:pPr>
      <w:r>
        <w:t>Allocation e</w:t>
      </w:r>
      <w:r w:rsidR="00823760">
        <w:t xml:space="preserve">ntities have the opportunity over the next </w:t>
      </w:r>
      <w:r>
        <w:t>five</w:t>
      </w:r>
      <w:r w:rsidR="00823760">
        <w:t xml:space="preserve"> years to </w:t>
      </w:r>
      <w:r>
        <w:t>develop sufficient scientific documentation acceptable to FDEP</w:t>
      </w:r>
      <w:r w:rsidR="00823760">
        <w:t xml:space="preserve"> that an area should be treated as a noncontributing basin.  FDEP will work closely with any entity that desires to pursue this</w:t>
      </w:r>
      <w:r w:rsidR="00514C13">
        <w:t xml:space="preserve"> opportunity</w:t>
      </w:r>
      <w:r>
        <w:t>.</w:t>
      </w:r>
    </w:p>
    <w:p w:rsidR="00995FC4" w:rsidRDefault="00622FD1" w:rsidP="003412A0">
      <w:pPr>
        <w:pStyle w:val="ListParagraph"/>
        <w:numPr>
          <w:ilvl w:val="0"/>
          <w:numId w:val="3"/>
        </w:numPr>
      </w:pPr>
      <w:r>
        <w:t xml:space="preserve">When the </w:t>
      </w:r>
      <w:r w:rsidR="00995FC4">
        <w:t>TMDL</w:t>
      </w:r>
      <w:r>
        <w:t xml:space="preserve"> is recalculated</w:t>
      </w:r>
      <w:r w:rsidR="00995FC4">
        <w:t>,</w:t>
      </w:r>
      <w:r>
        <w:t xml:space="preserve"> allocations will also be recalculated</w:t>
      </w:r>
      <w:r w:rsidR="00995FC4">
        <w:t xml:space="preserve">.  </w:t>
      </w:r>
      <w:r>
        <w:t xml:space="preserve">Required reductions for some jurisdictions may go up, some may go down.  </w:t>
      </w:r>
      <w:r w:rsidR="003412A0">
        <w:t>B</w:t>
      </w:r>
      <w:r>
        <w:t>ecause</w:t>
      </w:r>
      <w:r w:rsidR="00995FC4">
        <w:t xml:space="preserve"> the TMDL will not be recalculated </w:t>
      </w:r>
      <w:r w:rsidR="003412A0">
        <w:t>during the first 5 year period, this recalculation</w:t>
      </w:r>
      <w:r w:rsidR="00995FC4">
        <w:t xml:space="preserve"> does not affect the first 1/3 required reduction. </w:t>
      </w:r>
      <w:r w:rsidR="003412A0">
        <w:t xml:space="preserve"> TMDL recalculation will affect years </w:t>
      </w:r>
      <w:r w:rsidR="00391943">
        <w:t>6</w:t>
      </w:r>
      <w:r w:rsidR="003412A0">
        <w:t>-15 of the implementation scenario.</w:t>
      </w:r>
    </w:p>
    <w:p w:rsidR="001E331B" w:rsidRDefault="001E331B"/>
    <w:sectPr w:rsidR="001E331B" w:rsidSect="00637843">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426" w:rsidRDefault="00D82426" w:rsidP="00DB7510">
      <w:pPr>
        <w:spacing w:after="0" w:line="240" w:lineRule="auto"/>
      </w:pPr>
      <w:r>
        <w:separator/>
      </w:r>
    </w:p>
  </w:endnote>
  <w:endnote w:type="continuationSeparator" w:id="0">
    <w:p w:rsidR="00D82426" w:rsidRDefault="00D82426" w:rsidP="00DB7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10" w:rsidRPr="00DB7510" w:rsidRDefault="00EF5F0C">
    <w:pPr>
      <w:pStyle w:val="Footer"/>
      <w:pBdr>
        <w:top w:val="thinThickSmallGap" w:sz="24" w:space="1" w:color="622423" w:themeColor="accent2" w:themeShade="7F"/>
      </w:pBdr>
    </w:pPr>
    <w:r>
      <w:t xml:space="preserve">August </w:t>
    </w:r>
    <w:r w:rsidR="0045285D">
      <w:t>12</w:t>
    </w:r>
    <w:r w:rsidR="00DB7510" w:rsidRPr="00DB7510">
      <w:t>, 2009</w:t>
    </w:r>
    <w:r w:rsidR="00DB7510" w:rsidRPr="00DB7510">
      <w:ptab w:relativeTo="margin" w:alignment="right" w:leader="none"/>
    </w:r>
    <w:r w:rsidR="00DB7510" w:rsidRPr="00DB7510">
      <w:t xml:space="preserve">Page </w:t>
    </w:r>
    <w:fldSimple w:instr=" PAGE   \* MERGEFORMAT ">
      <w:r w:rsidR="00534498">
        <w:rPr>
          <w:noProof/>
        </w:rPr>
        <w:t>1</w:t>
      </w:r>
    </w:fldSimple>
  </w:p>
  <w:p w:rsidR="00DB7510" w:rsidRDefault="00DB75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426" w:rsidRDefault="00D82426" w:rsidP="00DB7510">
      <w:pPr>
        <w:spacing w:after="0" w:line="240" w:lineRule="auto"/>
      </w:pPr>
      <w:r>
        <w:separator/>
      </w:r>
    </w:p>
  </w:footnote>
  <w:footnote w:type="continuationSeparator" w:id="0">
    <w:p w:rsidR="00D82426" w:rsidRDefault="00D82426" w:rsidP="00DB7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62A4"/>
    <w:multiLevelType w:val="hybridMultilevel"/>
    <w:tmpl w:val="D83A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E612C"/>
    <w:multiLevelType w:val="hybridMultilevel"/>
    <w:tmpl w:val="2876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81275"/>
    <w:multiLevelType w:val="hybridMultilevel"/>
    <w:tmpl w:val="C3EA958A"/>
    <w:lvl w:ilvl="0" w:tplc="3F2C0BB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17350B"/>
    <w:multiLevelType w:val="hybridMultilevel"/>
    <w:tmpl w:val="43CC3A1E"/>
    <w:lvl w:ilvl="0" w:tplc="F858D3D6">
      <w:start w:val="4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7982C74"/>
    <w:multiLevelType w:val="hybridMultilevel"/>
    <w:tmpl w:val="3AD08F88"/>
    <w:lvl w:ilvl="0" w:tplc="2862C2CA">
      <w:start w:val="4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5E14422"/>
    <w:multiLevelType w:val="hybridMultilevel"/>
    <w:tmpl w:val="6A4E89B6"/>
    <w:lvl w:ilvl="0" w:tplc="6D6AD75C">
      <w:start w:val="4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5F12D31"/>
    <w:multiLevelType w:val="hybridMultilevel"/>
    <w:tmpl w:val="E336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F55B8D"/>
    <w:multiLevelType w:val="hybridMultilevel"/>
    <w:tmpl w:val="E348D6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4E3C0F"/>
    <w:multiLevelType w:val="hybridMultilevel"/>
    <w:tmpl w:val="790C2768"/>
    <w:lvl w:ilvl="0" w:tplc="284EB2CA">
      <w:start w:val="4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0"/>
  </w:num>
  <w:num w:numId="4">
    <w:abstractNumId w:val="2"/>
  </w:num>
  <w:num w:numId="5">
    <w:abstractNumId w:val="1"/>
  </w:num>
  <w:num w:numId="6">
    <w:abstractNumId w:val="3"/>
  </w:num>
  <w:num w:numId="7">
    <w:abstractNumId w:val="5"/>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trackRevisions/>
  <w:defaultTabStop w:val="720"/>
  <w:characterSpacingControl w:val="doNotCompress"/>
  <w:footnotePr>
    <w:footnote w:id="-1"/>
    <w:footnote w:id="0"/>
  </w:footnotePr>
  <w:endnotePr>
    <w:endnote w:id="-1"/>
    <w:endnote w:id="0"/>
  </w:endnotePr>
  <w:compat/>
  <w:rsids>
    <w:rsidRoot w:val="001E331B"/>
    <w:rsid w:val="001E0AFF"/>
    <w:rsid w:val="001E331B"/>
    <w:rsid w:val="001F03B4"/>
    <w:rsid w:val="002B0F15"/>
    <w:rsid w:val="002F6123"/>
    <w:rsid w:val="003026A2"/>
    <w:rsid w:val="003412A0"/>
    <w:rsid w:val="00350013"/>
    <w:rsid w:val="0038022F"/>
    <w:rsid w:val="00391943"/>
    <w:rsid w:val="003A5B05"/>
    <w:rsid w:val="003D48D5"/>
    <w:rsid w:val="0045285D"/>
    <w:rsid w:val="00506BE3"/>
    <w:rsid w:val="0051245E"/>
    <w:rsid w:val="00514C13"/>
    <w:rsid w:val="00534498"/>
    <w:rsid w:val="005D2943"/>
    <w:rsid w:val="005F495C"/>
    <w:rsid w:val="00622FD1"/>
    <w:rsid w:val="00637843"/>
    <w:rsid w:val="00650594"/>
    <w:rsid w:val="00666AE0"/>
    <w:rsid w:val="006D6020"/>
    <w:rsid w:val="00710719"/>
    <w:rsid w:val="0075625F"/>
    <w:rsid w:val="00790B47"/>
    <w:rsid w:val="007A3A5C"/>
    <w:rsid w:val="007B222E"/>
    <w:rsid w:val="007D13A8"/>
    <w:rsid w:val="007F4E31"/>
    <w:rsid w:val="00807841"/>
    <w:rsid w:val="00823760"/>
    <w:rsid w:val="00843C0B"/>
    <w:rsid w:val="008668B5"/>
    <w:rsid w:val="00882198"/>
    <w:rsid w:val="00900D70"/>
    <w:rsid w:val="00992798"/>
    <w:rsid w:val="00995FC4"/>
    <w:rsid w:val="009D56BA"/>
    <w:rsid w:val="00A45F1C"/>
    <w:rsid w:val="00A53751"/>
    <w:rsid w:val="00AA25B9"/>
    <w:rsid w:val="00AA2868"/>
    <w:rsid w:val="00B025B5"/>
    <w:rsid w:val="00B561D0"/>
    <w:rsid w:val="00B97FDD"/>
    <w:rsid w:val="00BD053E"/>
    <w:rsid w:val="00C238A6"/>
    <w:rsid w:val="00C411CD"/>
    <w:rsid w:val="00CB6E24"/>
    <w:rsid w:val="00CF3737"/>
    <w:rsid w:val="00D12C62"/>
    <w:rsid w:val="00D278FE"/>
    <w:rsid w:val="00D6387B"/>
    <w:rsid w:val="00D82426"/>
    <w:rsid w:val="00DB7510"/>
    <w:rsid w:val="00DE428D"/>
    <w:rsid w:val="00E82814"/>
    <w:rsid w:val="00EC5CD1"/>
    <w:rsid w:val="00EE37F3"/>
    <w:rsid w:val="00EF5F0C"/>
    <w:rsid w:val="00F316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75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7510"/>
  </w:style>
  <w:style w:type="paragraph" w:styleId="Footer">
    <w:name w:val="footer"/>
    <w:basedOn w:val="Normal"/>
    <w:link w:val="FooterChar"/>
    <w:uiPriority w:val="99"/>
    <w:unhideWhenUsed/>
    <w:rsid w:val="00DB7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510"/>
  </w:style>
  <w:style w:type="paragraph" w:styleId="BalloonText">
    <w:name w:val="Balloon Text"/>
    <w:basedOn w:val="Normal"/>
    <w:link w:val="BalloonTextChar"/>
    <w:uiPriority w:val="99"/>
    <w:semiHidden/>
    <w:unhideWhenUsed/>
    <w:rsid w:val="00DB7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510"/>
    <w:rPr>
      <w:rFonts w:ascii="Tahoma" w:hAnsi="Tahoma" w:cs="Tahoma"/>
      <w:sz w:val="16"/>
      <w:szCs w:val="16"/>
    </w:rPr>
  </w:style>
  <w:style w:type="paragraph" w:styleId="ListParagraph">
    <w:name w:val="List Paragraph"/>
    <w:basedOn w:val="Normal"/>
    <w:uiPriority w:val="34"/>
    <w:qFormat/>
    <w:rsid w:val="00650594"/>
    <w:pPr>
      <w:ind w:left="720"/>
      <w:contextualSpacing/>
    </w:pPr>
  </w:style>
  <w:style w:type="table" w:styleId="TableGrid">
    <w:name w:val="Table Grid"/>
    <w:basedOn w:val="TableNormal"/>
    <w:uiPriority w:val="59"/>
    <w:rsid w:val="007A3A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F4E31"/>
    <w:rPr>
      <w:sz w:val="16"/>
      <w:szCs w:val="16"/>
    </w:rPr>
  </w:style>
  <w:style w:type="paragraph" w:styleId="CommentText">
    <w:name w:val="annotation text"/>
    <w:basedOn w:val="Normal"/>
    <w:link w:val="CommentTextChar"/>
    <w:uiPriority w:val="99"/>
    <w:semiHidden/>
    <w:unhideWhenUsed/>
    <w:rsid w:val="007F4E31"/>
    <w:pPr>
      <w:spacing w:line="240" w:lineRule="auto"/>
    </w:pPr>
    <w:rPr>
      <w:sz w:val="20"/>
      <w:szCs w:val="20"/>
    </w:rPr>
  </w:style>
  <w:style w:type="character" w:customStyle="1" w:styleId="CommentTextChar">
    <w:name w:val="Comment Text Char"/>
    <w:basedOn w:val="DefaultParagraphFont"/>
    <w:link w:val="CommentText"/>
    <w:uiPriority w:val="99"/>
    <w:semiHidden/>
    <w:rsid w:val="007F4E31"/>
    <w:rPr>
      <w:sz w:val="20"/>
      <w:szCs w:val="20"/>
    </w:rPr>
  </w:style>
  <w:style w:type="paragraph" w:styleId="CommentSubject">
    <w:name w:val="annotation subject"/>
    <w:basedOn w:val="CommentText"/>
    <w:next w:val="CommentText"/>
    <w:link w:val="CommentSubjectChar"/>
    <w:uiPriority w:val="99"/>
    <w:semiHidden/>
    <w:unhideWhenUsed/>
    <w:rsid w:val="007F4E31"/>
    <w:rPr>
      <w:b/>
      <w:bCs/>
    </w:rPr>
  </w:style>
  <w:style w:type="character" w:customStyle="1" w:styleId="CommentSubjectChar">
    <w:name w:val="Comment Subject Char"/>
    <w:basedOn w:val="CommentTextChar"/>
    <w:link w:val="CommentSubject"/>
    <w:uiPriority w:val="99"/>
    <w:semiHidden/>
    <w:rsid w:val="007F4E31"/>
    <w:rPr>
      <w:b/>
      <w:bCs/>
    </w:rPr>
  </w:style>
</w:styles>
</file>

<file path=word/webSettings.xml><?xml version="1.0" encoding="utf-8"?>
<w:webSettings xmlns:r="http://schemas.openxmlformats.org/officeDocument/2006/relationships" xmlns:w="http://schemas.openxmlformats.org/wordprocessingml/2006/main">
  <w:divs>
    <w:div w:id="1583833956">
      <w:bodyDiv w:val="1"/>
      <w:marLeft w:val="0"/>
      <w:marRight w:val="0"/>
      <w:marTop w:val="0"/>
      <w:marBottom w:val="0"/>
      <w:divBdr>
        <w:top w:val="none" w:sz="0" w:space="0" w:color="auto"/>
        <w:left w:val="none" w:sz="0" w:space="0" w:color="auto"/>
        <w:bottom w:val="none" w:sz="0" w:space="0" w:color="auto"/>
        <w:right w:val="none" w:sz="0" w:space="0" w:color="auto"/>
      </w:divBdr>
    </w:div>
    <w:div w:id="17286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F9BA-5986-4B2F-AB76-F90F256F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gihring_j</dc:creator>
  <cp:keywords/>
  <dc:description/>
  <cp:lastModifiedBy>gihring_j</cp:lastModifiedBy>
  <cp:revision>5</cp:revision>
  <dcterms:created xsi:type="dcterms:W3CDTF">2009-08-18T20:36:00Z</dcterms:created>
  <dcterms:modified xsi:type="dcterms:W3CDTF">2009-08-18T21:08:00Z</dcterms:modified>
</cp:coreProperties>
</file>