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8B2" w:rsidRPr="007818B2" w:rsidRDefault="007818B2" w:rsidP="007818B2">
      <w:pPr>
        <w:spacing w:after="200" w:line="276" w:lineRule="auto"/>
        <w:jc w:val="center"/>
        <w:rPr>
          <w:rFonts w:ascii="Arial" w:hAnsi="Arial" w:cs="Arial"/>
          <w:b/>
          <w:sz w:val="48"/>
          <w:szCs w:val="48"/>
        </w:rPr>
      </w:pPr>
      <w:r w:rsidRPr="007818B2">
        <w:rPr>
          <w:rFonts w:ascii="Arial" w:hAnsi="Arial" w:cs="Arial"/>
          <w:b/>
          <w:sz w:val="48"/>
          <w:szCs w:val="48"/>
        </w:rPr>
        <w:t>MONITORING SUBMERGED AQUATIC VEGETATION AND MACROALGAE IN THE WEKIVA RIVER AND ROCK SPRINGS RUN</w:t>
      </w:r>
    </w:p>
    <w:p w:rsidR="007818B2" w:rsidRDefault="007818B2" w:rsidP="007818B2">
      <w:pPr>
        <w:spacing w:after="200" w:line="276" w:lineRule="auto"/>
        <w:jc w:val="center"/>
        <w:rPr>
          <w:rFonts w:ascii="Arial" w:hAnsi="Arial" w:cs="Arial"/>
          <w:b/>
          <w:sz w:val="24"/>
          <w:szCs w:val="24"/>
        </w:rPr>
      </w:pPr>
      <w:r>
        <w:rPr>
          <w:rFonts w:ascii="Arial" w:hAnsi="Arial" w:cs="Arial"/>
          <w:b/>
          <w:noProof/>
          <w:sz w:val="24"/>
          <w:szCs w:val="24"/>
        </w:rPr>
        <w:drawing>
          <wp:inline distT="0" distB="0" distL="0" distR="0">
            <wp:extent cx="4762500" cy="3571876"/>
            <wp:effectExtent l="19050" t="0" r="0" b="0"/>
            <wp:docPr id="6" name="Picture 5" descr="Middle Wekiva above SR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dle Wekiva above SR46-2.JPG"/>
                    <pic:cNvPicPr/>
                  </pic:nvPicPr>
                  <pic:blipFill>
                    <a:blip r:embed="rId8" cstate="print"/>
                    <a:stretch>
                      <a:fillRect/>
                    </a:stretch>
                  </pic:blipFill>
                  <pic:spPr>
                    <a:xfrm>
                      <a:off x="0" y="0"/>
                      <a:ext cx="4765610" cy="3574208"/>
                    </a:xfrm>
                    <a:prstGeom prst="rect">
                      <a:avLst/>
                    </a:prstGeom>
                  </pic:spPr>
                </pic:pic>
              </a:graphicData>
            </a:graphic>
          </wp:inline>
        </w:drawing>
      </w:r>
    </w:p>
    <w:p w:rsidR="007818B2" w:rsidRPr="007818B2" w:rsidRDefault="007818B2" w:rsidP="007818B2">
      <w:pPr>
        <w:spacing w:after="200" w:line="276" w:lineRule="auto"/>
        <w:jc w:val="center"/>
        <w:rPr>
          <w:rFonts w:ascii="Arial" w:hAnsi="Arial" w:cs="Arial"/>
          <w:b/>
          <w:sz w:val="36"/>
          <w:szCs w:val="36"/>
        </w:rPr>
      </w:pPr>
      <w:r w:rsidRPr="007818B2">
        <w:rPr>
          <w:rFonts w:ascii="Arial" w:hAnsi="Arial" w:cs="Arial"/>
          <w:b/>
          <w:sz w:val="36"/>
          <w:szCs w:val="36"/>
        </w:rPr>
        <w:t>ANNUAL REPORT 2011</w:t>
      </w:r>
    </w:p>
    <w:p w:rsidR="007818B2" w:rsidRDefault="007818B2" w:rsidP="007818B2">
      <w:pPr>
        <w:spacing w:after="200" w:line="276" w:lineRule="auto"/>
        <w:jc w:val="center"/>
        <w:rPr>
          <w:rFonts w:ascii="Arial" w:hAnsi="Arial" w:cs="Arial"/>
          <w:b/>
          <w:sz w:val="24"/>
          <w:szCs w:val="24"/>
        </w:rPr>
      </w:pPr>
    </w:p>
    <w:p w:rsidR="00AC6E3C" w:rsidRPr="00AC6E3C" w:rsidRDefault="00AC6E3C" w:rsidP="007818B2">
      <w:pPr>
        <w:spacing w:after="200" w:line="276" w:lineRule="auto"/>
        <w:contextualSpacing/>
        <w:jc w:val="center"/>
        <w:rPr>
          <w:rFonts w:ascii="Arial" w:hAnsi="Arial" w:cs="Arial"/>
          <w:b/>
          <w:sz w:val="28"/>
          <w:szCs w:val="28"/>
        </w:rPr>
      </w:pPr>
      <w:r w:rsidRPr="00AC6E3C">
        <w:rPr>
          <w:rFonts w:ascii="Arial" w:hAnsi="Arial" w:cs="Arial"/>
          <w:b/>
          <w:sz w:val="28"/>
          <w:szCs w:val="28"/>
        </w:rPr>
        <w:t>Prepared by Robert A. Mattson, CEP, CSE</w:t>
      </w:r>
    </w:p>
    <w:p w:rsidR="00AC6E3C" w:rsidRPr="00AC6E3C" w:rsidRDefault="00AC6E3C" w:rsidP="007818B2">
      <w:pPr>
        <w:spacing w:after="200" w:line="276" w:lineRule="auto"/>
        <w:jc w:val="center"/>
        <w:rPr>
          <w:rFonts w:ascii="Arial" w:hAnsi="Arial" w:cs="Arial"/>
          <w:b/>
          <w:sz w:val="28"/>
          <w:szCs w:val="28"/>
        </w:rPr>
      </w:pPr>
      <w:r w:rsidRPr="00AC6E3C">
        <w:rPr>
          <w:rFonts w:ascii="Arial" w:hAnsi="Arial" w:cs="Arial"/>
          <w:b/>
          <w:sz w:val="28"/>
          <w:szCs w:val="28"/>
        </w:rPr>
        <w:t>St. Johns River Water Management District</w:t>
      </w:r>
    </w:p>
    <w:p w:rsidR="00AC6E3C" w:rsidRDefault="00AC6E3C" w:rsidP="007818B2">
      <w:pPr>
        <w:spacing w:after="200" w:line="276" w:lineRule="auto"/>
        <w:jc w:val="center"/>
        <w:rPr>
          <w:rFonts w:ascii="Arial" w:hAnsi="Arial" w:cs="Arial"/>
          <w:b/>
          <w:sz w:val="24"/>
          <w:szCs w:val="24"/>
        </w:rPr>
      </w:pPr>
    </w:p>
    <w:p w:rsidR="007818B2" w:rsidRPr="00AC6E3C" w:rsidRDefault="007818B2" w:rsidP="007818B2">
      <w:pPr>
        <w:spacing w:after="200" w:line="276" w:lineRule="auto"/>
        <w:contextualSpacing/>
        <w:jc w:val="center"/>
        <w:rPr>
          <w:rFonts w:ascii="Arial" w:hAnsi="Arial" w:cs="Arial"/>
          <w:b/>
          <w:sz w:val="24"/>
          <w:szCs w:val="24"/>
        </w:rPr>
      </w:pPr>
      <w:r w:rsidRPr="00AC6E3C">
        <w:rPr>
          <w:rFonts w:ascii="Arial" w:hAnsi="Arial" w:cs="Arial"/>
          <w:b/>
          <w:sz w:val="24"/>
          <w:szCs w:val="24"/>
        </w:rPr>
        <w:t>SUBMITTED TO SATISFY REQUIREMENTS OF PERMIT NO. 02161113</w:t>
      </w:r>
    </w:p>
    <w:p w:rsidR="007818B2" w:rsidRPr="00AC6E3C" w:rsidRDefault="007818B2" w:rsidP="007818B2">
      <w:pPr>
        <w:spacing w:after="200" w:line="276" w:lineRule="auto"/>
        <w:contextualSpacing/>
        <w:jc w:val="center"/>
        <w:rPr>
          <w:rFonts w:ascii="Arial" w:hAnsi="Arial" w:cs="Arial"/>
          <w:b/>
          <w:sz w:val="24"/>
          <w:szCs w:val="24"/>
        </w:rPr>
      </w:pPr>
      <w:r w:rsidRPr="00AC6E3C">
        <w:rPr>
          <w:rFonts w:ascii="Arial" w:hAnsi="Arial" w:cs="Arial"/>
          <w:b/>
          <w:sz w:val="24"/>
          <w:szCs w:val="24"/>
        </w:rPr>
        <w:t>FLORIDA DEPT. OF ENVIRONMENTAL PROTECTION</w:t>
      </w:r>
    </w:p>
    <w:p w:rsidR="007818B2" w:rsidRPr="00AC6E3C" w:rsidRDefault="007818B2" w:rsidP="007818B2">
      <w:pPr>
        <w:spacing w:after="200" w:line="276" w:lineRule="auto"/>
        <w:jc w:val="center"/>
        <w:rPr>
          <w:rFonts w:ascii="Arial" w:hAnsi="Arial" w:cs="Arial"/>
          <w:b/>
          <w:sz w:val="24"/>
          <w:szCs w:val="24"/>
        </w:rPr>
      </w:pPr>
      <w:r w:rsidRPr="00AC6E3C">
        <w:rPr>
          <w:rFonts w:ascii="Arial" w:hAnsi="Arial" w:cs="Arial"/>
          <w:b/>
          <w:sz w:val="24"/>
          <w:szCs w:val="24"/>
        </w:rPr>
        <w:t>DIVISION OF RECREATION AND PARKS</w:t>
      </w:r>
    </w:p>
    <w:p w:rsidR="007B1615" w:rsidRDefault="007B1615">
      <w:pPr>
        <w:spacing w:after="200" w:line="276" w:lineRule="auto"/>
        <w:jc w:val="left"/>
        <w:rPr>
          <w:rFonts w:ascii="Arial" w:hAnsi="Arial" w:cs="Arial"/>
          <w:b/>
          <w:sz w:val="24"/>
          <w:szCs w:val="24"/>
        </w:rPr>
      </w:pPr>
      <w:r>
        <w:rPr>
          <w:rFonts w:ascii="Arial" w:hAnsi="Arial" w:cs="Arial"/>
          <w:b/>
          <w:sz w:val="24"/>
          <w:szCs w:val="24"/>
        </w:rPr>
        <w:br w:type="page"/>
      </w:r>
    </w:p>
    <w:p w:rsidR="00332323" w:rsidRDefault="00332323">
      <w:pPr>
        <w:spacing w:after="200" w:line="276" w:lineRule="auto"/>
        <w:jc w:val="left"/>
        <w:rPr>
          <w:rFonts w:ascii="Arial" w:hAnsi="Arial" w:cs="Arial"/>
          <w:b/>
          <w:sz w:val="24"/>
          <w:szCs w:val="24"/>
        </w:rPr>
      </w:pPr>
    </w:p>
    <w:p w:rsidR="00332323" w:rsidRDefault="00332323">
      <w:pPr>
        <w:spacing w:after="200" w:line="276" w:lineRule="auto"/>
        <w:jc w:val="left"/>
        <w:rPr>
          <w:rFonts w:ascii="Arial" w:hAnsi="Arial" w:cs="Arial"/>
          <w:b/>
          <w:sz w:val="24"/>
          <w:szCs w:val="24"/>
        </w:rPr>
      </w:pPr>
    </w:p>
    <w:p w:rsidR="00332323" w:rsidRDefault="00332323">
      <w:pPr>
        <w:spacing w:after="200" w:line="276" w:lineRule="auto"/>
        <w:jc w:val="left"/>
        <w:rPr>
          <w:rFonts w:ascii="Arial" w:hAnsi="Arial" w:cs="Arial"/>
          <w:b/>
          <w:sz w:val="24"/>
          <w:szCs w:val="24"/>
        </w:rPr>
      </w:pPr>
    </w:p>
    <w:p w:rsidR="00332323" w:rsidRDefault="00332323">
      <w:pPr>
        <w:spacing w:after="200" w:line="276" w:lineRule="auto"/>
        <w:jc w:val="left"/>
        <w:rPr>
          <w:rFonts w:ascii="Arial" w:hAnsi="Arial" w:cs="Arial"/>
          <w:b/>
          <w:sz w:val="24"/>
          <w:szCs w:val="24"/>
        </w:rPr>
      </w:pPr>
    </w:p>
    <w:p w:rsidR="00332323" w:rsidRDefault="00332323">
      <w:pPr>
        <w:spacing w:after="200" w:line="276" w:lineRule="auto"/>
        <w:jc w:val="left"/>
        <w:rPr>
          <w:rFonts w:ascii="Arial" w:hAnsi="Arial" w:cs="Arial"/>
          <w:b/>
          <w:sz w:val="24"/>
          <w:szCs w:val="24"/>
        </w:rPr>
      </w:pPr>
    </w:p>
    <w:p w:rsidR="00332323" w:rsidRDefault="00332323">
      <w:pPr>
        <w:spacing w:after="200" w:line="276" w:lineRule="auto"/>
        <w:jc w:val="left"/>
        <w:rPr>
          <w:rFonts w:ascii="Arial" w:hAnsi="Arial" w:cs="Arial"/>
          <w:b/>
          <w:sz w:val="24"/>
          <w:szCs w:val="24"/>
        </w:rPr>
      </w:pPr>
    </w:p>
    <w:p w:rsidR="00332323" w:rsidRDefault="00332323">
      <w:pPr>
        <w:spacing w:after="200" w:line="276" w:lineRule="auto"/>
        <w:jc w:val="left"/>
        <w:rPr>
          <w:rFonts w:ascii="Arial" w:hAnsi="Arial" w:cs="Arial"/>
          <w:b/>
          <w:sz w:val="24"/>
          <w:szCs w:val="24"/>
        </w:rPr>
      </w:pPr>
    </w:p>
    <w:p w:rsidR="00332323" w:rsidRDefault="00332323">
      <w:pPr>
        <w:spacing w:after="200" w:line="276" w:lineRule="auto"/>
        <w:jc w:val="left"/>
        <w:rPr>
          <w:rFonts w:ascii="Arial" w:hAnsi="Arial" w:cs="Arial"/>
          <w:b/>
          <w:sz w:val="24"/>
          <w:szCs w:val="24"/>
        </w:rPr>
      </w:pPr>
    </w:p>
    <w:p w:rsidR="00332323" w:rsidRDefault="00332323">
      <w:pPr>
        <w:spacing w:after="200" w:line="276" w:lineRule="auto"/>
        <w:jc w:val="left"/>
        <w:rPr>
          <w:rFonts w:ascii="Arial" w:hAnsi="Arial" w:cs="Arial"/>
          <w:b/>
          <w:sz w:val="24"/>
          <w:szCs w:val="24"/>
        </w:rPr>
      </w:pPr>
    </w:p>
    <w:p w:rsidR="00332323" w:rsidRPr="00332323" w:rsidRDefault="00430675" w:rsidP="00332323">
      <w:pPr>
        <w:spacing w:after="200" w:line="276" w:lineRule="auto"/>
        <w:jc w:val="center"/>
        <w:rPr>
          <w:rFonts w:ascii="Arial" w:hAnsi="Arial" w:cs="Arial"/>
          <w:i/>
          <w:sz w:val="24"/>
          <w:szCs w:val="24"/>
        </w:rPr>
        <w:sectPr w:rsidR="00332323" w:rsidRPr="00332323" w:rsidSect="007B1615">
          <w:footerReference w:type="default" r:id="rId9"/>
          <w:pgSz w:w="12240" w:h="15840"/>
          <w:pgMar w:top="1440" w:right="1440" w:bottom="1440" w:left="1440" w:header="720" w:footer="720" w:gutter="0"/>
          <w:pgNumType w:start="1"/>
          <w:cols w:space="720"/>
          <w:titlePg/>
          <w:docGrid w:linePitch="360"/>
        </w:sectPr>
      </w:pPr>
      <w:r>
        <w:rPr>
          <w:rFonts w:ascii="Arial" w:hAnsi="Arial" w:cs="Arial"/>
          <w:i/>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449.3pt;margin-top:421.2pt;width:30pt;height:22.5pt;z-index:251658240" fillcolor="white [3212]" stroked="f" strokecolor="black [3213]">
            <v:textbox>
              <w:txbxContent>
                <w:p w:rsidR="00A35FFA" w:rsidRDefault="00A35FFA"/>
              </w:txbxContent>
            </v:textbox>
          </v:shape>
        </w:pict>
      </w:r>
      <w:r w:rsidR="00332323" w:rsidRPr="00332323">
        <w:rPr>
          <w:rFonts w:ascii="Arial" w:hAnsi="Arial" w:cs="Arial"/>
          <w:i/>
          <w:sz w:val="24"/>
          <w:szCs w:val="24"/>
        </w:rPr>
        <w:t>Page Intentionally left blank</w:t>
      </w:r>
      <w:r w:rsidR="00622508" w:rsidRPr="00332323">
        <w:rPr>
          <w:rFonts w:ascii="Arial" w:hAnsi="Arial" w:cs="Arial"/>
          <w:i/>
          <w:sz w:val="24"/>
          <w:szCs w:val="24"/>
        </w:rPr>
        <w:br w:type="page"/>
      </w:r>
    </w:p>
    <w:p w:rsidR="00D91A5E" w:rsidRDefault="00AC3E1F" w:rsidP="00A732C7">
      <w:pPr>
        <w:rPr>
          <w:rFonts w:ascii="Arial" w:hAnsi="Arial" w:cs="Arial"/>
          <w:sz w:val="24"/>
          <w:szCs w:val="24"/>
        </w:rPr>
      </w:pPr>
      <w:r>
        <w:rPr>
          <w:rFonts w:ascii="Arial" w:hAnsi="Arial" w:cs="Arial"/>
          <w:sz w:val="24"/>
          <w:szCs w:val="24"/>
        </w:rPr>
        <w:lastRenderedPageBreak/>
        <w:t>INTRODUCTION</w:t>
      </w:r>
    </w:p>
    <w:p w:rsidR="00593B89" w:rsidRPr="00593B89" w:rsidRDefault="00593B89" w:rsidP="00A732C7">
      <w:pPr>
        <w:rPr>
          <w:rFonts w:ascii="Arial" w:hAnsi="Arial" w:cs="Arial"/>
          <w:sz w:val="24"/>
          <w:szCs w:val="24"/>
        </w:rPr>
      </w:pPr>
    </w:p>
    <w:p w:rsidR="00593B89" w:rsidRPr="00593B89" w:rsidRDefault="00593B89" w:rsidP="00593B89">
      <w:pPr>
        <w:rPr>
          <w:rFonts w:ascii="Arial" w:hAnsi="Arial" w:cs="Arial"/>
          <w:sz w:val="24"/>
          <w:szCs w:val="24"/>
        </w:rPr>
      </w:pPr>
      <w:r w:rsidRPr="00593B89">
        <w:rPr>
          <w:rFonts w:ascii="Arial" w:hAnsi="Arial" w:cs="Arial"/>
          <w:sz w:val="24"/>
          <w:szCs w:val="24"/>
        </w:rPr>
        <w:t xml:space="preserve">The communities of </w:t>
      </w:r>
      <w:r>
        <w:rPr>
          <w:rFonts w:ascii="Arial" w:hAnsi="Arial" w:cs="Arial"/>
          <w:sz w:val="24"/>
          <w:szCs w:val="24"/>
        </w:rPr>
        <w:t xml:space="preserve">submerged aquatic vegetation (SAV) and </w:t>
      </w:r>
      <w:r w:rsidR="00A95944">
        <w:rPr>
          <w:rFonts w:ascii="Arial" w:hAnsi="Arial" w:cs="Arial"/>
          <w:sz w:val="24"/>
          <w:szCs w:val="24"/>
        </w:rPr>
        <w:t xml:space="preserve">benthic </w:t>
      </w:r>
      <w:r w:rsidRPr="00593B89">
        <w:rPr>
          <w:rFonts w:ascii="Arial" w:hAnsi="Arial" w:cs="Arial"/>
          <w:sz w:val="24"/>
          <w:szCs w:val="24"/>
        </w:rPr>
        <w:t xml:space="preserve">algae in Florida springs and spring-run streams are important sources of autochthonous production (Odum 1957).  </w:t>
      </w:r>
      <w:r>
        <w:rPr>
          <w:rFonts w:ascii="Arial" w:hAnsi="Arial" w:cs="Arial"/>
          <w:sz w:val="24"/>
          <w:szCs w:val="24"/>
        </w:rPr>
        <w:t xml:space="preserve">SAV and algae </w:t>
      </w:r>
      <w:r w:rsidRPr="00593B89">
        <w:rPr>
          <w:rFonts w:ascii="Arial" w:hAnsi="Arial" w:cs="Arial"/>
          <w:sz w:val="24"/>
          <w:szCs w:val="24"/>
        </w:rPr>
        <w:t>also provide habitat for invertebrates and other aquatic animals (Power 1990).  Excessive algal growth, however, may be detrimental to spring-run stream ecosystems, altering habitat and degrading water quality (Stevenson 1997, Stevenson et al. 2004).</w:t>
      </w:r>
    </w:p>
    <w:p w:rsidR="00593B89" w:rsidRPr="00593B89" w:rsidRDefault="00593B89" w:rsidP="00593B89">
      <w:pPr>
        <w:rPr>
          <w:rFonts w:ascii="Arial" w:hAnsi="Arial" w:cs="Arial"/>
          <w:sz w:val="24"/>
          <w:szCs w:val="24"/>
        </w:rPr>
      </w:pPr>
    </w:p>
    <w:p w:rsidR="00593B89" w:rsidRPr="00593B89" w:rsidRDefault="00593B89" w:rsidP="00593B89">
      <w:pPr>
        <w:rPr>
          <w:rFonts w:ascii="Arial" w:hAnsi="Arial" w:cs="Arial"/>
          <w:sz w:val="24"/>
          <w:szCs w:val="24"/>
        </w:rPr>
      </w:pPr>
      <w:r>
        <w:rPr>
          <w:rFonts w:ascii="Arial" w:hAnsi="Arial" w:cs="Arial"/>
          <w:sz w:val="24"/>
          <w:szCs w:val="24"/>
        </w:rPr>
        <w:t>SAV and</w:t>
      </w:r>
      <w:r w:rsidRPr="00593B89">
        <w:rPr>
          <w:rFonts w:ascii="Arial" w:hAnsi="Arial" w:cs="Arial"/>
          <w:sz w:val="24"/>
          <w:szCs w:val="24"/>
        </w:rPr>
        <w:t xml:space="preserve"> algae have been monitored as indicators of water quality for many years and have been shown to be excellent for this purpose (Patrick 1973; Rosen 1995).  </w:t>
      </w:r>
      <w:r>
        <w:rPr>
          <w:rFonts w:ascii="Arial" w:hAnsi="Arial" w:cs="Arial"/>
          <w:sz w:val="24"/>
          <w:szCs w:val="24"/>
        </w:rPr>
        <w:t>M</w:t>
      </w:r>
      <w:r w:rsidRPr="00593B89">
        <w:rPr>
          <w:rFonts w:ascii="Arial" w:hAnsi="Arial" w:cs="Arial"/>
          <w:sz w:val="24"/>
          <w:szCs w:val="24"/>
        </w:rPr>
        <w:t xml:space="preserve">onitoring </w:t>
      </w:r>
      <w:r>
        <w:rPr>
          <w:rFonts w:ascii="Arial" w:hAnsi="Arial" w:cs="Arial"/>
          <w:sz w:val="24"/>
          <w:szCs w:val="24"/>
        </w:rPr>
        <w:t xml:space="preserve">of SAV and algae </w:t>
      </w:r>
      <w:r w:rsidRPr="00593B89">
        <w:rPr>
          <w:rFonts w:ascii="Arial" w:hAnsi="Arial" w:cs="Arial"/>
          <w:sz w:val="24"/>
          <w:szCs w:val="24"/>
        </w:rPr>
        <w:t>in selected spring-run streams in the St. Johns River Water Ma</w:t>
      </w:r>
      <w:r w:rsidR="00C576F0">
        <w:rPr>
          <w:rFonts w:ascii="Arial" w:hAnsi="Arial" w:cs="Arial"/>
          <w:sz w:val="24"/>
          <w:szCs w:val="24"/>
        </w:rPr>
        <w:t xml:space="preserve">nagement District (SJRWMD) </w:t>
      </w:r>
      <w:r w:rsidRPr="00593B89">
        <w:rPr>
          <w:rFonts w:ascii="Arial" w:hAnsi="Arial" w:cs="Arial"/>
          <w:sz w:val="24"/>
          <w:szCs w:val="24"/>
        </w:rPr>
        <w:t>provide</w:t>
      </w:r>
      <w:r w:rsidR="00C576F0">
        <w:rPr>
          <w:rFonts w:ascii="Arial" w:hAnsi="Arial" w:cs="Arial"/>
          <w:sz w:val="24"/>
          <w:szCs w:val="24"/>
        </w:rPr>
        <w:t>s</w:t>
      </w:r>
      <w:r w:rsidRPr="00593B89">
        <w:rPr>
          <w:rFonts w:ascii="Arial" w:hAnsi="Arial" w:cs="Arial"/>
          <w:sz w:val="24"/>
          <w:szCs w:val="24"/>
        </w:rPr>
        <w:t xml:space="preserve"> a number of important benefits:</w:t>
      </w:r>
    </w:p>
    <w:p w:rsidR="00593B89" w:rsidRPr="00593B89" w:rsidRDefault="00593B89" w:rsidP="00593B89">
      <w:pPr>
        <w:rPr>
          <w:rFonts w:ascii="Arial" w:hAnsi="Arial" w:cs="Arial"/>
          <w:sz w:val="24"/>
          <w:szCs w:val="24"/>
        </w:rPr>
      </w:pPr>
    </w:p>
    <w:p w:rsidR="00593B89" w:rsidRPr="00593B89" w:rsidRDefault="00593B89" w:rsidP="00593B89">
      <w:pPr>
        <w:numPr>
          <w:ilvl w:val="0"/>
          <w:numId w:val="2"/>
        </w:numPr>
        <w:jc w:val="left"/>
        <w:rPr>
          <w:rFonts w:ascii="Arial" w:hAnsi="Arial" w:cs="Arial"/>
          <w:sz w:val="24"/>
          <w:szCs w:val="24"/>
        </w:rPr>
      </w:pPr>
      <w:r w:rsidRPr="00593B89">
        <w:rPr>
          <w:rFonts w:ascii="Arial" w:hAnsi="Arial" w:cs="Arial"/>
          <w:sz w:val="24"/>
          <w:szCs w:val="24"/>
        </w:rPr>
        <w:t>Better assess water quality and ecological conditions in the spring runs;</w:t>
      </w:r>
    </w:p>
    <w:p w:rsidR="00593B89" w:rsidRPr="00593B89" w:rsidRDefault="00593B89" w:rsidP="00593B89">
      <w:pPr>
        <w:rPr>
          <w:rFonts w:ascii="Arial" w:hAnsi="Arial" w:cs="Arial"/>
          <w:sz w:val="24"/>
          <w:szCs w:val="24"/>
        </w:rPr>
      </w:pPr>
    </w:p>
    <w:p w:rsidR="00593B89" w:rsidRPr="00593B89" w:rsidRDefault="00593B89" w:rsidP="00593B89">
      <w:pPr>
        <w:numPr>
          <w:ilvl w:val="0"/>
          <w:numId w:val="2"/>
        </w:numPr>
        <w:jc w:val="left"/>
        <w:rPr>
          <w:rFonts w:ascii="Arial" w:hAnsi="Arial" w:cs="Arial"/>
          <w:sz w:val="24"/>
          <w:szCs w:val="24"/>
        </w:rPr>
      </w:pPr>
      <w:r w:rsidRPr="00593B89">
        <w:rPr>
          <w:rFonts w:ascii="Arial" w:hAnsi="Arial" w:cs="Arial"/>
          <w:sz w:val="24"/>
          <w:szCs w:val="24"/>
        </w:rPr>
        <w:t>Assess the impacts/effects of elevated nutrient concentrations and other water quality changes;</w:t>
      </w:r>
    </w:p>
    <w:p w:rsidR="00593B89" w:rsidRPr="00593B89" w:rsidRDefault="00593B89" w:rsidP="00593B89">
      <w:pPr>
        <w:rPr>
          <w:rFonts w:ascii="Arial" w:hAnsi="Arial" w:cs="Arial"/>
          <w:sz w:val="24"/>
          <w:szCs w:val="24"/>
        </w:rPr>
      </w:pPr>
    </w:p>
    <w:p w:rsidR="00593B89" w:rsidRPr="00593B89" w:rsidRDefault="00593B89" w:rsidP="00593B89">
      <w:pPr>
        <w:numPr>
          <w:ilvl w:val="0"/>
          <w:numId w:val="2"/>
        </w:numPr>
        <w:jc w:val="left"/>
        <w:rPr>
          <w:rFonts w:ascii="Arial" w:hAnsi="Arial" w:cs="Arial"/>
          <w:sz w:val="24"/>
          <w:szCs w:val="24"/>
        </w:rPr>
      </w:pPr>
      <w:r w:rsidRPr="00593B89">
        <w:rPr>
          <w:rFonts w:ascii="Arial" w:hAnsi="Arial" w:cs="Arial"/>
          <w:sz w:val="24"/>
          <w:szCs w:val="24"/>
        </w:rPr>
        <w:t>Contribute to refinement of Pollution Load Reduction Goals (PLRGs)</w:t>
      </w:r>
    </w:p>
    <w:p w:rsidR="00593B89" w:rsidRPr="00593B89" w:rsidRDefault="00593B89" w:rsidP="00A732C7">
      <w:pPr>
        <w:rPr>
          <w:rFonts w:ascii="Arial" w:hAnsi="Arial" w:cs="Arial"/>
          <w:sz w:val="24"/>
          <w:szCs w:val="24"/>
        </w:rPr>
      </w:pPr>
    </w:p>
    <w:p w:rsidR="00593B89" w:rsidRDefault="00AC3E1F" w:rsidP="00A732C7">
      <w:pPr>
        <w:rPr>
          <w:rFonts w:ascii="Arial" w:hAnsi="Arial" w:cs="Arial"/>
          <w:sz w:val="24"/>
          <w:szCs w:val="24"/>
        </w:rPr>
      </w:pPr>
      <w:r>
        <w:rPr>
          <w:rFonts w:ascii="Arial" w:hAnsi="Arial" w:cs="Arial"/>
          <w:sz w:val="24"/>
          <w:szCs w:val="24"/>
        </w:rPr>
        <w:t>METHODS</w:t>
      </w:r>
    </w:p>
    <w:p w:rsidR="00D91A5E" w:rsidRDefault="00D91A5E" w:rsidP="00A732C7">
      <w:pPr>
        <w:rPr>
          <w:rFonts w:ascii="Arial" w:hAnsi="Arial" w:cs="Arial"/>
          <w:sz w:val="24"/>
          <w:szCs w:val="24"/>
        </w:rPr>
      </w:pPr>
    </w:p>
    <w:p w:rsidR="00563A2E" w:rsidRDefault="00A732C7" w:rsidP="00A732C7">
      <w:pPr>
        <w:rPr>
          <w:rFonts w:ascii="Arial" w:hAnsi="Arial" w:cs="Arial"/>
          <w:sz w:val="24"/>
          <w:szCs w:val="24"/>
        </w:rPr>
      </w:pPr>
      <w:r w:rsidRPr="00D91A5E">
        <w:rPr>
          <w:rFonts w:ascii="Arial" w:hAnsi="Arial" w:cs="Arial"/>
          <w:sz w:val="24"/>
          <w:szCs w:val="24"/>
        </w:rPr>
        <w:t xml:space="preserve">The purpose of this </w:t>
      </w:r>
      <w:r w:rsidR="000C6328">
        <w:rPr>
          <w:rFonts w:ascii="Arial" w:hAnsi="Arial" w:cs="Arial"/>
          <w:sz w:val="24"/>
          <w:szCs w:val="24"/>
        </w:rPr>
        <w:t xml:space="preserve">project </w:t>
      </w:r>
      <w:r w:rsidR="00BC17B2">
        <w:rPr>
          <w:rFonts w:ascii="Arial" w:hAnsi="Arial" w:cs="Arial"/>
          <w:sz w:val="24"/>
          <w:szCs w:val="24"/>
        </w:rPr>
        <w:t>is</w:t>
      </w:r>
      <w:r w:rsidRPr="00D91A5E">
        <w:rPr>
          <w:rFonts w:ascii="Arial" w:hAnsi="Arial" w:cs="Arial"/>
          <w:sz w:val="24"/>
          <w:szCs w:val="24"/>
        </w:rPr>
        <w:t xml:space="preserve"> to quantitatively describe the distribution and spatial coverage of </w:t>
      </w:r>
      <w:r w:rsidR="000C6328">
        <w:rPr>
          <w:rFonts w:ascii="Arial" w:hAnsi="Arial" w:cs="Arial"/>
          <w:sz w:val="24"/>
          <w:szCs w:val="24"/>
        </w:rPr>
        <w:t xml:space="preserve">SAV and </w:t>
      </w:r>
      <w:r w:rsidR="00BC17B2">
        <w:rPr>
          <w:rFonts w:ascii="Arial" w:hAnsi="Arial" w:cs="Arial"/>
          <w:sz w:val="24"/>
          <w:szCs w:val="24"/>
        </w:rPr>
        <w:t xml:space="preserve">filamentous macroalgae </w:t>
      </w:r>
      <w:r w:rsidR="00AC3E1F">
        <w:rPr>
          <w:rFonts w:ascii="Arial" w:hAnsi="Arial" w:cs="Arial"/>
          <w:sz w:val="24"/>
          <w:szCs w:val="24"/>
        </w:rPr>
        <w:t xml:space="preserve">selected </w:t>
      </w:r>
      <w:r w:rsidRPr="00D91A5E">
        <w:rPr>
          <w:rFonts w:ascii="Arial" w:hAnsi="Arial" w:cs="Arial"/>
          <w:sz w:val="24"/>
          <w:szCs w:val="24"/>
        </w:rPr>
        <w:t>spring-run stream</w:t>
      </w:r>
      <w:r w:rsidR="00BC17B2">
        <w:rPr>
          <w:rFonts w:ascii="Arial" w:hAnsi="Arial" w:cs="Arial"/>
          <w:sz w:val="24"/>
          <w:szCs w:val="24"/>
        </w:rPr>
        <w:t>s along the St. Johns River, including the</w:t>
      </w:r>
      <w:r w:rsidRPr="00D91A5E">
        <w:rPr>
          <w:rFonts w:ascii="Arial" w:hAnsi="Arial" w:cs="Arial"/>
          <w:sz w:val="24"/>
          <w:szCs w:val="24"/>
        </w:rPr>
        <w:t xml:space="preserve"> headspring</w:t>
      </w:r>
      <w:r w:rsidR="00BC17B2">
        <w:rPr>
          <w:rFonts w:ascii="Arial" w:hAnsi="Arial" w:cs="Arial"/>
          <w:sz w:val="24"/>
          <w:szCs w:val="24"/>
        </w:rPr>
        <w:t>s</w:t>
      </w:r>
      <w:r w:rsidRPr="00D91A5E">
        <w:rPr>
          <w:rFonts w:ascii="Arial" w:hAnsi="Arial" w:cs="Arial"/>
          <w:sz w:val="24"/>
          <w:szCs w:val="24"/>
        </w:rPr>
        <w:t>.  For purposes of this study, “macroalgae” are defined as those algae with a macroscopic or plant-like thallus visible to the naked eye.  In the spring-run streams sampled in this project, these shall primarily be filamentous algae in the Chlorophyta</w:t>
      </w:r>
      <w:r w:rsidR="00C576F0">
        <w:rPr>
          <w:rFonts w:ascii="Arial" w:hAnsi="Arial" w:cs="Arial"/>
          <w:sz w:val="24"/>
          <w:szCs w:val="24"/>
        </w:rPr>
        <w:t xml:space="preserve"> (green algae)</w:t>
      </w:r>
      <w:r w:rsidRPr="00D91A5E">
        <w:rPr>
          <w:rFonts w:ascii="Arial" w:hAnsi="Arial" w:cs="Arial"/>
          <w:sz w:val="24"/>
          <w:szCs w:val="24"/>
        </w:rPr>
        <w:t>, Cyanobacteria</w:t>
      </w:r>
      <w:r w:rsidR="00C576F0">
        <w:rPr>
          <w:rFonts w:ascii="Arial" w:hAnsi="Arial" w:cs="Arial"/>
          <w:sz w:val="24"/>
          <w:szCs w:val="24"/>
        </w:rPr>
        <w:t xml:space="preserve"> (blue-green algae)</w:t>
      </w:r>
      <w:r w:rsidRPr="00D91A5E">
        <w:rPr>
          <w:rFonts w:ascii="Arial" w:hAnsi="Arial" w:cs="Arial"/>
          <w:sz w:val="24"/>
          <w:szCs w:val="24"/>
        </w:rPr>
        <w:t xml:space="preserve">, </w:t>
      </w:r>
      <w:r w:rsidR="00C576F0">
        <w:rPr>
          <w:rFonts w:ascii="Arial" w:hAnsi="Arial" w:cs="Arial"/>
          <w:sz w:val="24"/>
          <w:szCs w:val="24"/>
        </w:rPr>
        <w:t xml:space="preserve">Bacillariophyceae (diatoms), </w:t>
      </w:r>
      <w:r w:rsidRPr="00D91A5E">
        <w:rPr>
          <w:rFonts w:ascii="Arial" w:hAnsi="Arial" w:cs="Arial"/>
          <w:sz w:val="24"/>
          <w:szCs w:val="24"/>
        </w:rPr>
        <w:t>and/or Xanthophyceae</w:t>
      </w:r>
      <w:r w:rsidR="00C576F0">
        <w:rPr>
          <w:rFonts w:ascii="Arial" w:hAnsi="Arial" w:cs="Arial"/>
          <w:sz w:val="24"/>
          <w:szCs w:val="24"/>
        </w:rPr>
        <w:t xml:space="preserve"> (yellow-green algae)</w:t>
      </w:r>
      <w:r w:rsidRPr="00D91A5E">
        <w:rPr>
          <w:rFonts w:ascii="Arial" w:hAnsi="Arial" w:cs="Arial"/>
          <w:sz w:val="24"/>
          <w:szCs w:val="24"/>
        </w:rPr>
        <w:t xml:space="preserve">.  </w:t>
      </w:r>
      <w:r w:rsidR="00563A2E">
        <w:rPr>
          <w:rFonts w:ascii="Arial" w:hAnsi="Arial" w:cs="Arial"/>
          <w:sz w:val="24"/>
          <w:szCs w:val="24"/>
        </w:rPr>
        <w:t xml:space="preserve">SAV is defined as vascular plants which grow submersed on the stream bottom with no aerial or emergent portions.  SAV includes the green alga </w:t>
      </w:r>
      <w:r w:rsidR="00563A2E" w:rsidRPr="00563A2E">
        <w:rPr>
          <w:rFonts w:ascii="Arial" w:hAnsi="Arial" w:cs="Arial"/>
          <w:i/>
          <w:sz w:val="24"/>
          <w:szCs w:val="24"/>
        </w:rPr>
        <w:t>Chara</w:t>
      </w:r>
      <w:r w:rsidR="00C576F0">
        <w:rPr>
          <w:rFonts w:ascii="Arial" w:hAnsi="Arial" w:cs="Arial"/>
          <w:sz w:val="24"/>
          <w:szCs w:val="24"/>
        </w:rPr>
        <w:t xml:space="preserve"> sp.</w:t>
      </w:r>
      <w:r w:rsidR="00563A2E">
        <w:rPr>
          <w:rFonts w:ascii="Arial" w:hAnsi="Arial" w:cs="Arial"/>
          <w:sz w:val="24"/>
          <w:szCs w:val="24"/>
        </w:rPr>
        <w:t xml:space="preserve"> </w:t>
      </w:r>
    </w:p>
    <w:p w:rsidR="00563A2E" w:rsidRDefault="00563A2E" w:rsidP="00A732C7">
      <w:pPr>
        <w:rPr>
          <w:rFonts w:ascii="Arial" w:hAnsi="Arial" w:cs="Arial"/>
          <w:sz w:val="24"/>
          <w:szCs w:val="24"/>
        </w:rPr>
      </w:pPr>
    </w:p>
    <w:p w:rsidR="000C6328" w:rsidRDefault="00A732C7" w:rsidP="00A732C7">
      <w:pPr>
        <w:rPr>
          <w:rFonts w:ascii="Arial" w:hAnsi="Arial" w:cs="Arial"/>
          <w:sz w:val="24"/>
          <w:szCs w:val="24"/>
        </w:rPr>
      </w:pPr>
      <w:r w:rsidRPr="00D91A5E">
        <w:rPr>
          <w:rFonts w:ascii="Arial" w:hAnsi="Arial" w:cs="Arial"/>
          <w:sz w:val="24"/>
          <w:szCs w:val="24"/>
        </w:rPr>
        <w:t xml:space="preserve">Once each year </w:t>
      </w:r>
      <w:r w:rsidR="000C6328">
        <w:rPr>
          <w:rFonts w:ascii="Arial" w:hAnsi="Arial" w:cs="Arial"/>
          <w:sz w:val="24"/>
          <w:szCs w:val="24"/>
        </w:rPr>
        <w:t>District staff</w:t>
      </w:r>
      <w:r w:rsidR="00BC17B2">
        <w:rPr>
          <w:rFonts w:ascii="Arial" w:hAnsi="Arial" w:cs="Arial"/>
          <w:sz w:val="24"/>
          <w:szCs w:val="24"/>
        </w:rPr>
        <w:t xml:space="preserve"> conduct </w:t>
      </w:r>
      <w:r w:rsidRPr="00D91A5E">
        <w:rPr>
          <w:rFonts w:ascii="Arial" w:hAnsi="Arial" w:cs="Arial"/>
          <w:sz w:val="24"/>
          <w:szCs w:val="24"/>
        </w:rPr>
        <w:t>systematic survey</w:t>
      </w:r>
      <w:r w:rsidR="00BC17B2">
        <w:rPr>
          <w:rFonts w:ascii="Arial" w:hAnsi="Arial" w:cs="Arial"/>
          <w:sz w:val="24"/>
          <w:szCs w:val="24"/>
        </w:rPr>
        <w:t>s</w:t>
      </w:r>
      <w:r w:rsidRPr="00D91A5E">
        <w:rPr>
          <w:rFonts w:ascii="Arial" w:hAnsi="Arial" w:cs="Arial"/>
          <w:sz w:val="24"/>
          <w:szCs w:val="24"/>
        </w:rPr>
        <w:t xml:space="preserve"> of the distribution and coverage of </w:t>
      </w:r>
      <w:r w:rsidR="000C6328">
        <w:rPr>
          <w:rFonts w:ascii="Arial" w:hAnsi="Arial" w:cs="Arial"/>
          <w:sz w:val="24"/>
          <w:szCs w:val="24"/>
        </w:rPr>
        <w:t xml:space="preserve">SAV and macroalgae in </w:t>
      </w:r>
      <w:r w:rsidR="00BC17B2">
        <w:rPr>
          <w:rFonts w:ascii="Arial" w:hAnsi="Arial" w:cs="Arial"/>
          <w:sz w:val="24"/>
          <w:szCs w:val="24"/>
        </w:rPr>
        <w:t>two</w:t>
      </w:r>
      <w:r w:rsidRPr="00D91A5E">
        <w:rPr>
          <w:rFonts w:ascii="Arial" w:hAnsi="Arial" w:cs="Arial"/>
          <w:sz w:val="24"/>
          <w:szCs w:val="24"/>
        </w:rPr>
        <w:t xml:space="preserve"> headsprings and their spring-run streams</w:t>
      </w:r>
      <w:r w:rsidR="00BC17B2">
        <w:rPr>
          <w:rFonts w:ascii="Arial" w:hAnsi="Arial" w:cs="Arial"/>
          <w:sz w:val="24"/>
          <w:szCs w:val="24"/>
        </w:rPr>
        <w:t xml:space="preserve"> located within the Wekiwa Springs State Park/Rock Springs Run State Reserve/Lower Wekiva State Preserve complex</w:t>
      </w:r>
      <w:r w:rsidR="000C6328">
        <w:rPr>
          <w:rFonts w:ascii="Arial" w:hAnsi="Arial" w:cs="Arial"/>
          <w:sz w:val="24"/>
          <w:szCs w:val="24"/>
        </w:rPr>
        <w:t>:</w:t>
      </w:r>
    </w:p>
    <w:p w:rsidR="000C6328" w:rsidRDefault="000C6328" w:rsidP="00A732C7">
      <w:pPr>
        <w:rPr>
          <w:rFonts w:ascii="Arial" w:hAnsi="Arial" w:cs="Arial"/>
          <w:sz w:val="24"/>
          <w:szCs w:val="24"/>
        </w:rPr>
      </w:pPr>
    </w:p>
    <w:p w:rsidR="000C6328" w:rsidRDefault="000C6328" w:rsidP="000C6328">
      <w:pPr>
        <w:ind w:left="1080"/>
        <w:rPr>
          <w:rFonts w:ascii="Arial" w:hAnsi="Arial" w:cs="Arial"/>
          <w:sz w:val="24"/>
          <w:szCs w:val="24"/>
        </w:rPr>
      </w:pPr>
      <w:r>
        <w:rPr>
          <w:rFonts w:ascii="Arial" w:hAnsi="Arial" w:cs="Arial"/>
          <w:sz w:val="24"/>
          <w:szCs w:val="24"/>
        </w:rPr>
        <w:t>Rock Springs Run (Kelly Park/Rock Springs Run [RSR] State Reserve)</w:t>
      </w:r>
    </w:p>
    <w:p w:rsidR="000C6328" w:rsidRDefault="000C6328" w:rsidP="000C6328">
      <w:pPr>
        <w:ind w:left="1080"/>
        <w:rPr>
          <w:rFonts w:ascii="Arial" w:hAnsi="Arial" w:cs="Arial"/>
          <w:sz w:val="24"/>
          <w:szCs w:val="24"/>
        </w:rPr>
      </w:pPr>
      <w:r>
        <w:rPr>
          <w:rFonts w:ascii="Arial" w:hAnsi="Arial" w:cs="Arial"/>
          <w:sz w:val="24"/>
          <w:szCs w:val="24"/>
        </w:rPr>
        <w:t>Wekiva River (Wekiwa Springs State Park/RSR State Reserve/Lower Wekiva River Preserve)</w:t>
      </w:r>
    </w:p>
    <w:p w:rsidR="000C6328" w:rsidRDefault="000C6328" w:rsidP="00A732C7">
      <w:pPr>
        <w:rPr>
          <w:rFonts w:ascii="Arial" w:hAnsi="Arial" w:cs="Arial"/>
          <w:sz w:val="24"/>
          <w:szCs w:val="24"/>
        </w:rPr>
      </w:pPr>
    </w:p>
    <w:p w:rsidR="00A732C7" w:rsidRPr="00D91A5E" w:rsidRDefault="00A732C7" w:rsidP="00A732C7">
      <w:pPr>
        <w:rPr>
          <w:rFonts w:ascii="Arial" w:hAnsi="Arial" w:cs="Arial"/>
          <w:sz w:val="24"/>
          <w:szCs w:val="24"/>
        </w:rPr>
      </w:pPr>
      <w:r w:rsidRPr="00D91A5E">
        <w:rPr>
          <w:rFonts w:ascii="Arial" w:hAnsi="Arial" w:cs="Arial"/>
          <w:sz w:val="24"/>
          <w:szCs w:val="24"/>
        </w:rPr>
        <w:t xml:space="preserve">The timing of this annual sampling </w:t>
      </w:r>
      <w:r w:rsidR="00BC17B2">
        <w:rPr>
          <w:rFonts w:ascii="Arial" w:hAnsi="Arial" w:cs="Arial"/>
          <w:sz w:val="24"/>
          <w:szCs w:val="24"/>
        </w:rPr>
        <w:t>is</w:t>
      </w:r>
      <w:r w:rsidR="000C6328">
        <w:rPr>
          <w:rFonts w:ascii="Arial" w:hAnsi="Arial" w:cs="Arial"/>
          <w:sz w:val="24"/>
          <w:szCs w:val="24"/>
        </w:rPr>
        <w:t xml:space="preserve"> in the late spring/early summer (April-June), which generally</w:t>
      </w:r>
      <w:r w:rsidRPr="00D91A5E">
        <w:rPr>
          <w:rFonts w:ascii="Arial" w:hAnsi="Arial" w:cs="Arial"/>
          <w:sz w:val="24"/>
          <w:szCs w:val="24"/>
        </w:rPr>
        <w:t xml:space="preserve"> coincide</w:t>
      </w:r>
      <w:r w:rsidR="000C6328">
        <w:rPr>
          <w:rFonts w:ascii="Arial" w:hAnsi="Arial" w:cs="Arial"/>
          <w:sz w:val="24"/>
          <w:szCs w:val="24"/>
        </w:rPr>
        <w:t>s</w:t>
      </w:r>
      <w:r w:rsidRPr="00D91A5E">
        <w:rPr>
          <w:rFonts w:ascii="Arial" w:hAnsi="Arial" w:cs="Arial"/>
          <w:sz w:val="24"/>
          <w:szCs w:val="24"/>
        </w:rPr>
        <w:t xml:space="preserve"> with </w:t>
      </w:r>
      <w:r w:rsidR="000C6328">
        <w:rPr>
          <w:rFonts w:ascii="Arial" w:hAnsi="Arial" w:cs="Arial"/>
          <w:sz w:val="24"/>
          <w:szCs w:val="24"/>
        </w:rPr>
        <w:t xml:space="preserve">the period of </w:t>
      </w:r>
      <w:r w:rsidRPr="00D91A5E">
        <w:rPr>
          <w:rFonts w:ascii="Arial" w:hAnsi="Arial" w:cs="Arial"/>
          <w:sz w:val="24"/>
          <w:szCs w:val="24"/>
        </w:rPr>
        <w:t xml:space="preserve">maximal algal </w:t>
      </w:r>
      <w:r w:rsidR="000C6328">
        <w:rPr>
          <w:rFonts w:ascii="Arial" w:hAnsi="Arial" w:cs="Arial"/>
          <w:sz w:val="24"/>
          <w:szCs w:val="24"/>
        </w:rPr>
        <w:t xml:space="preserve">and SAV </w:t>
      </w:r>
      <w:r w:rsidRPr="00D91A5E">
        <w:rPr>
          <w:rFonts w:ascii="Arial" w:hAnsi="Arial" w:cs="Arial"/>
          <w:sz w:val="24"/>
          <w:szCs w:val="24"/>
        </w:rPr>
        <w:t>coverage.</w:t>
      </w:r>
      <w:r w:rsidR="00BC17B2">
        <w:rPr>
          <w:rFonts w:ascii="Arial" w:hAnsi="Arial" w:cs="Arial"/>
          <w:sz w:val="24"/>
          <w:szCs w:val="24"/>
        </w:rPr>
        <w:t xml:space="preserve">  </w:t>
      </w:r>
      <w:r w:rsidR="00A4454D">
        <w:rPr>
          <w:rFonts w:ascii="Arial" w:hAnsi="Arial" w:cs="Arial"/>
          <w:sz w:val="24"/>
          <w:szCs w:val="24"/>
        </w:rPr>
        <w:t xml:space="preserve">Sampling in the two spring run streams was conducted 26 April, 19 May, 02 June, 07 June and 15 June 2011.  </w:t>
      </w:r>
      <w:r w:rsidR="000C6328">
        <w:rPr>
          <w:rFonts w:ascii="Arial" w:hAnsi="Arial" w:cs="Arial"/>
          <w:sz w:val="24"/>
          <w:szCs w:val="24"/>
        </w:rPr>
        <w:t>S</w:t>
      </w:r>
      <w:r w:rsidRPr="00D91A5E">
        <w:rPr>
          <w:rFonts w:ascii="Arial" w:hAnsi="Arial" w:cs="Arial"/>
          <w:sz w:val="24"/>
          <w:szCs w:val="24"/>
        </w:rPr>
        <w:t xml:space="preserve">ampling </w:t>
      </w:r>
      <w:r w:rsidR="00BC17B2">
        <w:rPr>
          <w:rFonts w:ascii="Arial" w:hAnsi="Arial" w:cs="Arial"/>
          <w:sz w:val="24"/>
          <w:szCs w:val="24"/>
        </w:rPr>
        <w:t>is</w:t>
      </w:r>
      <w:r w:rsidR="000C6328">
        <w:rPr>
          <w:rFonts w:ascii="Arial" w:hAnsi="Arial" w:cs="Arial"/>
          <w:sz w:val="24"/>
          <w:szCs w:val="24"/>
        </w:rPr>
        <w:t xml:space="preserve"> conducted </w:t>
      </w:r>
      <w:r w:rsidRPr="00D91A5E">
        <w:rPr>
          <w:rFonts w:ascii="Arial" w:hAnsi="Arial" w:cs="Arial"/>
          <w:sz w:val="24"/>
          <w:szCs w:val="24"/>
        </w:rPr>
        <w:t xml:space="preserve">using transects </w:t>
      </w:r>
      <w:r w:rsidR="000C6328">
        <w:rPr>
          <w:rFonts w:ascii="Arial" w:hAnsi="Arial" w:cs="Arial"/>
          <w:sz w:val="24"/>
          <w:szCs w:val="24"/>
        </w:rPr>
        <w:t>established in 2007/08, which run</w:t>
      </w:r>
      <w:r w:rsidRPr="00D91A5E">
        <w:rPr>
          <w:rFonts w:ascii="Arial" w:hAnsi="Arial" w:cs="Arial"/>
          <w:sz w:val="24"/>
          <w:szCs w:val="24"/>
        </w:rPr>
        <w:t xml:space="preserve"> along the length of each spring-run stream from (and including) the headspring to a downstream </w:t>
      </w:r>
      <w:r w:rsidR="000C6328">
        <w:rPr>
          <w:rFonts w:ascii="Arial" w:hAnsi="Arial" w:cs="Arial"/>
          <w:sz w:val="24"/>
          <w:szCs w:val="24"/>
        </w:rPr>
        <w:t>point; either the confluence with a larger stream or a convenient take-out point</w:t>
      </w:r>
      <w:r w:rsidRPr="00D91A5E">
        <w:rPr>
          <w:rFonts w:ascii="Arial" w:hAnsi="Arial" w:cs="Arial"/>
          <w:sz w:val="24"/>
          <w:szCs w:val="24"/>
        </w:rPr>
        <w:t xml:space="preserve">.  During each annual survey, </w:t>
      </w:r>
      <w:r w:rsidR="00563A2E">
        <w:rPr>
          <w:rFonts w:ascii="Arial" w:hAnsi="Arial" w:cs="Arial"/>
          <w:sz w:val="24"/>
          <w:szCs w:val="24"/>
        </w:rPr>
        <w:t xml:space="preserve">SAV and </w:t>
      </w:r>
      <w:r w:rsidRPr="00D91A5E">
        <w:rPr>
          <w:rFonts w:ascii="Arial" w:hAnsi="Arial" w:cs="Arial"/>
          <w:sz w:val="24"/>
          <w:szCs w:val="24"/>
        </w:rPr>
        <w:t xml:space="preserve">algal distribution and coverage </w:t>
      </w:r>
      <w:r w:rsidR="00BC17B2">
        <w:rPr>
          <w:rFonts w:ascii="Arial" w:hAnsi="Arial" w:cs="Arial"/>
          <w:sz w:val="24"/>
          <w:szCs w:val="24"/>
        </w:rPr>
        <w:t>is</w:t>
      </w:r>
      <w:r w:rsidRPr="00D91A5E">
        <w:rPr>
          <w:rFonts w:ascii="Arial" w:hAnsi="Arial" w:cs="Arial"/>
          <w:sz w:val="24"/>
          <w:szCs w:val="24"/>
        </w:rPr>
        <w:t xml:space="preserve"> measured at each transect or grid by:</w:t>
      </w:r>
    </w:p>
    <w:p w:rsidR="00A732C7" w:rsidRPr="00D91A5E" w:rsidRDefault="00A732C7" w:rsidP="00A732C7">
      <w:pPr>
        <w:rPr>
          <w:rFonts w:ascii="Arial" w:hAnsi="Arial" w:cs="Arial"/>
          <w:sz w:val="24"/>
          <w:szCs w:val="24"/>
        </w:rPr>
      </w:pPr>
    </w:p>
    <w:p w:rsidR="004D1835" w:rsidRDefault="00A732C7" w:rsidP="00A732C7">
      <w:pPr>
        <w:numPr>
          <w:ilvl w:val="0"/>
          <w:numId w:val="1"/>
        </w:numPr>
        <w:rPr>
          <w:rFonts w:ascii="Arial" w:hAnsi="Arial" w:cs="Arial"/>
          <w:sz w:val="24"/>
          <w:szCs w:val="24"/>
        </w:rPr>
      </w:pPr>
      <w:r w:rsidRPr="00D91A5E">
        <w:rPr>
          <w:rFonts w:ascii="Arial" w:hAnsi="Arial" w:cs="Arial"/>
          <w:sz w:val="24"/>
          <w:szCs w:val="24"/>
        </w:rPr>
        <w:t xml:space="preserve">measuring </w:t>
      </w:r>
      <w:r w:rsidR="004D1835">
        <w:rPr>
          <w:rFonts w:ascii="Arial" w:hAnsi="Arial" w:cs="Arial"/>
          <w:sz w:val="24"/>
          <w:szCs w:val="24"/>
        </w:rPr>
        <w:t>SAV (by species) and algal cover with</w:t>
      </w:r>
      <w:r w:rsidRPr="00D91A5E">
        <w:rPr>
          <w:rFonts w:ascii="Arial" w:hAnsi="Arial" w:cs="Arial"/>
          <w:sz w:val="24"/>
          <w:szCs w:val="24"/>
        </w:rPr>
        <w:t xml:space="preserve"> </w:t>
      </w:r>
      <w:r w:rsidR="004D1835">
        <w:rPr>
          <w:rFonts w:ascii="Arial" w:hAnsi="Arial" w:cs="Arial"/>
          <w:sz w:val="24"/>
          <w:szCs w:val="24"/>
        </w:rPr>
        <w:t xml:space="preserve">the </w:t>
      </w:r>
      <w:r w:rsidRPr="00D91A5E">
        <w:rPr>
          <w:rFonts w:ascii="Arial" w:hAnsi="Arial" w:cs="Arial"/>
          <w:sz w:val="24"/>
          <w:szCs w:val="24"/>
        </w:rPr>
        <w:t xml:space="preserve">Braun-Blanquet </w:t>
      </w:r>
      <w:r w:rsidR="004D1835">
        <w:rPr>
          <w:rFonts w:ascii="Arial" w:hAnsi="Arial" w:cs="Arial"/>
          <w:sz w:val="24"/>
          <w:szCs w:val="24"/>
        </w:rPr>
        <w:t>scale</w:t>
      </w:r>
      <w:r w:rsidRPr="00D91A5E">
        <w:rPr>
          <w:rFonts w:ascii="Arial" w:hAnsi="Arial" w:cs="Arial"/>
          <w:sz w:val="24"/>
          <w:szCs w:val="24"/>
        </w:rPr>
        <w:t xml:space="preserve"> using 0.25 m</w:t>
      </w:r>
      <w:r w:rsidRPr="00D91A5E">
        <w:rPr>
          <w:rFonts w:ascii="Arial" w:hAnsi="Arial" w:cs="Arial"/>
          <w:sz w:val="24"/>
          <w:szCs w:val="24"/>
          <w:vertAlign w:val="superscript"/>
        </w:rPr>
        <w:t>2</w:t>
      </w:r>
      <w:r w:rsidRPr="00D91A5E">
        <w:rPr>
          <w:rFonts w:ascii="Arial" w:hAnsi="Arial" w:cs="Arial"/>
          <w:sz w:val="24"/>
          <w:szCs w:val="24"/>
        </w:rPr>
        <w:t xml:space="preserve"> quadrats which shall be randomly located along each tran</w:t>
      </w:r>
      <w:r w:rsidR="004D1835">
        <w:rPr>
          <w:rFonts w:ascii="Arial" w:hAnsi="Arial" w:cs="Arial"/>
          <w:sz w:val="24"/>
          <w:szCs w:val="24"/>
        </w:rPr>
        <w:t>sect (or systematically located if the stream channel is &lt; 1</w:t>
      </w:r>
      <w:r w:rsidR="00C576F0">
        <w:rPr>
          <w:rFonts w:ascii="Arial" w:hAnsi="Arial" w:cs="Arial"/>
          <w:sz w:val="24"/>
          <w:szCs w:val="24"/>
        </w:rPr>
        <w:t>2</w:t>
      </w:r>
      <w:r w:rsidR="004D1835">
        <w:rPr>
          <w:rFonts w:ascii="Arial" w:hAnsi="Arial" w:cs="Arial"/>
          <w:sz w:val="24"/>
          <w:szCs w:val="24"/>
        </w:rPr>
        <w:t xml:space="preserve"> m in width).  The Braun-Blanquet scale is an ordinal scale system which estimates percent cover in the following </w:t>
      </w:r>
      <w:r w:rsidR="00563A2E">
        <w:rPr>
          <w:rFonts w:ascii="Arial" w:hAnsi="Arial" w:cs="Arial"/>
          <w:sz w:val="24"/>
          <w:szCs w:val="24"/>
        </w:rPr>
        <w:t>categories</w:t>
      </w:r>
      <w:r w:rsidR="004D1835">
        <w:rPr>
          <w:rFonts w:ascii="Arial" w:hAnsi="Arial" w:cs="Arial"/>
          <w:sz w:val="24"/>
          <w:szCs w:val="24"/>
        </w:rPr>
        <w:t>:</w:t>
      </w:r>
    </w:p>
    <w:p w:rsidR="004D1835" w:rsidRDefault="004D1835" w:rsidP="004D1835">
      <w:pPr>
        <w:rPr>
          <w:rFonts w:ascii="Arial" w:hAnsi="Arial" w:cs="Arial"/>
          <w:sz w:val="24"/>
          <w:szCs w:val="24"/>
        </w:rPr>
      </w:pPr>
    </w:p>
    <w:p w:rsidR="004D1835" w:rsidRDefault="004D1835" w:rsidP="004D1835">
      <w:pPr>
        <w:tabs>
          <w:tab w:val="left" w:pos="2160"/>
          <w:tab w:val="left" w:pos="2880"/>
          <w:tab w:val="left" w:pos="3870"/>
        </w:tabs>
        <w:ind w:left="360"/>
        <w:rPr>
          <w:rFonts w:ascii="Arial" w:hAnsi="Arial" w:cs="Arial"/>
          <w:sz w:val="24"/>
          <w:szCs w:val="24"/>
        </w:rPr>
      </w:pPr>
      <w:r>
        <w:rPr>
          <w:rFonts w:ascii="Arial" w:hAnsi="Arial" w:cs="Arial"/>
          <w:sz w:val="24"/>
          <w:szCs w:val="24"/>
        </w:rPr>
        <w:tab/>
        <w:t>5</w:t>
      </w:r>
      <w:r>
        <w:rPr>
          <w:rFonts w:ascii="Arial" w:hAnsi="Arial" w:cs="Arial"/>
          <w:sz w:val="24"/>
          <w:szCs w:val="24"/>
        </w:rPr>
        <w:tab/>
        <w:t>-</w:t>
      </w:r>
      <w:r>
        <w:rPr>
          <w:rFonts w:ascii="Arial" w:hAnsi="Arial" w:cs="Arial"/>
          <w:sz w:val="24"/>
          <w:szCs w:val="24"/>
        </w:rPr>
        <w:tab/>
        <w:t>75-100% cover</w:t>
      </w:r>
    </w:p>
    <w:p w:rsidR="004D1835" w:rsidRDefault="004D1835" w:rsidP="004D1835">
      <w:pPr>
        <w:tabs>
          <w:tab w:val="left" w:pos="2160"/>
          <w:tab w:val="left" w:pos="2880"/>
          <w:tab w:val="left" w:pos="3870"/>
        </w:tabs>
        <w:ind w:left="360"/>
        <w:rPr>
          <w:rFonts w:ascii="Arial" w:hAnsi="Arial" w:cs="Arial"/>
          <w:sz w:val="24"/>
          <w:szCs w:val="24"/>
        </w:rPr>
      </w:pPr>
      <w:r>
        <w:rPr>
          <w:rFonts w:ascii="Arial" w:hAnsi="Arial" w:cs="Arial"/>
          <w:sz w:val="24"/>
          <w:szCs w:val="24"/>
        </w:rPr>
        <w:tab/>
        <w:t>4</w:t>
      </w:r>
      <w:r>
        <w:rPr>
          <w:rFonts w:ascii="Arial" w:hAnsi="Arial" w:cs="Arial"/>
          <w:sz w:val="24"/>
          <w:szCs w:val="24"/>
        </w:rPr>
        <w:tab/>
        <w:t>-</w:t>
      </w:r>
      <w:r>
        <w:rPr>
          <w:rFonts w:ascii="Arial" w:hAnsi="Arial" w:cs="Arial"/>
          <w:sz w:val="24"/>
          <w:szCs w:val="24"/>
        </w:rPr>
        <w:tab/>
        <w:t>50-75% cover</w:t>
      </w:r>
    </w:p>
    <w:p w:rsidR="004D1835" w:rsidRDefault="004D1835" w:rsidP="004D1835">
      <w:pPr>
        <w:tabs>
          <w:tab w:val="left" w:pos="2160"/>
          <w:tab w:val="left" w:pos="2880"/>
          <w:tab w:val="left" w:pos="3870"/>
        </w:tabs>
        <w:ind w:left="360"/>
        <w:rPr>
          <w:rFonts w:ascii="Arial" w:hAnsi="Arial" w:cs="Arial"/>
          <w:sz w:val="24"/>
          <w:szCs w:val="24"/>
        </w:rPr>
      </w:pPr>
      <w:r>
        <w:rPr>
          <w:rFonts w:ascii="Arial" w:hAnsi="Arial" w:cs="Arial"/>
          <w:sz w:val="24"/>
          <w:szCs w:val="24"/>
        </w:rPr>
        <w:tab/>
        <w:t>3</w:t>
      </w:r>
      <w:r>
        <w:rPr>
          <w:rFonts w:ascii="Arial" w:hAnsi="Arial" w:cs="Arial"/>
          <w:sz w:val="24"/>
          <w:szCs w:val="24"/>
        </w:rPr>
        <w:tab/>
        <w:t>-</w:t>
      </w:r>
      <w:r>
        <w:rPr>
          <w:rFonts w:ascii="Arial" w:hAnsi="Arial" w:cs="Arial"/>
          <w:sz w:val="24"/>
          <w:szCs w:val="24"/>
        </w:rPr>
        <w:tab/>
        <w:t>25-50% cover</w:t>
      </w:r>
    </w:p>
    <w:p w:rsidR="004D1835" w:rsidRDefault="004D1835" w:rsidP="004D1835">
      <w:pPr>
        <w:tabs>
          <w:tab w:val="left" w:pos="2160"/>
          <w:tab w:val="left" w:pos="2880"/>
          <w:tab w:val="left" w:pos="3870"/>
        </w:tabs>
        <w:ind w:left="360"/>
        <w:rPr>
          <w:rFonts w:ascii="Arial" w:hAnsi="Arial" w:cs="Arial"/>
          <w:sz w:val="24"/>
          <w:szCs w:val="24"/>
        </w:rPr>
      </w:pPr>
      <w:r>
        <w:rPr>
          <w:rFonts w:ascii="Arial" w:hAnsi="Arial" w:cs="Arial"/>
          <w:sz w:val="24"/>
          <w:szCs w:val="24"/>
        </w:rPr>
        <w:tab/>
        <w:t>2</w:t>
      </w:r>
      <w:r>
        <w:rPr>
          <w:rFonts w:ascii="Arial" w:hAnsi="Arial" w:cs="Arial"/>
          <w:sz w:val="24"/>
          <w:szCs w:val="24"/>
        </w:rPr>
        <w:tab/>
        <w:t>-</w:t>
      </w:r>
      <w:r>
        <w:rPr>
          <w:rFonts w:ascii="Arial" w:hAnsi="Arial" w:cs="Arial"/>
          <w:sz w:val="24"/>
          <w:szCs w:val="24"/>
        </w:rPr>
        <w:tab/>
        <w:t>5-25% cover</w:t>
      </w:r>
    </w:p>
    <w:p w:rsidR="004D1835" w:rsidRDefault="004D1835" w:rsidP="004D1835">
      <w:pPr>
        <w:tabs>
          <w:tab w:val="left" w:pos="2160"/>
          <w:tab w:val="left" w:pos="2880"/>
          <w:tab w:val="left" w:pos="3870"/>
        </w:tabs>
        <w:ind w:left="360"/>
        <w:rPr>
          <w:rFonts w:ascii="Arial" w:hAnsi="Arial" w:cs="Arial"/>
          <w:sz w:val="24"/>
          <w:szCs w:val="24"/>
        </w:rPr>
      </w:pPr>
      <w:r>
        <w:rPr>
          <w:rFonts w:ascii="Arial" w:hAnsi="Arial" w:cs="Arial"/>
          <w:sz w:val="24"/>
          <w:szCs w:val="24"/>
        </w:rPr>
        <w:tab/>
        <w:t>1</w:t>
      </w:r>
      <w:r>
        <w:rPr>
          <w:rFonts w:ascii="Arial" w:hAnsi="Arial" w:cs="Arial"/>
          <w:sz w:val="24"/>
          <w:szCs w:val="24"/>
        </w:rPr>
        <w:tab/>
        <w:t>-</w:t>
      </w:r>
      <w:r>
        <w:rPr>
          <w:rFonts w:ascii="Arial" w:hAnsi="Arial" w:cs="Arial"/>
          <w:sz w:val="24"/>
          <w:szCs w:val="24"/>
        </w:rPr>
        <w:tab/>
        <w:t>&lt; 5% cover</w:t>
      </w:r>
    </w:p>
    <w:p w:rsidR="004D1835" w:rsidRDefault="004D1835" w:rsidP="004D1835">
      <w:pPr>
        <w:ind w:left="720"/>
        <w:rPr>
          <w:rFonts w:ascii="Arial" w:hAnsi="Arial" w:cs="Arial"/>
          <w:sz w:val="24"/>
          <w:szCs w:val="24"/>
        </w:rPr>
      </w:pPr>
    </w:p>
    <w:p w:rsidR="00A732C7" w:rsidRPr="00D91A5E" w:rsidRDefault="00514447" w:rsidP="00A732C7">
      <w:pPr>
        <w:numPr>
          <w:ilvl w:val="0"/>
          <w:numId w:val="1"/>
        </w:numPr>
        <w:rPr>
          <w:rFonts w:ascii="Arial" w:hAnsi="Arial" w:cs="Arial"/>
          <w:sz w:val="24"/>
          <w:szCs w:val="24"/>
        </w:rPr>
      </w:pPr>
      <w:r>
        <w:rPr>
          <w:rFonts w:ascii="Arial" w:hAnsi="Arial" w:cs="Arial"/>
          <w:sz w:val="24"/>
          <w:szCs w:val="24"/>
        </w:rPr>
        <w:t>i</w:t>
      </w:r>
      <w:r w:rsidR="00A732C7" w:rsidRPr="00D91A5E">
        <w:rPr>
          <w:rFonts w:ascii="Arial" w:hAnsi="Arial" w:cs="Arial"/>
          <w:sz w:val="24"/>
          <w:szCs w:val="24"/>
        </w:rPr>
        <w:t>f possible in the field, identify dominant algae in the mats to Division (Cyanobacteria, Chlorophyta, etc.);</w:t>
      </w:r>
    </w:p>
    <w:p w:rsidR="00783E6E" w:rsidRPr="00BC17B2" w:rsidRDefault="00783E6E" w:rsidP="00BC17B2">
      <w:pPr>
        <w:rPr>
          <w:rFonts w:ascii="Arial" w:hAnsi="Arial" w:cs="Arial"/>
          <w:sz w:val="24"/>
          <w:szCs w:val="24"/>
        </w:rPr>
      </w:pPr>
    </w:p>
    <w:p w:rsidR="00783E6E" w:rsidRDefault="00783E6E" w:rsidP="00783E6E">
      <w:pPr>
        <w:rPr>
          <w:rFonts w:ascii="Arial" w:hAnsi="Arial" w:cs="Arial"/>
          <w:sz w:val="24"/>
          <w:szCs w:val="24"/>
        </w:rPr>
      </w:pPr>
      <w:r>
        <w:rPr>
          <w:rFonts w:ascii="Arial" w:hAnsi="Arial" w:cs="Arial"/>
          <w:sz w:val="24"/>
          <w:szCs w:val="24"/>
        </w:rPr>
        <w:t xml:space="preserve">Transect locations are illustrated in Figures </w:t>
      </w:r>
      <w:r w:rsidR="00AC3E1F">
        <w:rPr>
          <w:rFonts w:ascii="Arial" w:hAnsi="Arial" w:cs="Arial"/>
          <w:sz w:val="24"/>
          <w:szCs w:val="24"/>
        </w:rPr>
        <w:t>1 (Rock Springs Run) and 2 (Wekiva River)</w:t>
      </w:r>
      <w:r>
        <w:rPr>
          <w:rFonts w:ascii="Arial" w:hAnsi="Arial" w:cs="Arial"/>
          <w:sz w:val="24"/>
          <w:szCs w:val="24"/>
        </w:rPr>
        <w:t>.</w:t>
      </w:r>
    </w:p>
    <w:p w:rsidR="00AC3E1F" w:rsidRDefault="00AC3E1F" w:rsidP="00783E6E">
      <w:pPr>
        <w:rPr>
          <w:rFonts w:ascii="Arial" w:hAnsi="Arial" w:cs="Arial"/>
          <w:sz w:val="24"/>
          <w:szCs w:val="24"/>
        </w:rPr>
      </w:pPr>
    </w:p>
    <w:p w:rsidR="00AC3E1F" w:rsidRDefault="00AC3E1F" w:rsidP="00783E6E">
      <w:pPr>
        <w:rPr>
          <w:rFonts w:ascii="Arial" w:hAnsi="Arial" w:cs="Arial"/>
          <w:sz w:val="24"/>
          <w:szCs w:val="24"/>
        </w:rPr>
      </w:pPr>
      <w:r>
        <w:rPr>
          <w:rFonts w:ascii="Arial" w:hAnsi="Arial" w:cs="Arial"/>
          <w:sz w:val="24"/>
          <w:szCs w:val="24"/>
        </w:rPr>
        <w:t>Concurrent with vegetation surveys, field water quality (water temperature, pH, conductivity and dissolved oxygen) is collected using a calibrated meter (YSI or equivalent).</w:t>
      </w:r>
    </w:p>
    <w:p w:rsidR="00514447" w:rsidRDefault="00514447" w:rsidP="00783E6E">
      <w:pPr>
        <w:rPr>
          <w:rFonts w:ascii="Arial" w:hAnsi="Arial" w:cs="Arial"/>
          <w:sz w:val="24"/>
          <w:szCs w:val="24"/>
        </w:rPr>
      </w:pPr>
    </w:p>
    <w:p w:rsidR="00514447" w:rsidRDefault="00514447" w:rsidP="00783E6E">
      <w:pPr>
        <w:rPr>
          <w:rFonts w:ascii="Arial" w:hAnsi="Arial" w:cs="Arial"/>
          <w:sz w:val="24"/>
          <w:szCs w:val="24"/>
        </w:rPr>
      </w:pPr>
    </w:p>
    <w:p w:rsidR="00783E6E" w:rsidRDefault="00783E6E" w:rsidP="00783E6E">
      <w:pPr>
        <w:rPr>
          <w:rFonts w:ascii="Arial" w:hAnsi="Arial" w:cs="Arial"/>
          <w:sz w:val="24"/>
          <w:szCs w:val="24"/>
        </w:rPr>
        <w:sectPr w:rsidR="00783E6E" w:rsidSect="00A74A52">
          <w:pgSz w:w="12240" w:h="15840"/>
          <w:pgMar w:top="1440" w:right="1440" w:bottom="1440" w:left="1440" w:header="720" w:footer="720" w:gutter="0"/>
          <w:pgNumType w:start="1"/>
          <w:cols w:space="720"/>
          <w:docGrid w:linePitch="360"/>
        </w:sectPr>
      </w:pPr>
    </w:p>
    <w:p w:rsidR="00783E6E" w:rsidRDefault="00783E6E" w:rsidP="00783E6E">
      <w:pPr>
        <w:jc w:val="center"/>
        <w:rPr>
          <w:rFonts w:ascii="Arial" w:hAnsi="Arial" w:cs="Arial"/>
          <w:sz w:val="24"/>
          <w:szCs w:val="24"/>
        </w:rPr>
      </w:pPr>
      <w:r>
        <w:rPr>
          <w:rFonts w:ascii="Arial" w:hAnsi="Arial" w:cs="Arial"/>
          <w:noProof/>
          <w:sz w:val="24"/>
          <w:szCs w:val="24"/>
        </w:rPr>
        <w:drawing>
          <wp:inline distT="0" distB="0" distL="0" distR="0">
            <wp:extent cx="7362825" cy="5689428"/>
            <wp:effectExtent l="19050" t="0" r="9525" b="0"/>
            <wp:docPr id="3" name="Picture 2" descr="RSR_Transects_07an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R_Transects_07and08.jpg"/>
                    <pic:cNvPicPr/>
                  </pic:nvPicPr>
                  <pic:blipFill>
                    <a:blip r:embed="rId10" cstate="print"/>
                    <a:stretch>
                      <a:fillRect/>
                    </a:stretch>
                  </pic:blipFill>
                  <pic:spPr>
                    <a:xfrm>
                      <a:off x="0" y="0"/>
                      <a:ext cx="7362825" cy="5689428"/>
                    </a:xfrm>
                    <a:prstGeom prst="rect">
                      <a:avLst/>
                    </a:prstGeom>
                  </pic:spPr>
                </pic:pic>
              </a:graphicData>
            </a:graphic>
          </wp:inline>
        </w:drawing>
      </w:r>
    </w:p>
    <w:p w:rsidR="00783E6E" w:rsidRDefault="00783E6E" w:rsidP="00783E6E">
      <w:pPr>
        <w:jc w:val="center"/>
        <w:rPr>
          <w:rFonts w:ascii="Arial" w:hAnsi="Arial" w:cs="Arial"/>
          <w:sz w:val="24"/>
          <w:szCs w:val="24"/>
        </w:rPr>
      </w:pPr>
      <w:r>
        <w:rPr>
          <w:rFonts w:ascii="Arial" w:hAnsi="Arial" w:cs="Arial"/>
          <w:sz w:val="24"/>
          <w:szCs w:val="24"/>
        </w:rPr>
        <w:t xml:space="preserve">Figure </w:t>
      </w:r>
      <w:r w:rsidR="00BC17B2">
        <w:rPr>
          <w:rFonts w:ascii="Arial" w:hAnsi="Arial" w:cs="Arial"/>
          <w:sz w:val="24"/>
          <w:szCs w:val="24"/>
        </w:rPr>
        <w:t>1</w:t>
      </w:r>
      <w:r>
        <w:rPr>
          <w:rFonts w:ascii="Arial" w:hAnsi="Arial" w:cs="Arial"/>
          <w:sz w:val="24"/>
          <w:szCs w:val="24"/>
        </w:rPr>
        <w:t xml:space="preserve">.  Transect locations in Rock Springs Run.  2008 locations </w:t>
      </w:r>
      <w:r w:rsidR="00BC17B2">
        <w:rPr>
          <w:rFonts w:ascii="Arial" w:hAnsi="Arial" w:cs="Arial"/>
          <w:sz w:val="24"/>
          <w:szCs w:val="24"/>
        </w:rPr>
        <w:t>were used in 2011 Survey</w:t>
      </w:r>
      <w:r>
        <w:rPr>
          <w:rFonts w:ascii="Arial" w:hAnsi="Arial" w:cs="Arial"/>
          <w:sz w:val="24"/>
          <w:szCs w:val="24"/>
        </w:rPr>
        <w:t>.</w:t>
      </w:r>
    </w:p>
    <w:p w:rsidR="00783E6E" w:rsidRDefault="00783E6E" w:rsidP="00514447">
      <w:pPr>
        <w:jc w:val="center"/>
        <w:rPr>
          <w:rFonts w:ascii="Arial" w:hAnsi="Arial" w:cs="Arial"/>
          <w:sz w:val="24"/>
          <w:szCs w:val="24"/>
        </w:rPr>
      </w:pPr>
      <w:r>
        <w:rPr>
          <w:rFonts w:ascii="Arial" w:hAnsi="Arial" w:cs="Arial"/>
          <w:noProof/>
          <w:sz w:val="24"/>
          <w:szCs w:val="24"/>
        </w:rPr>
        <w:drawing>
          <wp:inline distT="0" distB="0" distL="0" distR="0">
            <wp:extent cx="7248525" cy="5601106"/>
            <wp:effectExtent l="19050" t="0" r="9525" b="0"/>
            <wp:docPr id="5" name="Picture 4" descr="WKR_Transects_07an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KR_Transects_07and08.jpg"/>
                    <pic:cNvPicPr/>
                  </pic:nvPicPr>
                  <pic:blipFill>
                    <a:blip r:embed="rId11" cstate="print"/>
                    <a:stretch>
                      <a:fillRect/>
                    </a:stretch>
                  </pic:blipFill>
                  <pic:spPr>
                    <a:xfrm>
                      <a:off x="0" y="0"/>
                      <a:ext cx="7248525" cy="5601106"/>
                    </a:xfrm>
                    <a:prstGeom prst="rect">
                      <a:avLst/>
                    </a:prstGeom>
                  </pic:spPr>
                </pic:pic>
              </a:graphicData>
            </a:graphic>
          </wp:inline>
        </w:drawing>
      </w:r>
    </w:p>
    <w:p w:rsidR="00514447" w:rsidRDefault="00514447" w:rsidP="00514447">
      <w:pPr>
        <w:jc w:val="center"/>
        <w:rPr>
          <w:rFonts w:ascii="Arial" w:hAnsi="Arial" w:cs="Arial"/>
          <w:sz w:val="24"/>
          <w:szCs w:val="24"/>
        </w:rPr>
        <w:sectPr w:rsidR="00514447" w:rsidSect="00783E6E">
          <w:pgSz w:w="15840" w:h="12240" w:orient="landscape"/>
          <w:pgMar w:top="1440" w:right="1440" w:bottom="1440" w:left="1440" w:header="720" w:footer="720" w:gutter="0"/>
          <w:cols w:space="720"/>
          <w:docGrid w:linePitch="360"/>
        </w:sectPr>
      </w:pPr>
      <w:r>
        <w:rPr>
          <w:rFonts w:ascii="Arial" w:hAnsi="Arial" w:cs="Arial"/>
          <w:sz w:val="24"/>
          <w:szCs w:val="24"/>
        </w:rPr>
        <w:t xml:space="preserve">Figure </w:t>
      </w:r>
      <w:r w:rsidR="00BC17B2">
        <w:rPr>
          <w:rFonts w:ascii="Arial" w:hAnsi="Arial" w:cs="Arial"/>
          <w:sz w:val="24"/>
          <w:szCs w:val="24"/>
        </w:rPr>
        <w:t>2</w:t>
      </w:r>
      <w:r>
        <w:rPr>
          <w:rFonts w:ascii="Arial" w:hAnsi="Arial" w:cs="Arial"/>
          <w:sz w:val="24"/>
          <w:szCs w:val="24"/>
        </w:rPr>
        <w:t xml:space="preserve">.  Transect locations in the Wekiva River.  2008 locations </w:t>
      </w:r>
      <w:r w:rsidR="00AC3E1F">
        <w:rPr>
          <w:rFonts w:ascii="Arial" w:hAnsi="Arial" w:cs="Arial"/>
          <w:sz w:val="24"/>
          <w:szCs w:val="24"/>
        </w:rPr>
        <w:t>were used in 2011 Survey</w:t>
      </w:r>
      <w:r>
        <w:rPr>
          <w:rFonts w:ascii="Arial" w:hAnsi="Arial" w:cs="Arial"/>
          <w:sz w:val="24"/>
          <w:szCs w:val="24"/>
        </w:rPr>
        <w:t>.</w:t>
      </w:r>
    </w:p>
    <w:p w:rsidR="00AC3E1F" w:rsidRDefault="00AC3E1F" w:rsidP="00514447">
      <w:pPr>
        <w:rPr>
          <w:rFonts w:ascii="Arial" w:hAnsi="Arial" w:cs="Arial"/>
          <w:sz w:val="24"/>
          <w:szCs w:val="24"/>
        </w:rPr>
      </w:pPr>
      <w:r>
        <w:rPr>
          <w:rFonts w:ascii="Arial" w:hAnsi="Arial" w:cs="Arial"/>
          <w:sz w:val="24"/>
          <w:szCs w:val="24"/>
        </w:rPr>
        <w:t>RESULTS</w:t>
      </w:r>
    </w:p>
    <w:p w:rsidR="00AC3E1F" w:rsidRDefault="00AC3E1F" w:rsidP="00514447">
      <w:pPr>
        <w:rPr>
          <w:rFonts w:ascii="Arial" w:hAnsi="Arial" w:cs="Arial"/>
          <w:sz w:val="24"/>
          <w:szCs w:val="24"/>
        </w:rPr>
      </w:pPr>
    </w:p>
    <w:p w:rsidR="00AC3E1F" w:rsidRPr="00A07358" w:rsidRDefault="001850AC" w:rsidP="00514447">
      <w:pPr>
        <w:rPr>
          <w:rFonts w:ascii="Arial" w:hAnsi="Arial" w:cs="Arial"/>
          <w:sz w:val="24"/>
          <w:szCs w:val="24"/>
          <w:u w:val="single"/>
        </w:rPr>
      </w:pPr>
      <w:r w:rsidRPr="00A07358">
        <w:rPr>
          <w:rFonts w:ascii="Arial" w:hAnsi="Arial" w:cs="Arial"/>
          <w:sz w:val="24"/>
          <w:szCs w:val="24"/>
          <w:u w:val="single"/>
        </w:rPr>
        <w:t>Water Quality</w:t>
      </w:r>
    </w:p>
    <w:p w:rsidR="001850AC" w:rsidRDefault="001850AC" w:rsidP="00514447">
      <w:pPr>
        <w:rPr>
          <w:rFonts w:ascii="Arial" w:hAnsi="Arial" w:cs="Arial"/>
          <w:sz w:val="24"/>
          <w:szCs w:val="24"/>
        </w:rPr>
      </w:pPr>
    </w:p>
    <w:p w:rsidR="008A265A" w:rsidRDefault="001850AC" w:rsidP="00514447">
      <w:pPr>
        <w:rPr>
          <w:rFonts w:ascii="Arial" w:hAnsi="Arial" w:cs="Arial"/>
          <w:sz w:val="24"/>
          <w:szCs w:val="24"/>
        </w:rPr>
      </w:pPr>
      <w:r>
        <w:rPr>
          <w:rFonts w:ascii="Arial" w:hAnsi="Arial" w:cs="Arial"/>
          <w:sz w:val="24"/>
          <w:szCs w:val="24"/>
        </w:rPr>
        <w:t>Profiles of the field water quality variables measured</w:t>
      </w:r>
      <w:r w:rsidR="008A265A">
        <w:rPr>
          <w:rFonts w:ascii="Arial" w:hAnsi="Arial" w:cs="Arial"/>
          <w:sz w:val="24"/>
          <w:szCs w:val="24"/>
        </w:rPr>
        <w:t xml:space="preserve"> at the transects</w:t>
      </w:r>
      <w:r>
        <w:rPr>
          <w:rFonts w:ascii="Arial" w:hAnsi="Arial" w:cs="Arial"/>
          <w:sz w:val="24"/>
          <w:szCs w:val="24"/>
        </w:rPr>
        <w:t xml:space="preserve"> is shown in Figure 3 (Rock Springs Run) and Figure 4 (Wekiva River).  As seen in prior years, conductivity in the Wekiva River increases dramatically downstream of Transect 19 (at the SR 46 bridge crossing), due to the inflow of more saline groundwater.</w:t>
      </w:r>
      <w:r w:rsidR="008A265A">
        <w:rPr>
          <w:rFonts w:ascii="Arial" w:hAnsi="Arial" w:cs="Arial"/>
          <w:sz w:val="24"/>
          <w:szCs w:val="24"/>
        </w:rPr>
        <w:t xml:space="preserve">  Conductivity in Rock Springs Run is generally constant down the entire length of the stream.  Dissolved oxygen (DO) is low at the headsprings of both systems and increases downstream. Water temperature and pH are also generally similar throughout the length of each stream</w:t>
      </w:r>
      <w:r w:rsidR="00271B2C">
        <w:rPr>
          <w:rFonts w:ascii="Arial" w:hAnsi="Arial" w:cs="Arial"/>
          <w:sz w:val="24"/>
          <w:szCs w:val="24"/>
        </w:rPr>
        <w:t>, although</w:t>
      </w:r>
      <w:r w:rsidR="00A4454D">
        <w:rPr>
          <w:rFonts w:ascii="Arial" w:hAnsi="Arial" w:cs="Arial"/>
          <w:sz w:val="24"/>
          <w:szCs w:val="24"/>
        </w:rPr>
        <w:t xml:space="preserve"> temperature increases slightly in a downstream direction (part of which could be due to sampling downstream later in the spring)</w:t>
      </w:r>
      <w:r w:rsidR="008A265A">
        <w:rPr>
          <w:rFonts w:ascii="Arial" w:hAnsi="Arial" w:cs="Arial"/>
          <w:sz w:val="24"/>
          <w:szCs w:val="24"/>
        </w:rPr>
        <w:t>.</w:t>
      </w:r>
    </w:p>
    <w:p w:rsidR="00A4454D" w:rsidRDefault="00A4454D" w:rsidP="00514447">
      <w:pPr>
        <w:rPr>
          <w:rFonts w:ascii="Arial" w:hAnsi="Arial" w:cs="Arial"/>
          <w:sz w:val="24"/>
          <w:szCs w:val="24"/>
        </w:rPr>
      </w:pPr>
    </w:p>
    <w:p w:rsidR="00A4454D" w:rsidRPr="00A07358" w:rsidRDefault="00A4454D" w:rsidP="00514447">
      <w:pPr>
        <w:rPr>
          <w:rFonts w:ascii="Arial" w:hAnsi="Arial" w:cs="Arial"/>
          <w:sz w:val="24"/>
          <w:szCs w:val="24"/>
          <w:u w:val="single"/>
        </w:rPr>
      </w:pPr>
      <w:r w:rsidRPr="00A07358">
        <w:rPr>
          <w:rFonts w:ascii="Arial" w:hAnsi="Arial" w:cs="Arial"/>
          <w:sz w:val="24"/>
          <w:szCs w:val="24"/>
          <w:u w:val="single"/>
        </w:rPr>
        <w:t>Vegetation</w:t>
      </w:r>
    </w:p>
    <w:p w:rsidR="00A4454D" w:rsidRDefault="00A4454D" w:rsidP="00514447">
      <w:pPr>
        <w:rPr>
          <w:rFonts w:ascii="Arial" w:hAnsi="Arial" w:cs="Arial"/>
          <w:sz w:val="24"/>
          <w:szCs w:val="24"/>
        </w:rPr>
      </w:pPr>
    </w:p>
    <w:p w:rsidR="00A4454D" w:rsidRDefault="00A4454D" w:rsidP="00514447">
      <w:pPr>
        <w:rPr>
          <w:rFonts w:ascii="Arial" w:hAnsi="Arial" w:cs="Arial"/>
          <w:sz w:val="24"/>
          <w:szCs w:val="24"/>
        </w:rPr>
      </w:pPr>
      <w:r>
        <w:rPr>
          <w:rFonts w:ascii="Arial" w:hAnsi="Arial" w:cs="Arial"/>
          <w:sz w:val="24"/>
          <w:szCs w:val="24"/>
        </w:rPr>
        <w:t xml:space="preserve">Three species of macrophyte were identified.  </w:t>
      </w:r>
      <w:r w:rsidRPr="001D7D7E">
        <w:rPr>
          <w:rFonts w:ascii="Arial" w:hAnsi="Arial" w:cs="Arial"/>
          <w:i/>
          <w:sz w:val="24"/>
          <w:szCs w:val="24"/>
        </w:rPr>
        <w:t>Vallisneria americana</w:t>
      </w:r>
      <w:r>
        <w:rPr>
          <w:rFonts w:ascii="Arial" w:hAnsi="Arial" w:cs="Arial"/>
          <w:sz w:val="24"/>
          <w:szCs w:val="24"/>
        </w:rPr>
        <w:t xml:space="preserve"> (freshwater eelgrass or wild celery)</w:t>
      </w:r>
      <w:r w:rsidR="001D7D7E">
        <w:rPr>
          <w:rFonts w:ascii="Arial" w:hAnsi="Arial" w:cs="Arial"/>
          <w:sz w:val="24"/>
          <w:szCs w:val="24"/>
        </w:rPr>
        <w:t xml:space="preserve"> was found in both Wekiva River and Rock Springs Run and was the dominant (in terms of occurrence at transects and mean cover).  Southern naiad (</w:t>
      </w:r>
      <w:r w:rsidR="001D7D7E" w:rsidRPr="001D7D7E">
        <w:rPr>
          <w:rFonts w:ascii="Arial" w:hAnsi="Arial" w:cs="Arial"/>
          <w:i/>
          <w:sz w:val="24"/>
          <w:szCs w:val="24"/>
        </w:rPr>
        <w:t>Naja</w:t>
      </w:r>
      <w:r w:rsidR="00B21320">
        <w:rPr>
          <w:rFonts w:ascii="Arial" w:hAnsi="Arial" w:cs="Arial"/>
          <w:i/>
          <w:sz w:val="24"/>
          <w:szCs w:val="24"/>
        </w:rPr>
        <w:t>s</w:t>
      </w:r>
      <w:r w:rsidR="001D7D7E" w:rsidRPr="001D7D7E">
        <w:rPr>
          <w:rFonts w:ascii="Arial" w:hAnsi="Arial" w:cs="Arial"/>
          <w:i/>
          <w:sz w:val="24"/>
          <w:szCs w:val="24"/>
        </w:rPr>
        <w:t xml:space="preserve"> guadalupensis</w:t>
      </w:r>
      <w:r w:rsidR="001D7D7E">
        <w:rPr>
          <w:rFonts w:ascii="Arial" w:hAnsi="Arial" w:cs="Arial"/>
          <w:sz w:val="24"/>
          <w:szCs w:val="24"/>
        </w:rPr>
        <w:t>) and the exotic hydrilla (</w:t>
      </w:r>
      <w:r w:rsidR="001D7D7E" w:rsidRPr="001D7D7E">
        <w:rPr>
          <w:rFonts w:ascii="Arial" w:hAnsi="Arial" w:cs="Arial"/>
          <w:i/>
          <w:sz w:val="24"/>
          <w:szCs w:val="24"/>
        </w:rPr>
        <w:t>Hydrilla verticillata</w:t>
      </w:r>
      <w:r w:rsidR="001D7D7E">
        <w:rPr>
          <w:rFonts w:ascii="Arial" w:hAnsi="Arial" w:cs="Arial"/>
          <w:sz w:val="24"/>
          <w:szCs w:val="24"/>
        </w:rPr>
        <w:t xml:space="preserve">) were observed in the upper Wekiva River.  Algae could not be identified in the field survey, but prior collections indicated that most frequently occurring algae at the transects were the filamentous diatom </w:t>
      </w:r>
      <w:r w:rsidR="001D7D7E" w:rsidRPr="001D7D7E">
        <w:rPr>
          <w:rFonts w:ascii="Arial" w:hAnsi="Arial" w:cs="Arial"/>
          <w:i/>
          <w:sz w:val="24"/>
          <w:szCs w:val="24"/>
        </w:rPr>
        <w:t>Pleurosira laevis</w:t>
      </w:r>
      <w:r w:rsidR="001D7D7E">
        <w:rPr>
          <w:rFonts w:ascii="Arial" w:hAnsi="Arial" w:cs="Arial"/>
          <w:sz w:val="24"/>
          <w:szCs w:val="24"/>
        </w:rPr>
        <w:t xml:space="preserve"> on Rock Springs Run and the cyanobacterium </w:t>
      </w:r>
      <w:r w:rsidR="001D7D7E" w:rsidRPr="001D7D7E">
        <w:rPr>
          <w:rFonts w:ascii="Arial" w:hAnsi="Arial" w:cs="Arial"/>
          <w:i/>
          <w:sz w:val="24"/>
          <w:szCs w:val="24"/>
        </w:rPr>
        <w:t>Oscillatoria princeps</w:t>
      </w:r>
      <w:r w:rsidR="001D7D7E">
        <w:rPr>
          <w:rFonts w:ascii="Arial" w:hAnsi="Arial" w:cs="Arial"/>
          <w:sz w:val="24"/>
          <w:szCs w:val="24"/>
        </w:rPr>
        <w:t xml:space="preserve">, the green alga </w:t>
      </w:r>
      <w:r w:rsidR="001D7D7E" w:rsidRPr="001D7D7E">
        <w:rPr>
          <w:rFonts w:ascii="Arial" w:hAnsi="Arial" w:cs="Arial"/>
          <w:i/>
          <w:sz w:val="24"/>
          <w:szCs w:val="24"/>
        </w:rPr>
        <w:t>Oedogonium</w:t>
      </w:r>
      <w:r w:rsidR="001D7D7E">
        <w:rPr>
          <w:rFonts w:ascii="Arial" w:hAnsi="Arial" w:cs="Arial"/>
          <w:sz w:val="24"/>
          <w:szCs w:val="24"/>
        </w:rPr>
        <w:t xml:space="preserve"> sp., and the filamentous diatom </w:t>
      </w:r>
      <w:r w:rsidR="001D7D7E" w:rsidRPr="001D7D7E">
        <w:rPr>
          <w:rFonts w:ascii="Arial" w:hAnsi="Arial" w:cs="Arial"/>
          <w:i/>
          <w:sz w:val="24"/>
          <w:szCs w:val="24"/>
        </w:rPr>
        <w:t>Terpsinoe musica</w:t>
      </w:r>
      <w:r w:rsidR="001D7D7E">
        <w:rPr>
          <w:rFonts w:ascii="Arial" w:hAnsi="Arial" w:cs="Arial"/>
          <w:sz w:val="24"/>
          <w:szCs w:val="24"/>
        </w:rPr>
        <w:t xml:space="preserve"> on the Wekiva River.</w:t>
      </w:r>
    </w:p>
    <w:p w:rsidR="001D7D7E" w:rsidRDefault="001D7D7E" w:rsidP="00514447">
      <w:pPr>
        <w:rPr>
          <w:rFonts w:ascii="Arial" w:hAnsi="Arial" w:cs="Arial"/>
          <w:sz w:val="24"/>
          <w:szCs w:val="24"/>
        </w:rPr>
      </w:pPr>
    </w:p>
    <w:p w:rsidR="001D7D7E" w:rsidRDefault="001D7D7E" w:rsidP="00514447">
      <w:pPr>
        <w:rPr>
          <w:rFonts w:ascii="Arial" w:hAnsi="Arial" w:cs="Arial"/>
          <w:sz w:val="24"/>
          <w:szCs w:val="24"/>
        </w:rPr>
      </w:pPr>
      <w:r>
        <w:rPr>
          <w:rFonts w:ascii="Arial" w:hAnsi="Arial" w:cs="Arial"/>
          <w:sz w:val="24"/>
          <w:szCs w:val="24"/>
        </w:rPr>
        <w:t xml:space="preserve">SAV and algal cover on Rock Springs Run is shown in Figure 5.  </w:t>
      </w:r>
      <w:r w:rsidR="00A07358">
        <w:rPr>
          <w:rFonts w:ascii="Arial" w:hAnsi="Arial" w:cs="Arial"/>
          <w:sz w:val="24"/>
          <w:szCs w:val="24"/>
        </w:rPr>
        <w:t xml:space="preserve">Highest </w:t>
      </w:r>
      <w:r w:rsidR="00A07358" w:rsidRPr="00434C8E">
        <w:rPr>
          <w:rFonts w:ascii="Arial" w:hAnsi="Arial" w:cs="Arial"/>
          <w:i/>
          <w:sz w:val="24"/>
          <w:szCs w:val="24"/>
        </w:rPr>
        <w:t>Vallisneria</w:t>
      </w:r>
      <w:r w:rsidR="00A07358">
        <w:rPr>
          <w:rFonts w:ascii="Arial" w:hAnsi="Arial" w:cs="Arial"/>
          <w:sz w:val="24"/>
          <w:szCs w:val="24"/>
        </w:rPr>
        <w:t xml:space="preserve"> and algal cover (mean BB Score </w:t>
      </w:r>
      <w:r w:rsidR="00A07358" w:rsidRPr="00FF4CF4">
        <w:rPr>
          <w:rFonts w:ascii="Arial" w:hAnsi="Arial" w:cs="Arial"/>
          <w:sz w:val="24"/>
          <w:szCs w:val="24"/>
          <w:u w:val="single"/>
        </w:rPr>
        <w:t>&gt;</w:t>
      </w:r>
      <w:r w:rsidR="00A07358">
        <w:rPr>
          <w:rFonts w:ascii="Arial" w:hAnsi="Arial" w:cs="Arial"/>
          <w:sz w:val="24"/>
          <w:szCs w:val="24"/>
        </w:rPr>
        <w:t xml:space="preserve">2) occurred in upper Rock Springs Run in Kelly Park </w:t>
      </w:r>
      <w:r w:rsidR="00434C8E">
        <w:rPr>
          <w:rFonts w:ascii="Arial" w:hAnsi="Arial" w:cs="Arial"/>
          <w:sz w:val="24"/>
          <w:szCs w:val="24"/>
        </w:rPr>
        <w:t xml:space="preserve">(Transects 1 and 2) </w:t>
      </w:r>
      <w:r w:rsidR="00A07358">
        <w:rPr>
          <w:rFonts w:ascii="Arial" w:hAnsi="Arial" w:cs="Arial"/>
          <w:sz w:val="24"/>
          <w:szCs w:val="24"/>
        </w:rPr>
        <w:t>and downstream near the confluence with the Wekiva River</w:t>
      </w:r>
      <w:r w:rsidR="00434C8E">
        <w:rPr>
          <w:rFonts w:ascii="Arial" w:hAnsi="Arial" w:cs="Arial"/>
          <w:sz w:val="24"/>
          <w:szCs w:val="24"/>
        </w:rPr>
        <w:t xml:space="preserve"> (Transects 15 and 16)</w:t>
      </w:r>
      <w:r w:rsidR="00A07358">
        <w:rPr>
          <w:rFonts w:ascii="Arial" w:hAnsi="Arial" w:cs="Arial"/>
          <w:sz w:val="24"/>
          <w:szCs w:val="24"/>
        </w:rPr>
        <w:t xml:space="preserve">.  SAV and algal cover in the Wekiva River </w:t>
      </w:r>
      <w:r w:rsidR="00016E06">
        <w:rPr>
          <w:rFonts w:ascii="Arial" w:hAnsi="Arial" w:cs="Arial"/>
          <w:sz w:val="24"/>
          <w:szCs w:val="24"/>
        </w:rPr>
        <w:t>is shown in Figure 6.</w:t>
      </w:r>
      <w:r w:rsidR="00FF4CF4">
        <w:rPr>
          <w:rFonts w:ascii="Arial" w:hAnsi="Arial" w:cs="Arial"/>
          <w:sz w:val="24"/>
          <w:szCs w:val="24"/>
        </w:rPr>
        <w:t xml:space="preserve">  Both </w:t>
      </w:r>
      <w:r w:rsidR="00FF4CF4" w:rsidRPr="00434C8E">
        <w:rPr>
          <w:rFonts w:ascii="Arial" w:hAnsi="Arial" w:cs="Arial"/>
          <w:i/>
          <w:sz w:val="24"/>
          <w:szCs w:val="24"/>
        </w:rPr>
        <w:t>Vallisneria</w:t>
      </w:r>
      <w:r w:rsidR="00FF4CF4">
        <w:rPr>
          <w:rFonts w:ascii="Arial" w:hAnsi="Arial" w:cs="Arial"/>
          <w:sz w:val="24"/>
          <w:szCs w:val="24"/>
        </w:rPr>
        <w:t xml:space="preserve"> and algae reached higher levels of cover (up to a mean BB Score of 5) on the Wekiva River compared to Rock Springs Run.  Highest </w:t>
      </w:r>
      <w:r w:rsidR="00FF4CF4" w:rsidRPr="00434C8E">
        <w:rPr>
          <w:rFonts w:ascii="Arial" w:hAnsi="Arial" w:cs="Arial"/>
          <w:i/>
          <w:sz w:val="24"/>
          <w:szCs w:val="24"/>
        </w:rPr>
        <w:t>Vallisneria</w:t>
      </w:r>
      <w:r w:rsidR="00FF4CF4">
        <w:rPr>
          <w:rFonts w:ascii="Arial" w:hAnsi="Arial" w:cs="Arial"/>
          <w:sz w:val="24"/>
          <w:szCs w:val="24"/>
        </w:rPr>
        <w:t xml:space="preserve"> cover (mean BB Score </w:t>
      </w:r>
      <w:r w:rsidR="00FF4CF4" w:rsidRPr="00FF4CF4">
        <w:rPr>
          <w:rFonts w:ascii="Arial" w:hAnsi="Arial" w:cs="Arial"/>
          <w:sz w:val="24"/>
          <w:szCs w:val="24"/>
          <w:u w:val="single"/>
        </w:rPr>
        <w:t>&gt;</w:t>
      </w:r>
      <w:r w:rsidR="00FF4CF4">
        <w:rPr>
          <w:rFonts w:ascii="Arial" w:hAnsi="Arial" w:cs="Arial"/>
          <w:sz w:val="24"/>
          <w:szCs w:val="24"/>
        </w:rPr>
        <w:t xml:space="preserve">4) was seen between transects 9 and 20.  </w:t>
      </w:r>
      <w:r w:rsidR="00434C8E" w:rsidRPr="00434C8E">
        <w:rPr>
          <w:rFonts w:ascii="Arial" w:hAnsi="Arial" w:cs="Arial"/>
          <w:i/>
          <w:sz w:val="24"/>
          <w:szCs w:val="24"/>
        </w:rPr>
        <w:t>Najas</w:t>
      </w:r>
      <w:r w:rsidR="00434C8E">
        <w:rPr>
          <w:rFonts w:ascii="Arial" w:hAnsi="Arial" w:cs="Arial"/>
          <w:sz w:val="24"/>
          <w:szCs w:val="24"/>
        </w:rPr>
        <w:t xml:space="preserve"> and </w:t>
      </w:r>
      <w:r w:rsidR="00434C8E" w:rsidRPr="00434C8E">
        <w:rPr>
          <w:rFonts w:ascii="Arial" w:hAnsi="Arial" w:cs="Arial"/>
          <w:i/>
          <w:sz w:val="24"/>
          <w:szCs w:val="24"/>
        </w:rPr>
        <w:t>Hydrilla</w:t>
      </w:r>
      <w:r w:rsidR="00434C8E">
        <w:rPr>
          <w:rFonts w:ascii="Arial" w:hAnsi="Arial" w:cs="Arial"/>
          <w:sz w:val="24"/>
          <w:szCs w:val="24"/>
        </w:rPr>
        <w:t xml:space="preserve"> were only observed in the upper reaches downstream of the headspring (Transects 3 and 4).  </w:t>
      </w:r>
      <w:r w:rsidR="00FF4CF4">
        <w:rPr>
          <w:rFonts w:ascii="Arial" w:hAnsi="Arial" w:cs="Arial"/>
          <w:sz w:val="24"/>
          <w:szCs w:val="24"/>
        </w:rPr>
        <w:t xml:space="preserve">Highest algal cover (mean BB Score </w:t>
      </w:r>
      <w:r w:rsidR="00FF4CF4" w:rsidRPr="00FF4CF4">
        <w:rPr>
          <w:rFonts w:ascii="Arial" w:hAnsi="Arial" w:cs="Arial"/>
          <w:sz w:val="24"/>
          <w:szCs w:val="24"/>
          <w:u w:val="single"/>
        </w:rPr>
        <w:t>&gt;</w:t>
      </w:r>
      <w:r w:rsidR="00FF4CF4">
        <w:rPr>
          <w:rFonts w:ascii="Arial" w:hAnsi="Arial" w:cs="Arial"/>
          <w:sz w:val="24"/>
          <w:szCs w:val="24"/>
        </w:rPr>
        <w:t>4) was seen at transects 7-10 and 17-20.</w:t>
      </w:r>
    </w:p>
    <w:p w:rsidR="00434C8E" w:rsidRDefault="00434C8E" w:rsidP="00514447">
      <w:pPr>
        <w:rPr>
          <w:rFonts w:ascii="Arial" w:hAnsi="Arial" w:cs="Arial"/>
          <w:sz w:val="24"/>
          <w:szCs w:val="24"/>
        </w:rPr>
      </w:pPr>
    </w:p>
    <w:p w:rsidR="00434C8E" w:rsidRDefault="00434C8E" w:rsidP="00514447">
      <w:pPr>
        <w:rPr>
          <w:rFonts w:ascii="Arial" w:hAnsi="Arial" w:cs="Arial"/>
          <w:sz w:val="24"/>
          <w:szCs w:val="24"/>
        </w:rPr>
      </w:pPr>
      <w:r>
        <w:rPr>
          <w:rFonts w:ascii="Arial" w:hAnsi="Arial" w:cs="Arial"/>
          <w:sz w:val="24"/>
          <w:szCs w:val="24"/>
        </w:rPr>
        <w:t>As additional years of data are collected, future analyses will compare year-to-year variation among and within these spring run streams.</w:t>
      </w:r>
    </w:p>
    <w:p w:rsidR="008A265A" w:rsidRDefault="008A265A">
      <w:pPr>
        <w:spacing w:after="200" w:line="276" w:lineRule="auto"/>
        <w:jc w:val="left"/>
        <w:rPr>
          <w:rFonts w:ascii="Arial" w:hAnsi="Arial" w:cs="Arial"/>
          <w:sz w:val="24"/>
          <w:szCs w:val="24"/>
        </w:rPr>
      </w:pPr>
      <w:r>
        <w:rPr>
          <w:rFonts w:ascii="Arial" w:hAnsi="Arial" w:cs="Arial"/>
          <w:sz w:val="24"/>
          <w:szCs w:val="24"/>
        </w:rPr>
        <w:br w:type="page"/>
      </w:r>
    </w:p>
    <w:p w:rsidR="008A265A" w:rsidRPr="008A265A" w:rsidRDefault="008A265A">
      <w:pPr>
        <w:spacing w:after="200" w:line="276" w:lineRule="auto"/>
        <w:jc w:val="left"/>
        <w:rPr>
          <w:rFonts w:ascii="Arial" w:hAnsi="Arial" w:cs="Arial"/>
          <w:b/>
          <w:sz w:val="24"/>
          <w:szCs w:val="24"/>
        </w:rPr>
      </w:pPr>
    </w:p>
    <w:p w:rsidR="008A265A" w:rsidRPr="008A265A" w:rsidRDefault="008A265A">
      <w:pPr>
        <w:spacing w:after="200" w:line="276" w:lineRule="auto"/>
        <w:jc w:val="left"/>
        <w:rPr>
          <w:rFonts w:ascii="Arial" w:hAnsi="Arial" w:cs="Arial"/>
          <w:b/>
          <w:sz w:val="24"/>
          <w:szCs w:val="24"/>
        </w:rPr>
      </w:pPr>
    </w:p>
    <w:p w:rsidR="008A265A" w:rsidRPr="008A265A" w:rsidRDefault="008A265A">
      <w:pPr>
        <w:spacing w:after="200" w:line="276" w:lineRule="auto"/>
        <w:jc w:val="left"/>
        <w:rPr>
          <w:rFonts w:ascii="Arial" w:hAnsi="Arial" w:cs="Arial"/>
          <w:b/>
          <w:sz w:val="24"/>
          <w:szCs w:val="24"/>
        </w:rPr>
      </w:pPr>
      <w:r w:rsidRPr="008A265A">
        <w:rPr>
          <w:rFonts w:ascii="Arial" w:hAnsi="Arial" w:cs="Arial"/>
          <w:b/>
          <w:noProof/>
          <w:sz w:val="24"/>
          <w:szCs w:val="24"/>
        </w:rPr>
        <w:drawing>
          <wp:inline distT="0" distB="0" distL="0" distR="0">
            <wp:extent cx="6067425" cy="3905250"/>
            <wp:effectExtent l="0" t="0" r="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A265A" w:rsidRDefault="008A265A">
      <w:pPr>
        <w:spacing w:after="200" w:line="276" w:lineRule="auto"/>
        <w:jc w:val="left"/>
        <w:rPr>
          <w:rFonts w:ascii="Arial" w:hAnsi="Arial" w:cs="Arial"/>
          <w:sz w:val="24"/>
          <w:szCs w:val="24"/>
        </w:rPr>
      </w:pPr>
      <w:r>
        <w:rPr>
          <w:rFonts w:ascii="Arial" w:hAnsi="Arial" w:cs="Arial"/>
          <w:sz w:val="24"/>
          <w:szCs w:val="24"/>
        </w:rPr>
        <w:t>Figure 3.  Water quality in Rock Springs Run during the 2011 Vegetation Survey.</w:t>
      </w:r>
    </w:p>
    <w:p w:rsidR="008A265A" w:rsidRDefault="008A265A">
      <w:pPr>
        <w:spacing w:after="200" w:line="276" w:lineRule="auto"/>
        <w:jc w:val="left"/>
        <w:rPr>
          <w:rFonts w:ascii="Arial" w:hAnsi="Arial" w:cs="Arial"/>
          <w:sz w:val="24"/>
          <w:szCs w:val="24"/>
        </w:rPr>
      </w:pPr>
    </w:p>
    <w:p w:rsidR="008A265A" w:rsidRDefault="008A265A">
      <w:pPr>
        <w:spacing w:after="200" w:line="276" w:lineRule="auto"/>
        <w:jc w:val="left"/>
        <w:rPr>
          <w:rFonts w:ascii="Arial" w:hAnsi="Arial" w:cs="Arial"/>
          <w:sz w:val="24"/>
          <w:szCs w:val="24"/>
        </w:rPr>
      </w:pPr>
    </w:p>
    <w:p w:rsidR="008A265A" w:rsidRDefault="008A265A">
      <w:pPr>
        <w:spacing w:after="200" w:line="276" w:lineRule="auto"/>
        <w:jc w:val="left"/>
        <w:rPr>
          <w:rFonts w:ascii="Arial" w:hAnsi="Arial" w:cs="Arial"/>
          <w:sz w:val="24"/>
          <w:szCs w:val="24"/>
        </w:rPr>
      </w:pPr>
    </w:p>
    <w:p w:rsidR="008A265A" w:rsidRDefault="008A265A">
      <w:pPr>
        <w:spacing w:after="200" w:line="276" w:lineRule="auto"/>
        <w:jc w:val="left"/>
        <w:rPr>
          <w:rFonts w:ascii="Arial" w:hAnsi="Arial" w:cs="Arial"/>
          <w:sz w:val="24"/>
          <w:szCs w:val="24"/>
        </w:rPr>
      </w:pPr>
    </w:p>
    <w:p w:rsidR="00271B2C" w:rsidRDefault="00271B2C">
      <w:pPr>
        <w:spacing w:after="200" w:line="276" w:lineRule="auto"/>
        <w:jc w:val="left"/>
        <w:rPr>
          <w:rFonts w:ascii="Arial" w:hAnsi="Arial" w:cs="Arial"/>
          <w:sz w:val="24"/>
          <w:szCs w:val="24"/>
        </w:rPr>
      </w:pPr>
    </w:p>
    <w:p w:rsidR="00271B2C" w:rsidRDefault="00271B2C">
      <w:pPr>
        <w:spacing w:after="200" w:line="276" w:lineRule="auto"/>
        <w:jc w:val="left"/>
        <w:rPr>
          <w:rFonts w:ascii="Arial" w:hAnsi="Arial" w:cs="Arial"/>
          <w:sz w:val="24"/>
          <w:szCs w:val="24"/>
        </w:rPr>
      </w:pPr>
    </w:p>
    <w:p w:rsidR="00271B2C" w:rsidRDefault="00271B2C">
      <w:pPr>
        <w:spacing w:after="200" w:line="276" w:lineRule="auto"/>
        <w:contextualSpacing/>
        <w:jc w:val="left"/>
        <w:rPr>
          <w:rFonts w:ascii="Arial" w:hAnsi="Arial" w:cs="Arial"/>
          <w:sz w:val="24"/>
          <w:szCs w:val="24"/>
        </w:rPr>
      </w:pPr>
    </w:p>
    <w:p w:rsidR="00271B2C" w:rsidRDefault="00271B2C">
      <w:pPr>
        <w:spacing w:after="200" w:line="276" w:lineRule="auto"/>
        <w:jc w:val="left"/>
        <w:rPr>
          <w:rFonts w:ascii="Arial" w:hAnsi="Arial" w:cs="Arial"/>
          <w:sz w:val="24"/>
          <w:szCs w:val="24"/>
        </w:rPr>
      </w:pPr>
      <w:r>
        <w:rPr>
          <w:rFonts w:ascii="Arial" w:hAnsi="Arial" w:cs="Arial"/>
          <w:sz w:val="24"/>
          <w:szCs w:val="24"/>
        </w:rPr>
        <w:br w:type="page"/>
      </w:r>
    </w:p>
    <w:p w:rsidR="00271B2C" w:rsidRPr="00271B2C" w:rsidRDefault="00271B2C">
      <w:pPr>
        <w:spacing w:after="200" w:line="276" w:lineRule="auto"/>
        <w:contextualSpacing/>
        <w:jc w:val="left"/>
        <w:rPr>
          <w:rFonts w:ascii="Arial" w:hAnsi="Arial" w:cs="Arial"/>
          <w:i/>
          <w:sz w:val="24"/>
          <w:szCs w:val="24"/>
        </w:rPr>
      </w:pPr>
    </w:p>
    <w:p w:rsidR="00271B2C" w:rsidRPr="00271B2C" w:rsidRDefault="00271B2C">
      <w:pPr>
        <w:spacing w:after="200" w:line="276" w:lineRule="auto"/>
        <w:contextualSpacing/>
        <w:jc w:val="left"/>
        <w:rPr>
          <w:rFonts w:ascii="Arial" w:hAnsi="Arial" w:cs="Arial"/>
          <w:i/>
          <w:sz w:val="24"/>
          <w:szCs w:val="24"/>
        </w:rPr>
      </w:pPr>
    </w:p>
    <w:p w:rsidR="00271B2C" w:rsidRPr="00271B2C" w:rsidRDefault="008A265A">
      <w:pPr>
        <w:spacing w:after="200" w:line="276" w:lineRule="auto"/>
        <w:contextualSpacing/>
        <w:jc w:val="left"/>
        <w:rPr>
          <w:rFonts w:ascii="Arial" w:hAnsi="Arial" w:cs="Arial"/>
          <w:i/>
          <w:sz w:val="24"/>
          <w:szCs w:val="24"/>
        </w:rPr>
      </w:pPr>
      <w:r w:rsidRPr="00271B2C">
        <w:rPr>
          <w:rFonts w:ascii="Arial" w:hAnsi="Arial" w:cs="Arial"/>
          <w:i/>
          <w:noProof/>
          <w:sz w:val="24"/>
          <w:szCs w:val="24"/>
        </w:rPr>
        <w:drawing>
          <wp:inline distT="0" distB="0" distL="0" distR="0">
            <wp:extent cx="5943600" cy="4082415"/>
            <wp:effectExtent l="0" t="0" r="0"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A265A" w:rsidRDefault="008A265A" w:rsidP="008A265A">
      <w:pPr>
        <w:spacing w:after="200" w:line="276" w:lineRule="auto"/>
        <w:contextualSpacing/>
        <w:jc w:val="left"/>
        <w:rPr>
          <w:rFonts w:ascii="Arial" w:hAnsi="Arial" w:cs="Arial"/>
          <w:sz w:val="24"/>
          <w:szCs w:val="24"/>
        </w:rPr>
      </w:pPr>
      <w:r>
        <w:rPr>
          <w:rFonts w:ascii="Arial" w:hAnsi="Arial" w:cs="Arial"/>
          <w:sz w:val="24"/>
          <w:szCs w:val="24"/>
        </w:rPr>
        <w:t>Figure 4.  Water quality in the Wekiva River during the 2011 Vegetation Survey.</w:t>
      </w:r>
    </w:p>
    <w:p w:rsidR="00A07358" w:rsidRDefault="008A265A">
      <w:pPr>
        <w:spacing w:after="200" w:line="276" w:lineRule="auto"/>
        <w:jc w:val="left"/>
        <w:rPr>
          <w:rFonts w:ascii="Arial" w:hAnsi="Arial" w:cs="Arial"/>
          <w:sz w:val="24"/>
          <w:szCs w:val="24"/>
        </w:rPr>
      </w:pPr>
      <w:r>
        <w:rPr>
          <w:rFonts w:ascii="Arial" w:hAnsi="Arial" w:cs="Arial"/>
          <w:sz w:val="24"/>
          <w:szCs w:val="24"/>
        </w:rPr>
        <w:br w:type="page"/>
      </w:r>
    </w:p>
    <w:p w:rsidR="00A07358" w:rsidRDefault="00A07358">
      <w:pPr>
        <w:spacing w:after="200" w:line="276" w:lineRule="auto"/>
        <w:contextualSpacing/>
        <w:jc w:val="left"/>
        <w:rPr>
          <w:rFonts w:ascii="Arial" w:hAnsi="Arial" w:cs="Arial"/>
          <w:sz w:val="24"/>
          <w:szCs w:val="24"/>
        </w:rPr>
      </w:pPr>
    </w:p>
    <w:p w:rsidR="00A07358" w:rsidRDefault="00A07358">
      <w:pPr>
        <w:spacing w:after="200" w:line="276" w:lineRule="auto"/>
        <w:contextualSpacing/>
        <w:jc w:val="left"/>
        <w:rPr>
          <w:rFonts w:ascii="Arial" w:hAnsi="Arial" w:cs="Arial"/>
          <w:sz w:val="24"/>
          <w:szCs w:val="24"/>
        </w:rPr>
      </w:pPr>
    </w:p>
    <w:p w:rsidR="00A07358" w:rsidRDefault="00A07358">
      <w:pPr>
        <w:spacing w:after="200" w:line="276" w:lineRule="auto"/>
        <w:contextualSpacing/>
        <w:jc w:val="left"/>
        <w:rPr>
          <w:rFonts w:ascii="Arial" w:hAnsi="Arial" w:cs="Arial"/>
          <w:sz w:val="24"/>
          <w:szCs w:val="24"/>
        </w:rPr>
      </w:pPr>
      <w:r w:rsidRPr="00A07358">
        <w:rPr>
          <w:rFonts w:ascii="Arial" w:hAnsi="Arial" w:cs="Arial"/>
          <w:noProof/>
          <w:sz w:val="24"/>
          <w:szCs w:val="24"/>
        </w:rPr>
        <w:drawing>
          <wp:inline distT="0" distB="0" distL="0" distR="0">
            <wp:extent cx="5943600" cy="3771265"/>
            <wp:effectExtent l="0" t="0" r="0" b="0"/>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B5C70" w:rsidRDefault="00A07358">
      <w:pPr>
        <w:spacing w:after="200" w:line="276" w:lineRule="auto"/>
        <w:jc w:val="left"/>
        <w:rPr>
          <w:rFonts w:ascii="Arial" w:hAnsi="Arial" w:cs="Arial"/>
          <w:sz w:val="24"/>
          <w:szCs w:val="24"/>
        </w:rPr>
      </w:pPr>
      <w:r>
        <w:rPr>
          <w:rFonts w:ascii="Arial" w:hAnsi="Arial" w:cs="Arial"/>
          <w:sz w:val="24"/>
          <w:szCs w:val="24"/>
        </w:rPr>
        <w:t>Figure 5.  Submerged aquatic vegetation and algal cover on Rock Springs Run in 2011.  N = transect not sampled due to no visibility.</w:t>
      </w:r>
      <w:r>
        <w:rPr>
          <w:rFonts w:ascii="Arial" w:hAnsi="Arial" w:cs="Arial"/>
          <w:sz w:val="24"/>
          <w:szCs w:val="24"/>
        </w:rPr>
        <w:br w:type="page"/>
      </w:r>
      <w:r w:rsidR="00CB5C70" w:rsidRPr="00CB5C70">
        <w:rPr>
          <w:rFonts w:ascii="Arial" w:hAnsi="Arial" w:cs="Arial"/>
          <w:noProof/>
          <w:sz w:val="24"/>
          <w:szCs w:val="24"/>
        </w:rPr>
        <w:drawing>
          <wp:inline distT="0" distB="0" distL="0" distR="0">
            <wp:extent cx="6143625" cy="3924300"/>
            <wp:effectExtent l="0" t="0" r="0"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B5C70" w:rsidRDefault="00CB5C70" w:rsidP="001A60A3">
      <w:pPr>
        <w:tabs>
          <w:tab w:val="left" w:pos="900"/>
        </w:tabs>
        <w:spacing w:after="200" w:line="276" w:lineRule="auto"/>
        <w:contextualSpacing/>
        <w:jc w:val="left"/>
        <w:rPr>
          <w:rFonts w:ascii="Arial" w:hAnsi="Arial" w:cs="Arial"/>
          <w:sz w:val="24"/>
          <w:szCs w:val="24"/>
        </w:rPr>
      </w:pPr>
      <w:r w:rsidRPr="00CB5C70">
        <w:rPr>
          <w:rFonts w:ascii="Arial" w:hAnsi="Arial" w:cs="Arial"/>
          <w:noProof/>
          <w:sz w:val="24"/>
          <w:szCs w:val="24"/>
        </w:rPr>
        <w:drawing>
          <wp:inline distT="0" distB="0" distL="0" distR="0">
            <wp:extent cx="6143625" cy="3457575"/>
            <wp:effectExtent l="0" t="0" r="0" b="0"/>
            <wp:docPr id="1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B5C70" w:rsidRDefault="00CB5C70" w:rsidP="001A60A3">
      <w:pPr>
        <w:spacing w:after="200" w:line="276" w:lineRule="auto"/>
        <w:contextualSpacing/>
        <w:jc w:val="left"/>
        <w:rPr>
          <w:rFonts w:ascii="Arial" w:hAnsi="Arial" w:cs="Arial"/>
          <w:sz w:val="24"/>
          <w:szCs w:val="24"/>
        </w:rPr>
      </w:pPr>
      <w:r>
        <w:rPr>
          <w:rFonts w:ascii="Arial" w:hAnsi="Arial" w:cs="Arial"/>
          <w:sz w:val="24"/>
          <w:szCs w:val="24"/>
        </w:rPr>
        <w:t>Figure 6.  Submerged aquatic vegetation and algal cover on Wekiva River in 2011.  N = transect not sampled due to no visibility.</w:t>
      </w:r>
      <w:r>
        <w:rPr>
          <w:rFonts w:ascii="Arial" w:hAnsi="Arial" w:cs="Arial"/>
          <w:sz w:val="24"/>
          <w:szCs w:val="24"/>
        </w:rPr>
        <w:br w:type="page"/>
      </w:r>
    </w:p>
    <w:p w:rsidR="00514447" w:rsidRPr="00514447" w:rsidRDefault="00514447" w:rsidP="00514447">
      <w:pPr>
        <w:rPr>
          <w:rFonts w:ascii="Arial" w:hAnsi="Arial" w:cs="Arial"/>
          <w:sz w:val="24"/>
          <w:szCs w:val="24"/>
        </w:rPr>
      </w:pPr>
      <w:r w:rsidRPr="00514447">
        <w:rPr>
          <w:rFonts w:ascii="Arial" w:hAnsi="Arial" w:cs="Arial"/>
          <w:sz w:val="24"/>
          <w:szCs w:val="24"/>
        </w:rPr>
        <w:t>References</w:t>
      </w:r>
    </w:p>
    <w:p w:rsidR="00514447" w:rsidRPr="00514447" w:rsidRDefault="00514447" w:rsidP="00514447">
      <w:pPr>
        <w:rPr>
          <w:rFonts w:ascii="Arial" w:hAnsi="Arial" w:cs="Arial"/>
          <w:sz w:val="24"/>
          <w:szCs w:val="24"/>
        </w:rPr>
      </w:pPr>
    </w:p>
    <w:p w:rsidR="00514447" w:rsidRPr="00514447" w:rsidRDefault="00514447" w:rsidP="00514447">
      <w:pPr>
        <w:rPr>
          <w:rFonts w:ascii="Arial" w:hAnsi="Arial" w:cs="Arial"/>
          <w:sz w:val="24"/>
          <w:szCs w:val="24"/>
        </w:rPr>
      </w:pPr>
      <w:r w:rsidRPr="00514447">
        <w:rPr>
          <w:rFonts w:ascii="Arial" w:hAnsi="Arial" w:cs="Arial"/>
          <w:sz w:val="24"/>
          <w:szCs w:val="24"/>
        </w:rPr>
        <w:t>Odum, H. T.  1957.  Trophic structure and productivity of Silver Springs, Florida.  Ecological Monographs 27:  55-112.</w:t>
      </w:r>
    </w:p>
    <w:p w:rsidR="00514447" w:rsidRPr="00514447" w:rsidRDefault="00514447" w:rsidP="00514447">
      <w:pPr>
        <w:rPr>
          <w:rFonts w:ascii="Arial" w:hAnsi="Arial" w:cs="Arial"/>
          <w:sz w:val="24"/>
          <w:szCs w:val="24"/>
        </w:rPr>
      </w:pPr>
    </w:p>
    <w:p w:rsidR="00514447" w:rsidRPr="00514447" w:rsidRDefault="00514447" w:rsidP="00514447">
      <w:pPr>
        <w:rPr>
          <w:rFonts w:ascii="Arial" w:hAnsi="Arial" w:cs="Arial"/>
          <w:sz w:val="24"/>
          <w:szCs w:val="24"/>
        </w:rPr>
      </w:pPr>
      <w:r w:rsidRPr="00514447">
        <w:rPr>
          <w:rFonts w:ascii="Arial" w:hAnsi="Arial" w:cs="Arial"/>
          <w:sz w:val="24"/>
          <w:szCs w:val="24"/>
        </w:rPr>
        <w:t>Patrick, R. 1973.  Use of algae, especially diatoms, in the assessment of water quality.  Pp. 76-95 IN:  J. Cairns, Jr. and K. L. Dickson (eds.), Biological Methods for the Assessment of Water Quality.  ASTM Special Technical Publication 528.</w:t>
      </w:r>
    </w:p>
    <w:p w:rsidR="00514447" w:rsidRPr="00514447" w:rsidRDefault="00514447" w:rsidP="00514447">
      <w:pPr>
        <w:rPr>
          <w:rFonts w:ascii="Arial" w:hAnsi="Arial" w:cs="Arial"/>
          <w:sz w:val="24"/>
          <w:szCs w:val="24"/>
        </w:rPr>
      </w:pPr>
    </w:p>
    <w:p w:rsidR="00A95944" w:rsidRPr="00A95944" w:rsidRDefault="00A95944" w:rsidP="00A95944">
      <w:pPr>
        <w:rPr>
          <w:rFonts w:ascii="Arial" w:hAnsi="Arial" w:cs="Arial"/>
          <w:sz w:val="24"/>
          <w:szCs w:val="24"/>
        </w:rPr>
      </w:pPr>
      <w:r w:rsidRPr="00A95944">
        <w:rPr>
          <w:rFonts w:ascii="Arial" w:hAnsi="Arial" w:cs="Arial"/>
          <w:sz w:val="24"/>
          <w:szCs w:val="24"/>
        </w:rPr>
        <w:t xml:space="preserve">Power, M. E.  1990.  Benthic turfs vs floating mats of algae in river food webs.  </w:t>
      </w:r>
    </w:p>
    <w:p w:rsidR="00A95944" w:rsidRPr="00A95944" w:rsidRDefault="00A95944" w:rsidP="00A95944">
      <w:pPr>
        <w:rPr>
          <w:rFonts w:ascii="Arial" w:hAnsi="Arial" w:cs="Arial"/>
          <w:sz w:val="24"/>
          <w:szCs w:val="24"/>
        </w:rPr>
      </w:pPr>
      <w:r w:rsidRPr="00A95944">
        <w:rPr>
          <w:rFonts w:ascii="Arial" w:hAnsi="Arial" w:cs="Arial"/>
          <w:sz w:val="24"/>
          <w:szCs w:val="24"/>
        </w:rPr>
        <w:t>Oikos 58:  67-79.</w:t>
      </w:r>
    </w:p>
    <w:p w:rsidR="00A95944" w:rsidRPr="00A95944" w:rsidRDefault="00A95944" w:rsidP="00A95944">
      <w:pPr>
        <w:rPr>
          <w:rFonts w:ascii="Arial" w:hAnsi="Arial" w:cs="Arial"/>
          <w:sz w:val="24"/>
          <w:szCs w:val="24"/>
        </w:rPr>
      </w:pPr>
    </w:p>
    <w:p w:rsidR="00514447" w:rsidRPr="00514447" w:rsidRDefault="00514447" w:rsidP="00514447">
      <w:pPr>
        <w:rPr>
          <w:rFonts w:ascii="Arial" w:hAnsi="Arial" w:cs="Arial"/>
          <w:sz w:val="24"/>
          <w:szCs w:val="24"/>
        </w:rPr>
      </w:pPr>
      <w:r w:rsidRPr="00514447">
        <w:rPr>
          <w:rFonts w:ascii="Arial" w:hAnsi="Arial" w:cs="Arial"/>
          <w:sz w:val="24"/>
          <w:szCs w:val="24"/>
        </w:rPr>
        <w:t>Rosen, B.  H.  1995.  Use of periphyton in the development of biocriteria.  Pp. 209-215 IN:  W. S. Davis and T. P. Simon (eds.), Biological Assessment and Criteria.  Tools for Water Resource Planning and Decision Making.  Lewis Publishers, Boca Raton, FL.</w:t>
      </w:r>
    </w:p>
    <w:p w:rsidR="00514447" w:rsidRPr="00514447" w:rsidRDefault="00514447" w:rsidP="00514447">
      <w:pPr>
        <w:rPr>
          <w:rFonts w:ascii="Arial" w:hAnsi="Arial" w:cs="Arial"/>
          <w:sz w:val="24"/>
          <w:szCs w:val="24"/>
        </w:rPr>
      </w:pPr>
    </w:p>
    <w:p w:rsidR="00514447" w:rsidRPr="00514447" w:rsidRDefault="00514447" w:rsidP="00514447">
      <w:pPr>
        <w:rPr>
          <w:rFonts w:ascii="Arial" w:hAnsi="Arial" w:cs="Arial"/>
          <w:sz w:val="24"/>
          <w:szCs w:val="24"/>
        </w:rPr>
      </w:pPr>
      <w:r w:rsidRPr="00514447">
        <w:rPr>
          <w:rFonts w:ascii="Arial" w:hAnsi="Arial" w:cs="Arial"/>
          <w:sz w:val="24"/>
          <w:szCs w:val="24"/>
        </w:rPr>
        <w:t>Stevenson, R. J.  1997.  Resource thresholds and stream ecosystem sustainability.  J. North American Benthological Soc. 16(2):  410-424.</w:t>
      </w:r>
    </w:p>
    <w:p w:rsidR="00514447" w:rsidRPr="00514447" w:rsidRDefault="00514447" w:rsidP="00514447">
      <w:pPr>
        <w:rPr>
          <w:rFonts w:ascii="Arial" w:hAnsi="Arial" w:cs="Arial"/>
          <w:sz w:val="24"/>
          <w:szCs w:val="24"/>
        </w:rPr>
      </w:pPr>
    </w:p>
    <w:p w:rsidR="00514447" w:rsidRPr="00514447" w:rsidRDefault="00514447" w:rsidP="00514447">
      <w:pPr>
        <w:rPr>
          <w:rFonts w:ascii="Arial" w:hAnsi="Arial" w:cs="Arial"/>
          <w:sz w:val="24"/>
          <w:szCs w:val="24"/>
        </w:rPr>
      </w:pPr>
      <w:r w:rsidRPr="00514447">
        <w:rPr>
          <w:rFonts w:ascii="Arial" w:hAnsi="Arial" w:cs="Arial"/>
          <w:sz w:val="24"/>
          <w:szCs w:val="24"/>
        </w:rPr>
        <w:t>Stevenson, R. J., A. Pinowska, and Y-K Wang.  2004.  Ecological Condition of Algae and Nutrients in Florida Springs.  Final Report to the Florida Department of Environmental Protection,  Tallahassee, FL.  101 pp.</w:t>
      </w:r>
    </w:p>
    <w:p w:rsidR="00783E6E" w:rsidRPr="00D91A5E" w:rsidRDefault="00783E6E" w:rsidP="00514447">
      <w:pPr>
        <w:jc w:val="left"/>
        <w:rPr>
          <w:rFonts w:ascii="Arial" w:hAnsi="Arial" w:cs="Arial"/>
          <w:sz w:val="24"/>
          <w:szCs w:val="24"/>
        </w:rPr>
      </w:pPr>
    </w:p>
    <w:sectPr w:rsidR="00783E6E" w:rsidRPr="00D91A5E" w:rsidSect="0051444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FFA" w:rsidRDefault="00A35FFA" w:rsidP="00A74A52">
      <w:r>
        <w:separator/>
      </w:r>
    </w:p>
  </w:endnote>
  <w:endnote w:type="continuationSeparator" w:id="0">
    <w:p w:rsidR="00A35FFA" w:rsidRDefault="00A35FFA" w:rsidP="00A74A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91206"/>
      <w:docPartObj>
        <w:docPartGallery w:val="Page Numbers (Bottom of Page)"/>
        <w:docPartUnique/>
      </w:docPartObj>
    </w:sdtPr>
    <w:sdtContent>
      <w:p w:rsidR="00A35FFA" w:rsidRDefault="00430675">
        <w:pPr>
          <w:pStyle w:val="Footer"/>
          <w:jc w:val="right"/>
        </w:pPr>
        <w:fldSimple w:instr=" PAGE   \* MERGEFORMAT ">
          <w:r w:rsidR="00097D18">
            <w:rPr>
              <w:noProof/>
            </w:rPr>
            <w:t>10</w:t>
          </w:r>
        </w:fldSimple>
      </w:p>
    </w:sdtContent>
  </w:sdt>
  <w:p w:rsidR="00A35FFA" w:rsidRDefault="00A35F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FFA" w:rsidRDefault="00A35FFA" w:rsidP="00A74A52">
      <w:r>
        <w:separator/>
      </w:r>
    </w:p>
  </w:footnote>
  <w:footnote w:type="continuationSeparator" w:id="0">
    <w:p w:rsidR="00A35FFA" w:rsidRDefault="00A35FFA" w:rsidP="00A74A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56ED9"/>
    <w:multiLevelType w:val="hybridMultilevel"/>
    <w:tmpl w:val="9BF2FC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D7330FA"/>
    <w:multiLevelType w:val="hybridMultilevel"/>
    <w:tmpl w:val="28AE0B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4097">
      <o:colormenu v:ext="edit" fillcolor="none [3212]" strokecolor="none"/>
    </o:shapedefaults>
  </w:hdrShapeDefaults>
  <w:footnotePr>
    <w:footnote w:id="-1"/>
    <w:footnote w:id="0"/>
  </w:footnotePr>
  <w:endnotePr>
    <w:endnote w:id="-1"/>
    <w:endnote w:id="0"/>
  </w:endnotePr>
  <w:compat/>
  <w:docVars>
    <w:docVar w:name="SIGN_FLAG" w:val="0"/>
  </w:docVars>
  <w:rsids>
    <w:rsidRoot w:val="00A732C7"/>
    <w:rsid w:val="00016E06"/>
    <w:rsid w:val="00097D18"/>
    <w:rsid w:val="000C6328"/>
    <w:rsid w:val="0015245E"/>
    <w:rsid w:val="00184B75"/>
    <w:rsid w:val="001850AC"/>
    <w:rsid w:val="001A60A3"/>
    <w:rsid w:val="001D7D7E"/>
    <w:rsid w:val="00231604"/>
    <w:rsid w:val="00271B2C"/>
    <w:rsid w:val="002B4D79"/>
    <w:rsid w:val="00332323"/>
    <w:rsid w:val="00430675"/>
    <w:rsid w:val="00434C8E"/>
    <w:rsid w:val="00492DD4"/>
    <w:rsid w:val="00494022"/>
    <w:rsid w:val="004D1835"/>
    <w:rsid w:val="00514447"/>
    <w:rsid w:val="00536213"/>
    <w:rsid w:val="00563A2E"/>
    <w:rsid w:val="00593B89"/>
    <w:rsid w:val="00622508"/>
    <w:rsid w:val="0071592D"/>
    <w:rsid w:val="007818B2"/>
    <w:rsid w:val="00783E6E"/>
    <w:rsid w:val="007B1615"/>
    <w:rsid w:val="008A265A"/>
    <w:rsid w:val="008A7314"/>
    <w:rsid w:val="0091495D"/>
    <w:rsid w:val="00943629"/>
    <w:rsid w:val="00A07358"/>
    <w:rsid w:val="00A35FFA"/>
    <w:rsid w:val="00A4454D"/>
    <w:rsid w:val="00A732C7"/>
    <w:rsid w:val="00A74A52"/>
    <w:rsid w:val="00A95944"/>
    <w:rsid w:val="00AC3E1F"/>
    <w:rsid w:val="00AC6E3C"/>
    <w:rsid w:val="00B21320"/>
    <w:rsid w:val="00B774E2"/>
    <w:rsid w:val="00BC17B2"/>
    <w:rsid w:val="00C576F0"/>
    <w:rsid w:val="00C8560C"/>
    <w:rsid w:val="00CB5C70"/>
    <w:rsid w:val="00D91A5E"/>
    <w:rsid w:val="00DC6DC1"/>
    <w:rsid w:val="00FF4C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32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2C7"/>
    <w:pPr>
      <w:spacing w:after="0" w:line="240" w:lineRule="auto"/>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495D"/>
    <w:pPr>
      <w:spacing w:after="0" w:line="240" w:lineRule="auto"/>
    </w:pPr>
    <w:rPr>
      <w:rFonts w:ascii="Arial" w:hAnsi="Arial"/>
      <w:sz w:val="24"/>
    </w:rPr>
  </w:style>
  <w:style w:type="paragraph" w:styleId="ListParagraph">
    <w:name w:val="List Paragraph"/>
    <w:basedOn w:val="Normal"/>
    <w:uiPriority w:val="34"/>
    <w:qFormat/>
    <w:rsid w:val="00783E6E"/>
    <w:pPr>
      <w:ind w:left="720"/>
      <w:contextualSpacing/>
    </w:pPr>
  </w:style>
  <w:style w:type="paragraph" w:styleId="BalloonText">
    <w:name w:val="Balloon Text"/>
    <w:basedOn w:val="Normal"/>
    <w:link w:val="BalloonTextChar"/>
    <w:uiPriority w:val="99"/>
    <w:semiHidden/>
    <w:unhideWhenUsed/>
    <w:rsid w:val="00783E6E"/>
    <w:rPr>
      <w:rFonts w:ascii="Tahoma" w:hAnsi="Tahoma" w:cs="Tahoma"/>
      <w:sz w:val="16"/>
      <w:szCs w:val="16"/>
    </w:rPr>
  </w:style>
  <w:style w:type="character" w:customStyle="1" w:styleId="BalloonTextChar">
    <w:name w:val="Balloon Text Char"/>
    <w:basedOn w:val="DefaultParagraphFont"/>
    <w:link w:val="BalloonText"/>
    <w:uiPriority w:val="99"/>
    <w:semiHidden/>
    <w:rsid w:val="00783E6E"/>
    <w:rPr>
      <w:rFonts w:ascii="Tahoma" w:eastAsia="Times New Roman" w:hAnsi="Tahoma" w:cs="Tahoma"/>
      <w:sz w:val="16"/>
      <w:szCs w:val="16"/>
    </w:rPr>
  </w:style>
  <w:style w:type="paragraph" w:styleId="Header">
    <w:name w:val="header"/>
    <w:basedOn w:val="Normal"/>
    <w:link w:val="HeaderChar"/>
    <w:uiPriority w:val="99"/>
    <w:semiHidden/>
    <w:unhideWhenUsed/>
    <w:rsid w:val="00A74A52"/>
    <w:pPr>
      <w:tabs>
        <w:tab w:val="center" w:pos="4680"/>
        <w:tab w:val="right" w:pos="9360"/>
      </w:tabs>
    </w:pPr>
  </w:style>
  <w:style w:type="character" w:customStyle="1" w:styleId="HeaderChar">
    <w:name w:val="Header Char"/>
    <w:basedOn w:val="DefaultParagraphFont"/>
    <w:link w:val="Header"/>
    <w:uiPriority w:val="99"/>
    <w:semiHidden/>
    <w:rsid w:val="00A74A52"/>
    <w:rPr>
      <w:rFonts w:ascii="Times New Roman" w:eastAsia="Times New Roman" w:hAnsi="Times New Roman" w:cs="Times New Roman"/>
      <w:szCs w:val="20"/>
    </w:rPr>
  </w:style>
  <w:style w:type="paragraph" w:styleId="Footer">
    <w:name w:val="footer"/>
    <w:basedOn w:val="Normal"/>
    <w:link w:val="FooterChar"/>
    <w:uiPriority w:val="99"/>
    <w:unhideWhenUsed/>
    <w:rsid w:val="00A74A52"/>
    <w:pPr>
      <w:tabs>
        <w:tab w:val="center" w:pos="4680"/>
        <w:tab w:val="right" w:pos="9360"/>
      </w:tabs>
    </w:pPr>
  </w:style>
  <w:style w:type="character" w:customStyle="1" w:styleId="FooterChar">
    <w:name w:val="Footer Char"/>
    <w:basedOn w:val="DefaultParagraphFont"/>
    <w:link w:val="Footer"/>
    <w:uiPriority w:val="99"/>
    <w:rsid w:val="00A74A52"/>
    <w:rPr>
      <w:rFonts w:ascii="Times New Roman" w:eastAsia="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sjrwmd.com\Private\WRData\ESDATA\MSJRB%20&amp;%20OCB%20Section\MSJRB%20PROGRAM\Biology\Periphyton\Springs%20Algae\2011%20FDEP%20Repor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jrwmd.com\Private\WRData\ESDATA\MSJRB%20&amp;%20OCB%20Section\MSJRB%20PROGRAM\Biology\Periphyton\Springs%20Algae\2011%20FDEP%20Report.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sjrwmd.com\Private\WRData\ESDATA\MSJRB%20&amp;%20OCB%20Section\MSJRB%20PROGRAM\Biology\Periphyton\Springs%20Algae\2011%20FDEP%20Report.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sjrwmd.com\Private\WRData\ESDATA\MSJRB%20&amp;%20OCB%20Section\MSJRB%20PROGRAM\Biology\Periphyton\Springs%20Algae\2011%20FDEP%20Report.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sjrwmd.com\Private\WRData\ESDATA\MSJRB%20&amp;%20OCB%20Section\MSJRB%20PROGRAM\Biology\Periphyton\Springs%20Algae\2011%20FDEP%20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400"/>
            </a:pPr>
            <a:r>
              <a:rPr lang="en-US" sz="1400"/>
              <a:t>Rock Springs Run Water Quality 2011</a:t>
            </a:r>
          </a:p>
        </c:rich>
      </c:tx>
      <c:overlay val="1"/>
    </c:title>
    <c:plotArea>
      <c:layout>
        <c:manualLayout>
          <c:layoutTarget val="inner"/>
          <c:xMode val="edge"/>
          <c:yMode val="edge"/>
          <c:x val="0.12998065145702944"/>
          <c:y val="0.13991887377714177"/>
          <c:w val="0.76520391681809075"/>
          <c:h val="0.72451065775868961"/>
        </c:manualLayout>
      </c:layout>
      <c:lineChart>
        <c:grouping val="standard"/>
        <c:ser>
          <c:idx val="1"/>
          <c:order val="0"/>
          <c:tx>
            <c:strRef>
              <c:f>'Water Qual'!$L$1</c:f>
              <c:strCache>
                <c:ptCount val="1"/>
                <c:pt idx="0">
                  <c:v>Temp.</c:v>
                </c:pt>
              </c:strCache>
            </c:strRef>
          </c:tx>
          <c:spPr>
            <a:ln>
              <a:solidFill>
                <a:srgbClr val="FFFF00"/>
              </a:solidFill>
            </a:ln>
          </c:spPr>
          <c:marker>
            <c:spPr>
              <a:solidFill>
                <a:srgbClr val="FFFF00"/>
              </a:solidFill>
              <a:ln>
                <a:solidFill>
                  <a:schemeClr val="tx1"/>
                </a:solidFill>
              </a:ln>
            </c:spPr>
          </c:marker>
          <c:val>
            <c:numRef>
              <c:f>'Water Qual'!$L$2:$L$17</c:f>
              <c:numCache>
                <c:formatCode>0.00</c:formatCode>
                <c:ptCount val="16"/>
                <c:pt idx="0">
                  <c:v>23.56</c:v>
                </c:pt>
                <c:pt idx="1">
                  <c:v>23.650000000000009</c:v>
                </c:pt>
                <c:pt idx="2">
                  <c:v>23.919999999999991</c:v>
                </c:pt>
                <c:pt idx="4">
                  <c:v>23.08</c:v>
                </c:pt>
                <c:pt idx="5">
                  <c:v>22.97</c:v>
                </c:pt>
                <c:pt idx="6">
                  <c:v>22.97</c:v>
                </c:pt>
                <c:pt idx="7">
                  <c:v>23</c:v>
                </c:pt>
                <c:pt idx="8">
                  <c:v>22.86</c:v>
                </c:pt>
                <c:pt idx="9">
                  <c:v>23.12</c:v>
                </c:pt>
                <c:pt idx="10">
                  <c:v>23.47</c:v>
                </c:pt>
                <c:pt idx="11">
                  <c:v>24.34</c:v>
                </c:pt>
                <c:pt idx="12">
                  <c:v>25.23</c:v>
                </c:pt>
                <c:pt idx="13">
                  <c:v>25.1</c:v>
                </c:pt>
                <c:pt idx="14">
                  <c:v>22.86</c:v>
                </c:pt>
                <c:pt idx="15">
                  <c:v>22.7</c:v>
                </c:pt>
              </c:numCache>
            </c:numRef>
          </c:val>
        </c:ser>
        <c:ser>
          <c:idx val="2"/>
          <c:order val="1"/>
          <c:tx>
            <c:strRef>
              <c:f>'Water Qual'!$M$1</c:f>
              <c:strCache>
                <c:ptCount val="1"/>
                <c:pt idx="0">
                  <c:v>pH</c:v>
                </c:pt>
              </c:strCache>
            </c:strRef>
          </c:tx>
          <c:spPr>
            <a:ln>
              <a:solidFill>
                <a:srgbClr val="00FF00"/>
              </a:solidFill>
              <a:prstDash val="lgDash"/>
            </a:ln>
          </c:spPr>
          <c:marker>
            <c:spPr>
              <a:solidFill>
                <a:srgbClr val="00FF00"/>
              </a:solidFill>
              <a:ln>
                <a:solidFill>
                  <a:schemeClr val="tx1"/>
                </a:solidFill>
              </a:ln>
            </c:spPr>
          </c:marker>
          <c:val>
            <c:numRef>
              <c:f>'Water Qual'!$M$2:$M$17</c:f>
              <c:numCache>
                <c:formatCode>0.00</c:formatCode>
                <c:ptCount val="16"/>
                <c:pt idx="0">
                  <c:v>7.68</c:v>
                </c:pt>
                <c:pt idx="1">
                  <c:v>7.72</c:v>
                </c:pt>
                <c:pt idx="2">
                  <c:v>7.8</c:v>
                </c:pt>
                <c:pt idx="4">
                  <c:v>7.59</c:v>
                </c:pt>
                <c:pt idx="5">
                  <c:v>7.7700000000000014</c:v>
                </c:pt>
                <c:pt idx="6">
                  <c:v>7.7700000000000014</c:v>
                </c:pt>
                <c:pt idx="7">
                  <c:v>7.72</c:v>
                </c:pt>
                <c:pt idx="8">
                  <c:v>7.7700000000000014</c:v>
                </c:pt>
                <c:pt idx="9">
                  <c:v>7.7</c:v>
                </c:pt>
                <c:pt idx="10">
                  <c:v>7.71</c:v>
                </c:pt>
                <c:pt idx="11">
                  <c:v>7.83</c:v>
                </c:pt>
                <c:pt idx="12">
                  <c:v>7.91</c:v>
                </c:pt>
                <c:pt idx="13">
                  <c:v>7.94</c:v>
                </c:pt>
                <c:pt idx="14">
                  <c:v>7.92</c:v>
                </c:pt>
                <c:pt idx="15">
                  <c:v>7.88</c:v>
                </c:pt>
              </c:numCache>
            </c:numRef>
          </c:val>
        </c:ser>
        <c:ser>
          <c:idx val="3"/>
          <c:order val="2"/>
          <c:tx>
            <c:strRef>
              <c:f>'Water Qual'!$N$1</c:f>
              <c:strCache>
                <c:ptCount val="1"/>
                <c:pt idx="0">
                  <c:v>D.O.</c:v>
                </c:pt>
              </c:strCache>
            </c:strRef>
          </c:tx>
          <c:spPr>
            <a:ln>
              <a:solidFill>
                <a:srgbClr val="FFC000"/>
              </a:solidFill>
            </a:ln>
          </c:spPr>
          <c:marker>
            <c:symbol val="diamond"/>
            <c:size val="8"/>
            <c:spPr>
              <a:solidFill>
                <a:srgbClr val="FFC000"/>
              </a:solidFill>
              <a:ln>
                <a:solidFill>
                  <a:schemeClr val="tx1"/>
                </a:solidFill>
              </a:ln>
            </c:spPr>
          </c:marker>
          <c:val>
            <c:numRef>
              <c:f>'Water Qual'!$N$2:$N$17</c:f>
              <c:numCache>
                <c:formatCode>0.00</c:formatCode>
                <c:ptCount val="16"/>
                <c:pt idx="0">
                  <c:v>0.95000000000000029</c:v>
                </c:pt>
                <c:pt idx="1">
                  <c:v>1.55</c:v>
                </c:pt>
                <c:pt idx="2">
                  <c:v>2.0099999999999998</c:v>
                </c:pt>
                <c:pt idx="4">
                  <c:v>4.95</c:v>
                </c:pt>
                <c:pt idx="5">
                  <c:v>5.1099999999999985</c:v>
                </c:pt>
                <c:pt idx="6">
                  <c:v>5.41</c:v>
                </c:pt>
                <c:pt idx="7">
                  <c:v>6</c:v>
                </c:pt>
                <c:pt idx="8">
                  <c:v>5.91</c:v>
                </c:pt>
                <c:pt idx="9">
                  <c:v>5.8</c:v>
                </c:pt>
                <c:pt idx="10">
                  <c:v>6.05</c:v>
                </c:pt>
                <c:pt idx="11">
                  <c:v>7</c:v>
                </c:pt>
                <c:pt idx="12">
                  <c:v>7.88</c:v>
                </c:pt>
                <c:pt idx="13">
                  <c:v>7.9</c:v>
                </c:pt>
                <c:pt idx="14">
                  <c:v>7.73</c:v>
                </c:pt>
                <c:pt idx="15">
                  <c:v>7.83</c:v>
                </c:pt>
              </c:numCache>
            </c:numRef>
          </c:val>
        </c:ser>
        <c:marker val="1"/>
        <c:axId val="36568448"/>
        <c:axId val="36980992"/>
      </c:lineChart>
      <c:lineChart>
        <c:grouping val="standard"/>
        <c:ser>
          <c:idx val="4"/>
          <c:order val="3"/>
          <c:tx>
            <c:strRef>
              <c:f>'Water Qual'!$O$1</c:f>
              <c:strCache>
                <c:ptCount val="1"/>
                <c:pt idx="0">
                  <c:v>Cond.</c:v>
                </c:pt>
              </c:strCache>
            </c:strRef>
          </c:tx>
          <c:spPr>
            <a:ln>
              <a:solidFill>
                <a:srgbClr val="00B0F0"/>
              </a:solidFill>
              <a:prstDash val="sysDash"/>
            </a:ln>
          </c:spPr>
          <c:marker>
            <c:symbol val="circle"/>
            <c:size val="7"/>
            <c:spPr>
              <a:solidFill>
                <a:srgbClr val="00B0F0"/>
              </a:solidFill>
              <a:ln>
                <a:solidFill>
                  <a:sysClr val="windowText" lastClr="000000"/>
                </a:solidFill>
              </a:ln>
            </c:spPr>
          </c:marker>
          <c:val>
            <c:numRef>
              <c:f>'Water Qual'!$O$2:$O$17</c:f>
              <c:numCache>
                <c:formatCode>General</c:formatCode>
                <c:ptCount val="16"/>
                <c:pt idx="0">
                  <c:v>275</c:v>
                </c:pt>
                <c:pt idx="1">
                  <c:v>275</c:v>
                </c:pt>
                <c:pt idx="2">
                  <c:v>275</c:v>
                </c:pt>
                <c:pt idx="4">
                  <c:v>275</c:v>
                </c:pt>
                <c:pt idx="5">
                  <c:v>276</c:v>
                </c:pt>
                <c:pt idx="6">
                  <c:v>277</c:v>
                </c:pt>
                <c:pt idx="7">
                  <c:v>277</c:v>
                </c:pt>
                <c:pt idx="8">
                  <c:v>277</c:v>
                </c:pt>
                <c:pt idx="9">
                  <c:v>276</c:v>
                </c:pt>
                <c:pt idx="10">
                  <c:v>274</c:v>
                </c:pt>
                <c:pt idx="11">
                  <c:v>274</c:v>
                </c:pt>
                <c:pt idx="12">
                  <c:v>275</c:v>
                </c:pt>
                <c:pt idx="13">
                  <c:v>274</c:v>
                </c:pt>
                <c:pt idx="14">
                  <c:v>274</c:v>
                </c:pt>
                <c:pt idx="15">
                  <c:v>274</c:v>
                </c:pt>
              </c:numCache>
            </c:numRef>
          </c:val>
        </c:ser>
        <c:marker val="1"/>
        <c:axId val="36985088"/>
        <c:axId val="36983168"/>
      </c:lineChart>
      <c:catAx>
        <c:axId val="36568448"/>
        <c:scaling>
          <c:orientation val="minMax"/>
        </c:scaling>
        <c:axPos val="b"/>
        <c:title>
          <c:tx>
            <c:rich>
              <a:bodyPr/>
              <a:lstStyle/>
              <a:p>
                <a:pPr>
                  <a:defRPr sz="1200"/>
                </a:pPr>
                <a:r>
                  <a:rPr lang="en-US" sz="1200"/>
                  <a:t>Transect</a:t>
                </a:r>
              </a:p>
            </c:rich>
          </c:tx>
        </c:title>
        <c:tickLblPos val="nextTo"/>
        <c:txPr>
          <a:bodyPr/>
          <a:lstStyle/>
          <a:p>
            <a:pPr>
              <a:defRPr sz="1200"/>
            </a:pPr>
            <a:endParaRPr lang="en-US"/>
          </a:p>
        </c:txPr>
        <c:crossAx val="36980992"/>
        <c:crosses val="autoZero"/>
        <c:auto val="1"/>
        <c:lblAlgn val="ctr"/>
        <c:lblOffset val="100"/>
      </c:catAx>
      <c:valAx>
        <c:axId val="36980992"/>
        <c:scaling>
          <c:orientation val="minMax"/>
        </c:scaling>
        <c:axPos val="l"/>
        <c:majorGridlines/>
        <c:title>
          <c:tx>
            <c:rich>
              <a:bodyPr rot="-5400000" vert="horz"/>
              <a:lstStyle/>
              <a:p>
                <a:pPr>
                  <a:defRPr sz="1200"/>
                </a:pPr>
                <a:r>
                  <a:rPr lang="en-US" sz="1200"/>
                  <a:t>Temp (</a:t>
                </a:r>
                <a:r>
                  <a:rPr lang="en-US" sz="1200" baseline="30000"/>
                  <a:t>0</a:t>
                </a:r>
                <a:r>
                  <a:rPr lang="en-US" sz="1200"/>
                  <a:t>C) / pH (Units) / DO (mg/L)</a:t>
                </a:r>
              </a:p>
            </c:rich>
          </c:tx>
        </c:title>
        <c:numFmt formatCode="0.00" sourceLinked="1"/>
        <c:tickLblPos val="nextTo"/>
        <c:txPr>
          <a:bodyPr/>
          <a:lstStyle/>
          <a:p>
            <a:pPr>
              <a:defRPr sz="1200"/>
            </a:pPr>
            <a:endParaRPr lang="en-US"/>
          </a:p>
        </c:txPr>
        <c:crossAx val="36568448"/>
        <c:crosses val="autoZero"/>
        <c:crossBetween val="between"/>
      </c:valAx>
      <c:valAx>
        <c:axId val="36983168"/>
        <c:scaling>
          <c:orientation val="minMax"/>
          <c:max val="300"/>
          <c:min val="0"/>
        </c:scaling>
        <c:axPos val="r"/>
        <c:title>
          <c:tx>
            <c:rich>
              <a:bodyPr rot="5400000" vert="horz"/>
              <a:lstStyle/>
              <a:p>
                <a:pPr>
                  <a:defRPr sz="1200"/>
                </a:pPr>
                <a:r>
                  <a:rPr lang="en-US" sz="1200"/>
                  <a:t>Conductivity</a:t>
                </a:r>
                <a:r>
                  <a:rPr lang="en-US" sz="1200" baseline="0"/>
                  <a:t> (µmhos/cm)</a:t>
                </a:r>
                <a:endParaRPr lang="en-US" sz="1200"/>
              </a:p>
            </c:rich>
          </c:tx>
        </c:title>
        <c:numFmt formatCode="General" sourceLinked="1"/>
        <c:tickLblPos val="nextTo"/>
        <c:txPr>
          <a:bodyPr/>
          <a:lstStyle/>
          <a:p>
            <a:pPr>
              <a:defRPr sz="1200"/>
            </a:pPr>
            <a:endParaRPr lang="en-US"/>
          </a:p>
        </c:txPr>
        <c:crossAx val="36985088"/>
        <c:crosses val="max"/>
        <c:crossBetween val="between"/>
        <c:majorUnit val="20"/>
        <c:minorUnit val="0.1"/>
      </c:valAx>
      <c:catAx>
        <c:axId val="36985088"/>
        <c:scaling>
          <c:orientation val="minMax"/>
        </c:scaling>
        <c:delete val="1"/>
        <c:axPos val="b"/>
        <c:tickLblPos val="none"/>
        <c:crossAx val="36983168"/>
        <c:crosses val="autoZero"/>
        <c:auto val="1"/>
        <c:lblAlgn val="ctr"/>
        <c:lblOffset val="100"/>
      </c:catAx>
    </c:plotArea>
    <c:legend>
      <c:legendPos val="t"/>
      <c:layout>
        <c:manualLayout>
          <c:xMode val="edge"/>
          <c:yMode val="edge"/>
          <c:x val="0.17991882882771529"/>
          <c:y val="7.0707070707070746E-2"/>
          <c:w val="0.63238210608289369"/>
          <c:h val="5.1776624512845065E-2"/>
        </c:manualLayout>
      </c:layout>
      <c:txPr>
        <a:bodyPr/>
        <a:lstStyle/>
        <a:p>
          <a:pPr>
            <a:defRPr sz="1200"/>
          </a:pPr>
          <a:endParaRPr lang="en-US"/>
        </a:p>
      </c:txP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sz="1400"/>
              <a:t>Wekiva River Water Quality 2011</a:t>
            </a:r>
          </a:p>
        </c:rich>
      </c:tx>
      <c:overlay val="1"/>
    </c:title>
    <c:plotArea>
      <c:layout>
        <c:manualLayout>
          <c:layoutTarget val="inner"/>
          <c:xMode val="edge"/>
          <c:yMode val="edge"/>
          <c:x val="0.12744969378827656"/>
          <c:y val="0.14458962899907782"/>
          <c:w val="0.7684978800726836"/>
          <c:h val="0.72643522262420035"/>
        </c:manualLayout>
      </c:layout>
      <c:lineChart>
        <c:grouping val="standard"/>
        <c:ser>
          <c:idx val="1"/>
          <c:order val="0"/>
          <c:tx>
            <c:strRef>
              <c:f>'Water Qual'!$L$32</c:f>
              <c:strCache>
                <c:ptCount val="1"/>
                <c:pt idx="0">
                  <c:v>Temp.</c:v>
                </c:pt>
              </c:strCache>
            </c:strRef>
          </c:tx>
          <c:spPr>
            <a:ln>
              <a:solidFill>
                <a:srgbClr val="FFFF00"/>
              </a:solidFill>
            </a:ln>
          </c:spPr>
          <c:marker>
            <c:spPr>
              <a:solidFill>
                <a:srgbClr val="FFFF00"/>
              </a:solidFill>
              <a:ln>
                <a:solidFill>
                  <a:schemeClr val="tx1"/>
                </a:solidFill>
              </a:ln>
            </c:spPr>
          </c:marker>
          <c:val>
            <c:numRef>
              <c:f>'Water Qual'!$L$33:$L$57</c:f>
              <c:numCache>
                <c:formatCode>0.00</c:formatCode>
                <c:ptCount val="25"/>
                <c:pt idx="0">
                  <c:v>23.75</c:v>
                </c:pt>
                <c:pt idx="1">
                  <c:v>23.87</c:v>
                </c:pt>
                <c:pt idx="2">
                  <c:v>23.939999999999991</c:v>
                </c:pt>
                <c:pt idx="3">
                  <c:v>24.13000000000001</c:v>
                </c:pt>
                <c:pt idx="4">
                  <c:v>24.16</c:v>
                </c:pt>
                <c:pt idx="5">
                  <c:v>24.13000000000001</c:v>
                </c:pt>
                <c:pt idx="6">
                  <c:v>24.02</c:v>
                </c:pt>
                <c:pt idx="7">
                  <c:v>24.72</c:v>
                </c:pt>
                <c:pt idx="8">
                  <c:v>24.54</c:v>
                </c:pt>
                <c:pt idx="9">
                  <c:v>24.759999999999991</c:v>
                </c:pt>
                <c:pt idx="10">
                  <c:v>25.05</c:v>
                </c:pt>
                <c:pt idx="11">
                  <c:v>24.19</c:v>
                </c:pt>
                <c:pt idx="12">
                  <c:v>24.17</c:v>
                </c:pt>
                <c:pt idx="13">
                  <c:v>24.06</c:v>
                </c:pt>
                <c:pt idx="14">
                  <c:v>24.330000000000005</c:v>
                </c:pt>
                <c:pt idx="15">
                  <c:v>24.419999999999991</c:v>
                </c:pt>
                <c:pt idx="16">
                  <c:v>27.66</c:v>
                </c:pt>
                <c:pt idx="17">
                  <c:v>27.97999999999999</c:v>
                </c:pt>
                <c:pt idx="18">
                  <c:v>27.95999999999999</c:v>
                </c:pt>
                <c:pt idx="19">
                  <c:v>27.939999999999991</c:v>
                </c:pt>
                <c:pt idx="20">
                  <c:v>29.86</c:v>
                </c:pt>
                <c:pt idx="21">
                  <c:v>28.5</c:v>
                </c:pt>
                <c:pt idx="22">
                  <c:v>28.8</c:v>
                </c:pt>
                <c:pt idx="23">
                  <c:v>28.71</c:v>
                </c:pt>
                <c:pt idx="24">
                  <c:v>28.6</c:v>
                </c:pt>
              </c:numCache>
            </c:numRef>
          </c:val>
        </c:ser>
        <c:ser>
          <c:idx val="2"/>
          <c:order val="1"/>
          <c:tx>
            <c:strRef>
              <c:f>'Water Qual'!$M$32</c:f>
              <c:strCache>
                <c:ptCount val="1"/>
                <c:pt idx="0">
                  <c:v>pH</c:v>
                </c:pt>
              </c:strCache>
            </c:strRef>
          </c:tx>
          <c:spPr>
            <a:ln>
              <a:solidFill>
                <a:srgbClr val="00FF00"/>
              </a:solidFill>
              <a:prstDash val="lgDash"/>
            </a:ln>
          </c:spPr>
          <c:marker>
            <c:spPr>
              <a:solidFill>
                <a:srgbClr val="00FF00"/>
              </a:solidFill>
              <a:ln>
                <a:solidFill>
                  <a:schemeClr val="tx1"/>
                </a:solidFill>
              </a:ln>
            </c:spPr>
          </c:marker>
          <c:val>
            <c:numRef>
              <c:f>'Water Qual'!$M$33:$M$57</c:f>
              <c:numCache>
                <c:formatCode>0.00</c:formatCode>
                <c:ptCount val="25"/>
                <c:pt idx="0">
                  <c:v>7.37</c:v>
                </c:pt>
                <c:pt idx="1">
                  <c:v>7.3599999999999985</c:v>
                </c:pt>
                <c:pt idx="2">
                  <c:v>7.4300000000000024</c:v>
                </c:pt>
                <c:pt idx="3">
                  <c:v>7.48</c:v>
                </c:pt>
                <c:pt idx="4">
                  <c:v>7.4700000000000024</c:v>
                </c:pt>
                <c:pt idx="5">
                  <c:v>7.49</c:v>
                </c:pt>
                <c:pt idx="6">
                  <c:v>7.51</c:v>
                </c:pt>
                <c:pt idx="7">
                  <c:v>7.7</c:v>
                </c:pt>
                <c:pt idx="8">
                  <c:v>7.7</c:v>
                </c:pt>
                <c:pt idx="9">
                  <c:v>7.56</c:v>
                </c:pt>
                <c:pt idx="10">
                  <c:v>7.45</c:v>
                </c:pt>
                <c:pt idx="11">
                  <c:v>7.33</c:v>
                </c:pt>
                <c:pt idx="12">
                  <c:v>7.29</c:v>
                </c:pt>
                <c:pt idx="13">
                  <c:v>7.28</c:v>
                </c:pt>
                <c:pt idx="14">
                  <c:v>7.26</c:v>
                </c:pt>
                <c:pt idx="15">
                  <c:v>7.26</c:v>
                </c:pt>
                <c:pt idx="16">
                  <c:v>7.8</c:v>
                </c:pt>
                <c:pt idx="17">
                  <c:v>7.64</c:v>
                </c:pt>
                <c:pt idx="18">
                  <c:v>7.6599999999999975</c:v>
                </c:pt>
                <c:pt idx="19">
                  <c:v>7.75</c:v>
                </c:pt>
                <c:pt idx="20">
                  <c:v>7.6099999999999985</c:v>
                </c:pt>
                <c:pt idx="21">
                  <c:v>7.72</c:v>
                </c:pt>
                <c:pt idx="22">
                  <c:v>7.75</c:v>
                </c:pt>
                <c:pt idx="23">
                  <c:v>7.71</c:v>
                </c:pt>
                <c:pt idx="24">
                  <c:v>7.78</c:v>
                </c:pt>
              </c:numCache>
            </c:numRef>
          </c:val>
        </c:ser>
        <c:ser>
          <c:idx val="3"/>
          <c:order val="2"/>
          <c:tx>
            <c:strRef>
              <c:f>'Water Qual'!$N$32</c:f>
              <c:strCache>
                <c:ptCount val="1"/>
                <c:pt idx="0">
                  <c:v>D.O.</c:v>
                </c:pt>
              </c:strCache>
            </c:strRef>
          </c:tx>
          <c:spPr>
            <a:ln>
              <a:solidFill>
                <a:srgbClr val="FFC000"/>
              </a:solidFill>
            </a:ln>
          </c:spPr>
          <c:marker>
            <c:symbol val="diamond"/>
            <c:size val="8"/>
            <c:spPr>
              <a:solidFill>
                <a:srgbClr val="FFC000"/>
              </a:solidFill>
              <a:ln>
                <a:solidFill>
                  <a:schemeClr val="tx1"/>
                </a:solidFill>
              </a:ln>
            </c:spPr>
          </c:marker>
          <c:val>
            <c:numRef>
              <c:f>'Water Qual'!$N$33:$N$57</c:f>
              <c:numCache>
                <c:formatCode>0.00</c:formatCode>
                <c:ptCount val="25"/>
                <c:pt idx="0">
                  <c:v>0.83000000000000029</c:v>
                </c:pt>
                <c:pt idx="1">
                  <c:v>0.83000000000000029</c:v>
                </c:pt>
                <c:pt idx="2">
                  <c:v>0.9</c:v>
                </c:pt>
                <c:pt idx="3">
                  <c:v>1.84</c:v>
                </c:pt>
                <c:pt idx="4">
                  <c:v>2.04</c:v>
                </c:pt>
                <c:pt idx="5">
                  <c:v>2.42</c:v>
                </c:pt>
                <c:pt idx="6">
                  <c:v>2.7</c:v>
                </c:pt>
                <c:pt idx="7">
                  <c:v>8.120000000000001</c:v>
                </c:pt>
                <c:pt idx="8">
                  <c:v>8.41</c:v>
                </c:pt>
                <c:pt idx="9">
                  <c:v>8.11</c:v>
                </c:pt>
                <c:pt idx="10">
                  <c:v>7.91</c:v>
                </c:pt>
                <c:pt idx="11">
                  <c:v>5.7700000000000014</c:v>
                </c:pt>
                <c:pt idx="12">
                  <c:v>6.26</c:v>
                </c:pt>
                <c:pt idx="13">
                  <c:v>7.06</c:v>
                </c:pt>
                <c:pt idx="14">
                  <c:v>6.57</c:v>
                </c:pt>
                <c:pt idx="15">
                  <c:v>6.85</c:v>
                </c:pt>
                <c:pt idx="16">
                  <c:v>5.5</c:v>
                </c:pt>
                <c:pt idx="17">
                  <c:v>5.03</c:v>
                </c:pt>
                <c:pt idx="18">
                  <c:v>5.03</c:v>
                </c:pt>
                <c:pt idx="19">
                  <c:v>6.74</c:v>
                </c:pt>
                <c:pt idx="20">
                  <c:v>5.0599999999999996</c:v>
                </c:pt>
                <c:pt idx="21">
                  <c:v>6.02</c:v>
                </c:pt>
                <c:pt idx="22">
                  <c:v>6.1</c:v>
                </c:pt>
                <c:pt idx="23">
                  <c:v>5.58</c:v>
                </c:pt>
                <c:pt idx="24">
                  <c:v>6.06</c:v>
                </c:pt>
              </c:numCache>
            </c:numRef>
          </c:val>
        </c:ser>
        <c:marker val="1"/>
        <c:axId val="37012608"/>
        <c:axId val="37014912"/>
      </c:lineChart>
      <c:lineChart>
        <c:grouping val="standard"/>
        <c:ser>
          <c:idx val="4"/>
          <c:order val="3"/>
          <c:tx>
            <c:strRef>
              <c:f>'Water Qual'!$O$32</c:f>
              <c:strCache>
                <c:ptCount val="1"/>
                <c:pt idx="0">
                  <c:v>Cond.</c:v>
                </c:pt>
              </c:strCache>
            </c:strRef>
          </c:tx>
          <c:spPr>
            <a:ln>
              <a:solidFill>
                <a:srgbClr val="00B0F0"/>
              </a:solidFill>
              <a:prstDash val="sysDash"/>
            </a:ln>
          </c:spPr>
          <c:marker>
            <c:symbol val="circle"/>
            <c:size val="7"/>
            <c:spPr>
              <a:solidFill>
                <a:srgbClr val="00B0F0"/>
              </a:solidFill>
              <a:ln>
                <a:solidFill>
                  <a:schemeClr val="tx1"/>
                </a:solidFill>
              </a:ln>
            </c:spPr>
          </c:marker>
          <c:val>
            <c:numRef>
              <c:f>'Water Qual'!$O$33:$O$57</c:f>
              <c:numCache>
                <c:formatCode>General</c:formatCode>
                <c:ptCount val="25"/>
                <c:pt idx="0">
                  <c:v>360</c:v>
                </c:pt>
                <c:pt idx="1">
                  <c:v>359</c:v>
                </c:pt>
                <c:pt idx="2">
                  <c:v>358</c:v>
                </c:pt>
                <c:pt idx="3">
                  <c:v>359</c:v>
                </c:pt>
                <c:pt idx="4">
                  <c:v>359</c:v>
                </c:pt>
                <c:pt idx="5">
                  <c:v>358</c:v>
                </c:pt>
                <c:pt idx="6">
                  <c:v>359</c:v>
                </c:pt>
                <c:pt idx="7">
                  <c:v>319</c:v>
                </c:pt>
                <c:pt idx="8">
                  <c:v>319</c:v>
                </c:pt>
                <c:pt idx="9">
                  <c:v>327</c:v>
                </c:pt>
                <c:pt idx="10">
                  <c:v>322</c:v>
                </c:pt>
                <c:pt idx="11">
                  <c:v>322</c:v>
                </c:pt>
                <c:pt idx="12">
                  <c:v>331</c:v>
                </c:pt>
                <c:pt idx="13">
                  <c:v>339</c:v>
                </c:pt>
                <c:pt idx="14">
                  <c:v>337</c:v>
                </c:pt>
                <c:pt idx="15">
                  <c:v>337</c:v>
                </c:pt>
                <c:pt idx="16">
                  <c:v>395</c:v>
                </c:pt>
                <c:pt idx="17">
                  <c:v>397</c:v>
                </c:pt>
                <c:pt idx="18">
                  <c:v>402</c:v>
                </c:pt>
                <c:pt idx="19">
                  <c:v>1125</c:v>
                </c:pt>
                <c:pt idx="20">
                  <c:v>725</c:v>
                </c:pt>
                <c:pt idx="21">
                  <c:v>893</c:v>
                </c:pt>
                <c:pt idx="22">
                  <c:v>908</c:v>
                </c:pt>
                <c:pt idx="23">
                  <c:v>915</c:v>
                </c:pt>
                <c:pt idx="24">
                  <c:v>882</c:v>
                </c:pt>
              </c:numCache>
            </c:numRef>
          </c:val>
        </c:ser>
        <c:marker val="1"/>
        <c:axId val="34672000"/>
        <c:axId val="34670080"/>
      </c:lineChart>
      <c:catAx>
        <c:axId val="37012608"/>
        <c:scaling>
          <c:orientation val="minMax"/>
        </c:scaling>
        <c:axPos val="b"/>
        <c:title>
          <c:tx>
            <c:rich>
              <a:bodyPr/>
              <a:lstStyle/>
              <a:p>
                <a:pPr>
                  <a:defRPr sz="1200"/>
                </a:pPr>
                <a:r>
                  <a:rPr lang="en-US" sz="1200"/>
                  <a:t>Transect</a:t>
                </a:r>
              </a:p>
            </c:rich>
          </c:tx>
          <c:layout>
            <c:manualLayout>
              <c:xMode val="edge"/>
              <c:yMode val="edge"/>
              <c:x val="0.46601062862191733"/>
              <c:y val="0.93704495046227365"/>
            </c:manualLayout>
          </c:layout>
        </c:title>
        <c:tickLblPos val="nextTo"/>
        <c:txPr>
          <a:bodyPr/>
          <a:lstStyle/>
          <a:p>
            <a:pPr>
              <a:defRPr sz="1200"/>
            </a:pPr>
            <a:endParaRPr lang="en-US"/>
          </a:p>
        </c:txPr>
        <c:crossAx val="37014912"/>
        <c:crosses val="autoZero"/>
        <c:auto val="1"/>
        <c:lblAlgn val="ctr"/>
        <c:lblOffset val="100"/>
      </c:catAx>
      <c:valAx>
        <c:axId val="37014912"/>
        <c:scaling>
          <c:orientation val="minMax"/>
        </c:scaling>
        <c:axPos val="l"/>
        <c:majorGridlines/>
        <c:title>
          <c:tx>
            <c:rich>
              <a:bodyPr rot="-5400000" vert="horz"/>
              <a:lstStyle/>
              <a:p>
                <a:pPr>
                  <a:defRPr/>
                </a:pPr>
                <a:r>
                  <a:rPr lang="en-US" sz="1200" b="1" i="0" baseline="0">
                    <a:latin typeface="+mn-lt"/>
                  </a:rPr>
                  <a:t>Temp (</a:t>
                </a:r>
                <a:r>
                  <a:rPr lang="en-US" sz="1200" b="1" i="0" baseline="30000">
                    <a:latin typeface="+mn-lt"/>
                  </a:rPr>
                  <a:t>0</a:t>
                </a:r>
                <a:r>
                  <a:rPr lang="en-US" sz="1200" b="1" i="0" baseline="0">
                    <a:latin typeface="+mn-lt"/>
                  </a:rPr>
                  <a:t>C) / pH (Units) / DO (mg/L)</a:t>
                </a:r>
                <a:endParaRPr lang="en-US" sz="1200">
                  <a:latin typeface="+mn-lt"/>
                </a:endParaRPr>
              </a:p>
            </c:rich>
          </c:tx>
        </c:title>
        <c:numFmt formatCode="0.00" sourceLinked="1"/>
        <c:tickLblPos val="nextTo"/>
        <c:txPr>
          <a:bodyPr/>
          <a:lstStyle/>
          <a:p>
            <a:pPr>
              <a:defRPr sz="1200"/>
            </a:pPr>
            <a:endParaRPr lang="en-US"/>
          </a:p>
        </c:txPr>
        <c:crossAx val="37012608"/>
        <c:crosses val="autoZero"/>
        <c:crossBetween val="between"/>
      </c:valAx>
      <c:valAx>
        <c:axId val="34670080"/>
        <c:scaling>
          <c:orientation val="minMax"/>
        </c:scaling>
        <c:axPos val="r"/>
        <c:title>
          <c:tx>
            <c:rich>
              <a:bodyPr rot="5400000" vert="horz"/>
              <a:lstStyle/>
              <a:p>
                <a:pPr>
                  <a:defRPr sz="1200"/>
                </a:pPr>
                <a:r>
                  <a:rPr lang="en-US" sz="1200"/>
                  <a:t>Conductivity (µmhos/cm)</a:t>
                </a:r>
              </a:p>
            </c:rich>
          </c:tx>
        </c:title>
        <c:numFmt formatCode="General" sourceLinked="1"/>
        <c:tickLblPos val="nextTo"/>
        <c:txPr>
          <a:bodyPr/>
          <a:lstStyle/>
          <a:p>
            <a:pPr>
              <a:defRPr sz="1200"/>
            </a:pPr>
            <a:endParaRPr lang="en-US"/>
          </a:p>
        </c:txPr>
        <c:crossAx val="34672000"/>
        <c:crosses val="max"/>
        <c:crossBetween val="between"/>
      </c:valAx>
      <c:catAx>
        <c:axId val="34672000"/>
        <c:scaling>
          <c:orientation val="minMax"/>
        </c:scaling>
        <c:delete val="1"/>
        <c:axPos val="b"/>
        <c:tickLblPos val="none"/>
        <c:crossAx val="34670080"/>
        <c:crosses val="autoZero"/>
        <c:auto val="1"/>
        <c:lblAlgn val="ctr"/>
        <c:lblOffset val="100"/>
      </c:catAx>
    </c:plotArea>
    <c:legend>
      <c:legendPos val="t"/>
      <c:layout>
        <c:manualLayout>
          <c:xMode val="edge"/>
          <c:yMode val="edge"/>
          <c:x val="0.19246332189245594"/>
          <c:y val="7.2072072072072071E-2"/>
          <c:w val="0.58250336496399435"/>
          <c:h val="4.9257761698706583E-2"/>
        </c:manualLayout>
      </c:layout>
      <c:txPr>
        <a:bodyPr/>
        <a:lstStyle/>
        <a:p>
          <a:pPr>
            <a:defRPr sz="1200"/>
          </a:pPr>
          <a:endParaRPr lang="en-US"/>
        </a:p>
      </c:txP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400"/>
            </a:pPr>
            <a:r>
              <a:rPr lang="en-US" sz="1400"/>
              <a:t>Rock Springs</a:t>
            </a:r>
            <a:r>
              <a:rPr lang="en-US" sz="1400" baseline="0"/>
              <a:t> Run Vegetation 2011</a:t>
            </a:r>
            <a:endParaRPr lang="en-US" sz="1400"/>
          </a:p>
        </c:rich>
      </c:tx>
      <c:overlay val="1"/>
    </c:title>
    <c:plotArea>
      <c:layout>
        <c:manualLayout>
          <c:layoutTarget val="inner"/>
          <c:xMode val="edge"/>
          <c:yMode val="edge"/>
          <c:x val="0.11614829396325463"/>
          <c:y val="0.16207175644894592"/>
          <c:w val="0.86437411669695163"/>
          <c:h val="0.71316799056505598"/>
        </c:manualLayout>
      </c:layout>
      <c:barChart>
        <c:barDir val="col"/>
        <c:grouping val="clustered"/>
        <c:ser>
          <c:idx val="1"/>
          <c:order val="0"/>
          <c:tx>
            <c:strRef>
              <c:f>'RSR Veg'!$I$1</c:f>
              <c:strCache>
                <c:ptCount val="1"/>
                <c:pt idx="0">
                  <c:v>Vallisneria</c:v>
                </c:pt>
              </c:strCache>
            </c:strRef>
          </c:tx>
          <c:spPr>
            <a:solidFill>
              <a:srgbClr val="92D050"/>
            </a:solidFill>
            <a:ln>
              <a:solidFill>
                <a:schemeClr val="tx1"/>
              </a:solidFill>
            </a:ln>
          </c:spPr>
          <c:val>
            <c:numRef>
              <c:f>'RSR Veg'!$I$2:$I$17</c:f>
              <c:numCache>
                <c:formatCode>General</c:formatCode>
                <c:ptCount val="16"/>
                <c:pt idx="1">
                  <c:v>2.8</c:v>
                </c:pt>
                <c:pt idx="2">
                  <c:v>1</c:v>
                </c:pt>
                <c:pt idx="5">
                  <c:v>1.25</c:v>
                </c:pt>
                <c:pt idx="6">
                  <c:v>1.8</c:v>
                </c:pt>
                <c:pt idx="11">
                  <c:v>1.6</c:v>
                </c:pt>
                <c:pt idx="14">
                  <c:v>2</c:v>
                </c:pt>
              </c:numCache>
            </c:numRef>
          </c:val>
        </c:ser>
        <c:ser>
          <c:idx val="2"/>
          <c:order val="1"/>
          <c:tx>
            <c:strRef>
              <c:f>'RSR Veg'!$J$1</c:f>
              <c:strCache>
                <c:ptCount val="1"/>
                <c:pt idx="0">
                  <c:v>Algae</c:v>
                </c:pt>
              </c:strCache>
            </c:strRef>
          </c:tx>
          <c:spPr>
            <a:solidFill>
              <a:srgbClr val="FFC000"/>
            </a:solidFill>
            <a:ln>
              <a:solidFill>
                <a:sysClr val="windowText" lastClr="000000"/>
              </a:solidFill>
            </a:ln>
          </c:spPr>
          <c:val>
            <c:numRef>
              <c:f>'RSR Veg'!$J$2:$J$17</c:f>
              <c:numCache>
                <c:formatCode>General</c:formatCode>
                <c:ptCount val="16"/>
                <c:pt idx="0">
                  <c:v>3.2</c:v>
                </c:pt>
                <c:pt idx="1">
                  <c:v>2.8</c:v>
                </c:pt>
                <c:pt idx="2">
                  <c:v>0.60000000000000031</c:v>
                </c:pt>
                <c:pt idx="5">
                  <c:v>1.25</c:v>
                </c:pt>
                <c:pt idx="8">
                  <c:v>0.60000000000000031</c:v>
                </c:pt>
                <c:pt idx="9">
                  <c:v>0.33333333333333331</c:v>
                </c:pt>
                <c:pt idx="10">
                  <c:v>0.2</c:v>
                </c:pt>
                <c:pt idx="11">
                  <c:v>0.8</c:v>
                </c:pt>
                <c:pt idx="12">
                  <c:v>0.60000000000000031</c:v>
                </c:pt>
                <c:pt idx="13">
                  <c:v>0.2</c:v>
                </c:pt>
                <c:pt idx="14">
                  <c:v>2.8</c:v>
                </c:pt>
                <c:pt idx="15">
                  <c:v>2</c:v>
                </c:pt>
              </c:numCache>
            </c:numRef>
          </c:val>
        </c:ser>
        <c:axId val="34725888"/>
        <c:axId val="34727808"/>
      </c:barChart>
      <c:catAx>
        <c:axId val="34725888"/>
        <c:scaling>
          <c:orientation val="minMax"/>
        </c:scaling>
        <c:axPos val="b"/>
        <c:title>
          <c:tx>
            <c:rich>
              <a:bodyPr/>
              <a:lstStyle/>
              <a:p>
                <a:pPr>
                  <a:defRPr sz="1200"/>
                </a:pPr>
                <a:r>
                  <a:rPr lang="en-US" sz="1200"/>
                  <a:t>Transect</a:t>
                </a:r>
              </a:p>
            </c:rich>
          </c:tx>
        </c:title>
        <c:tickLblPos val="nextTo"/>
        <c:txPr>
          <a:bodyPr/>
          <a:lstStyle/>
          <a:p>
            <a:pPr>
              <a:defRPr sz="1200"/>
            </a:pPr>
            <a:endParaRPr lang="en-US"/>
          </a:p>
        </c:txPr>
        <c:crossAx val="34727808"/>
        <c:crosses val="autoZero"/>
        <c:auto val="1"/>
        <c:lblAlgn val="ctr"/>
        <c:lblOffset val="100"/>
      </c:catAx>
      <c:valAx>
        <c:axId val="34727808"/>
        <c:scaling>
          <c:orientation val="minMax"/>
          <c:max val="5"/>
        </c:scaling>
        <c:axPos val="l"/>
        <c:majorGridlines/>
        <c:title>
          <c:tx>
            <c:rich>
              <a:bodyPr rot="-5400000" vert="horz"/>
              <a:lstStyle/>
              <a:p>
                <a:pPr>
                  <a:defRPr sz="1200"/>
                </a:pPr>
                <a:r>
                  <a:rPr lang="en-US" sz="1200"/>
                  <a:t>Mean Braun-Blanquet</a:t>
                </a:r>
                <a:r>
                  <a:rPr lang="en-US" sz="1200" baseline="0"/>
                  <a:t> Score</a:t>
                </a:r>
                <a:endParaRPr lang="en-US" sz="1200"/>
              </a:p>
            </c:rich>
          </c:tx>
          <c:layout>
            <c:manualLayout>
              <c:xMode val="edge"/>
              <c:yMode val="edge"/>
              <c:x val="1.9114582788705217E-2"/>
              <c:y val="0.28819313885323766"/>
            </c:manualLayout>
          </c:layout>
        </c:title>
        <c:numFmt formatCode="General" sourceLinked="1"/>
        <c:tickLblPos val="nextTo"/>
        <c:txPr>
          <a:bodyPr/>
          <a:lstStyle/>
          <a:p>
            <a:pPr>
              <a:defRPr sz="1200"/>
            </a:pPr>
            <a:endParaRPr lang="en-US"/>
          </a:p>
        </c:txPr>
        <c:crossAx val="34725888"/>
        <c:crosses val="autoZero"/>
        <c:crossBetween val="between"/>
      </c:valAx>
    </c:plotArea>
    <c:legend>
      <c:legendPos val="t"/>
      <c:legendEntry>
        <c:idx val="0"/>
        <c:txPr>
          <a:bodyPr/>
          <a:lstStyle/>
          <a:p>
            <a:pPr>
              <a:defRPr sz="1200" i="1"/>
            </a:pPr>
            <a:endParaRPr lang="en-US"/>
          </a:p>
        </c:txPr>
      </c:legendEntry>
      <c:layout>
        <c:manualLayout>
          <c:xMode val="edge"/>
          <c:yMode val="edge"/>
          <c:x val="0.26191769298068535"/>
          <c:y val="8.2232011747430209E-2"/>
          <c:w val="0.42746147116225897"/>
          <c:h val="5.8096264582896802E-2"/>
        </c:manualLayout>
      </c:layout>
      <c:txPr>
        <a:bodyPr/>
        <a:lstStyle/>
        <a:p>
          <a:pPr>
            <a:defRPr sz="1200"/>
          </a:pPr>
          <a:endParaRPr lang="en-US"/>
        </a:p>
      </c:txPr>
    </c:legend>
    <c:plotVisOnly val="1"/>
  </c:chart>
  <c:spPr>
    <a:ln>
      <a:noFill/>
    </a:ln>
  </c:sp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pPr>
            <a:r>
              <a:rPr lang="en-US" sz="1400"/>
              <a:t>Wekiva River Macrophytes 2011</a:t>
            </a:r>
          </a:p>
        </c:rich>
      </c:tx>
      <c:overlay val="1"/>
    </c:title>
    <c:plotArea>
      <c:layout>
        <c:manualLayout>
          <c:layoutTarget val="inner"/>
          <c:xMode val="edge"/>
          <c:yMode val="edge"/>
          <c:x val="9.1251261861498095E-2"/>
          <c:y val="0.17635516914552349"/>
          <c:w val="0.89112053301029681"/>
          <c:h val="0.67361208321182109"/>
        </c:manualLayout>
      </c:layout>
      <c:barChart>
        <c:barDir val="col"/>
        <c:grouping val="clustered"/>
        <c:ser>
          <c:idx val="1"/>
          <c:order val="0"/>
          <c:tx>
            <c:strRef>
              <c:f>'Wekiva Veg'!$J$1</c:f>
              <c:strCache>
                <c:ptCount val="1"/>
                <c:pt idx="0">
                  <c:v>Vallisneria</c:v>
                </c:pt>
              </c:strCache>
            </c:strRef>
          </c:tx>
          <c:spPr>
            <a:solidFill>
              <a:srgbClr val="92D050"/>
            </a:solidFill>
            <a:ln>
              <a:solidFill>
                <a:sysClr val="windowText" lastClr="000000"/>
              </a:solidFill>
            </a:ln>
          </c:spPr>
          <c:val>
            <c:numRef>
              <c:f>'Wekiva Veg'!$J$2:$J$26</c:f>
              <c:numCache>
                <c:formatCode>General</c:formatCode>
                <c:ptCount val="25"/>
                <c:pt idx="6">
                  <c:v>2</c:v>
                </c:pt>
                <c:pt idx="8">
                  <c:v>5</c:v>
                </c:pt>
                <c:pt idx="9">
                  <c:v>4.4000000000000004</c:v>
                </c:pt>
                <c:pt idx="10">
                  <c:v>2</c:v>
                </c:pt>
                <c:pt idx="12">
                  <c:v>4</c:v>
                </c:pt>
                <c:pt idx="13">
                  <c:v>4</c:v>
                </c:pt>
                <c:pt idx="14">
                  <c:v>5</c:v>
                </c:pt>
                <c:pt idx="16">
                  <c:v>4.25</c:v>
                </c:pt>
                <c:pt idx="17">
                  <c:v>4.8</c:v>
                </c:pt>
                <c:pt idx="19">
                  <c:v>4.5999999999999996</c:v>
                </c:pt>
                <c:pt idx="23">
                  <c:v>1.2</c:v>
                </c:pt>
              </c:numCache>
            </c:numRef>
          </c:val>
        </c:ser>
        <c:ser>
          <c:idx val="2"/>
          <c:order val="1"/>
          <c:tx>
            <c:strRef>
              <c:f>'Wekiva Veg'!$K$1</c:f>
              <c:strCache>
                <c:ptCount val="1"/>
                <c:pt idx="0">
                  <c:v>Hydrilla</c:v>
                </c:pt>
              </c:strCache>
            </c:strRef>
          </c:tx>
          <c:spPr>
            <a:solidFill>
              <a:srgbClr val="FFFF00"/>
            </a:solidFill>
            <a:ln>
              <a:solidFill>
                <a:sysClr val="windowText" lastClr="000000"/>
              </a:solidFill>
            </a:ln>
          </c:spPr>
          <c:val>
            <c:numRef>
              <c:f>'Wekiva Veg'!$K$2:$K$26</c:f>
              <c:numCache>
                <c:formatCode>General</c:formatCode>
                <c:ptCount val="25"/>
                <c:pt idx="2">
                  <c:v>0.60000000000000031</c:v>
                </c:pt>
                <c:pt idx="3">
                  <c:v>0.4</c:v>
                </c:pt>
              </c:numCache>
            </c:numRef>
          </c:val>
        </c:ser>
        <c:ser>
          <c:idx val="3"/>
          <c:order val="2"/>
          <c:tx>
            <c:strRef>
              <c:f>'Wekiva Veg'!$L$1</c:f>
              <c:strCache>
                <c:ptCount val="1"/>
                <c:pt idx="0">
                  <c:v>Najas</c:v>
                </c:pt>
              </c:strCache>
            </c:strRef>
          </c:tx>
          <c:spPr>
            <a:solidFill>
              <a:srgbClr val="00B0F0"/>
            </a:solidFill>
            <a:ln>
              <a:solidFill>
                <a:sysClr val="windowText" lastClr="000000"/>
              </a:solidFill>
            </a:ln>
          </c:spPr>
          <c:val>
            <c:numRef>
              <c:f>'Wekiva Veg'!$L$2:$L$26</c:f>
              <c:numCache>
                <c:formatCode>General</c:formatCode>
                <c:ptCount val="25"/>
                <c:pt idx="2">
                  <c:v>0.4</c:v>
                </c:pt>
              </c:numCache>
            </c:numRef>
          </c:val>
        </c:ser>
        <c:axId val="37065088"/>
        <c:axId val="37067008"/>
      </c:barChart>
      <c:catAx>
        <c:axId val="37065088"/>
        <c:scaling>
          <c:orientation val="minMax"/>
        </c:scaling>
        <c:axPos val="b"/>
        <c:title>
          <c:tx>
            <c:rich>
              <a:bodyPr/>
              <a:lstStyle/>
              <a:p>
                <a:pPr>
                  <a:defRPr sz="1200"/>
                </a:pPr>
                <a:r>
                  <a:rPr lang="en-US" sz="1200"/>
                  <a:t>Transect</a:t>
                </a:r>
              </a:p>
            </c:rich>
          </c:tx>
        </c:title>
        <c:tickLblPos val="nextTo"/>
        <c:txPr>
          <a:bodyPr/>
          <a:lstStyle/>
          <a:p>
            <a:pPr>
              <a:defRPr sz="1200"/>
            </a:pPr>
            <a:endParaRPr lang="en-US"/>
          </a:p>
        </c:txPr>
        <c:crossAx val="37067008"/>
        <c:crosses val="autoZero"/>
        <c:auto val="1"/>
        <c:lblAlgn val="ctr"/>
        <c:lblOffset val="100"/>
      </c:catAx>
      <c:valAx>
        <c:axId val="37067008"/>
        <c:scaling>
          <c:orientation val="minMax"/>
          <c:max val="5"/>
        </c:scaling>
        <c:axPos val="l"/>
        <c:majorGridlines/>
        <c:title>
          <c:tx>
            <c:rich>
              <a:bodyPr rot="-5400000" vert="horz"/>
              <a:lstStyle/>
              <a:p>
                <a:pPr>
                  <a:defRPr sz="1200"/>
                </a:pPr>
                <a:r>
                  <a:rPr lang="en-US" sz="1200"/>
                  <a:t>Mean Braun-Blanquet</a:t>
                </a:r>
                <a:r>
                  <a:rPr lang="en-US" sz="1200" baseline="0"/>
                  <a:t> Score</a:t>
                </a:r>
                <a:endParaRPr lang="en-US" sz="1200"/>
              </a:p>
            </c:rich>
          </c:tx>
        </c:title>
        <c:numFmt formatCode="General" sourceLinked="1"/>
        <c:tickLblPos val="nextTo"/>
        <c:txPr>
          <a:bodyPr/>
          <a:lstStyle/>
          <a:p>
            <a:pPr>
              <a:defRPr sz="1200"/>
            </a:pPr>
            <a:endParaRPr lang="en-US"/>
          </a:p>
        </c:txPr>
        <c:crossAx val="37065088"/>
        <c:crosses val="autoZero"/>
        <c:crossBetween val="between"/>
      </c:valAx>
    </c:plotArea>
    <c:legend>
      <c:legendPos val="t"/>
      <c:layout>
        <c:manualLayout>
          <c:xMode val="edge"/>
          <c:yMode val="edge"/>
          <c:x val="0.25429937536877656"/>
          <c:y val="8.0846265576026394E-2"/>
          <c:w val="0.48098828992529813"/>
          <c:h val="5.3053186060075815E-2"/>
        </c:manualLayout>
      </c:layout>
      <c:txPr>
        <a:bodyPr/>
        <a:lstStyle/>
        <a:p>
          <a:pPr>
            <a:defRPr sz="1200"/>
          </a:pPr>
          <a:endParaRPr lang="en-US"/>
        </a:p>
      </c:txPr>
    </c:legend>
    <c:plotVisOnly val="1"/>
  </c:chart>
  <c:spPr>
    <a:ln>
      <a:noFill/>
    </a:ln>
  </c:sp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sz="1400"/>
              <a:t>Wekiva River Algae 2011 </a:t>
            </a:r>
          </a:p>
        </c:rich>
      </c:tx>
    </c:title>
    <c:plotArea>
      <c:layout>
        <c:manualLayout>
          <c:layoutTarget val="inner"/>
          <c:xMode val="edge"/>
          <c:yMode val="edge"/>
          <c:x val="9.5011495656066286E-2"/>
          <c:y val="0.13118905591346536"/>
          <c:w val="0.88980007731591693"/>
          <c:h val="0.71646630947990975"/>
        </c:manualLayout>
      </c:layout>
      <c:barChart>
        <c:barDir val="col"/>
        <c:grouping val="clustered"/>
        <c:ser>
          <c:idx val="1"/>
          <c:order val="0"/>
          <c:tx>
            <c:strRef>
              <c:f>'Wekiva Veg'!$J$35</c:f>
              <c:strCache>
                <c:ptCount val="1"/>
                <c:pt idx="0">
                  <c:v>Algae</c:v>
                </c:pt>
              </c:strCache>
            </c:strRef>
          </c:tx>
          <c:spPr>
            <a:solidFill>
              <a:srgbClr val="FFC000"/>
            </a:solidFill>
            <a:ln>
              <a:solidFill>
                <a:sysClr val="windowText" lastClr="000000"/>
              </a:solidFill>
            </a:ln>
          </c:spPr>
          <c:val>
            <c:numRef>
              <c:f>'Wekiva Veg'!$J$36:$J$60</c:f>
              <c:numCache>
                <c:formatCode>General</c:formatCode>
                <c:ptCount val="25"/>
                <c:pt idx="0">
                  <c:v>3.4</c:v>
                </c:pt>
                <c:pt idx="1">
                  <c:v>1.6</c:v>
                </c:pt>
                <c:pt idx="2">
                  <c:v>2.4</c:v>
                </c:pt>
                <c:pt idx="3">
                  <c:v>0.4</c:v>
                </c:pt>
                <c:pt idx="4">
                  <c:v>2.2000000000000002</c:v>
                </c:pt>
                <c:pt idx="5">
                  <c:v>3.8</c:v>
                </c:pt>
                <c:pt idx="6">
                  <c:v>4.5999999999999996</c:v>
                </c:pt>
                <c:pt idx="8">
                  <c:v>5</c:v>
                </c:pt>
                <c:pt idx="9">
                  <c:v>5</c:v>
                </c:pt>
                <c:pt idx="10">
                  <c:v>3.6</c:v>
                </c:pt>
                <c:pt idx="11">
                  <c:v>1.5</c:v>
                </c:pt>
                <c:pt idx="12">
                  <c:v>2.8</c:v>
                </c:pt>
                <c:pt idx="13">
                  <c:v>2</c:v>
                </c:pt>
                <c:pt idx="14">
                  <c:v>3.2</c:v>
                </c:pt>
                <c:pt idx="16">
                  <c:v>4.5</c:v>
                </c:pt>
                <c:pt idx="17">
                  <c:v>3.4</c:v>
                </c:pt>
                <c:pt idx="19">
                  <c:v>4.5999999999999996</c:v>
                </c:pt>
                <c:pt idx="21">
                  <c:v>2.4</c:v>
                </c:pt>
                <c:pt idx="23">
                  <c:v>1.4</c:v>
                </c:pt>
              </c:numCache>
            </c:numRef>
          </c:val>
        </c:ser>
        <c:axId val="37112064"/>
        <c:axId val="37118336"/>
      </c:barChart>
      <c:catAx>
        <c:axId val="37112064"/>
        <c:scaling>
          <c:orientation val="minMax"/>
        </c:scaling>
        <c:axPos val="b"/>
        <c:title>
          <c:tx>
            <c:rich>
              <a:bodyPr/>
              <a:lstStyle/>
              <a:p>
                <a:pPr>
                  <a:defRPr sz="1200"/>
                </a:pPr>
                <a:r>
                  <a:rPr lang="en-US" sz="1200"/>
                  <a:t>Transect</a:t>
                </a:r>
              </a:p>
            </c:rich>
          </c:tx>
        </c:title>
        <c:tickLblPos val="nextTo"/>
        <c:txPr>
          <a:bodyPr/>
          <a:lstStyle/>
          <a:p>
            <a:pPr>
              <a:defRPr sz="1200"/>
            </a:pPr>
            <a:endParaRPr lang="en-US"/>
          </a:p>
        </c:txPr>
        <c:crossAx val="37118336"/>
        <c:crosses val="autoZero"/>
        <c:auto val="1"/>
        <c:lblAlgn val="ctr"/>
        <c:lblOffset val="100"/>
      </c:catAx>
      <c:valAx>
        <c:axId val="37118336"/>
        <c:scaling>
          <c:orientation val="minMax"/>
          <c:max val="5"/>
        </c:scaling>
        <c:axPos val="l"/>
        <c:majorGridlines/>
        <c:title>
          <c:tx>
            <c:rich>
              <a:bodyPr rot="-5400000" vert="horz"/>
              <a:lstStyle/>
              <a:p>
                <a:pPr>
                  <a:defRPr sz="1200"/>
                </a:pPr>
                <a:r>
                  <a:rPr lang="en-US" sz="1200"/>
                  <a:t>Mean Braun-Blanquet Score</a:t>
                </a:r>
              </a:p>
            </c:rich>
          </c:tx>
          <c:layout>
            <c:manualLayout>
              <c:xMode val="edge"/>
              <c:yMode val="edge"/>
              <c:x val="3.2002278784919388E-3"/>
              <c:y val="0.22006782210074977"/>
            </c:manualLayout>
          </c:layout>
        </c:title>
        <c:numFmt formatCode="General" sourceLinked="1"/>
        <c:tickLblPos val="nextTo"/>
        <c:txPr>
          <a:bodyPr/>
          <a:lstStyle/>
          <a:p>
            <a:pPr>
              <a:defRPr sz="1200"/>
            </a:pPr>
            <a:endParaRPr lang="en-US"/>
          </a:p>
        </c:txPr>
        <c:crossAx val="37112064"/>
        <c:crosses val="autoZero"/>
        <c:crossBetween val="between"/>
      </c:valAx>
    </c:plotArea>
    <c:plotVisOnly val="1"/>
  </c:chart>
  <c:spPr>
    <a:ln>
      <a:noFill/>
    </a:ln>
  </c:spPr>
  <c:externalData r:id="rId1"/>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0.27678</cdr:x>
      <cdr:y>0.80822</cdr:y>
    </cdr:from>
    <cdr:to>
      <cdr:x>0.32051</cdr:x>
      <cdr:y>0.87478</cdr:y>
    </cdr:to>
    <cdr:sp macro="" textlink="">
      <cdr:nvSpPr>
        <cdr:cNvPr id="2" name="TextBox 1"/>
        <cdr:cNvSpPr txBox="1"/>
      </cdr:nvSpPr>
      <cdr:spPr>
        <a:xfrm xmlns:a="http://schemas.openxmlformats.org/drawingml/2006/main">
          <a:off x="1645040" y="3048000"/>
          <a:ext cx="259960" cy="25101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a:t>N</a:t>
          </a:r>
        </a:p>
      </cdr:txBody>
    </cdr:sp>
  </cdr:relSizeAnchor>
  <cdr:relSizeAnchor xmlns:cdr="http://schemas.openxmlformats.org/drawingml/2006/chartDrawing">
    <cdr:from>
      <cdr:x>0.33494</cdr:x>
      <cdr:y>0.80346</cdr:y>
    </cdr:from>
    <cdr:to>
      <cdr:x>0.38372</cdr:x>
      <cdr:y>0.87061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990725" y="3030049"/>
          <a:ext cx="289971" cy="253257"/>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0.94191</cdr:x>
      <cdr:y>0.79861</cdr:y>
    </cdr:from>
    <cdr:to>
      <cdr:x>0.97917</cdr:x>
      <cdr:y>0.84201</cdr:y>
    </cdr:to>
    <cdr:sp macro="" textlink="">
      <cdr:nvSpPr>
        <cdr:cNvPr id="2" name="TextBox 1"/>
        <cdr:cNvSpPr txBox="1"/>
      </cdr:nvSpPr>
      <cdr:spPr>
        <a:xfrm xmlns:a="http://schemas.openxmlformats.org/drawingml/2006/main">
          <a:off x="5598321" y="3286139"/>
          <a:ext cx="221459" cy="17858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a:t>N</a:t>
          </a:r>
        </a:p>
      </cdr:txBody>
    </cdr:sp>
  </cdr:relSizeAnchor>
</c:userShapes>
</file>

<file path=word/drawings/drawing3.xml><?xml version="1.0" encoding="utf-8"?>
<c:userShapes xmlns:c="http://schemas.openxmlformats.org/drawingml/2006/chart">
  <cdr:relSizeAnchor xmlns:cdr="http://schemas.openxmlformats.org/drawingml/2006/chartDrawing">
    <cdr:from>
      <cdr:x>0.94385</cdr:x>
      <cdr:y>0.78422</cdr:y>
    </cdr:from>
    <cdr:to>
      <cdr:x>0.98208</cdr:x>
      <cdr:y>0.8387</cdr:y>
    </cdr:to>
    <cdr:sp macro="" textlink="">
      <cdr:nvSpPr>
        <cdr:cNvPr id="2" name="TextBox 1"/>
        <cdr:cNvSpPr txBox="1"/>
      </cdr:nvSpPr>
      <cdr:spPr>
        <a:xfrm xmlns:a="http://schemas.openxmlformats.org/drawingml/2006/main">
          <a:off x="5798660" y="2711487"/>
          <a:ext cx="234871" cy="1883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a:t>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A3AC4-AEF9-4A3A-847B-F829F222D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1207</Words>
  <Characters>6880</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SJRWMD</Company>
  <LinksUpToDate>false</LinksUpToDate>
  <CharactersWithSpaces>8071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rmattson</dc:creator>
  <cp:lastModifiedBy>budd_s</cp:lastModifiedBy>
  <cp:revision>2</cp:revision>
  <dcterms:created xsi:type="dcterms:W3CDTF">2012-02-21T14:16:00Z</dcterms:created>
  <dcterms:modified xsi:type="dcterms:W3CDTF">2012-02-21T14:16:00Z</dcterms:modified>
</cp:coreProperties>
</file>