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DB" w:rsidRPr="000B63DB" w:rsidRDefault="000B63DB">
      <w:pPr>
        <w:rPr>
          <w:b/>
          <w:u w:val="single"/>
        </w:rPr>
      </w:pPr>
      <w:proofErr w:type="spellStart"/>
      <w:r>
        <w:rPr>
          <w:b/>
          <w:u w:val="single"/>
        </w:rPr>
        <w:t>Wekiva</w:t>
      </w:r>
      <w:proofErr w:type="spellEnd"/>
      <w:r>
        <w:rPr>
          <w:b/>
          <w:u w:val="single"/>
        </w:rPr>
        <w:t xml:space="preserve"> BMAP Monitoring Plan Objectives:</w:t>
      </w:r>
    </w:p>
    <w:p w:rsidR="000B63DB" w:rsidRDefault="000B63DB" w:rsidP="000B63DB">
      <w:pPr>
        <w:rPr>
          <w:u w:val="single"/>
        </w:rPr>
      </w:pPr>
    </w:p>
    <w:p w:rsidR="000B63DB" w:rsidRPr="000B63DB" w:rsidRDefault="000B63DB" w:rsidP="000B63DB">
      <w:r w:rsidRPr="000B63DB">
        <w:rPr>
          <w:u w:val="single"/>
        </w:rPr>
        <w:t>Primary Objective</w:t>
      </w:r>
      <w:r w:rsidRPr="000B63DB">
        <w:t xml:space="preserve">: Long Term Trend Analysis </w:t>
      </w:r>
    </w:p>
    <w:p w:rsidR="000B63DB" w:rsidRDefault="000B63DB" w:rsidP="000B63DB">
      <w:r w:rsidRPr="000B63DB">
        <w:t xml:space="preserve">Track inputs and concentration trends in TN and TP loads through </w:t>
      </w:r>
      <w:proofErr w:type="gramStart"/>
      <w:r w:rsidRPr="000B63DB">
        <w:t>groundwater ,</w:t>
      </w:r>
      <w:proofErr w:type="gramEnd"/>
      <w:r w:rsidRPr="000B63DB">
        <w:t xml:space="preserve"> surface water, and MS4 sampling.</w:t>
      </w:r>
    </w:p>
    <w:p w:rsidR="000B63DB" w:rsidRPr="000B63DB" w:rsidRDefault="000B63DB" w:rsidP="000B63DB"/>
    <w:p w:rsidR="000B63DB" w:rsidRPr="000B63DB" w:rsidRDefault="000B63DB" w:rsidP="000B63DB">
      <w:r w:rsidRPr="000B63DB">
        <w:rPr>
          <w:u w:val="single"/>
        </w:rPr>
        <w:t>Secondary Objective</w:t>
      </w:r>
      <w:r w:rsidRPr="000B63DB">
        <w:t>: Source Assessment</w:t>
      </w:r>
    </w:p>
    <w:p w:rsidR="000B63DB" w:rsidRPr="000B63DB" w:rsidRDefault="000B63DB" w:rsidP="000B63DB">
      <w:r w:rsidRPr="000B63DB">
        <w:t xml:space="preserve">Identify areas within the </w:t>
      </w:r>
      <w:proofErr w:type="spellStart"/>
      <w:r w:rsidRPr="000B63DB">
        <w:t>springshed</w:t>
      </w:r>
      <w:proofErr w:type="spellEnd"/>
      <w:r w:rsidRPr="000B63DB">
        <w:t xml:space="preserve">/watershed with high loadings of nutrients to surface water and groundwater to better focus management efforts </w:t>
      </w:r>
    </w:p>
    <w:p w:rsidR="000B63DB" w:rsidRDefault="000B63DB"/>
    <w:p w:rsidR="000B63DB" w:rsidRPr="000B63DB" w:rsidRDefault="000B63DB">
      <w:pPr>
        <w:rPr>
          <w:b/>
          <w:u w:val="single"/>
        </w:rPr>
      </w:pPr>
      <w:r>
        <w:rPr>
          <w:b/>
          <w:u w:val="single"/>
        </w:rPr>
        <w:t>Sampling Parameters</w:t>
      </w:r>
    </w:p>
    <w:p w:rsidR="000B63DB" w:rsidRDefault="000B63DB"/>
    <w:tbl>
      <w:tblPr>
        <w:tblW w:w="1018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039AA1"/>
          <w:insideV w:val="single" w:sz="12" w:space="0" w:color="000000" w:themeColor="text1"/>
        </w:tblBorders>
        <w:tblCellMar>
          <w:left w:w="0" w:type="dxa"/>
          <w:right w:w="0" w:type="dxa"/>
        </w:tblCellMar>
        <w:tblLook w:val="04A0"/>
      </w:tblPr>
      <w:tblGrid>
        <w:gridCol w:w="4878"/>
        <w:gridCol w:w="5306"/>
      </w:tblGrid>
      <w:tr w:rsidR="000B63DB" w:rsidRPr="000B63DB" w:rsidTr="000B63DB">
        <w:trPr>
          <w:trHeight w:val="49"/>
        </w:trPr>
        <w:tc>
          <w:tcPr>
            <w:tcW w:w="4878" w:type="dxa"/>
            <w:tcBorders>
              <w:top w:val="thickThinSmallGap" w:sz="24" w:space="0" w:color="auto"/>
              <w:bottom w:val="single" w:sz="6" w:space="0" w:color="039AA1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tabs>
                <w:tab w:val="center" w:pos="5256"/>
                <w:tab w:val="left" w:pos="8100"/>
              </w:tabs>
              <w:spacing w:line="50" w:lineRule="atLeast"/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0B63DB">
              <w:rPr>
                <w:rFonts w:ascii="Constantia" w:hAnsi="Constantia" w:cs="Arial"/>
                <w:b/>
                <w:bCs/>
                <w:smallCaps/>
                <w:color w:val="000000"/>
                <w:kern w:val="24"/>
                <w:sz w:val="28"/>
                <w:szCs w:val="36"/>
              </w:rPr>
              <w:t>Core Parameters</w:t>
            </w:r>
            <w:r w:rsidRPr="000B63DB">
              <w:rPr>
                <w:rFonts w:ascii="Constantia" w:hAnsi="Constantia"/>
                <w:b/>
                <w:bCs/>
                <w:color w:val="000000"/>
                <w:kern w:val="24"/>
                <w:sz w:val="28"/>
                <w:szCs w:val="36"/>
              </w:rPr>
              <w:t xml:space="preserve"> </w:t>
            </w:r>
          </w:p>
        </w:tc>
        <w:tc>
          <w:tcPr>
            <w:tcW w:w="5306" w:type="dxa"/>
            <w:tcBorders>
              <w:top w:val="thickThinSmallGap" w:sz="24" w:space="0" w:color="auto"/>
              <w:bottom w:val="single" w:sz="6" w:space="0" w:color="039AA1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tabs>
                <w:tab w:val="center" w:pos="5256"/>
                <w:tab w:val="left" w:pos="8100"/>
              </w:tabs>
              <w:spacing w:line="50" w:lineRule="atLeast"/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0B63DB">
              <w:rPr>
                <w:rFonts w:ascii="Constantia" w:hAnsi="Constantia" w:cs="Arial"/>
                <w:b/>
                <w:bCs/>
                <w:smallCaps/>
                <w:color w:val="000000"/>
                <w:kern w:val="24"/>
                <w:sz w:val="28"/>
                <w:szCs w:val="36"/>
              </w:rPr>
              <w:t>Supplemental Parameters</w:t>
            </w:r>
            <w:r w:rsidRPr="000B63DB">
              <w:rPr>
                <w:rFonts w:ascii="Constantia" w:hAnsi="Constantia"/>
                <w:b/>
                <w:bCs/>
                <w:color w:val="000000"/>
                <w:kern w:val="24"/>
                <w:sz w:val="28"/>
                <w:szCs w:val="36"/>
              </w:rPr>
              <w:t xml:space="preserve"> </w:t>
            </w:r>
          </w:p>
        </w:tc>
      </w:tr>
      <w:tr w:rsidR="000B63DB" w:rsidRPr="000B63DB" w:rsidTr="000B63DB">
        <w:trPr>
          <w:trHeight w:val="49"/>
        </w:trPr>
        <w:tc>
          <w:tcPr>
            <w:tcW w:w="4878" w:type="dxa"/>
            <w:tcBorders>
              <w:top w:val="single" w:sz="6" w:space="0" w:color="039AA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spacing w:line="50" w:lineRule="atLeast"/>
              <w:jc w:val="both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Total phosphorus (as P) </w:t>
            </w:r>
          </w:p>
        </w:tc>
        <w:tc>
          <w:tcPr>
            <w:tcW w:w="5306" w:type="dxa"/>
            <w:tcBorders>
              <w:top w:val="single" w:sz="6" w:space="0" w:color="039AA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spacing w:line="50" w:lineRule="atLeast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Total suspended solids (TSS) </w:t>
            </w:r>
          </w:p>
        </w:tc>
      </w:tr>
      <w:tr w:rsidR="000B63DB" w:rsidRPr="000B63DB" w:rsidTr="000B63DB">
        <w:trPr>
          <w:trHeight w:val="449"/>
        </w:trPr>
        <w:tc>
          <w:tcPr>
            <w:tcW w:w="487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Orthophosphate as P </w:t>
            </w:r>
          </w:p>
        </w:tc>
        <w:tc>
          <w:tcPr>
            <w:tcW w:w="53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jc w:val="both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Biochemical oxygen demand (BOD) </w:t>
            </w:r>
          </w:p>
        </w:tc>
      </w:tr>
      <w:tr w:rsidR="000B63DB" w:rsidRPr="000B63DB" w:rsidTr="000B63DB">
        <w:trPr>
          <w:trHeight w:val="69"/>
        </w:trPr>
        <w:tc>
          <w:tcPr>
            <w:tcW w:w="487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spacing w:line="70" w:lineRule="atLeast"/>
              <w:jc w:val="both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Nitrate/nitrite as N </w:t>
            </w:r>
          </w:p>
        </w:tc>
        <w:tc>
          <w:tcPr>
            <w:tcW w:w="53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rPr>
                <w:szCs w:val="36"/>
              </w:rPr>
            </w:pPr>
            <w:r>
              <w:rPr>
                <w:szCs w:val="36"/>
              </w:rPr>
              <w:t>Saturated Oxygen</w:t>
            </w:r>
          </w:p>
        </w:tc>
      </w:tr>
      <w:tr w:rsidR="000B63DB" w:rsidRPr="000B63DB" w:rsidTr="000B63DB">
        <w:trPr>
          <w:trHeight w:val="69"/>
        </w:trPr>
        <w:tc>
          <w:tcPr>
            <w:tcW w:w="487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spacing w:line="70" w:lineRule="atLeast"/>
              <w:jc w:val="both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Total </w:t>
            </w:r>
            <w:proofErr w:type="spellStart"/>
            <w:r w:rsidRPr="000B63DB">
              <w:rPr>
                <w:color w:val="000000"/>
                <w:kern w:val="24"/>
                <w:szCs w:val="36"/>
              </w:rPr>
              <w:t>Kjeldahl</w:t>
            </w:r>
            <w:proofErr w:type="spellEnd"/>
            <w:r w:rsidRPr="000B63DB">
              <w:rPr>
                <w:color w:val="000000"/>
                <w:kern w:val="24"/>
                <w:szCs w:val="36"/>
              </w:rPr>
              <w:t xml:space="preserve"> nitrogen (TKN) </w:t>
            </w:r>
          </w:p>
        </w:tc>
        <w:tc>
          <w:tcPr>
            <w:tcW w:w="53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rPr>
                <w:szCs w:val="36"/>
              </w:rPr>
            </w:pPr>
            <w:r>
              <w:rPr>
                <w:szCs w:val="36"/>
              </w:rPr>
              <w:t>Color</w:t>
            </w:r>
          </w:p>
        </w:tc>
      </w:tr>
      <w:tr w:rsidR="000B63DB" w:rsidRPr="000B63DB" w:rsidTr="000B63DB">
        <w:trPr>
          <w:trHeight w:val="69"/>
        </w:trPr>
        <w:tc>
          <w:tcPr>
            <w:tcW w:w="487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spacing w:line="70" w:lineRule="atLeast"/>
              <w:jc w:val="both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>Chlorophyll-a</w:t>
            </w:r>
            <w:r>
              <w:rPr>
                <w:color w:val="000000"/>
                <w:kern w:val="24"/>
                <w:szCs w:val="36"/>
              </w:rPr>
              <w:t xml:space="preserve"> (corrected)</w:t>
            </w:r>
          </w:p>
        </w:tc>
        <w:tc>
          <w:tcPr>
            <w:tcW w:w="53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rPr>
                <w:szCs w:val="36"/>
              </w:rPr>
            </w:pPr>
          </w:p>
        </w:tc>
      </w:tr>
      <w:tr w:rsidR="000B63DB" w:rsidRPr="000B63DB" w:rsidTr="000B63DB">
        <w:trPr>
          <w:trHeight w:val="69"/>
        </w:trPr>
        <w:tc>
          <w:tcPr>
            <w:tcW w:w="487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spacing w:line="70" w:lineRule="atLeast"/>
              <w:jc w:val="both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Dissolved oxygen (DO) </w:t>
            </w:r>
          </w:p>
        </w:tc>
        <w:tc>
          <w:tcPr>
            <w:tcW w:w="53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rPr>
                <w:szCs w:val="36"/>
              </w:rPr>
            </w:pPr>
          </w:p>
        </w:tc>
      </w:tr>
      <w:tr w:rsidR="000B63DB" w:rsidRPr="000B63DB" w:rsidTr="000B63DB">
        <w:trPr>
          <w:trHeight w:val="378"/>
        </w:trPr>
        <w:tc>
          <w:tcPr>
            <w:tcW w:w="487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jc w:val="both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Temperature </w:t>
            </w:r>
          </w:p>
        </w:tc>
        <w:tc>
          <w:tcPr>
            <w:tcW w:w="53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rPr>
                <w:szCs w:val="36"/>
              </w:rPr>
            </w:pPr>
          </w:p>
        </w:tc>
      </w:tr>
      <w:tr w:rsidR="000B63DB" w:rsidRPr="000B63DB" w:rsidTr="000B63DB">
        <w:trPr>
          <w:trHeight w:val="69"/>
        </w:trPr>
        <w:tc>
          <w:tcPr>
            <w:tcW w:w="487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spacing w:line="70" w:lineRule="atLeast"/>
              <w:jc w:val="both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Specific conductance </w:t>
            </w:r>
          </w:p>
        </w:tc>
        <w:tc>
          <w:tcPr>
            <w:tcW w:w="53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rPr>
                <w:szCs w:val="36"/>
              </w:rPr>
            </w:pPr>
          </w:p>
        </w:tc>
      </w:tr>
      <w:tr w:rsidR="000B63DB" w:rsidRPr="000B63DB" w:rsidTr="000B63DB">
        <w:trPr>
          <w:trHeight w:val="69"/>
        </w:trPr>
        <w:tc>
          <w:tcPr>
            <w:tcW w:w="487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spacing w:line="70" w:lineRule="atLeast"/>
              <w:jc w:val="both"/>
              <w:rPr>
                <w:szCs w:val="36"/>
              </w:rPr>
            </w:pPr>
            <w:r w:rsidRPr="000B63DB">
              <w:rPr>
                <w:color w:val="000000"/>
                <w:kern w:val="24"/>
                <w:szCs w:val="36"/>
              </w:rPr>
              <w:t xml:space="preserve">pH - field </w:t>
            </w:r>
          </w:p>
        </w:tc>
        <w:tc>
          <w:tcPr>
            <w:tcW w:w="53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B63DB" w:rsidP="000B63DB">
            <w:pPr>
              <w:rPr>
                <w:szCs w:val="36"/>
              </w:rPr>
            </w:pPr>
          </w:p>
        </w:tc>
      </w:tr>
    </w:tbl>
    <w:p w:rsidR="000B63DB" w:rsidRDefault="000B63DB"/>
    <w:p w:rsidR="000B63DB" w:rsidRPr="000D7346" w:rsidRDefault="000D7346">
      <w:pPr>
        <w:rPr>
          <w:b/>
          <w:u w:val="single"/>
        </w:rPr>
      </w:pPr>
      <w:r>
        <w:rPr>
          <w:b/>
          <w:u w:val="single"/>
        </w:rPr>
        <w:t>Monitoring Stations</w:t>
      </w:r>
    </w:p>
    <w:p w:rsidR="005D4BD6" w:rsidRDefault="005D4BD6" w:rsidP="003F292A"/>
    <w:tbl>
      <w:tblPr>
        <w:tblW w:w="1018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039AA1"/>
          <w:insideV w:val="single" w:sz="12" w:space="0" w:color="000000" w:themeColor="text1"/>
        </w:tblBorders>
        <w:tblCellMar>
          <w:left w:w="0" w:type="dxa"/>
          <w:right w:w="0" w:type="dxa"/>
        </w:tblCellMar>
        <w:tblLook w:val="04A0"/>
      </w:tblPr>
      <w:tblGrid>
        <w:gridCol w:w="4878"/>
        <w:gridCol w:w="5306"/>
      </w:tblGrid>
      <w:tr w:rsidR="000D7346" w:rsidRPr="000B63DB" w:rsidTr="00E81061">
        <w:trPr>
          <w:trHeight w:val="49"/>
        </w:trPr>
        <w:tc>
          <w:tcPr>
            <w:tcW w:w="4878" w:type="dxa"/>
            <w:tcBorders>
              <w:top w:val="thickThinSmallGap" w:sz="24" w:space="0" w:color="auto"/>
              <w:bottom w:val="single" w:sz="6" w:space="0" w:color="039AA1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D7346" w:rsidP="000D7346">
            <w:pPr>
              <w:tabs>
                <w:tab w:val="center" w:pos="5256"/>
                <w:tab w:val="left" w:pos="8100"/>
              </w:tabs>
              <w:spacing w:line="50" w:lineRule="atLeast"/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0B63DB">
              <w:rPr>
                <w:rFonts w:ascii="Constantia" w:hAnsi="Constantia" w:cs="Arial"/>
                <w:b/>
                <w:bCs/>
                <w:smallCaps/>
                <w:color w:val="000000"/>
                <w:kern w:val="24"/>
                <w:sz w:val="28"/>
                <w:szCs w:val="36"/>
              </w:rPr>
              <w:t xml:space="preserve">Core </w:t>
            </w:r>
            <w:r w:rsidRPr="00A97BA7">
              <w:rPr>
                <w:rFonts w:ascii="Constantia" w:hAnsi="Constantia" w:cs="Arial"/>
                <w:b/>
                <w:bCs/>
                <w:smallCaps/>
                <w:color w:val="000000"/>
                <w:kern w:val="24"/>
                <w:sz w:val="28"/>
                <w:szCs w:val="36"/>
              </w:rPr>
              <w:t>(Required) Stations</w:t>
            </w:r>
            <w:r w:rsidRPr="000B63DB">
              <w:rPr>
                <w:rFonts w:ascii="Constantia" w:hAnsi="Constantia"/>
                <w:b/>
                <w:bCs/>
                <w:color w:val="000000"/>
                <w:kern w:val="24"/>
                <w:sz w:val="28"/>
                <w:szCs w:val="36"/>
              </w:rPr>
              <w:t xml:space="preserve"> </w:t>
            </w:r>
          </w:p>
        </w:tc>
        <w:tc>
          <w:tcPr>
            <w:tcW w:w="5306" w:type="dxa"/>
            <w:tcBorders>
              <w:top w:val="thickThinSmallGap" w:sz="24" w:space="0" w:color="auto"/>
              <w:bottom w:val="single" w:sz="6" w:space="0" w:color="039AA1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D7346" w:rsidP="000D7346">
            <w:pPr>
              <w:tabs>
                <w:tab w:val="center" w:pos="5256"/>
                <w:tab w:val="left" w:pos="8100"/>
              </w:tabs>
              <w:spacing w:line="50" w:lineRule="atLeast"/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0B63DB">
              <w:rPr>
                <w:rFonts w:ascii="Constantia" w:hAnsi="Constantia" w:cs="Arial"/>
                <w:b/>
                <w:bCs/>
                <w:smallCaps/>
                <w:color w:val="000000"/>
                <w:kern w:val="24"/>
                <w:sz w:val="28"/>
                <w:szCs w:val="36"/>
              </w:rPr>
              <w:t xml:space="preserve">Supplemental </w:t>
            </w:r>
            <w:r w:rsidRPr="00A97BA7">
              <w:rPr>
                <w:rFonts w:ascii="Constantia" w:hAnsi="Constantia" w:cs="Arial"/>
                <w:b/>
                <w:bCs/>
                <w:smallCaps/>
                <w:color w:val="000000"/>
                <w:kern w:val="24"/>
                <w:sz w:val="28"/>
                <w:szCs w:val="36"/>
              </w:rPr>
              <w:t>Stations</w:t>
            </w:r>
          </w:p>
        </w:tc>
      </w:tr>
      <w:tr w:rsidR="000D7346" w:rsidRPr="000B63DB" w:rsidTr="00E81061">
        <w:trPr>
          <w:trHeight w:val="49"/>
        </w:trPr>
        <w:tc>
          <w:tcPr>
            <w:tcW w:w="4878" w:type="dxa"/>
            <w:tcBorders>
              <w:top w:val="single" w:sz="6" w:space="0" w:color="039AA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D7346" w:rsidP="00E81061">
            <w:pPr>
              <w:spacing w:line="50" w:lineRule="atLeast"/>
              <w:jc w:val="both"/>
              <w:rPr>
                <w:szCs w:val="36"/>
              </w:rPr>
            </w:pPr>
            <w:r>
              <w:rPr>
                <w:szCs w:val="36"/>
              </w:rPr>
              <w:t xml:space="preserve">All ambient ground water stations </w:t>
            </w:r>
          </w:p>
        </w:tc>
        <w:tc>
          <w:tcPr>
            <w:tcW w:w="5306" w:type="dxa"/>
            <w:tcBorders>
              <w:top w:val="single" w:sz="6" w:space="0" w:color="039AA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A97BA7" w:rsidP="00E81061">
            <w:pPr>
              <w:spacing w:line="50" w:lineRule="atLeast"/>
              <w:rPr>
                <w:szCs w:val="36"/>
              </w:rPr>
            </w:pPr>
            <w:r>
              <w:rPr>
                <w:szCs w:val="36"/>
              </w:rPr>
              <w:t xml:space="preserve">All ground water monitoring stations associated with wastewater treatment plants </w:t>
            </w:r>
          </w:p>
        </w:tc>
      </w:tr>
      <w:tr w:rsidR="000D7346" w:rsidRPr="000B63DB" w:rsidTr="00E81061">
        <w:trPr>
          <w:trHeight w:val="449"/>
        </w:trPr>
        <w:tc>
          <w:tcPr>
            <w:tcW w:w="487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D7346" w:rsidP="00E81061">
            <w:pPr>
              <w:rPr>
                <w:szCs w:val="36"/>
              </w:rPr>
            </w:pPr>
            <w:r>
              <w:rPr>
                <w:szCs w:val="36"/>
              </w:rPr>
              <w:t xml:space="preserve">All surface water stations monitored at least monthly. </w:t>
            </w:r>
          </w:p>
        </w:tc>
        <w:tc>
          <w:tcPr>
            <w:tcW w:w="53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63DB" w:rsidRPr="000B63DB" w:rsidRDefault="000D7346" w:rsidP="00E81061">
            <w:pPr>
              <w:jc w:val="both"/>
              <w:rPr>
                <w:szCs w:val="36"/>
              </w:rPr>
            </w:pPr>
            <w:r>
              <w:rPr>
                <w:szCs w:val="36"/>
              </w:rPr>
              <w:t xml:space="preserve">All other </w:t>
            </w:r>
            <w:r w:rsidR="00A97BA7">
              <w:rPr>
                <w:szCs w:val="36"/>
              </w:rPr>
              <w:t>regularly sampled (e.g., quarterly, 3 times/ year, semi-annually, annually) ambient surface water or spring monitoring station</w:t>
            </w:r>
          </w:p>
        </w:tc>
      </w:tr>
    </w:tbl>
    <w:p w:rsidR="003F292A" w:rsidRDefault="003F292A"/>
    <w:p w:rsidR="00E50375" w:rsidRDefault="000D7346">
      <w:pPr>
        <w:rPr>
          <w:b/>
          <w:u w:val="single"/>
        </w:rPr>
      </w:pPr>
      <w:r>
        <w:rPr>
          <w:b/>
          <w:u w:val="single"/>
        </w:rPr>
        <w:t>Additional Reference materials for the meeting</w:t>
      </w:r>
    </w:p>
    <w:p w:rsidR="000D7346" w:rsidRPr="000D7346" w:rsidRDefault="000D7346" w:rsidP="000D7346">
      <w:pPr>
        <w:pStyle w:val="ListParagraph"/>
        <w:numPr>
          <w:ilvl w:val="0"/>
          <w:numId w:val="4"/>
        </w:numPr>
        <w:rPr>
          <w:b/>
          <w:u w:val="single"/>
        </w:rPr>
      </w:pPr>
      <w:r>
        <w:t>Two (</w:t>
      </w:r>
      <w:r w:rsidR="00CD1D78">
        <w:t>1</w:t>
      </w:r>
      <w:r>
        <w:t xml:space="preserve">) map of ambient ground water stations </w:t>
      </w:r>
    </w:p>
    <w:p w:rsidR="000D7346" w:rsidRPr="000D7346" w:rsidRDefault="000D7346" w:rsidP="000D7346">
      <w:pPr>
        <w:pStyle w:val="ListParagraph"/>
        <w:numPr>
          <w:ilvl w:val="0"/>
          <w:numId w:val="4"/>
        </w:numPr>
        <w:rPr>
          <w:b/>
          <w:u w:val="single"/>
        </w:rPr>
      </w:pPr>
      <w:r>
        <w:t>Two (2) maps of the ground water monitoring stations associated with wastewater treatment plants (northern and southern portions of the basin)</w:t>
      </w:r>
    </w:p>
    <w:p w:rsidR="000D7346" w:rsidRPr="00A97BA7" w:rsidRDefault="000D7346" w:rsidP="000D7346">
      <w:pPr>
        <w:pStyle w:val="ListParagraph"/>
        <w:numPr>
          <w:ilvl w:val="0"/>
          <w:numId w:val="4"/>
        </w:numPr>
        <w:rPr>
          <w:b/>
          <w:u w:val="single"/>
        </w:rPr>
      </w:pPr>
      <w:r>
        <w:t>Two (2) maps of the surface water stations (northern and southern portions of the basin)</w:t>
      </w:r>
    </w:p>
    <w:p w:rsidR="00A97BA7" w:rsidRPr="000D7346" w:rsidRDefault="00A97BA7" w:rsidP="000D7346">
      <w:pPr>
        <w:pStyle w:val="ListParagraph"/>
        <w:numPr>
          <w:ilvl w:val="0"/>
          <w:numId w:val="4"/>
        </w:numPr>
        <w:rPr>
          <w:b/>
          <w:u w:val="single"/>
        </w:rPr>
      </w:pPr>
      <w:r>
        <w:t>List of monitoring stations.</w:t>
      </w:r>
    </w:p>
    <w:sectPr w:rsidR="00A97BA7" w:rsidRPr="000D7346" w:rsidSect="000B63DB">
      <w:headerReference w:type="default" r:id="rId7"/>
      <w:pgSz w:w="12240" w:h="15840"/>
      <w:pgMar w:top="2250" w:right="1080" w:bottom="1440" w:left="108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014" w:rsidRDefault="00E71014" w:rsidP="003F292A">
      <w:r>
        <w:separator/>
      </w:r>
    </w:p>
  </w:endnote>
  <w:endnote w:type="continuationSeparator" w:id="0">
    <w:p w:rsidR="00E71014" w:rsidRDefault="00E71014" w:rsidP="003F2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014" w:rsidRDefault="00E71014" w:rsidP="003F292A">
      <w:r>
        <w:separator/>
      </w:r>
    </w:p>
  </w:footnote>
  <w:footnote w:type="continuationSeparator" w:id="0">
    <w:p w:rsidR="00E71014" w:rsidRDefault="00E71014" w:rsidP="003F29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92A" w:rsidRPr="003F292A" w:rsidRDefault="003F292A" w:rsidP="003F292A">
    <w:pPr>
      <w:pStyle w:val="Header"/>
      <w:jc w:val="center"/>
      <w:rPr>
        <w:b/>
        <w:sz w:val="28"/>
        <w:szCs w:val="28"/>
      </w:rPr>
    </w:pPr>
    <w:proofErr w:type="spellStart"/>
    <w:r w:rsidRPr="003F292A">
      <w:rPr>
        <w:b/>
        <w:sz w:val="28"/>
        <w:szCs w:val="28"/>
      </w:rPr>
      <w:t>Wekiva</w:t>
    </w:r>
    <w:proofErr w:type="spellEnd"/>
    <w:r w:rsidRPr="003F292A">
      <w:rPr>
        <w:b/>
        <w:sz w:val="28"/>
        <w:szCs w:val="28"/>
      </w:rPr>
      <w:t xml:space="preserve"> BMAP – </w:t>
    </w:r>
    <w:r w:rsidR="000B63DB">
      <w:rPr>
        <w:b/>
        <w:sz w:val="28"/>
        <w:szCs w:val="28"/>
      </w:rPr>
      <w:t>Monitoring Plan Components</w:t>
    </w:r>
  </w:p>
  <w:p w:rsidR="003F292A" w:rsidRDefault="003F292A" w:rsidP="003F292A">
    <w:pPr>
      <w:pStyle w:val="Header"/>
      <w:jc w:val="center"/>
    </w:pPr>
    <w:r>
      <w:t>Distributed for April 20, 2012 BMAP BWG Meeting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0F1"/>
    <w:multiLevelType w:val="hybridMultilevel"/>
    <w:tmpl w:val="8480B3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93165"/>
    <w:multiLevelType w:val="hybridMultilevel"/>
    <w:tmpl w:val="637AB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A7551"/>
    <w:multiLevelType w:val="hybridMultilevel"/>
    <w:tmpl w:val="D8C0FEB8"/>
    <w:lvl w:ilvl="0" w:tplc="EC1A5D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45A80"/>
    <w:multiLevelType w:val="hybridMultilevel"/>
    <w:tmpl w:val="4978E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C28"/>
    <w:rsid w:val="00004C8B"/>
    <w:rsid w:val="00020EDD"/>
    <w:rsid w:val="0002660B"/>
    <w:rsid w:val="000324F1"/>
    <w:rsid w:val="000330D1"/>
    <w:rsid w:val="00034FCE"/>
    <w:rsid w:val="000355F2"/>
    <w:rsid w:val="0004505B"/>
    <w:rsid w:val="0009040D"/>
    <w:rsid w:val="000944C3"/>
    <w:rsid w:val="00097FE5"/>
    <w:rsid w:val="000B0630"/>
    <w:rsid w:val="000B63DB"/>
    <w:rsid w:val="000C6D64"/>
    <w:rsid w:val="000C6E71"/>
    <w:rsid w:val="000D7346"/>
    <w:rsid w:val="0016300B"/>
    <w:rsid w:val="00164749"/>
    <w:rsid w:val="001B427E"/>
    <w:rsid w:val="0023633C"/>
    <w:rsid w:val="00242621"/>
    <w:rsid w:val="00243251"/>
    <w:rsid w:val="002439DD"/>
    <w:rsid w:val="002A0E07"/>
    <w:rsid w:val="002A621B"/>
    <w:rsid w:val="002B6DB4"/>
    <w:rsid w:val="002D2126"/>
    <w:rsid w:val="00315A5F"/>
    <w:rsid w:val="00316161"/>
    <w:rsid w:val="003334F4"/>
    <w:rsid w:val="0037346E"/>
    <w:rsid w:val="00377D0D"/>
    <w:rsid w:val="00392AC2"/>
    <w:rsid w:val="0039686E"/>
    <w:rsid w:val="003A328B"/>
    <w:rsid w:val="003B1760"/>
    <w:rsid w:val="003C349D"/>
    <w:rsid w:val="003F292A"/>
    <w:rsid w:val="00404272"/>
    <w:rsid w:val="00406687"/>
    <w:rsid w:val="0041580E"/>
    <w:rsid w:val="004451D0"/>
    <w:rsid w:val="00451974"/>
    <w:rsid w:val="00464C79"/>
    <w:rsid w:val="00485368"/>
    <w:rsid w:val="00485C28"/>
    <w:rsid w:val="004A5035"/>
    <w:rsid w:val="004C3D9C"/>
    <w:rsid w:val="004C48F8"/>
    <w:rsid w:val="004D573C"/>
    <w:rsid w:val="004E6B0F"/>
    <w:rsid w:val="004E782C"/>
    <w:rsid w:val="00547BD4"/>
    <w:rsid w:val="00563961"/>
    <w:rsid w:val="0056568F"/>
    <w:rsid w:val="00570635"/>
    <w:rsid w:val="005B6862"/>
    <w:rsid w:val="005B743D"/>
    <w:rsid w:val="005C3B50"/>
    <w:rsid w:val="005D4BD6"/>
    <w:rsid w:val="005F32F0"/>
    <w:rsid w:val="00616715"/>
    <w:rsid w:val="00626D48"/>
    <w:rsid w:val="006511CC"/>
    <w:rsid w:val="00656A54"/>
    <w:rsid w:val="00665398"/>
    <w:rsid w:val="006724D0"/>
    <w:rsid w:val="00672611"/>
    <w:rsid w:val="00681E69"/>
    <w:rsid w:val="0069612C"/>
    <w:rsid w:val="006C2F22"/>
    <w:rsid w:val="006C6CBA"/>
    <w:rsid w:val="007107E8"/>
    <w:rsid w:val="007131DC"/>
    <w:rsid w:val="00755C96"/>
    <w:rsid w:val="00775585"/>
    <w:rsid w:val="007836C6"/>
    <w:rsid w:val="007861AC"/>
    <w:rsid w:val="007B28B0"/>
    <w:rsid w:val="007B50DD"/>
    <w:rsid w:val="007C366E"/>
    <w:rsid w:val="007F342D"/>
    <w:rsid w:val="007F77F2"/>
    <w:rsid w:val="007F782A"/>
    <w:rsid w:val="00850221"/>
    <w:rsid w:val="008671C8"/>
    <w:rsid w:val="0088798E"/>
    <w:rsid w:val="008B7B64"/>
    <w:rsid w:val="008C105E"/>
    <w:rsid w:val="008C2685"/>
    <w:rsid w:val="00907CED"/>
    <w:rsid w:val="009A6D31"/>
    <w:rsid w:val="009C7BEF"/>
    <w:rsid w:val="009D5B62"/>
    <w:rsid w:val="009D69C3"/>
    <w:rsid w:val="009E1655"/>
    <w:rsid w:val="00A051DE"/>
    <w:rsid w:val="00A1218A"/>
    <w:rsid w:val="00A420B0"/>
    <w:rsid w:val="00A557FB"/>
    <w:rsid w:val="00A85BF8"/>
    <w:rsid w:val="00A97BA7"/>
    <w:rsid w:val="00AC2D47"/>
    <w:rsid w:val="00AC6E75"/>
    <w:rsid w:val="00AF4522"/>
    <w:rsid w:val="00B02EC8"/>
    <w:rsid w:val="00B057DA"/>
    <w:rsid w:val="00B05841"/>
    <w:rsid w:val="00B05A1E"/>
    <w:rsid w:val="00B21C40"/>
    <w:rsid w:val="00B54A39"/>
    <w:rsid w:val="00B571C8"/>
    <w:rsid w:val="00B9151E"/>
    <w:rsid w:val="00B9303C"/>
    <w:rsid w:val="00BA54BF"/>
    <w:rsid w:val="00C00A70"/>
    <w:rsid w:val="00C0616C"/>
    <w:rsid w:val="00C25BCE"/>
    <w:rsid w:val="00C438EB"/>
    <w:rsid w:val="00C524A6"/>
    <w:rsid w:val="00C55377"/>
    <w:rsid w:val="00C642C6"/>
    <w:rsid w:val="00C85BA1"/>
    <w:rsid w:val="00C85C2C"/>
    <w:rsid w:val="00C94709"/>
    <w:rsid w:val="00C96CF2"/>
    <w:rsid w:val="00CB733C"/>
    <w:rsid w:val="00CC528C"/>
    <w:rsid w:val="00CD1D78"/>
    <w:rsid w:val="00CE67E6"/>
    <w:rsid w:val="00D0005A"/>
    <w:rsid w:val="00D01F68"/>
    <w:rsid w:val="00D37C2B"/>
    <w:rsid w:val="00D37CB7"/>
    <w:rsid w:val="00D67783"/>
    <w:rsid w:val="00D7753F"/>
    <w:rsid w:val="00D77B62"/>
    <w:rsid w:val="00D80409"/>
    <w:rsid w:val="00D86078"/>
    <w:rsid w:val="00D9255E"/>
    <w:rsid w:val="00D93C85"/>
    <w:rsid w:val="00DA3591"/>
    <w:rsid w:val="00DF0A0A"/>
    <w:rsid w:val="00DF1077"/>
    <w:rsid w:val="00E0705D"/>
    <w:rsid w:val="00E24650"/>
    <w:rsid w:val="00E314AB"/>
    <w:rsid w:val="00E50375"/>
    <w:rsid w:val="00E65350"/>
    <w:rsid w:val="00E71014"/>
    <w:rsid w:val="00E75660"/>
    <w:rsid w:val="00EA50FB"/>
    <w:rsid w:val="00EB63D2"/>
    <w:rsid w:val="00EC41E8"/>
    <w:rsid w:val="00EC756B"/>
    <w:rsid w:val="00EF069C"/>
    <w:rsid w:val="00F0590C"/>
    <w:rsid w:val="00F15D06"/>
    <w:rsid w:val="00F23291"/>
    <w:rsid w:val="00F46762"/>
    <w:rsid w:val="00F47A5A"/>
    <w:rsid w:val="00F53A9B"/>
    <w:rsid w:val="00FB0795"/>
    <w:rsid w:val="00FB1672"/>
    <w:rsid w:val="00FB41A4"/>
    <w:rsid w:val="00FD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3B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5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32F0"/>
    <w:pPr>
      <w:ind w:left="720"/>
      <w:contextualSpacing/>
    </w:pPr>
  </w:style>
  <w:style w:type="paragraph" w:styleId="Header">
    <w:name w:val="header"/>
    <w:basedOn w:val="Normal"/>
    <w:link w:val="HeaderChar"/>
    <w:rsid w:val="003F29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292A"/>
    <w:rPr>
      <w:sz w:val="24"/>
      <w:szCs w:val="24"/>
    </w:rPr>
  </w:style>
  <w:style w:type="paragraph" w:styleId="Footer">
    <w:name w:val="footer"/>
    <w:basedOn w:val="Normal"/>
    <w:link w:val="FooterChar"/>
    <w:rsid w:val="003F29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292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B63D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5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32F0"/>
    <w:pPr>
      <w:ind w:left="720"/>
      <w:contextualSpacing/>
    </w:pPr>
  </w:style>
  <w:style w:type="paragraph" w:styleId="Header">
    <w:name w:val="header"/>
    <w:basedOn w:val="Normal"/>
    <w:link w:val="HeaderChar"/>
    <w:rsid w:val="003F29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292A"/>
    <w:rPr>
      <w:sz w:val="24"/>
      <w:szCs w:val="24"/>
    </w:rPr>
  </w:style>
  <w:style w:type="paragraph" w:styleId="Footer">
    <w:name w:val="footer"/>
    <w:basedOn w:val="Normal"/>
    <w:link w:val="FooterChar"/>
    <w:rsid w:val="003F29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292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doty</dc:creator>
  <cp:lastModifiedBy>budd_s</cp:lastModifiedBy>
  <cp:revision>3</cp:revision>
  <dcterms:created xsi:type="dcterms:W3CDTF">2012-04-16T19:07:00Z</dcterms:created>
  <dcterms:modified xsi:type="dcterms:W3CDTF">2012-04-16T19:40:00Z</dcterms:modified>
</cp:coreProperties>
</file>