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7D7" w:rsidRDefault="00AE0071" w:rsidP="00F57DC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0071">
        <w:rPr>
          <w:rFonts w:ascii="Times New Roman" w:hAnsi="Times New Roman" w:cs="Times New Roman"/>
          <w:b/>
          <w:sz w:val="24"/>
          <w:szCs w:val="24"/>
          <w:u w:val="single"/>
        </w:rPr>
        <w:t>Land Use Aggregation</w:t>
      </w:r>
      <w:r w:rsidR="00DA6EAD">
        <w:rPr>
          <w:rFonts w:ascii="Times New Roman" w:hAnsi="Times New Roman" w:cs="Times New Roman"/>
          <w:b/>
          <w:sz w:val="24"/>
          <w:szCs w:val="24"/>
          <w:u w:val="single"/>
        </w:rPr>
        <w:t xml:space="preserve"> for Newnans Lake and Orange Lake</w:t>
      </w:r>
    </w:p>
    <w:p w:rsidR="00F57DC5" w:rsidRDefault="003D7CBB" w:rsidP="00F57D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Upper Ocklawaha </w:t>
      </w:r>
      <w:r w:rsidR="008F54D8">
        <w:rPr>
          <w:rFonts w:ascii="Times New Roman" w:hAnsi="Times New Roman" w:cs="Times New Roman"/>
          <w:sz w:val="24"/>
          <w:szCs w:val="24"/>
        </w:rPr>
        <w:t xml:space="preserve">Basin TMDL </w:t>
      </w:r>
      <w:r>
        <w:rPr>
          <w:rFonts w:ascii="Times New Roman" w:hAnsi="Times New Roman" w:cs="Times New Roman"/>
          <w:sz w:val="24"/>
          <w:szCs w:val="24"/>
        </w:rPr>
        <w:t xml:space="preserve">models were more detailed than Orange Creek </w:t>
      </w:r>
      <w:r w:rsidR="008F54D8">
        <w:rPr>
          <w:rFonts w:ascii="Times New Roman" w:hAnsi="Times New Roman" w:cs="Times New Roman"/>
          <w:sz w:val="24"/>
          <w:szCs w:val="24"/>
        </w:rPr>
        <w:t xml:space="preserve">Basin </w:t>
      </w:r>
      <w:r>
        <w:rPr>
          <w:rFonts w:ascii="Times New Roman" w:hAnsi="Times New Roman" w:cs="Times New Roman"/>
          <w:sz w:val="24"/>
          <w:szCs w:val="24"/>
        </w:rPr>
        <w:t xml:space="preserve">TMDLs </w:t>
      </w:r>
      <w:r w:rsidR="008F54D8">
        <w:rPr>
          <w:rFonts w:ascii="Times New Roman" w:hAnsi="Times New Roman" w:cs="Times New Roman"/>
          <w:sz w:val="24"/>
          <w:szCs w:val="24"/>
        </w:rPr>
        <w:t>and identified</w:t>
      </w:r>
      <w:r>
        <w:rPr>
          <w:rFonts w:ascii="Times New Roman" w:hAnsi="Times New Roman" w:cs="Times New Roman"/>
          <w:sz w:val="24"/>
          <w:szCs w:val="24"/>
        </w:rPr>
        <w:t xml:space="preserve"> more categories of developed land uses.  To simplify the calculations developed land uses </w:t>
      </w:r>
      <w:r w:rsidR="008F54D8">
        <w:rPr>
          <w:rFonts w:ascii="Times New Roman" w:hAnsi="Times New Roman" w:cs="Times New Roman"/>
          <w:sz w:val="24"/>
          <w:szCs w:val="24"/>
        </w:rPr>
        <w:t xml:space="preserve">in the Upper Ocklawaha </w:t>
      </w:r>
      <w:r>
        <w:rPr>
          <w:rFonts w:ascii="Times New Roman" w:hAnsi="Times New Roman" w:cs="Times New Roman"/>
          <w:sz w:val="24"/>
          <w:szCs w:val="24"/>
        </w:rPr>
        <w:t xml:space="preserve">were aggregated into three categories based on similar event mean concentrations </w:t>
      </w:r>
      <w:r w:rsidR="00DA6EAD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runoff coefficients used for modeling. Table 1 lists t</w:t>
      </w:r>
      <w:r w:rsidR="00F57DC5" w:rsidRPr="00F57DC5">
        <w:rPr>
          <w:rFonts w:ascii="Times New Roman" w:hAnsi="Times New Roman" w:cs="Times New Roman"/>
          <w:sz w:val="24"/>
          <w:szCs w:val="24"/>
        </w:rPr>
        <w:t xml:space="preserve">he land use aggregation scenarios used </w:t>
      </w:r>
      <w:r w:rsidR="008F54D8">
        <w:rPr>
          <w:rFonts w:ascii="Times New Roman" w:hAnsi="Times New Roman" w:cs="Times New Roman"/>
          <w:sz w:val="24"/>
          <w:szCs w:val="24"/>
        </w:rPr>
        <w:t>in</w:t>
      </w:r>
      <w:r w:rsidR="00F57DC5" w:rsidRPr="00F57DC5">
        <w:rPr>
          <w:rFonts w:ascii="Times New Roman" w:hAnsi="Times New Roman" w:cs="Times New Roman"/>
          <w:sz w:val="24"/>
          <w:szCs w:val="24"/>
        </w:rPr>
        <w:t xml:space="preserve"> the Upper Ocklawaha Basin. </w:t>
      </w:r>
      <w:r w:rsidR="001B3A29">
        <w:rPr>
          <w:rFonts w:ascii="Times New Roman" w:hAnsi="Times New Roman" w:cs="Times New Roman"/>
          <w:sz w:val="24"/>
          <w:szCs w:val="24"/>
        </w:rPr>
        <w:t>Two d</w:t>
      </w:r>
      <w:r w:rsidR="008F54D8" w:rsidRPr="00F57DC5">
        <w:rPr>
          <w:rFonts w:ascii="Times New Roman" w:hAnsi="Times New Roman" w:cs="Times New Roman"/>
          <w:sz w:val="24"/>
          <w:szCs w:val="24"/>
        </w:rPr>
        <w:t>ifferent levels of modeling were used in the basin.</w:t>
      </w:r>
      <w:r w:rsidR="008F54D8">
        <w:rPr>
          <w:rFonts w:ascii="Times New Roman" w:hAnsi="Times New Roman" w:cs="Times New Roman"/>
          <w:sz w:val="24"/>
          <w:szCs w:val="24"/>
        </w:rPr>
        <w:t xml:space="preserve">  Lake Yale, the example given at the January 28 meeting,</w:t>
      </w:r>
      <w:r w:rsidR="00F57DC5" w:rsidRPr="00F57DC5">
        <w:rPr>
          <w:rFonts w:ascii="Times New Roman" w:hAnsi="Times New Roman" w:cs="Times New Roman"/>
          <w:sz w:val="24"/>
          <w:szCs w:val="24"/>
        </w:rPr>
        <w:t xml:space="preserve"> is part of the Harris Chain of Lakes.  </w:t>
      </w:r>
      <w:r w:rsidR="00CC50C4">
        <w:rPr>
          <w:rFonts w:ascii="Times New Roman" w:hAnsi="Times New Roman" w:cs="Times New Roman"/>
          <w:sz w:val="24"/>
          <w:szCs w:val="24"/>
        </w:rPr>
        <w:t>The apportioning of reductions to local entities is for urban stormwater loading.</w:t>
      </w:r>
    </w:p>
    <w:p w:rsidR="00DA6EAD" w:rsidRPr="001B3A29" w:rsidRDefault="001B3A29" w:rsidP="00F57DC5">
      <w:pPr>
        <w:rPr>
          <w:rFonts w:ascii="Times New Roman" w:hAnsi="Times New Roman" w:cs="Times New Roman"/>
          <w:b/>
          <w:sz w:val="24"/>
          <w:szCs w:val="24"/>
        </w:rPr>
      </w:pPr>
      <w:r w:rsidRPr="001B3A29">
        <w:rPr>
          <w:rFonts w:ascii="Times New Roman" w:hAnsi="Times New Roman" w:cs="Times New Roman"/>
          <w:b/>
          <w:sz w:val="24"/>
          <w:szCs w:val="24"/>
        </w:rPr>
        <w:t>Table 1: Land Use Categories Used for the Upper Ocklawaha Basin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955"/>
        <w:gridCol w:w="5580"/>
      </w:tblGrid>
      <w:tr w:rsidR="00DA6EAD" w:rsidRPr="001B3A29" w:rsidTr="00DA6EAD">
        <w:trPr>
          <w:trHeight w:val="300"/>
        </w:trPr>
        <w:tc>
          <w:tcPr>
            <w:tcW w:w="3955" w:type="dxa"/>
            <w:shd w:val="clear" w:color="auto" w:fill="FBE4D5" w:themeFill="accent2" w:themeFillTint="33"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Harris Chain Land Use Category</w:t>
            </w:r>
          </w:p>
        </w:tc>
        <w:tc>
          <w:tcPr>
            <w:tcW w:w="5580" w:type="dxa"/>
            <w:shd w:val="clear" w:color="auto" w:fill="FBE4D5" w:themeFill="accent2" w:themeFillTint="33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DA6EAD" w:rsidRPr="001B3A29" w:rsidTr="00DA6EAD">
        <w:trPr>
          <w:trHeight w:val="285"/>
        </w:trPr>
        <w:tc>
          <w:tcPr>
            <w:tcW w:w="3955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Land Use - High</w:t>
            </w:r>
          </w:p>
        </w:tc>
        <w:tc>
          <w:tcPr>
            <w:tcW w:w="5580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High density residential, high density commercial, and industrial.</w:t>
            </w:r>
          </w:p>
        </w:tc>
      </w:tr>
      <w:tr w:rsidR="00DA6EAD" w:rsidRPr="001B3A29" w:rsidTr="001B3A29">
        <w:trPr>
          <w:trHeight w:val="377"/>
        </w:trPr>
        <w:tc>
          <w:tcPr>
            <w:tcW w:w="3955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Land Use - Medium</w:t>
            </w:r>
          </w:p>
        </w:tc>
        <w:tc>
          <w:tcPr>
            <w:tcW w:w="5580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Medium density residential and low density commercial</w:t>
            </w:r>
          </w:p>
        </w:tc>
      </w:tr>
      <w:tr w:rsidR="00DA6EAD" w:rsidRPr="001B3A29" w:rsidTr="00DA6EAD">
        <w:trPr>
          <w:trHeight w:val="285"/>
        </w:trPr>
        <w:tc>
          <w:tcPr>
            <w:tcW w:w="3955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Land Use - Low</w:t>
            </w:r>
          </w:p>
        </w:tc>
        <w:tc>
          <w:tcPr>
            <w:tcW w:w="5580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Low density residential, mining, </w:t>
            </w:r>
            <w:proofErr w:type="spellStart"/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sprayfields</w:t>
            </w:r>
            <w:proofErr w:type="spellEnd"/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, and open land/recreation</w:t>
            </w:r>
          </w:p>
        </w:tc>
      </w:tr>
      <w:tr w:rsidR="00DA6EAD" w:rsidRPr="001B3A29" w:rsidTr="00DA6EAD">
        <w:trPr>
          <w:trHeight w:val="180"/>
        </w:trPr>
        <w:tc>
          <w:tcPr>
            <w:tcW w:w="9535" w:type="dxa"/>
            <w:gridSpan w:val="2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EAD" w:rsidRPr="001B3A29" w:rsidTr="00DA6EAD">
        <w:trPr>
          <w:trHeight w:val="300"/>
        </w:trPr>
        <w:tc>
          <w:tcPr>
            <w:tcW w:w="3955" w:type="dxa"/>
            <w:shd w:val="clear" w:color="auto" w:fill="DEEAF6" w:themeFill="accent1" w:themeFillTint="33"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3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Palatlakaha</w:t>
            </w:r>
            <w:proofErr w:type="spellEnd"/>
            <w:r w:rsidRPr="001B3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River Land Use Category</w:t>
            </w:r>
          </w:p>
        </w:tc>
        <w:tc>
          <w:tcPr>
            <w:tcW w:w="5580" w:type="dxa"/>
            <w:shd w:val="clear" w:color="auto" w:fill="DEEAF6" w:themeFill="accent1" w:themeFillTint="33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DA6EAD" w:rsidRPr="001B3A29" w:rsidTr="00DA6EAD">
        <w:trPr>
          <w:trHeight w:val="285"/>
        </w:trPr>
        <w:tc>
          <w:tcPr>
            <w:tcW w:w="3955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Land Use - High</w:t>
            </w:r>
          </w:p>
        </w:tc>
        <w:tc>
          <w:tcPr>
            <w:tcW w:w="5580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High density residential</w:t>
            </w:r>
          </w:p>
        </w:tc>
      </w:tr>
      <w:tr w:rsidR="00DA6EAD" w:rsidRPr="001B3A29" w:rsidTr="00DA6EAD">
        <w:trPr>
          <w:trHeight w:val="285"/>
        </w:trPr>
        <w:tc>
          <w:tcPr>
            <w:tcW w:w="3955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Land Use - Medium</w:t>
            </w:r>
          </w:p>
        </w:tc>
        <w:tc>
          <w:tcPr>
            <w:tcW w:w="5580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Medium density residential and transportation</w:t>
            </w:r>
          </w:p>
        </w:tc>
      </w:tr>
      <w:tr w:rsidR="00DA6EAD" w:rsidRPr="001B3A29" w:rsidTr="00DA6EAD">
        <w:trPr>
          <w:trHeight w:val="285"/>
        </w:trPr>
        <w:tc>
          <w:tcPr>
            <w:tcW w:w="3955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Developed Land Use - Low</w:t>
            </w:r>
          </w:p>
        </w:tc>
        <w:tc>
          <w:tcPr>
            <w:tcW w:w="5580" w:type="dxa"/>
            <w:noWrap/>
            <w:hideMark/>
          </w:tcPr>
          <w:p w:rsidR="00DA6EAD" w:rsidRPr="001B3A29" w:rsidRDefault="00DA6EAD" w:rsidP="00DA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A29">
              <w:rPr>
                <w:rFonts w:ascii="Times New Roman" w:eastAsia="Times New Roman" w:hAnsi="Times New Roman" w:cs="Times New Roman"/>
                <w:sz w:val="24"/>
                <w:szCs w:val="24"/>
              </w:rPr>
              <w:t>Urban open and low density residential</w:t>
            </w:r>
          </w:p>
        </w:tc>
      </w:tr>
    </w:tbl>
    <w:p w:rsidR="00DA6EAD" w:rsidRPr="001B3A29" w:rsidRDefault="00DA6EAD" w:rsidP="00F57DC5">
      <w:pPr>
        <w:rPr>
          <w:rFonts w:ascii="Times New Roman" w:hAnsi="Times New Roman" w:cs="Times New Roman"/>
          <w:sz w:val="24"/>
          <w:szCs w:val="24"/>
        </w:rPr>
      </w:pPr>
    </w:p>
    <w:p w:rsidR="00F57DC5" w:rsidRDefault="0013502B" w:rsidP="00F57D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F57DC5">
        <w:rPr>
          <w:rFonts w:ascii="Times New Roman" w:hAnsi="Times New Roman" w:cs="Times New Roman"/>
          <w:sz w:val="24"/>
          <w:szCs w:val="24"/>
        </w:rPr>
        <w:t xml:space="preserve"> Newnans Lake </w:t>
      </w:r>
      <w:r w:rsidR="008F54D8">
        <w:rPr>
          <w:rFonts w:ascii="Times New Roman" w:hAnsi="Times New Roman" w:cs="Times New Roman"/>
          <w:sz w:val="24"/>
          <w:szCs w:val="24"/>
        </w:rPr>
        <w:t xml:space="preserve">and Orange Lake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="008F54D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4D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simpler than the Harris Chain</w:t>
      </w:r>
      <w:r w:rsidR="008E17D7">
        <w:rPr>
          <w:rFonts w:ascii="Times New Roman" w:hAnsi="Times New Roman" w:cs="Times New Roman"/>
          <w:sz w:val="24"/>
          <w:szCs w:val="24"/>
        </w:rPr>
        <w:t xml:space="preserve">; </w:t>
      </w:r>
      <w:r w:rsidR="00F57DC5">
        <w:rPr>
          <w:rFonts w:ascii="Times New Roman" w:hAnsi="Times New Roman" w:cs="Times New Roman"/>
          <w:sz w:val="24"/>
          <w:szCs w:val="24"/>
        </w:rPr>
        <w:t xml:space="preserve">there are only five developed land uses included in </w:t>
      </w:r>
      <w:r w:rsidR="008F54D8">
        <w:rPr>
          <w:rFonts w:ascii="Times New Roman" w:hAnsi="Times New Roman" w:cs="Times New Roman"/>
          <w:sz w:val="24"/>
          <w:szCs w:val="24"/>
        </w:rPr>
        <w:t>them</w:t>
      </w:r>
      <w:r w:rsidR="00F57DC5">
        <w:rPr>
          <w:rFonts w:ascii="Times New Roman" w:hAnsi="Times New Roman" w:cs="Times New Roman"/>
          <w:sz w:val="24"/>
          <w:szCs w:val="24"/>
        </w:rPr>
        <w:t xml:space="preserve">.  These </w:t>
      </w:r>
      <w:r w:rsidR="008E17D7">
        <w:rPr>
          <w:rFonts w:ascii="Times New Roman" w:hAnsi="Times New Roman" w:cs="Times New Roman"/>
          <w:sz w:val="24"/>
          <w:szCs w:val="24"/>
        </w:rPr>
        <w:t xml:space="preserve">land uses </w:t>
      </w:r>
      <w:r w:rsidR="00F57DC5">
        <w:rPr>
          <w:rFonts w:ascii="Times New Roman" w:hAnsi="Times New Roman" w:cs="Times New Roman"/>
          <w:sz w:val="24"/>
          <w:szCs w:val="24"/>
        </w:rPr>
        <w:t>could be aggregated as:</w:t>
      </w:r>
    </w:p>
    <w:p w:rsidR="00F57DC5" w:rsidRPr="001B3A29" w:rsidRDefault="00F57DC5" w:rsidP="001B3A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B3A29">
        <w:rPr>
          <w:rFonts w:ascii="Times New Roman" w:hAnsi="Times New Roman" w:cs="Times New Roman"/>
          <w:sz w:val="24"/>
          <w:szCs w:val="24"/>
        </w:rPr>
        <w:t>Developed Land Use – High which include</w:t>
      </w:r>
      <w:r w:rsidR="0013502B" w:rsidRPr="001B3A29">
        <w:rPr>
          <w:rFonts w:ascii="Times New Roman" w:hAnsi="Times New Roman" w:cs="Times New Roman"/>
          <w:sz w:val="24"/>
          <w:szCs w:val="24"/>
        </w:rPr>
        <w:t>s</w:t>
      </w:r>
      <w:r w:rsidRPr="001B3A29">
        <w:rPr>
          <w:rFonts w:ascii="Times New Roman" w:hAnsi="Times New Roman" w:cs="Times New Roman"/>
          <w:sz w:val="24"/>
          <w:szCs w:val="24"/>
        </w:rPr>
        <w:t xml:space="preserve"> high density residential</w:t>
      </w:r>
      <w:r w:rsidR="0013502B" w:rsidRPr="001B3A29">
        <w:rPr>
          <w:rFonts w:ascii="Times New Roman" w:hAnsi="Times New Roman" w:cs="Times New Roman"/>
          <w:sz w:val="24"/>
          <w:szCs w:val="24"/>
        </w:rPr>
        <w:t>.</w:t>
      </w:r>
    </w:p>
    <w:p w:rsidR="00F57DC5" w:rsidRPr="001B3A29" w:rsidRDefault="00F57DC5" w:rsidP="001B3A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B3A29">
        <w:rPr>
          <w:rFonts w:ascii="Times New Roman" w:hAnsi="Times New Roman" w:cs="Times New Roman"/>
          <w:sz w:val="24"/>
          <w:szCs w:val="24"/>
        </w:rPr>
        <w:t>Developed Land Use – Medium which includes medium density residential</w:t>
      </w:r>
      <w:r w:rsidR="0013502B" w:rsidRPr="001B3A29">
        <w:rPr>
          <w:rFonts w:ascii="Times New Roman" w:hAnsi="Times New Roman" w:cs="Times New Roman"/>
          <w:sz w:val="24"/>
          <w:szCs w:val="24"/>
        </w:rPr>
        <w:t xml:space="preserve"> +</w:t>
      </w:r>
      <w:r w:rsidR="00AE0071" w:rsidRPr="001B3A29">
        <w:rPr>
          <w:rFonts w:ascii="Times New Roman" w:hAnsi="Times New Roman" w:cs="Times New Roman"/>
          <w:sz w:val="24"/>
          <w:szCs w:val="24"/>
        </w:rPr>
        <w:t xml:space="preserve"> communication/</w:t>
      </w:r>
      <w:r w:rsidR="0013502B" w:rsidRPr="001B3A29">
        <w:rPr>
          <w:rFonts w:ascii="Times New Roman" w:hAnsi="Times New Roman" w:cs="Times New Roman"/>
          <w:sz w:val="24"/>
          <w:szCs w:val="24"/>
        </w:rPr>
        <w:t>transportation.</w:t>
      </w:r>
    </w:p>
    <w:p w:rsidR="00F57DC5" w:rsidRPr="001B3A29" w:rsidRDefault="00F57DC5" w:rsidP="001B3A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B3A29">
        <w:rPr>
          <w:rFonts w:ascii="Times New Roman" w:hAnsi="Times New Roman" w:cs="Times New Roman"/>
          <w:sz w:val="24"/>
          <w:szCs w:val="24"/>
        </w:rPr>
        <w:t>Developed Land Use – Low which includes low density residential</w:t>
      </w:r>
      <w:r w:rsidR="0013502B" w:rsidRPr="001B3A29">
        <w:rPr>
          <w:rFonts w:ascii="Times New Roman" w:hAnsi="Times New Roman" w:cs="Times New Roman"/>
          <w:sz w:val="24"/>
          <w:szCs w:val="24"/>
        </w:rPr>
        <w:t xml:space="preserve"> + urban open.</w:t>
      </w:r>
    </w:p>
    <w:p w:rsidR="0013502B" w:rsidRDefault="0013502B" w:rsidP="00F57DC5">
      <w:pPr>
        <w:rPr>
          <w:rFonts w:ascii="Times New Roman" w:hAnsi="Times New Roman" w:cs="Times New Roman"/>
          <w:sz w:val="24"/>
          <w:szCs w:val="24"/>
        </w:rPr>
      </w:pPr>
      <w:r w:rsidRPr="00CC50C4">
        <w:rPr>
          <w:rFonts w:ascii="Times New Roman" w:hAnsi="Times New Roman" w:cs="Times New Roman"/>
          <w:b/>
          <w:sz w:val="24"/>
          <w:szCs w:val="24"/>
        </w:rPr>
        <w:t>O</w:t>
      </w:r>
      <w:r w:rsidR="00CC50C4" w:rsidRPr="00CC50C4">
        <w:rPr>
          <w:rFonts w:ascii="Times New Roman" w:hAnsi="Times New Roman" w:cs="Times New Roman"/>
          <w:b/>
          <w:sz w:val="24"/>
          <w:szCs w:val="24"/>
        </w:rPr>
        <w:t>r,</w:t>
      </w:r>
      <w:r w:rsidR="00CC50C4">
        <w:rPr>
          <w:rFonts w:ascii="Times New Roman" w:hAnsi="Times New Roman" w:cs="Times New Roman"/>
          <w:sz w:val="24"/>
          <w:szCs w:val="24"/>
        </w:rPr>
        <w:t xml:space="preserve"> </w:t>
      </w:r>
      <w:r w:rsidR="008F54D8">
        <w:rPr>
          <w:rFonts w:ascii="Times New Roman" w:hAnsi="Times New Roman" w:cs="Times New Roman"/>
          <w:sz w:val="24"/>
          <w:szCs w:val="24"/>
        </w:rPr>
        <w:t xml:space="preserve">the non-aggregated approach where </w:t>
      </w:r>
      <w:r w:rsidR="00CC50C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ll five </w:t>
      </w:r>
      <w:r w:rsidR="008F54D8">
        <w:rPr>
          <w:rFonts w:ascii="Times New Roman" w:hAnsi="Times New Roman" w:cs="Times New Roman"/>
          <w:sz w:val="24"/>
          <w:szCs w:val="24"/>
        </w:rPr>
        <w:t xml:space="preserve">modeled </w:t>
      </w:r>
      <w:r>
        <w:rPr>
          <w:rFonts w:ascii="Times New Roman" w:hAnsi="Times New Roman" w:cs="Times New Roman"/>
          <w:sz w:val="24"/>
          <w:szCs w:val="24"/>
        </w:rPr>
        <w:t xml:space="preserve">land uses </w:t>
      </w:r>
      <w:r w:rsidR="008F54D8">
        <w:rPr>
          <w:rFonts w:ascii="Times New Roman" w:hAnsi="Times New Roman" w:cs="Times New Roman"/>
          <w:sz w:val="24"/>
          <w:szCs w:val="24"/>
        </w:rPr>
        <w:t>would be kept as separate developed land use categories (</w:t>
      </w:r>
      <w:r>
        <w:rPr>
          <w:rFonts w:ascii="Times New Roman" w:hAnsi="Times New Roman" w:cs="Times New Roman"/>
          <w:sz w:val="24"/>
          <w:szCs w:val="24"/>
        </w:rPr>
        <w:t>five categories instead of three</w:t>
      </w:r>
      <w:r w:rsidR="008F54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4706DC">
        <w:rPr>
          <w:rFonts w:ascii="Times New Roman" w:hAnsi="Times New Roman" w:cs="Times New Roman"/>
          <w:sz w:val="24"/>
          <w:szCs w:val="24"/>
        </w:rPr>
        <w:t xml:space="preserve">This is the recommended approach.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CC50C4">
        <w:rPr>
          <w:rFonts w:ascii="Times New Roman" w:hAnsi="Times New Roman" w:cs="Times New Roman"/>
          <w:sz w:val="24"/>
          <w:szCs w:val="24"/>
        </w:rPr>
        <w:t xml:space="preserve"> following developed land uses </w:t>
      </w:r>
      <w:r w:rsidR="008F54D8">
        <w:rPr>
          <w:rFonts w:ascii="Times New Roman" w:hAnsi="Times New Roman" w:cs="Times New Roman"/>
          <w:sz w:val="24"/>
          <w:szCs w:val="24"/>
        </w:rPr>
        <w:t xml:space="preserve">would be used </w:t>
      </w:r>
      <w:r w:rsidR="008E17D7">
        <w:rPr>
          <w:rFonts w:ascii="Times New Roman" w:hAnsi="Times New Roman" w:cs="Times New Roman"/>
          <w:sz w:val="24"/>
          <w:szCs w:val="24"/>
        </w:rPr>
        <w:t>for distributing loading</w:t>
      </w:r>
      <w:r w:rsidR="008F54D8">
        <w:rPr>
          <w:rFonts w:ascii="Times New Roman" w:hAnsi="Times New Roman" w:cs="Times New Roman"/>
          <w:sz w:val="24"/>
          <w:szCs w:val="24"/>
        </w:rPr>
        <w:t>:</w:t>
      </w:r>
    </w:p>
    <w:p w:rsidR="0013502B" w:rsidRPr="001B3A29" w:rsidRDefault="00CC50C4" w:rsidP="001B3A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B3A29">
        <w:rPr>
          <w:rFonts w:ascii="Times New Roman" w:hAnsi="Times New Roman" w:cs="Times New Roman"/>
          <w:sz w:val="24"/>
          <w:szCs w:val="24"/>
        </w:rPr>
        <w:t>Urban Open</w:t>
      </w:r>
    </w:p>
    <w:p w:rsidR="00CC50C4" w:rsidRPr="001B3A29" w:rsidRDefault="00CC50C4" w:rsidP="001B3A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B3A29">
        <w:rPr>
          <w:rFonts w:ascii="Times New Roman" w:hAnsi="Times New Roman" w:cs="Times New Roman"/>
          <w:sz w:val="24"/>
          <w:szCs w:val="24"/>
        </w:rPr>
        <w:t>Low Density Residential</w:t>
      </w:r>
    </w:p>
    <w:p w:rsidR="00CC50C4" w:rsidRPr="001B3A29" w:rsidRDefault="00CC50C4" w:rsidP="001B3A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B3A29">
        <w:rPr>
          <w:rFonts w:ascii="Times New Roman" w:hAnsi="Times New Roman" w:cs="Times New Roman"/>
          <w:sz w:val="24"/>
          <w:szCs w:val="24"/>
        </w:rPr>
        <w:t>Medium Density Residential</w:t>
      </w:r>
    </w:p>
    <w:p w:rsidR="00CC50C4" w:rsidRPr="001B3A29" w:rsidRDefault="00CC50C4" w:rsidP="001B3A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B3A29">
        <w:rPr>
          <w:rFonts w:ascii="Times New Roman" w:hAnsi="Times New Roman" w:cs="Times New Roman"/>
          <w:sz w:val="24"/>
          <w:szCs w:val="24"/>
        </w:rPr>
        <w:t>High Density Residential</w:t>
      </w:r>
    </w:p>
    <w:p w:rsidR="00CC50C4" w:rsidRPr="001B3A29" w:rsidRDefault="00CC50C4" w:rsidP="001B3A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B3A29">
        <w:rPr>
          <w:rFonts w:ascii="Times New Roman" w:hAnsi="Times New Roman" w:cs="Times New Roman"/>
          <w:sz w:val="24"/>
          <w:szCs w:val="24"/>
        </w:rPr>
        <w:t>Communication and Transportation</w:t>
      </w:r>
    </w:p>
    <w:p w:rsidR="001C6FD0" w:rsidRDefault="001C6F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0071" w:rsidRPr="00AE0071" w:rsidRDefault="00AE007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007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Lake </w:t>
      </w:r>
      <w:r w:rsidR="00DA6EAD">
        <w:rPr>
          <w:rFonts w:ascii="Times New Roman" w:hAnsi="Times New Roman" w:cs="Times New Roman"/>
          <w:b/>
          <w:sz w:val="24"/>
          <w:szCs w:val="24"/>
          <w:u w:val="single"/>
        </w:rPr>
        <w:t xml:space="preserve">Basin </w:t>
      </w:r>
      <w:r w:rsidRPr="00AE0071">
        <w:rPr>
          <w:rFonts w:ascii="Times New Roman" w:hAnsi="Times New Roman" w:cs="Times New Roman"/>
          <w:b/>
          <w:sz w:val="24"/>
          <w:szCs w:val="24"/>
          <w:u w:val="single"/>
        </w:rPr>
        <w:t>Boundar</w:t>
      </w:r>
      <w:r w:rsidR="00760F41">
        <w:rPr>
          <w:rFonts w:ascii="Times New Roman" w:hAnsi="Times New Roman" w:cs="Times New Roman"/>
          <w:b/>
          <w:sz w:val="24"/>
          <w:szCs w:val="24"/>
          <w:u w:val="single"/>
        </w:rPr>
        <w:t>ies</w:t>
      </w:r>
    </w:p>
    <w:p w:rsidR="00E372C6" w:rsidRDefault="00760F41" w:rsidP="00E37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AE0071">
        <w:rPr>
          <w:rFonts w:ascii="Times New Roman" w:hAnsi="Times New Roman" w:cs="Times New Roman"/>
          <w:sz w:val="24"/>
          <w:szCs w:val="24"/>
        </w:rPr>
        <w:t xml:space="preserve">igure </w:t>
      </w:r>
      <w:r w:rsidR="00E372C6">
        <w:rPr>
          <w:rFonts w:ascii="Times New Roman" w:hAnsi="Times New Roman" w:cs="Times New Roman"/>
          <w:sz w:val="24"/>
          <w:szCs w:val="24"/>
        </w:rPr>
        <w:t xml:space="preserve">1 </w:t>
      </w:r>
      <w:r w:rsidR="009F6E4C">
        <w:rPr>
          <w:rFonts w:ascii="Times New Roman" w:hAnsi="Times New Roman" w:cs="Times New Roman"/>
          <w:sz w:val="24"/>
          <w:szCs w:val="24"/>
        </w:rPr>
        <w:t xml:space="preserve">and Figure 2 </w:t>
      </w:r>
      <w:r w:rsidR="00AE0071">
        <w:rPr>
          <w:rFonts w:ascii="Times New Roman" w:hAnsi="Times New Roman" w:cs="Times New Roman"/>
          <w:sz w:val="24"/>
          <w:szCs w:val="24"/>
        </w:rPr>
        <w:t xml:space="preserve">depict the </w:t>
      </w:r>
      <w:r>
        <w:rPr>
          <w:rFonts w:ascii="Times New Roman" w:hAnsi="Times New Roman" w:cs="Times New Roman"/>
          <w:sz w:val="24"/>
          <w:szCs w:val="24"/>
        </w:rPr>
        <w:t>individual lake basins de</w:t>
      </w:r>
      <w:r w:rsidR="001B3A29">
        <w:rPr>
          <w:rFonts w:ascii="Times New Roman" w:hAnsi="Times New Roman" w:cs="Times New Roman"/>
          <w:sz w:val="24"/>
          <w:szCs w:val="24"/>
        </w:rPr>
        <w:t xml:space="preserve">lineated for TMDL development. </w:t>
      </w:r>
      <w:r>
        <w:rPr>
          <w:rFonts w:ascii="Times New Roman" w:hAnsi="Times New Roman" w:cs="Times New Roman"/>
          <w:sz w:val="24"/>
          <w:szCs w:val="24"/>
        </w:rPr>
        <w:t xml:space="preserve">The lower part of Newnans Lake basin was not included in the </w:t>
      </w:r>
      <w:r w:rsidR="00446A90">
        <w:rPr>
          <w:rFonts w:ascii="Times New Roman" w:hAnsi="Times New Roman" w:cs="Times New Roman"/>
          <w:sz w:val="24"/>
          <w:szCs w:val="24"/>
        </w:rPr>
        <w:t xml:space="preserve">Newnans Lake </w:t>
      </w:r>
      <w:r>
        <w:rPr>
          <w:rFonts w:ascii="Times New Roman" w:hAnsi="Times New Roman" w:cs="Times New Roman"/>
          <w:sz w:val="24"/>
          <w:szCs w:val="24"/>
        </w:rPr>
        <w:t>TMDL (shaded in dark orange).</w:t>
      </w:r>
      <w:r w:rsidR="00446A90">
        <w:rPr>
          <w:rFonts w:ascii="Times New Roman" w:hAnsi="Times New Roman" w:cs="Times New Roman"/>
          <w:sz w:val="24"/>
          <w:szCs w:val="24"/>
        </w:rPr>
        <w:t xml:space="preserve"> That portion of Newnans Lake was </w:t>
      </w:r>
      <w:r w:rsidR="00365CD9">
        <w:rPr>
          <w:rFonts w:ascii="Times New Roman" w:hAnsi="Times New Roman" w:cs="Times New Roman"/>
          <w:sz w:val="24"/>
          <w:szCs w:val="24"/>
        </w:rPr>
        <w:t>considered part of the</w:t>
      </w:r>
      <w:r w:rsidR="00446A90">
        <w:rPr>
          <w:rFonts w:ascii="Times New Roman" w:hAnsi="Times New Roman" w:cs="Times New Roman"/>
          <w:sz w:val="24"/>
          <w:szCs w:val="24"/>
        </w:rPr>
        <w:t xml:space="preserve"> Orange Lake </w:t>
      </w:r>
      <w:r w:rsidR="00365CD9">
        <w:rPr>
          <w:rFonts w:ascii="Times New Roman" w:hAnsi="Times New Roman" w:cs="Times New Roman"/>
          <w:sz w:val="24"/>
          <w:szCs w:val="24"/>
        </w:rPr>
        <w:t>Basin for TMDL modeling purposes.</w:t>
      </w:r>
      <w:r w:rsidR="00446A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2C6">
        <w:rPr>
          <w:rFonts w:ascii="Times New Roman" w:hAnsi="Times New Roman" w:cs="Times New Roman"/>
          <w:sz w:val="24"/>
          <w:szCs w:val="24"/>
        </w:rPr>
        <w:t xml:space="preserve">The </w:t>
      </w:r>
      <w:r w:rsidR="00365CD9">
        <w:rPr>
          <w:rFonts w:ascii="Times New Roman" w:hAnsi="Times New Roman" w:cs="Times New Roman"/>
          <w:sz w:val="24"/>
          <w:szCs w:val="24"/>
        </w:rPr>
        <w:t xml:space="preserve">lake basin </w:t>
      </w:r>
      <w:r w:rsidR="00E372C6">
        <w:rPr>
          <w:rFonts w:ascii="Times New Roman" w:hAnsi="Times New Roman" w:cs="Times New Roman"/>
          <w:sz w:val="24"/>
          <w:szCs w:val="24"/>
        </w:rPr>
        <w:t xml:space="preserve">dividing line appears to </w:t>
      </w:r>
      <w:r>
        <w:rPr>
          <w:rFonts w:ascii="Times New Roman" w:hAnsi="Times New Roman" w:cs="Times New Roman"/>
          <w:sz w:val="24"/>
          <w:szCs w:val="24"/>
        </w:rPr>
        <w:t xml:space="preserve">be SR 20 with one </w:t>
      </w:r>
      <w:r w:rsidR="00E372C6">
        <w:rPr>
          <w:rFonts w:ascii="Times New Roman" w:hAnsi="Times New Roman" w:cs="Times New Roman"/>
          <w:sz w:val="24"/>
          <w:szCs w:val="24"/>
        </w:rPr>
        <w:t xml:space="preserve">excursion to the north. </w:t>
      </w:r>
      <w:r w:rsidR="00446A90">
        <w:rPr>
          <w:rFonts w:ascii="Times New Roman" w:hAnsi="Times New Roman" w:cs="Times New Roman"/>
          <w:sz w:val="24"/>
          <w:szCs w:val="24"/>
        </w:rPr>
        <w:t xml:space="preserve">The Orange Lake delineation follows the basin boundary delineated by SJRWMD.  There is a portion of the Camps Canal drainage as well as the northern portion of the Orange Lake Basin that were not explicitly modeled in the Orange Lake TMDL. </w:t>
      </w:r>
      <w:r w:rsidR="00C534A9">
        <w:rPr>
          <w:rFonts w:ascii="Times New Roman" w:hAnsi="Times New Roman" w:cs="Times New Roman"/>
          <w:sz w:val="24"/>
          <w:szCs w:val="24"/>
        </w:rPr>
        <w:t xml:space="preserve"> Loading for this area was input directly from Camps Canal.  </w:t>
      </w:r>
      <w:r w:rsidR="00446A90">
        <w:rPr>
          <w:rFonts w:ascii="Times New Roman" w:hAnsi="Times New Roman" w:cs="Times New Roman"/>
          <w:sz w:val="24"/>
          <w:szCs w:val="24"/>
        </w:rPr>
        <w:t xml:space="preserve">This is the area shaded in dark orange.  </w:t>
      </w:r>
      <w:r w:rsidR="001B3A29">
        <w:rPr>
          <w:rFonts w:ascii="Times New Roman" w:hAnsi="Times New Roman" w:cs="Times New Roman"/>
          <w:sz w:val="24"/>
          <w:szCs w:val="24"/>
        </w:rPr>
        <w:t xml:space="preserve">Lochloosa Lake sub-basin and basin boundary were delineated by SJRWMD and it is those delineations that were used by DEP for the Lochloosa Lake TMDL (Figure 2).  </w:t>
      </w:r>
    </w:p>
    <w:p w:rsidR="00760F41" w:rsidRDefault="00C534A9" w:rsidP="00E37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97114" cy="5248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L_NL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t="2489" r="17308" b="2323"/>
                    <a:stretch/>
                  </pic:blipFill>
                  <pic:spPr bwMode="auto">
                    <a:xfrm>
                      <a:off x="0" y="0"/>
                      <a:ext cx="5805390" cy="5255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2C6" w:rsidRPr="001B3A29" w:rsidRDefault="00E372C6">
      <w:pPr>
        <w:rPr>
          <w:rFonts w:ascii="Times New Roman" w:hAnsi="Times New Roman" w:cs="Times New Roman"/>
          <w:b/>
          <w:sz w:val="24"/>
          <w:szCs w:val="24"/>
        </w:rPr>
      </w:pPr>
      <w:r w:rsidRPr="001B3A29">
        <w:rPr>
          <w:rFonts w:ascii="Times New Roman" w:hAnsi="Times New Roman" w:cs="Times New Roman"/>
          <w:b/>
          <w:sz w:val="24"/>
          <w:szCs w:val="24"/>
        </w:rPr>
        <w:t>Figure 1</w:t>
      </w:r>
      <w:r w:rsidR="001B3A29">
        <w:rPr>
          <w:rFonts w:ascii="Times New Roman" w:hAnsi="Times New Roman" w:cs="Times New Roman"/>
          <w:b/>
          <w:sz w:val="24"/>
          <w:szCs w:val="24"/>
        </w:rPr>
        <w:t>:</w:t>
      </w:r>
      <w:r w:rsidRPr="001B3A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230" w:rsidRPr="001B3A29">
        <w:rPr>
          <w:rFonts w:ascii="Times New Roman" w:hAnsi="Times New Roman" w:cs="Times New Roman"/>
          <w:b/>
          <w:sz w:val="24"/>
          <w:szCs w:val="24"/>
        </w:rPr>
        <w:t>Newnans</w:t>
      </w:r>
      <w:r w:rsidRPr="001B3A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F41" w:rsidRPr="001B3A29">
        <w:rPr>
          <w:rFonts w:ascii="Times New Roman" w:hAnsi="Times New Roman" w:cs="Times New Roman"/>
          <w:b/>
          <w:sz w:val="24"/>
          <w:szCs w:val="24"/>
        </w:rPr>
        <w:t>Lake</w:t>
      </w:r>
      <w:r w:rsidR="00247230" w:rsidRPr="001B3A29">
        <w:rPr>
          <w:rFonts w:ascii="Times New Roman" w:hAnsi="Times New Roman" w:cs="Times New Roman"/>
          <w:b/>
          <w:sz w:val="24"/>
          <w:szCs w:val="24"/>
        </w:rPr>
        <w:t xml:space="preserve"> and Orange Lake Basin</w:t>
      </w:r>
      <w:r w:rsidR="00760F41" w:rsidRPr="001B3A29">
        <w:rPr>
          <w:rFonts w:ascii="Times New Roman" w:hAnsi="Times New Roman" w:cs="Times New Roman"/>
          <w:b/>
          <w:sz w:val="24"/>
          <w:szCs w:val="24"/>
        </w:rPr>
        <w:t xml:space="preserve"> Boundaries Used for TMDL Modeling</w:t>
      </w:r>
    </w:p>
    <w:p w:rsidR="00E372C6" w:rsidRDefault="00247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91175" cy="5103057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chl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" t="2281" r="17468" b="2323"/>
                    <a:stretch/>
                  </pic:blipFill>
                  <pic:spPr bwMode="auto">
                    <a:xfrm>
                      <a:off x="0" y="0"/>
                      <a:ext cx="5600958" cy="5111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7230" w:rsidRPr="001B3A29" w:rsidRDefault="00247230">
      <w:pPr>
        <w:rPr>
          <w:rFonts w:ascii="Times New Roman" w:hAnsi="Times New Roman" w:cs="Times New Roman"/>
          <w:b/>
          <w:sz w:val="24"/>
          <w:szCs w:val="24"/>
        </w:rPr>
      </w:pPr>
      <w:r w:rsidRPr="001B3A29">
        <w:rPr>
          <w:rFonts w:ascii="Times New Roman" w:hAnsi="Times New Roman" w:cs="Times New Roman"/>
          <w:b/>
          <w:sz w:val="24"/>
          <w:szCs w:val="24"/>
        </w:rPr>
        <w:t>Figure 2</w:t>
      </w:r>
      <w:r w:rsidR="001B3A29">
        <w:rPr>
          <w:rFonts w:ascii="Times New Roman" w:hAnsi="Times New Roman" w:cs="Times New Roman"/>
          <w:b/>
          <w:sz w:val="24"/>
          <w:szCs w:val="24"/>
        </w:rPr>
        <w:t>:</w:t>
      </w:r>
      <w:r w:rsidRPr="001B3A29">
        <w:rPr>
          <w:rFonts w:ascii="Times New Roman" w:hAnsi="Times New Roman" w:cs="Times New Roman"/>
          <w:b/>
          <w:sz w:val="24"/>
          <w:szCs w:val="24"/>
        </w:rPr>
        <w:t xml:space="preserve"> Lochloosa Lake Basin Boundary Used for TMDL Modeling</w:t>
      </w:r>
    </w:p>
    <w:p w:rsidR="00F57DC5" w:rsidRDefault="00AE00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Overlaid on </w:t>
      </w:r>
      <w:r w:rsidR="009B582F">
        <w:rPr>
          <w:rFonts w:ascii="Times New Roman" w:hAnsi="Times New Roman" w:cs="Times New Roman"/>
          <w:sz w:val="24"/>
          <w:szCs w:val="24"/>
        </w:rPr>
        <w:t>F</w:t>
      </w:r>
      <w:r w:rsidR="00AB3C99">
        <w:rPr>
          <w:rFonts w:ascii="Times New Roman" w:hAnsi="Times New Roman" w:cs="Times New Roman"/>
          <w:sz w:val="24"/>
          <w:szCs w:val="24"/>
        </w:rPr>
        <w:t xml:space="preserve">igure </w:t>
      </w:r>
      <w:r w:rsidR="009B582F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is the basin boundary used by SJRWMD</w:t>
      </w:r>
      <w:r w:rsidR="00AB3C99">
        <w:rPr>
          <w:rFonts w:ascii="Times New Roman" w:hAnsi="Times New Roman" w:cs="Times New Roman"/>
          <w:sz w:val="24"/>
          <w:szCs w:val="24"/>
        </w:rPr>
        <w:t xml:space="preserve"> for Newnans Lake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1C6FD0">
        <w:rPr>
          <w:rFonts w:ascii="Times New Roman" w:hAnsi="Times New Roman" w:cs="Times New Roman"/>
          <w:sz w:val="24"/>
          <w:szCs w:val="24"/>
        </w:rPr>
        <w:t>The DEP and SJRWMD basin delineations are c</w:t>
      </w:r>
      <w:r>
        <w:rPr>
          <w:rFonts w:ascii="Times New Roman" w:hAnsi="Times New Roman" w:cs="Times New Roman"/>
          <w:sz w:val="24"/>
          <w:szCs w:val="24"/>
        </w:rPr>
        <w:t>lose in area and location of boundary</w:t>
      </w:r>
      <w:r w:rsidR="0077675B">
        <w:rPr>
          <w:rFonts w:ascii="Times New Roman" w:hAnsi="Times New Roman" w:cs="Times New Roman"/>
          <w:sz w:val="24"/>
          <w:szCs w:val="24"/>
        </w:rPr>
        <w:t xml:space="preserve"> with the exception of the boundary with the Hogtown Creek Basin</w:t>
      </w:r>
      <w:r w:rsidR="00C534A9">
        <w:rPr>
          <w:rFonts w:ascii="Times New Roman" w:hAnsi="Times New Roman" w:cs="Times New Roman"/>
          <w:sz w:val="24"/>
          <w:szCs w:val="24"/>
        </w:rPr>
        <w:t xml:space="preserve"> and Waldo Canals</w:t>
      </w:r>
      <w:r w:rsidR="00A75FC4">
        <w:rPr>
          <w:rFonts w:ascii="Times New Roman" w:hAnsi="Times New Roman" w:cs="Times New Roman"/>
          <w:sz w:val="24"/>
          <w:szCs w:val="24"/>
        </w:rPr>
        <w:t xml:space="preserve">. </w:t>
      </w:r>
      <w:r w:rsidR="009F6E4C">
        <w:rPr>
          <w:rFonts w:ascii="Times New Roman" w:hAnsi="Times New Roman" w:cs="Times New Roman"/>
          <w:sz w:val="24"/>
          <w:szCs w:val="24"/>
        </w:rPr>
        <w:t xml:space="preserve">The </w:t>
      </w:r>
      <w:r w:rsidR="00365CD9">
        <w:rPr>
          <w:rFonts w:ascii="Times New Roman" w:hAnsi="Times New Roman" w:cs="Times New Roman"/>
          <w:sz w:val="24"/>
          <w:szCs w:val="24"/>
        </w:rPr>
        <w:t>Newnans Lake B</w:t>
      </w:r>
      <w:r w:rsidR="009F6E4C">
        <w:rPr>
          <w:rFonts w:ascii="Times New Roman" w:hAnsi="Times New Roman" w:cs="Times New Roman"/>
          <w:sz w:val="24"/>
          <w:szCs w:val="24"/>
        </w:rPr>
        <w:t>asin boundary delineated by SJRWMD is aligned with Lochloosa Lake and Orange Lake whereas the DEP delineated boundary leaves small gaps between Newnans Lake and Lochloosa Lake</w:t>
      </w:r>
      <w:r w:rsidR="009B582F">
        <w:rPr>
          <w:rFonts w:ascii="Times New Roman" w:hAnsi="Times New Roman" w:cs="Times New Roman"/>
          <w:sz w:val="24"/>
          <w:szCs w:val="24"/>
        </w:rPr>
        <w:t xml:space="preserve"> (Figure 3)</w:t>
      </w:r>
      <w:r w:rsidR="009F6E4C">
        <w:rPr>
          <w:rFonts w:ascii="Times New Roman" w:hAnsi="Times New Roman" w:cs="Times New Roman"/>
          <w:sz w:val="24"/>
          <w:szCs w:val="24"/>
        </w:rPr>
        <w:t xml:space="preserve">. </w:t>
      </w:r>
      <w:r w:rsidR="00365CD9">
        <w:rPr>
          <w:rFonts w:ascii="Times New Roman" w:hAnsi="Times New Roman" w:cs="Times New Roman"/>
          <w:sz w:val="24"/>
          <w:szCs w:val="24"/>
        </w:rPr>
        <w:t xml:space="preserve"> This was most likely the result of different resolution maps used </w:t>
      </w:r>
      <w:r w:rsidR="00C534A9">
        <w:rPr>
          <w:rFonts w:ascii="Times New Roman" w:hAnsi="Times New Roman" w:cs="Times New Roman"/>
          <w:sz w:val="24"/>
          <w:szCs w:val="24"/>
        </w:rPr>
        <w:t xml:space="preserve">by the respective agency </w:t>
      </w:r>
      <w:r w:rsidR="00365CD9">
        <w:rPr>
          <w:rFonts w:ascii="Times New Roman" w:hAnsi="Times New Roman" w:cs="Times New Roman"/>
          <w:sz w:val="24"/>
          <w:szCs w:val="24"/>
        </w:rPr>
        <w:t xml:space="preserve">for defining the boundary. </w:t>
      </w:r>
      <w:r w:rsidR="009F6E4C">
        <w:rPr>
          <w:rFonts w:ascii="Times New Roman" w:hAnsi="Times New Roman" w:cs="Times New Roman"/>
          <w:sz w:val="24"/>
          <w:szCs w:val="24"/>
        </w:rPr>
        <w:t xml:space="preserve"> I recommend we use the SJRWMD boundary for apportioning of loading reductions</w:t>
      </w:r>
      <w:r w:rsidR="00247230">
        <w:rPr>
          <w:rFonts w:ascii="Times New Roman" w:hAnsi="Times New Roman" w:cs="Times New Roman"/>
          <w:sz w:val="24"/>
          <w:szCs w:val="24"/>
        </w:rPr>
        <w:t>, because it will allow the subsequent GIS work to be cleaner</w:t>
      </w:r>
      <w:r w:rsidR="009F6E4C">
        <w:rPr>
          <w:rFonts w:ascii="Times New Roman" w:hAnsi="Times New Roman" w:cs="Times New Roman"/>
          <w:sz w:val="24"/>
          <w:szCs w:val="24"/>
        </w:rPr>
        <w:t>.</w:t>
      </w:r>
    </w:p>
    <w:p w:rsidR="00F57DC5" w:rsidRDefault="00F57DC5">
      <w:pPr>
        <w:rPr>
          <w:rFonts w:ascii="Times New Roman" w:hAnsi="Times New Roman" w:cs="Times New Roman"/>
          <w:sz w:val="24"/>
          <w:szCs w:val="24"/>
        </w:rPr>
      </w:pPr>
    </w:p>
    <w:p w:rsidR="00F57DC5" w:rsidRDefault="00AA6915">
      <w:pPr>
        <w:rPr>
          <w:rFonts w:ascii="Times New Roman" w:hAnsi="Times New Roman" w:cs="Times New Roman"/>
          <w:sz w:val="24"/>
          <w:szCs w:val="24"/>
        </w:rPr>
      </w:pPr>
      <w:r w:rsidRPr="00AA691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43425" cy="4410075"/>
            <wp:effectExtent l="0" t="0" r="9525" b="9525"/>
            <wp:docPr id="2" name="Picture 2" descr="C:\Users\Paulic_M\Desktop\Drive_D\MSOCache\myav3\oran_crk\OCB_allocation\OCB_linediscr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c_M\Desktop\Drive_D\MSOCache\myav3\oran_crk\OCB_allocation\OCB_linediscre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t="1659" r="21787" b="2309"/>
                    <a:stretch/>
                  </pic:blipFill>
                  <pic:spPr bwMode="auto">
                    <a:xfrm>
                      <a:off x="0" y="0"/>
                      <a:ext cx="4543883" cy="441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7230" w:rsidRPr="001B3A29" w:rsidRDefault="00247230">
      <w:pPr>
        <w:rPr>
          <w:rFonts w:ascii="Times New Roman" w:hAnsi="Times New Roman" w:cs="Times New Roman"/>
          <w:b/>
          <w:sz w:val="24"/>
          <w:szCs w:val="24"/>
        </w:rPr>
      </w:pPr>
      <w:r w:rsidRPr="001B3A29">
        <w:rPr>
          <w:rFonts w:ascii="Times New Roman" w:hAnsi="Times New Roman" w:cs="Times New Roman"/>
          <w:b/>
          <w:sz w:val="24"/>
          <w:szCs w:val="24"/>
        </w:rPr>
        <w:t>Figur</w:t>
      </w:r>
      <w:r w:rsidR="001B3A29">
        <w:rPr>
          <w:rFonts w:ascii="Times New Roman" w:hAnsi="Times New Roman" w:cs="Times New Roman"/>
          <w:b/>
          <w:sz w:val="24"/>
          <w:szCs w:val="24"/>
        </w:rPr>
        <w:t>e 3:</w:t>
      </w:r>
      <w:r w:rsidRPr="001B3A29">
        <w:rPr>
          <w:rFonts w:ascii="Times New Roman" w:hAnsi="Times New Roman" w:cs="Times New Roman"/>
          <w:b/>
          <w:sz w:val="24"/>
          <w:szCs w:val="24"/>
        </w:rPr>
        <w:t xml:space="preserve">  Example of mismatched Newnans Lake and Lochloosa Lake Boundary</w:t>
      </w:r>
    </w:p>
    <w:sectPr w:rsidR="00247230" w:rsidRPr="001B3A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DA1" w:rsidRDefault="00825DA1" w:rsidP="00365CD9">
      <w:pPr>
        <w:spacing w:after="0" w:line="240" w:lineRule="auto"/>
      </w:pPr>
      <w:r>
        <w:separator/>
      </w:r>
    </w:p>
  </w:endnote>
  <w:endnote w:type="continuationSeparator" w:id="0">
    <w:p w:rsidR="00825DA1" w:rsidRDefault="00825DA1" w:rsidP="00365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D9" w:rsidRDefault="00365C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D9" w:rsidRDefault="00365CD9">
    <w:pPr>
      <w:pStyle w:val="Footer"/>
      <w:jc w:val="center"/>
    </w:pPr>
    <w:r>
      <w:t>February 16, 2016</w:t>
    </w:r>
    <w:r>
      <w:tab/>
    </w:r>
    <w:r>
      <w:tab/>
    </w:r>
    <w:sdt>
      <w:sdtPr>
        <w:id w:val="206822163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4A9"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 xml:space="preserve"> of 4</w:t>
    </w:r>
  </w:p>
  <w:p w:rsidR="00365CD9" w:rsidRDefault="00365C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D9" w:rsidRDefault="00365C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DA1" w:rsidRDefault="00825DA1" w:rsidP="00365CD9">
      <w:pPr>
        <w:spacing w:after="0" w:line="240" w:lineRule="auto"/>
      </w:pPr>
      <w:r>
        <w:separator/>
      </w:r>
    </w:p>
  </w:footnote>
  <w:footnote w:type="continuationSeparator" w:id="0">
    <w:p w:rsidR="00825DA1" w:rsidRDefault="00825DA1" w:rsidP="00365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D9" w:rsidRDefault="00365C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D9" w:rsidRPr="00365CD9" w:rsidRDefault="00825DA1">
    <w:pPr>
      <w:pStyle w:val="Head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56473075"/>
        <w:docPartObj>
          <w:docPartGallery w:val="Watermarks"/>
          <w:docPartUnique/>
        </w:docPartObj>
      </w:sdtPr>
      <w:sdtEndPr/>
      <w:sdtContent>
        <w:r>
          <w:rPr>
            <w:rFonts w:ascii="Times New Roman" w:hAnsi="Times New Roman" w:cs="Times New Roman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65CD9" w:rsidRPr="00365CD9">
      <w:rPr>
        <w:rFonts w:ascii="Times New Roman" w:hAnsi="Times New Roman" w:cs="Times New Roman"/>
      </w:rPr>
      <w:t>DRAFT document</w:t>
    </w:r>
    <w:r w:rsidR="00365CD9">
      <w:rPr>
        <w:rFonts w:ascii="Times New Roman" w:hAnsi="Times New Roman" w:cs="Times New Roman"/>
      </w:rPr>
      <w:t>ation</w:t>
    </w:r>
    <w:r w:rsidR="00365CD9" w:rsidRPr="00365CD9">
      <w:rPr>
        <w:rFonts w:ascii="Times New Roman" w:hAnsi="Times New Roman" w:cs="Times New Roman"/>
      </w:rPr>
      <w:t xml:space="preserve"> developed for Orange Creek Basin technical discussions</w:t>
    </w:r>
  </w:p>
  <w:p w:rsidR="00365CD9" w:rsidRDefault="00365C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D9" w:rsidRDefault="00365C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AC25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E87404"/>
    <w:multiLevelType w:val="hybridMultilevel"/>
    <w:tmpl w:val="2632943C"/>
    <w:lvl w:ilvl="0" w:tplc="5F78FA6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B0DD4"/>
    <w:multiLevelType w:val="hybridMultilevel"/>
    <w:tmpl w:val="68921988"/>
    <w:lvl w:ilvl="0" w:tplc="5F78FA6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A6ECD"/>
    <w:multiLevelType w:val="multilevel"/>
    <w:tmpl w:val="F64094DC"/>
    <w:lvl w:ilvl="0">
      <w:start w:val="1"/>
      <w:numFmt w:val="decimal"/>
      <w:pStyle w:val="DEP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ED478E5"/>
    <w:multiLevelType w:val="hybridMultilevel"/>
    <w:tmpl w:val="25826D2A"/>
    <w:lvl w:ilvl="0" w:tplc="3D2ABF20">
      <w:start w:val="1"/>
      <w:numFmt w:val="bullet"/>
      <w:pStyle w:val="List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EB26C61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05A6C7C">
      <w:numFmt w:val="bullet"/>
      <w:lvlText w:val="•"/>
      <w:lvlJc w:val="left"/>
      <w:pPr>
        <w:ind w:left="3960" w:hanging="720"/>
      </w:pPr>
      <w:rPr>
        <w:rFonts w:ascii="Times New Roman" w:eastAsia="Times New Roman" w:hAnsi="Times New Roman" w:cs="Times New Roman" w:hint="default"/>
      </w:rPr>
    </w:lvl>
    <w:lvl w:ilvl="4" w:tplc="5178E244">
      <w:start w:val="3"/>
      <w:numFmt w:val="bullet"/>
      <w:lvlText w:val="-"/>
      <w:lvlJc w:val="left"/>
      <w:pPr>
        <w:ind w:left="4320" w:hanging="360"/>
      </w:pPr>
      <w:rPr>
        <w:rFonts w:ascii="Times New Roman Bold" w:eastAsia="Times New Roman" w:hAnsi="Times New Roman Bold" w:cs="Times New 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DC5"/>
    <w:rsid w:val="000776CF"/>
    <w:rsid w:val="000F3650"/>
    <w:rsid w:val="0013502B"/>
    <w:rsid w:val="001B3A29"/>
    <w:rsid w:val="001C6FD0"/>
    <w:rsid w:val="00247230"/>
    <w:rsid w:val="00310586"/>
    <w:rsid w:val="00365CD9"/>
    <w:rsid w:val="003D7CBB"/>
    <w:rsid w:val="00446A90"/>
    <w:rsid w:val="004706DC"/>
    <w:rsid w:val="005E5D70"/>
    <w:rsid w:val="00612A97"/>
    <w:rsid w:val="00760F41"/>
    <w:rsid w:val="0077675B"/>
    <w:rsid w:val="00825DA1"/>
    <w:rsid w:val="008E17D7"/>
    <w:rsid w:val="008F54D8"/>
    <w:rsid w:val="00927F66"/>
    <w:rsid w:val="009B582F"/>
    <w:rsid w:val="009F003D"/>
    <w:rsid w:val="009F540B"/>
    <w:rsid w:val="009F6E4C"/>
    <w:rsid w:val="00A75FC4"/>
    <w:rsid w:val="00AA6915"/>
    <w:rsid w:val="00AB3C99"/>
    <w:rsid w:val="00AE0071"/>
    <w:rsid w:val="00BD79FE"/>
    <w:rsid w:val="00C534A9"/>
    <w:rsid w:val="00CC50C4"/>
    <w:rsid w:val="00DA6EAD"/>
    <w:rsid w:val="00E372C6"/>
    <w:rsid w:val="00F5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D64D25-7A29-46D7-A131-3E1BD598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Plist">
    <w:name w:val="DEPlist"/>
    <w:basedOn w:val="ListBullet"/>
    <w:autoRedefine/>
    <w:qFormat/>
    <w:rsid w:val="000776CF"/>
    <w:pPr>
      <w:numPr>
        <w:numId w:val="3"/>
      </w:numPr>
      <w:spacing w:after="120" w:line="360" w:lineRule="auto"/>
      <w:ind w:right="720"/>
      <w:contextualSpacing w:val="0"/>
    </w:pPr>
    <w:rPr>
      <w:rFonts w:ascii="Times New Roman" w:hAnsi="Times New Roman" w:cs="Times New Roman"/>
      <w:sz w:val="24"/>
      <w:szCs w:val="20"/>
      <w:lang w:val="x-none" w:eastAsia="x-none"/>
    </w:rPr>
  </w:style>
  <w:style w:type="paragraph" w:styleId="ListBullet">
    <w:name w:val="List Bullet"/>
    <w:basedOn w:val="Normal"/>
    <w:uiPriority w:val="99"/>
    <w:semiHidden/>
    <w:unhideWhenUsed/>
    <w:rsid w:val="000776CF"/>
    <w:pPr>
      <w:numPr>
        <w:numId w:val="2"/>
      </w:numPr>
      <w:contextualSpacing/>
    </w:pPr>
  </w:style>
  <w:style w:type="table" w:styleId="TableGrid">
    <w:name w:val="Table Grid"/>
    <w:basedOn w:val="TableNormal"/>
    <w:uiPriority w:val="39"/>
    <w:rsid w:val="00F57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3A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5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CD9"/>
  </w:style>
  <w:style w:type="paragraph" w:styleId="Footer">
    <w:name w:val="footer"/>
    <w:basedOn w:val="Normal"/>
    <w:link w:val="FooterChar"/>
    <w:uiPriority w:val="99"/>
    <w:unhideWhenUsed/>
    <w:rsid w:val="00365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4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Paulic, Mary</dc:creator>
  <cp:keywords/>
  <dc:description/>
  <cp:lastModifiedBy>Paulic, Mary</cp:lastModifiedBy>
  <cp:revision>15</cp:revision>
  <dcterms:created xsi:type="dcterms:W3CDTF">2016-02-05T19:16:00Z</dcterms:created>
  <dcterms:modified xsi:type="dcterms:W3CDTF">2016-02-17T21:54:00Z</dcterms:modified>
</cp:coreProperties>
</file>