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A8B" w:rsidRPr="008B5AF3" w:rsidRDefault="008B5AF3" w:rsidP="008B5AF3">
      <w:pPr>
        <w:jc w:val="center"/>
        <w:rPr>
          <w:rFonts w:ascii="Times New Roman" w:hAnsi="Times New Roman" w:cs="Times New Roman"/>
          <w:b/>
          <w:sz w:val="24"/>
          <w:szCs w:val="24"/>
        </w:rPr>
      </w:pPr>
      <w:r w:rsidRPr="008B5AF3">
        <w:rPr>
          <w:rFonts w:ascii="Times New Roman" w:hAnsi="Times New Roman" w:cs="Times New Roman"/>
          <w:b/>
          <w:sz w:val="24"/>
          <w:szCs w:val="24"/>
        </w:rPr>
        <w:t xml:space="preserve">St. Lucie </w:t>
      </w:r>
      <w:r w:rsidR="006F5BF5">
        <w:rPr>
          <w:rFonts w:ascii="Times New Roman" w:hAnsi="Times New Roman" w:cs="Times New Roman"/>
          <w:b/>
          <w:sz w:val="24"/>
          <w:szCs w:val="24"/>
        </w:rPr>
        <w:t>Basin Management Action Plan (</w:t>
      </w:r>
      <w:r w:rsidRPr="008B5AF3">
        <w:rPr>
          <w:rFonts w:ascii="Times New Roman" w:hAnsi="Times New Roman" w:cs="Times New Roman"/>
          <w:b/>
          <w:sz w:val="24"/>
          <w:szCs w:val="24"/>
        </w:rPr>
        <w:t>BMAP</w:t>
      </w:r>
      <w:r w:rsidR="006F5BF5">
        <w:rPr>
          <w:rFonts w:ascii="Times New Roman" w:hAnsi="Times New Roman" w:cs="Times New Roman"/>
          <w:b/>
          <w:sz w:val="24"/>
          <w:szCs w:val="24"/>
        </w:rPr>
        <w:t>)</w:t>
      </w:r>
    </w:p>
    <w:p w:rsidR="008B5AF3" w:rsidRDefault="008B5AF3" w:rsidP="008B5AF3">
      <w:pPr>
        <w:jc w:val="center"/>
        <w:rPr>
          <w:rFonts w:ascii="Times New Roman" w:hAnsi="Times New Roman" w:cs="Times New Roman"/>
          <w:b/>
          <w:sz w:val="24"/>
          <w:szCs w:val="24"/>
        </w:rPr>
      </w:pPr>
      <w:r w:rsidRPr="008B5AF3">
        <w:rPr>
          <w:rFonts w:ascii="Times New Roman" w:hAnsi="Times New Roman" w:cs="Times New Roman"/>
          <w:b/>
          <w:sz w:val="24"/>
          <w:szCs w:val="24"/>
        </w:rPr>
        <w:t>Allocation Approach – Managed Lands Coverage versus Natural Land Uses</w:t>
      </w:r>
    </w:p>
    <w:p w:rsidR="006F5BF5" w:rsidRPr="008B5AF3" w:rsidRDefault="006F5BF5" w:rsidP="008B5AF3">
      <w:pPr>
        <w:jc w:val="center"/>
        <w:rPr>
          <w:rFonts w:ascii="Times New Roman" w:hAnsi="Times New Roman" w:cs="Times New Roman"/>
          <w:b/>
          <w:sz w:val="24"/>
          <w:szCs w:val="24"/>
        </w:rPr>
      </w:pPr>
      <w:r>
        <w:rPr>
          <w:rFonts w:ascii="Times New Roman" w:hAnsi="Times New Roman" w:cs="Times New Roman"/>
          <w:b/>
          <w:sz w:val="24"/>
          <w:szCs w:val="24"/>
        </w:rPr>
        <w:t>November 2012</w:t>
      </w:r>
    </w:p>
    <w:p w:rsidR="008B5AF3" w:rsidRPr="008B5AF3" w:rsidRDefault="008B5AF3" w:rsidP="0030708C">
      <w:pPr>
        <w:jc w:val="both"/>
        <w:rPr>
          <w:rFonts w:ascii="Times New Roman" w:hAnsi="Times New Roman" w:cs="Times New Roman"/>
          <w:b/>
          <w:sz w:val="24"/>
          <w:szCs w:val="24"/>
        </w:rPr>
      </w:pPr>
    </w:p>
    <w:p w:rsidR="008B5AF3" w:rsidRDefault="008B5AF3" w:rsidP="0030708C">
      <w:pPr>
        <w:jc w:val="both"/>
        <w:rPr>
          <w:rFonts w:ascii="Times New Roman" w:hAnsi="Times New Roman" w:cs="Times New Roman"/>
          <w:sz w:val="24"/>
          <w:szCs w:val="24"/>
        </w:rPr>
      </w:pPr>
      <w:r>
        <w:rPr>
          <w:rFonts w:ascii="Times New Roman" w:hAnsi="Times New Roman" w:cs="Times New Roman"/>
          <w:sz w:val="24"/>
          <w:szCs w:val="24"/>
        </w:rPr>
        <w:t xml:space="preserve">The current allocation approach for the St. Lucie BMAP uses </w:t>
      </w:r>
      <w:proofErr w:type="gramStart"/>
      <w:r>
        <w:rPr>
          <w:rFonts w:ascii="Times New Roman" w:hAnsi="Times New Roman" w:cs="Times New Roman"/>
          <w:sz w:val="24"/>
          <w:szCs w:val="24"/>
        </w:rPr>
        <w:t>a coverage</w:t>
      </w:r>
      <w:proofErr w:type="gramEnd"/>
      <w:r>
        <w:rPr>
          <w:rFonts w:ascii="Times New Roman" w:hAnsi="Times New Roman" w:cs="Times New Roman"/>
          <w:sz w:val="24"/>
          <w:szCs w:val="24"/>
        </w:rPr>
        <w:t xml:space="preserve"> of managed lands</w:t>
      </w:r>
      <w:r w:rsidR="0030708C">
        <w:rPr>
          <w:rFonts w:ascii="Times New Roman" w:hAnsi="Times New Roman" w:cs="Times New Roman"/>
          <w:sz w:val="24"/>
          <w:szCs w:val="24"/>
        </w:rPr>
        <w:t xml:space="preserve"> that was developed by </w:t>
      </w:r>
      <w:r w:rsidR="006F5BF5">
        <w:rPr>
          <w:rFonts w:ascii="Times New Roman" w:hAnsi="Times New Roman" w:cs="Times New Roman"/>
          <w:sz w:val="24"/>
          <w:szCs w:val="24"/>
        </w:rPr>
        <w:t>the Florida Department of Environmental Protection (</w:t>
      </w:r>
      <w:r w:rsidR="0030708C">
        <w:rPr>
          <w:rFonts w:ascii="Times New Roman" w:hAnsi="Times New Roman" w:cs="Times New Roman"/>
          <w:sz w:val="24"/>
          <w:szCs w:val="24"/>
        </w:rPr>
        <w:t>FDEP</w:t>
      </w:r>
      <w:r w:rsidR="006F5BF5">
        <w:rPr>
          <w:rFonts w:ascii="Times New Roman" w:hAnsi="Times New Roman" w:cs="Times New Roman"/>
          <w:sz w:val="24"/>
          <w:szCs w:val="24"/>
        </w:rPr>
        <w:t>)</w:t>
      </w:r>
      <w:r w:rsidR="0030708C">
        <w:rPr>
          <w:rFonts w:ascii="Times New Roman" w:hAnsi="Times New Roman" w:cs="Times New Roman"/>
          <w:sz w:val="24"/>
          <w:szCs w:val="24"/>
        </w:rPr>
        <w:t xml:space="preserve">, </w:t>
      </w:r>
      <w:r w:rsidR="00002E5F">
        <w:rPr>
          <w:rFonts w:ascii="Times New Roman" w:hAnsi="Times New Roman" w:cs="Times New Roman"/>
          <w:sz w:val="24"/>
          <w:szCs w:val="24"/>
        </w:rPr>
        <w:t xml:space="preserve">the </w:t>
      </w:r>
      <w:r w:rsidR="006F5BF5">
        <w:rPr>
          <w:rFonts w:ascii="Times New Roman" w:hAnsi="Times New Roman" w:cs="Times New Roman"/>
          <w:sz w:val="24"/>
          <w:szCs w:val="24"/>
        </w:rPr>
        <w:t>South Florida Water Management District (</w:t>
      </w:r>
      <w:r w:rsidR="0030708C">
        <w:rPr>
          <w:rFonts w:ascii="Times New Roman" w:hAnsi="Times New Roman" w:cs="Times New Roman"/>
          <w:sz w:val="24"/>
          <w:szCs w:val="24"/>
        </w:rPr>
        <w:t>SF</w:t>
      </w:r>
      <w:r>
        <w:rPr>
          <w:rFonts w:ascii="Times New Roman" w:hAnsi="Times New Roman" w:cs="Times New Roman"/>
          <w:sz w:val="24"/>
          <w:szCs w:val="24"/>
        </w:rPr>
        <w:t>WMD</w:t>
      </w:r>
      <w:r w:rsidR="006F5BF5">
        <w:rPr>
          <w:rFonts w:ascii="Times New Roman" w:hAnsi="Times New Roman" w:cs="Times New Roman"/>
          <w:sz w:val="24"/>
          <w:szCs w:val="24"/>
        </w:rPr>
        <w:t>)</w:t>
      </w:r>
      <w:r>
        <w:rPr>
          <w:rFonts w:ascii="Times New Roman" w:hAnsi="Times New Roman" w:cs="Times New Roman"/>
          <w:sz w:val="24"/>
          <w:szCs w:val="24"/>
        </w:rPr>
        <w:t xml:space="preserve">, and the stakeholders using available information about state, federal, and local conservation lands.  </w:t>
      </w:r>
      <w:r w:rsidR="00E161E9">
        <w:rPr>
          <w:rFonts w:ascii="Times New Roman" w:hAnsi="Times New Roman" w:cs="Times New Roman"/>
          <w:sz w:val="24"/>
          <w:szCs w:val="24"/>
        </w:rPr>
        <w:t xml:space="preserve">In </w:t>
      </w:r>
      <w:r w:rsidR="006F5BF5">
        <w:rPr>
          <w:rFonts w:ascii="Times New Roman" w:hAnsi="Times New Roman" w:cs="Times New Roman"/>
          <w:sz w:val="24"/>
          <w:szCs w:val="24"/>
        </w:rPr>
        <w:t>reviewing past meeting materials</w:t>
      </w:r>
      <w:r w:rsidR="0030708C">
        <w:rPr>
          <w:rFonts w:ascii="Times New Roman" w:hAnsi="Times New Roman" w:cs="Times New Roman"/>
          <w:sz w:val="24"/>
          <w:szCs w:val="24"/>
        </w:rPr>
        <w:t xml:space="preserve">, we learned that there were difficulties creating the managed lands coverage because many of the managed lands owned by </w:t>
      </w:r>
      <w:r w:rsidR="00002E5F">
        <w:rPr>
          <w:rFonts w:ascii="Times New Roman" w:hAnsi="Times New Roman" w:cs="Times New Roman"/>
          <w:sz w:val="24"/>
          <w:szCs w:val="24"/>
        </w:rPr>
        <w:t xml:space="preserve">the </w:t>
      </w:r>
      <w:r w:rsidR="0030708C">
        <w:rPr>
          <w:rFonts w:ascii="Times New Roman" w:hAnsi="Times New Roman" w:cs="Times New Roman"/>
          <w:sz w:val="24"/>
          <w:szCs w:val="24"/>
        </w:rPr>
        <w:t>SFWMD were historically agricultural</w:t>
      </w:r>
      <w:r w:rsidR="000E6E68">
        <w:rPr>
          <w:rFonts w:ascii="Times New Roman" w:hAnsi="Times New Roman" w:cs="Times New Roman"/>
          <w:sz w:val="24"/>
          <w:szCs w:val="24"/>
        </w:rPr>
        <w:t>,</w:t>
      </w:r>
      <w:r w:rsidR="0030708C">
        <w:rPr>
          <w:rFonts w:ascii="Times New Roman" w:hAnsi="Times New Roman" w:cs="Times New Roman"/>
          <w:sz w:val="24"/>
          <w:szCs w:val="24"/>
        </w:rPr>
        <w:t xml:space="preserve"> and it was not known whether these lands had fully transitioned to conservation lands.  In addition, the BMAP model uses 1999 land uses, which show that much of the acreage in the managed lands coverage is agricultural.  </w:t>
      </w:r>
      <w:r w:rsidR="006F5BF5">
        <w:rPr>
          <w:rFonts w:ascii="Times New Roman" w:hAnsi="Times New Roman" w:cs="Times New Roman"/>
          <w:sz w:val="24"/>
          <w:szCs w:val="24"/>
        </w:rPr>
        <w:t>The current allocation model includes 75,269 acres of managed lands with a loading of 324,082 pounds/year of total nitrogen (TN) and 80,720 pounds/year of total phosphorus (TP).  Of this total managed lands acreage and loading, 49,327 acres with 293,296 pounds/yr of TN and 72,214 pounds/year of TN loading</w:t>
      </w:r>
      <w:r w:rsidR="00002E5F">
        <w:rPr>
          <w:rFonts w:ascii="Times New Roman" w:hAnsi="Times New Roman" w:cs="Times New Roman"/>
          <w:sz w:val="24"/>
          <w:szCs w:val="24"/>
        </w:rPr>
        <w:t>,</w:t>
      </w:r>
      <w:r w:rsidR="006F5BF5">
        <w:rPr>
          <w:rFonts w:ascii="Times New Roman" w:hAnsi="Times New Roman" w:cs="Times New Roman"/>
          <w:sz w:val="24"/>
          <w:szCs w:val="24"/>
        </w:rPr>
        <w:t xml:space="preserve"> are shown in the 1999 land use coverage as agriculture.  </w:t>
      </w:r>
      <w:r w:rsidR="0030708C">
        <w:rPr>
          <w:rFonts w:ascii="Times New Roman" w:hAnsi="Times New Roman" w:cs="Times New Roman"/>
          <w:sz w:val="24"/>
          <w:szCs w:val="24"/>
        </w:rPr>
        <w:t>Therefore, we are setting aside much greater loads than we should be in the allocation process</w:t>
      </w:r>
      <w:r w:rsidR="006F5BF5">
        <w:rPr>
          <w:rFonts w:ascii="Times New Roman" w:hAnsi="Times New Roman" w:cs="Times New Roman"/>
          <w:sz w:val="24"/>
          <w:szCs w:val="24"/>
        </w:rPr>
        <w:t xml:space="preserve"> because the majority of the managed lands are not shown as natural land uses in the 1999 land use coverage</w:t>
      </w:r>
      <w:r w:rsidR="0030708C">
        <w:rPr>
          <w:rFonts w:ascii="Times New Roman" w:hAnsi="Times New Roman" w:cs="Times New Roman"/>
          <w:sz w:val="24"/>
          <w:szCs w:val="24"/>
        </w:rPr>
        <w:t>.</w:t>
      </w:r>
    </w:p>
    <w:p w:rsidR="0030708C" w:rsidRDefault="0030708C" w:rsidP="0030708C">
      <w:pPr>
        <w:jc w:val="both"/>
        <w:rPr>
          <w:rFonts w:ascii="Times New Roman" w:hAnsi="Times New Roman" w:cs="Times New Roman"/>
          <w:sz w:val="24"/>
          <w:szCs w:val="24"/>
        </w:rPr>
      </w:pPr>
    </w:p>
    <w:p w:rsidR="0030708C" w:rsidRDefault="003B362A" w:rsidP="0030708C">
      <w:pPr>
        <w:jc w:val="both"/>
        <w:rPr>
          <w:rFonts w:ascii="Times New Roman" w:hAnsi="Times New Roman" w:cs="Times New Roman"/>
          <w:sz w:val="24"/>
          <w:szCs w:val="24"/>
        </w:rPr>
      </w:pPr>
      <w:r>
        <w:rPr>
          <w:rFonts w:ascii="Times New Roman" w:hAnsi="Times New Roman" w:cs="Times New Roman"/>
          <w:sz w:val="24"/>
          <w:szCs w:val="24"/>
        </w:rPr>
        <w:t>In other BMAPs, FDEP has</w:t>
      </w:r>
      <w:r w:rsidR="0030708C">
        <w:rPr>
          <w:rFonts w:ascii="Times New Roman" w:hAnsi="Times New Roman" w:cs="Times New Roman"/>
          <w:sz w:val="24"/>
          <w:szCs w:val="24"/>
        </w:rPr>
        <w:t xml:space="preserve"> used the land use coverage to identify those areas with natural land uses.  These uses include land use codes 3000 (upland </w:t>
      </w:r>
      <w:proofErr w:type="spellStart"/>
      <w:r w:rsidR="0030708C">
        <w:rPr>
          <w:rFonts w:ascii="Times New Roman" w:hAnsi="Times New Roman" w:cs="Times New Roman"/>
          <w:sz w:val="24"/>
          <w:szCs w:val="24"/>
        </w:rPr>
        <w:t>nonforested</w:t>
      </w:r>
      <w:proofErr w:type="spellEnd"/>
      <w:r w:rsidR="0030708C">
        <w:rPr>
          <w:rFonts w:ascii="Times New Roman" w:hAnsi="Times New Roman" w:cs="Times New Roman"/>
          <w:sz w:val="24"/>
          <w:szCs w:val="24"/>
        </w:rPr>
        <w:t xml:space="preserve">), 4000 (upland forest), 5000 (water), and 6000 (wetlands).  These areas are clipped out first and set aside with the assumption that they will remain natural lands during the BMAP period and </w:t>
      </w:r>
      <w:r w:rsidR="00126E74">
        <w:rPr>
          <w:rFonts w:ascii="Times New Roman" w:hAnsi="Times New Roman" w:cs="Times New Roman"/>
          <w:sz w:val="24"/>
          <w:szCs w:val="24"/>
        </w:rPr>
        <w:t xml:space="preserve">that </w:t>
      </w:r>
      <w:r w:rsidR="0030708C">
        <w:rPr>
          <w:rFonts w:ascii="Times New Roman" w:hAnsi="Times New Roman" w:cs="Times New Roman"/>
          <w:sz w:val="24"/>
          <w:szCs w:val="24"/>
        </w:rPr>
        <w:t xml:space="preserve">the loading will remain constant.  </w:t>
      </w:r>
      <w:r>
        <w:rPr>
          <w:rFonts w:ascii="Times New Roman" w:hAnsi="Times New Roman" w:cs="Times New Roman"/>
          <w:sz w:val="24"/>
          <w:szCs w:val="24"/>
        </w:rPr>
        <w:t xml:space="preserve">The proposal is </w:t>
      </w:r>
      <w:r w:rsidR="0030708C">
        <w:rPr>
          <w:rFonts w:ascii="Times New Roman" w:hAnsi="Times New Roman" w:cs="Times New Roman"/>
          <w:sz w:val="24"/>
          <w:szCs w:val="24"/>
        </w:rPr>
        <w:t>to update the allocations to set aside the loading and acreage from the natural land us</w:t>
      </w:r>
      <w:r w:rsidR="00622BA3">
        <w:rPr>
          <w:rFonts w:ascii="Times New Roman" w:hAnsi="Times New Roman" w:cs="Times New Roman"/>
          <w:sz w:val="24"/>
          <w:szCs w:val="24"/>
        </w:rPr>
        <w:t>es from the 1999 land use layer</w:t>
      </w:r>
      <w:r w:rsidR="0030708C">
        <w:rPr>
          <w:rFonts w:ascii="Times New Roman" w:hAnsi="Times New Roman" w:cs="Times New Roman"/>
          <w:sz w:val="24"/>
          <w:szCs w:val="24"/>
        </w:rPr>
        <w:t xml:space="preserve"> instead of using the managed lands coverage.</w:t>
      </w:r>
      <w:r w:rsidR="00126E74">
        <w:rPr>
          <w:rFonts w:ascii="Times New Roman" w:hAnsi="Times New Roman" w:cs="Times New Roman"/>
          <w:sz w:val="24"/>
          <w:szCs w:val="24"/>
        </w:rPr>
        <w:t xml:space="preserve">  If some of the land</w:t>
      </w:r>
      <w:r>
        <w:rPr>
          <w:rFonts w:ascii="Times New Roman" w:hAnsi="Times New Roman" w:cs="Times New Roman"/>
          <w:sz w:val="24"/>
          <w:szCs w:val="24"/>
        </w:rPr>
        <w:t>s that are shown as agriculture</w:t>
      </w:r>
      <w:r w:rsidR="00126E74">
        <w:rPr>
          <w:rFonts w:ascii="Times New Roman" w:hAnsi="Times New Roman" w:cs="Times New Roman"/>
          <w:sz w:val="24"/>
          <w:szCs w:val="24"/>
        </w:rPr>
        <w:t xml:space="preserve"> in 1999 are now really conservation lands, the appropriate entity (agriculture or water control district) would receive credit in the BMAP for this change in land use.</w:t>
      </w:r>
    </w:p>
    <w:p w:rsidR="00126E74" w:rsidRDefault="00126E74" w:rsidP="0030708C">
      <w:pPr>
        <w:jc w:val="both"/>
        <w:rPr>
          <w:rFonts w:ascii="Times New Roman" w:hAnsi="Times New Roman" w:cs="Times New Roman"/>
          <w:sz w:val="24"/>
          <w:szCs w:val="24"/>
        </w:rPr>
      </w:pPr>
    </w:p>
    <w:p w:rsidR="00126E74" w:rsidRPr="008B5AF3" w:rsidRDefault="003B362A" w:rsidP="0030708C">
      <w:pPr>
        <w:jc w:val="both"/>
        <w:rPr>
          <w:rFonts w:ascii="Times New Roman" w:hAnsi="Times New Roman" w:cs="Times New Roman"/>
          <w:sz w:val="24"/>
          <w:szCs w:val="24"/>
        </w:rPr>
      </w:pPr>
      <w:r>
        <w:rPr>
          <w:rFonts w:ascii="Times New Roman" w:hAnsi="Times New Roman" w:cs="Times New Roman"/>
          <w:sz w:val="24"/>
          <w:szCs w:val="24"/>
        </w:rPr>
        <w:t>During a discussion between FDEP and the Florida Department of Agriculture and Consumer Services (</w:t>
      </w:r>
      <w:r w:rsidR="00126E74">
        <w:rPr>
          <w:rFonts w:ascii="Times New Roman" w:hAnsi="Times New Roman" w:cs="Times New Roman"/>
          <w:sz w:val="24"/>
          <w:szCs w:val="24"/>
        </w:rPr>
        <w:t>FDACS</w:t>
      </w:r>
      <w:r>
        <w:rPr>
          <w:rFonts w:ascii="Times New Roman" w:hAnsi="Times New Roman" w:cs="Times New Roman"/>
          <w:sz w:val="24"/>
          <w:szCs w:val="24"/>
        </w:rPr>
        <w:t>) in October 2012, FDACS</w:t>
      </w:r>
      <w:r w:rsidR="00126E74">
        <w:rPr>
          <w:rFonts w:ascii="Times New Roman" w:hAnsi="Times New Roman" w:cs="Times New Roman"/>
          <w:sz w:val="24"/>
          <w:szCs w:val="24"/>
        </w:rPr>
        <w:t xml:space="preserve"> noted that SFWMD assigned all agricultural acres in the basin to agriculture as part of the St. Lucie </w:t>
      </w:r>
      <w:r w:rsidR="00622BA3">
        <w:rPr>
          <w:rFonts w:ascii="Times New Roman" w:hAnsi="Times New Roman" w:cs="Times New Roman"/>
          <w:sz w:val="24"/>
          <w:szCs w:val="24"/>
        </w:rPr>
        <w:t xml:space="preserve">River </w:t>
      </w:r>
      <w:r w:rsidR="00126E74">
        <w:rPr>
          <w:rFonts w:ascii="Times New Roman" w:hAnsi="Times New Roman" w:cs="Times New Roman"/>
          <w:sz w:val="24"/>
          <w:szCs w:val="24"/>
        </w:rPr>
        <w:t xml:space="preserve">Watershed Protection Plan.  The only exception to this was that SFWMD removed the C-44 </w:t>
      </w:r>
      <w:r>
        <w:rPr>
          <w:rFonts w:ascii="Times New Roman" w:hAnsi="Times New Roman" w:cs="Times New Roman"/>
          <w:sz w:val="24"/>
          <w:szCs w:val="24"/>
        </w:rPr>
        <w:t xml:space="preserve">project </w:t>
      </w:r>
      <w:r w:rsidR="00126E74">
        <w:rPr>
          <w:rFonts w:ascii="Times New Roman" w:hAnsi="Times New Roman" w:cs="Times New Roman"/>
          <w:sz w:val="24"/>
          <w:szCs w:val="24"/>
        </w:rPr>
        <w:t>area</w:t>
      </w:r>
      <w:r>
        <w:rPr>
          <w:rFonts w:ascii="Times New Roman" w:hAnsi="Times New Roman" w:cs="Times New Roman"/>
          <w:sz w:val="24"/>
          <w:szCs w:val="24"/>
        </w:rPr>
        <w:t xml:space="preserve">; however, </w:t>
      </w:r>
      <w:r w:rsidR="00126E74">
        <w:rPr>
          <w:rFonts w:ascii="Times New Roman" w:hAnsi="Times New Roman" w:cs="Times New Roman"/>
          <w:sz w:val="24"/>
          <w:szCs w:val="24"/>
        </w:rPr>
        <w:t xml:space="preserve">this area is no longer in </w:t>
      </w:r>
      <w:r>
        <w:rPr>
          <w:rFonts w:ascii="Times New Roman" w:hAnsi="Times New Roman" w:cs="Times New Roman"/>
          <w:sz w:val="24"/>
          <w:szCs w:val="24"/>
        </w:rPr>
        <w:t xml:space="preserve">agricultural </w:t>
      </w:r>
      <w:r w:rsidR="00126E74">
        <w:rPr>
          <w:rFonts w:ascii="Times New Roman" w:hAnsi="Times New Roman" w:cs="Times New Roman"/>
          <w:sz w:val="24"/>
          <w:szCs w:val="24"/>
        </w:rPr>
        <w:t>production.  Using the natural lands approach would properly assign all the agricultural acres</w:t>
      </w:r>
      <w:r w:rsidR="00E91703">
        <w:rPr>
          <w:rFonts w:ascii="Times New Roman" w:hAnsi="Times New Roman" w:cs="Times New Roman"/>
          <w:sz w:val="24"/>
          <w:szCs w:val="24"/>
        </w:rPr>
        <w:t xml:space="preserve"> to the responsible agricultural entities</w:t>
      </w:r>
      <w:r w:rsidR="00126E74">
        <w:rPr>
          <w:rFonts w:ascii="Times New Roman" w:hAnsi="Times New Roman" w:cs="Times New Roman"/>
          <w:sz w:val="24"/>
          <w:szCs w:val="24"/>
        </w:rPr>
        <w:t xml:space="preserve"> to ensure that these loads are addressed in the BMAP.</w:t>
      </w:r>
    </w:p>
    <w:p w:rsidR="00622BA3" w:rsidRPr="008B5AF3" w:rsidRDefault="00622BA3">
      <w:pPr>
        <w:jc w:val="both"/>
        <w:rPr>
          <w:rFonts w:ascii="Times New Roman" w:hAnsi="Times New Roman" w:cs="Times New Roman"/>
          <w:sz w:val="24"/>
          <w:szCs w:val="24"/>
        </w:rPr>
      </w:pPr>
    </w:p>
    <w:sectPr w:rsidR="00622BA3" w:rsidRPr="008B5AF3" w:rsidSect="00F15A8B">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3039" w:rsidRDefault="004D3039" w:rsidP="00E91703">
      <w:r>
        <w:separator/>
      </w:r>
    </w:p>
  </w:endnote>
  <w:endnote w:type="continuationSeparator" w:id="0">
    <w:p w:rsidR="004D3039" w:rsidRDefault="004D3039" w:rsidP="00E9170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452391"/>
      <w:docPartObj>
        <w:docPartGallery w:val="Page Numbers (Bottom of Page)"/>
        <w:docPartUnique/>
      </w:docPartObj>
    </w:sdtPr>
    <w:sdtEndPr>
      <w:rPr>
        <w:rFonts w:ascii="Times New Roman" w:hAnsi="Times New Roman" w:cs="Times New Roman"/>
        <w:sz w:val="20"/>
        <w:szCs w:val="20"/>
      </w:rPr>
    </w:sdtEndPr>
    <w:sdtContent>
      <w:sdt>
        <w:sdtPr>
          <w:id w:val="565050477"/>
          <w:docPartObj>
            <w:docPartGallery w:val="Page Numbers (Top of Page)"/>
            <w:docPartUnique/>
          </w:docPartObj>
        </w:sdtPr>
        <w:sdtEndPr>
          <w:rPr>
            <w:rFonts w:ascii="Times New Roman" w:hAnsi="Times New Roman" w:cs="Times New Roman"/>
            <w:sz w:val="20"/>
            <w:szCs w:val="20"/>
          </w:rPr>
        </w:sdtEndPr>
        <w:sdtContent>
          <w:p w:rsidR="00E91703" w:rsidRPr="00E91703" w:rsidRDefault="003B362A" w:rsidP="00E91703">
            <w:pPr>
              <w:pStyle w:val="Footer"/>
              <w:rPr>
                <w:rFonts w:ascii="Times New Roman" w:hAnsi="Times New Roman" w:cs="Times New Roman"/>
                <w:sz w:val="20"/>
                <w:szCs w:val="20"/>
              </w:rPr>
            </w:pPr>
            <w:r>
              <w:rPr>
                <w:rFonts w:ascii="Times New Roman" w:hAnsi="Times New Roman" w:cs="Times New Roman"/>
                <w:sz w:val="20"/>
                <w:szCs w:val="20"/>
              </w:rPr>
              <w:t>Distribution</w:t>
            </w:r>
            <w:r w:rsidR="00E91703" w:rsidRPr="00E91703">
              <w:rPr>
                <w:rFonts w:ascii="Times New Roman" w:hAnsi="Times New Roman" w:cs="Times New Roman"/>
                <w:sz w:val="20"/>
                <w:szCs w:val="20"/>
              </w:rPr>
              <w:tab/>
              <w:t xml:space="preserve">Page </w:t>
            </w:r>
            <w:r w:rsidR="00E31FE6" w:rsidRPr="00E91703">
              <w:rPr>
                <w:rFonts w:ascii="Times New Roman" w:hAnsi="Times New Roman" w:cs="Times New Roman"/>
                <w:sz w:val="20"/>
                <w:szCs w:val="20"/>
              </w:rPr>
              <w:fldChar w:fldCharType="begin"/>
            </w:r>
            <w:r w:rsidR="00E91703" w:rsidRPr="00E91703">
              <w:rPr>
                <w:rFonts w:ascii="Times New Roman" w:hAnsi="Times New Roman" w:cs="Times New Roman"/>
                <w:sz w:val="20"/>
                <w:szCs w:val="20"/>
              </w:rPr>
              <w:instrText xml:space="preserve"> PAGE </w:instrText>
            </w:r>
            <w:r w:rsidR="00E31FE6" w:rsidRPr="00E91703">
              <w:rPr>
                <w:rFonts w:ascii="Times New Roman" w:hAnsi="Times New Roman" w:cs="Times New Roman"/>
                <w:sz w:val="20"/>
                <w:szCs w:val="20"/>
              </w:rPr>
              <w:fldChar w:fldCharType="separate"/>
            </w:r>
            <w:r w:rsidR="00622BA3">
              <w:rPr>
                <w:rFonts w:ascii="Times New Roman" w:hAnsi="Times New Roman" w:cs="Times New Roman"/>
                <w:noProof/>
                <w:sz w:val="20"/>
                <w:szCs w:val="20"/>
              </w:rPr>
              <w:t>1</w:t>
            </w:r>
            <w:r w:rsidR="00E31FE6" w:rsidRPr="00E91703">
              <w:rPr>
                <w:rFonts w:ascii="Times New Roman" w:hAnsi="Times New Roman" w:cs="Times New Roman"/>
                <w:sz w:val="20"/>
                <w:szCs w:val="20"/>
              </w:rPr>
              <w:fldChar w:fldCharType="end"/>
            </w:r>
            <w:r w:rsidR="00E91703" w:rsidRPr="00E91703">
              <w:rPr>
                <w:rFonts w:ascii="Times New Roman" w:hAnsi="Times New Roman" w:cs="Times New Roman"/>
                <w:sz w:val="20"/>
                <w:szCs w:val="20"/>
              </w:rPr>
              <w:t xml:space="preserve"> of </w:t>
            </w:r>
            <w:r w:rsidR="00E31FE6" w:rsidRPr="00E91703">
              <w:rPr>
                <w:rFonts w:ascii="Times New Roman" w:hAnsi="Times New Roman" w:cs="Times New Roman"/>
                <w:sz w:val="20"/>
                <w:szCs w:val="20"/>
              </w:rPr>
              <w:fldChar w:fldCharType="begin"/>
            </w:r>
            <w:r w:rsidR="00E91703" w:rsidRPr="00E91703">
              <w:rPr>
                <w:rFonts w:ascii="Times New Roman" w:hAnsi="Times New Roman" w:cs="Times New Roman"/>
                <w:sz w:val="20"/>
                <w:szCs w:val="20"/>
              </w:rPr>
              <w:instrText xml:space="preserve"> NUMPAGES  </w:instrText>
            </w:r>
            <w:r w:rsidR="00E31FE6" w:rsidRPr="00E91703">
              <w:rPr>
                <w:rFonts w:ascii="Times New Roman" w:hAnsi="Times New Roman" w:cs="Times New Roman"/>
                <w:sz w:val="20"/>
                <w:szCs w:val="20"/>
              </w:rPr>
              <w:fldChar w:fldCharType="separate"/>
            </w:r>
            <w:r w:rsidR="00622BA3">
              <w:rPr>
                <w:rFonts w:ascii="Times New Roman" w:hAnsi="Times New Roman" w:cs="Times New Roman"/>
                <w:noProof/>
                <w:sz w:val="20"/>
                <w:szCs w:val="20"/>
              </w:rPr>
              <w:t>1</w:t>
            </w:r>
            <w:r w:rsidR="00E31FE6" w:rsidRPr="00E91703">
              <w:rPr>
                <w:rFonts w:ascii="Times New Roman" w:hAnsi="Times New Roman" w:cs="Times New Roman"/>
                <w:sz w:val="20"/>
                <w:szCs w:val="20"/>
              </w:rPr>
              <w:fldChar w:fldCharType="end"/>
            </w:r>
          </w:p>
        </w:sdtContent>
      </w:sdt>
    </w:sdtContent>
  </w:sdt>
  <w:p w:rsidR="00E91703" w:rsidRDefault="00E9170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3039" w:rsidRDefault="004D3039" w:rsidP="00E91703">
      <w:r>
        <w:separator/>
      </w:r>
    </w:p>
  </w:footnote>
  <w:footnote w:type="continuationSeparator" w:id="0">
    <w:p w:rsidR="004D3039" w:rsidRDefault="004D3039" w:rsidP="00E9170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B5AF3"/>
    <w:rsid w:val="00002E5F"/>
    <w:rsid w:val="00083373"/>
    <w:rsid w:val="000A5EDE"/>
    <w:rsid w:val="000C3478"/>
    <w:rsid w:val="000E6C4B"/>
    <w:rsid w:val="000E6E68"/>
    <w:rsid w:val="00126E74"/>
    <w:rsid w:val="00145CFD"/>
    <w:rsid w:val="002769C3"/>
    <w:rsid w:val="00276DC3"/>
    <w:rsid w:val="00282AC4"/>
    <w:rsid w:val="0030708C"/>
    <w:rsid w:val="003B362A"/>
    <w:rsid w:val="00442BF0"/>
    <w:rsid w:val="004A5BF7"/>
    <w:rsid w:val="004D3039"/>
    <w:rsid w:val="00543291"/>
    <w:rsid w:val="005C4A4C"/>
    <w:rsid w:val="00622BA3"/>
    <w:rsid w:val="006C4BF8"/>
    <w:rsid w:val="006E334A"/>
    <w:rsid w:val="006F3C04"/>
    <w:rsid w:val="006F5BF5"/>
    <w:rsid w:val="00726D6F"/>
    <w:rsid w:val="00734BA0"/>
    <w:rsid w:val="00792223"/>
    <w:rsid w:val="00843B35"/>
    <w:rsid w:val="008953E3"/>
    <w:rsid w:val="008B5AF3"/>
    <w:rsid w:val="00942CE6"/>
    <w:rsid w:val="00A34D2B"/>
    <w:rsid w:val="00AB01D2"/>
    <w:rsid w:val="00B11309"/>
    <w:rsid w:val="00B34A41"/>
    <w:rsid w:val="00D57EFD"/>
    <w:rsid w:val="00DA08FE"/>
    <w:rsid w:val="00DF211E"/>
    <w:rsid w:val="00E161E9"/>
    <w:rsid w:val="00E31FE6"/>
    <w:rsid w:val="00E714A0"/>
    <w:rsid w:val="00E91703"/>
    <w:rsid w:val="00ED6779"/>
    <w:rsid w:val="00F15A8B"/>
    <w:rsid w:val="00FC6B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A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91703"/>
    <w:pPr>
      <w:tabs>
        <w:tab w:val="center" w:pos="4680"/>
        <w:tab w:val="right" w:pos="9360"/>
      </w:tabs>
    </w:pPr>
  </w:style>
  <w:style w:type="character" w:customStyle="1" w:styleId="HeaderChar">
    <w:name w:val="Header Char"/>
    <w:basedOn w:val="DefaultParagraphFont"/>
    <w:link w:val="Header"/>
    <w:uiPriority w:val="99"/>
    <w:semiHidden/>
    <w:rsid w:val="00E91703"/>
  </w:style>
  <w:style w:type="paragraph" w:styleId="Footer">
    <w:name w:val="footer"/>
    <w:basedOn w:val="Normal"/>
    <w:link w:val="FooterChar"/>
    <w:uiPriority w:val="99"/>
    <w:unhideWhenUsed/>
    <w:rsid w:val="00E91703"/>
    <w:pPr>
      <w:tabs>
        <w:tab w:val="center" w:pos="4680"/>
        <w:tab w:val="right" w:pos="9360"/>
      </w:tabs>
    </w:pPr>
  </w:style>
  <w:style w:type="character" w:customStyle="1" w:styleId="FooterChar">
    <w:name w:val="Footer Char"/>
    <w:basedOn w:val="DefaultParagraphFont"/>
    <w:link w:val="Footer"/>
    <w:uiPriority w:val="99"/>
    <w:rsid w:val="00E9170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419</Words>
  <Characters>2392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Policastro</dc:creator>
  <cp:keywords/>
  <dc:description/>
  <cp:lastModifiedBy>hallas_k</cp:lastModifiedBy>
  <cp:revision>2</cp:revision>
  <dcterms:created xsi:type="dcterms:W3CDTF">2012-12-03T16:31:00Z</dcterms:created>
  <dcterms:modified xsi:type="dcterms:W3CDTF">2012-12-03T16:31:00Z</dcterms:modified>
</cp:coreProperties>
</file>