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F3E82" w14:textId="721A26EB" w:rsidR="003C474D" w:rsidRDefault="002278D3" w:rsidP="002278D3">
      <w:pPr>
        <w:spacing w:after="0"/>
        <w:jc w:val="center"/>
        <w:rPr>
          <w:b/>
          <w:bCs/>
        </w:rPr>
      </w:pPr>
      <w:r>
        <w:rPr>
          <w:b/>
          <w:bCs/>
        </w:rPr>
        <w:t>Ruminant Bovine Source Group</w:t>
      </w:r>
    </w:p>
    <w:p w14:paraId="70540904" w14:textId="23C5DC4A" w:rsidR="002278D3" w:rsidRDefault="002278D3" w:rsidP="002278D3">
      <w:pPr>
        <w:spacing w:after="0"/>
        <w:jc w:val="center"/>
        <w:rPr>
          <w:b/>
          <w:bCs/>
        </w:rPr>
      </w:pPr>
      <w:r>
        <w:rPr>
          <w:b/>
          <w:bCs/>
        </w:rPr>
        <w:t>Spartman Branch</w:t>
      </w:r>
    </w:p>
    <w:p w14:paraId="78A0B71B" w14:textId="21500D45" w:rsidR="002278D3" w:rsidRDefault="002278D3" w:rsidP="002278D3">
      <w:pPr>
        <w:spacing w:after="0"/>
        <w:jc w:val="center"/>
        <w:rPr>
          <w:b/>
          <w:bCs/>
        </w:rPr>
      </w:pPr>
      <w:r>
        <w:rPr>
          <w:b/>
          <w:bCs/>
        </w:rPr>
        <w:t>Conference Call</w:t>
      </w:r>
    </w:p>
    <w:p w14:paraId="1719CC63" w14:textId="1900E4E1" w:rsidR="002278D3" w:rsidRPr="002278D3" w:rsidRDefault="002278D3" w:rsidP="002278D3">
      <w:pPr>
        <w:spacing w:after="0"/>
        <w:jc w:val="center"/>
      </w:pPr>
      <w:r w:rsidRPr="002278D3">
        <w:t>August 15, 2019</w:t>
      </w:r>
    </w:p>
    <w:p w14:paraId="52594A01" w14:textId="36590E02" w:rsidR="002278D3" w:rsidRDefault="002278D3" w:rsidP="002278D3">
      <w:pPr>
        <w:spacing w:after="0"/>
        <w:jc w:val="center"/>
      </w:pPr>
      <w:r w:rsidRPr="002278D3">
        <w:t>2:00PM – 3:00PM</w:t>
      </w:r>
    </w:p>
    <w:p w14:paraId="117B409D" w14:textId="406A915D" w:rsidR="002278D3" w:rsidRDefault="002278D3" w:rsidP="002278D3">
      <w:pPr>
        <w:spacing w:after="0"/>
        <w:jc w:val="center"/>
      </w:pPr>
    </w:p>
    <w:p w14:paraId="53577DD1" w14:textId="66154758" w:rsidR="002278D3" w:rsidRPr="002278D3" w:rsidRDefault="002278D3" w:rsidP="002278D3">
      <w:pPr>
        <w:spacing w:after="0"/>
        <w:rPr>
          <w:b/>
          <w:bCs/>
        </w:rPr>
      </w:pPr>
      <w:r w:rsidRPr="002278D3">
        <w:rPr>
          <w:b/>
          <w:bCs/>
        </w:rPr>
        <w:t>Attendees</w:t>
      </w:r>
    </w:p>
    <w:p w14:paraId="3DE23599" w14:textId="2A2EFFE2" w:rsidR="00063852" w:rsidRDefault="00063852" w:rsidP="002278D3">
      <w:pPr>
        <w:spacing w:after="0"/>
        <w:sectPr w:rsidR="00063852" w:rsidSect="00063852">
          <w:type w:val="continuous"/>
          <w:pgSz w:w="12240" w:h="15840"/>
          <w:pgMar w:top="1440" w:right="1440" w:bottom="1440" w:left="1440" w:header="720" w:footer="720" w:gutter="0"/>
          <w:cols w:space="720"/>
          <w:docGrid w:linePitch="360"/>
        </w:sectPr>
      </w:pPr>
    </w:p>
    <w:p w14:paraId="66F959C6" w14:textId="621795FF" w:rsidR="002278D3" w:rsidRDefault="002278D3" w:rsidP="002278D3">
      <w:pPr>
        <w:spacing w:after="0"/>
      </w:pPr>
      <w:r>
        <w:t>Yesenia Escribano, FDACS</w:t>
      </w:r>
    </w:p>
    <w:p w14:paraId="06F5FED0" w14:textId="77777777" w:rsidR="002278D3" w:rsidRDefault="002278D3" w:rsidP="002278D3">
      <w:pPr>
        <w:spacing w:after="0"/>
      </w:pPr>
      <w:r>
        <w:t>David Glicksberg, Hillsborough County</w:t>
      </w:r>
    </w:p>
    <w:p w14:paraId="263D2B09" w14:textId="77777777" w:rsidR="002278D3" w:rsidRDefault="002278D3" w:rsidP="002278D3">
      <w:pPr>
        <w:spacing w:after="0"/>
      </w:pPr>
      <w:r>
        <w:t>Troy Green, Hillsborough County</w:t>
      </w:r>
    </w:p>
    <w:p w14:paraId="13A8B7F6" w14:textId="77777777" w:rsidR="002278D3" w:rsidRDefault="002278D3" w:rsidP="002278D3">
      <w:pPr>
        <w:spacing w:after="0"/>
      </w:pPr>
      <w:proofErr w:type="spellStart"/>
      <w:r>
        <w:t>Jemy</w:t>
      </w:r>
      <w:proofErr w:type="spellEnd"/>
      <w:r>
        <w:t xml:space="preserve"> West Hinton, UF/IFAS</w:t>
      </w:r>
    </w:p>
    <w:p w14:paraId="4AA61AFA" w14:textId="77777777" w:rsidR="002278D3" w:rsidRDefault="002278D3" w:rsidP="002278D3">
      <w:pPr>
        <w:spacing w:after="0"/>
      </w:pPr>
      <w:r>
        <w:t>Puja Jasrotia, DEP</w:t>
      </w:r>
    </w:p>
    <w:p w14:paraId="6165D504" w14:textId="77777777" w:rsidR="002278D3" w:rsidRDefault="002278D3" w:rsidP="002278D3">
      <w:pPr>
        <w:spacing w:after="0"/>
      </w:pPr>
      <w:r>
        <w:t>Sarah Menz, DEP</w:t>
      </w:r>
    </w:p>
    <w:p w14:paraId="1AA9DF62" w14:textId="77777777" w:rsidR="002278D3" w:rsidRDefault="002278D3" w:rsidP="002278D3">
      <w:pPr>
        <w:spacing w:after="0"/>
      </w:pPr>
      <w:r>
        <w:t>Ryan Riordan, Hillsborough County</w:t>
      </w:r>
    </w:p>
    <w:p w14:paraId="01EB7FC8" w14:textId="77777777" w:rsidR="002278D3" w:rsidRDefault="002278D3" w:rsidP="002278D3">
      <w:pPr>
        <w:spacing w:after="0"/>
      </w:pPr>
      <w:r>
        <w:t>Lisa Strange, FDACS</w:t>
      </w:r>
    </w:p>
    <w:p w14:paraId="595ED9C0" w14:textId="5102B75B" w:rsidR="002278D3" w:rsidRDefault="002278D3" w:rsidP="002278D3">
      <w:pPr>
        <w:spacing w:after="0"/>
      </w:pPr>
      <w:r>
        <w:t>Matt Warren, FDACS</w:t>
      </w:r>
    </w:p>
    <w:p w14:paraId="12945CF3" w14:textId="1FBAF361" w:rsidR="00063852" w:rsidRPr="00063852" w:rsidRDefault="00063852" w:rsidP="002278D3">
      <w:pPr>
        <w:spacing w:after="0"/>
        <w:rPr>
          <w:i/>
          <w:iCs/>
        </w:rPr>
      </w:pPr>
      <w:r w:rsidRPr="00063852">
        <w:rPr>
          <w:i/>
          <w:iCs/>
        </w:rPr>
        <w:t>Tina Gordon, Wildwood Consulting</w:t>
      </w:r>
    </w:p>
    <w:p w14:paraId="20EB41B2" w14:textId="77777777" w:rsidR="00063852" w:rsidRDefault="00063852" w:rsidP="002278D3">
      <w:pPr>
        <w:spacing w:after="0"/>
        <w:rPr>
          <w:i/>
          <w:iCs/>
        </w:rPr>
        <w:sectPr w:rsidR="00063852" w:rsidSect="00063852">
          <w:type w:val="continuous"/>
          <w:pgSz w:w="12240" w:h="15840"/>
          <w:pgMar w:top="1440" w:right="1440" w:bottom="1440" w:left="1440" w:header="720" w:footer="720" w:gutter="0"/>
          <w:cols w:num="2" w:space="720"/>
          <w:docGrid w:linePitch="360"/>
        </w:sectPr>
      </w:pPr>
      <w:r w:rsidRPr="00063852">
        <w:rPr>
          <w:i/>
          <w:iCs/>
        </w:rPr>
        <w:t>Anita Nash, DEP</w:t>
      </w:r>
    </w:p>
    <w:p w14:paraId="70411019" w14:textId="03A30B0A" w:rsidR="00063852" w:rsidRDefault="00063852" w:rsidP="002278D3">
      <w:pPr>
        <w:spacing w:after="0"/>
        <w:rPr>
          <w:i/>
          <w:iCs/>
        </w:rPr>
      </w:pPr>
    </w:p>
    <w:p w14:paraId="7790ED41" w14:textId="7AFF9253" w:rsidR="00860A02" w:rsidRPr="00860A02" w:rsidRDefault="00860A02" w:rsidP="002278D3">
      <w:pPr>
        <w:spacing w:after="0"/>
        <w:rPr>
          <w:b/>
          <w:bCs/>
        </w:rPr>
      </w:pPr>
      <w:r w:rsidRPr="00860A02">
        <w:rPr>
          <w:b/>
          <w:bCs/>
        </w:rPr>
        <w:t>Background</w:t>
      </w:r>
    </w:p>
    <w:p w14:paraId="79D5B454" w14:textId="3674428C" w:rsidR="00063852" w:rsidRDefault="00063852" w:rsidP="002278D3">
      <w:pPr>
        <w:spacing w:after="0"/>
      </w:pPr>
      <w:r>
        <w:t xml:space="preserve">Anita Nash, Basin Coordination with the Florida Department of Environmental Protection (DEP), provided background information on the source identification work conducted by DEP in 2018 stating that all </w:t>
      </w:r>
      <w:r w:rsidR="003700C2">
        <w:t>Basin Management Action Plans (</w:t>
      </w:r>
      <w:r>
        <w:t>BMAPs</w:t>
      </w:r>
      <w:r w:rsidR="003700C2">
        <w:t>)</w:t>
      </w:r>
      <w:r>
        <w:t xml:space="preserve"> in the state were sampled and underwent source tracking to identify</w:t>
      </w:r>
      <w:r w:rsidR="009661F1">
        <w:t xml:space="preserve"> presence of untreated human waste and </w:t>
      </w:r>
      <w:proofErr w:type="spellStart"/>
      <w:r w:rsidR="009661F1">
        <w:t>lifestock</w:t>
      </w:r>
      <w:proofErr w:type="spellEnd"/>
      <w:r w:rsidR="009661F1">
        <w:t xml:space="preserve"> waste, both are</w:t>
      </w:r>
      <w:r>
        <w:t xml:space="preserve"> high-risk sources</w:t>
      </w:r>
      <w:r w:rsidR="009661F1">
        <w:t xml:space="preserve"> of fecal bacteria</w:t>
      </w:r>
      <w:r w:rsidR="00451A32">
        <w:t xml:space="preserve"> and pose a public health concern</w:t>
      </w:r>
      <w:r w:rsidR="009661F1">
        <w:t xml:space="preserve">. Chemical tracers and microbial source tracking markers were used as indicators of untreated human waste. A ruminant marker was used to identify places where further investigations and monitoring should be done to determine if bovine are contributing bacteria to the </w:t>
      </w:r>
      <w:proofErr w:type="gramStart"/>
      <w:r w:rsidR="009661F1">
        <w:t>waterbodies.</w:t>
      </w:r>
      <w:r w:rsidR="009259CA">
        <w:t>.</w:t>
      </w:r>
      <w:proofErr w:type="gramEnd"/>
      <w:r w:rsidR="009259CA">
        <w:t xml:space="preserve"> Anita provided information on the difference between ruminants and monogastric animals and stated that ruminants could include </w:t>
      </w:r>
      <w:r w:rsidR="009661F1">
        <w:t xml:space="preserve">for example, </w:t>
      </w:r>
      <w:r w:rsidR="009259CA">
        <w:t xml:space="preserve">cows, goats, sheep and deer. She also explained the difference between the </w:t>
      </w:r>
      <w:r w:rsidR="00F3392B">
        <w:t>molecular source tracking</w:t>
      </w:r>
      <w:r w:rsidR="009259CA">
        <w:t xml:space="preserve"> </w:t>
      </w:r>
      <w:r w:rsidR="00F3392B">
        <w:t xml:space="preserve">(MST) </w:t>
      </w:r>
      <w:r w:rsidR="009259CA">
        <w:t xml:space="preserve">markers </w:t>
      </w:r>
      <w:proofErr w:type="spellStart"/>
      <w:r w:rsidR="009259CA">
        <w:t>BacR</w:t>
      </w:r>
      <w:proofErr w:type="spellEnd"/>
      <w:r w:rsidR="009259CA">
        <w:t xml:space="preserve"> (ruminant marker which detects deer, alpaca, cattle, llamas, and goat) and the CowM2 (bovine marker which detects cattle). Puja Jasrotia, DEP, added that the </w:t>
      </w:r>
      <w:proofErr w:type="spellStart"/>
      <w:r w:rsidR="009259CA">
        <w:t>BacR</w:t>
      </w:r>
      <w:proofErr w:type="spellEnd"/>
      <w:r w:rsidR="009259CA">
        <w:t xml:space="preserve"> marker is more sensitive and added that if a sample has a hit for </w:t>
      </w:r>
      <w:proofErr w:type="spellStart"/>
      <w:r w:rsidR="009259CA">
        <w:t>BacR</w:t>
      </w:r>
      <w:proofErr w:type="spellEnd"/>
      <w:r w:rsidR="009259CA">
        <w:t xml:space="preserve"> </w:t>
      </w:r>
      <w:proofErr w:type="gramStart"/>
      <w:r w:rsidR="009259CA">
        <w:t>and also</w:t>
      </w:r>
      <w:proofErr w:type="gramEnd"/>
      <w:r w:rsidR="009259CA">
        <w:t xml:space="preserve"> a hit for CowM2</w:t>
      </w:r>
      <w:r w:rsidR="00F3392B">
        <w:t xml:space="preserve"> that would be considered definitively positive for cattle, although there could be other ruminants like deer or goats present in addition to cattle. Anita explained that cattle are subject to remediation where the natural deer population is </w:t>
      </w:r>
      <w:proofErr w:type="gramStart"/>
      <w:r w:rsidR="00F3392B">
        <w:t>not..</w:t>
      </w:r>
      <w:proofErr w:type="gramEnd"/>
      <w:r w:rsidR="00860A02">
        <w:t xml:space="preserve"> Anita </w:t>
      </w:r>
      <w:r w:rsidR="00451A32">
        <w:t xml:space="preserve">said </w:t>
      </w:r>
      <w:r w:rsidR="00860A02">
        <w:t>the location</w:t>
      </w:r>
      <w:r w:rsidR="00451A32">
        <w:t>s</w:t>
      </w:r>
      <w:r w:rsidR="00860A02">
        <w:t xml:space="preserve"> of </w:t>
      </w:r>
      <w:r w:rsidR="00451A32">
        <w:t xml:space="preserve">DEP’s 2018–2019 </w:t>
      </w:r>
      <w:r w:rsidR="00860A02">
        <w:t xml:space="preserve">sampling </w:t>
      </w:r>
      <w:r w:rsidR="00451A32">
        <w:t xml:space="preserve">stations were </w:t>
      </w:r>
      <w:proofErr w:type="spellStart"/>
      <w:r w:rsidR="00860A02">
        <w:t>Spartman</w:t>
      </w:r>
      <w:proofErr w:type="spellEnd"/>
      <w:r w:rsidR="00860A02">
        <w:t xml:space="preserve"> Branch at US Highway 92 and Spartman Branch at Harvey </w:t>
      </w:r>
      <w:proofErr w:type="spellStart"/>
      <w:r w:rsidR="00860A02">
        <w:t>Tew</w:t>
      </w:r>
      <w:proofErr w:type="spellEnd"/>
      <w:r w:rsidR="00860A02">
        <w:t xml:space="preserve"> Road. </w:t>
      </w:r>
    </w:p>
    <w:p w14:paraId="29113EF5" w14:textId="15A8F787" w:rsidR="00F3392B" w:rsidRDefault="00F3392B" w:rsidP="002278D3">
      <w:pPr>
        <w:spacing w:after="0"/>
      </w:pPr>
    </w:p>
    <w:p w14:paraId="2057B081" w14:textId="2529D4C5" w:rsidR="00860A02" w:rsidRPr="00063852" w:rsidRDefault="00F3392B" w:rsidP="002278D3">
      <w:pPr>
        <w:spacing w:after="0"/>
      </w:pPr>
      <w:r>
        <w:t xml:space="preserve">Anita reviewed the dataset sent out </w:t>
      </w:r>
      <w:r w:rsidR="00451A32">
        <w:t>before</w:t>
      </w:r>
      <w:r>
        <w:t xml:space="preserve"> the call explaining that DEP staff sampled five times between 2018 and 2019 and all samples, </w:t>
      </w:r>
      <w:proofErr w:type="gramStart"/>
      <w:r>
        <w:t>with the exception of</w:t>
      </w:r>
      <w:proofErr w:type="gramEnd"/>
      <w:r>
        <w:t xml:space="preserve"> the April 2019 sample, were positive for the ruminant marker. Lisa Strange, Florida Department of Agriculture and Consumer Services (FDACS) asked what units the MST results were expressed in and Sarah Menz, DEP, replied that the results represent the number of DNA copies per 100 milliliters </w:t>
      </w:r>
      <w:r w:rsidR="00860A02">
        <w:t xml:space="preserve">(mL) </w:t>
      </w:r>
      <w:r>
        <w:t xml:space="preserve">of water where the greater the magnitude, the stronger the presence of that type of bacteria in the sample. </w:t>
      </w:r>
      <w:r w:rsidR="00860A02">
        <w:t xml:space="preserve">Matt Warren, FDACS, asked what the threshold is for exceedance. Sarah explained that any samples below the detectable minimum are marked with a “U” on the lab reports and that </w:t>
      </w:r>
      <w:r w:rsidR="00860A02">
        <w:lastRenderedPageBreak/>
        <w:t xml:space="preserve">samples with less than five times that value are marked with an “I” and samples with more than five times the detectable limit are listed as a hit with the number of DNA copies per 100 </w:t>
      </w:r>
      <w:proofErr w:type="spellStart"/>
      <w:r w:rsidR="00860A02">
        <w:t>mL.</w:t>
      </w:r>
      <w:proofErr w:type="spellEnd"/>
      <w:r w:rsidR="00860A02">
        <w:t xml:space="preserve"> </w:t>
      </w:r>
    </w:p>
    <w:p w14:paraId="77C2B4E7" w14:textId="75D2EC7E" w:rsidR="00063852" w:rsidRDefault="00063852" w:rsidP="002278D3">
      <w:pPr>
        <w:spacing w:after="0"/>
      </w:pPr>
    </w:p>
    <w:p w14:paraId="37C7A4CC" w14:textId="39360E98" w:rsidR="00860A02" w:rsidRDefault="00860A02" w:rsidP="002278D3">
      <w:pPr>
        <w:spacing w:after="0"/>
        <w:rPr>
          <w:b/>
          <w:bCs/>
        </w:rPr>
      </w:pPr>
      <w:r w:rsidRPr="00BF37ED">
        <w:rPr>
          <w:b/>
          <w:bCs/>
        </w:rPr>
        <w:t>Partnerships</w:t>
      </w:r>
    </w:p>
    <w:p w14:paraId="69DAA659" w14:textId="7D75D0B3" w:rsidR="00BF37ED" w:rsidRDefault="00BF37ED" w:rsidP="002278D3">
      <w:pPr>
        <w:spacing w:after="0"/>
      </w:pPr>
      <w:r>
        <w:t xml:space="preserve">Anita asked Hillsborough County if they would agree that non-production agricultural sources would fall under the county jurisdiction. David Glicksberg stated that he </w:t>
      </w:r>
      <w:r w:rsidR="003700C2">
        <w:t>agreed but</w:t>
      </w:r>
      <w:r>
        <w:t xml:space="preserve"> informed the group that the county has had limited successful engagement relating to agriculture in the past. David stated that the county could agree to </w:t>
      </w:r>
      <w:proofErr w:type="gramStart"/>
      <w:r>
        <w:t>look into</w:t>
      </w:r>
      <w:proofErr w:type="gramEnd"/>
      <w:r>
        <w:t xml:space="preserve"> non-production sources but asked if they could partner with </w:t>
      </w:r>
      <w:r w:rsidR="008A439B">
        <w:t>the University of Florida Institute of Food and Agricultural Sciences (</w:t>
      </w:r>
      <w:r>
        <w:t>IFAS</w:t>
      </w:r>
      <w:r w:rsidR="008A439B">
        <w:t>)</w:t>
      </w:r>
      <w:r>
        <w:t xml:space="preserve"> or FDACS if they felt they needed assistance. </w:t>
      </w:r>
      <w:proofErr w:type="spellStart"/>
      <w:r>
        <w:t>Jemy</w:t>
      </w:r>
      <w:proofErr w:type="spellEnd"/>
      <w:r>
        <w:t xml:space="preserve"> West Hinton, IFAS, stated that there is not a cattle agent in Hillsborough County but there is a small farms agent, Francisco Rivera, and that the current director, Stephen Grand, is a former cattle agent who may be able to assist. </w:t>
      </w:r>
    </w:p>
    <w:p w14:paraId="6464D107" w14:textId="0AB3F1A8" w:rsidR="00BF37ED" w:rsidRDefault="00BF37ED" w:rsidP="002278D3">
      <w:pPr>
        <w:spacing w:after="0"/>
      </w:pPr>
    </w:p>
    <w:p w14:paraId="344A7407" w14:textId="50D45039" w:rsidR="00BF37ED" w:rsidRDefault="00BF37ED" w:rsidP="002278D3">
      <w:pPr>
        <w:spacing w:after="0"/>
      </w:pPr>
      <w:r>
        <w:t>Matt stated that he only saw one enrolled area within the cow/calf BMP, however it appeared to be in the Alafia BMAP. Yesenia Escribano, FDACS, stated that the Hillsborough tributaries are segmented and that if a producer is outside of a WBID</w:t>
      </w:r>
      <w:r w:rsidR="008A439B">
        <w:t xml:space="preserve"> listed in the BMAP</w:t>
      </w:r>
      <w:r>
        <w:t xml:space="preserve"> and is contributing they may not currently be subject to mandatory </w:t>
      </w:r>
      <w:proofErr w:type="gramStart"/>
      <w:r>
        <w:t>enrollment.</w:t>
      </w:r>
      <w:r w:rsidR="008A439B">
        <w:t>.</w:t>
      </w:r>
      <w:proofErr w:type="gramEnd"/>
      <w:r>
        <w:t xml:space="preserve"> </w:t>
      </w:r>
      <w:r w:rsidR="008E19FF">
        <w:t xml:space="preserve">The group agreed that if the source is found to be production agriculture, that would fall under FDACS jurisdiction. Anita asked if goats would fall under FDACS and Matt responded that there is not currently a small farms manual, however if they have conservation agreements with the Natural Resource Conservation Service (NRCS) then FDACS could work with them. Matt also stated that there can be properties who keep show steer or a couple of cows because they are not eligible for conservation credit for horses. These would not be considered production </w:t>
      </w:r>
      <w:proofErr w:type="gramStart"/>
      <w:r w:rsidR="008E19FF">
        <w:t>farms,</w:t>
      </w:r>
      <w:proofErr w:type="gramEnd"/>
      <w:r w:rsidR="008E19FF">
        <w:t xml:space="preserve"> however they could be a source. </w:t>
      </w:r>
    </w:p>
    <w:p w14:paraId="03D06A92" w14:textId="6D950FEB" w:rsidR="008E19FF" w:rsidRDefault="008E19FF" w:rsidP="002278D3">
      <w:pPr>
        <w:spacing w:after="0"/>
      </w:pPr>
    </w:p>
    <w:p w14:paraId="0A90A302" w14:textId="06287D86" w:rsidR="008E19FF" w:rsidRPr="00BF37ED" w:rsidRDefault="008E19FF" w:rsidP="002278D3">
      <w:pPr>
        <w:spacing w:after="0"/>
      </w:pPr>
      <w:r>
        <w:t>Partnerships proposed by Anita included having Hillsborough County take the water samples at locations</w:t>
      </w:r>
      <w:r w:rsidR="001513B7">
        <w:t xml:space="preserve"> near areas of interest</w:t>
      </w:r>
      <w:r>
        <w:t>, with FDACS accompanying them if the sampling location falls onto agricultural lands. Matt agreed to assist the county on agricultural lands and David asked that Anita determine the level of sampling efforts and timeline and provide the county with information so they can determine if they have the capacity to fulfill that need. Anita added that DEP would provide technical assistance and lab analysis in the short term since this waterbody has been identified as a priority</w:t>
      </w:r>
      <w:r w:rsidR="00451A32">
        <w:t>.</w:t>
      </w:r>
      <w:r>
        <w:t xml:space="preserve"> </w:t>
      </w:r>
    </w:p>
    <w:p w14:paraId="34171D7C" w14:textId="77777777" w:rsidR="00860A02" w:rsidRDefault="00860A02" w:rsidP="002278D3">
      <w:pPr>
        <w:spacing w:after="0"/>
        <w:rPr>
          <w:b/>
          <w:bCs/>
        </w:rPr>
      </w:pPr>
    </w:p>
    <w:p w14:paraId="6999C4BC" w14:textId="5E31B5C5" w:rsidR="00860A02" w:rsidRDefault="00860A02" w:rsidP="002278D3">
      <w:pPr>
        <w:spacing w:after="0"/>
        <w:rPr>
          <w:b/>
          <w:bCs/>
        </w:rPr>
      </w:pPr>
      <w:r w:rsidRPr="00860A02">
        <w:rPr>
          <w:b/>
          <w:bCs/>
        </w:rPr>
        <w:t>Locations</w:t>
      </w:r>
    </w:p>
    <w:p w14:paraId="5E40C033" w14:textId="0A257F7F" w:rsidR="00E81729" w:rsidRDefault="00860A02" w:rsidP="002278D3">
      <w:pPr>
        <w:spacing w:after="0"/>
      </w:pPr>
      <w:r>
        <w:t xml:space="preserve">Anita informed participants that the watershed flows northwest and, since sources are likely upstream, the locations of the follow-up sampling should likely focus southeast of the previous sampling locations. </w:t>
      </w:r>
      <w:proofErr w:type="spellStart"/>
      <w:r w:rsidR="008E19FF">
        <w:t>Jemy</w:t>
      </w:r>
      <w:proofErr w:type="spellEnd"/>
      <w:r w:rsidR="008E19FF">
        <w:t xml:space="preserve"> stated that the area south of US Highway 92 is primarily residential. </w:t>
      </w:r>
      <w:r w:rsidR="00C63FB6">
        <w:t xml:space="preserve">She indicated that she drove parts of the watershed and found a small herd of possibly longhorn cattle going left on Forbes to the dead end and on CP Keen at the dead end there was a small pasture behind some houses with cows. Matt added that to the east there are more pastures and a couple of areas with barns that may have cattle and that the lower spots where the waterway branches into east and west could be an opportunity to sample and narrow down the location. Lisa added that there are several locations including an 83-acre field with cattle at 4409 Thonotosassa Road, on Chitty Road, and north on Harvey </w:t>
      </w:r>
      <w:proofErr w:type="spellStart"/>
      <w:r w:rsidR="00C63FB6">
        <w:t>Tew</w:t>
      </w:r>
      <w:proofErr w:type="spellEnd"/>
      <w:r w:rsidR="00C63FB6">
        <w:t xml:space="preserve"> and </w:t>
      </w:r>
      <w:r w:rsidR="007C1FB6">
        <w:t>Bethlehem</w:t>
      </w:r>
      <w:r w:rsidR="00C63FB6">
        <w:t xml:space="preserve">. It was </w:t>
      </w:r>
      <w:r w:rsidR="00C63FB6">
        <w:lastRenderedPageBreak/>
        <w:t>determined that these locations are in the Pembe</w:t>
      </w:r>
      <w:r w:rsidR="00E81729">
        <w:t>r</w:t>
      </w:r>
      <w:r w:rsidR="00C63FB6">
        <w:t xml:space="preserve">ton Creek </w:t>
      </w:r>
      <w:r w:rsidR="00E81729">
        <w:t>watershed</w:t>
      </w:r>
      <w:r w:rsidR="00C63FB6">
        <w:t xml:space="preserve">. Anita clarified that </w:t>
      </w:r>
      <w:r w:rsidR="00E81729">
        <w:t xml:space="preserve">Pemberton </w:t>
      </w:r>
      <w:r w:rsidR="00C63FB6">
        <w:t xml:space="preserve">is </w:t>
      </w:r>
      <w:r w:rsidR="00E81729">
        <w:t>a</w:t>
      </w:r>
      <w:r w:rsidR="00C63FB6">
        <w:t xml:space="preserve"> separate waterway that </w:t>
      </w:r>
      <w:r w:rsidR="008A439B">
        <w:t xml:space="preserve">may </w:t>
      </w:r>
      <w:r w:rsidR="00C63FB6">
        <w:t>need to be sampled</w:t>
      </w:r>
      <w:r w:rsidR="008A439B">
        <w:t xml:space="preserve"> in the future</w:t>
      </w:r>
      <w:r w:rsidR="00C63FB6">
        <w:t xml:space="preserve">, however samples were taken at </w:t>
      </w:r>
      <w:r w:rsidR="00E81729">
        <w:t xml:space="preserve">Pemberton </w:t>
      </w:r>
      <w:r w:rsidR="00C63FB6">
        <w:t xml:space="preserve">Creek and </w:t>
      </w:r>
      <w:proofErr w:type="spellStart"/>
      <w:r w:rsidR="00C63FB6">
        <w:t>Spartman</w:t>
      </w:r>
      <w:proofErr w:type="spellEnd"/>
      <w:r w:rsidR="00C63FB6">
        <w:t xml:space="preserve"> Branch at the convergence and there were no hits. </w:t>
      </w:r>
      <w:proofErr w:type="spellStart"/>
      <w:r w:rsidR="00C63FB6">
        <w:t>Jemy</w:t>
      </w:r>
      <w:proofErr w:type="spellEnd"/>
      <w:r w:rsidR="00C63FB6">
        <w:t xml:space="preserve"> stated that on Airport Road and Sidney there is a camper storage site that sometimes has cattle. Anita stated that she would work with David to identify access roads and map those locations to send to the group for feedback. </w:t>
      </w:r>
    </w:p>
    <w:p w14:paraId="0F3E3B21" w14:textId="77777777" w:rsidR="00E81729" w:rsidRDefault="00E81729" w:rsidP="002278D3">
      <w:pPr>
        <w:spacing w:after="0"/>
      </w:pPr>
    </w:p>
    <w:p w14:paraId="17434510" w14:textId="139273D9" w:rsidR="00860A02" w:rsidRDefault="00E81729" w:rsidP="002278D3">
      <w:pPr>
        <w:spacing w:after="0"/>
      </w:pPr>
      <w:r>
        <w:t>(</w:t>
      </w:r>
      <w:r w:rsidR="00C63FB6">
        <w:t xml:space="preserve">David </w:t>
      </w:r>
      <w:r>
        <w:t xml:space="preserve">and Troy </w:t>
      </w:r>
      <w:r w:rsidR="00C63FB6">
        <w:t>sent suggested sampling sites following the meeting.</w:t>
      </w:r>
      <w:r>
        <w:t>)</w:t>
      </w:r>
      <w:r w:rsidR="00C63FB6">
        <w:t xml:space="preserve"> </w:t>
      </w:r>
      <w:proofErr w:type="spellStart"/>
      <w:r w:rsidR="00C63FB6">
        <w:t>Jemy</w:t>
      </w:r>
      <w:proofErr w:type="spellEnd"/>
      <w:r w:rsidR="00C63FB6">
        <w:t xml:space="preserve"> asked how far downstream a hit would register and if this could be an acute situation. Sarah explained that DEP does not have an exact distance because it depends on the volume of water and amount of material</w:t>
      </w:r>
      <w:r w:rsidR="0096324A">
        <w:t xml:space="preserve">, but the hits are not likely to come from just a couple of cattle or an acute source. </w:t>
      </w:r>
    </w:p>
    <w:p w14:paraId="4D1E1A73" w14:textId="16E990AF" w:rsidR="0096324A" w:rsidRDefault="0096324A" w:rsidP="002278D3">
      <w:pPr>
        <w:spacing w:after="0"/>
      </w:pPr>
    </w:p>
    <w:p w14:paraId="19605A6D" w14:textId="78CE397B" w:rsidR="0096324A" w:rsidRPr="0096324A" w:rsidRDefault="0096324A" w:rsidP="002278D3">
      <w:pPr>
        <w:spacing w:after="0"/>
        <w:rPr>
          <w:b/>
          <w:bCs/>
        </w:rPr>
      </w:pPr>
      <w:r w:rsidRPr="0096324A">
        <w:rPr>
          <w:b/>
          <w:bCs/>
        </w:rPr>
        <w:t>Follow-Up</w:t>
      </w:r>
    </w:p>
    <w:p w14:paraId="1A8011E8" w14:textId="418E52FA" w:rsidR="0096324A" w:rsidRDefault="0096324A" w:rsidP="002278D3">
      <w:pPr>
        <w:spacing w:after="0"/>
      </w:pPr>
      <w:r>
        <w:t xml:space="preserve">Anita suggested that for a designated </w:t>
      </w:r>
      <w:proofErr w:type="gramStart"/>
      <w:r>
        <w:t>period of time</w:t>
      </w:r>
      <w:proofErr w:type="gramEnd"/>
      <w:r>
        <w:t xml:space="preserve">, this team should meet to discuss sampling plans, results, and knowledge of the area, and any actions that need to take place based on sampling results. She stated that DEP can provide technical guidance and, for the short-term, MST analyses if partners agree to do monitoring, investigations, and pursue remediation of suspected sources. </w:t>
      </w:r>
    </w:p>
    <w:p w14:paraId="0C121E2F" w14:textId="2E1CB0FD" w:rsidR="0096324A" w:rsidRDefault="0096324A" w:rsidP="002278D3">
      <w:pPr>
        <w:spacing w:after="0"/>
      </w:pPr>
    </w:p>
    <w:p w14:paraId="1DBEB16E" w14:textId="0915DBFC" w:rsidR="0096324A" w:rsidRDefault="0096324A" w:rsidP="002278D3">
      <w:pPr>
        <w:spacing w:after="0"/>
        <w:rPr>
          <w:b/>
          <w:bCs/>
        </w:rPr>
      </w:pPr>
      <w:r w:rsidRPr="0096324A">
        <w:rPr>
          <w:b/>
          <w:bCs/>
        </w:rPr>
        <w:t>Action Items</w:t>
      </w:r>
    </w:p>
    <w:p w14:paraId="26A51B27" w14:textId="78DE350A" w:rsidR="0096324A" w:rsidRDefault="0096324A" w:rsidP="0096324A">
      <w:pPr>
        <w:pStyle w:val="ListParagraph"/>
        <w:numPr>
          <w:ilvl w:val="0"/>
          <w:numId w:val="9"/>
        </w:numPr>
        <w:spacing w:after="0"/>
      </w:pPr>
      <w:r>
        <w:t>Hillsborough County – identify potential sampling sites and access roads (completed 08/15/2019)</w:t>
      </w:r>
    </w:p>
    <w:p w14:paraId="7FA5CB06" w14:textId="435A9561" w:rsidR="0096324A" w:rsidRDefault="0096324A" w:rsidP="0096324A">
      <w:pPr>
        <w:pStyle w:val="ListParagraph"/>
        <w:numPr>
          <w:ilvl w:val="0"/>
          <w:numId w:val="9"/>
        </w:numPr>
        <w:spacing w:after="0"/>
      </w:pPr>
      <w:r>
        <w:t>Anita/Tina – Coordinate bi-monthly calls</w:t>
      </w:r>
    </w:p>
    <w:p w14:paraId="3DCDCFDD" w14:textId="7472FDF5" w:rsidR="0096324A" w:rsidRDefault="0096324A" w:rsidP="0096324A">
      <w:pPr>
        <w:pStyle w:val="ListParagraph"/>
        <w:numPr>
          <w:ilvl w:val="0"/>
          <w:numId w:val="9"/>
        </w:numPr>
        <w:spacing w:after="0"/>
      </w:pPr>
      <w:r>
        <w:t xml:space="preserve">Anita – Send the possible sampling locations to the </w:t>
      </w:r>
      <w:proofErr w:type="gramStart"/>
      <w:r>
        <w:t>group  list</w:t>
      </w:r>
      <w:proofErr w:type="gramEnd"/>
      <w:r>
        <w:t xml:space="preserve"> to Hillsborough County for consideration</w:t>
      </w:r>
      <w:bookmarkStart w:id="0" w:name="_GoBack"/>
      <w:r w:rsidR="00E81729">
        <w:t xml:space="preserve"> (sent to county 9-18-19)</w:t>
      </w:r>
      <w:bookmarkEnd w:id="0"/>
    </w:p>
    <w:p w14:paraId="05218AE6" w14:textId="5BBEB25F" w:rsidR="0096324A" w:rsidRPr="0096324A" w:rsidRDefault="0096324A" w:rsidP="002278D3">
      <w:pPr>
        <w:spacing w:after="0"/>
      </w:pPr>
      <w:r>
        <w:t xml:space="preserve"> </w:t>
      </w:r>
    </w:p>
    <w:sectPr w:rsidR="0096324A" w:rsidRPr="0096324A" w:rsidSect="00063852">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B3378"/>
    <w:multiLevelType w:val="hybridMultilevel"/>
    <w:tmpl w:val="C1986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04107"/>
    <w:multiLevelType w:val="multilevel"/>
    <w:tmpl w:val="2954DD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2914CE5"/>
    <w:multiLevelType w:val="hybridMultilevel"/>
    <w:tmpl w:val="7EEA586A"/>
    <w:lvl w:ilvl="0" w:tplc="068C87C8">
      <w:start w:val="1"/>
      <w:numFmt w:val="decimal"/>
      <w:pStyle w:val="Section1Heading"/>
      <w:lvlText w:val="%1.2"/>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8B08D7"/>
    <w:multiLevelType w:val="multilevel"/>
    <w:tmpl w:val="26F88490"/>
    <w:lvl w:ilvl="0">
      <w:start w:val="1"/>
      <w:numFmt w:val="decimal"/>
      <w:pStyle w:val="Heading1"/>
      <w:suff w:val="nothing"/>
      <w:lvlText w:val="Section %1"/>
      <w:lvlJc w:val="left"/>
      <w:pPr>
        <w:ind w:left="97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35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
  </w:num>
  <w:num w:numId="2">
    <w:abstractNumId w:val="3"/>
  </w:num>
  <w:num w:numId="3">
    <w:abstractNumId w:val="2"/>
  </w:num>
  <w:num w:numId="4">
    <w:abstractNumId w:val="1"/>
  </w:num>
  <w:num w:numId="5">
    <w:abstractNumId w:val="3"/>
  </w:num>
  <w:num w:numId="6">
    <w:abstractNumId w:val="3"/>
  </w:num>
  <w:num w:numId="7">
    <w:abstractNumId w:val="3"/>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8D3"/>
    <w:rsid w:val="00040DE2"/>
    <w:rsid w:val="00063852"/>
    <w:rsid w:val="000932FE"/>
    <w:rsid w:val="001513B7"/>
    <w:rsid w:val="00152888"/>
    <w:rsid w:val="002278D3"/>
    <w:rsid w:val="002B011F"/>
    <w:rsid w:val="003700C2"/>
    <w:rsid w:val="003C474D"/>
    <w:rsid w:val="003D3A61"/>
    <w:rsid w:val="003F2810"/>
    <w:rsid w:val="00451A32"/>
    <w:rsid w:val="004945B7"/>
    <w:rsid w:val="005C17BC"/>
    <w:rsid w:val="00675424"/>
    <w:rsid w:val="00694933"/>
    <w:rsid w:val="007C1FB6"/>
    <w:rsid w:val="00860A02"/>
    <w:rsid w:val="008A439B"/>
    <w:rsid w:val="008E19FF"/>
    <w:rsid w:val="00921E21"/>
    <w:rsid w:val="009259CA"/>
    <w:rsid w:val="0096324A"/>
    <w:rsid w:val="009661F1"/>
    <w:rsid w:val="009A70AC"/>
    <w:rsid w:val="00A00BA5"/>
    <w:rsid w:val="00BF37ED"/>
    <w:rsid w:val="00C63FB6"/>
    <w:rsid w:val="00E05660"/>
    <w:rsid w:val="00E81729"/>
    <w:rsid w:val="00EC520B"/>
    <w:rsid w:val="00F02464"/>
    <w:rsid w:val="00F3392B"/>
    <w:rsid w:val="00FC6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5322C"/>
  <w15:chartTrackingRefBased/>
  <w15:docId w15:val="{FCD96FD1-BD12-43F8-97AE-F4781A2C9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4933"/>
  </w:style>
  <w:style w:type="paragraph" w:styleId="Heading1">
    <w:name w:val="heading 1"/>
    <w:basedOn w:val="Normal"/>
    <w:next w:val="Normal"/>
    <w:link w:val="Heading1Char"/>
    <w:uiPriority w:val="9"/>
    <w:qFormat/>
    <w:rsid w:val="00FC64D2"/>
    <w:pPr>
      <w:keepNext/>
      <w:numPr>
        <w:numId w:val="8"/>
      </w:numPr>
      <w:pBdr>
        <w:bottom w:val="single" w:sz="4" w:space="1" w:color="auto"/>
      </w:pBdr>
      <w:spacing w:before="240" w:after="240"/>
      <w:jc w:val="center"/>
      <w:outlineLvl w:val="0"/>
    </w:pPr>
    <w:rPr>
      <w:rFonts w:ascii="Times New Roman Bold" w:hAnsi="Times New Roman Bold"/>
      <w:b/>
      <w:bCs/>
      <w:kern w:val="32"/>
      <w:sz w:val="32"/>
      <w:szCs w:val="32"/>
    </w:rPr>
  </w:style>
  <w:style w:type="paragraph" w:styleId="Heading2">
    <w:name w:val="heading 2"/>
    <w:aliases w:val="Heading 2 New"/>
    <w:basedOn w:val="Normal"/>
    <w:next w:val="Normal"/>
    <w:link w:val="Heading2Char"/>
    <w:uiPriority w:val="9"/>
    <w:qFormat/>
    <w:rsid w:val="00FC64D2"/>
    <w:pPr>
      <w:keepNext/>
      <w:numPr>
        <w:ilvl w:val="1"/>
        <w:numId w:val="8"/>
      </w:numPr>
      <w:spacing w:before="120" w:after="120"/>
      <w:outlineLvl w:val="1"/>
    </w:pPr>
    <w:rPr>
      <w:rFonts w:ascii="Times New Roman Bold" w:hAnsi="Times New Roman Bold"/>
      <w:b/>
      <w:bCs/>
      <w:iCs/>
      <w:sz w:val="28"/>
      <w:szCs w:val="28"/>
    </w:rPr>
  </w:style>
  <w:style w:type="paragraph" w:styleId="Heading3">
    <w:name w:val="heading 3"/>
    <w:basedOn w:val="Normal"/>
    <w:next w:val="Normal"/>
    <w:link w:val="Heading3Char"/>
    <w:uiPriority w:val="9"/>
    <w:qFormat/>
    <w:rsid w:val="00FC64D2"/>
    <w:pPr>
      <w:keepNext/>
      <w:numPr>
        <w:ilvl w:val="2"/>
        <w:numId w:val="8"/>
      </w:numPr>
      <w:spacing w:before="120" w:after="120"/>
      <w:outlineLvl w:val="2"/>
    </w:pPr>
    <w:rPr>
      <w:rFonts w:ascii="Times New Roman Bold" w:hAnsi="Times New Roman Bold"/>
      <w:b/>
      <w:bCs/>
      <w:i/>
      <w:szCs w:val="24"/>
    </w:rPr>
  </w:style>
  <w:style w:type="paragraph" w:styleId="Heading4">
    <w:name w:val="heading 4"/>
    <w:basedOn w:val="Normal"/>
    <w:next w:val="Normal"/>
    <w:link w:val="Heading4Char"/>
    <w:uiPriority w:val="9"/>
    <w:qFormat/>
    <w:rsid w:val="00FC64D2"/>
    <w:pPr>
      <w:keepNext/>
      <w:numPr>
        <w:ilvl w:val="3"/>
        <w:numId w:val="7"/>
      </w:numPr>
      <w:spacing w:after="0"/>
      <w:outlineLvl w:val="3"/>
    </w:pPr>
    <w:rPr>
      <w:rFonts w:ascii="Times New Roman Bold" w:hAnsi="Times New Roman Bold"/>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New Char"/>
    <w:link w:val="Heading2"/>
    <w:uiPriority w:val="9"/>
    <w:rsid w:val="00FC64D2"/>
    <w:rPr>
      <w:rFonts w:ascii="Times New Roman Bold" w:hAnsi="Times New Roman Bold"/>
      <w:b/>
      <w:bCs/>
      <w:iCs/>
      <w:sz w:val="28"/>
      <w:szCs w:val="28"/>
    </w:rPr>
  </w:style>
  <w:style w:type="character" w:customStyle="1" w:styleId="Heading1Char">
    <w:name w:val="Heading 1 Char"/>
    <w:link w:val="Heading1"/>
    <w:uiPriority w:val="9"/>
    <w:rsid w:val="00FC64D2"/>
    <w:rPr>
      <w:rFonts w:ascii="Times New Roman Bold" w:hAnsi="Times New Roman Bold"/>
      <w:b/>
      <w:bCs/>
      <w:kern w:val="32"/>
      <w:sz w:val="32"/>
      <w:szCs w:val="32"/>
    </w:rPr>
  </w:style>
  <w:style w:type="paragraph" w:styleId="Title">
    <w:name w:val="Title"/>
    <w:aliases w:val="Report Title"/>
    <w:basedOn w:val="Normal"/>
    <w:link w:val="TitleChar"/>
    <w:autoRedefine/>
    <w:qFormat/>
    <w:rsid w:val="00040DE2"/>
    <w:pPr>
      <w:spacing w:after="0" w:line="240" w:lineRule="auto"/>
      <w:jc w:val="center"/>
    </w:pPr>
    <w:rPr>
      <w:rFonts w:eastAsia="Times New Roman"/>
      <w:b/>
      <w:bCs/>
      <w:i/>
      <w:sz w:val="40"/>
      <w:szCs w:val="56"/>
    </w:rPr>
  </w:style>
  <w:style w:type="character" w:customStyle="1" w:styleId="TitleChar">
    <w:name w:val="Title Char"/>
    <w:aliases w:val="Report Title Char"/>
    <w:basedOn w:val="DefaultParagraphFont"/>
    <w:link w:val="Title"/>
    <w:rsid w:val="00040DE2"/>
    <w:rPr>
      <w:rFonts w:ascii="Times New Roman" w:eastAsia="Times New Roman" w:hAnsi="Times New Roman" w:cs="Times New Roman"/>
      <w:b/>
      <w:bCs/>
      <w:i/>
      <w:sz w:val="40"/>
      <w:szCs w:val="56"/>
    </w:rPr>
  </w:style>
  <w:style w:type="character" w:customStyle="1" w:styleId="Heading3Char">
    <w:name w:val="Heading 3 Char"/>
    <w:link w:val="Heading3"/>
    <w:uiPriority w:val="9"/>
    <w:rsid w:val="00FC64D2"/>
    <w:rPr>
      <w:rFonts w:ascii="Times New Roman Bold" w:hAnsi="Times New Roman Bold"/>
      <w:b/>
      <w:bCs/>
      <w:i/>
      <w:sz w:val="24"/>
      <w:szCs w:val="24"/>
    </w:rPr>
  </w:style>
  <w:style w:type="table" w:styleId="TableGrid">
    <w:name w:val="Table Grid"/>
    <w:basedOn w:val="TableNormal"/>
    <w:uiPriority w:val="39"/>
    <w:rsid w:val="00694933"/>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0"/>
      </w:rPr>
      <w:tblPr/>
      <w:tcPr>
        <w:shd w:val="clear" w:color="auto" w:fill="D9E2F3" w:themeFill="accent1" w:themeFillTint="33"/>
      </w:tcPr>
    </w:tblStylePr>
    <w:tblStylePr w:type="lastRow">
      <w:rPr>
        <w:rFonts w:ascii="Times New Roman" w:hAnsi="Times New Roman"/>
        <w:b/>
      </w:rPr>
      <w:tblPr/>
      <w:tcPr>
        <w:shd w:val="clear" w:color="auto" w:fill="FFF2CC" w:themeFill="accent4" w:themeFillTint="33"/>
      </w:tcPr>
    </w:tblStylePr>
    <w:tblStylePr w:type="firstCol">
      <w:rPr>
        <w:rFonts w:ascii="Times New Roman" w:hAnsi="Times New Roman"/>
        <w:b/>
      </w:rPr>
    </w:tblStylePr>
  </w:style>
  <w:style w:type="paragraph" w:styleId="Header">
    <w:name w:val="header"/>
    <w:basedOn w:val="Normal"/>
    <w:link w:val="HeaderChar"/>
    <w:autoRedefine/>
    <w:uiPriority w:val="99"/>
    <w:qFormat/>
    <w:rsid w:val="00040DE2"/>
    <w:pPr>
      <w:tabs>
        <w:tab w:val="center" w:pos="4680"/>
        <w:tab w:val="right" w:pos="9360"/>
      </w:tabs>
      <w:spacing w:after="240"/>
      <w:jc w:val="center"/>
    </w:pPr>
    <w:rPr>
      <w:rFonts w:asciiTheme="minorHAnsi" w:hAnsiTheme="minorHAnsi"/>
      <w:i/>
      <w:sz w:val="22"/>
    </w:rPr>
  </w:style>
  <w:style w:type="character" w:customStyle="1" w:styleId="HeaderChar">
    <w:name w:val="Header Char"/>
    <w:link w:val="Header"/>
    <w:uiPriority w:val="99"/>
    <w:rsid w:val="00040DE2"/>
    <w:rPr>
      <w:i/>
    </w:rPr>
  </w:style>
  <w:style w:type="paragraph" w:customStyle="1" w:styleId="ReportSubtitle">
    <w:name w:val="Report Subtitle"/>
    <w:basedOn w:val="BodyText"/>
    <w:autoRedefine/>
    <w:qFormat/>
    <w:rsid w:val="00040DE2"/>
    <w:pPr>
      <w:spacing w:after="0"/>
      <w:jc w:val="center"/>
    </w:pPr>
    <w:rPr>
      <w:b/>
      <w:sz w:val="32"/>
      <w:szCs w:val="28"/>
    </w:rPr>
  </w:style>
  <w:style w:type="paragraph" w:styleId="BodyText">
    <w:name w:val="Body Text"/>
    <w:basedOn w:val="Normal"/>
    <w:next w:val="Normal"/>
    <w:link w:val="BodyTextChar"/>
    <w:autoRedefine/>
    <w:unhideWhenUsed/>
    <w:qFormat/>
    <w:rsid w:val="005C17BC"/>
    <w:pPr>
      <w:spacing w:after="240" w:line="240" w:lineRule="auto"/>
    </w:pPr>
    <w:rPr>
      <w:rFonts w:eastAsia="Times New Roman"/>
    </w:rPr>
  </w:style>
  <w:style w:type="character" w:customStyle="1" w:styleId="BodyTextChar">
    <w:name w:val="Body Text Char"/>
    <w:basedOn w:val="DefaultParagraphFont"/>
    <w:link w:val="BodyText"/>
    <w:rsid w:val="005C17BC"/>
    <w:rPr>
      <w:rFonts w:ascii="Times New Roman" w:eastAsia="Times New Roman" w:hAnsi="Times New Roman" w:cs="Times New Roman"/>
      <w:sz w:val="24"/>
      <w:szCs w:val="20"/>
    </w:rPr>
  </w:style>
  <w:style w:type="paragraph" w:customStyle="1" w:styleId="Table">
    <w:name w:val="Table"/>
    <w:next w:val="BodyText"/>
    <w:link w:val="TableChar"/>
    <w:autoRedefine/>
    <w:qFormat/>
    <w:rsid w:val="00040DE2"/>
    <w:pPr>
      <w:spacing w:before="120" w:after="120" w:line="360" w:lineRule="auto"/>
      <w:jc w:val="center"/>
    </w:pPr>
    <w:rPr>
      <w:rFonts w:ascii="Times New Roman Bold" w:hAnsi="Times New Roman Bold"/>
      <w:b/>
    </w:rPr>
  </w:style>
  <w:style w:type="character" w:customStyle="1" w:styleId="TableChar">
    <w:name w:val="Table Char"/>
    <w:basedOn w:val="DefaultParagraphFont"/>
    <w:link w:val="Table"/>
    <w:rsid w:val="00040DE2"/>
    <w:rPr>
      <w:rFonts w:ascii="Times New Roman Bold" w:hAnsi="Times New Roman Bold"/>
      <w:b/>
      <w:sz w:val="24"/>
    </w:rPr>
  </w:style>
  <w:style w:type="paragraph" w:customStyle="1" w:styleId="Tablecolumnheader">
    <w:name w:val="Table column header"/>
    <w:basedOn w:val="Normal"/>
    <w:autoRedefine/>
    <w:qFormat/>
    <w:rsid w:val="00040DE2"/>
    <w:pPr>
      <w:autoSpaceDE w:val="0"/>
      <w:autoSpaceDN w:val="0"/>
      <w:adjustRightInd w:val="0"/>
      <w:spacing w:after="240"/>
      <w:jc w:val="center"/>
    </w:pPr>
    <w:rPr>
      <w:rFonts w:ascii="Times New Roman Bold" w:eastAsia="Times New Roman" w:hAnsi="Times New Roman Bold" w:cs="Arial"/>
      <w:b/>
      <w:bCs/>
      <w:color w:val="000000"/>
      <w:sz w:val="20"/>
      <w:szCs w:val="18"/>
    </w:rPr>
  </w:style>
  <w:style w:type="paragraph" w:customStyle="1" w:styleId="TableText">
    <w:name w:val="Table Text"/>
    <w:basedOn w:val="Header"/>
    <w:link w:val="TableTextChar"/>
    <w:autoRedefine/>
    <w:qFormat/>
    <w:rsid w:val="00040DE2"/>
    <w:pPr>
      <w:tabs>
        <w:tab w:val="clear" w:pos="4680"/>
        <w:tab w:val="clear" w:pos="9360"/>
      </w:tabs>
      <w:spacing w:after="0"/>
    </w:pPr>
    <w:rPr>
      <w:i w:val="0"/>
    </w:rPr>
  </w:style>
  <w:style w:type="character" w:customStyle="1" w:styleId="TableTextChar">
    <w:name w:val="Table Text Char"/>
    <w:link w:val="TableText"/>
    <w:rsid w:val="00040DE2"/>
  </w:style>
  <w:style w:type="paragraph" w:customStyle="1" w:styleId="Section1Heading">
    <w:name w:val="Section 1 Heading"/>
    <w:basedOn w:val="Heading2"/>
    <w:autoRedefine/>
    <w:qFormat/>
    <w:rsid w:val="00040DE2"/>
    <w:pPr>
      <w:numPr>
        <w:ilvl w:val="0"/>
        <w:numId w:val="3"/>
      </w:numPr>
    </w:pPr>
    <w:rPr>
      <w:rFonts w:eastAsia="Times New Roman"/>
    </w:rPr>
  </w:style>
  <w:style w:type="character" w:customStyle="1" w:styleId="Heading4Char">
    <w:name w:val="Heading 4 Char"/>
    <w:link w:val="Heading4"/>
    <w:uiPriority w:val="9"/>
    <w:rsid w:val="00FC64D2"/>
    <w:rPr>
      <w:rFonts w:ascii="Times New Roman Bold" w:hAnsi="Times New Roman Bold"/>
      <w:bCs/>
      <w:sz w:val="24"/>
      <w:szCs w:val="28"/>
    </w:rPr>
  </w:style>
  <w:style w:type="paragraph" w:styleId="ListParagraph">
    <w:name w:val="List Paragraph"/>
    <w:basedOn w:val="Normal"/>
    <w:uiPriority w:val="34"/>
    <w:qFormat/>
    <w:rsid w:val="00963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187590">
      <w:bodyDiv w:val="1"/>
      <w:marLeft w:val="0"/>
      <w:marRight w:val="0"/>
      <w:marTop w:val="0"/>
      <w:marBottom w:val="0"/>
      <w:divBdr>
        <w:top w:val="none" w:sz="0" w:space="0" w:color="auto"/>
        <w:left w:val="none" w:sz="0" w:space="0" w:color="auto"/>
        <w:bottom w:val="none" w:sz="0" w:space="0" w:color="auto"/>
        <w:right w:val="none" w:sz="0" w:space="0" w:color="auto"/>
      </w:divBdr>
    </w:div>
    <w:div w:id="160237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1160</Words>
  <Characters>6617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Gordon</dc:creator>
  <cp:keywords/>
  <dc:description/>
  <cp:lastModifiedBy>Tina Gordon</cp:lastModifiedBy>
  <cp:revision>2</cp:revision>
  <dcterms:created xsi:type="dcterms:W3CDTF">2019-09-23T17:55:00Z</dcterms:created>
  <dcterms:modified xsi:type="dcterms:W3CDTF">2019-09-23T17:55:00Z</dcterms:modified>
</cp:coreProperties>
</file>