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A26" w:rsidRPr="008927F3" w:rsidRDefault="008927F3" w:rsidP="008927F3">
      <w:pPr>
        <w:jc w:val="center"/>
        <w:rPr>
          <w:rStyle w:val="SubtleReference"/>
          <w:sz w:val="44"/>
        </w:rPr>
      </w:pPr>
      <w:r w:rsidRPr="008927F3">
        <w:rPr>
          <w:rStyle w:val="SubtleReference"/>
          <w:sz w:val="44"/>
        </w:rPr>
        <w:t>Unresolved Questions from BMAP Meeting</w:t>
      </w:r>
    </w:p>
    <w:p w:rsidR="008927F3" w:rsidRDefault="008927F3" w:rsidP="0077060B">
      <w:pPr>
        <w:pStyle w:val="ListParagraph"/>
        <w:numPr>
          <w:ilvl w:val="0"/>
          <w:numId w:val="1"/>
        </w:numPr>
        <w:spacing w:before="240" w:line="480" w:lineRule="auto"/>
      </w:pPr>
      <w:r>
        <w:t>ASK FDEP: Please evaluate effectiveness of St. Johns Credit Trading Program? Has it improved water quality?</w:t>
      </w:r>
    </w:p>
    <w:p w:rsidR="002524EA" w:rsidRDefault="002524EA" w:rsidP="002524EA">
      <w:pPr>
        <w:spacing w:before="240" w:line="480" w:lineRule="auto"/>
        <w:ind w:left="360"/>
      </w:pPr>
      <w:r>
        <w:t>Mike: I asked Tiffany Busby, whom is involved with this area, to answer this one.  Her response is what follows.</w:t>
      </w:r>
    </w:p>
    <w:p w:rsidR="002524EA" w:rsidRPr="002524EA" w:rsidRDefault="002524EA" w:rsidP="002524EA">
      <w:pPr>
        <w:ind w:left="1080"/>
        <w:rPr>
          <w:i/>
        </w:rPr>
      </w:pPr>
      <w:r w:rsidRPr="002524EA">
        <w:rPr>
          <w:i/>
        </w:rPr>
        <w:t xml:space="preserve">“The Lower St. Johns Trading Program has been effective by allowing cost-effective projects to achieve nutrient reductions.  The trading program itself is designed to allow more flexibility with what projects can be done without losing any environmental benefits.  In this sense, the trading program is environmentally neutral, and designed to be so.  The program has been effective in allowing more cost effective projects to be selected, which helps the projects get done, and to be done sooner, because funding is less of a limitation.  Most entities have completed their required reductions due to the flexibility that trading provided, and the TMDLs are close to being met after 3 years of implementation.  And, yes, the observed </w:t>
      </w:r>
      <w:proofErr w:type="spellStart"/>
      <w:r w:rsidRPr="002524EA">
        <w:rPr>
          <w:i/>
        </w:rPr>
        <w:t>chl</w:t>
      </w:r>
      <w:proofErr w:type="spellEnd"/>
      <w:r w:rsidRPr="002524EA">
        <w:rPr>
          <w:i/>
        </w:rPr>
        <w:t>-</w:t>
      </w:r>
      <w:proofErr w:type="gramStart"/>
      <w:r w:rsidRPr="002524EA">
        <w:rPr>
          <w:i/>
        </w:rPr>
        <w:t>a and</w:t>
      </w:r>
      <w:proofErr w:type="gramEnd"/>
      <w:r w:rsidRPr="002524EA">
        <w:rPr>
          <w:i/>
        </w:rPr>
        <w:t xml:space="preserve"> dissolved oxygen conditions are improving.</w:t>
      </w:r>
    </w:p>
    <w:p w:rsidR="002524EA" w:rsidRPr="002524EA" w:rsidRDefault="002524EA" w:rsidP="002524EA">
      <w:pPr>
        <w:ind w:left="1080"/>
        <w:rPr>
          <w:i/>
        </w:rPr>
      </w:pPr>
    </w:p>
    <w:p w:rsidR="002524EA" w:rsidRPr="002524EA" w:rsidRDefault="002524EA" w:rsidP="002524EA">
      <w:pPr>
        <w:ind w:left="1080"/>
        <w:rPr>
          <w:i/>
        </w:rPr>
      </w:pPr>
      <w:r>
        <w:rPr>
          <w:i/>
        </w:rPr>
        <w:t>Lessons Learned (</w:t>
      </w:r>
      <w:r w:rsidRPr="002524EA">
        <w:rPr>
          <w:i/>
        </w:rPr>
        <w:t>the July 2012 PowerPoint</w:t>
      </w:r>
      <w:r>
        <w:rPr>
          <w:i/>
        </w:rPr>
        <w:t xml:space="preserve"> is available if needed</w:t>
      </w:r>
      <w:r w:rsidRPr="002524EA">
        <w:rPr>
          <w:i/>
        </w:rPr>
        <w:t>)</w:t>
      </w:r>
    </w:p>
    <w:p w:rsidR="002524EA" w:rsidRPr="002524EA" w:rsidRDefault="002524EA" w:rsidP="002524EA">
      <w:pPr>
        <w:numPr>
          <w:ilvl w:val="0"/>
          <w:numId w:val="2"/>
        </w:numPr>
        <w:spacing w:after="0" w:line="240" w:lineRule="auto"/>
        <w:ind w:left="1080" w:firstLine="0"/>
        <w:rPr>
          <w:rFonts w:eastAsia="Times New Roman"/>
          <w:i/>
        </w:rPr>
      </w:pPr>
      <w:r w:rsidRPr="002524EA">
        <w:rPr>
          <w:rFonts w:eastAsia="Times New Roman"/>
          <w:i/>
        </w:rPr>
        <w:t>Trading can work—and allows lower cost alternatives to achieve reductions</w:t>
      </w:r>
    </w:p>
    <w:p w:rsidR="002524EA" w:rsidRPr="002524EA" w:rsidRDefault="002524EA" w:rsidP="002524EA">
      <w:pPr>
        <w:numPr>
          <w:ilvl w:val="0"/>
          <w:numId w:val="2"/>
        </w:numPr>
        <w:spacing w:after="0" w:line="240" w:lineRule="auto"/>
        <w:ind w:left="1080" w:firstLine="0"/>
        <w:rPr>
          <w:rFonts w:eastAsia="Times New Roman"/>
          <w:i/>
        </w:rPr>
      </w:pPr>
      <w:r w:rsidRPr="002524EA">
        <w:rPr>
          <w:rFonts w:eastAsia="Times New Roman"/>
          <w:i/>
        </w:rPr>
        <w:t>Trading requires specific requirements to create the market</w:t>
      </w:r>
    </w:p>
    <w:p w:rsidR="002524EA" w:rsidRPr="002524EA" w:rsidRDefault="002524EA" w:rsidP="002524EA">
      <w:pPr>
        <w:numPr>
          <w:ilvl w:val="0"/>
          <w:numId w:val="2"/>
        </w:numPr>
        <w:spacing w:after="0" w:line="240" w:lineRule="auto"/>
        <w:ind w:left="1080" w:firstLine="0"/>
        <w:rPr>
          <w:rFonts w:eastAsia="Times New Roman"/>
          <w:i/>
        </w:rPr>
      </w:pPr>
      <w:r w:rsidRPr="002524EA">
        <w:rPr>
          <w:rFonts w:eastAsia="Times New Roman"/>
          <w:i/>
        </w:rPr>
        <w:t>Sellers won’t sell if they are insecure with their own compliance</w:t>
      </w:r>
    </w:p>
    <w:p w:rsidR="002524EA" w:rsidRPr="002524EA" w:rsidRDefault="002524EA" w:rsidP="002524EA">
      <w:pPr>
        <w:numPr>
          <w:ilvl w:val="0"/>
          <w:numId w:val="2"/>
        </w:numPr>
        <w:spacing w:after="0" w:line="240" w:lineRule="auto"/>
        <w:ind w:left="1080" w:firstLine="0"/>
        <w:rPr>
          <w:rFonts w:eastAsia="Times New Roman"/>
          <w:i/>
        </w:rPr>
      </w:pPr>
      <w:r w:rsidRPr="002524EA">
        <w:rPr>
          <w:rFonts w:eastAsia="Times New Roman"/>
          <w:i/>
        </w:rPr>
        <w:t>Aggregate permits are very efficient; allows multiple facilities to coordinate and to focus on the most cost-effective reductions.</w:t>
      </w:r>
    </w:p>
    <w:p w:rsidR="002524EA" w:rsidRPr="002524EA" w:rsidRDefault="002524EA" w:rsidP="002524EA">
      <w:pPr>
        <w:numPr>
          <w:ilvl w:val="0"/>
          <w:numId w:val="2"/>
        </w:numPr>
        <w:spacing w:after="0" w:line="240" w:lineRule="auto"/>
        <w:ind w:left="1080" w:firstLine="0"/>
        <w:rPr>
          <w:rFonts w:eastAsia="Times New Roman"/>
          <w:i/>
        </w:rPr>
      </w:pPr>
      <w:r w:rsidRPr="002524EA">
        <w:rPr>
          <w:rFonts w:eastAsia="Times New Roman"/>
          <w:i/>
        </w:rPr>
        <w:t>Timing: The Pre-BMAP Phase Was Used for Most Trades</w:t>
      </w:r>
    </w:p>
    <w:p w:rsidR="002524EA" w:rsidRPr="002524EA" w:rsidRDefault="002524EA" w:rsidP="002524EA">
      <w:pPr>
        <w:numPr>
          <w:ilvl w:val="1"/>
          <w:numId w:val="3"/>
        </w:numPr>
        <w:spacing w:after="0" w:line="240" w:lineRule="auto"/>
        <w:ind w:left="1080" w:firstLine="0"/>
        <w:rPr>
          <w:rFonts w:eastAsia="Times New Roman"/>
          <w:i/>
        </w:rPr>
      </w:pPr>
      <w:r w:rsidRPr="002524EA">
        <w:rPr>
          <w:rFonts w:eastAsia="Times New Roman"/>
          <w:i/>
        </w:rPr>
        <w:t>Allowed MS4s to take advantage of lower cost wastewater reductions.</w:t>
      </w:r>
    </w:p>
    <w:p w:rsidR="002524EA" w:rsidRPr="002524EA" w:rsidRDefault="002524EA" w:rsidP="002524EA">
      <w:pPr>
        <w:numPr>
          <w:ilvl w:val="1"/>
          <w:numId w:val="3"/>
        </w:numPr>
        <w:spacing w:after="0" w:line="240" w:lineRule="auto"/>
        <w:ind w:left="1080" w:firstLine="0"/>
        <w:rPr>
          <w:rFonts w:eastAsia="Times New Roman"/>
          <w:i/>
        </w:rPr>
      </w:pPr>
      <w:r w:rsidRPr="002524EA">
        <w:rPr>
          <w:rFonts w:eastAsia="Times New Roman"/>
          <w:i/>
        </w:rPr>
        <w:t>Most entities settled their approach before BMAP adoption.</w:t>
      </w:r>
    </w:p>
    <w:p w:rsidR="002524EA" w:rsidRPr="002524EA" w:rsidRDefault="002524EA" w:rsidP="002524EA">
      <w:pPr>
        <w:numPr>
          <w:ilvl w:val="1"/>
          <w:numId w:val="3"/>
        </w:numPr>
        <w:spacing w:after="0" w:line="240" w:lineRule="auto"/>
        <w:ind w:left="1080" w:firstLine="0"/>
        <w:rPr>
          <w:rFonts w:eastAsia="Times New Roman"/>
          <w:i/>
        </w:rPr>
      </w:pPr>
      <w:r w:rsidRPr="002524EA">
        <w:rPr>
          <w:rFonts w:eastAsia="Times New Roman"/>
          <w:i/>
        </w:rPr>
        <w:t>Minor adjustments are now being made</w:t>
      </w:r>
    </w:p>
    <w:p w:rsidR="002524EA" w:rsidRPr="002524EA" w:rsidRDefault="002524EA" w:rsidP="002524EA">
      <w:pPr>
        <w:numPr>
          <w:ilvl w:val="0"/>
          <w:numId w:val="2"/>
        </w:numPr>
        <w:spacing w:after="0" w:line="240" w:lineRule="auto"/>
        <w:ind w:left="1080" w:firstLine="0"/>
        <w:rPr>
          <w:rFonts w:eastAsia="Times New Roman"/>
          <w:i/>
        </w:rPr>
      </w:pPr>
      <w:r w:rsidRPr="002524EA">
        <w:rPr>
          <w:rFonts w:eastAsia="Times New Roman"/>
          <w:i/>
        </w:rPr>
        <w:t>Post BMAP Trading is Not as Active</w:t>
      </w:r>
    </w:p>
    <w:p w:rsidR="002524EA" w:rsidRPr="002524EA" w:rsidRDefault="002524EA" w:rsidP="002524EA">
      <w:pPr>
        <w:numPr>
          <w:ilvl w:val="1"/>
          <w:numId w:val="3"/>
        </w:numPr>
        <w:spacing w:after="0" w:line="240" w:lineRule="auto"/>
        <w:ind w:left="1080" w:firstLine="0"/>
        <w:rPr>
          <w:rFonts w:eastAsia="Times New Roman"/>
          <w:i/>
        </w:rPr>
      </w:pPr>
      <w:r w:rsidRPr="002524EA">
        <w:rPr>
          <w:rFonts w:eastAsia="Times New Roman"/>
          <w:i/>
        </w:rPr>
        <w:t>Most entities have met their reductions or are implementing their pre-BMAP trades</w:t>
      </w:r>
    </w:p>
    <w:p w:rsidR="002524EA" w:rsidRPr="002524EA" w:rsidRDefault="002524EA" w:rsidP="002524EA">
      <w:pPr>
        <w:numPr>
          <w:ilvl w:val="1"/>
          <w:numId w:val="3"/>
        </w:numPr>
        <w:spacing w:after="0" w:line="240" w:lineRule="auto"/>
        <w:ind w:left="1080" w:firstLine="0"/>
        <w:rPr>
          <w:rFonts w:eastAsia="Times New Roman"/>
          <w:i/>
        </w:rPr>
      </w:pPr>
      <w:r w:rsidRPr="002524EA">
        <w:rPr>
          <w:rFonts w:eastAsia="Times New Roman"/>
          <w:i/>
        </w:rPr>
        <w:t>Only those entities with remaining work are trade candidates</w:t>
      </w:r>
    </w:p>
    <w:p w:rsidR="002524EA" w:rsidRPr="002524EA" w:rsidRDefault="002524EA" w:rsidP="002524EA">
      <w:pPr>
        <w:numPr>
          <w:ilvl w:val="1"/>
          <w:numId w:val="3"/>
        </w:numPr>
        <w:spacing w:after="0" w:line="240" w:lineRule="auto"/>
        <w:ind w:left="1080" w:firstLine="0"/>
        <w:rPr>
          <w:rFonts w:eastAsia="Times New Roman"/>
          <w:i/>
        </w:rPr>
      </w:pPr>
      <w:r w:rsidRPr="002524EA">
        <w:rPr>
          <w:rFonts w:eastAsia="Times New Roman"/>
          <w:i/>
        </w:rPr>
        <w:t>Upstream reductions are being handled separately</w:t>
      </w:r>
    </w:p>
    <w:p w:rsidR="002524EA" w:rsidRPr="002524EA" w:rsidRDefault="002524EA" w:rsidP="002524EA">
      <w:pPr>
        <w:numPr>
          <w:ilvl w:val="0"/>
          <w:numId w:val="2"/>
        </w:numPr>
        <w:spacing w:after="0" w:line="240" w:lineRule="auto"/>
        <w:ind w:left="1080" w:firstLine="0"/>
        <w:rPr>
          <w:rFonts w:eastAsia="Times New Roman"/>
          <w:i/>
        </w:rPr>
      </w:pPr>
      <w:r w:rsidRPr="002524EA">
        <w:rPr>
          <w:rFonts w:eastAsia="Times New Roman"/>
          <w:i/>
        </w:rPr>
        <w:t>Requirements must be exceeded to create sellers</w:t>
      </w:r>
    </w:p>
    <w:p w:rsidR="002524EA" w:rsidRPr="002524EA" w:rsidRDefault="002524EA" w:rsidP="002524EA">
      <w:pPr>
        <w:numPr>
          <w:ilvl w:val="0"/>
          <w:numId w:val="2"/>
        </w:numPr>
        <w:spacing w:after="0" w:line="240" w:lineRule="auto"/>
        <w:ind w:left="1080" w:firstLine="0"/>
        <w:rPr>
          <w:rFonts w:eastAsia="Times New Roman"/>
          <w:i/>
        </w:rPr>
      </w:pPr>
      <w:r w:rsidRPr="002524EA">
        <w:rPr>
          <w:rFonts w:eastAsia="Times New Roman"/>
          <w:i/>
        </w:rPr>
        <w:t>Aids to trading</w:t>
      </w:r>
    </w:p>
    <w:p w:rsidR="002524EA" w:rsidRPr="002524EA" w:rsidRDefault="002524EA" w:rsidP="002524EA">
      <w:pPr>
        <w:numPr>
          <w:ilvl w:val="1"/>
          <w:numId w:val="3"/>
        </w:numPr>
        <w:spacing w:after="0" w:line="240" w:lineRule="auto"/>
        <w:ind w:left="1080" w:firstLine="0"/>
        <w:rPr>
          <w:rFonts w:eastAsia="Times New Roman"/>
          <w:i/>
        </w:rPr>
      </w:pPr>
      <w:r w:rsidRPr="002524EA">
        <w:rPr>
          <w:rFonts w:eastAsia="Times New Roman"/>
          <w:i/>
        </w:rPr>
        <w:t>Well-defined targets</w:t>
      </w:r>
    </w:p>
    <w:p w:rsidR="002524EA" w:rsidRPr="002524EA" w:rsidRDefault="002524EA" w:rsidP="002524EA">
      <w:pPr>
        <w:numPr>
          <w:ilvl w:val="1"/>
          <w:numId w:val="3"/>
        </w:numPr>
        <w:spacing w:after="0" w:line="240" w:lineRule="auto"/>
        <w:ind w:left="1080" w:firstLine="0"/>
        <w:rPr>
          <w:rFonts w:eastAsia="Times New Roman"/>
          <w:i/>
        </w:rPr>
      </w:pPr>
      <w:r w:rsidRPr="002524EA">
        <w:rPr>
          <w:rFonts w:eastAsia="Times New Roman"/>
          <w:i/>
        </w:rPr>
        <w:t>Measured outputs</w:t>
      </w:r>
    </w:p>
    <w:p w:rsidR="002524EA" w:rsidRPr="002524EA" w:rsidRDefault="002524EA" w:rsidP="002524EA">
      <w:pPr>
        <w:numPr>
          <w:ilvl w:val="1"/>
          <w:numId w:val="3"/>
        </w:numPr>
        <w:spacing w:after="0" w:line="240" w:lineRule="auto"/>
        <w:ind w:left="1080" w:firstLine="0"/>
        <w:rPr>
          <w:rFonts w:eastAsia="Times New Roman"/>
          <w:i/>
        </w:rPr>
      </w:pPr>
      <w:r w:rsidRPr="002524EA">
        <w:rPr>
          <w:rFonts w:eastAsia="Times New Roman"/>
          <w:i/>
        </w:rPr>
        <w:t xml:space="preserve">= Stormwater sources make trading more complicated </w:t>
      </w:r>
    </w:p>
    <w:p w:rsidR="002524EA" w:rsidRPr="002524EA" w:rsidRDefault="002524EA" w:rsidP="002524EA">
      <w:pPr>
        <w:numPr>
          <w:ilvl w:val="0"/>
          <w:numId w:val="2"/>
        </w:numPr>
        <w:spacing w:after="0" w:line="240" w:lineRule="auto"/>
        <w:ind w:left="1080" w:firstLine="0"/>
        <w:rPr>
          <w:rFonts w:eastAsia="Times New Roman"/>
          <w:i/>
        </w:rPr>
      </w:pPr>
      <w:r w:rsidRPr="002524EA">
        <w:rPr>
          <w:rFonts w:eastAsia="Times New Roman"/>
          <w:i/>
        </w:rPr>
        <w:t>Trading issues with stormwater sources:</w:t>
      </w:r>
    </w:p>
    <w:p w:rsidR="002524EA" w:rsidRPr="002524EA" w:rsidRDefault="002524EA" w:rsidP="002524EA">
      <w:pPr>
        <w:numPr>
          <w:ilvl w:val="1"/>
          <w:numId w:val="3"/>
        </w:numPr>
        <w:spacing w:after="0" w:line="240" w:lineRule="auto"/>
        <w:ind w:left="1080" w:firstLine="0"/>
        <w:rPr>
          <w:rFonts w:eastAsia="Times New Roman"/>
          <w:i/>
        </w:rPr>
      </w:pPr>
      <w:r w:rsidRPr="002524EA">
        <w:rPr>
          <w:rFonts w:eastAsia="Times New Roman"/>
          <w:i/>
        </w:rPr>
        <w:t>Most watersheds=primarily stormwater loads</w:t>
      </w:r>
    </w:p>
    <w:p w:rsidR="002524EA" w:rsidRPr="002524EA" w:rsidRDefault="002524EA" w:rsidP="002524EA">
      <w:pPr>
        <w:numPr>
          <w:ilvl w:val="1"/>
          <w:numId w:val="3"/>
        </w:numPr>
        <w:spacing w:after="0" w:line="240" w:lineRule="auto"/>
        <w:ind w:left="1080" w:firstLine="0"/>
        <w:rPr>
          <w:rFonts w:eastAsia="Times New Roman"/>
          <w:i/>
        </w:rPr>
      </w:pPr>
      <w:r w:rsidRPr="002524EA">
        <w:rPr>
          <w:rFonts w:eastAsia="Times New Roman"/>
          <w:i/>
        </w:rPr>
        <w:t>Practical limits to stormwater treatment efficiencies</w:t>
      </w:r>
    </w:p>
    <w:p w:rsidR="002524EA" w:rsidRPr="002524EA" w:rsidRDefault="002524EA" w:rsidP="002524EA">
      <w:pPr>
        <w:numPr>
          <w:ilvl w:val="1"/>
          <w:numId w:val="3"/>
        </w:numPr>
        <w:spacing w:after="0" w:line="240" w:lineRule="auto"/>
        <w:ind w:left="1080" w:firstLine="0"/>
        <w:rPr>
          <w:rFonts w:eastAsia="Times New Roman"/>
          <w:i/>
        </w:rPr>
      </w:pPr>
      <w:r w:rsidRPr="002524EA">
        <w:rPr>
          <w:rFonts w:eastAsia="Times New Roman"/>
          <w:i/>
        </w:rPr>
        <w:t>Reduction requirements often exceed the basic efficiencies</w:t>
      </w:r>
    </w:p>
    <w:p w:rsidR="002524EA" w:rsidRPr="002524EA" w:rsidRDefault="002524EA" w:rsidP="002524EA">
      <w:pPr>
        <w:numPr>
          <w:ilvl w:val="1"/>
          <w:numId w:val="3"/>
        </w:numPr>
        <w:spacing w:after="0" w:line="240" w:lineRule="auto"/>
        <w:ind w:left="1080" w:firstLine="0"/>
        <w:rPr>
          <w:rFonts w:eastAsia="Times New Roman"/>
          <w:i/>
        </w:rPr>
      </w:pPr>
      <w:r w:rsidRPr="002524EA">
        <w:rPr>
          <w:rFonts w:eastAsia="Times New Roman"/>
          <w:i/>
        </w:rPr>
        <w:t>= Less opportunities to exceed requirements</w:t>
      </w:r>
    </w:p>
    <w:p w:rsidR="002524EA" w:rsidRPr="002524EA" w:rsidRDefault="002524EA" w:rsidP="002524EA">
      <w:pPr>
        <w:ind w:left="1080"/>
        <w:rPr>
          <w:i/>
        </w:rPr>
      </w:pPr>
    </w:p>
    <w:p w:rsidR="002524EA" w:rsidRPr="002524EA" w:rsidRDefault="002524EA" w:rsidP="002524EA">
      <w:pPr>
        <w:ind w:left="1080"/>
        <w:rPr>
          <w:i/>
        </w:rPr>
      </w:pPr>
      <w:r w:rsidRPr="002524EA">
        <w:rPr>
          <w:i/>
        </w:rPr>
        <w:t>Transferability:</w:t>
      </w:r>
    </w:p>
    <w:p w:rsidR="002524EA" w:rsidRPr="002524EA" w:rsidRDefault="002524EA" w:rsidP="002524EA">
      <w:pPr>
        <w:numPr>
          <w:ilvl w:val="0"/>
          <w:numId w:val="4"/>
        </w:numPr>
        <w:spacing w:after="0" w:line="240" w:lineRule="auto"/>
        <w:ind w:left="1080" w:firstLine="0"/>
        <w:rPr>
          <w:i/>
        </w:rPr>
      </w:pPr>
      <w:r w:rsidRPr="002524EA">
        <w:rPr>
          <w:i/>
        </w:rPr>
        <w:t>Trading is a valuable tool</w:t>
      </w:r>
    </w:p>
    <w:p w:rsidR="002524EA" w:rsidRPr="002524EA" w:rsidRDefault="002524EA" w:rsidP="002524EA">
      <w:pPr>
        <w:numPr>
          <w:ilvl w:val="0"/>
          <w:numId w:val="4"/>
        </w:numPr>
        <w:spacing w:after="0" w:line="240" w:lineRule="auto"/>
        <w:ind w:left="1080" w:firstLine="0"/>
        <w:rPr>
          <w:i/>
        </w:rPr>
      </w:pPr>
      <w:r w:rsidRPr="002524EA">
        <w:rPr>
          <w:i/>
        </w:rPr>
        <w:t>Specific requirements are necessary to create the market</w:t>
      </w:r>
    </w:p>
    <w:p w:rsidR="002524EA" w:rsidRPr="002524EA" w:rsidRDefault="002524EA" w:rsidP="002524EA">
      <w:pPr>
        <w:numPr>
          <w:ilvl w:val="0"/>
          <w:numId w:val="4"/>
        </w:numPr>
        <w:spacing w:after="0" w:line="240" w:lineRule="auto"/>
        <w:ind w:left="1080" w:firstLine="0"/>
        <w:rPr>
          <w:i/>
        </w:rPr>
      </w:pPr>
      <w:r w:rsidRPr="002524EA">
        <w:rPr>
          <w:i/>
        </w:rPr>
        <w:t>Sellers need compliance certainty</w:t>
      </w:r>
    </w:p>
    <w:p w:rsidR="002524EA" w:rsidRPr="002524EA" w:rsidRDefault="002524EA" w:rsidP="002524EA">
      <w:pPr>
        <w:numPr>
          <w:ilvl w:val="0"/>
          <w:numId w:val="4"/>
        </w:numPr>
        <w:spacing w:after="0" w:line="240" w:lineRule="auto"/>
        <w:ind w:left="1080" w:firstLine="0"/>
        <w:rPr>
          <w:i/>
        </w:rPr>
      </w:pPr>
      <w:r w:rsidRPr="002524EA">
        <w:rPr>
          <w:i/>
        </w:rPr>
        <w:t>Trading is most likely when planning is done for new requirements</w:t>
      </w:r>
    </w:p>
    <w:p w:rsidR="002524EA" w:rsidRPr="002524EA" w:rsidRDefault="002524EA" w:rsidP="002524EA">
      <w:pPr>
        <w:numPr>
          <w:ilvl w:val="0"/>
          <w:numId w:val="4"/>
        </w:numPr>
        <w:spacing w:after="0" w:line="240" w:lineRule="auto"/>
        <w:ind w:left="1080" w:firstLine="0"/>
        <w:rPr>
          <w:i/>
        </w:rPr>
      </w:pPr>
      <w:r w:rsidRPr="002524EA">
        <w:rPr>
          <w:i/>
        </w:rPr>
        <w:t>Entities prefer not to trade, but having the option is helpful</w:t>
      </w:r>
    </w:p>
    <w:p w:rsidR="002524EA" w:rsidRPr="002524EA" w:rsidRDefault="002524EA" w:rsidP="002524EA">
      <w:pPr>
        <w:numPr>
          <w:ilvl w:val="0"/>
          <w:numId w:val="4"/>
        </w:numPr>
        <w:spacing w:after="0" w:line="240" w:lineRule="auto"/>
        <w:ind w:left="1080" w:firstLine="0"/>
        <w:rPr>
          <w:i/>
        </w:rPr>
      </w:pPr>
      <w:r w:rsidRPr="002524EA">
        <w:rPr>
          <w:i/>
        </w:rPr>
        <w:t>Difficult for urban stormwater sources to generate credits if TMDL reductions are large”</w:t>
      </w:r>
    </w:p>
    <w:p w:rsidR="002524EA" w:rsidRDefault="002524EA" w:rsidP="002524EA">
      <w:pPr>
        <w:spacing w:before="240" w:line="480" w:lineRule="auto"/>
        <w:ind w:left="360"/>
      </w:pPr>
    </w:p>
    <w:p w:rsidR="004B65A5" w:rsidRDefault="004B65A5" w:rsidP="004B65A5">
      <w:pPr>
        <w:spacing w:before="240" w:line="480" w:lineRule="auto"/>
      </w:pPr>
    </w:p>
    <w:p w:rsidR="00C61DBA" w:rsidRDefault="008927F3" w:rsidP="0077060B">
      <w:pPr>
        <w:pStyle w:val="ListParagraph"/>
        <w:numPr>
          <w:ilvl w:val="0"/>
          <w:numId w:val="1"/>
        </w:numPr>
        <w:spacing w:before="240" w:line="480" w:lineRule="auto"/>
      </w:pPr>
      <w:r>
        <w:t>As (and if) waters now on the IWR list have TMDLs developed, and (</w:t>
      </w:r>
      <w:proofErr w:type="spellStart"/>
      <w:r>
        <w:t>unintellible</w:t>
      </w:r>
      <w:proofErr w:type="spellEnd"/>
      <w:r>
        <w:t>) RA’s/NRPs/BMAPS or other processes, will the boundaries of the FDEP</w:t>
      </w:r>
      <w:r w:rsidR="00C61DBA">
        <w:t xml:space="preserve"> BMP expand? </w:t>
      </w:r>
      <w:bookmarkStart w:id="0" w:name="_GoBack"/>
      <w:bookmarkEnd w:id="0"/>
    </w:p>
    <w:p w:rsidR="008927F3" w:rsidRDefault="00C61DBA" w:rsidP="0077060B">
      <w:pPr>
        <w:pStyle w:val="ListParagraph"/>
        <w:numPr>
          <w:ilvl w:val="1"/>
          <w:numId w:val="1"/>
        </w:numPr>
        <w:spacing w:before="240" w:line="480" w:lineRule="auto"/>
      </w:pPr>
      <w:r>
        <w:t>Don Duke</w:t>
      </w:r>
      <w:r w:rsidR="00FB439E">
        <w:t xml:space="preserve">  </w:t>
      </w:r>
      <w:r w:rsidR="008927F3">
        <w:t xml:space="preserve"> </w:t>
      </w:r>
      <w:hyperlink r:id="rId5" w:history="1">
        <w:r w:rsidR="008927F3" w:rsidRPr="00EA0BDF">
          <w:rPr>
            <w:rStyle w:val="Hyperlink"/>
          </w:rPr>
          <w:t>LDDUKE@FGCU.EDU</w:t>
        </w:r>
      </w:hyperlink>
    </w:p>
    <w:p w:rsidR="00FB439E" w:rsidRPr="00FB439E" w:rsidRDefault="00FB439E" w:rsidP="00FB439E">
      <w:pPr>
        <w:spacing w:before="240" w:line="480" w:lineRule="auto"/>
        <w:ind w:left="1080"/>
        <w:rPr>
          <w:i/>
        </w:rPr>
      </w:pPr>
      <w:r w:rsidRPr="00FB439E">
        <w:rPr>
          <w:i/>
        </w:rPr>
        <w:t>I’m assuming you’re referring to a Basin Action management Plan (BMAP) boundaries.  The BMAP is a watershed restoration plan and as such its’ boundaries can be modified if it becomes apparent the watershed is impacted by areas beyond the initial plan.  If the additional impaired waters are considered in a different watershed, it is more accurate to develop a separate (additional) BMAP to restore those waters.  The same thought applies to RA Plans and NRP</w:t>
      </w:r>
    </w:p>
    <w:p w:rsidR="008927F3" w:rsidRDefault="008927F3" w:rsidP="0077060B">
      <w:pPr>
        <w:pStyle w:val="ListParagraph"/>
        <w:numPr>
          <w:ilvl w:val="0"/>
          <w:numId w:val="1"/>
        </w:numPr>
        <w:spacing w:before="240" w:line="480" w:lineRule="auto"/>
      </w:pPr>
      <w:r>
        <w:t xml:space="preserve">Considering TMDL and high levels of Phosphorus, which show lakes are impaired, has DEP considered an incentive program of a biomass fish removal project of the non-native species (for the BMAP) considering millions of pounds are </w:t>
      </w:r>
      <w:r w:rsidR="00C61DBA">
        <w:t>not being harvested as I’m sure you all [saw] when the freeze hit. (</w:t>
      </w:r>
      <w:r w:rsidR="004F5C57">
        <w:t>Which</w:t>
      </w:r>
      <w:r w:rsidR="00C61DBA">
        <w:t xml:space="preserve"> did create even more pollution?) Peeing and pooping and fish</w:t>
      </w:r>
      <w:r w:rsidR="004F5C57">
        <w:t xml:space="preserve"> </w:t>
      </w:r>
      <w:r w:rsidR="00C61DBA">
        <w:t>kills.</w:t>
      </w:r>
    </w:p>
    <w:p w:rsidR="00C61DBA" w:rsidRDefault="00C61DBA" w:rsidP="0077060B">
      <w:pPr>
        <w:pStyle w:val="ListParagraph"/>
        <w:numPr>
          <w:ilvl w:val="1"/>
          <w:numId w:val="1"/>
        </w:numPr>
        <w:spacing w:before="240" w:line="480" w:lineRule="auto"/>
      </w:pPr>
      <w:r>
        <w:t>Taren Wadley Commercial Fisheries</w:t>
      </w:r>
      <w:r w:rsidR="00FB439E">
        <w:t xml:space="preserve">, </w:t>
      </w:r>
      <w:r>
        <w:t>3605 Ave. T NW, Winter Haven, FL 33881</w:t>
      </w:r>
    </w:p>
    <w:p w:rsidR="00C61DBA" w:rsidRDefault="009D00B7" w:rsidP="0077060B">
      <w:pPr>
        <w:pStyle w:val="ListParagraph"/>
        <w:spacing w:before="240" w:line="480" w:lineRule="auto"/>
        <w:ind w:left="1440"/>
      </w:pPr>
      <w:hyperlink r:id="rId6" w:history="1">
        <w:r w:rsidR="00FB439E" w:rsidRPr="00360B3D">
          <w:rPr>
            <w:rStyle w:val="Hyperlink"/>
          </w:rPr>
          <w:t>RWadley@TampaBay.rr.com</w:t>
        </w:r>
      </w:hyperlink>
    </w:p>
    <w:p w:rsidR="00FB439E" w:rsidRDefault="00FB439E" w:rsidP="004B65A5">
      <w:pPr>
        <w:pStyle w:val="ListParagraph"/>
        <w:spacing w:before="240" w:line="480" w:lineRule="auto"/>
        <w:ind w:left="1080"/>
        <w:rPr>
          <w:i/>
        </w:rPr>
      </w:pPr>
      <w:r w:rsidRPr="004B65A5">
        <w:rPr>
          <w:i/>
        </w:rPr>
        <w:t xml:space="preserve">As the BMAP is developed, </w:t>
      </w:r>
      <w:r w:rsidR="004B65A5" w:rsidRPr="004B65A5">
        <w:rPr>
          <w:i/>
        </w:rPr>
        <w:t xml:space="preserve">nutrient reduction/removal </w:t>
      </w:r>
      <w:r w:rsidRPr="004B65A5">
        <w:rPr>
          <w:i/>
        </w:rPr>
        <w:t>projects are proposed by the stakeholders</w:t>
      </w:r>
      <w:r w:rsidR="004B65A5" w:rsidRPr="004B65A5">
        <w:rPr>
          <w:i/>
        </w:rPr>
        <w:t>.  If fish removal is determined to be a significant source of nutrients, then it could certainly be considered in the restoration plan.</w:t>
      </w:r>
    </w:p>
    <w:p w:rsidR="002524EA" w:rsidRPr="004B65A5" w:rsidRDefault="002524EA" w:rsidP="004B65A5">
      <w:pPr>
        <w:pStyle w:val="ListParagraph"/>
        <w:spacing w:before="240" w:line="480" w:lineRule="auto"/>
        <w:ind w:left="1080"/>
        <w:rPr>
          <w:i/>
        </w:rPr>
      </w:pPr>
    </w:p>
    <w:p w:rsidR="00C61DBA" w:rsidRDefault="00C61DBA" w:rsidP="0077060B">
      <w:pPr>
        <w:pStyle w:val="ListParagraph"/>
        <w:numPr>
          <w:ilvl w:val="0"/>
          <w:numId w:val="1"/>
        </w:numPr>
        <w:spacing w:before="240" w:line="480" w:lineRule="auto"/>
      </w:pPr>
      <w:r>
        <w:lastRenderedPageBreak/>
        <w:t xml:space="preserve">Would like to clarify on Mike Britt’s comment that </w:t>
      </w:r>
      <w:proofErr w:type="spellStart"/>
      <w:r>
        <w:t>hydrilla</w:t>
      </w:r>
      <w:proofErr w:type="spellEnd"/>
      <w:r>
        <w:t xml:space="preserve"> has assisted with water quality, it really is not plant specific but based on </w:t>
      </w:r>
      <w:r w:rsidR="004F5C57">
        <w:t xml:space="preserve">submerged plant percentage in the water body and associated </w:t>
      </w:r>
      <w:proofErr w:type="spellStart"/>
      <w:r w:rsidR="004F5C57">
        <w:t>periphyton</w:t>
      </w:r>
      <w:proofErr w:type="spellEnd"/>
      <w:r w:rsidR="004F5C57">
        <w:t xml:space="preserve">. </w:t>
      </w:r>
    </w:p>
    <w:sectPr w:rsidR="00C61DBA" w:rsidSect="00905AA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77755D"/>
    <w:multiLevelType w:val="hybridMultilevel"/>
    <w:tmpl w:val="761EEA5A"/>
    <w:lvl w:ilvl="0" w:tplc="FEDAA186">
      <w:start w:val="1"/>
      <w:numFmt w:val="bullet"/>
      <w:lvlText w:val="•"/>
      <w:lvlJc w:val="left"/>
      <w:pPr>
        <w:tabs>
          <w:tab w:val="num" w:pos="720"/>
        </w:tabs>
        <w:ind w:left="720" w:hanging="360"/>
      </w:pPr>
      <w:rPr>
        <w:rFonts w:ascii="Arial" w:hAnsi="Arial" w:cs="Times New Roman" w:hint="default"/>
      </w:rPr>
    </w:lvl>
    <w:lvl w:ilvl="1" w:tplc="0384542A">
      <w:start w:val="1"/>
      <w:numFmt w:val="bullet"/>
      <w:lvlText w:val="•"/>
      <w:lvlJc w:val="left"/>
      <w:pPr>
        <w:tabs>
          <w:tab w:val="num" w:pos="1440"/>
        </w:tabs>
        <w:ind w:left="1440" w:hanging="360"/>
      </w:pPr>
      <w:rPr>
        <w:rFonts w:ascii="Arial" w:hAnsi="Arial" w:cs="Times New Roman" w:hint="default"/>
      </w:rPr>
    </w:lvl>
    <w:lvl w:ilvl="2" w:tplc="2A685F86">
      <w:start w:val="1"/>
      <w:numFmt w:val="bullet"/>
      <w:lvlText w:val="•"/>
      <w:lvlJc w:val="left"/>
      <w:pPr>
        <w:tabs>
          <w:tab w:val="num" w:pos="2160"/>
        </w:tabs>
        <w:ind w:left="2160" w:hanging="360"/>
      </w:pPr>
      <w:rPr>
        <w:rFonts w:ascii="Arial" w:hAnsi="Arial" w:cs="Times New Roman" w:hint="default"/>
      </w:rPr>
    </w:lvl>
    <w:lvl w:ilvl="3" w:tplc="298EBAB2">
      <w:start w:val="1"/>
      <w:numFmt w:val="bullet"/>
      <w:lvlText w:val="•"/>
      <w:lvlJc w:val="left"/>
      <w:pPr>
        <w:tabs>
          <w:tab w:val="num" w:pos="2880"/>
        </w:tabs>
        <w:ind w:left="2880" w:hanging="360"/>
      </w:pPr>
      <w:rPr>
        <w:rFonts w:ascii="Arial" w:hAnsi="Arial" w:cs="Times New Roman" w:hint="default"/>
      </w:rPr>
    </w:lvl>
    <w:lvl w:ilvl="4" w:tplc="D3F85E2E">
      <w:start w:val="1"/>
      <w:numFmt w:val="bullet"/>
      <w:lvlText w:val="•"/>
      <w:lvlJc w:val="left"/>
      <w:pPr>
        <w:tabs>
          <w:tab w:val="num" w:pos="3600"/>
        </w:tabs>
        <w:ind w:left="3600" w:hanging="360"/>
      </w:pPr>
      <w:rPr>
        <w:rFonts w:ascii="Arial" w:hAnsi="Arial" w:cs="Times New Roman" w:hint="default"/>
      </w:rPr>
    </w:lvl>
    <w:lvl w:ilvl="5" w:tplc="A4B4074C">
      <w:start w:val="1"/>
      <w:numFmt w:val="bullet"/>
      <w:lvlText w:val="•"/>
      <w:lvlJc w:val="left"/>
      <w:pPr>
        <w:tabs>
          <w:tab w:val="num" w:pos="4320"/>
        </w:tabs>
        <w:ind w:left="4320" w:hanging="360"/>
      </w:pPr>
      <w:rPr>
        <w:rFonts w:ascii="Arial" w:hAnsi="Arial" w:cs="Times New Roman" w:hint="default"/>
      </w:rPr>
    </w:lvl>
    <w:lvl w:ilvl="6" w:tplc="68B6779A">
      <w:start w:val="1"/>
      <w:numFmt w:val="bullet"/>
      <w:lvlText w:val="•"/>
      <w:lvlJc w:val="left"/>
      <w:pPr>
        <w:tabs>
          <w:tab w:val="num" w:pos="5040"/>
        </w:tabs>
        <w:ind w:left="5040" w:hanging="360"/>
      </w:pPr>
      <w:rPr>
        <w:rFonts w:ascii="Arial" w:hAnsi="Arial" w:cs="Times New Roman" w:hint="default"/>
      </w:rPr>
    </w:lvl>
    <w:lvl w:ilvl="7" w:tplc="ACD617F8">
      <w:start w:val="1"/>
      <w:numFmt w:val="bullet"/>
      <w:lvlText w:val="•"/>
      <w:lvlJc w:val="left"/>
      <w:pPr>
        <w:tabs>
          <w:tab w:val="num" w:pos="5760"/>
        </w:tabs>
        <w:ind w:left="5760" w:hanging="360"/>
      </w:pPr>
      <w:rPr>
        <w:rFonts w:ascii="Arial" w:hAnsi="Arial" w:cs="Times New Roman" w:hint="default"/>
      </w:rPr>
    </w:lvl>
    <w:lvl w:ilvl="8" w:tplc="C2F6D416">
      <w:start w:val="1"/>
      <w:numFmt w:val="bullet"/>
      <w:lvlText w:val="•"/>
      <w:lvlJc w:val="left"/>
      <w:pPr>
        <w:tabs>
          <w:tab w:val="num" w:pos="6480"/>
        </w:tabs>
        <w:ind w:left="6480" w:hanging="360"/>
      </w:pPr>
      <w:rPr>
        <w:rFonts w:ascii="Arial" w:hAnsi="Arial" w:cs="Times New Roman" w:hint="default"/>
      </w:rPr>
    </w:lvl>
  </w:abstractNum>
  <w:abstractNum w:abstractNumId="1">
    <w:nsid w:val="2C5B53AC"/>
    <w:multiLevelType w:val="hybridMultilevel"/>
    <w:tmpl w:val="538A2E14"/>
    <w:lvl w:ilvl="0" w:tplc="E7E4CEAE">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39503DF6">
      <w:start w:val="1"/>
      <w:numFmt w:val="decimal"/>
      <w:lvlText w:val="%3."/>
      <w:lvlJc w:val="left"/>
      <w:pPr>
        <w:tabs>
          <w:tab w:val="num" w:pos="2160"/>
        </w:tabs>
        <w:ind w:left="2160" w:hanging="360"/>
      </w:pPr>
    </w:lvl>
    <w:lvl w:ilvl="3" w:tplc="72325006">
      <w:start w:val="1"/>
      <w:numFmt w:val="decimal"/>
      <w:lvlText w:val="%4."/>
      <w:lvlJc w:val="left"/>
      <w:pPr>
        <w:tabs>
          <w:tab w:val="num" w:pos="2880"/>
        </w:tabs>
        <w:ind w:left="2880" w:hanging="360"/>
      </w:pPr>
    </w:lvl>
    <w:lvl w:ilvl="4" w:tplc="7EA6178A">
      <w:start w:val="1"/>
      <w:numFmt w:val="decimal"/>
      <w:lvlText w:val="%5."/>
      <w:lvlJc w:val="left"/>
      <w:pPr>
        <w:tabs>
          <w:tab w:val="num" w:pos="3600"/>
        </w:tabs>
        <w:ind w:left="3600" w:hanging="360"/>
      </w:pPr>
    </w:lvl>
    <w:lvl w:ilvl="5" w:tplc="47FAC34C">
      <w:start w:val="1"/>
      <w:numFmt w:val="decimal"/>
      <w:lvlText w:val="%6."/>
      <w:lvlJc w:val="left"/>
      <w:pPr>
        <w:tabs>
          <w:tab w:val="num" w:pos="4320"/>
        </w:tabs>
        <w:ind w:left="4320" w:hanging="360"/>
      </w:pPr>
    </w:lvl>
    <w:lvl w:ilvl="6" w:tplc="D2C8E288">
      <w:start w:val="1"/>
      <w:numFmt w:val="decimal"/>
      <w:lvlText w:val="%7."/>
      <w:lvlJc w:val="left"/>
      <w:pPr>
        <w:tabs>
          <w:tab w:val="num" w:pos="5040"/>
        </w:tabs>
        <w:ind w:left="5040" w:hanging="360"/>
      </w:pPr>
    </w:lvl>
    <w:lvl w:ilvl="7" w:tplc="1654DB6E">
      <w:start w:val="1"/>
      <w:numFmt w:val="decimal"/>
      <w:lvlText w:val="%8."/>
      <w:lvlJc w:val="left"/>
      <w:pPr>
        <w:tabs>
          <w:tab w:val="num" w:pos="5760"/>
        </w:tabs>
        <w:ind w:left="5760" w:hanging="360"/>
      </w:pPr>
    </w:lvl>
    <w:lvl w:ilvl="8" w:tplc="B54E134C">
      <w:start w:val="1"/>
      <w:numFmt w:val="decimal"/>
      <w:lvlText w:val="%9."/>
      <w:lvlJc w:val="left"/>
      <w:pPr>
        <w:tabs>
          <w:tab w:val="num" w:pos="6480"/>
        </w:tabs>
        <w:ind w:left="6480" w:hanging="360"/>
      </w:pPr>
    </w:lvl>
  </w:abstractNum>
  <w:abstractNum w:abstractNumId="2">
    <w:nsid w:val="64DA4F53"/>
    <w:multiLevelType w:val="hybridMultilevel"/>
    <w:tmpl w:val="AC2A6D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AE461AE"/>
    <w:multiLevelType w:val="hybridMultilevel"/>
    <w:tmpl w:val="2DD6E760"/>
    <w:lvl w:ilvl="0" w:tplc="E7E4CEAE">
      <w:start w:val="1"/>
      <w:numFmt w:val="decimal"/>
      <w:lvlText w:val="%1."/>
      <w:lvlJc w:val="left"/>
      <w:pPr>
        <w:tabs>
          <w:tab w:val="num" w:pos="720"/>
        </w:tabs>
        <w:ind w:left="720" w:hanging="360"/>
      </w:pPr>
    </w:lvl>
    <w:lvl w:ilvl="1" w:tplc="9F40C828">
      <w:start w:val="1"/>
      <w:numFmt w:val="decimal"/>
      <w:lvlText w:val="%2."/>
      <w:lvlJc w:val="left"/>
      <w:pPr>
        <w:tabs>
          <w:tab w:val="num" w:pos="1440"/>
        </w:tabs>
        <w:ind w:left="1440" w:hanging="360"/>
      </w:pPr>
    </w:lvl>
    <w:lvl w:ilvl="2" w:tplc="39503DF6">
      <w:start w:val="1"/>
      <w:numFmt w:val="decimal"/>
      <w:lvlText w:val="%3."/>
      <w:lvlJc w:val="left"/>
      <w:pPr>
        <w:tabs>
          <w:tab w:val="num" w:pos="2160"/>
        </w:tabs>
        <w:ind w:left="2160" w:hanging="360"/>
      </w:pPr>
    </w:lvl>
    <w:lvl w:ilvl="3" w:tplc="72325006">
      <w:start w:val="1"/>
      <w:numFmt w:val="decimal"/>
      <w:lvlText w:val="%4."/>
      <w:lvlJc w:val="left"/>
      <w:pPr>
        <w:tabs>
          <w:tab w:val="num" w:pos="2880"/>
        </w:tabs>
        <w:ind w:left="2880" w:hanging="360"/>
      </w:pPr>
    </w:lvl>
    <w:lvl w:ilvl="4" w:tplc="7EA6178A">
      <w:start w:val="1"/>
      <w:numFmt w:val="decimal"/>
      <w:lvlText w:val="%5."/>
      <w:lvlJc w:val="left"/>
      <w:pPr>
        <w:tabs>
          <w:tab w:val="num" w:pos="3600"/>
        </w:tabs>
        <w:ind w:left="3600" w:hanging="360"/>
      </w:pPr>
    </w:lvl>
    <w:lvl w:ilvl="5" w:tplc="47FAC34C">
      <w:start w:val="1"/>
      <w:numFmt w:val="decimal"/>
      <w:lvlText w:val="%6."/>
      <w:lvlJc w:val="left"/>
      <w:pPr>
        <w:tabs>
          <w:tab w:val="num" w:pos="4320"/>
        </w:tabs>
        <w:ind w:left="4320" w:hanging="360"/>
      </w:pPr>
    </w:lvl>
    <w:lvl w:ilvl="6" w:tplc="D2C8E288">
      <w:start w:val="1"/>
      <w:numFmt w:val="decimal"/>
      <w:lvlText w:val="%7."/>
      <w:lvlJc w:val="left"/>
      <w:pPr>
        <w:tabs>
          <w:tab w:val="num" w:pos="5040"/>
        </w:tabs>
        <w:ind w:left="5040" w:hanging="360"/>
      </w:pPr>
    </w:lvl>
    <w:lvl w:ilvl="7" w:tplc="1654DB6E">
      <w:start w:val="1"/>
      <w:numFmt w:val="decimal"/>
      <w:lvlText w:val="%8."/>
      <w:lvlJc w:val="left"/>
      <w:pPr>
        <w:tabs>
          <w:tab w:val="num" w:pos="5760"/>
        </w:tabs>
        <w:ind w:left="5760" w:hanging="360"/>
      </w:pPr>
    </w:lvl>
    <w:lvl w:ilvl="8" w:tplc="B54E134C">
      <w:start w:val="1"/>
      <w:numFmt w:val="decimal"/>
      <w:lvlText w:val="%9."/>
      <w:lvlJc w:val="left"/>
      <w:pPr>
        <w:tabs>
          <w:tab w:val="num" w:pos="6480"/>
        </w:tabs>
        <w:ind w:left="6480" w:hanging="36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927F3"/>
    <w:rsid w:val="00042928"/>
    <w:rsid w:val="000F79A0"/>
    <w:rsid w:val="002524EA"/>
    <w:rsid w:val="00293FEB"/>
    <w:rsid w:val="00484D75"/>
    <w:rsid w:val="004B65A5"/>
    <w:rsid w:val="004F5C57"/>
    <w:rsid w:val="007259D7"/>
    <w:rsid w:val="007341AC"/>
    <w:rsid w:val="0077060B"/>
    <w:rsid w:val="008927F3"/>
    <w:rsid w:val="00905AAD"/>
    <w:rsid w:val="009D00B7"/>
    <w:rsid w:val="00C61DBA"/>
    <w:rsid w:val="00C76599"/>
    <w:rsid w:val="00C85419"/>
    <w:rsid w:val="00FB43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AA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8927F3"/>
    <w:rPr>
      <w:b/>
      <w:bCs/>
      <w:smallCaps/>
      <w:color w:val="C0504D" w:themeColor="accent2"/>
      <w:spacing w:val="5"/>
      <w:u w:val="single"/>
    </w:rPr>
  </w:style>
  <w:style w:type="character" w:styleId="SubtleReference">
    <w:name w:val="Subtle Reference"/>
    <w:basedOn w:val="DefaultParagraphFont"/>
    <w:uiPriority w:val="31"/>
    <w:qFormat/>
    <w:rsid w:val="008927F3"/>
    <w:rPr>
      <w:smallCaps/>
      <w:color w:val="C0504D" w:themeColor="accent2"/>
      <w:u w:val="single"/>
    </w:rPr>
  </w:style>
  <w:style w:type="paragraph" w:styleId="ListParagraph">
    <w:name w:val="List Paragraph"/>
    <w:basedOn w:val="Normal"/>
    <w:uiPriority w:val="34"/>
    <w:qFormat/>
    <w:rsid w:val="008927F3"/>
    <w:pPr>
      <w:ind w:left="720"/>
      <w:contextualSpacing/>
    </w:pPr>
  </w:style>
  <w:style w:type="character" w:styleId="Hyperlink">
    <w:name w:val="Hyperlink"/>
    <w:basedOn w:val="DefaultParagraphFont"/>
    <w:uiPriority w:val="99"/>
    <w:unhideWhenUsed/>
    <w:rsid w:val="008927F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8927F3"/>
    <w:rPr>
      <w:b/>
      <w:bCs/>
      <w:smallCaps/>
      <w:color w:val="C0504D" w:themeColor="accent2"/>
      <w:spacing w:val="5"/>
      <w:u w:val="single"/>
    </w:rPr>
  </w:style>
  <w:style w:type="character" w:styleId="SubtleReference">
    <w:name w:val="Subtle Reference"/>
    <w:basedOn w:val="DefaultParagraphFont"/>
    <w:uiPriority w:val="31"/>
    <w:qFormat/>
    <w:rsid w:val="008927F3"/>
    <w:rPr>
      <w:smallCaps/>
      <w:color w:val="C0504D" w:themeColor="accent2"/>
      <w:u w:val="single"/>
    </w:rPr>
  </w:style>
  <w:style w:type="paragraph" w:styleId="ListParagraph">
    <w:name w:val="List Paragraph"/>
    <w:basedOn w:val="Normal"/>
    <w:uiPriority w:val="34"/>
    <w:qFormat/>
    <w:rsid w:val="008927F3"/>
    <w:pPr>
      <w:ind w:left="720"/>
      <w:contextualSpacing/>
    </w:pPr>
  </w:style>
  <w:style w:type="character" w:styleId="Hyperlink">
    <w:name w:val="Hyperlink"/>
    <w:basedOn w:val="DefaultParagraphFont"/>
    <w:uiPriority w:val="99"/>
    <w:unhideWhenUsed/>
    <w:rsid w:val="008927F3"/>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69149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Wadley@TampaBay.rr.com" TargetMode="External"/><Relationship Id="rId5" Type="http://schemas.openxmlformats.org/officeDocument/2006/relationships/hyperlink" Target="mailto:LDDUKE@FGCU.EDU"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638</Words>
  <Characters>3642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Florida Department of Environmental Protection</Company>
  <LinksUpToDate>false</LinksUpToDate>
  <CharactersWithSpaces>4272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Mcgee,Shannon A</dc:creator>
  <cp:lastModifiedBy>hansen_t</cp:lastModifiedBy>
  <cp:revision>3</cp:revision>
  <dcterms:created xsi:type="dcterms:W3CDTF">2012-08-10T11:53:00Z</dcterms:created>
  <dcterms:modified xsi:type="dcterms:W3CDTF">2012-08-10T17:25:00Z</dcterms:modified>
</cp:coreProperties>
</file>