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A8B" w:rsidRPr="00C77EDE" w:rsidRDefault="000748AF" w:rsidP="00C77EDE">
      <w:pPr>
        <w:jc w:val="both"/>
        <w:rPr>
          <w:rFonts w:ascii="Times New Roman" w:hAnsi="Times New Roman" w:cs="Times New Roman"/>
          <w:b/>
          <w:sz w:val="24"/>
          <w:szCs w:val="24"/>
        </w:rPr>
      </w:pPr>
      <w:r w:rsidRPr="00C77EDE">
        <w:rPr>
          <w:rFonts w:ascii="Times New Roman" w:hAnsi="Times New Roman" w:cs="Times New Roman"/>
          <w:b/>
          <w:sz w:val="24"/>
          <w:szCs w:val="24"/>
        </w:rPr>
        <w:t>403.067</w:t>
      </w:r>
      <w:r w:rsidRPr="00C77EDE">
        <w:rPr>
          <w:rFonts w:cs="Times New Roman"/>
          <w:b/>
          <w:sz w:val="24"/>
          <w:szCs w:val="24"/>
        </w:rPr>
        <w:t> </w:t>
      </w:r>
      <w:r w:rsidRPr="00C77EDE">
        <w:rPr>
          <w:rFonts w:ascii="Times New Roman" w:hAnsi="Times New Roman" w:cs="Times New Roman"/>
          <w:b/>
          <w:sz w:val="24"/>
          <w:szCs w:val="24"/>
        </w:rPr>
        <w:t>Establishment and implementation of total maximum daily loads. (excerpt)</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(7)</w:t>
      </w:r>
      <w:r w:rsidRPr="00C77EDE">
        <w:rPr>
          <w:rFonts w:cs="Times New Roman"/>
          <w:sz w:val="24"/>
          <w:szCs w:val="24"/>
        </w:rPr>
        <w:t> </w:t>
      </w:r>
      <w:r w:rsidRPr="00C77EDE">
        <w:rPr>
          <w:rFonts w:ascii="Times New Roman" w:hAnsi="Times New Roman" w:cs="Times New Roman"/>
          <w:sz w:val="24"/>
          <w:szCs w:val="24"/>
        </w:rPr>
        <w:t>DEVELOPMENT OF BASIN MANAGEMENT PLANS AND IMPLEMENTATION OF TOTAL MAXIMUM DAILY LOADS.—</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(a)</w:t>
      </w:r>
      <w:r w:rsidRPr="00C77EDE">
        <w:rPr>
          <w:rFonts w:cs="Times New Roman"/>
          <w:sz w:val="24"/>
          <w:szCs w:val="24"/>
        </w:rPr>
        <w:t> </w:t>
      </w:r>
      <w:r w:rsidRPr="00C77EDE">
        <w:rPr>
          <w:rFonts w:ascii="Times New Roman" w:hAnsi="Times New Roman" w:cs="Times New Roman"/>
          <w:sz w:val="24"/>
          <w:szCs w:val="24"/>
        </w:rPr>
        <w:t>Basin management action plans.—</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1.</w:t>
      </w:r>
      <w:r w:rsidRPr="00C77EDE">
        <w:rPr>
          <w:rFonts w:cs="Times New Roman"/>
          <w:sz w:val="24"/>
          <w:szCs w:val="24"/>
        </w:rPr>
        <w:t> </w:t>
      </w:r>
      <w:r w:rsidRPr="00C77EDE">
        <w:rPr>
          <w:rFonts w:ascii="Times New Roman" w:hAnsi="Times New Roman" w:cs="Times New Roman"/>
          <w:sz w:val="24"/>
          <w:szCs w:val="24"/>
        </w:rPr>
        <w:t>In developing and implementing the total maximum daily load for a water body, the department, or the department in conjunction with a water management district, may develop a basin management action plan that addresses some or all of the watersheds and basins tributary to the water body. Such a plan must integrate the appropriate management strategies available to the state through existing water quality protection programs to achieve the total maximum daily loads and may provide for phased implementation of these management strategies to promote timely, cost-effective actions as provided for in s. 403.151. The plan must establish a schedule for implementing the management strategies, establish a basis for evaluating the plan’s effectiveness, and identify feasible funding strategies for implementing the plan’s management strategies. The management strategies may include regional treatment systems or other public works, where appropriate, and, in the basin listed in subsection (10) for which a basin management action plan has been adopted, voluntary trading of water quality credits to achieve the needed pollutant load reductions.</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2.</w:t>
      </w:r>
      <w:r w:rsidRPr="00C77EDE">
        <w:rPr>
          <w:rFonts w:cs="Times New Roman"/>
          <w:sz w:val="24"/>
          <w:szCs w:val="24"/>
        </w:rPr>
        <w:t> </w:t>
      </w:r>
      <w:r w:rsidRPr="00C77EDE">
        <w:rPr>
          <w:rFonts w:ascii="Times New Roman" w:hAnsi="Times New Roman" w:cs="Times New Roman"/>
          <w:sz w:val="24"/>
          <w:szCs w:val="24"/>
        </w:rPr>
        <w:t>A basin management action plan must equitably allocate, pursuant to paragraph (6)(b), pollutant reductions to individual basins, as a whole to all basins, or to each identified point source or category of nonpoint sources, as appropriate. For nonpoint sources for which best management practices have been adopted, the initial requirement specified by the plan must be those practices developed pursuant to paragraph (c). Where appropriate, the plan may take into account the benefits of pollutant load reduction achieved by point or nonpoint sources that have implemented management strategies to reduce pollutant loads, including best management practices, prior to the development of the basin management action plan. The plan must also identify the mechanisms that will address potential future increases in pollutant loading.</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3.</w:t>
      </w:r>
      <w:r w:rsidRPr="00C77EDE">
        <w:rPr>
          <w:rFonts w:cs="Times New Roman"/>
          <w:sz w:val="24"/>
          <w:szCs w:val="24"/>
        </w:rPr>
        <w:t> </w:t>
      </w:r>
      <w:r w:rsidRPr="00C77EDE">
        <w:rPr>
          <w:rFonts w:ascii="Times New Roman" w:hAnsi="Times New Roman" w:cs="Times New Roman"/>
          <w:sz w:val="24"/>
          <w:szCs w:val="24"/>
        </w:rPr>
        <w:t>The basin management action planning process is intended to involve the broadest possible range of interested parties, with the objective of encouraging the greatest amount of cooperation and consensus possible. In developing a basin management action plan, the department shall assure that key stakeholders, including, but not limited to, applicable local governments, water management districts, the Department of Agriculture and Consumer Services, other appropriate state agencies, local soil and water conservation districts, environmental groups, regulated interests, and affected pollution sources, are invited to participate in the process. The department shall hold at least one public meeting in the vicinity of the watershed or basin to discuss and receive comments during the planning process and shall otherwise encourage public participation to the greatest practicable extent. Notice of the public meeting must be published in a newspaper of general circulation in each county in which the watershed or basin lies not less than 5 days nor more than 15 days before the public meeting. A basin management action plan shall not supplant or otherwise alter any assessment made under subsection (3) or subsection (4) or any calculation or initial allocation.</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4.</w:t>
      </w:r>
      <w:r w:rsidRPr="00C77EDE">
        <w:rPr>
          <w:rFonts w:cs="Times New Roman"/>
          <w:sz w:val="24"/>
          <w:szCs w:val="24"/>
        </w:rPr>
        <w:t> </w:t>
      </w:r>
      <w:r w:rsidRPr="00C77EDE">
        <w:rPr>
          <w:rFonts w:ascii="Times New Roman" w:hAnsi="Times New Roman" w:cs="Times New Roman"/>
          <w:sz w:val="24"/>
          <w:szCs w:val="24"/>
        </w:rPr>
        <w:t>The department shall adopt all or any part of a basin management action plan and any amendment to such plan by secretarial order pursuant to chapter 120 to implement the provisions of this section.</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5.</w:t>
      </w:r>
      <w:r w:rsidRPr="00C77EDE">
        <w:rPr>
          <w:rFonts w:cs="Times New Roman"/>
          <w:sz w:val="24"/>
          <w:szCs w:val="24"/>
        </w:rPr>
        <w:t> </w:t>
      </w:r>
      <w:r w:rsidRPr="00C77EDE">
        <w:rPr>
          <w:rFonts w:ascii="Times New Roman" w:hAnsi="Times New Roman" w:cs="Times New Roman"/>
          <w:sz w:val="24"/>
          <w:szCs w:val="24"/>
        </w:rPr>
        <w:t>The basin management action plan must include milestones for implementation and water quality improvement, and an associated water quality monitoring component sufficient to evaluate whether reasonable progress in pollutant load reductions is being achieved over time. An assessment of progress toward these milestones shall be conducted every 5 years, and revisions to the plan shall be made as appropriate. Revisions to the basin management action plan shall be made by the department in cooperation with basin stakeholders. Revisions to the management strategies required for nonpoint sources must follow the procedures set forth in subparagraph (c)4. Revised basin management action plans must be adopted pursuant to subparagraph 4.</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lastRenderedPageBreak/>
        <w:t>6.</w:t>
      </w:r>
      <w:r w:rsidRPr="00C77EDE">
        <w:rPr>
          <w:rFonts w:cs="Times New Roman"/>
          <w:sz w:val="24"/>
          <w:szCs w:val="24"/>
        </w:rPr>
        <w:t> </w:t>
      </w:r>
      <w:r w:rsidRPr="00C77EDE">
        <w:rPr>
          <w:rFonts w:ascii="Times New Roman" w:hAnsi="Times New Roman" w:cs="Times New Roman"/>
          <w:sz w:val="24"/>
          <w:szCs w:val="24"/>
        </w:rPr>
        <w:t>In accordance with procedures adopted by rule under paragraph (9)(c), basin management action plans may allow point or nonpoint sources that will achieve greater pollutant reductions than required by an adopted total maximum load or wasteload allocation to generate, register, and trade water quality credits for the excess reductions to enable other sources to achieve their allocation; however, the generation of water quality credits does not remove the obligation of a source or activity to meet applicable technology requirements or adopted best management practices. Such plans must allow trading between NPDES permittees, and trading that may or may not involve NPDES permittees, where the generation or use of the credits involve an entity or activity not subject to department water discharge permits whose owner voluntarily elects to obtain department authorization for the generation and sale of credits.</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7.</w:t>
      </w:r>
      <w:r w:rsidRPr="00C77EDE">
        <w:rPr>
          <w:rFonts w:cs="Times New Roman"/>
          <w:sz w:val="24"/>
          <w:szCs w:val="24"/>
        </w:rPr>
        <w:t> </w:t>
      </w:r>
      <w:r w:rsidRPr="00C77EDE">
        <w:rPr>
          <w:rFonts w:ascii="Times New Roman" w:hAnsi="Times New Roman" w:cs="Times New Roman"/>
          <w:sz w:val="24"/>
          <w:szCs w:val="24"/>
        </w:rPr>
        <w:t>The provisions of the department’s rule relating to the equitable abatement of pollutants into surface waters shall not be applied to water bodies or water body segments for which a basin management plan that takes into account future new or expanded activities or discharges has been adopted under this section.</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(b)</w:t>
      </w:r>
      <w:r w:rsidRPr="00C77EDE">
        <w:rPr>
          <w:rFonts w:cs="Times New Roman"/>
          <w:sz w:val="24"/>
          <w:szCs w:val="24"/>
        </w:rPr>
        <w:t> </w:t>
      </w:r>
      <w:r w:rsidRPr="00C77EDE">
        <w:rPr>
          <w:rFonts w:ascii="Times New Roman" w:hAnsi="Times New Roman" w:cs="Times New Roman"/>
          <w:sz w:val="24"/>
          <w:szCs w:val="24"/>
        </w:rPr>
        <w:t>Total maximum daily load implementation.—</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1.</w:t>
      </w:r>
      <w:r w:rsidRPr="00C77EDE">
        <w:rPr>
          <w:rFonts w:cs="Times New Roman"/>
          <w:sz w:val="24"/>
          <w:szCs w:val="24"/>
        </w:rPr>
        <w:t> </w:t>
      </w:r>
      <w:r w:rsidRPr="00C77EDE">
        <w:rPr>
          <w:rFonts w:ascii="Times New Roman" w:hAnsi="Times New Roman" w:cs="Times New Roman"/>
          <w:sz w:val="24"/>
          <w:szCs w:val="24"/>
        </w:rPr>
        <w:t>The department shall be the lead agency in coordinating the implementation of the total maximum daily loads through existing water quality protection programs. Application of a total maximum daily load by a water management district must be consistent with this section and shall not require the issuance of an order or a separate action pursuant to s. 120.536(1) or s. 120.54 for the adoption of the calculation and allocation previously established by the department. Such programs may include, but are not limited to:</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a.</w:t>
      </w:r>
      <w:r w:rsidRPr="00C77EDE">
        <w:rPr>
          <w:rFonts w:cs="Times New Roman"/>
          <w:sz w:val="24"/>
          <w:szCs w:val="24"/>
        </w:rPr>
        <w:t> </w:t>
      </w:r>
      <w:r w:rsidRPr="00C77EDE">
        <w:rPr>
          <w:rFonts w:ascii="Times New Roman" w:hAnsi="Times New Roman" w:cs="Times New Roman"/>
          <w:sz w:val="24"/>
          <w:szCs w:val="24"/>
        </w:rPr>
        <w:t>Permitting and other existing regulatory programs, including water-quality-based effluent limitations;</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b.</w:t>
      </w:r>
      <w:r w:rsidRPr="00C77EDE">
        <w:rPr>
          <w:rFonts w:cs="Times New Roman"/>
          <w:sz w:val="24"/>
          <w:szCs w:val="24"/>
        </w:rPr>
        <w:t> </w:t>
      </w:r>
      <w:r w:rsidRPr="00C77EDE">
        <w:rPr>
          <w:rFonts w:ascii="Times New Roman" w:hAnsi="Times New Roman" w:cs="Times New Roman"/>
          <w:sz w:val="24"/>
          <w:szCs w:val="24"/>
        </w:rPr>
        <w:t>Nonregulatory and incentive-based programs, including best management practices, cost sharing, waste minimization, pollution prevention, agreements established pursuant to s. 403.061(21), and public education;</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c.</w:t>
      </w:r>
      <w:r w:rsidRPr="00C77EDE">
        <w:rPr>
          <w:rFonts w:cs="Times New Roman"/>
          <w:sz w:val="24"/>
          <w:szCs w:val="24"/>
        </w:rPr>
        <w:t> </w:t>
      </w:r>
      <w:r w:rsidRPr="00C77EDE">
        <w:rPr>
          <w:rFonts w:ascii="Times New Roman" w:hAnsi="Times New Roman" w:cs="Times New Roman"/>
          <w:sz w:val="24"/>
          <w:szCs w:val="24"/>
        </w:rPr>
        <w:t>Other water quality management and restoration activities, for example surface water improvement and management plans approved by water management districts or basin management action plans developed pursuant to this subsection;</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d.</w:t>
      </w:r>
      <w:r w:rsidRPr="00C77EDE">
        <w:rPr>
          <w:rFonts w:cs="Times New Roman"/>
          <w:sz w:val="24"/>
          <w:szCs w:val="24"/>
        </w:rPr>
        <w:t> </w:t>
      </w:r>
      <w:r w:rsidRPr="00C77EDE">
        <w:rPr>
          <w:rFonts w:ascii="Times New Roman" w:hAnsi="Times New Roman" w:cs="Times New Roman"/>
          <w:sz w:val="24"/>
          <w:szCs w:val="24"/>
        </w:rPr>
        <w:t>Trading of water quality credits or other equitable economically based agreements;</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e.</w:t>
      </w:r>
      <w:r w:rsidRPr="00C77EDE">
        <w:rPr>
          <w:rFonts w:cs="Times New Roman"/>
          <w:sz w:val="24"/>
          <w:szCs w:val="24"/>
        </w:rPr>
        <w:t> </w:t>
      </w:r>
      <w:r w:rsidRPr="00C77EDE">
        <w:rPr>
          <w:rFonts w:ascii="Times New Roman" w:hAnsi="Times New Roman" w:cs="Times New Roman"/>
          <w:sz w:val="24"/>
          <w:szCs w:val="24"/>
        </w:rPr>
        <w:t>Public works including capital facilities; or</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f.</w:t>
      </w:r>
      <w:r w:rsidRPr="00C77EDE">
        <w:rPr>
          <w:rFonts w:cs="Times New Roman"/>
          <w:sz w:val="24"/>
          <w:szCs w:val="24"/>
        </w:rPr>
        <w:t> </w:t>
      </w:r>
      <w:r w:rsidRPr="00C77EDE">
        <w:rPr>
          <w:rFonts w:ascii="Times New Roman" w:hAnsi="Times New Roman" w:cs="Times New Roman"/>
          <w:sz w:val="24"/>
          <w:szCs w:val="24"/>
        </w:rPr>
        <w:t>Land acquisition.</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2.</w:t>
      </w:r>
      <w:r w:rsidRPr="00C77EDE">
        <w:rPr>
          <w:rFonts w:cs="Times New Roman"/>
          <w:sz w:val="24"/>
          <w:szCs w:val="24"/>
        </w:rPr>
        <w:t> </w:t>
      </w:r>
      <w:r w:rsidRPr="00C77EDE">
        <w:rPr>
          <w:rFonts w:ascii="Times New Roman" w:hAnsi="Times New Roman" w:cs="Times New Roman"/>
          <w:sz w:val="24"/>
          <w:szCs w:val="24"/>
        </w:rPr>
        <w:t>For a basin management action plan adopted pursuant to paragraph (a), any management strategies and pollutant reduction requirements associated with a pollutant of concern for which a total maximum daily load has been developed, including effluent limits set forth for a discharger subject to NPDES permitting, if any, must be included in a timely manner in subsequent NPDES permits or permit modifications for that discharger. The department shall not impose limits or conditions implementing an adopted total maximum daily load in an NPDES permit until the permit expires, the discharge is modified, or the permit is reopened pursuant to an adopted basin management action plan.</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a.</w:t>
      </w:r>
      <w:r w:rsidRPr="00C77EDE">
        <w:rPr>
          <w:rFonts w:cs="Times New Roman"/>
          <w:sz w:val="24"/>
          <w:szCs w:val="24"/>
        </w:rPr>
        <w:t> </w:t>
      </w:r>
      <w:r w:rsidRPr="00C77EDE">
        <w:rPr>
          <w:rFonts w:ascii="Times New Roman" w:hAnsi="Times New Roman" w:cs="Times New Roman"/>
          <w:sz w:val="24"/>
          <w:szCs w:val="24"/>
        </w:rPr>
        <w:t>Absent a detailed allocation, total maximum daily loads shall be implemented through NPDES permit conditions that provide for a compliance schedule. In such instances, a facility’s NPDES permit must allow time for the issuance of an order adopting the basin management action plan. The time allowed for the issuance of an order adopting the plan shall not exceed 5 years. Upon issuance of an order adopting the plan, the permit must be reopened or renewed, as necessary, and permit conditions consistent with the plan must be established. Notwithstanding the other provisions of this subparagraph, upon request by an NPDES permittee, the department as part of a permit issuance, renewal, or modification may establish individual allocations prior to the adoption of a basin management action plan.</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b.</w:t>
      </w:r>
      <w:r w:rsidRPr="00C77EDE">
        <w:rPr>
          <w:rFonts w:cs="Times New Roman"/>
          <w:sz w:val="24"/>
          <w:szCs w:val="24"/>
        </w:rPr>
        <w:t> </w:t>
      </w:r>
      <w:r w:rsidRPr="00C77EDE">
        <w:rPr>
          <w:rFonts w:ascii="Times New Roman" w:hAnsi="Times New Roman" w:cs="Times New Roman"/>
          <w:sz w:val="24"/>
          <w:szCs w:val="24"/>
        </w:rPr>
        <w:t>For holders of NPDES municipal separate storm sewer system permits and other stormwater sources, implementation of a total maximum daily load or basin management action plan must be achieved, to the maximum extent practicable, through the use of best management practices or other management measures.</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lastRenderedPageBreak/>
        <w:t>c.</w:t>
      </w:r>
      <w:r w:rsidRPr="00C77EDE">
        <w:rPr>
          <w:rFonts w:cs="Times New Roman"/>
          <w:sz w:val="24"/>
          <w:szCs w:val="24"/>
        </w:rPr>
        <w:t> </w:t>
      </w:r>
      <w:r w:rsidRPr="00C77EDE">
        <w:rPr>
          <w:rFonts w:ascii="Times New Roman" w:hAnsi="Times New Roman" w:cs="Times New Roman"/>
          <w:sz w:val="24"/>
          <w:szCs w:val="24"/>
        </w:rPr>
        <w:t>The basin management action plan does not relieve the discharger from any requirement to obtain, renew, or modify an NPDES permit or to abide by other requirements of the permit.</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d.</w:t>
      </w:r>
      <w:r w:rsidRPr="00C77EDE">
        <w:rPr>
          <w:rFonts w:cs="Times New Roman"/>
          <w:sz w:val="24"/>
          <w:szCs w:val="24"/>
        </w:rPr>
        <w:t> </w:t>
      </w:r>
      <w:r w:rsidRPr="00C77EDE">
        <w:rPr>
          <w:rFonts w:ascii="Times New Roman" w:hAnsi="Times New Roman" w:cs="Times New Roman"/>
          <w:sz w:val="24"/>
          <w:szCs w:val="24"/>
        </w:rPr>
        <w:t>Management strategies set forth in a basin management action plan to be implemented by a discharger subject to permitting by the department must be completed pursuant to the schedule set forth in the basin management action plan. This implementation schedule may extend beyond the 5-year term of an NPDES permit.</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e.</w:t>
      </w:r>
      <w:r w:rsidRPr="00C77EDE">
        <w:rPr>
          <w:rFonts w:cs="Times New Roman"/>
          <w:sz w:val="24"/>
          <w:szCs w:val="24"/>
        </w:rPr>
        <w:t> </w:t>
      </w:r>
      <w:r w:rsidRPr="00C77EDE">
        <w:rPr>
          <w:rFonts w:ascii="Times New Roman" w:hAnsi="Times New Roman" w:cs="Times New Roman"/>
          <w:sz w:val="24"/>
          <w:szCs w:val="24"/>
        </w:rPr>
        <w:t>Management strategies and pollution reduction requirements set forth in a basin management action plan for a specific pollutant of concern shall not be subject to challenge under chapter 120 at the time they are incorporated, in an identical form, into a subsequent NPDES permit or permit modification.</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f.</w:t>
      </w:r>
      <w:r w:rsidRPr="00C77EDE">
        <w:rPr>
          <w:rFonts w:cs="Times New Roman"/>
          <w:sz w:val="24"/>
          <w:szCs w:val="24"/>
        </w:rPr>
        <w:t> </w:t>
      </w:r>
      <w:r w:rsidRPr="00C77EDE">
        <w:rPr>
          <w:rFonts w:ascii="Times New Roman" w:hAnsi="Times New Roman" w:cs="Times New Roman"/>
          <w:sz w:val="24"/>
          <w:szCs w:val="24"/>
        </w:rPr>
        <w:t>For nonagricultural pollutant sources not subject to NPDES permitting but permitted pursuant to other state, regional, or local water quality programs, the pollutant reduction actions adopted in a basin management action plan shall be implemented to the maximum extent practicable as part of those permitting programs.</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g.</w:t>
      </w:r>
      <w:r w:rsidRPr="00C77EDE">
        <w:rPr>
          <w:rFonts w:cs="Times New Roman"/>
          <w:sz w:val="24"/>
          <w:szCs w:val="24"/>
        </w:rPr>
        <w:t> </w:t>
      </w:r>
      <w:r w:rsidRPr="00C77EDE">
        <w:rPr>
          <w:rFonts w:ascii="Times New Roman" w:hAnsi="Times New Roman" w:cs="Times New Roman"/>
          <w:sz w:val="24"/>
          <w:szCs w:val="24"/>
        </w:rPr>
        <w:t>A nonpoint source discharger included in a basin management action plan must demonstrate compliance with the pollutant reductions established under subsection (6) by either implementing the appropriate best management practices established pursuant to paragraph (c) or conducting water quality monitoring prescribed by the department or a water management district. A nonpoint source discharger may, in accordance with department rules, supplement the implementation of best management practices with water quality credit trades in order to demonstrate compliance with the pollutant reductions established under subsection (6).</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h.</w:t>
      </w:r>
      <w:r w:rsidRPr="00C77EDE">
        <w:rPr>
          <w:rFonts w:cs="Times New Roman"/>
          <w:sz w:val="24"/>
          <w:szCs w:val="24"/>
        </w:rPr>
        <w:t> </w:t>
      </w:r>
      <w:r w:rsidRPr="00C77EDE">
        <w:rPr>
          <w:rFonts w:ascii="Times New Roman" w:hAnsi="Times New Roman" w:cs="Times New Roman"/>
          <w:sz w:val="24"/>
          <w:szCs w:val="24"/>
        </w:rPr>
        <w:t>A nonpoint source discharger included in a basin management action plan may be subject to enforcement action by the department or a water management district based upon a failure to implement the responsibilities set forth in sub-subparagraph g.</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i.</w:t>
      </w:r>
      <w:r w:rsidRPr="00C77EDE">
        <w:rPr>
          <w:rFonts w:cs="Times New Roman"/>
          <w:sz w:val="24"/>
          <w:szCs w:val="24"/>
        </w:rPr>
        <w:t> </w:t>
      </w:r>
      <w:r w:rsidRPr="00C77EDE">
        <w:rPr>
          <w:rFonts w:ascii="Times New Roman" w:hAnsi="Times New Roman" w:cs="Times New Roman"/>
          <w:sz w:val="24"/>
          <w:szCs w:val="24"/>
        </w:rPr>
        <w:t>A landowner, discharger, or other responsible person who is implementing applicable management strategies specified in an adopted basin management action plan shall not be required by permit, enforcement action, or otherwise to implement additional management strategies to reduce pollutant loads to attain the pollutant reductions established pursuant to subsection (6) and shall be deemed to be in compliance with this section. This subparagraph does not limit the authority of the department to amend a basin management action plan as specified in subparagraph (a)5.</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(c)</w:t>
      </w:r>
      <w:r w:rsidRPr="00C77EDE">
        <w:rPr>
          <w:rFonts w:cs="Times New Roman"/>
          <w:sz w:val="24"/>
          <w:szCs w:val="24"/>
        </w:rPr>
        <w:t> </w:t>
      </w:r>
      <w:r w:rsidRPr="00C77EDE">
        <w:rPr>
          <w:rFonts w:ascii="Times New Roman" w:hAnsi="Times New Roman" w:cs="Times New Roman"/>
          <w:sz w:val="24"/>
          <w:szCs w:val="24"/>
        </w:rPr>
        <w:t>Best management practices.—</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1.</w:t>
      </w:r>
      <w:r w:rsidRPr="00C77EDE">
        <w:rPr>
          <w:rFonts w:cs="Times New Roman"/>
          <w:sz w:val="24"/>
          <w:szCs w:val="24"/>
        </w:rPr>
        <w:t> </w:t>
      </w:r>
      <w:r w:rsidRPr="00C77EDE">
        <w:rPr>
          <w:rFonts w:ascii="Times New Roman" w:hAnsi="Times New Roman" w:cs="Times New Roman"/>
          <w:sz w:val="24"/>
          <w:szCs w:val="24"/>
        </w:rPr>
        <w:t>The department, in cooperation with the water management districts and other interested parties, as appropriate, may develop suitable interim measures, best management practices, or other measures necessary to achieve the level of pollution reduction established by the department for nonagricultural nonpoint pollutant sources in allocations developed pursuant to subsection (6) and this subsection. These practices and measures may be adopted by rule by the department and the water management districts and, where adopted by rule, shall be implemented by those parties responsible for nonagricultural nonpoint source pollution.</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2.</w:t>
      </w:r>
      <w:r w:rsidRPr="00C77EDE">
        <w:rPr>
          <w:rFonts w:cs="Times New Roman"/>
          <w:sz w:val="24"/>
          <w:szCs w:val="24"/>
        </w:rPr>
        <w:t> </w:t>
      </w:r>
      <w:r w:rsidRPr="00C77EDE">
        <w:rPr>
          <w:rFonts w:ascii="Times New Roman" w:hAnsi="Times New Roman" w:cs="Times New Roman"/>
          <w:sz w:val="24"/>
          <w:szCs w:val="24"/>
        </w:rPr>
        <w:t>The Department of Agriculture and Consumer Services may develop and adopt by rule pursuant to ss. 120.536(1) and 120.54 suitable interim measures, best management practices, or other measures necessary to achieve the level of pollution reduction established by the department for agricultural pollutant sources in allocations developed pursuant to subsection (6) and this subsection or for programs implemented pursuant to paragraph (13)(b). These practices and measures may be implemented by those parties responsible for agricultural pollutant sources and the department, the water management districts, and the Department of Agriculture and Consumer Services shall assist with implementation. In the process of developing and adopting rules for interim measures, best management practices, or other measures, the Department of Agriculture and Consumer Services shall consult with the department, the Department of Health, the water management districts, representatives from affected farming groups, and environmental group representatives. Such rules must also incorporate provisions for a notice of intent to implement the practices and a system to assure the implementation of the practices, including recordkeeping requirements.</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3.</w:t>
      </w:r>
      <w:r w:rsidRPr="00C77EDE">
        <w:rPr>
          <w:rFonts w:cs="Times New Roman"/>
          <w:sz w:val="24"/>
          <w:szCs w:val="24"/>
        </w:rPr>
        <w:t> </w:t>
      </w:r>
      <w:r w:rsidRPr="00C77EDE">
        <w:rPr>
          <w:rFonts w:ascii="Times New Roman" w:hAnsi="Times New Roman" w:cs="Times New Roman"/>
          <w:sz w:val="24"/>
          <w:szCs w:val="24"/>
        </w:rPr>
        <w:t>Where interim measures, best management practices, or other measures are adopted by rule, the effectiveness of such practices in achieving the levels of pollution reduction established in allocations developed by the department pursuant to subsection (6) and this subsection or in programs implemented pursuant to paragraph (13)(b) must be verified at representative sites by the department. The department shall use best professional judgment in making the initial verification that the best management practices are reasonably expected to be effective and, where applicable, must notify the appropriate water management district or the Department of Agriculture and Consumer Services of its initial verification before the adoption of a rule proposed pursuant to this paragraph. Implementation, in accordance with rules adopted under this paragraph, of practices that have been initially verified to be effective, or verified to be effective by monitoring at representative sites, by the department, shall provide a presumption of compliance with state water quality standards and release from the provisions of s. 376.307(5) for those pollutants addressed by the practices, and the department is not authorized to institute proceedings against the owner of the source of pollution to recover costs or damages associated with the contamination of surface water or groundwater caused by those pollutants. Research projects funded by the department, a water management district, or the Department of Agriculture and Consumer Services to develop or demonstrate interim measures or best management practices shall be granted a presumption of compliance with state water quality standards and a release from the provisions of s. 376.307(5). The presumption of compliance and release is limited to the research site and only for those pollutants addressed by the interim measures or best management practices. Eligibility for the presumption of compliance and release is limited to research projects on sites where the owner or operator of the research site and the department, a water management district, or the Department of Agriculture and Consumer Services have entered into a contract or other agreement that, at a minimum, specifies the research objectives, the cost-share responsibilities of the parties, and a schedule that details the beginning and ending dates of the project.</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4.</w:t>
      </w:r>
      <w:r w:rsidRPr="00C77EDE">
        <w:rPr>
          <w:rFonts w:cs="Times New Roman"/>
          <w:sz w:val="24"/>
          <w:szCs w:val="24"/>
        </w:rPr>
        <w:t> </w:t>
      </w:r>
      <w:r w:rsidRPr="00C77EDE">
        <w:rPr>
          <w:rFonts w:ascii="Times New Roman" w:hAnsi="Times New Roman" w:cs="Times New Roman"/>
          <w:sz w:val="24"/>
          <w:szCs w:val="24"/>
        </w:rPr>
        <w:t>Where water quality problems are demonstrated, despite the appropriate implementation, operation, and maintenance of best management practices and other measures required by rules adopted under this paragraph, the department, a water management district, or the Department of Agriculture and Consumer Services, in consultation with the department, shall institute a reevaluation of the best management practice or other measure. Should the reevaluation determine that the best management practice or other measure requires modification, the department, a water management district, or the Department of Agriculture and Consumer Services, as appropriate, shall revise the rule to require implementation of the modified practice within a reasonable time period as specified in the rule.</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5.</w:t>
      </w:r>
      <w:r w:rsidRPr="00C77EDE">
        <w:rPr>
          <w:rFonts w:cs="Times New Roman"/>
          <w:sz w:val="24"/>
          <w:szCs w:val="24"/>
        </w:rPr>
        <w:t> </w:t>
      </w:r>
      <w:r w:rsidRPr="00C77EDE">
        <w:rPr>
          <w:rFonts w:ascii="Times New Roman" w:hAnsi="Times New Roman" w:cs="Times New Roman"/>
          <w:sz w:val="24"/>
          <w:szCs w:val="24"/>
        </w:rPr>
        <w:t>Agricultural records relating to processes or methods of production, costs of production, profits, or other financial information held by the Department of Agriculture and Consumer Services pursuant to subparagraphs 3. and 4. or pursuant to any rule adopted pursuant to subparagraph 2. are confidential and exempt from s. 119.07(1) and s. 24(a), Art. I of the State Constitution. Upon request, records made confidential and exempt pursuant to this subparagraph shall be released to the department or any water management district provided that the confidentiality specified by this subparagraph for such records is maintained.</w:t>
      </w:r>
    </w:p>
    <w:p w:rsidR="00374DAD" w:rsidRPr="00C77EDE" w:rsidRDefault="00374DAD" w:rsidP="00C77EDE">
      <w:pPr>
        <w:jc w:val="both"/>
        <w:rPr>
          <w:rFonts w:ascii="Times New Roman" w:hAnsi="Times New Roman" w:cs="Times New Roman"/>
          <w:sz w:val="24"/>
          <w:szCs w:val="24"/>
        </w:rPr>
      </w:pPr>
      <w:r w:rsidRPr="00C77EDE">
        <w:rPr>
          <w:rFonts w:ascii="Times New Roman" w:hAnsi="Times New Roman" w:cs="Times New Roman"/>
          <w:sz w:val="24"/>
          <w:szCs w:val="24"/>
        </w:rPr>
        <w:t>6.</w:t>
      </w:r>
      <w:r w:rsidRPr="00C77EDE">
        <w:rPr>
          <w:rFonts w:cs="Times New Roman"/>
          <w:sz w:val="24"/>
          <w:szCs w:val="24"/>
        </w:rPr>
        <w:t> </w:t>
      </w:r>
      <w:r w:rsidRPr="00C77EDE">
        <w:rPr>
          <w:rFonts w:ascii="Times New Roman" w:hAnsi="Times New Roman" w:cs="Times New Roman"/>
          <w:sz w:val="24"/>
          <w:szCs w:val="24"/>
        </w:rPr>
        <w:t>The provisions of subparagraphs 1. and 2. do not preclude the department or water management district from requiring compliance with water quality standards or with current best management practice requirements set forth in any applicable regulatory program authorized by law for the purpose of protecting water quality. Additionally, subparagraphs 1. and 2. are applicable only to the extent that they do not conflict with any rules adopted by the department that are necessary to maintain a federally delegated or approved program.</w:t>
      </w:r>
    </w:p>
    <w:sectPr w:rsidR="00374DAD" w:rsidRPr="00C77EDE" w:rsidSect="00C77EDE">
      <w:footerReference w:type="default" r:id="rId6"/>
      <w:pgSz w:w="12240" w:h="15840"/>
      <w:pgMar w:top="720" w:right="1152" w:bottom="115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3E6" w:rsidRDefault="00F753E6" w:rsidP="00C77EDE">
      <w:r>
        <w:separator/>
      </w:r>
    </w:p>
  </w:endnote>
  <w:endnote w:type="continuationSeparator" w:id="0">
    <w:p w:rsidR="00F753E6" w:rsidRDefault="00F753E6" w:rsidP="00C77E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65360"/>
      <w:docPartObj>
        <w:docPartGallery w:val="Page Numbers (Bottom of Page)"/>
        <w:docPartUnique/>
      </w:docPartObj>
    </w:sdtPr>
    <w:sdtContent>
      <w:sdt>
        <w:sdtPr>
          <w:id w:val="565050477"/>
          <w:docPartObj>
            <w:docPartGallery w:val="Page Numbers (Top of Page)"/>
            <w:docPartUnique/>
          </w:docPartObj>
        </w:sdtPr>
        <w:sdtContent>
          <w:p w:rsidR="00C77EDE" w:rsidRDefault="00C77EDE" w:rsidP="00C77EDE">
            <w:pPr>
              <w:pStyle w:val="Footer"/>
            </w:pPr>
            <w:r w:rsidRPr="00C77EDE">
              <w:rPr>
                <w:rFonts w:ascii="Times New Roman" w:hAnsi="Times New Roman" w:cs="Times New Roman"/>
                <w:sz w:val="20"/>
                <w:szCs w:val="20"/>
              </w:rPr>
              <w:t>Distribution</w:t>
            </w:r>
            <w:r>
              <w:tab/>
            </w:r>
            <w:r w:rsidRPr="00C77EDE">
              <w:rPr>
                <w:rFonts w:ascii="Times New Roman" w:hAnsi="Times New Roman" w:cs="Times New Roman"/>
                <w:sz w:val="20"/>
                <w:szCs w:val="20"/>
              </w:rPr>
              <w:t xml:space="preserve">Page </w:t>
            </w:r>
            <w:r w:rsidR="009F605F" w:rsidRPr="00C77EDE">
              <w:rPr>
                <w:rFonts w:ascii="Times New Roman" w:hAnsi="Times New Roman" w:cs="Times New Roman"/>
                <w:sz w:val="20"/>
                <w:szCs w:val="20"/>
              </w:rPr>
              <w:fldChar w:fldCharType="begin"/>
            </w:r>
            <w:r w:rsidRPr="00C77EDE">
              <w:rPr>
                <w:rFonts w:ascii="Times New Roman" w:hAnsi="Times New Roman" w:cs="Times New Roman"/>
                <w:sz w:val="20"/>
                <w:szCs w:val="20"/>
              </w:rPr>
              <w:instrText xml:space="preserve"> PAGE </w:instrText>
            </w:r>
            <w:r w:rsidR="009F605F" w:rsidRPr="00C77EDE">
              <w:rPr>
                <w:rFonts w:ascii="Times New Roman" w:hAnsi="Times New Roman" w:cs="Times New Roman"/>
                <w:sz w:val="20"/>
                <w:szCs w:val="20"/>
              </w:rPr>
              <w:fldChar w:fldCharType="separate"/>
            </w:r>
            <w:r w:rsidR="00964731">
              <w:rPr>
                <w:rFonts w:ascii="Times New Roman" w:hAnsi="Times New Roman" w:cs="Times New Roman"/>
                <w:noProof/>
                <w:sz w:val="20"/>
                <w:szCs w:val="20"/>
              </w:rPr>
              <w:t>1</w:t>
            </w:r>
            <w:r w:rsidR="009F605F" w:rsidRPr="00C77EDE">
              <w:rPr>
                <w:rFonts w:ascii="Times New Roman" w:hAnsi="Times New Roman" w:cs="Times New Roman"/>
                <w:sz w:val="20"/>
                <w:szCs w:val="20"/>
              </w:rPr>
              <w:fldChar w:fldCharType="end"/>
            </w:r>
            <w:r w:rsidRPr="00C77EDE">
              <w:rPr>
                <w:rFonts w:ascii="Times New Roman" w:hAnsi="Times New Roman" w:cs="Times New Roman"/>
                <w:sz w:val="20"/>
                <w:szCs w:val="20"/>
              </w:rPr>
              <w:t xml:space="preserve"> of </w:t>
            </w:r>
            <w:r w:rsidR="009F605F" w:rsidRPr="00C77EDE">
              <w:rPr>
                <w:rFonts w:ascii="Times New Roman" w:hAnsi="Times New Roman" w:cs="Times New Roman"/>
                <w:sz w:val="20"/>
                <w:szCs w:val="20"/>
              </w:rPr>
              <w:fldChar w:fldCharType="begin"/>
            </w:r>
            <w:r w:rsidRPr="00C77EDE">
              <w:rPr>
                <w:rFonts w:ascii="Times New Roman" w:hAnsi="Times New Roman" w:cs="Times New Roman"/>
                <w:sz w:val="20"/>
                <w:szCs w:val="20"/>
              </w:rPr>
              <w:instrText xml:space="preserve"> NUMPAGES  </w:instrText>
            </w:r>
            <w:r w:rsidR="009F605F" w:rsidRPr="00C77EDE">
              <w:rPr>
                <w:rFonts w:ascii="Times New Roman" w:hAnsi="Times New Roman" w:cs="Times New Roman"/>
                <w:sz w:val="20"/>
                <w:szCs w:val="20"/>
              </w:rPr>
              <w:fldChar w:fldCharType="separate"/>
            </w:r>
            <w:r w:rsidR="00964731">
              <w:rPr>
                <w:rFonts w:ascii="Times New Roman" w:hAnsi="Times New Roman" w:cs="Times New Roman"/>
                <w:noProof/>
                <w:sz w:val="20"/>
                <w:szCs w:val="20"/>
              </w:rPr>
              <w:t>4</w:t>
            </w:r>
            <w:r w:rsidR="009F605F" w:rsidRPr="00C77EDE">
              <w:rPr>
                <w:rFonts w:ascii="Times New Roman" w:hAnsi="Times New Roman" w:cs="Times New Roman"/>
                <w:sz w:val="20"/>
                <w:szCs w:val="20"/>
              </w:rPr>
              <w:fldChar w:fldCharType="end"/>
            </w:r>
          </w:p>
        </w:sdtContent>
      </w:sdt>
    </w:sdtContent>
  </w:sdt>
  <w:p w:rsidR="00C77EDE" w:rsidRDefault="00C77E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3E6" w:rsidRDefault="00F753E6" w:rsidP="00C77EDE">
      <w:r>
        <w:separator/>
      </w:r>
    </w:p>
  </w:footnote>
  <w:footnote w:type="continuationSeparator" w:id="0">
    <w:p w:rsidR="00F753E6" w:rsidRDefault="00F753E6" w:rsidP="00C77E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748AF"/>
    <w:rsid w:val="000748AF"/>
    <w:rsid w:val="000A5EDE"/>
    <w:rsid w:val="000C3478"/>
    <w:rsid w:val="000E6C4B"/>
    <w:rsid w:val="00145CFD"/>
    <w:rsid w:val="002769C3"/>
    <w:rsid w:val="00276DC3"/>
    <w:rsid w:val="00282AC4"/>
    <w:rsid w:val="0033498D"/>
    <w:rsid w:val="00374DAD"/>
    <w:rsid w:val="00442BF0"/>
    <w:rsid w:val="004A5BF7"/>
    <w:rsid w:val="00543291"/>
    <w:rsid w:val="006C4BF8"/>
    <w:rsid w:val="006E334A"/>
    <w:rsid w:val="006F3C04"/>
    <w:rsid w:val="00734BA0"/>
    <w:rsid w:val="00843B35"/>
    <w:rsid w:val="008953E3"/>
    <w:rsid w:val="00942CE6"/>
    <w:rsid w:val="00964731"/>
    <w:rsid w:val="009F605F"/>
    <w:rsid w:val="00A34D2B"/>
    <w:rsid w:val="00AB01D2"/>
    <w:rsid w:val="00C77EDE"/>
    <w:rsid w:val="00D57EFD"/>
    <w:rsid w:val="00DA08FE"/>
    <w:rsid w:val="00DF211E"/>
    <w:rsid w:val="00E714A0"/>
    <w:rsid w:val="00ED6779"/>
    <w:rsid w:val="00F15A8B"/>
    <w:rsid w:val="00F753E6"/>
    <w:rsid w:val="00FC6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77EDE"/>
    <w:pPr>
      <w:tabs>
        <w:tab w:val="center" w:pos="4680"/>
        <w:tab w:val="right" w:pos="9360"/>
      </w:tabs>
    </w:pPr>
  </w:style>
  <w:style w:type="character" w:customStyle="1" w:styleId="HeaderChar">
    <w:name w:val="Header Char"/>
    <w:basedOn w:val="DefaultParagraphFont"/>
    <w:link w:val="Header"/>
    <w:uiPriority w:val="99"/>
    <w:semiHidden/>
    <w:rsid w:val="00C77EDE"/>
  </w:style>
  <w:style w:type="paragraph" w:styleId="Footer">
    <w:name w:val="footer"/>
    <w:basedOn w:val="Normal"/>
    <w:link w:val="FooterChar"/>
    <w:uiPriority w:val="99"/>
    <w:unhideWhenUsed/>
    <w:rsid w:val="00C77EDE"/>
    <w:pPr>
      <w:tabs>
        <w:tab w:val="center" w:pos="4680"/>
        <w:tab w:val="right" w:pos="9360"/>
      </w:tabs>
    </w:pPr>
  </w:style>
  <w:style w:type="character" w:customStyle="1" w:styleId="FooterChar">
    <w:name w:val="Footer Char"/>
    <w:basedOn w:val="DefaultParagraphFont"/>
    <w:link w:val="Footer"/>
    <w:uiPriority w:val="99"/>
    <w:rsid w:val="00C77ED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2616</Words>
  <Characters>14917</Characters>
  <Application>Microsoft Office Word</Application>
  <DocSecurity>4</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cioccia_s</cp:lastModifiedBy>
  <cp:revision>2</cp:revision>
  <dcterms:created xsi:type="dcterms:W3CDTF">2013-01-11T12:36:00Z</dcterms:created>
  <dcterms:modified xsi:type="dcterms:W3CDTF">2013-01-11T12:36:00Z</dcterms:modified>
</cp:coreProperties>
</file>