
<file path=[Content_Types].xml><?xml version="1.0" encoding="utf-8"?>
<Types xmlns="http://schemas.openxmlformats.org/package/2006/content-types">
  <Override PartName="/word/charts/chart4.xml" ContentType="application/vnd.openxmlformats-officedocument.drawingml.chart+xml"/>
  <Override PartName="/docProps/core.xml" ContentType="application/vnd.openxmlformats-package.core-properties+xml"/>
  <Override PartName="/word/settings.xml" ContentType="application/vnd.openxmlformats-officedocument.wordprocessingml.settings+xml"/>
  <Default Extension="xml" ContentType="application/xml"/>
  <Default Extension="xlsx" ContentType="application/vnd.openxmlformats-officedocument.spreadsheetml.sheet"/>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charts/chart3.xml" ContentType="application/vnd.openxmlformats-officedocument.drawingml.chart+xml"/>
  <Override PartName="/word/endnotes.xml" ContentType="application/vnd.openxmlformats-officedocument.wordprocessingml.endnotes+xml"/>
  <Default Extension="png" ContentType="image/png"/>
  <Override PartName="/word/charts/chart2.xml" ContentType="application/vnd.openxmlformats-officedocument.drawingml.chart+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74899" w:rsidRDefault="00374899" w:rsidP="00374899">
      <w:pPr>
        <w:widowControl w:val="0"/>
        <w:spacing w:line="323" w:lineRule="auto"/>
        <w:jc w:val="center"/>
        <w:rPr>
          <w:b/>
        </w:rPr>
      </w:pPr>
      <w:r w:rsidRPr="00986CB4">
        <w:rPr>
          <w:b/>
        </w:rPr>
        <w:t>NUTRIENT TESTING OF GRASS CLIPPINGS</w:t>
      </w:r>
    </w:p>
    <w:p w:rsidR="00374899" w:rsidRDefault="00374899" w:rsidP="00374899">
      <w:pPr>
        <w:widowControl w:val="0"/>
        <w:spacing w:line="323" w:lineRule="auto"/>
        <w:jc w:val="center"/>
        <w:rPr>
          <w:b/>
        </w:rPr>
      </w:pPr>
      <w:r>
        <w:rPr>
          <w:b/>
        </w:rPr>
        <w:t>By</w:t>
      </w:r>
    </w:p>
    <w:p w:rsidR="00374899" w:rsidRDefault="00374899" w:rsidP="00374899">
      <w:pPr>
        <w:widowControl w:val="0"/>
        <w:jc w:val="center"/>
        <w:rPr>
          <w:b/>
        </w:rPr>
      </w:pPr>
      <w:r>
        <w:rPr>
          <w:b/>
        </w:rPr>
        <w:t>Gordon England, P.E., D.WRE</w:t>
      </w:r>
    </w:p>
    <w:p w:rsidR="00374899" w:rsidRDefault="00374899" w:rsidP="00374899">
      <w:pPr>
        <w:widowControl w:val="0"/>
        <w:jc w:val="center"/>
        <w:rPr>
          <w:b/>
        </w:rPr>
      </w:pPr>
      <w:r>
        <w:rPr>
          <w:b/>
        </w:rPr>
        <w:t>Stormwater Solutions, Inc.</w:t>
      </w:r>
    </w:p>
    <w:p w:rsidR="00374899" w:rsidRDefault="00374899" w:rsidP="00374899">
      <w:pPr>
        <w:widowControl w:val="0"/>
        <w:jc w:val="center"/>
        <w:rPr>
          <w:b/>
        </w:rPr>
      </w:pPr>
      <w:proofErr w:type="gramStart"/>
      <w:r>
        <w:rPr>
          <w:b/>
        </w:rPr>
        <w:t>and</w:t>
      </w:r>
      <w:proofErr w:type="gramEnd"/>
    </w:p>
    <w:p w:rsidR="00374899" w:rsidRDefault="00374899" w:rsidP="00374899">
      <w:pPr>
        <w:widowControl w:val="0"/>
        <w:jc w:val="center"/>
        <w:rPr>
          <w:b/>
        </w:rPr>
      </w:pPr>
      <w:r>
        <w:rPr>
          <w:b/>
        </w:rPr>
        <w:t>Dan</w:t>
      </w:r>
      <w:r w:rsidR="00C36D48">
        <w:rPr>
          <w:b/>
        </w:rPr>
        <w:t>iel P</w:t>
      </w:r>
      <w:r>
        <w:rPr>
          <w:b/>
        </w:rPr>
        <w:t xml:space="preserve"> Smith, P.E., Ph</w:t>
      </w:r>
      <w:r w:rsidR="00C36D48">
        <w:rPr>
          <w:b/>
        </w:rPr>
        <w:t>.</w:t>
      </w:r>
      <w:r>
        <w:rPr>
          <w:b/>
        </w:rPr>
        <w:t>D</w:t>
      </w:r>
      <w:r w:rsidR="00C36D48">
        <w:rPr>
          <w:b/>
        </w:rPr>
        <w:t>., DEE</w:t>
      </w:r>
    </w:p>
    <w:p w:rsidR="00374899" w:rsidRDefault="00374899" w:rsidP="00374899">
      <w:pPr>
        <w:widowControl w:val="0"/>
        <w:jc w:val="center"/>
        <w:rPr>
          <w:b/>
        </w:rPr>
      </w:pPr>
      <w:r>
        <w:rPr>
          <w:b/>
        </w:rPr>
        <w:t>Applied Environmental Technology</w:t>
      </w:r>
    </w:p>
    <w:p w:rsidR="0024150C" w:rsidRPr="007001C8" w:rsidRDefault="00374899" w:rsidP="00374899">
      <w:pPr>
        <w:widowControl w:val="0"/>
        <w:jc w:val="center"/>
        <w:rPr>
          <w:rFonts w:ascii="Arial" w:hAnsi="Arial" w:cs="Arial"/>
        </w:rPr>
      </w:pPr>
      <w:proofErr w:type="gramStart"/>
      <w:r>
        <w:rPr>
          <w:b/>
        </w:rPr>
        <w:t>October,</w:t>
      </w:r>
      <w:proofErr w:type="gramEnd"/>
      <w:r>
        <w:rPr>
          <w:b/>
        </w:rPr>
        <w:t xml:space="preserve"> 2008</w:t>
      </w:r>
    </w:p>
    <w:p w:rsidR="0024150C" w:rsidRDefault="0024150C" w:rsidP="008226AF">
      <w:pPr>
        <w:widowControl w:val="0"/>
        <w:spacing w:line="323" w:lineRule="auto"/>
        <w:jc w:val="center"/>
        <w:rPr>
          <w:b/>
          <w:bCs/>
        </w:rPr>
      </w:pPr>
    </w:p>
    <w:p w:rsidR="0024150C" w:rsidRPr="00374899" w:rsidRDefault="0024150C" w:rsidP="00BF0B9E">
      <w:pPr>
        <w:widowControl w:val="0"/>
        <w:jc w:val="left"/>
        <w:rPr>
          <w:b/>
          <w:szCs w:val="28"/>
          <w:u w:val="single"/>
        </w:rPr>
      </w:pPr>
      <w:r w:rsidRPr="00374899">
        <w:rPr>
          <w:b/>
          <w:szCs w:val="28"/>
          <w:u w:val="single"/>
        </w:rPr>
        <w:t>Background</w:t>
      </w:r>
    </w:p>
    <w:p w:rsidR="004702F9" w:rsidRDefault="0024150C" w:rsidP="007417E5">
      <w:pPr>
        <w:widowControl w:val="0"/>
      </w:pPr>
      <w:proofErr w:type="gramStart"/>
      <w:r w:rsidRPr="00504FE7">
        <w:t>Stormwater</w:t>
      </w:r>
      <w:r>
        <w:t xml:space="preserve"> pollution has historically been assessed by measuring the concentration of pollutants in the water column</w:t>
      </w:r>
      <w:proofErr w:type="gramEnd"/>
      <w:r>
        <w:t xml:space="preserve">.  For example, the pollutant removal performance of structural BMPs has been extensively characterized using flow weighted pollutant concentrations (EMCs) in inlet and outlet water column samples. Over the last few years, it has been recognized that “gross pollutants” such as larger size sediment, organic debris, manmade </w:t>
      </w:r>
      <w:r w:rsidR="00BF0B9E">
        <w:t>debris, and grass and leaves could</w:t>
      </w:r>
      <w:r>
        <w:t xml:space="preserve"> also be significant sources of pollutants. The recently completed “ASCE Guideline for Monitoring Stor</w:t>
      </w:r>
      <w:r w:rsidR="00BF0B9E">
        <w:t>mwater Gross Solids” (EWRI, 2009</w:t>
      </w:r>
      <w:r>
        <w:t xml:space="preserve">) gives recommendations for monitoring and testing of the gross solids components to determine their pollutant content.  </w:t>
      </w:r>
    </w:p>
    <w:p w:rsidR="004702F9" w:rsidRDefault="004702F9" w:rsidP="007417E5">
      <w:pPr>
        <w:widowControl w:val="0"/>
      </w:pPr>
    </w:p>
    <w:p w:rsidR="0024150C" w:rsidRDefault="0024150C" w:rsidP="007417E5">
      <w:pPr>
        <w:widowControl w:val="0"/>
      </w:pPr>
      <w:r>
        <w:t>With TMDLs being set for nutrients in many Florida waterbodies, interest has been created in preventing nutrients bound in organic materials from entering waterbodies. What is lacking is a method to quantify the nutrient reduction benefit from BMPS that trap gross solids.</w:t>
      </w:r>
    </w:p>
    <w:p w:rsidR="0024150C" w:rsidRDefault="0024150C">
      <w:pPr>
        <w:widowControl w:val="0"/>
        <w:jc w:val="left"/>
        <w:rPr>
          <w:b/>
          <w:bCs/>
          <w:u w:val="single"/>
        </w:rPr>
      </w:pPr>
    </w:p>
    <w:p w:rsidR="009A6E2D" w:rsidRPr="00374899" w:rsidRDefault="009A6E2D" w:rsidP="00BF0B9E">
      <w:pPr>
        <w:widowControl w:val="0"/>
        <w:jc w:val="left"/>
        <w:rPr>
          <w:b/>
          <w:u w:val="single"/>
        </w:rPr>
      </w:pPr>
      <w:r w:rsidRPr="00374899">
        <w:rPr>
          <w:b/>
          <w:u w:val="single"/>
        </w:rPr>
        <w:t>Previous Studies</w:t>
      </w:r>
    </w:p>
    <w:p w:rsidR="009A6E2D" w:rsidRDefault="009A6E2D" w:rsidP="009A6E2D">
      <w:r w:rsidRPr="009E01BD">
        <w:rPr>
          <w:rFonts w:cs="Arial"/>
        </w:rPr>
        <w:t xml:space="preserve">The rate at which nutrients would leach from a mixture of green grass and dried oak leaves when submerged in water over extended time was examined by </w:t>
      </w:r>
      <w:r>
        <w:rPr>
          <w:rFonts w:cs="Arial"/>
        </w:rPr>
        <w:t>Strynchuk,</w:t>
      </w:r>
      <w:r w:rsidRPr="009E01BD">
        <w:rPr>
          <w:rFonts w:cs="Arial"/>
        </w:rPr>
        <w:t xml:space="preserve"> Royal, and England (2001)</w:t>
      </w:r>
      <w:proofErr w:type="gramStart"/>
      <w:r w:rsidRPr="009E01BD">
        <w:rPr>
          <w:rFonts w:cs="Arial"/>
        </w:rPr>
        <w:t xml:space="preserve">.  </w:t>
      </w:r>
      <w:proofErr w:type="gramEnd"/>
      <w:r w:rsidRPr="009E01BD">
        <w:rPr>
          <w:rFonts w:cs="Arial"/>
        </w:rPr>
        <w:t xml:space="preserve">The purpose of the testing was to simulate conditions in which leaves and grass </w:t>
      </w:r>
      <w:r>
        <w:rPr>
          <w:rFonts w:cs="Arial"/>
        </w:rPr>
        <w:t xml:space="preserve">were </w:t>
      </w:r>
      <w:r>
        <w:t xml:space="preserve">trapped in a water filled vault box such as a baffle box or CDS Unit. Known masses of the grass and leaf solids were placed into batch leaching bottles filled with water from a drainage canal and incubated for up to 180 days in a dark building open to the air. Samples of the solid material and leachate were periodically removed and analyzed for TKN, NOx, TN, TP, BOD, and Chlorophyll A. </w:t>
      </w:r>
    </w:p>
    <w:p w:rsidR="009A6E2D" w:rsidRDefault="009A6E2D" w:rsidP="009A6E2D">
      <w:pPr>
        <w:widowControl w:val="0"/>
      </w:pPr>
    </w:p>
    <w:p w:rsidR="009B4D2E" w:rsidRDefault="009A6E2D" w:rsidP="009A6E2D">
      <w:pPr>
        <w:widowControl w:val="0"/>
      </w:pPr>
      <w:r>
        <w:t xml:space="preserve">Figures 1 and 2 show </w:t>
      </w:r>
      <w:r w:rsidR="00BF0B9E">
        <w:t xml:space="preserve">how </w:t>
      </w:r>
      <w:r>
        <w:t>TKN and TP concentration</w:t>
      </w:r>
      <w:r w:rsidR="00BF0B9E">
        <w:t>s fluctuated</w:t>
      </w:r>
      <w:r>
        <w:t xml:space="preserve"> with time for the solids and liquid phases. In Figure 1, TKN was reduced in solids in the first 24 hours, with an ac</w:t>
      </w:r>
      <w:r w:rsidR="00BF0B9E">
        <w:t>cording increase in liquid TKN.</w:t>
      </w:r>
      <w:r>
        <w:t xml:space="preserve"> In the first 30 days, levels of TKN fluctuated and then stabilized at about the initial dry level as the nitrification </w:t>
      </w:r>
      <w:r w:rsidR="00BF0B9E">
        <w:t>cycle progresses. Figure 2 showed</w:t>
      </w:r>
      <w:r>
        <w:t xml:space="preserve"> a drop in the first day for solids TP levels and an increase in leachate TP levels from 1.9 to 1100 g/kg. After the first day, TP concentrations stabilized and remained fairly constant for the remainder of the testing period. These figures indicated that organic debris stored in a water filled BMP would rapidly release small amounts of TKN and large amounts of Total Phosphorus to the water, which could be subsequently be flushed out with the next rainfall event. The conclusion of the report was that use of water filled BMPs resulted in little nutrient removal benefit from trapping and storing organic debris in a wet state.</w:t>
      </w:r>
    </w:p>
    <w:p w:rsidR="001A5869" w:rsidRDefault="001A5869" w:rsidP="009B4D2E">
      <w:pPr>
        <w:widowControl w:val="0"/>
        <w:jc w:val="center"/>
        <w:rPr>
          <w:b/>
        </w:rPr>
      </w:pPr>
    </w:p>
    <w:p w:rsidR="001A5869" w:rsidRDefault="00C85A6F" w:rsidP="00C85A6F">
      <w:pPr>
        <w:widowControl w:val="0"/>
        <w:rPr>
          <w:b/>
        </w:rPr>
      </w:pPr>
      <w:r w:rsidRPr="0080067A">
        <w:t>T</w:t>
      </w:r>
      <w:r>
        <w:t>esting of</w:t>
      </w:r>
      <w:r w:rsidRPr="0080067A">
        <w:t xml:space="preserve"> oak leaves, McCann and Michael </w:t>
      </w:r>
      <w:bookmarkStart w:id="0" w:name="S0_ease_Jose_face_lose_race"/>
      <w:bookmarkStart w:id="1" w:name="S1"/>
      <w:bookmarkEnd w:id="0"/>
      <w:bookmarkEnd w:id="1"/>
      <w:r>
        <w:t>(1998), showed similar results of rapid release of nutrients in water.</w:t>
      </w:r>
    </w:p>
    <w:p w:rsidR="001A5869" w:rsidRDefault="001A5869" w:rsidP="009B4D2E">
      <w:pPr>
        <w:widowControl w:val="0"/>
        <w:jc w:val="center"/>
        <w:rPr>
          <w:b/>
        </w:rPr>
      </w:pPr>
    </w:p>
    <w:p w:rsidR="009B4D2E" w:rsidRDefault="009B4D2E" w:rsidP="009B4D2E">
      <w:pPr>
        <w:widowControl w:val="0"/>
        <w:jc w:val="center"/>
        <w:rPr>
          <w:b/>
        </w:rPr>
      </w:pPr>
      <w:r w:rsidRPr="00067409">
        <w:rPr>
          <w:b/>
        </w:rPr>
        <w:t>Figure 1</w:t>
      </w:r>
    </w:p>
    <w:p w:rsidR="009B4D2E" w:rsidRDefault="009B4D2E" w:rsidP="009B4D2E">
      <w:pPr>
        <w:widowControl w:val="0"/>
        <w:jc w:val="center"/>
        <w:rPr>
          <w:b/>
        </w:rPr>
      </w:pPr>
      <w:r>
        <w:rPr>
          <w:b/>
        </w:rPr>
        <w:t>Grass Clipping and Leaf Wet Decomposition</w:t>
      </w:r>
    </w:p>
    <w:p w:rsidR="009B4D2E" w:rsidRDefault="009B4D2E" w:rsidP="009B4D2E">
      <w:pPr>
        <w:widowControl w:val="0"/>
        <w:jc w:val="center"/>
        <w:rPr>
          <w:b/>
        </w:rPr>
      </w:pPr>
      <w:r>
        <w:rPr>
          <w:b/>
        </w:rPr>
        <w:t>Mixed Leaves and Grass TKN Concentration</w:t>
      </w:r>
    </w:p>
    <w:p w:rsidR="009A6E2D" w:rsidRDefault="009B4D2E" w:rsidP="009B4D2E">
      <w:pPr>
        <w:widowControl w:val="0"/>
        <w:jc w:val="center"/>
      </w:pPr>
      <w:r>
        <w:rPr>
          <w:noProof/>
        </w:rPr>
        <w:drawing>
          <wp:inline distT="0" distB="0" distL="0" distR="0">
            <wp:extent cx="5081141" cy="2398016"/>
            <wp:effectExtent l="12194" t="6094" r="1905" b="1270"/>
            <wp:docPr id="13" name="C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85A6F" w:rsidRDefault="00C85A6F" w:rsidP="009B4D2E">
      <w:pPr>
        <w:widowControl w:val="0"/>
        <w:jc w:val="center"/>
        <w:rPr>
          <w:b/>
        </w:rPr>
      </w:pPr>
    </w:p>
    <w:p w:rsidR="00C36D48" w:rsidRDefault="00C36D48" w:rsidP="009B4D2E">
      <w:pPr>
        <w:widowControl w:val="0"/>
        <w:jc w:val="center"/>
        <w:rPr>
          <w:b/>
        </w:rPr>
      </w:pPr>
    </w:p>
    <w:p w:rsidR="009B4D2E" w:rsidRDefault="009B4D2E" w:rsidP="009B4D2E">
      <w:pPr>
        <w:widowControl w:val="0"/>
        <w:jc w:val="center"/>
        <w:rPr>
          <w:b/>
        </w:rPr>
      </w:pPr>
      <w:r w:rsidRPr="00067409">
        <w:rPr>
          <w:b/>
        </w:rPr>
        <w:t>Figure 2</w:t>
      </w:r>
    </w:p>
    <w:p w:rsidR="009B4D2E" w:rsidRDefault="009B4D2E" w:rsidP="009B4D2E">
      <w:pPr>
        <w:widowControl w:val="0"/>
        <w:jc w:val="center"/>
        <w:rPr>
          <w:b/>
        </w:rPr>
      </w:pPr>
      <w:r>
        <w:rPr>
          <w:b/>
        </w:rPr>
        <w:t>Grass Clipping and Leaf Wet Decomposition</w:t>
      </w:r>
    </w:p>
    <w:p w:rsidR="009B4D2E" w:rsidRPr="00067409" w:rsidRDefault="009B4D2E" w:rsidP="009B4D2E">
      <w:pPr>
        <w:widowControl w:val="0"/>
        <w:jc w:val="center"/>
        <w:rPr>
          <w:b/>
        </w:rPr>
      </w:pPr>
      <w:r>
        <w:rPr>
          <w:b/>
        </w:rPr>
        <w:t>Mixed Leaves and Grass Total Phosphorus Concentration</w:t>
      </w:r>
    </w:p>
    <w:p w:rsidR="009B4D2E" w:rsidRPr="00067409" w:rsidRDefault="00C85A6F" w:rsidP="009B4D2E">
      <w:pPr>
        <w:widowControl w:val="0"/>
        <w:jc w:val="center"/>
        <w:rPr>
          <w:b/>
        </w:rPr>
      </w:pPr>
      <w:r>
        <w:rPr>
          <w:b/>
          <w:noProof/>
        </w:rPr>
        <w:drawing>
          <wp:inline distT="0" distB="0" distL="0" distR="0">
            <wp:extent cx="5205123" cy="2101110"/>
            <wp:effectExtent l="25400" t="25400" r="1877" b="7090"/>
            <wp:docPr id="3" name="C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85A6F" w:rsidRDefault="00C85A6F" w:rsidP="009B4D2E">
      <w:pPr>
        <w:widowControl w:val="0"/>
        <w:jc w:val="center"/>
        <w:rPr>
          <w:b/>
        </w:rPr>
      </w:pPr>
    </w:p>
    <w:p w:rsidR="009A6E2D" w:rsidRDefault="009A6E2D" w:rsidP="008226AF">
      <w:pPr>
        <w:widowControl w:val="0"/>
        <w:jc w:val="center"/>
        <w:rPr>
          <w:sz w:val="28"/>
          <w:szCs w:val="28"/>
        </w:rPr>
      </w:pPr>
    </w:p>
    <w:p w:rsidR="0024150C" w:rsidRPr="00374899" w:rsidRDefault="0024150C" w:rsidP="00BF0B9E">
      <w:pPr>
        <w:widowControl w:val="0"/>
        <w:jc w:val="left"/>
        <w:rPr>
          <w:b/>
          <w:szCs w:val="28"/>
          <w:u w:val="single"/>
        </w:rPr>
      </w:pPr>
      <w:r w:rsidRPr="00374899">
        <w:rPr>
          <w:b/>
          <w:szCs w:val="28"/>
          <w:u w:val="single"/>
        </w:rPr>
        <w:t>Objective</w:t>
      </w:r>
    </w:p>
    <w:p w:rsidR="0024150C" w:rsidRDefault="00BF0B9E" w:rsidP="007417E5">
      <w:pPr>
        <w:widowControl w:val="0"/>
      </w:pPr>
      <w:r>
        <w:t>The objective of this study</w:t>
      </w:r>
      <w:r w:rsidR="0024150C" w:rsidRPr="0015433C">
        <w:t xml:space="preserve"> was to examine the potential </w:t>
      </w:r>
      <w:r w:rsidR="0024150C">
        <w:t xml:space="preserve">of </w:t>
      </w:r>
      <w:r w:rsidR="0024150C" w:rsidRPr="0015433C">
        <w:t>dry storage to reduce the leaching of N</w:t>
      </w:r>
      <w:r w:rsidR="0024150C">
        <w:t>itrogen</w:t>
      </w:r>
      <w:r w:rsidR="0024150C" w:rsidRPr="0015433C">
        <w:t xml:space="preserve"> and P</w:t>
      </w:r>
      <w:r w:rsidR="0024150C">
        <w:t>hosphorus</w:t>
      </w:r>
      <w:r>
        <w:t xml:space="preserve"> from grass clippings.</w:t>
      </w:r>
      <w:r w:rsidR="0024150C" w:rsidRPr="0015433C">
        <w:t xml:space="preserve"> </w:t>
      </w:r>
      <w:r>
        <w:t>The hypothesis was</w:t>
      </w:r>
      <w:r w:rsidR="00FE17E5">
        <w:t xml:space="preserve"> that</w:t>
      </w:r>
      <w:r w:rsidR="0024150C" w:rsidRPr="0015433C">
        <w:t xml:space="preserve"> storing green grass clippings in a dry state</w:t>
      </w:r>
      <w:r w:rsidR="0024150C">
        <w:t xml:space="preserve"> w</w:t>
      </w:r>
      <w:r w:rsidR="00FE17E5">
        <w:t>ould enable a nutrient reducing</w:t>
      </w:r>
      <w:r w:rsidR="0024150C" w:rsidRPr="0015433C">
        <w:t xml:space="preserve"> </w:t>
      </w:r>
      <w:r>
        <w:t>decomposition process to occur.</w:t>
      </w:r>
      <w:r w:rsidR="0024150C">
        <w:t xml:space="preserve"> </w:t>
      </w:r>
      <w:r w:rsidR="0024150C" w:rsidRPr="0015433C">
        <w:t xml:space="preserve">The hypothesis was tested using fresh clippings of St Augustine and Bahia grass collected from </w:t>
      </w:r>
      <w:r w:rsidR="000C38DF">
        <w:t xml:space="preserve">four </w:t>
      </w:r>
      <w:r w:rsidR="0024150C" w:rsidRPr="0015433C">
        <w:t>locations in Brevard County</w:t>
      </w:r>
      <w:r>
        <w:t>, Florida</w:t>
      </w:r>
      <w:r w:rsidR="0024150C" w:rsidRPr="0015433C">
        <w:t xml:space="preserve">. The grass clippings were initially characterized for wet and dry mass, </w:t>
      </w:r>
      <w:r w:rsidR="0024150C" w:rsidRPr="00616618">
        <w:t>Total Nitrogen (TN)</w:t>
      </w:r>
      <w:r w:rsidR="0024150C">
        <w:t xml:space="preserve">, </w:t>
      </w:r>
      <w:r w:rsidR="0024150C" w:rsidRPr="00616618">
        <w:t>Total Kjeldahl Nitrogen (TKN)</w:t>
      </w:r>
      <w:r w:rsidR="0024150C">
        <w:t>,</w:t>
      </w:r>
      <w:r w:rsidR="0024150C" w:rsidRPr="00616618">
        <w:t xml:space="preserve"> Total Oxidized Nitrogen (NO</w:t>
      </w:r>
      <w:r w:rsidR="0024150C" w:rsidRPr="00616618">
        <w:rPr>
          <w:vertAlign w:val="subscript"/>
        </w:rPr>
        <w:t>x</w:t>
      </w:r>
      <w:r w:rsidR="0024150C" w:rsidRPr="00616618">
        <w:t>)</w:t>
      </w:r>
      <w:r w:rsidR="0024150C" w:rsidRPr="0015433C">
        <w:t xml:space="preserve"> and </w:t>
      </w:r>
      <w:r w:rsidR="0024150C">
        <w:t>Total Phosphorus (</w:t>
      </w:r>
      <w:r w:rsidR="0024150C" w:rsidRPr="0015433C">
        <w:t>TP</w:t>
      </w:r>
      <w:r w:rsidR="0024150C">
        <w:t>)</w:t>
      </w:r>
      <w:r w:rsidR="0024150C" w:rsidRPr="0015433C">
        <w:t xml:space="preserve">, </w:t>
      </w:r>
      <w:r w:rsidR="0024150C">
        <w:t xml:space="preserve">allowed to </w:t>
      </w:r>
      <w:r w:rsidR="0024150C" w:rsidRPr="0015433C">
        <w:t>dr</w:t>
      </w:r>
      <w:r w:rsidR="0024150C">
        <w:t>y</w:t>
      </w:r>
      <w:r w:rsidR="0024150C" w:rsidRPr="0015433C">
        <w:t xml:space="preserve"> for 30 days, and retested for the same parameters.</w:t>
      </w:r>
    </w:p>
    <w:p w:rsidR="0024150C" w:rsidRDefault="0024150C" w:rsidP="007417E5">
      <w:pPr>
        <w:widowControl w:val="0"/>
      </w:pPr>
    </w:p>
    <w:p w:rsidR="0024150C" w:rsidRPr="00374899" w:rsidRDefault="0024150C" w:rsidP="00374899">
      <w:pPr>
        <w:widowControl w:val="0"/>
        <w:jc w:val="left"/>
        <w:rPr>
          <w:b/>
          <w:szCs w:val="28"/>
          <w:u w:val="single"/>
        </w:rPr>
      </w:pPr>
      <w:r w:rsidRPr="00374899">
        <w:rPr>
          <w:b/>
          <w:szCs w:val="28"/>
          <w:u w:val="single"/>
        </w:rPr>
        <w:t>Methods</w:t>
      </w:r>
    </w:p>
    <w:p w:rsidR="0024150C" w:rsidRDefault="0024150C" w:rsidP="007417E5">
      <w:r>
        <w:t>A sampling and testing regime was developed to simulate an inlet trap BMP which would filter grass clippings washed into an inlet and allow the grass clippings to dry before being removed from the inlet. Inlet traps are typically cleaned two to</w:t>
      </w:r>
      <w:r w:rsidR="00BF0B9E">
        <w:t xml:space="preserve"> three times annually, but seldom</w:t>
      </w:r>
      <w:r>
        <w:t xml:space="preserve"> at intervals less than 30 days. A 30-day drying time was used in this study.</w:t>
      </w:r>
    </w:p>
    <w:p w:rsidR="0024150C" w:rsidRDefault="0024150C" w:rsidP="007417E5"/>
    <w:p w:rsidR="0024150C" w:rsidRDefault="0024150C" w:rsidP="007417E5">
      <w:r>
        <w:t xml:space="preserve">Two samples of St. Augustine grass and two samples of Bahia grass were </w:t>
      </w:r>
      <w:r w:rsidR="00FE17E5">
        <w:t>collected</w:t>
      </w:r>
      <w:r w:rsidR="003D3FDC">
        <w:t xml:space="preserve"> by a landscaping contractor in Brevard County on a random b</w:t>
      </w:r>
      <w:r w:rsidR="00FE17E5">
        <w:t>asis from locations he maintained</w:t>
      </w:r>
      <w:r w:rsidR="00EA000F">
        <w:t xml:space="preserve"> (Table 1)</w:t>
      </w:r>
      <w:r w:rsidR="003D3FDC">
        <w:t xml:space="preserve">. </w:t>
      </w:r>
      <w:r>
        <w:t>For each of the two grass types, one sample was taken from a location where the grass had never been fertilized and one sample was taken from a nearby location where the grass had been fertilized and irrigated regularly.</w:t>
      </w:r>
      <w:r w:rsidR="005B346A">
        <w:t xml:space="preserve"> Fertilization of the two samples took place on a semi annual basis with 6-14-8 </w:t>
      </w:r>
      <w:proofErr w:type="gramStart"/>
      <w:r w:rsidR="005B346A">
        <w:t>fertilizer</w:t>
      </w:r>
      <w:proofErr w:type="gramEnd"/>
      <w:r w:rsidR="005B346A">
        <w:t>.</w:t>
      </w:r>
    </w:p>
    <w:p w:rsidR="0024150C" w:rsidRDefault="0024150C" w:rsidP="008226AF">
      <w:pPr>
        <w:jc w:val="center"/>
        <w:rPr>
          <w:b/>
          <w:bCs/>
        </w:rPr>
      </w:pPr>
    </w:p>
    <w:p w:rsidR="0024150C" w:rsidRDefault="0024150C" w:rsidP="008226AF">
      <w:pPr>
        <w:jc w:val="center"/>
        <w:rPr>
          <w:b/>
          <w:bCs/>
        </w:rPr>
      </w:pPr>
      <w:r>
        <w:rPr>
          <w:b/>
          <w:bCs/>
        </w:rPr>
        <w:t>Table 1</w:t>
      </w:r>
    </w:p>
    <w:p w:rsidR="0024150C" w:rsidRDefault="0024150C" w:rsidP="008226AF">
      <w:pPr>
        <w:jc w:val="center"/>
        <w:rPr>
          <w:b/>
          <w:bCs/>
        </w:rPr>
      </w:pPr>
      <w:r>
        <w:rPr>
          <w:b/>
          <w:bCs/>
        </w:rPr>
        <w:t>Grass Sample Types and Location</w:t>
      </w:r>
    </w:p>
    <w:tbl>
      <w:tblPr>
        <w:tblW w:w="0" w:type="auto"/>
        <w:tblInd w:w="47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BF"/>
      </w:tblPr>
      <w:tblGrid>
        <w:gridCol w:w="1345"/>
        <w:gridCol w:w="2689"/>
        <w:gridCol w:w="2764"/>
        <w:gridCol w:w="1743"/>
      </w:tblGrid>
      <w:tr w:rsidR="0024150C" w:rsidRPr="003E47BE">
        <w:trPr>
          <w:trHeight w:val="576"/>
        </w:trPr>
        <w:tc>
          <w:tcPr>
            <w:tcW w:w="1345" w:type="dxa"/>
            <w:shd w:val="clear" w:color="auto" w:fill="FFFF00"/>
            <w:vAlign w:val="center"/>
          </w:tcPr>
          <w:p w:rsidR="0024150C" w:rsidRPr="0075056D" w:rsidRDefault="0024150C" w:rsidP="008226AF">
            <w:pPr>
              <w:jc w:val="center"/>
              <w:rPr>
                <w:b/>
              </w:rPr>
            </w:pPr>
            <w:r w:rsidRPr="0075056D">
              <w:rPr>
                <w:b/>
                <w:sz w:val="22"/>
                <w:szCs w:val="22"/>
              </w:rPr>
              <w:t>Sample No.</w:t>
            </w:r>
          </w:p>
        </w:tc>
        <w:tc>
          <w:tcPr>
            <w:tcW w:w="2689" w:type="dxa"/>
            <w:shd w:val="clear" w:color="auto" w:fill="FFFF00"/>
            <w:vAlign w:val="center"/>
          </w:tcPr>
          <w:p w:rsidR="0024150C" w:rsidRPr="0075056D" w:rsidRDefault="0024150C" w:rsidP="008226AF">
            <w:pPr>
              <w:jc w:val="center"/>
              <w:rPr>
                <w:b/>
              </w:rPr>
            </w:pPr>
            <w:r w:rsidRPr="0075056D">
              <w:rPr>
                <w:b/>
                <w:sz w:val="22"/>
                <w:szCs w:val="22"/>
              </w:rPr>
              <w:t>Location</w:t>
            </w:r>
          </w:p>
        </w:tc>
        <w:tc>
          <w:tcPr>
            <w:tcW w:w="2764" w:type="dxa"/>
            <w:shd w:val="clear" w:color="auto" w:fill="FFFF00"/>
            <w:vAlign w:val="center"/>
          </w:tcPr>
          <w:p w:rsidR="0024150C" w:rsidRPr="0075056D" w:rsidRDefault="0024150C" w:rsidP="008226AF">
            <w:pPr>
              <w:jc w:val="center"/>
              <w:rPr>
                <w:b/>
              </w:rPr>
            </w:pPr>
            <w:r w:rsidRPr="0075056D">
              <w:rPr>
                <w:b/>
                <w:sz w:val="22"/>
                <w:szCs w:val="22"/>
              </w:rPr>
              <w:t>Sample Information</w:t>
            </w:r>
          </w:p>
        </w:tc>
        <w:tc>
          <w:tcPr>
            <w:tcW w:w="1743" w:type="dxa"/>
            <w:shd w:val="clear" w:color="auto" w:fill="FFFF00"/>
            <w:vAlign w:val="center"/>
          </w:tcPr>
          <w:p w:rsidR="0024150C" w:rsidRPr="0075056D" w:rsidRDefault="0024150C" w:rsidP="008226AF">
            <w:pPr>
              <w:jc w:val="center"/>
              <w:rPr>
                <w:b/>
              </w:rPr>
            </w:pPr>
            <w:r w:rsidRPr="0075056D">
              <w:rPr>
                <w:b/>
                <w:sz w:val="22"/>
                <w:szCs w:val="22"/>
              </w:rPr>
              <w:t>Date Sampled</w:t>
            </w:r>
          </w:p>
        </w:tc>
      </w:tr>
      <w:tr w:rsidR="0024150C" w:rsidRPr="003E47BE">
        <w:tc>
          <w:tcPr>
            <w:tcW w:w="1345" w:type="dxa"/>
            <w:vAlign w:val="center"/>
          </w:tcPr>
          <w:p w:rsidR="0024150C" w:rsidRDefault="0024150C">
            <w:pPr>
              <w:jc w:val="left"/>
            </w:pPr>
            <w:r w:rsidRPr="003B36BF">
              <w:rPr>
                <w:sz w:val="22"/>
                <w:szCs w:val="22"/>
              </w:rPr>
              <w:t>SANF</w:t>
            </w:r>
          </w:p>
        </w:tc>
        <w:tc>
          <w:tcPr>
            <w:tcW w:w="2689" w:type="dxa"/>
            <w:vAlign w:val="center"/>
          </w:tcPr>
          <w:p w:rsidR="0024150C" w:rsidRDefault="0024150C">
            <w:pPr>
              <w:jc w:val="left"/>
            </w:pPr>
            <w:r>
              <w:rPr>
                <w:sz w:val="22"/>
                <w:szCs w:val="22"/>
              </w:rPr>
              <w:t>Levanto Subdivision, Viera</w:t>
            </w:r>
          </w:p>
        </w:tc>
        <w:tc>
          <w:tcPr>
            <w:tcW w:w="2764" w:type="dxa"/>
            <w:vAlign w:val="center"/>
          </w:tcPr>
          <w:p w:rsidR="0024150C" w:rsidRDefault="0024150C">
            <w:pPr>
              <w:jc w:val="left"/>
            </w:pPr>
            <w:r w:rsidRPr="003B36BF">
              <w:rPr>
                <w:sz w:val="22"/>
                <w:szCs w:val="22"/>
              </w:rPr>
              <w:t>St. Augustine with No Fertilizer and No Irrigation</w:t>
            </w:r>
          </w:p>
        </w:tc>
        <w:tc>
          <w:tcPr>
            <w:tcW w:w="1743" w:type="dxa"/>
            <w:vAlign w:val="center"/>
          </w:tcPr>
          <w:p w:rsidR="0024150C" w:rsidRDefault="0024150C" w:rsidP="008226AF">
            <w:pPr>
              <w:jc w:val="center"/>
            </w:pPr>
            <w:r w:rsidRPr="003B36BF">
              <w:rPr>
                <w:sz w:val="22"/>
                <w:szCs w:val="22"/>
              </w:rPr>
              <w:t>7-31-08</w:t>
            </w:r>
          </w:p>
        </w:tc>
      </w:tr>
      <w:tr w:rsidR="0024150C" w:rsidRPr="003E47BE">
        <w:tc>
          <w:tcPr>
            <w:tcW w:w="1345" w:type="dxa"/>
            <w:vAlign w:val="center"/>
          </w:tcPr>
          <w:p w:rsidR="0024150C" w:rsidRDefault="0024150C">
            <w:pPr>
              <w:jc w:val="left"/>
            </w:pPr>
            <w:r w:rsidRPr="003B36BF">
              <w:rPr>
                <w:sz w:val="22"/>
                <w:szCs w:val="22"/>
              </w:rPr>
              <w:t>SAF</w:t>
            </w:r>
          </w:p>
        </w:tc>
        <w:tc>
          <w:tcPr>
            <w:tcW w:w="2689" w:type="dxa"/>
            <w:vAlign w:val="center"/>
          </w:tcPr>
          <w:p w:rsidR="0024150C" w:rsidRDefault="0024150C">
            <w:pPr>
              <w:jc w:val="left"/>
            </w:pPr>
            <w:r>
              <w:rPr>
                <w:sz w:val="22"/>
                <w:szCs w:val="22"/>
              </w:rPr>
              <w:t>Levanto Subdivision, Viera</w:t>
            </w:r>
          </w:p>
        </w:tc>
        <w:tc>
          <w:tcPr>
            <w:tcW w:w="2764" w:type="dxa"/>
            <w:vAlign w:val="center"/>
          </w:tcPr>
          <w:p w:rsidR="0024150C" w:rsidRDefault="0024150C">
            <w:pPr>
              <w:jc w:val="left"/>
            </w:pPr>
            <w:r w:rsidRPr="003B36BF">
              <w:rPr>
                <w:sz w:val="22"/>
                <w:szCs w:val="22"/>
              </w:rPr>
              <w:t xml:space="preserve">St. Augustine with </w:t>
            </w:r>
            <w:r>
              <w:rPr>
                <w:sz w:val="22"/>
                <w:szCs w:val="22"/>
              </w:rPr>
              <w:t xml:space="preserve">6-14-8 </w:t>
            </w:r>
            <w:r w:rsidRPr="003B36BF">
              <w:rPr>
                <w:sz w:val="22"/>
                <w:szCs w:val="22"/>
              </w:rPr>
              <w:t>Fertilizer and Regular Irrigation</w:t>
            </w:r>
          </w:p>
        </w:tc>
        <w:tc>
          <w:tcPr>
            <w:tcW w:w="1743" w:type="dxa"/>
            <w:vAlign w:val="center"/>
          </w:tcPr>
          <w:p w:rsidR="0024150C" w:rsidRDefault="0024150C" w:rsidP="008226AF">
            <w:pPr>
              <w:jc w:val="center"/>
            </w:pPr>
            <w:r w:rsidRPr="003B36BF">
              <w:rPr>
                <w:sz w:val="22"/>
                <w:szCs w:val="22"/>
              </w:rPr>
              <w:t>7-31-08</w:t>
            </w:r>
          </w:p>
        </w:tc>
      </w:tr>
      <w:tr w:rsidR="0024150C" w:rsidRPr="003E47BE">
        <w:tc>
          <w:tcPr>
            <w:tcW w:w="1345" w:type="dxa"/>
            <w:vAlign w:val="center"/>
          </w:tcPr>
          <w:p w:rsidR="0024150C" w:rsidRDefault="0024150C">
            <w:pPr>
              <w:jc w:val="left"/>
            </w:pPr>
            <w:r w:rsidRPr="003B36BF">
              <w:rPr>
                <w:sz w:val="22"/>
                <w:szCs w:val="22"/>
              </w:rPr>
              <w:t>BNF</w:t>
            </w:r>
          </w:p>
        </w:tc>
        <w:tc>
          <w:tcPr>
            <w:tcW w:w="2689" w:type="dxa"/>
            <w:vAlign w:val="center"/>
          </w:tcPr>
          <w:p w:rsidR="0024150C" w:rsidRDefault="0024150C">
            <w:pPr>
              <w:jc w:val="left"/>
            </w:pPr>
            <w:r>
              <w:rPr>
                <w:sz w:val="22"/>
                <w:szCs w:val="22"/>
              </w:rPr>
              <w:t>Sterling Forest Subdivision, Titusville</w:t>
            </w:r>
          </w:p>
        </w:tc>
        <w:tc>
          <w:tcPr>
            <w:tcW w:w="2764" w:type="dxa"/>
            <w:vAlign w:val="center"/>
          </w:tcPr>
          <w:p w:rsidR="0024150C" w:rsidRDefault="0024150C">
            <w:pPr>
              <w:jc w:val="left"/>
            </w:pPr>
            <w:r w:rsidRPr="003B36BF">
              <w:rPr>
                <w:sz w:val="22"/>
                <w:szCs w:val="22"/>
              </w:rPr>
              <w:t>Bahia with No Fertilizer and No Irrigation</w:t>
            </w:r>
          </w:p>
        </w:tc>
        <w:tc>
          <w:tcPr>
            <w:tcW w:w="1743" w:type="dxa"/>
            <w:vAlign w:val="center"/>
          </w:tcPr>
          <w:p w:rsidR="0024150C" w:rsidRDefault="0024150C" w:rsidP="008226AF">
            <w:pPr>
              <w:jc w:val="center"/>
            </w:pPr>
            <w:r w:rsidRPr="003B36BF">
              <w:rPr>
                <w:sz w:val="22"/>
                <w:szCs w:val="22"/>
              </w:rPr>
              <w:t>7-31-08</w:t>
            </w:r>
          </w:p>
        </w:tc>
      </w:tr>
      <w:tr w:rsidR="0024150C" w:rsidRPr="003E47BE">
        <w:tc>
          <w:tcPr>
            <w:tcW w:w="1345" w:type="dxa"/>
            <w:vAlign w:val="center"/>
          </w:tcPr>
          <w:p w:rsidR="0024150C" w:rsidRDefault="0024150C">
            <w:pPr>
              <w:jc w:val="left"/>
            </w:pPr>
            <w:r w:rsidRPr="003B36BF">
              <w:rPr>
                <w:sz w:val="22"/>
                <w:szCs w:val="22"/>
              </w:rPr>
              <w:t>BF</w:t>
            </w:r>
          </w:p>
        </w:tc>
        <w:tc>
          <w:tcPr>
            <w:tcW w:w="2689" w:type="dxa"/>
            <w:vAlign w:val="center"/>
          </w:tcPr>
          <w:p w:rsidR="0024150C" w:rsidRDefault="0024150C">
            <w:pPr>
              <w:jc w:val="left"/>
            </w:pPr>
            <w:r>
              <w:rPr>
                <w:sz w:val="22"/>
                <w:szCs w:val="22"/>
              </w:rPr>
              <w:t>Village Square Shopping Center, Titusville</w:t>
            </w:r>
          </w:p>
        </w:tc>
        <w:tc>
          <w:tcPr>
            <w:tcW w:w="2764" w:type="dxa"/>
            <w:vAlign w:val="center"/>
          </w:tcPr>
          <w:p w:rsidR="0024150C" w:rsidRDefault="0024150C">
            <w:pPr>
              <w:jc w:val="left"/>
            </w:pPr>
            <w:r w:rsidRPr="003B36BF">
              <w:rPr>
                <w:sz w:val="22"/>
                <w:szCs w:val="22"/>
              </w:rPr>
              <w:t xml:space="preserve">Bahia with </w:t>
            </w:r>
            <w:r>
              <w:rPr>
                <w:sz w:val="22"/>
                <w:szCs w:val="22"/>
              </w:rPr>
              <w:t xml:space="preserve">6-14-8 </w:t>
            </w:r>
            <w:r w:rsidRPr="003B36BF">
              <w:rPr>
                <w:sz w:val="22"/>
                <w:szCs w:val="22"/>
              </w:rPr>
              <w:t>Fertilizer and Regular Irrigation</w:t>
            </w:r>
          </w:p>
        </w:tc>
        <w:tc>
          <w:tcPr>
            <w:tcW w:w="1743" w:type="dxa"/>
            <w:vAlign w:val="center"/>
          </w:tcPr>
          <w:p w:rsidR="0024150C" w:rsidRDefault="0024150C" w:rsidP="008226AF">
            <w:pPr>
              <w:jc w:val="center"/>
            </w:pPr>
            <w:r w:rsidRPr="003B36BF">
              <w:rPr>
                <w:sz w:val="22"/>
                <w:szCs w:val="22"/>
              </w:rPr>
              <w:t>7-31-08</w:t>
            </w:r>
          </w:p>
        </w:tc>
      </w:tr>
    </w:tbl>
    <w:p w:rsidR="0024150C" w:rsidRDefault="0024150C">
      <w:pPr>
        <w:jc w:val="left"/>
      </w:pPr>
    </w:p>
    <w:p w:rsidR="0024150C" w:rsidRDefault="0024150C">
      <w:pPr>
        <w:jc w:val="left"/>
      </w:pPr>
    </w:p>
    <w:p w:rsidR="00410EB5" w:rsidRDefault="0024150C" w:rsidP="007417E5">
      <w:r>
        <w:t>All grass samples were t</w:t>
      </w:r>
      <w:r w:rsidR="000C38DF">
        <w:t>aken on July 31, 2008 during Florida’s</w:t>
      </w:r>
      <w:r>
        <w:t xml:space="preserve"> wet season, with the most recent antecedent rainfall occurring on July 24, 2008. At each sample location, two samples of freshly cut green grass </w:t>
      </w:r>
      <w:r w:rsidR="005B346A">
        <w:t xml:space="preserve">from a lawnmower bag </w:t>
      </w:r>
      <w:r w:rsidR="007778E2">
        <w:t>were taken</w:t>
      </w:r>
      <w:r>
        <w:t xml:space="preserve"> from different parts of the site</w:t>
      </w:r>
      <w:r w:rsidR="007778E2">
        <w:t>.</w:t>
      </w:r>
      <w:r w:rsidR="00084D18">
        <w:t xml:space="preserve"> </w:t>
      </w:r>
      <w:r w:rsidRPr="00D354E5">
        <w:t xml:space="preserve">The two samples from </w:t>
      </w:r>
      <w:r w:rsidR="000C38DF">
        <w:t>each location were</w:t>
      </w:r>
      <w:r w:rsidRPr="00D354E5">
        <w:t xml:space="preserve"> thoroughl</w:t>
      </w:r>
      <w:r w:rsidR="000C38DF">
        <w:t>y mixed and</w:t>
      </w:r>
      <w:r w:rsidR="00084D18">
        <w:t xml:space="preserve"> washed with tap water to sim</w:t>
      </w:r>
      <w:r w:rsidR="007778E2">
        <w:t>ulate a rainfall that washed</w:t>
      </w:r>
      <w:r w:rsidR="00084D18">
        <w:t xml:space="preserve"> grass clippings into an inlet. </w:t>
      </w:r>
      <w:r w:rsidRPr="00D354E5">
        <w:t>For each of the four combined samples, a subsample was removed</w:t>
      </w:r>
      <w:r w:rsidR="007778E2">
        <w:t xml:space="preserve">, placed on ice, and sent to a </w:t>
      </w:r>
      <w:r w:rsidRPr="00D354E5">
        <w:t>NELAC-certified analytical lab.</w:t>
      </w:r>
    </w:p>
    <w:p w:rsidR="00C140BC" w:rsidRDefault="00C140BC" w:rsidP="007417E5">
      <w:pPr>
        <w:rPr>
          <w:b/>
        </w:rPr>
      </w:pPr>
    </w:p>
    <w:p w:rsidR="00521A36" w:rsidRDefault="002D4E9B" w:rsidP="007417E5">
      <w:r>
        <w:t>T</w:t>
      </w:r>
      <w:r w:rsidR="007778E2">
        <w:t>he samples were analyzed for</w:t>
      </w:r>
      <w:r w:rsidR="0024150C" w:rsidRPr="00D354E5">
        <w:t xml:space="preserve"> </w:t>
      </w:r>
      <w:r w:rsidR="0024150C">
        <w:t xml:space="preserve">solids, water, and </w:t>
      </w:r>
      <w:r w:rsidR="0024150C" w:rsidRPr="00D354E5">
        <w:t>nutrient content</w:t>
      </w:r>
      <w:r w:rsidR="0024150C">
        <w:t xml:space="preserve">. </w:t>
      </w:r>
      <w:r w:rsidR="000C38DF">
        <w:t>Test procedures for solid organic tissues, rather than standard aqueous test procedures, were used as s</w:t>
      </w:r>
      <w:r w:rsidR="00BF0B9E">
        <w:t>hown</w:t>
      </w:r>
      <w:r w:rsidR="000C38DF">
        <w:t xml:space="preserve"> in Table 2</w:t>
      </w:r>
      <w:r w:rsidR="00521A36">
        <w:t xml:space="preserve">. </w:t>
      </w:r>
      <w:r w:rsidR="0036203A">
        <w:t>Nutrient concentrations in grass samples were reported</w:t>
      </w:r>
      <w:r w:rsidR="0036203A" w:rsidRPr="00D354E5">
        <w:t xml:space="preserve"> on a </w:t>
      </w:r>
      <w:r w:rsidR="0036203A" w:rsidRPr="00930C71">
        <w:rPr>
          <w:i/>
        </w:rPr>
        <w:t xml:space="preserve">dry weight </w:t>
      </w:r>
      <w:r w:rsidR="000C38DF" w:rsidRPr="00930C71">
        <w:rPr>
          <w:i/>
        </w:rPr>
        <w:t>basis</w:t>
      </w:r>
      <w:r w:rsidR="0036203A" w:rsidRPr="00D354E5">
        <w:t>.</w:t>
      </w:r>
    </w:p>
    <w:p w:rsidR="0024150C" w:rsidRPr="00521A36" w:rsidRDefault="0024150C" w:rsidP="00E83A86"/>
    <w:p w:rsidR="00521A36" w:rsidRDefault="002D4E9B" w:rsidP="007417E5">
      <w:r>
        <w:t>T</w:t>
      </w:r>
      <w:r w:rsidR="0024150C" w:rsidRPr="00D354E5">
        <w:t>he remaining grass material</w:t>
      </w:r>
      <w:r w:rsidR="0024150C">
        <w:t>s</w:t>
      </w:r>
      <w:r w:rsidR="0024150C" w:rsidRPr="00D354E5">
        <w:t xml:space="preserve"> were kept in</w:t>
      </w:r>
      <w:r w:rsidR="007730F3">
        <w:t xml:space="preserve"> separate open baskets in</w:t>
      </w:r>
      <w:r w:rsidR="0024150C" w:rsidRPr="00D354E5">
        <w:t xml:space="preserve"> a warm, dry, dark building for 30 days and allowed to dry</w:t>
      </w:r>
      <w:r w:rsidR="00084D18">
        <w:t xml:space="preserve"> with no more exposure to water</w:t>
      </w:r>
      <w:r w:rsidR="007730F3">
        <w:t>, simulating being trapped in an underground inlet filter that had no subsequent rain events</w:t>
      </w:r>
      <w:r w:rsidR="000C38DF">
        <w:t xml:space="preserve"> which would</w:t>
      </w:r>
      <w:r w:rsidR="00084D18">
        <w:t xml:space="preserve"> leach out nutrients</w:t>
      </w:r>
      <w:r w:rsidR="0024150C" w:rsidRPr="00D354E5">
        <w:t>.</w:t>
      </w:r>
      <w:r w:rsidR="007730F3">
        <w:t xml:space="preserve"> </w:t>
      </w:r>
      <w:r w:rsidR="0024150C">
        <w:t xml:space="preserve">Each of the sub-samples </w:t>
      </w:r>
      <w:r w:rsidR="00084D18">
        <w:t>was</w:t>
      </w:r>
      <w:r w:rsidR="0024150C">
        <w:t xml:space="preserve"> then sent to the la</w:t>
      </w:r>
      <w:r w:rsidR="00FE17E5">
        <w:t>boratory for a second analysis.</w:t>
      </w:r>
    </w:p>
    <w:p w:rsidR="000C38DF" w:rsidRDefault="000C38DF">
      <w:pPr>
        <w:jc w:val="left"/>
      </w:pPr>
    </w:p>
    <w:p w:rsidR="000C38DF" w:rsidRDefault="000C38DF">
      <w:pPr>
        <w:jc w:val="left"/>
      </w:pPr>
    </w:p>
    <w:p w:rsidR="0024150C" w:rsidRDefault="0024150C">
      <w:pPr>
        <w:jc w:val="left"/>
      </w:pPr>
    </w:p>
    <w:p w:rsidR="0024150C" w:rsidRPr="00374899" w:rsidRDefault="0024150C" w:rsidP="00BF0B9E">
      <w:pPr>
        <w:jc w:val="left"/>
        <w:rPr>
          <w:b/>
          <w:szCs w:val="28"/>
          <w:u w:val="single"/>
        </w:rPr>
      </w:pPr>
      <w:r w:rsidRPr="00374899">
        <w:rPr>
          <w:b/>
          <w:szCs w:val="28"/>
          <w:u w:val="single"/>
        </w:rPr>
        <w:t>Results</w:t>
      </w:r>
    </w:p>
    <w:p w:rsidR="003118E3" w:rsidRDefault="003118E3" w:rsidP="003118E3">
      <w:r>
        <w:t xml:space="preserve">Lab results are shown in Table 2. </w:t>
      </w:r>
      <w:r w:rsidR="007D7AA9">
        <w:t xml:space="preserve">Fresh cut green grass had an average TN concentration of 18,250 mg/kg, while air dried grass had an average TN concentration of 4,173 mg/kg. </w:t>
      </w:r>
      <w:r>
        <w:t xml:space="preserve">The drying process for the four grass samples gave TN reductions ranging from 58% to 96%, with an average 80% removal. </w:t>
      </w:r>
      <w:r w:rsidR="00483A1A">
        <w:t>See Figure</w:t>
      </w:r>
      <w:r w:rsidR="00930C71">
        <w:t xml:space="preserve"> 1</w:t>
      </w:r>
      <w:r w:rsidR="00270C90">
        <w:t xml:space="preserve">. </w:t>
      </w:r>
      <w:r>
        <w:t>TN</w:t>
      </w:r>
      <w:r w:rsidRPr="00616618">
        <w:t xml:space="preserve"> is the sum of TKN and NO</w:t>
      </w:r>
      <w:r w:rsidRPr="00616618">
        <w:rPr>
          <w:vertAlign w:val="subscript"/>
        </w:rPr>
        <w:t>x</w:t>
      </w:r>
      <w:r w:rsidRPr="00616618">
        <w:t>. TKN levels were consistently orders of magnitude higher than NO</w:t>
      </w:r>
      <w:r w:rsidRPr="00616618">
        <w:rPr>
          <w:vertAlign w:val="subscript"/>
        </w:rPr>
        <w:t>x</w:t>
      </w:r>
      <w:r>
        <w:rPr>
          <w:vertAlign w:val="subscript"/>
        </w:rPr>
        <w:t xml:space="preserve"> </w:t>
      </w:r>
      <w:r w:rsidRPr="00314419">
        <w:t>levels</w:t>
      </w:r>
      <w:r>
        <w:t>, with</w:t>
      </w:r>
      <w:r w:rsidRPr="00616618">
        <w:t xml:space="preserve"> </w:t>
      </w:r>
      <w:r>
        <w:t xml:space="preserve">TN and </w:t>
      </w:r>
      <w:r w:rsidRPr="00616618">
        <w:t xml:space="preserve">TKN </w:t>
      </w:r>
      <w:r>
        <w:t>values being</w:t>
      </w:r>
      <w:r w:rsidRPr="00616618">
        <w:t xml:space="preserve"> the same in most cases.</w:t>
      </w:r>
    </w:p>
    <w:p w:rsidR="003118E3" w:rsidRDefault="003118E3" w:rsidP="003118E3">
      <w:pPr>
        <w:jc w:val="left"/>
      </w:pPr>
    </w:p>
    <w:p w:rsidR="000E5D7F" w:rsidRDefault="00483A1A" w:rsidP="003118E3">
      <w:r>
        <w:t>Figure 2</w:t>
      </w:r>
      <w:r w:rsidR="003118E3">
        <w:t xml:space="preserve"> shows that TP reductions from the drying process were not as high </w:t>
      </w:r>
      <w:proofErr w:type="gramStart"/>
      <w:r w:rsidR="00AC2FAA">
        <w:t>n</w:t>
      </w:r>
      <w:r w:rsidR="003118E3">
        <w:t>or</w:t>
      </w:r>
      <w:proofErr w:type="gramEnd"/>
      <w:r w:rsidR="00AC2FAA">
        <w:t xml:space="preserve"> as</w:t>
      </w:r>
      <w:r w:rsidR="003118E3">
        <w:t xml:space="preserve"> variable as TN reductions. </w:t>
      </w:r>
      <w:r w:rsidR="007D7AA9">
        <w:t>Initial TP average concentrations were 3,175 mg/kg. After drying 30 days the average TP concentration drop</w:t>
      </w:r>
      <w:r w:rsidR="002D737A">
        <w:t>ped to 2,118 mg/kg.</w:t>
      </w:r>
      <w:r w:rsidR="007D7AA9">
        <w:t xml:space="preserve"> </w:t>
      </w:r>
      <w:r w:rsidR="003118E3">
        <w:t xml:space="preserve">TP reduction ranged from 23.1% to 49%, with an average reduction of 35%. </w:t>
      </w:r>
    </w:p>
    <w:p w:rsidR="000E5D7F" w:rsidRDefault="000E5D7F" w:rsidP="000E5D7F"/>
    <w:p w:rsidR="0024150C" w:rsidRDefault="00E32360" w:rsidP="008A202D">
      <w:pPr>
        <w:jc w:val="center"/>
        <w:rPr>
          <w:b/>
          <w:bCs/>
        </w:rPr>
      </w:pPr>
      <w:r>
        <w:rPr>
          <w:b/>
          <w:bCs/>
        </w:rPr>
        <w:t>Table 2</w:t>
      </w:r>
    </w:p>
    <w:p w:rsidR="0024150C" w:rsidRDefault="004B07F4" w:rsidP="008A202D">
      <w:pPr>
        <w:jc w:val="center"/>
        <w:rPr>
          <w:b/>
          <w:bCs/>
        </w:rPr>
      </w:pPr>
      <w:r w:rsidRPr="004B07F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7.2pt;margin-top:21.2pt;width:454.95pt;height:132.05pt;z-index:251658240;mso-wrap-edited:f" wrapcoords="0 0 21600 0 21600 21600 0 21600 0 0">
            <v:imagedata r:id="rId10" o:title=""/>
            <w10:wrap type="tight"/>
          </v:shape>
          <o:OLEObject Type="Embed" ProgID="Excel.Sheet.12" ShapeID="_x0000_s1026" DrawAspect="Content" ObjectID="_1167574301" r:id="rId11"/>
        </w:pict>
      </w:r>
      <w:r w:rsidR="0024150C">
        <w:rPr>
          <w:b/>
          <w:bCs/>
        </w:rPr>
        <w:t>Nutrient and Moisture Content of Fresh Cut and Air Dried Grass Samples</w:t>
      </w:r>
    </w:p>
    <w:p w:rsidR="0024150C" w:rsidRDefault="0024150C" w:rsidP="007730F3">
      <w:pPr>
        <w:rPr>
          <w:b/>
          <w:bCs/>
        </w:rPr>
      </w:pPr>
    </w:p>
    <w:p w:rsidR="0024150C" w:rsidRPr="003118E3" w:rsidRDefault="003118E3" w:rsidP="003118E3">
      <w:pPr>
        <w:jc w:val="center"/>
        <w:rPr>
          <w:b/>
        </w:rPr>
      </w:pPr>
      <w:r w:rsidRPr="003118E3">
        <w:rPr>
          <w:b/>
        </w:rPr>
        <w:t>Figure 1 TN Concentrations in Fresh Cut and Air Dried Grass Samples</w:t>
      </w:r>
    </w:p>
    <w:p w:rsidR="0024150C" w:rsidRDefault="00563D12" w:rsidP="004922B1">
      <w:pPr>
        <w:jc w:val="center"/>
      </w:pPr>
      <w:r w:rsidRPr="00563D12">
        <w:rPr>
          <w:noProof/>
        </w:rPr>
        <w:drawing>
          <wp:inline distT="0" distB="0" distL="0" distR="0">
            <wp:extent cx="4660900" cy="2743200"/>
            <wp:effectExtent l="25400" t="25400" r="12700" b="0"/>
            <wp:docPr id="8" name="C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93A5B" w:rsidRDefault="00D93A5B" w:rsidP="003118E3">
      <w:pPr>
        <w:jc w:val="center"/>
        <w:rPr>
          <w:b/>
        </w:rPr>
      </w:pPr>
    </w:p>
    <w:p w:rsidR="00D93A5B" w:rsidRDefault="00D93A5B" w:rsidP="003118E3">
      <w:pPr>
        <w:jc w:val="center"/>
        <w:rPr>
          <w:b/>
        </w:rPr>
      </w:pPr>
    </w:p>
    <w:p w:rsidR="00D93A5B" w:rsidRDefault="00D93A5B" w:rsidP="003118E3">
      <w:pPr>
        <w:jc w:val="center"/>
        <w:rPr>
          <w:b/>
        </w:rPr>
      </w:pPr>
    </w:p>
    <w:p w:rsidR="0024150C" w:rsidRPr="003118E3" w:rsidRDefault="003118E3" w:rsidP="003118E3">
      <w:pPr>
        <w:jc w:val="center"/>
        <w:rPr>
          <w:b/>
        </w:rPr>
      </w:pPr>
      <w:r w:rsidRPr="003118E3">
        <w:rPr>
          <w:b/>
        </w:rPr>
        <w:t>Figure 2 TP Concentrations in Fresh Cut and Air Dried Grass samples</w:t>
      </w:r>
    </w:p>
    <w:p w:rsidR="0024150C" w:rsidRDefault="00563D12" w:rsidP="004922B1">
      <w:pPr>
        <w:jc w:val="center"/>
      </w:pPr>
      <w:r w:rsidRPr="00563D12">
        <w:rPr>
          <w:noProof/>
        </w:rPr>
        <w:drawing>
          <wp:inline distT="0" distB="0" distL="0" distR="0">
            <wp:extent cx="4862956" cy="2915027"/>
            <wp:effectExtent l="25400" t="25400" r="13844" b="5973"/>
            <wp:docPr id="7" name="C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4150C" w:rsidRDefault="0024150C" w:rsidP="0080384A">
      <w:pPr>
        <w:pStyle w:val="Heading1"/>
        <w:jc w:val="left"/>
      </w:pPr>
    </w:p>
    <w:p w:rsidR="0024150C" w:rsidRPr="00270C90" w:rsidRDefault="0024150C" w:rsidP="00270C90">
      <w:pPr>
        <w:pStyle w:val="Heading1"/>
        <w:jc w:val="left"/>
        <w:rPr>
          <w:rFonts w:ascii="Times New Roman" w:hAnsi="Times New Roman" w:cs="Times New Roman"/>
          <w:bCs w:val="0"/>
          <w:sz w:val="24"/>
          <w:szCs w:val="30"/>
          <w:u w:val="single"/>
        </w:rPr>
      </w:pPr>
      <w:r w:rsidRPr="00270C90">
        <w:rPr>
          <w:rFonts w:ascii="Times New Roman" w:hAnsi="Times New Roman" w:cs="Times New Roman"/>
          <w:bCs w:val="0"/>
          <w:sz w:val="24"/>
          <w:szCs w:val="30"/>
          <w:u w:val="single"/>
        </w:rPr>
        <w:t>Conclusions</w:t>
      </w:r>
    </w:p>
    <w:p w:rsidR="0024150C" w:rsidRDefault="00270C90" w:rsidP="0053287B">
      <w:r>
        <w:t xml:space="preserve">In both Bahia and St. Augustine grass </w:t>
      </w:r>
      <w:proofErr w:type="gramStart"/>
      <w:r>
        <w:t>samples,</w:t>
      </w:r>
      <w:proofErr w:type="gramEnd"/>
      <w:r>
        <w:t xml:space="preserve"> air-drying resulted in significant reductions of TN concentrations and moderate reductions in TP</w:t>
      </w:r>
      <w:r w:rsidR="00930C71">
        <w:t xml:space="preserve"> concentrations</w:t>
      </w:r>
      <w:r>
        <w:t>. This</w:t>
      </w:r>
      <w:r w:rsidR="0024150C">
        <w:t xml:space="preserve"> study provides a starting point for estimating the reduction of nutrient loading to receiving waters that can be achieved by BMPs that capture grass in stormwater runoff, or by ord</w:t>
      </w:r>
      <w:r w:rsidR="00930C71">
        <w:t>i</w:t>
      </w:r>
      <w:r w:rsidR="0024150C">
        <w:t>nances that prevent grass clippings fr</w:t>
      </w:r>
      <w:r>
        <w:t>om being deposited onto roads</w:t>
      </w:r>
      <w:r w:rsidR="0024150C">
        <w:t xml:space="preserve"> </w:t>
      </w:r>
      <w:r w:rsidR="005D5D83">
        <w:t>and into s</w:t>
      </w:r>
      <w:r w:rsidR="00930C71">
        <w:t>tormdrains. Therefore</w:t>
      </w:r>
      <w:r w:rsidR="0024150C">
        <w:t xml:space="preserve">, </w:t>
      </w:r>
      <w:proofErr w:type="gramStart"/>
      <w:r w:rsidR="0024150C">
        <w:t>air drying</w:t>
      </w:r>
      <w:proofErr w:type="gramEnd"/>
      <w:r w:rsidR="0024150C">
        <w:t xml:space="preserve"> of grass sa</w:t>
      </w:r>
      <w:r w:rsidR="00930C71">
        <w:t>mples in a manner that simulates</w:t>
      </w:r>
      <w:r w:rsidR="0024150C">
        <w:t xml:space="preserve"> </w:t>
      </w:r>
      <w:r w:rsidR="00FA1042">
        <w:t xml:space="preserve">dry </w:t>
      </w:r>
      <w:r w:rsidR="0024150C">
        <w:t xml:space="preserve">storage in an inlet trap BMP </w:t>
      </w:r>
      <w:r>
        <w:t>serves</w:t>
      </w:r>
      <w:r w:rsidR="0024150C" w:rsidRPr="00700FE7">
        <w:t xml:space="preserve"> as a </w:t>
      </w:r>
      <w:r w:rsidR="0024150C">
        <w:t>type of “</w:t>
      </w:r>
      <w:r w:rsidR="0024150C" w:rsidRPr="00700FE7">
        <w:t>treatment process</w:t>
      </w:r>
      <w:r>
        <w:t>” that reduces</w:t>
      </w:r>
      <w:r w:rsidR="0024150C">
        <w:t xml:space="preserve"> </w:t>
      </w:r>
      <w:r>
        <w:t>nutrient masses reaching receiving waters</w:t>
      </w:r>
      <w:r w:rsidR="0024150C" w:rsidRPr="00700FE7">
        <w:t>.</w:t>
      </w:r>
      <w:r w:rsidR="0024150C">
        <w:t xml:space="preserve">  </w:t>
      </w:r>
    </w:p>
    <w:p w:rsidR="0024150C" w:rsidRDefault="0024150C" w:rsidP="00024456"/>
    <w:p w:rsidR="0024150C" w:rsidRDefault="0024150C" w:rsidP="00E024F5">
      <w:r>
        <w:t>BMPs such as inlet traps that filter grass clippings and keep them dry will allow the treatment process of decomposition to occur, and should be more effective at reducing nutrient loads from gross organic solids than BMPs that trap organic debris and keep</w:t>
      </w:r>
      <w:r w:rsidR="00E024F5">
        <w:t xml:space="preserve"> them</w:t>
      </w:r>
      <w:r w:rsidR="00FA1042">
        <w:t xml:space="preserve"> in a water filled chamber</w:t>
      </w:r>
      <w:r>
        <w:t xml:space="preserve">. </w:t>
      </w:r>
    </w:p>
    <w:p w:rsidR="00E024F5" w:rsidRDefault="00E024F5" w:rsidP="00E024F5"/>
    <w:p w:rsidR="00547870" w:rsidRDefault="0024150C" w:rsidP="00E024F5">
      <w:r>
        <w:t xml:space="preserve">A practical method of using the information from this report would be to track the mass of grass clippings collected in inlet traps and compute the annual mass of grass removed. </w:t>
      </w:r>
      <w:r w:rsidR="00547870">
        <w:t>Obtaining a lab analysis of representative grass samples</w:t>
      </w:r>
      <w:r>
        <w:t xml:space="preserve"> </w:t>
      </w:r>
      <w:r w:rsidR="00547870">
        <w:t>to determine TN and TP concentrations</w:t>
      </w:r>
      <w:r w:rsidR="00E024F5">
        <w:t xml:space="preserve"> would give end condition</w:t>
      </w:r>
      <w:r>
        <w:t xml:space="preserve"> concentrations and masses. Working backwards with the above reduction factors would give beginning condition masses, which would be the mass of nutrients removed from the system. </w:t>
      </w:r>
    </w:p>
    <w:p w:rsidR="0024150C" w:rsidRDefault="0024150C">
      <w:pPr>
        <w:jc w:val="left"/>
      </w:pPr>
    </w:p>
    <w:p w:rsidR="0024150C" w:rsidRPr="00930C71" w:rsidRDefault="0024150C" w:rsidP="00930C71">
      <w:pPr>
        <w:jc w:val="left"/>
        <w:rPr>
          <w:b/>
          <w:szCs w:val="28"/>
          <w:u w:val="single"/>
        </w:rPr>
      </w:pPr>
      <w:r w:rsidRPr="00930C71">
        <w:rPr>
          <w:b/>
          <w:szCs w:val="28"/>
          <w:u w:val="single"/>
        </w:rPr>
        <w:t>References</w:t>
      </w:r>
    </w:p>
    <w:p w:rsidR="009B4D2E" w:rsidRDefault="0024150C">
      <w:pPr>
        <w:jc w:val="left"/>
      </w:pPr>
      <w:proofErr w:type="gramStart"/>
      <w:r w:rsidRPr="00CB50C7">
        <w:t>Environmental Water Resources Institute</w:t>
      </w:r>
      <w:r>
        <w:t xml:space="preserve">, </w:t>
      </w:r>
      <w:r w:rsidRPr="00CB50C7">
        <w:t>Urban Water Resources Research Council</w:t>
      </w:r>
      <w:r>
        <w:t xml:space="preserve">, </w:t>
      </w:r>
      <w:r w:rsidRPr="00CB50C7">
        <w:t>Gross Solids Technical Committee</w:t>
      </w:r>
      <w:r>
        <w:t xml:space="preserve"> (October 2008).</w:t>
      </w:r>
      <w:proofErr w:type="gramEnd"/>
      <w:r>
        <w:t xml:space="preserve">  “ASCE Guideline for Monitoring Stormwater Gross Solids”</w:t>
      </w:r>
    </w:p>
    <w:p w:rsidR="009B4D2E" w:rsidRDefault="009B4D2E">
      <w:pPr>
        <w:jc w:val="left"/>
      </w:pPr>
    </w:p>
    <w:p w:rsidR="009B4D2E" w:rsidRDefault="009B4D2E" w:rsidP="009B4D2E">
      <w:r>
        <w:t>McCann, K</w:t>
      </w:r>
      <w:proofErr w:type="gramStart"/>
      <w:r>
        <w:t>.</w:t>
      </w:r>
      <w:proofErr w:type="gramEnd"/>
      <w:r>
        <w:t xml:space="preserve"> and Michael, J. (1998) “Nutrient Content and Release Rate In Water of Oak Leaves”. </w:t>
      </w:r>
      <w:proofErr w:type="gramStart"/>
      <w:r>
        <w:t>City of Orland Stormwater Utility Bureau.</w:t>
      </w:r>
      <w:proofErr w:type="gramEnd"/>
    </w:p>
    <w:p w:rsidR="009B4D2E" w:rsidRDefault="009B4D2E" w:rsidP="009B4D2E">
      <w:pPr>
        <w:jc w:val="left"/>
      </w:pPr>
    </w:p>
    <w:p w:rsidR="0013565F" w:rsidRDefault="009B4D2E">
      <w:pPr>
        <w:jc w:val="left"/>
      </w:pPr>
      <w:r>
        <w:t>Strynchuk, J., Royal, J.</w:t>
      </w:r>
      <w:proofErr w:type="gramStart"/>
      <w:r>
        <w:t>,  and</w:t>
      </w:r>
      <w:proofErr w:type="gramEnd"/>
      <w:r>
        <w:t xml:space="preserve"> England, G. (2001). </w:t>
      </w:r>
      <w:proofErr w:type="gramStart"/>
      <w:r>
        <w:t>“Decomposition Study of Grass and Leaves”.</w:t>
      </w:r>
      <w:proofErr w:type="gramEnd"/>
      <w:r>
        <w:t xml:space="preserve"> </w:t>
      </w:r>
      <w:proofErr w:type="gramStart"/>
      <w:r>
        <w:t>Brevard County Stormwater Utility.</w:t>
      </w:r>
      <w:proofErr w:type="gramEnd"/>
    </w:p>
    <w:p w:rsidR="0024150C" w:rsidRPr="00732001" w:rsidRDefault="0024150C">
      <w:pPr>
        <w:jc w:val="left"/>
      </w:pPr>
    </w:p>
    <w:sectPr w:rsidR="0024150C" w:rsidRPr="00732001" w:rsidSect="00321FF8">
      <w:headerReference w:type="default" r:id="rId14"/>
      <w:footerReference w:type="default" r:id="rId15"/>
      <w:pgSz w:w="12240" w:h="15840" w:code="1"/>
      <w:pgMar w:top="1440" w:right="1440" w:bottom="1440" w:left="1440" w:footer="864" w:gutter="0"/>
      <w:paperSrc w:first="1"/>
      <w:titlePg/>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426BBE" w:rsidRDefault="00426BBE">
      <w:r>
        <w:separator/>
      </w:r>
    </w:p>
  </w:endnote>
  <w:endnote w:type="continuationSeparator" w:id="1">
    <w:p w:rsidR="00426BBE" w:rsidRDefault="00426BBE">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30C71" w:rsidRDefault="004B07F4" w:rsidP="00625DB9">
    <w:pPr>
      <w:pStyle w:val="Footer"/>
      <w:framePr w:wrap="auto" w:vAnchor="text" w:hAnchor="margin" w:xAlign="center" w:y="1"/>
      <w:rPr>
        <w:rStyle w:val="PageNumber"/>
      </w:rPr>
    </w:pPr>
    <w:r>
      <w:rPr>
        <w:rStyle w:val="PageNumber"/>
      </w:rPr>
      <w:fldChar w:fldCharType="begin"/>
    </w:r>
    <w:r w:rsidR="00930C71">
      <w:rPr>
        <w:rStyle w:val="PageNumber"/>
      </w:rPr>
      <w:instrText xml:space="preserve">PAGE  </w:instrText>
    </w:r>
    <w:r>
      <w:rPr>
        <w:rStyle w:val="PageNumber"/>
      </w:rPr>
      <w:fldChar w:fldCharType="separate"/>
    </w:r>
    <w:r w:rsidR="00632880">
      <w:rPr>
        <w:rStyle w:val="PageNumber"/>
        <w:noProof/>
      </w:rPr>
      <w:t>3</w:t>
    </w:r>
    <w:r>
      <w:rPr>
        <w:rStyle w:val="PageNumber"/>
      </w:rPr>
      <w:fldChar w:fldCharType="end"/>
    </w:r>
  </w:p>
  <w:p w:rsidR="00930C71" w:rsidRDefault="00930C71">
    <w:pPr>
      <w:pStyle w:val="Footer"/>
      <w:tabs>
        <w:tab w:val="clear" w:pos="8640"/>
        <w:tab w:val="right" w:pos="9360"/>
      </w:tabs>
      <w:jc w:val="right"/>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426BBE" w:rsidRDefault="00426BBE">
      <w:r>
        <w:separator/>
      </w:r>
    </w:p>
  </w:footnote>
  <w:footnote w:type="continuationSeparator" w:id="1">
    <w:p w:rsidR="00426BBE" w:rsidRDefault="00426BBE">
      <w:r>
        <w:continuationSeparator/>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30C71" w:rsidRDefault="00930C71">
    <w:pPr>
      <w:pStyle w:val="Header"/>
      <w:tabs>
        <w:tab w:val="clear" w:pos="8640"/>
        <w:tab w:val="right" w:pos="9360"/>
      </w:tabs>
      <w:rPr>
        <w:sz w:val="16"/>
        <w:szCs w:val="16"/>
      </w:rPr>
    </w:pPr>
  </w:p>
  <w:p w:rsidR="00930C71" w:rsidRDefault="00930C71">
    <w:pPr>
      <w:pStyle w:val="Header"/>
      <w:tabs>
        <w:tab w:val="clear" w:pos="8640"/>
        <w:tab w:val="right" w:pos="9360"/>
      </w:tabs>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2CEE5183"/>
    <w:multiLevelType w:val="hybridMultilevel"/>
    <w:tmpl w:val="A148C4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0851892"/>
    <w:multiLevelType w:val="hybridMultilevel"/>
    <w:tmpl w:val="BB449F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2D12FF7"/>
    <w:multiLevelType w:val="hybridMultilevel"/>
    <w:tmpl w:val="91EA2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DB33F5C"/>
    <w:multiLevelType w:val="hybridMultilevel"/>
    <w:tmpl w:val="C952EB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3F4A42C7"/>
    <w:multiLevelType w:val="hybridMultilevel"/>
    <w:tmpl w:val="60DA1A2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ahoma"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ahoma"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ahoma" w:hint="default"/>
      </w:rPr>
    </w:lvl>
  </w:abstractNum>
  <w:abstractNum w:abstractNumId="5">
    <w:nsid w:val="54186C7E"/>
    <w:multiLevelType w:val="hybridMultilevel"/>
    <w:tmpl w:val="DB18A9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7C4B2B97"/>
    <w:multiLevelType w:val="singleLevel"/>
    <w:tmpl w:val="0409000F"/>
    <w:lvl w:ilvl="0">
      <w:start w:val="1"/>
      <w:numFmt w:val="decimal"/>
      <w:lvlText w:val="%1."/>
      <w:lvlJc w:val="left"/>
      <w:pPr>
        <w:tabs>
          <w:tab w:val="num" w:pos="360"/>
        </w:tabs>
        <w:ind w:left="360" w:hanging="360"/>
      </w:pPr>
      <w:rPr>
        <w:rFonts w:hint="default"/>
      </w:rPr>
    </w:lvl>
  </w:abstractNum>
  <w:num w:numId="1">
    <w:abstractNumId w:val="6"/>
  </w:num>
  <w:num w:numId="2">
    <w:abstractNumId w:val="2"/>
  </w:num>
  <w:num w:numId="3">
    <w:abstractNumId w:val="0"/>
  </w:num>
  <w:num w:numId="4">
    <w:abstractNumId w:val="3"/>
  </w:num>
  <w:num w:numId="5">
    <w:abstractNumId w:val="5"/>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embedSystemFonts/>
  <w:proofState w:grammar="clean"/>
  <w:doNotTrackMoves/>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0"/>
    <w:footnote w:id="1"/>
  </w:footnotePr>
  <w:endnotePr>
    <w:endnote w:id="0"/>
    <w:endnote w:id="1"/>
  </w:endnotePr>
  <w:compat/>
  <w:rsids>
    <w:rsidRoot w:val="004E2F40"/>
    <w:rsid w:val="0000059A"/>
    <w:rsid w:val="00024456"/>
    <w:rsid w:val="0004006F"/>
    <w:rsid w:val="00067409"/>
    <w:rsid w:val="00072035"/>
    <w:rsid w:val="00084D18"/>
    <w:rsid w:val="000979CA"/>
    <w:rsid w:val="000A44F6"/>
    <w:rsid w:val="000B61AB"/>
    <w:rsid w:val="000C2E13"/>
    <w:rsid w:val="000C38DF"/>
    <w:rsid w:val="000E5D7F"/>
    <w:rsid w:val="000F0C14"/>
    <w:rsid w:val="000F1D5A"/>
    <w:rsid w:val="00100A7C"/>
    <w:rsid w:val="001120C5"/>
    <w:rsid w:val="0012262C"/>
    <w:rsid w:val="00133EF8"/>
    <w:rsid w:val="0013565F"/>
    <w:rsid w:val="00151770"/>
    <w:rsid w:val="0015433C"/>
    <w:rsid w:val="001605D6"/>
    <w:rsid w:val="001627F4"/>
    <w:rsid w:val="00167514"/>
    <w:rsid w:val="0017191C"/>
    <w:rsid w:val="001735CF"/>
    <w:rsid w:val="00176B8B"/>
    <w:rsid w:val="00190357"/>
    <w:rsid w:val="001907B0"/>
    <w:rsid w:val="001937EB"/>
    <w:rsid w:val="00193B2B"/>
    <w:rsid w:val="00197133"/>
    <w:rsid w:val="00197B9B"/>
    <w:rsid w:val="001A2B60"/>
    <w:rsid w:val="001A5869"/>
    <w:rsid w:val="001C38F8"/>
    <w:rsid w:val="001D049C"/>
    <w:rsid w:val="001E45B2"/>
    <w:rsid w:val="00205243"/>
    <w:rsid w:val="0020564D"/>
    <w:rsid w:val="00210B80"/>
    <w:rsid w:val="0023554C"/>
    <w:rsid w:val="0024150C"/>
    <w:rsid w:val="0025056B"/>
    <w:rsid w:val="0025206E"/>
    <w:rsid w:val="00252B89"/>
    <w:rsid w:val="002619DE"/>
    <w:rsid w:val="00270C90"/>
    <w:rsid w:val="00277226"/>
    <w:rsid w:val="00281890"/>
    <w:rsid w:val="00292554"/>
    <w:rsid w:val="002B5E0C"/>
    <w:rsid w:val="002C0185"/>
    <w:rsid w:val="002C7C9C"/>
    <w:rsid w:val="002D113F"/>
    <w:rsid w:val="002D3A46"/>
    <w:rsid w:val="002D4B8C"/>
    <w:rsid w:val="002D4E9B"/>
    <w:rsid w:val="002D606A"/>
    <w:rsid w:val="002D737A"/>
    <w:rsid w:val="002F50F4"/>
    <w:rsid w:val="00301525"/>
    <w:rsid w:val="003118E3"/>
    <w:rsid w:val="00314419"/>
    <w:rsid w:val="00321FF8"/>
    <w:rsid w:val="0033010C"/>
    <w:rsid w:val="003309C5"/>
    <w:rsid w:val="003339B5"/>
    <w:rsid w:val="00334320"/>
    <w:rsid w:val="0033768A"/>
    <w:rsid w:val="00337B3D"/>
    <w:rsid w:val="0036203A"/>
    <w:rsid w:val="00366438"/>
    <w:rsid w:val="00374899"/>
    <w:rsid w:val="003A01FE"/>
    <w:rsid w:val="003B36BF"/>
    <w:rsid w:val="003B70E8"/>
    <w:rsid w:val="003C0FB2"/>
    <w:rsid w:val="003D3FDC"/>
    <w:rsid w:val="003D7686"/>
    <w:rsid w:val="003E47BE"/>
    <w:rsid w:val="003E704E"/>
    <w:rsid w:val="003F19D5"/>
    <w:rsid w:val="003F1E67"/>
    <w:rsid w:val="004056B0"/>
    <w:rsid w:val="00410EB5"/>
    <w:rsid w:val="004158F3"/>
    <w:rsid w:val="00426BBE"/>
    <w:rsid w:val="004352F7"/>
    <w:rsid w:val="0045090A"/>
    <w:rsid w:val="004575B7"/>
    <w:rsid w:val="00463BEE"/>
    <w:rsid w:val="004702F9"/>
    <w:rsid w:val="00483A1A"/>
    <w:rsid w:val="00491ADE"/>
    <w:rsid w:val="004922B1"/>
    <w:rsid w:val="004A0D8E"/>
    <w:rsid w:val="004B07F4"/>
    <w:rsid w:val="004B3027"/>
    <w:rsid w:val="004C52F6"/>
    <w:rsid w:val="004D3C87"/>
    <w:rsid w:val="004E2F40"/>
    <w:rsid w:val="004E320A"/>
    <w:rsid w:val="004F40BF"/>
    <w:rsid w:val="00503AEE"/>
    <w:rsid w:val="00504FE7"/>
    <w:rsid w:val="005109FF"/>
    <w:rsid w:val="005157AB"/>
    <w:rsid w:val="00516F81"/>
    <w:rsid w:val="00521A36"/>
    <w:rsid w:val="0053287B"/>
    <w:rsid w:val="00547870"/>
    <w:rsid w:val="00557B9D"/>
    <w:rsid w:val="00563D12"/>
    <w:rsid w:val="005678D7"/>
    <w:rsid w:val="0057106C"/>
    <w:rsid w:val="005B003C"/>
    <w:rsid w:val="005B346A"/>
    <w:rsid w:val="005C60B9"/>
    <w:rsid w:val="005D5D83"/>
    <w:rsid w:val="005F139F"/>
    <w:rsid w:val="00611D5F"/>
    <w:rsid w:val="00616618"/>
    <w:rsid w:val="00625DB9"/>
    <w:rsid w:val="00632880"/>
    <w:rsid w:val="0068786E"/>
    <w:rsid w:val="0069106C"/>
    <w:rsid w:val="006A1DD0"/>
    <w:rsid w:val="006A2B1F"/>
    <w:rsid w:val="006B50E6"/>
    <w:rsid w:val="006B624C"/>
    <w:rsid w:val="006C049C"/>
    <w:rsid w:val="006C35D9"/>
    <w:rsid w:val="006D5FE0"/>
    <w:rsid w:val="006E7985"/>
    <w:rsid w:val="006F028F"/>
    <w:rsid w:val="007001C8"/>
    <w:rsid w:val="00700FE7"/>
    <w:rsid w:val="00723EBB"/>
    <w:rsid w:val="00732001"/>
    <w:rsid w:val="007417E5"/>
    <w:rsid w:val="0075056D"/>
    <w:rsid w:val="00754293"/>
    <w:rsid w:val="007556CD"/>
    <w:rsid w:val="007730F3"/>
    <w:rsid w:val="0077625E"/>
    <w:rsid w:val="007778E2"/>
    <w:rsid w:val="00781B54"/>
    <w:rsid w:val="00782796"/>
    <w:rsid w:val="00796A17"/>
    <w:rsid w:val="007A16D0"/>
    <w:rsid w:val="007B0D05"/>
    <w:rsid w:val="007D0985"/>
    <w:rsid w:val="007D374F"/>
    <w:rsid w:val="007D7AA9"/>
    <w:rsid w:val="007E7CFD"/>
    <w:rsid w:val="007F38B8"/>
    <w:rsid w:val="0080067A"/>
    <w:rsid w:val="0080384A"/>
    <w:rsid w:val="008159AA"/>
    <w:rsid w:val="008217D2"/>
    <w:rsid w:val="008226AF"/>
    <w:rsid w:val="00823F0D"/>
    <w:rsid w:val="00854191"/>
    <w:rsid w:val="0085484C"/>
    <w:rsid w:val="008722E0"/>
    <w:rsid w:val="008735CC"/>
    <w:rsid w:val="00877CBA"/>
    <w:rsid w:val="0088194C"/>
    <w:rsid w:val="008A202D"/>
    <w:rsid w:val="008A6D66"/>
    <w:rsid w:val="008C08F9"/>
    <w:rsid w:val="008C7D63"/>
    <w:rsid w:val="008E3817"/>
    <w:rsid w:val="008F14EA"/>
    <w:rsid w:val="00901B7A"/>
    <w:rsid w:val="009041C1"/>
    <w:rsid w:val="00922080"/>
    <w:rsid w:val="00926F9F"/>
    <w:rsid w:val="00930C71"/>
    <w:rsid w:val="009407BD"/>
    <w:rsid w:val="009457FC"/>
    <w:rsid w:val="00964176"/>
    <w:rsid w:val="00995AD8"/>
    <w:rsid w:val="00995D65"/>
    <w:rsid w:val="009A0544"/>
    <w:rsid w:val="009A6E2D"/>
    <w:rsid w:val="009B3905"/>
    <w:rsid w:val="009B3AA4"/>
    <w:rsid w:val="009B4D2E"/>
    <w:rsid w:val="009C66BC"/>
    <w:rsid w:val="009D230D"/>
    <w:rsid w:val="009D6B3B"/>
    <w:rsid w:val="009E01BD"/>
    <w:rsid w:val="009E116F"/>
    <w:rsid w:val="009F1152"/>
    <w:rsid w:val="00A04C3A"/>
    <w:rsid w:val="00A10D49"/>
    <w:rsid w:val="00A1718F"/>
    <w:rsid w:val="00A52608"/>
    <w:rsid w:val="00A635E9"/>
    <w:rsid w:val="00A659D0"/>
    <w:rsid w:val="00A71BC8"/>
    <w:rsid w:val="00AC2FAA"/>
    <w:rsid w:val="00AD44C1"/>
    <w:rsid w:val="00AF318E"/>
    <w:rsid w:val="00AF3DFC"/>
    <w:rsid w:val="00B00BB2"/>
    <w:rsid w:val="00B23845"/>
    <w:rsid w:val="00B42FA6"/>
    <w:rsid w:val="00B46C15"/>
    <w:rsid w:val="00B577F2"/>
    <w:rsid w:val="00B67F88"/>
    <w:rsid w:val="00B73BA6"/>
    <w:rsid w:val="00B8711A"/>
    <w:rsid w:val="00BC0645"/>
    <w:rsid w:val="00BC7063"/>
    <w:rsid w:val="00BD00F6"/>
    <w:rsid w:val="00BD12EC"/>
    <w:rsid w:val="00BE7486"/>
    <w:rsid w:val="00BE7D4C"/>
    <w:rsid w:val="00BF0B9E"/>
    <w:rsid w:val="00BF4114"/>
    <w:rsid w:val="00C140BC"/>
    <w:rsid w:val="00C2010A"/>
    <w:rsid w:val="00C2313B"/>
    <w:rsid w:val="00C3667F"/>
    <w:rsid w:val="00C36C6D"/>
    <w:rsid w:val="00C36D48"/>
    <w:rsid w:val="00C528EB"/>
    <w:rsid w:val="00C85A6F"/>
    <w:rsid w:val="00CB50C7"/>
    <w:rsid w:val="00CD03EA"/>
    <w:rsid w:val="00CE2A0B"/>
    <w:rsid w:val="00D078D4"/>
    <w:rsid w:val="00D07A6A"/>
    <w:rsid w:val="00D35089"/>
    <w:rsid w:val="00D354E5"/>
    <w:rsid w:val="00D43B7C"/>
    <w:rsid w:val="00D45571"/>
    <w:rsid w:val="00D46877"/>
    <w:rsid w:val="00D475D9"/>
    <w:rsid w:val="00D50D0B"/>
    <w:rsid w:val="00D70564"/>
    <w:rsid w:val="00D70F75"/>
    <w:rsid w:val="00D72720"/>
    <w:rsid w:val="00D93A5B"/>
    <w:rsid w:val="00DA1362"/>
    <w:rsid w:val="00DB2392"/>
    <w:rsid w:val="00DC16E3"/>
    <w:rsid w:val="00DD0B6C"/>
    <w:rsid w:val="00DD3D15"/>
    <w:rsid w:val="00DD4306"/>
    <w:rsid w:val="00DF06CD"/>
    <w:rsid w:val="00E01A83"/>
    <w:rsid w:val="00E024F5"/>
    <w:rsid w:val="00E32360"/>
    <w:rsid w:val="00E4460C"/>
    <w:rsid w:val="00E83A86"/>
    <w:rsid w:val="00E877BB"/>
    <w:rsid w:val="00E955E1"/>
    <w:rsid w:val="00EA000F"/>
    <w:rsid w:val="00EA063B"/>
    <w:rsid w:val="00EA134E"/>
    <w:rsid w:val="00EA22D9"/>
    <w:rsid w:val="00EA7EC1"/>
    <w:rsid w:val="00EB3AA4"/>
    <w:rsid w:val="00EB50D6"/>
    <w:rsid w:val="00EC1BC7"/>
    <w:rsid w:val="00EC4868"/>
    <w:rsid w:val="00EE4C14"/>
    <w:rsid w:val="00EE6ECB"/>
    <w:rsid w:val="00EF3F31"/>
    <w:rsid w:val="00F04D02"/>
    <w:rsid w:val="00F064D2"/>
    <w:rsid w:val="00F17572"/>
    <w:rsid w:val="00F44FB5"/>
    <w:rsid w:val="00F65E2D"/>
    <w:rsid w:val="00F9068A"/>
    <w:rsid w:val="00F94792"/>
    <w:rsid w:val="00FA1042"/>
    <w:rsid w:val="00FA6A79"/>
    <w:rsid w:val="00FC48D4"/>
    <w:rsid w:val="00FD2DBC"/>
    <w:rsid w:val="00FE17E5"/>
    <w:rsid w:val="00FE3D58"/>
    <w:rsid w:val="00FE7F2D"/>
  </w:rsids>
  <m:mathPr>
    <m:mathFont m:val="Arial Black"/>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0" w:defSemiHidden="0" w:defUnhideWhenUsed="0" w:defQFormat="0" w:count="27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063B"/>
    <w:pPr>
      <w:jc w:val="both"/>
    </w:pPr>
    <w:rPr>
      <w:sz w:val="24"/>
      <w:szCs w:val="24"/>
    </w:rPr>
  </w:style>
  <w:style w:type="paragraph" w:styleId="Heading1">
    <w:name w:val="heading 1"/>
    <w:basedOn w:val="Normal"/>
    <w:next w:val="Normal"/>
    <w:link w:val="Heading1Char"/>
    <w:uiPriority w:val="99"/>
    <w:qFormat/>
    <w:rsid w:val="002C0185"/>
    <w:pPr>
      <w:keepNext/>
      <w:outlineLvl w:val="0"/>
    </w:pPr>
    <w:rPr>
      <w:rFonts w:ascii="Arial" w:hAnsi="Arial" w:cs="Arial"/>
      <w:b/>
      <w:bCs/>
      <w:sz w:val="22"/>
      <w:szCs w:val="22"/>
    </w:rPr>
  </w:style>
  <w:style w:type="paragraph" w:styleId="Heading2">
    <w:name w:val="heading 2"/>
    <w:basedOn w:val="Normal"/>
    <w:next w:val="Normal"/>
    <w:link w:val="Heading2Char"/>
    <w:uiPriority w:val="99"/>
    <w:qFormat/>
    <w:rsid w:val="002C0185"/>
    <w:pPr>
      <w:keepNext/>
      <w:outlineLvl w:val="1"/>
    </w:pPr>
    <w:rPr>
      <w:b/>
      <w:bCs/>
      <w:sz w:val="28"/>
      <w:szCs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9"/>
    <w:locked/>
    <w:rsid w:val="00A659D0"/>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A659D0"/>
    <w:rPr>
      <w:rFonts w:ascii="Cambria" w:hAnsi="Cambria" w:cs="Cambria"/>
      <w:b/>
      <w:bCs/>
      <w:i/>
      <w:iCs/>
      <w:sz w:val="28"/>
      <w:szCs w:val="28"/>
    </w:rPr>
  </w:style>
  <w:style w:type="paragraph" w:styleId="Header">
    <w:name w:val="header"/>
    <w:basedOn w:val="Normal"/>
    <w:link w:val="HeaderChar"/>
    <w:uiPriority w:val="99"/>
    <w:rsid w:val="002C0185"/>
    <w:pPr>
      <w:tabs>
        <w:tab w:val="center" w:pos="4320"/>
        <w:tab w:val="right" w:pos="8640"/>
      </w:tabs>
    </w:pPr>
  </w:style>
  <w:style w:type="character" w:customStyle="1" w:styleId="HeaderChar">
    <w:name w:val="Header Char"/>
    <w:basedOn w:val="DefaultParagraphFont"/>
    <w:link w:val="Header"/>
    <w:uiPriority w:val="99"/>
    <w:semiHidden/>
    <w:locked/>
    <w:rsid w:val="00A659D0"/>
    <w:rPr>
      <w:sz w:val="24"/>
      <w:szCs w:val="24"/>
    </w:rPr>
  </w:style>
  <w:style w:type="paragraph" w:styleId="Footer">
    <w:name w:val="footer"/>
    <w:basedOn w:val="Normal"/>
    <w:link w:val="FooterChar"/>
    <w:uiPriority w:val="99"/>
    <w:rsid w:val="002C0185"/>
    <w:pPr>
      <w:tabs>
        <w:tab w:val="center" w:pos="4320"/>
        <w:tab w:val="right" w:pos="8640"/>
      </w:tabs>
    </w:pPr>
  </w:style>
  <w:style w:type="character" w:customStyle="1" w:styleId="FooterChar">
    <w:name w:val="Footer Char"/>
    <w:basedOn w:val="DefaultParagraphFont"/>
    <w:link w:val="Footer"/>
    <w:uiPriority w:val="99"/>
    <w:semiHidden/>
    <w:locked/>
    <w:rsid w:val="00A659D0"/>
    <w:rPr>
      <w:sz w:val="24"/>
      <w:szCs w:val="24"/>
    </w:rPr>
  </w:style>
  <w:style w:type="paragraph" w:styleId="BodyText">
    <w:name w:val="Body Text"/>
    <w:basedOn w:val="Normal"/>
    <w:link w:val="BodyTextChar"/>
    <w:uiPriority w:val="99"/>
    <w:rsid w:val="002C0185"/>
    <w:rPr>
      <w:rFonts w:ascii="Arial" w:hAnsi="Arial" w:cs="Arial"/>
      <w:sz w:val="22"/>
      <w:szCs w:val="22"/>
    </w:rPr>
  </w:style>
  <w:style w:type="character" w:customStyle="1" w:styleId="BodyTextChar">
    <w:name w:val="Body Text Char"/>
    <w:basedOn w:val="DefaultParagraphFont"/>
    <w:link w:val="BodyText"/>
    <w:uiPriority w:val="99"/>
    <w:semiHidden/>
    <w:locked/>
    <w:rsid w:val="00A659D0"/>
    <w:rPr>
      <w:sz w:val="24"/>
      <w:szCs w:val="24"/>
    </w:rPr>
  </w:style>
  <w:style w:type="paragraph" w:styleId="DocumentMap">
    <w:name w:val="Document Map"/>
    <w:basedOn w:val="Normal"/>
    <w:link w:val="DocumentMapChar"/>
    <w:uiPriority w:val="99"/>
    <w:semiHidden/>
    <w:rsid w:val="002C0185"/>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A659D0"/>
    <w:rPr>
      <w:sz w:val="2"/>
      <w:szCs w:val="2"/>
    </w:rPr>
  </w:style>
  <w:style w:type="character" w:styleId="Hyperlink">
    <w:name w:val="Hyperlink"/>
    <w:basedOn w:val="DefaultParagraphFont"/>
    <w:uiPriority w:val="99"/>
    <w:rsid w:val="002C0185"/>
    <w:rPr>
      <w:color w:val="0000FF"/>
      <w:u w:val="single"/>
    </w:rPr>
  </w:style>
  <w:style w:type="character" w:styleId="FollowedHyperlink">
    <w:name w:val="FollowedHyperlink"/>
    <w:basedOn w:val="DefaultParagraphFont"/>
    <w:uiPriority w:val="99"/>
    <w:rsid w:val="004E2F40"/>
    <w:rPr>
      <w:color w:val="800080"/>
      <w:u w:val="single"/>
    </w:rPr>
  </w:style>
  <w:style w:type="table" w:styleId="TableGrid">
    <w:name w:val="Table Grid"/>
    <w:basedOn w:val="TableNormal"/>
    <w:uiPriority w:val="99"/>
    <w:rsid w:val="00EA063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ageNumber">
    <w:name w:val="page number"/>
    <w:basedOn w:val="DefaultParagraphFont"/>
    <w:uiPriority w:val="99"/>
    <w:semiHidden/>
    <w:rsid w:val="00EA063B"/>
  </w:style>
  <w:style w:type="paragraph" w:styleId="Title">
    <w:name w:val="Title"/>
    <w:basedOn w:val="Normal"/>
    <w:link w:val="TitleChar"/>
    <w:uiPriority w:val="99"/>
    <w:qFormat/>
    <w:rsid w:val="0080067A"/>
    <w:pPr>
      <w:spacing w:before="240" w:after="60"/>
      <w:jc w:val="center"/>
    </w:pPr>
    <w:rPr>
      <w:rFonts w:ascii="Arial" w:hAnsi="Arial" w:cs="Arial"/>
      <w:b/>
      <w:bCs/>
      <w:kern w:val="28"/>
      <w:sz w:val="32"/>
      <w:szCs w:val="32"/>
    </w:rPr>
  </w:style>
  <w:style w:type="character" w:customStyle="1" w:styleId="TitleChar">
    <w:name w:val="Title Char"/>
    <w:basedOn w:val="DefaultParagraphFont"/>
    <w:link w:val="Title"/>
    <w:uiPriority w:val="99"/>
    <w:locked/>
    <w:rsid w:val="0080067A"/>
    <w:rPr>
      <w:rFonts w:ascii="Arial" w:hAnsi="Arial" w:cs="Arial"/>
      <w:b/>
      <w:bCs/>
      <w:kern w:val="28"/>
      <w:sz w:val="20"/>
      <w:szCs w:val="20"/>
    </w:rPr>
  </w:style>
  <w:style w:type="paragraph" w:styleId="ListParagraph">
    <w:name w:val="List Paragraph"/>
    <w:basedOn w:val="Normal"/>
    <w:uiPriority w:val="99"/>
    <w:qFormat/>
    <w:rsid w:val="004158F3"/>
    <w:pPr>
      <w:ind w:left="720"/>
    </w:pPr>
  </w:style>
  <w:style w:type="paragraph" w:styleId="BalloonText">
    <w:name w:val="Balloon Text"/>
    <w:basedOn w:val="Normal"/>
    <w:link w:val="BalloonTextChar"/>
    <w:uiPriority w:val="99"/>
    <w:semiHidden/>
    <w:rsid w:val="008722E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14419"/>
    <w:rPr>
      <w:sz w:val="2"/>
      <w:szCs w:val="2"/>
    </w:rPr>
  </w:style>
</w:styles>
</file>

<file path=word/webSettings.xml><?xml version="1.0" encoding="utf-8"?>
<w:webSettings xmlns:r="http://schemas.openxmlformats.org/officeDocument/2006/relationships" xmlns:w="http://schemas.openxmlformats.org/wordprocessingml/2006/main">
  <w:divs>
    <w:div w:id="224681016">
      <w:bodyDiv w:val="1"/>
      <w:marLeft w:val="0"/>
      <w:marRight w:val="0"/>
      <w:marTop w:val="0"/>
      <w:marBottom w:val="0"/>
      <w:divBdr>
        <w:top w:val="none" w:sz="0" w:space="0" w:color="auto"/>
        <w:left w:val="none" w:sz="0" w:space="0" w:color="auto"/>
        <w:bottom w:val="none" w:sz="0" w:space="0" w:color="auto"/>
        <w:right w:val="none" w:sz="0" w:space="0" w:color="auto"/>
      </w:divBdr>
    </w:div>
    <w:div w:id="343092445">
      <w:bodyDiv w:val="1"/>
      <w:marLeft w:val="0"/>
      <w:marRight w:val="0"/>
      <w:marTop w:val="0"/>
      <w:marBottom w:val="0"/>
      <w:divBdr>
        <w:top w:val="none" w:sz="0" w:space="0" w:color="auto"/>
        <w:left w:val="none" w:sz="0" w:space="0" w:color="auto"/>
        <w:bottom w:val="none" w:sz="0" w:space="0" w:color="auto"/>
        <w:right w:val="none" w:sz="0" w:space="0" w:color="auto"/>
      </w:divBdr>
    </w:div>
    <w:div w:id="441536144">
      <w:marLeft w:val="0"/>
      <w:marRight w:val="0"/>
      <w:marTop w:val="0"/>
      <w:marBottom w:val="0"/>
      <w:divBdr>
        <w:top w:val="none" w:sz="0" w:space="0" w:color="auto"/>
        <w:left w:val="none" w:sz="0" w:space="0" w:color="auto"/>
        <w:bottom w:val="none" w:sz="0" w:space="0" w:color="auto"/>
        <w:right w:val="none" w:sz="0" w:space="0" w:color="auto"/>
      </w:divBdr>
    </w:div>
    <w:div w:id="441536145">
      <w:marLeft w:val="0"/>
      <w:marRight w:val="0"/>
      <w:marTop w:val="0"/>
      <w:marBottom w:val="0"/>
      <w:divBdr>
        <w:top w:val="none" w:sz="0" w:space="0" w:color="auto"/>
        <w:left w:val="none" w:sz="0" w:space="0" w:color="auto"/>
        <w:bottom w:val="none" w:sz="0" w:space="0" w:color="auto"/>
        <w:right w:val="none" w:sz="0" w:space="0" w:color="auto"/>
      </w:divBdr>
    </w:div>
    <w:div w:id="441536146">
      <w:marLeft w:val="0"/>
      <w:marRight w:val="0"/>
      <w:marTop w:val="0"/>
      <w:marBottom w:val="0"/>
      <w:divBdr>
        <w:top w:val="none" w:sz="0" w:space="0" w:color="auto"/>
        <w:left w:val="none" w:sz="0" w:space="0" w:color="auto"/>
        <w:bottom w:val="none" w:sz="0" w:space="0" w:color="auto"/>
        <w:right w:val="none" w:sz="0" w:space="0" w:color="auto"/>
      </w:divBdr>
    </w:div>
    <w:div w:id="441536147">
      <w:marLeft w:val="0"/>
      <w:marRight w:val="0"/>
      <w:marTop w:val="0"/>
      <w:marBottom w:val="0"/>
      <w:divBdr>
        <w:top w:val="none" w:sz="0" w:space="0" w:color="auto"/>
        <w:left w:val="none" w:sz="0" w:space="0" w:color="auto"/>
        <w:bottom w:val="none" w:sz="0" w:space="0" w:color="auto"/>
        <w:right w:val="none" w:sz="0" w:space="0" w:color="auto"/>
      </w:divBdr>
    </w:div>
    <w:div w:id="441536148">
      <w:marLeft w:val="0"/>
      <w:marRight w:val="0"/>
      <w:marTop w:val="0"/>
      <w:marBottom w:val="0"/>
      <w:divBdr>
        <w:top w:val="none" w:sz="0" w:space="0" w:color="auto"/>
        <w:left w:val="none" w:sz="0" w:space="0" w:color="auto"/>
        <w:bottom w:val="none" w:sz="0" w:space="0" w:color="auto"/>
        <w:right w:val="none" w:sz="0" w:space="0" w:color="auto"/>
      </w:divBdr>
    </w:div>
    <w:div w:id="441536149">
      <w:marLeft w:val="0"/>
      <w:marRight w:val="0"/>
      <w:marTop w:val="0"/>
      <w:marBottom w:val="0"/>
      <w:divBdr>
        <w:top w:val="none" w:sz="0" w:space="0" w:color="auto"/>
        <w:left w:val="none" w:sz="0" w:space="0" w:color="auto"/>
        <w:bottom w:val="none" w:sz="0" w:space="0" w:color="auto"/>
        <w:right w:val="none" w:sz="0" w:space="0" w:color="auto"/>
      </w:divBdr>
    </w:div>
    <w:div w:id="441536150">
      <w:marLeft w:val="0"/>
      <w:marRight w:val="0"/>
      <w:marTop w:val="0"/>
      <w:marBottom w:val="0"/>
      <w:divBdr>
        <w:top w:val="none" w:sz="0" w:space="0" w:color="auto"/>
        <w:left w:val="none" w:sz="0" w:space="0" w:color="auto"/>
        <w:bottom w:val="none" w:sz="0" w:space="0" w:color="auto"/>
        <w:right w:val="none" w:sz="0" w:space="0" w:color="auto"/>
      </w:divBdr>
    </w:div>
    <w:div w:id="441536151">
      <w:marLeft w:val="0"/>
      <w:marRight w:val="0"/>
      <w:marTop w:val="0"/>
      <w:marBottom w:val="0"/>
      <w:divBdr>
        <w:top w:val="none" w:sz="0" w:space="0" w:color="auto"/>
        <w:left w:val="none" w:sz="0" w:space="0" w:color="auto"/>
        <w:bottom w:val="none" w:sz="0" w:space="0" w:color="auto"/>
        <w:right w:val="none" w:sz="0" w:space="0" w:color="auto"/>
      </w:divBdr>
    </w:div>
    <w:div w:id="441536152">
      <w:marLeft w:val="0"/>
      <w:marRight w:val="0"/>
      <w:marTop w:val="0"/>
      <w:marBottom w:val="0"/>
      <w:divBdr>
        <w:top w:val="none" w:sz="0" w:space="0" w:color="auto"/>
        <w:left w:val="none" w:sz="0" w:space="0" w:color="auto"/>
        <w:bottom w:val="none" w:sz="0" w:space="0" w:color="auto"/>
        <w:right w:val="none" w:sz="0" w:space="0" w:color="auto"/>
      </w:divBdr>
    </w:div>
    <w:div w:id="441536153">
      <w:marLeft w:val="0"/>
      <w:marRight w:val="0"/>
      <w:marTop w:val="0"/>
      <w:marBottom w:val="0"/>
      <w:divBdr>
        <w:top w:val="none" w:sz="0" w:space="0" w:color="auto"/>
        <w:left w:val="none" w:sz="0" w:space="0" w:color="auto"/>
        <w:bottom w:val="none" w:sz="0" w:space="0" w:color="auto"/>
        <w:right w:val="none" w:sz="0" w:space="0" w:color="auto"/>
      </w:divBdr>
    </w:div>
    <w:div w:id="441536154">
      <w:marLeft w:val="0"/>
      <w:marRight w:val="0"/>
      <w:marTop w:val="0"/>
      <w:marBottom w:val="0"/>
      <w:divBdr>
        <w:top w:val="none" w:sz="0" w:space="0" w:color="auto"/>
        <w:left w:val="none" w:sz="0" w:space="0" w:color="auto"/>
        <w:bottom w:val="none" w:sz="0" w:space="0" w:color="auto"/>
        <w:right w:val="none" w:sz="0" w:space="0" w:color="auto"/>
      </w:divBdr>
    </w:div>
    <w:div w:id="441536155">
      <w:marLeft w:val="0"/>
      <w:marRight w:val="0"/>
      <w:marTop w:val="0"/>
      <w:marBottom w:val="0"/>
      <w:divBdr>
        <w:top w:val="none" w:sz="0" w:space="0" w:color="auto"/>
        <w:left w:val="none" w:sz="0" w:space="0" w:color="auto"/>
        <w:bottom w:val="none" w:sz="0" w:space="0" w:color="auto"/>
        <w:right w:val="none" w:sz="0" w:space="0" w:color="auto"/>
      </w:divBdr>
    </w:div>
    <w:div w:id="441536156">
      <w:marLeft w:val="0"/>
      <w:marRight w:val="0"/>
      <w:marTop w:val="0"/>
      <w:marBottom w:val="0"/>
      <w:divBdr>
        <w:top w:val="none" w:sz="0" w:space="0" w:color="auto"/>
        <w:left w:val="none" w:sz="0" w:space="0" w:color="auto"/>
        <w:bottom w:val="none" w:sz="0" w:space="0" w:color="auto"/>
        <w:right w:val="none" w:sz="0" w:space="0" w:color="auto"/>
      </w:divBdr>
    </w:div>
    <w:div w:id="441536157">
      <w:marLeft w:val="0"/>
      <w:marRight w:val="0"/>
      <w:marTop w:val="0"/>
      <w:marBottom w:val="0"/>
      <w:divBdr>
        <w:top w:val="none" w:sz="0" w:space="0" w:color="auto"/>
        <w:left w:val="none" w:sz="0" w:space="0" w:color="auto"/>
        <w:bottom w:val="none" w:sz="0" w:space="0" w:color="auto"/>
        <w:right w:val="none" w:sz="0" w:space="0" w:color="auto"/>
      </w:divBdr>
    </w:div>
    <w:div w:id="586311132">
      <w:bodyDiv w:val="1"/>
      <w:marLeft w:val="0"/>
      <w:marRight w:val="0"/>
      <w:marTop w:val="0"/>
      <w:marBottom w:val="0"/>
      <w:divBdr>
        <w:top w:val="none" w:sz="0" w:space="0" w:color="auto"/>
        <w:left w:val="none" w:sz="0" w:space="0" w:color="auto"/>
        <w:bottom w:val="none" w:sz="0" w:space="0" w:color="auto"/>
        <w:right w:val="none" w:sz="0" w:space="0" w:color="auto"/>
      </w:divBdr>
    </w:div>
    <w:div w:id="636379910">
      <w:bodyDiv w:val="1"/>
      <w:marLeft w:val="0"/>
      <w:marRight w:val="0"/>
      <w:marTop w:val="0"/>
      <w:marBottom w:val="0"/>
      <w:divBdr>
        <w:top w:val="none" w:sz="0" w:space="0" w:color="auto"/>
        <w:left w:val="none" w:sz="0" w:space="0" w:color="auto"/>
        <w:bottom w:val="none" w:sz="0" w:space="0" w:color="auto"/>
        <w:right w:val="none" w:sz="0" w:space="0" w:color="auto"/>
      </w:divBdr>
    </w:div>
    <w:div w:id="649599992">
      <w:bodyDiv w:val="1"/>
      <w:marLeft w:val="0"/>
      <w:marRight w:val="0"/>
      <w:marTop w:val="0"/>
      <w:marBottom w:val="0"/>
      <w:divBdr>
        <w:top w:val="none" w:sz="0" w:space="0" w:color="auto"/>
        <w:left w:val="none" w:sz="0" w:space="0" w:color="auto"/>
        <w:bottom w:val="none" w:sz="0" w:space="0" w:color="auto"/>
        <w:right w:val="none" w:sz="0" w:space="0" w:color="auto"/>
      </w:divBdr>
    </w:div>
    <w:div w:id="672413958">
      <w:bodyDiv w:val="1"/>
      <w:marLeft w:val="0"/>
      <w:marRight w:val="0"/>
      <w:marTop w:val="0"/>
      <w:marBottom w:val="0"/>
      <w:divBdr>
        <w:top w:val="none" w:sz="0" w:space="0" w:color="auto"/>
        <w:left w:val="none" w:sz="0" w:space="0" w:color="auto"/>
        <w:bottom w:val="none" w:sz="0" w:space="0" w:color="auto"/>
        <w:right w:val="none" w:sz="0" w:space="0" w:color="auto"/>
      </w:divBdr>
    </w:div>
    <w:div w:id="815537448">
      <w:bodyDiv w:val="1"/>
      <w:marLeft w:val="0"/>
      <w:marRight w:val="0"/>
      <w:marTop w:val="0"/>
      <w:marBottom w:val="0"/>
      <w:divBdr>
        <w:top w:val="none" w:sz="0" w:space="0" w:color="auto"/>
        <w:left w:val="none" w:sz="0" w:space="0" w:color="auto"/>
        <w:bottom w:val="none" w:sz="0" w:space="0" w:color="auto"/>
        <w:right w:val="none" w:sz="0" w:space="0" w:color="auto"/>
      </w:divBdr>
    </w:div>
    <w:div w:id="824320899">
      <w:bodyDiv w:val="1"/>
      <w:marLeft w:val="0"/>
      <w:marRight w:val="0"/>
      <w:marTop w:val="0"/>
      <w:marBottom w:val="0"/>
      <w:divBdr>
        <w:top w:val="none" w:sz="0" w:space="0" w:color="auto"/>
        <w:left w:val="none" w:sz="0" w:space="0" w:color="auto"/>
        <w:bottom w:val="none" w:sz="0" w:space="0" w:color="auto"/>
        <w:right w:val="none" w:sz="0" w:space="0" w:color="auto"/>
      </w:divBdr>
    </w:div>
    <w:div w:id="2011643132">
      <w:bodyDiv w:val="1"/>
      <w:marLeft w:val="0"/>
      <w:marRight w:val="0"/>
      <w:marTop w:val="0"/>
      <w:marBottom w:val="0"/>
      <w:divBdr>
        <w:top w:val="none" w:sz="0" w:space="0" w:color="auto"/>
        <w:left w:val="none" w:sz="0" w:space="0" w:color="auto"/>
        <w:bottom w:val="none" w:sz="0" w:space="0" w:color="auto"/>
        <w:right w:val="none" w:sz="0" w:space="0" w:color="auto"/>
      </w:divBdr>
    </w:div>
    <w:div w:id="212291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4" Type="http://schemas.openxmlformats.org/officeDocument/2006/relationships/header" Target="header1.xml"/><Relationship Id="rId4" Type="http://schemas.openxmlformats.org/officeDocument/2006/relationships/settings" Target="settings.xml"/><Relationship Id="rId7" Type="http://schemas.openxmlformats.org/officeDocument/2006/relationships/endnotes" Target="endnotes.xml"/><Relationship Id="rId11" Type="http://schemas.openxmlformats.org/officeDocument/2006/relationships/package" Target="embeddings/Microsoft_Excel_Sheet1.xlsx"/><Relationship Id="rId1" Type="http://schemas.openxmlformats.org/officeDocument/2006/relationships/customXml" Target="../customXml/item1.xml"/><Relationship Id="rId6" Type="http://schemas.openxmlformats.org/officeDocument/2006/relationships/footnotes" Target="footnotes.xml"/><Relationship Id="rId16" Type="http://schemas.openxmlformats.org/officeDocument/2006/relationships/fontTable" Target="fontTable.xml"/><Relationship Id="rId8" Type="http://schemas.openxmlformats.org/officeDocument/2006/relationships/chart" Target="charts/chart1.xml"/><Relationship Id="rId13" Type="http://schemas.openxmlformats.org/officeDocument/2006/relationships/chart" Target="charts/chart4.xml"/><Relationship Id="rId10"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9" Type="http://schemas.openxmlformats.org/officeDocument/2006/relationships/chart" Target="charts/chart2.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gordon:Desktop:Gordon%20Work:Papers:Grass:all%20with%20equivunits.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gordon:Desktop:Gordon%20Work:Papers:Grass:all%20with%20equivunits.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iMac%20HD:Users:gordon:Desktop:Gordon%20Work:Projects:Suntree%20Technologies:Grass%20Samples:grassdata%20(version%20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iMac%20HD:Users:gordon:Desktop:Gordon%20Work:Projects:Suntree%20Technologies:Grass%20Samples:grassdata%20(version%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2"/>
  <c:chart>
    <c:autoTitleDeleted val="1"/>
    <c:plotArea>
      <c:layout>
        <c:manualLayout>
          <c:layoutTarget val="inner"/>
          <c:xMode val="edge"/>
          <c:yMode val="edge"/>
          <c:x val="0.225663533981296"/>
          <c:y val="0.19858147432304"/>
          <c:w val="0.710176415764666"/>
          <c:h val="0.606382716236427"/>
        </c:manualLayout>
      </c:layout>
      <c:scatterChart>
        <c:scatterStyle val="lineMarker"/>
        <c:ser>
          <c:idx val="0"/>
          <c:order val="0"/>
          <c:tx>
            <c:strRef>
              <c:f>'all charts'!$BE$2</c:f>
              <c:strCache>
                <c:ptCount val="1"/>
                <c:pt idx="0">
                  <c:v>Solids TKN</c:v>
                </c:pt>
              </c:strCache>
            </c:strRef>
          </c:tx>
          <c:spPr>
            <a:ln w="38100">
              <a:solidFill>
                <a:srgbClr val="000080"/>
              </a:solidFill>
              <a:prstDash val="solid"/>
            </a:ln>
          </c:spPr>
          <c:marker>
            <c:symbol val="none"/>
          </c:marker>
          <c:xVal>
            <c:numRef>
              <c:f>'all charts'!$A$3:$A$183</c:f>
              <c:numCache>
                <c:formatCode>General</c:formatCode>
                <c:ptCount val="181"/>
                <c:pt idx="0">
                  <c:v>0.0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pt idx="28">
                  <c:v>28.0</c:v>
                </c:pt>
                <c:pt idx="29">
                  <c:v>29.0</c:v>
                </c:pt>
                <c:pt idx="30">
                  <c:v>30.0</c:v>
                </c:pt>
                <c:pt idx="31">
                  <c:v>31.0</c:v>
                </c:pt>
                <c:pt idx="32">
                  <c:v>32.0</c:v>
                </c:pt>
                <c:pt idx="33">
                  <c:v>33.0</c:v>
                </c:pt>
                <c:pt idx="34">
                  <c:v>34.0</c:v>
                </c:pt>
                <c:pt idx="35">
                  <c:v>35.0</c:v>
                </c:pt>
                <c:pt idx="36">
                  <c:v>36.0</c:v>
                </c:pt>
                <c:pt idx="37">
                  <c:v>37.0</c:v>
                </c:pt>
                <c:pt idx="38">
                  <c:v>38.0</c:v>
                </c:pt>
                <c:pt idx="39">
                  <c:v>39.0</c:v>
                </c:pt>
                <c:pt idx="40">
                  <c:v>40.0</c:v>
                </c:pt>
                <c:pt idx="41">
                  <c:v>41.0</c:v>
                </c:pt>
                <c:pt idx="42">
                  <c:v>42.0</c:v>
                </c:pt>
                <c:pt idx="43">
                  <c:v>43.0</c:v>
                </c:pt>
                <c:pt idx="44">
                  <c:v>44.0</c:v>
                </c:pt>
                <c:pt idx="45">
                  <c:v>45.0</c:v>
                </c:pt>
                <c:pt idx="46">
                  <c:v>46.0</c:v>
                </c:pt>
                <c:pt idx="47">
                  <c:v>47.0</c:v>
                </c:pt>
                <c:pt idx="48">
                  <c:v>48.0</c:v>
                </c:pt>
                <c:pt idx="49">
                  <c:v>49.0</c:v>
                </c:pt>
                <c:pt idx="50">
                  <c:v>50.0</c:v>
                </c:pt>
                <c:pt idx="51">
                  <c:v>51.0</c:v>
                </c:pt>
                <c:pt idx="52">
                  <c:v>52.0</c:v>
                </c:pt>
                <c:pt idx="53">
                  <c:v>53.0</c:v>
                </c:pt>
                <c:pt idx="54">
                  <c:v>54.0</c:v>
                </c:pt>
                <c:pt idx="55">
                  <c:v>55.0</c:v>
                </c:pt>
                <c:pt idx="56">
                  <c:v>56.0</c:v>
                </c:pt>
                <c:pt idx="57">
                  <c:v>57.0</c:v>
                </c:pt>
                <c:pt idx="58">
                  <c:v>58.0</c:v>
                </c:pt>
                <c:pt idx="59">
                  <c:v>59.0</c:v>
                </c:pt>
                <c:pt idx="60">
                  <c:v>60.0</c:v>
                </c:pt>
                <c:pt idx="61">
                  <c:v>61.0</c:v>
                </c:pt>
                <c:pt idx="62">
                  <c:v>62.0</c:v>
                </c:pt>
                <c:pt idx="63">
                  <c:v>63.0</c:v>
                </c:pt>
                <c:pt idx="64">
                  <c:v>64.0</c:v>
                </c:pt>
                <c:pt idx="65">
                  <c:v>65.0</c:v>
                </c:pt>
                <c:pt idx="66">
                  <c:v>66.0</c:v>
                </c:pt>
                <c:pt idx="67">
                  <c:v>67.0</c:v>
                </c:pt>
                <c:pt idx="68">
                  <c:v>68.0</c:v>
                </c:pt>
                <c:pt idx="69">
                  <c:v>69.0</c:v>
                </c:pt>
                <c:pt idx="70">
                  <c:v>70.0</c:v>
                </c:pt>
                <c:pt idx="71">
                  <c:v>71.0</c:v>
                </c:pt>
                <c:pt idx="72">
                  <c:v>72.0</c:v>
                </c:pt>
                <c:pt idx="73">
                  <c:v>73.0</c:v>
                </c:pt>
                <c:pt idx="74">
                  <c:v>74.0</c:v>
                </c:pt>
                <c:pt idx="75">
                  <c:v>75.0</c:v>
                </c:pt>
                <c:pt idx="76">
                  <c:v>76.0</c:v>
                </c:pt>
                <c:pt idx="77">
                  <c:v>77.0</c:v>
                </c:pt>
                <c:pt idx="78">
                  <c:v>78.0</c:v>
                </c:pt>
                <c:pt idx="79">
                  <c:v>79.0</c:v>
                </c:pt>
                <c:pt idx="80">
                  <c:v>80.0</c:v>
                </c:pt>
                <c:pt idx="81">
                  <c:v>81.0</c:v>
                </c:pt>
                <c:pt idx="82">
                  <c:v>82.0</c:v>
                </c:pt>
                <c:pt idx="83">
                  <c:v>83.0</c:v>
                </c:pt>
                <c:pt idx="84">
                  <c:v>84.0</c:v>
                </c:pt>
                <c:pt idx="85">
                  <c:v>85.0</c:v>
                </c:pt>
                <c:pt idx="86">
                  <c:v>86.0</c:v>
                </c:pt>
                <c:pt idx="87">
                  <c:v>87.0</c:v>
                </c:pt>
                <c:pt idx="88">
                  <c:v>88.0</c:v>
                </c:pt>
                <c:pt idx="89">
                  <c:v>89.0</c:v>
                </c:pt>
                <c:pt idx="90">
                  <c:v>90.0</c:v>
                </c:pt>
                <c:pt idx="91">
                  <c:v>91.0</c:v>
                </c:pt>
                <c:pt idx="92">
                  <c:v>92.0</c:v>
                </c:pt>
                <c:pt idx="93">
                  <c:v>93.0</c:v>
                </c:pt>
                <c:pt idx="94">
                  <c:v>94.0</c:v>
                </c:pt>
                <c:pt idx="95">
                  <c:v>95.0</c:v>
                </c:pt>
                <c:pt idx="96">
                  <c:v>96.0</c:v>
                </c:pt>
                <c:pt idx="97">
                  <c:v>97.0</c:v>
                </c:pt>
                <c:pt idx="98">
                  <c:v>98.0</c:v>
                </c:pt>
                <c:pt idx="99">
                  <c:v>99.0</c:v>
                </c:pt>
                <c:pt idx="100">
                  <c:v>100.0</c:v>
                </c:pt>
                <c:pt idx="101">
                  <c:v>101.0</c:v>
                </c:pt>
                <c:pt idx="102">
                  <c:v>102.0</c:v>
                </c:pt>
                <c:pt idx="103">
                  <c:v>103.0</c:v>
                </c:pt>
                <c:pt idx="104">
                  <c:v>104.0</c:v>
                </c:pt>
                <c:pt idx="105">
                  <c:v>105.0</c:v>
                </c:pt>
                <c:pt idx="106">
                  <c:v>106.0</c:v>
                </c:pt>
                <c:pt idx="107">
                  <c:v>107.0</c:v>
                </c:pt>
                <c:pt idx="108">
                  <c:v>108.0</c:v>
                </c:pt>
                <c:pt idx="109">
                  <c:v>109.0</c:v>
                </c:pt>
                <c:pt idx="110">
                  <c:v>110.0</c:v>
                </c:pt>
                <c:pt idx="111">
                  <c:v>111.0</c:v>
                </c:pt>
                <c:pt idx="112">
                  <c:v>112.0</c:v>
                </c:pt>
                <c:pt idx="113">
                  <c:v>113.0</c:v>
                </c:pt>
                <c:pt idx="114">
                  <c:v>114.0</c:v>
                </c:pt>
                <c:pt idx="115">
                  <c:v>115.0</c:v>
                </c:pt>
                <c:pt idx="116">
                  <c:v>116.0</c:v>
                </c:pt>
                <c:pt idx="117">
                  <c:v>117.0</c:v>
                </c:pt>
                <c:pt idx="118">
                  <c:v>118.0</c:v>
                </c:pt>
                <c:pt idx="119">
                  <c:v>119.0</c:v>
                </c:pt>
                <c:pt idx="120">
                  <c:v>120.0</c:v>
                </c:pt>
                <c:pt idx="121">
                  <c:v>121.0</c:v>
                </c:pt>
                <c:pt idx="122">
                  <c:v>122.0</c:v>
                </c:pt>
                <c:pt idx="123">
                  <c:v>123.0</c:v>
                </c:pt>
                <c:pt idx="124">
                  <c:v>124.0</c:v>
                </c:pt>
                <c:pt idx="125">
                  <c:v>125.0</c:v>
                </c:pt>
                <c:pt idx="126">
                  <c:v>126.0</c:v>
                </c:pt>
                <c:pt idx="127">
                  <c:v>127.0</c:v>
                </c:pt>
                <c:pt idx="128">
                  <c:v>128.0</c:v>
                </c:pt>
                <c:pt idx="129">
                  <c:v>129.0</c:v>
                </c:pt>
                <c:pt idx="130">
                  <c:v>130.0</c:v>
                </c:pt>
                <c:pt idx="131">
                  <c:v>131.0</c:v>
                </c:pt>
                <c:pt idx="132">
                  <c:v>132.0</c:v>
                </c:pt>
                <c:pt idx="133">
                  <c:v>133.0</c:v>
                </c:pt>
                <c:pt idx="134">
                  <c:v>134.0</c:v>
                </c:pt>
                <c:pt idx="135">
                  <c:v>135.0</c:v>
                </c:pt>
                <c:pt idx="136">
                  <c:v>136.0</c:v>
                </c:pt>
                <c:pt idx="137">
                  <c:v>137.0</c:v>
                </c:pt>
                <c:pt idx="138">
                  <c:v>138.0</c:v>
                </c:pt>
                <c:pt idx="139">
                  <c:v>139.0</c:v>
                </c:pt>
                <c:pt idx="140">
                  <c:v>140.0</c:v>
                </c:pt>
                <c:pt idx="141">
                  <c:v>141.0</c:v>
                </c:pt>
                <c:pt idx="142">
                  <c:v>142.0</c:v>
                </c:pt>
                <c:pt idx="143">
                  <c:v>143.0</c:v>
                </c:pt>
                <c:pt idx="144">
                  <c:v>144.0</c:v>
                </c:pt>
                <c:pt idx="145">
                  <c:v>145.0</c:v>
                </c:pt>
                <c:pt idx="146">
                  <c:v>146.0</c:v>
                </c:pt>
                <c:pt idx="147">
                  <c:v>147.0</c:v>
                </c:pt>
                <c:pt idx="148">
                  <c:v>148.0</c:v>
                </c:pt>
                <c:pt idx="149">
                  <c:v>149.0</c:v>
                </c:pt>
                <c:pt idx="150">
                  <c:v>150.0</c:v>
                </c:pt>
                <c:pt idx="151">
                  <c:v>151.0</c:v>
                </c:pt>
                <c:pt idx="152">
                  <c:v>152.0</c:v>
                </c:pt>
                <c:pt idx="153">
                  <c:v>153.0</c:v>
                </c:pt>
                <c:pt idx="154">
                  <c:v>154.0</c:v>
                </c:pt>
                <c:pt idx="155">
                  <c:v>155.0</c:v>
                </c:pt>
                <c:pt idx="156">
                  <c:v>156.0</c:v>
                </c:pt>
                <c:pt idx="157">
                  <c:v>157.0</c:v>
                </c:pt>
                <c:pt idx="158">
                  <c:v>158.0</c:v>
                </c:pt>
                <c:pt idx="159">
                  <c:v>159.0</c:v>
                </c:pt>
                <c:pt idx="160">
                  <c:v>160.0</c:v>
                </c:pt>
                <c:pt idx="161">
                  <c:v>161.0</c:v>
                </c:pt>
                <c:pt idx="162">
                  <c:v>162.0</c:v>
                </c:pt>
                <c:pt idx="163">
                  <c:v>163.0</c:v>
                </c:pt>
                <c:pt idx="164">
                  <c:v>164.0</c:v>
                </c:pt>
                <c:pt idx="165">
                  <c:v>165.0</c:v>
                </c:pt>
                <c:pt idx="166">
                  <c:v>166.0</c:v>
                </c:pt>
                <c:pt idx="167">
                  <c:v>167.0</c:v>
                </c:pt>
                <c:pt idx="168">
                  <c:v>168.0</c:v>
                </c:pt>
                <c:pt idx="169">
                  <c:v>169.0</c:v>
                </c:pt>
                <c:pt idx="170">
                  <c:v>170.0</c:v>
                </c:pt>
                <c:pt idx="171">
                  <c:v>171.0</c:v>
                </c:pt>
                <c:pt idx="172">
                  <c:v>172.0</c:v>
                </c:pt>
                <c:pt idx="173">
                  <c:v>173.0</c:v>
                </c:pt>
                <c:pt idx="174">
                  <c:v>174.0</c:v>
                </c:pt>
                <c:pt idx="175">
                  <c:v>175.0</c:v>
                </c:pt>
                <c:pt idx="176">
                  <c:v>176.0</c:v>
                </c:pt>
                <c:pt idx="177">
                  <c:v>177.0</c:v>
                </c:pt>
                <c:pt idx="178">
                  <c:v>178.0</c:v>
                </c:pt>
                <c:pt idx="179">
                  <c:v>179.0</c:v>
                </c:pt>
                <c:pt idx="180">
                  <c:v>180.0</c:v>
                </c:pt>
              </c:numCache>
            </c:numRef>
          </c:xVal>
          <c:yVal>
            <c:numRef>
              <c:f>'all charts'!$BE$3:$BE$183</c:f>
              <c:numCache>
                <c:formatCode>General</c:formatCode>
                <c:ptCount val="181"/>
                <c:pt idx="0">
                  <c:v>19.0</c:v>
                </c:pt>
                <c:pt idx="1">
                  <c:v>17.0</c:v>
                </c:pt>
                <c:pt idx="5">
                  <c:v>18.33300000000001</c:v>
                </c:pt>
                <c:pt idx="9">
                  <c:v>19.33300000000001</c:v>
                </c:pt>
                <c:pt idx="14">
                  <c:v>19.0</c:v>
                </c:pt>
                <c:pt idx="22">
                  <c:v>19.0</c:v>
                </c:pt>
                <c:pt idx="34">
                  <c:v>26.33300000000001</c:v>
                </c:pt>
                <c:pt idx="50">
                  <c:v>24.0</c:v>
                </c:pt>
                <c:pt idx="70">
                  <c:v>19.66700000000001</c:v>
                </c:pt>
                <c:pt idx="130">
                  <c:v>17.0</c:v>
                </c:pt>
                <c:pt idx="180">
                  <c:v>28.33300000000001</c:v>
                </c:pt>
              </c:numCache>
            </c:numRef>
          </c:yVal>
        </c:ser>
        <c:ser>
          <c:idx val="1"/>
          <c:order val="1"/>
          <c:tx>
            <c:strRef>
              <c:f>'all charts'!$O$2</c:f>
              <c:strCache>
                <c:ptCount val="1"/>
                <c:pt idx="0">
                  <c:v>Liquid TKN</c:v>
                </c:pt>
              </c:strCache>
            </c:strRef>
          </c:tx>
          <c:spPr>
            <a:ln w="38100">
              <a:solidFill>
                <a:srgbClr val="000000"/>
              </a:solidFill>
              <a:prstDash val="sysDash"/>
            </a:ln>
          </c:spPr>
          <c:marker>
            <c:symbol val="none"/>
          </c:marker>
          <c:xVal>
            <c:numRef>
              <c:f>'all charts'!$A$3:$A$183</c:f>
              <c:numCache>
                <c:formatCode>General</c:formatCode>
                <c:ptCount val="181"/>
                <c:pt idx="0">
                  <c:v>0.0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pt idx="28">
                  <c:v>28.0</c:v>
                </c:pt>
                <c:pt idx="29">
                  <c:v>29.0</c:v>
                </c:pt>
                <c:pt idx="30">
                  <c:v>30.0</c:v>
                </c:pt>
                <c:pt idx="31">
                  <c:v>31.0</c:v>
                </c:pt>
                <c:pt idx="32">
                  <c:v>32.0</c:v>
                </c:pt>
                <c:pt idx="33">
                  <c:v>33.0</c:v>
                </c:pt>
                <c:pt idx="34">
                  <c:v>34.0</c:v>
                </c:pt>
                <c:pt idx="35">
                  <c:v>35.0</c:v>
                </c:pt>
                <c:pt idx="36">
                  <c:v>36.0</c:v>
                </c:pt>
                <c:pt idx="37">
                  <c:v>37.0</c:v>
                </c:pt>
                <c:pt idx="38">
                  <c:v>38.0</c:v>
                </c:pt>
                <c:pt idx="39">
                  <c:v>39.0</c:v>
                </c:pt>
                <c:pt idx="40">
                  <c:v>40.0</c:v>
                </c:pt>
                <c:pt idx="41">
                  <c:v>41.0</c:v>
                </c:pt>
                <c:pt idx="42">
                  <c:v>42.0</c:v>
                </c:pt>
                <c:pt idx="43">
                  <c:v>43.0</c:v>
                </c:pt>
                <c:pt idx="44">
                  <c:v>44.0</c:v>
                </c:pt>
                <c:pt idx="45">
                  <c:v>45.0</c:v>
                </c:pt>
                <c:pt idx="46">
                  <c:v>46.0</c:v>
                </c:pt>
                <c:pt idx="47">
                  <c:v>47.0</c:v>
                </c:pt>
                <c:pt idx="48">
                  <c:v>48.0</c:v>
                </c:pt>
                <c:pt idx="49">
                  <c:v>49.0</c:v>
                </c:pt>
                <c:pt idx="50">
                  <c:v>50.0</c:v>
                </c:pt>
                <c:pt idx="51">
                  <c:v>51.0</c:v>
                </c:pt>
                <c:pt idx="52">
                  <c:v>52.0</c:v>
                </c:pt>
                <c:pt idx="53">
                  <c:v>53.0</c:v>
                </c:pt>
                <c:pt idx="54">
                  <c:v>54.0</c:v>
                </c:pt>
                <c:pt idx="55">
                  <c:v>55.0</c:v>
                </c:pt>
                <c:pt idx="56">
                  <c:v>56.0</c:v>
                </c:pt>
                <c:pt idx="57">
                  <c:v>57.0</c:v>
                </c:pt>
                <c:pt idx="58">
                  <c:v>58.0</c:v>
                </c:pt>
                <c:pt idx="59">
                  <c:v>59.0</c:v>
                </c:pt>
                <c:pt idx="60">
                  <c:v>60.0</c:v>
                </c:pt>
                <c:pt idx="61">
                  <c:v>61.0</c:v>
                </c:pt>
                <c:pt idx="62">
                  <c:v>62.0</c:v>
                </c:pt>
                <c:pt idx="63">
                  <c:v>63.0</c:v>
                </c:pt>
                <c:pt idx="64">
                  <c:v>64.0</c:v>
                </c:pt>
                <c:pt idx="65">
                  <c:v>65.0</c:v>
                </c:pt>
                <c:pt idx="66">
                  <c:v>66.0</c:v>
                </c:pt>
                <c:pt idx="67">
                  <c:v>67.0</c:v>
                </c:pt>
                <c:pt idx="68">
                  <c:v>68.0</c:v>
                </c:pt>
                <c:pt idx="69">
                  <c:v>69.0</c:v>
                </c:pt>
                <c:pt idx="70">
                  <c:v>70.0</c:v>
                </c:pt>
                <c:pt idx="71">
                  <c:v>71.0</c:v>
                </c:pt>
                <c:pt idx="72">
                  <c:v>72.0</c:v>
                </c:pt>
                <c:pt idx="73">
                  <c:v>73.0</c:v>
                </c:pt>
                <c:pt idx="74">
                  <c:v>74.0</c:v>
                </c:pt>
                <c:pt idx="75">
                  <c:v>75.0</c:v>
                </c:pt>
                <c:pt idx="76">
                  <c:v>76.0</c:v>
                </c:pt>
                <c:pt idx="77">
                  <c:v>77.0</c:v>
                </c:pt>
                <c:pt idx="78">
                  <c:v>78.0</c:v>
                </c:pt>
                <c:pt idx="79">
                  <c:v>79.0</c:v>
                </c:pt>
                <c:pt idx="80">
                  <c:v>80.0</c:v>
                </c:pt>
                <c:pt idx="81">
                  <c:v>81.0</c:v>
                </c:pt>
                <c:pt idx="82">
                  <c:v>82.0</c:v>
                </c:pt>
                <c:pt idx="83">
                  <c:v>83.0</c:v>
                </c:pt>
                <c:pt idx="84">
                  <c:v>84.0</c:v>
                </c:pt>
                <c:pt idx="85">
                  <c:v>85.0</c:v>
                </c:pt>
                <c:pt idx="86">
                  <c:v>86.0</c:v>
                </c:pt>
                <c:pt idx="87">
                  <c:v>87.0</c:v>
                </c:pt>
                <c:pt idx="88">
                  <c:v>88.0</c:v>
                </c:pt>
                <c:pt idx="89">
                  <c:v>89.0</c:v>
                </c:pt>
                <c:pt idx="90">
                  <c:v>90.0</c:v>
                </c:pt>
                <c:pt idx="91">
                  <c:v>91.0</c:v>
                </c:pt>
                <c:pt idx="92">
                  <c:v>92.0</c:v>
                </c:pt>
                <c:pt idx="93">
                  <c:v>93.0</c:v>
                </c:pt>
                <c:pt idx="94">
                  <c:v>94.0</c:v>
                </c:pt>
                <c:pt idx="95">
                  <c:v>95.0</c:v>
                </c:pt>
                <c:pt idx="96">
                  <c:v>96.0</c:v>
                </c:pt>
                <c:pt idx="97">
                  <c:v>97.0</c:v>
                </c:pt>
                <c:pt idx="98">
                  <c:v>98.0</c:v>
                </c:pt>
                <c:pt idx="99">
                  <c:v>99.0</c:v>
                </c:pt>
                <c:pt idx="100">
                  <c:v>100.0</c:v>
                </c:pt>
                <c:pt idx="101">
                  <c:v>101.0</c:v>
                </c:pt>
                <c:pt idx="102">
                  <c:v>102.0</c:v>
                </c:pt>
                <c:pt idx="103">
                  <c:v>103.0</c:v>
                </c:pt>
                <c:pt idx="104">
                  <c:v>104.0</c:v>
                </c:pt>
                <c:pt idx="105">
                  <c:v>105.0</c:v>
                </c:pt>
                <c:pt idx="106">
                  <c:v>106.0</c:v>
                </c:pt>
                <c:pt idx="107">
                  <c:v>107.0</c:v>
                </c:pt>
                <c:pt idx="108">
                  <c:v>108.0</c:v>
                </c:pt>
                <c:pt idx="109">
                  <c:v>109.0</c:v>
                </c:pt>
                <c:pt idx="110">
                  <c:v>110.0</c:v>
                </c:pt>
                <c:pt idx="111">
                  <c:v>111.0</c:v>
                </c:pt>
                <c:pt idx="112">
                  <c:v>112.0</c:v>
                </c:pt>
                <c:pt idx="113">
                  <c:v>113.0</c:v>
                </c:pt>
                <c:pt idx="114">
                  <c:v>114.0</c:v>
                </c:pt>
                <c:pt idx="115">
                  <c:v>115.0</c:v>
                </c:pt>
                <c:pt idx="116">
                  <c:v>116.0</c:v>
                </c:pt>
                <c:pt idx="117">
                  <c:v>117.0</c:v>
                </c:pt>
                <c:pt idx="118">
                  <c:v>118.0</c:v>
                </c:pt>
                <c:pt idx="119">
                  <c:v>119.0</c:v>
                </c:pt>
                <c:pt idx="120">
                  <c:v>120.0</c:v>
                </c:pt>
                <c:pt idx="121">
                  <c:v>121.0</c:v>
                </c:pt>
                <c:pt idx="122">
                  <c:v>122.0</c:v>
                </c:pt>
                <c:pt idx="123">
                  <c:v>123.0</c:v>
                </c:pt>
                <c:pt idx="124">
                  <c:v>124.0</c:v>
                </c:pt>
                <c:pt idx="125">
                  <c:v>125.0</c:v>
                </c:pt>
                <c:pt idx="126">
                  <c:v>126.0</c:v>
                </c:pt>
                <c:pt idx="127">
                  <c:v>127.0</c:v>
                </c:pt>
                <c:pt idx="128">
                  <c:v>128.0</c:v>
                </c:pt>
                <c:pt idx="129">
                  <c:v>129.0</c:v>
                </c:pt>
                <c:pt idx="130">
                  <c:v>130.0</c:v>
                </c:pt>
                <c:pt idx="131">
                  <c:v>131.0</c:v>
                </c:pt>
                <c:pt idx="132">
                  <c:v>132.0</c:v>
                </c:pt>
                <c:pt idx="133">
                  <c:v>133.0</c:v>
                </c:pt>
                <c:pt idx="134">
                  <c:v>134.0</c:v>
                </c:pt>
                <c:pt idx="135">
                  <c:v>135.0</c:v>
                </c:pt>
                <c:pt idx="136">
                  <c:v>136.0</c:v>
                </c:pt>
                <c:pt idx="137">
                  <c:v>137.0</c:v>
                </c:pt>
                <c:pt idx="138">
                  <c:v>138.0</c:v>
                </c:pt>
                <c:pt idx="139">
                  <c:v>139.0</c:v>
                </c:pt>
                <c:pt idx="140">
                  <c:v>140.0</c:v>
                </c:pt>
                <c:pt idx="141">
                  <c:v>141.0</c:v>
                </c:pt>
                <c:pt idx="142">
                  <c:v>142.0</c:v>
                </c:pt>
                <c:pt idx="143">
                  <c:v>143.0</c:v>
                </c:pt>
                <c:pt idx="144">
                  <c:v>144.0</c:v>
                </c:pt>
                <c:pt idx="145">
                  <c:v>145.0</c:v>
                </c:pt>
                <c:pt idx="146">
                  <c:v>146.0</c:v>
                </c:pt>
                <c:pt idx="147">
                  <c:v>147.0</c:v>
                </c:pt>
                <c:pt idx="148">
                  <c:v>148.0</c:v>
                </c:pt>
                <c:pt idx="149">
                  <c:v>149.0</c:v>
                </c:pt>
                <c:pt idx="150">
                  <c:v>150.0</c:v>
                </c:pt>
                <c:pt idx="151">
                  <c:v>151.0</c:v>
                </c:pt>
                <c:pt idx="152">
                  <c:v>152.0</c:v>
                </c:pt>
                <c:pt idx="153">
                  <c:v>153.0</c:v>
                </c:pt>
                <c:pt idx="154">
                  <c:v>154.0</c:v>
                </c:pt>
                <c:pt idx="155">
                  <c:v>155.0</c:v>
                </c:pt>
                <c:pt idx="156">
                  <c:v>156.0</c:v>
                </c:pt>
                <c:pt idx="157">
                  <c:v>157.0</c:v>
                </c:pt>
                <c:pt idx="158">
                  <c:v>158.0</c:v>
                </c:pt>
                <c:pt idx="159">
                  <c:v>159.0</c:v>
                </c:pt>
                <c:pt idx="160">
                  <c:v>160.0</c:v>
                </c:pt>
                <c:pt idx="161">
                  <c:v>161.0</c:v>
                </c:pt>
                <c:pt idx="162">
                  <c:v>162.0</c:v>
                </c:pt>
                <c:pt idx="163">
                  <c:v>163.0</c:v>
                </c:pt>
                <c:pt idx="164">
                  <c:v>164.0</c:v>
                </c:pt>
                <c:pt idx="165">
                  <c:v>165.0</c:v>
                </c:pt>
                <c:pt idx="166">
                  <c:v>166.0</c:v>
                </c:pt>
                <c:pt idx="167">
                  <c:v>167.0</c:v>
                </c:pt>
                <c:pt idx="168">
                  <c:v>168.0</c:v>
                </c:pt>
                <c:pt idx="169">
                  <c:v>169.0</c:v>
                </c:pt>
                <c:pt idx="170">
                  <c:v>170.0</c:v>
                </c:pt>
                <c:pt idx="171">
                  <c:v>171.0</c:v>
                </c:pt>
                <c:pt idx="172">
                  <c:v>172.0</c:v>
                </c:pt>
                <c:pt idx="173">
                  <c:v>173.0</c:v>
                </c:pt>
                <c:pt idx="174">
                  <c:v>174.0</c:v>
                </c:pt>
                <c:pt idx="175">
                  <c:v>175.0</c:v>
                </c:pt>
                <c:pt idx="176">
                  <c:v>176.0</c:v>
                </c:pt>
                <c:pt idx="177">
                  <c:v>177.0</c:v>
                </c:pt>
                <c:pt idx="178">
                  <c:v>178.0</c:v>
                </c:pt>
                <c:pt idx="179">
                  <c:v>179.0</c:v>
                </c:pt>
                <c:pt idx="180">
                  <c:v>180.0</c:v>
                </c:pt>
              </c:numCache>
            </c:numRef>
          </c:xVal>
          <c:yVal>
            <c:numRef>
              <c:f>'all charts'!$O$3:$O$183</c:f>
              <c:numCache>
                <c:formatCode>0.0</c:formatCode>
                <c:ptCount val="181"/>
                <c:pt idx="0">
                  <c:v>2.771428593599999</c:v>
                </c:pt>
                <c:pt idx="1">
                  <c:v>4.952380991999997</c:v>
                </c:pt>
                <c:pt idx="5">
                  <c:v>4.666666704000002</c:v>
                </c:pt>
                <c:pt idx="9">
                  <c:v>4.666666704000002</c:v>
                </c:pt>
                <c:pt idx="14">
                  <c:v>4.380952415999999</c:v>
                </c:pt>
                <c:pt idx="22">
                  <c:v>4.000000032</c:v>
                </c:pt>
                <c:pt idx="34">
                  <c:v>3.2571428832</c:v>
                </c:pt>
                <c:pt idx="50">
                  <c:v>1.495238107199999</c:v>
                </c:pt>
                <c:pt idx="70">
                  <c:v>1.761904775999999</c:v>
                </c:pt>
                <c:pt idx="130">
                  <c:v>1.2952381056</c:v>
                </c:pt>
                <c:pt idx="180">
                  <c:v>0.0</c:v>
                </c:pt>
              </c:numCache>
            </c:numRef>
          </c:yVal>
        </c:ser>
        <c:axId val="500978792"/>
        <c:axId val="500987384"/>
      </c:scatterChart>
      <c:valAx>
        <c:axId val="500978792"/>
        <c:scaling>
          <c:orientation val="minMax"/>
          <c:max val="180.0"/>
        </c:scaling>
        <c:axPos val="b"/>
        <c:majorGridlines>
          <c:spPr>
            <a:ln w="3175">
              <a:solidFill>
                <a:srgbClr val="000000"/>
              </a:solidFill>
              <a:prstDash val="solid"/>
            </a:ln>
          </c:spPr>
        </c:majorGridlines>
        <c:title>
          <c:tx>
            <c:rich>
              <a:bodyPr/>
              <a:lstStyle/>
              <a:p>
                <a:pPr>
                  <a:defRPr sz="1000" b="0" i="0" u="none" strike="noStrike" baseline="0">
                    <a:solidFill>
                      <a:srgbClr val="000000"/>
                    </a:solidFill>
                    <a:latin typeface="Arial"/>
                    <a:ea typeface="Arial"/>
                    <a:cs typeface="Arial"/>
                  </a:defRPr>
                </a:pPr>
                <a:r>
                  <a:rPr lang="en-US" sz="1000" b="0" i="0"/>
                  <a:t>Days Immersed</a:t>
                </a:r>
              </a:p>
            </c:rich>
          </c:tx>
          <c:layout>
            <c:manualLayout>
              <c:xMode val="edge"/>
              <c:yMode val="edge"/>
              <c:x val="0.402654541025449"/>
              <c:y val="0.900708829965219"/>
            </c:manualLayout>
          </c:layout>
          <c:spPr>
            <a:noFill/>
            <a:ln w="25400">
              <a:noFill/>
            </a:ln>
          </c:spPr>
        </c:title>
        <c:numFmt formatCode="General" sourceLinked="1"/>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500987384"/>
        <c:crosses val="autoZero"/>
        <c:crossBetween val="midCat"/>
        <c:majorUnit val="20.0"/>
        <c:minorUnit val="2.0"/>
      </c:valAx>
      <c:valAx>
        <c:axId val="500987384"/>
        <c:scaling>
          <c:orientation val="minMax"/>
        </c:scaling>
        <c:axPos val="l"/>
        <c:majorGridlines>
          <c:spPr>
            <a:ln w="3175">
              <a:solidFill>
                <a:srgbClr val="000000"/>
              </a:solidFill>
              <a:prstDash val="solid"/>
            </a:ln>
          </c:spPr>
        </c:majorGridlines>
        <c:title>
          <c:tx>
            <c:rich>
              <a:bodyPr/>
              <a:lstStyle/>
              <a:p>
                <a:pPr>
                  <a:defRPr sz="1000" b="0" i="0" u="none" strike="noStrike" baseline="0">
                    <a:solidFill>
                      <a:srgbClr val="000000"/>
                    </a:solidFill>
                    <a:latin typeface="Arial"/>
                    <a:ea typeface="Arial"/>
                    <a:cs typeface="Arial"/>
                  </a:defRPr>
                </a:pPr>
                <a:r>
                  <a:rPr lang="en-US" sz="1000" b="0" i="0"/>
                  <a:t>g/kg Total Kjeldahl Nitrogen</a:t>
                </a:r>
              </a:p>
            </c:rich>
          </c:tx>
          <c:layout>
            <c:manualLayout>
              <c:xMode val="edge"/>
              <c:yMode val="edge"/>
              <c:x val="0.0911850048754459"/>
              <c:y val="0.133740148394213"/>
            </c:manualLayout>
          </c:layout>
          <c:spPr>
            <a:noFill/>
            <a:ln w="25400">
              <a:noFill/>
            </a:ln>
          </c:spPr>
        </c:title>
        <c:numFmt formatCode="General" sourceLinked="1"/>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500978792"/>
        <c:crosses val="autoZero"/>
        <c:crossBetween val="midCat"/>
      </c:valAx>
      <c:spPr>
        <a:noFill/>
        <a:ln w="25400">
          <a:noFill/>
        </a:ln>
      </c:spPr>
    </c:plotArea>
    <c:legend>
      <c:legendPos val="r"/>
      <c:layout>
        <c:manualLayout>
          <c:xMode val="edge"/>
          <c:yMode val="edge"/>
          <c:x val="0.615043749478433"/>
          <c:y val="0.507091979074907"/>
          <c:w val="0.263274122978178"/>
          <c:h val="0.145390007986512"/>
        </c:manualLayout>
      </c:layout>
      <c:spPr>
        <a:solidFill>
          <a:srgbClr val="FFFFFF"/>
        </a:solidFill>
        <a:ln w="3175">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en-US"/>
        </a:p>
      </c:txPr>
    </c:legend>
    <c:plotVisOnly val="1"/>
    <c:dispBlanksAs val="span"/>
  </c:chart>
  <c:spPr>
    <a:solidFill>
      <a:srgbClr val="FFFFFF"/>
    </a:solidFill>
    <a:ln w="9525">
      <a:solidFill>
        <a:schemeClr val="bg1">
          <a:lumMod val="50000"/>
        </a:schemeClr>
      </a:solidFill>
    </a:ln>
  </c:spPr>
  <c:txPr>
    <a:bodyPr/>
    <a:lstStyle/>
    <a:p>
      <a:pPr>
        <a:defRPr sz="800" b="0" i="0" u="none" strike="noStrike" baseline="0">
          <a:solidFill>
            <a:srgbClr val="000000"/>
          </a:solidFill>
          <a:latin typeface="Arial"/>
          <a:ea typeface="Arial"/>
          <a:cs typeface="Arial"/>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2"/>
  <c:chart>
    <c:autoTitleDeleted val="1"/>
    <c:plotArea>
      <c:layout>
        <c:manualLayout>
          <c:layoutTarget val="inner"/>
          <c:xMode val="edge"/>
          <c:yMode val="edge"/>
          <c:x val="0.250559010417748"/>
          <c:y val="0.213235007025765"/>
          <c:w val="0.720357154951024"/>
          <c:h val="0.470587601712034"/>
        </c:manualLayout>
      </c:layout>
      <c:scatterChart>
        <c:scatterStyle val="lineMarker"/>
        <c:ser>
          <c:idx val="0"/>
          <c:order val="0"/>
          <c:tx>
            <c:strRef>
              <c:f>'all charts'!$BG$2</c:f>
              <c:strCache>
                <c:ptCount val="1"/>
                <c:pt idx="0">
                  <c:v>Solid Total Phosphorous as P</c:v>
                </c:pt>
              </c:strCache>
            </c:strRef>
          </c:tx>
          <c:spPr>
            <a:ln w="38100">
              <a:solidFill>
                <a:srgbClr val="000080"/>
              </a:solidFill>
              <a:prstDash val="solid"/>
            </a:ln>
          </c:spPr>
          <c:marker>
            <c:symbol val="none"/>
          </c:marker>
          <c:xVal>
            <c:numRef>
              <c:f>'all charts'!$A$3:$A$183</c:f>
              <c:numCache>
                <c:formatCode>General</c:formatCode>
                <c:ptCount val="181"/>
                <c:pt idx="0">
                  <c:v>0.0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pt idx="28">
                  <c:v>28.0</c:v>
                </c:pt>
                <c:pt idx="29">
                  <c:v>29.0</c:v>
                </c:pt>
                <c:pt idx="30">
                  <c:v>30.0</c:v>
                </c:pt>
                <c:pt idx="31">
                  <c:v>31.0</c:v>
                </c:pt>
                <c:pt idx="32">
                  <c:v>32.0</c:v>
                </c:pt>
                <c:pt idx="33">
                  <c:v>33.0</c:v>
                </c:pt>
                <c:pt idx="34">
                  <c:v>34.0</c:v>
                </c:pt>
                <c:pt idx="35">
                  <c:v>35.0</c:v>
                </c:pt>
                <c:pt idx="36">
                  <c:v>36.0</c:v>
                </c:pt>
                <c:pt idx="37">
                  <c:v>37.0</c:v>
                </c:pt>
                <c:pt idx="38">
                  <c:v>38.0</c:v>
                </c:pt>
                <c:pt idx="39">
                  <c:v>39.0</c:v>
                </c:pt>
                <c:pt idx="40">
                  <c:v>40.0</c:v>
                </c:pt>
                <c:pt idx="41">
                  <c:v>41.0</c:v>
                </c:pt>
                <c:pt idx="42">
                  <c:v>42.0</c:v>
                </c:pt>
                <c:pt idx="43">
                  <c:v>43.0</c:v>
                </c:pt>
                <c:pt idx="44">
                  <c:v>44.0</c:v>
                </c:pt>
                <c:pt idx="45">
                  <c:v>45.0</c:v>
                </c:pt>
                <c:pt idx="46">
                  <c:v>46.0</c:v>
                </c:pt>
                <c:pt idx="47">
                  <c:v>47.0</c:v>
                </c:pt>
                <c:pt idx="48">
                  <c:v>48.0</c:v>
                </c:pt>
                <c:pt idx="49">
                  <c:v>49.0</c:v>
                </c:pt>
                <c:pt idx="50">
                  <c:v>50.0</c:v>
                </c:pt>
                <c:pt idx="51">
                  <c:v>51.0</c:v>
                </c:pt>
                <c:pt idx="52">
                  <c:v>52.0</c:v>
                </c:pt>
                <c:pt idx="53">
                  <c:v>53.0</c:v>
                </c:pt>
                <c:pt idx="54">
                  <c:v>54.0</c:v>
                </c:pt>
                <c:pt idx="55">
                  <c:v>55.0</c:v>
                </c:pt>
                <c:pt idx="56">
                  <c:v>56.0</c:v>
                </c:pt>
                <c:pt idx="57">
                  <c:v>57.0</c:v>
                </c:pt>
                <c:pt idx="58">
                  <c:v>58.0</c:v>
                </c:pt>
                <c:pt idx="59">
                  <c:v>59.0</c:v>
                </c:pt>
                <c:pt idx="60">
                  <c:v>60.0</c:v>
                </c:pt>
                <c:pt idx="61">
                  <c:v>61.0</c:v>
                </c:pt>
                <c:pt idx="62">
                  <c:v>62.0</c:v>
                </c:pt>
                <c:pt idx="63">
                  <c:v>63.0</c:v>
                </c:pt>
                <c:pt idx="64">
                  <c:v>64.0</c:v>
                </c:pt>
                <c:pt idx="65">
                  <c:v>65.0</c:v>
                </c:pt>
                <c:pt idx="66">
                  <c:v>66.0</c:v>
                </c:pt>
                <c:pt idx="67">
                  <c:v>67.0</c:v>
                </c:pt>
                <c:pt idx="68">
                  <c:v>68.0</c:v>
                </c:pt>
                <c:pt idx="69">
                  <c:v>69.0</c:v>
                </c:pt>
                <c:pt idx="70">
                  <c:v>70.0</c:v>
                </c:pt>
                <c:pt idx="71">
                  <c:v>71.0</c:v>
                </c:pt>
                <c:pt idx="72">
                  <c:v>72.0</c:v>
                </c:pt>
                <c:pt idx="73">
                  <c:v>73.0</c:v>
                </c:pt>
                <c:pt idx="74">
                  <c:v>74.0</c:v>
                </c:pt>
                <c:pt idx="75">
                  <c:v>75.0</c:v>
                </c:pt>
                <c:pt idx="76">
                  <c:v>76.0</c:v>
                </c:pt>
                <c:pt idx="77">
                  <c:v>77.0</c:v>
                </c:pt>
                <c:pt idx="78">
                  <c:v>78.0</c:v>
                </c:pt>
                <c:pt idx="79">
                  <c:v>79.0</c:v>
                </c:pt>
                <c:pt idx="80">
                  <c:v>80.0</c:v>
                </c:pt>
                <c:pt idx="81">
                  <c:v>81.0</c:v>
                </c:pt>
                <c:pt idx="82">
                  <c:v>82.0</c:v>
                </c:pt>
                <c:pt idx="83">
                  <c:v>83.0</c:v>
                </c:pt>
                <c:pt idx="84">
                  <c:v>84.0</c:v>
                </c:pt>
                <c:pt idx="85">
                  <c:v>85.0</c:v>
                </c:pt>
                <c:pt idx="86">
                  <c:v>86.0</c:v>
                </c:pt>
                <c:pt idx="87">
                  <c:v>87.0</c:v>
                </c:pt>
                <c:pt idx="88">
                  <c:v>88.0</c:v>
                </c:pt>
                <c:pt idx="89">
                  <c:v>89.0</c:v>
                </c:pt>
                <c:pt idx="90">
                  <c:v>90.0</c:v>
                </c:pt>
                <c:pt idx="91">
                  <c:v>91.0</c:v>
                </c:pt>
                <c:pt idx="92">
                  <c:v>92.0</c:v>
                </c:pt>
                <c:pt idx="93">
                  <c:v>93.0</c:v>
                </c:pt>
                <c:pt idx="94">
                  <c:v>94.0</c:v>
                </c:pt>
                <c:pt idx="95">
                  <c:v>95.0</c:v>
                </c:pt>
                <c:pt idx="96">
                  <c:v>96.0</c:v>
                </c:pt>
                <c:pt idx="97">
                  <c:v>97.0</c:v>
                </c:pt>
                <c:pt idx="98">
                  <c:v>98.0</c:v>
                </c:pt>
                <c:pt idx="99">
                  <c:v>99.0</c:v>
                </c:pt>
                <c:pt idx="100">
                  <c:v>100.0</c:v>
                </c:pt>
                <c:pt idx="101">
                  <c:v>101.0</c:v>
                </c:pt>
                <c:pt idx="102">
                  <c:v>102.0</c:v>
                </c:pt>
                <c:pt idx="103">
                  <c:v>103.0</c:v>
                </c:pt>
                <c:pt idx="104">
                  <c:v>104.0</c:v>
                </c:pt>
                <c:pt idx="105">
                  <c:v>105.0</c:v>
                </c:pt>
                <c:pt idx="106">
                  <c:v>106.0</c:v>
                </c:pt>
                <c:pt idx="107">
                  <c:v>107.0</c:v>
                </c:pt>
                <c:pt idx="108">
                  <c:v>108.0</c:v>
                </c:pt>
                <c:pt idx="109">
                  <c:v>109.0</c:v>
                </c:pt>
                <c:pt idx="110">
                  <c:v>110.0</c:v>
                </c:pt>
                <c:pt idx="111">
                  <c:v>111.0</c:v>
                </c:pt>
                <c:pt idx="112">
                  <c:v>112.0</c:v>
                </c:pt>
                <c:pt idx="113">
                  <c:v>113.0</c:v>
                </c:pt>
                <c:pt idx="114">
                  <c:v>114.0</c:v>
                </c:pt>
                <c:pt idx="115">
                  <c:v>115.0</c:v>
                </c:pt>
                <c:pt idx="116">
                  <c:v>116.0</c:v>
                </c:pt>
                <c:pt idx="117">
                  <c:v>117.0</c:v>
                </c:pt>
                <c:pt idx="118">
                  <c:v>118.0</c:v>
                </c:pt>
                <c:pt idx="119">
                  <c:v>119.0</c:v>
                </c:pt>
                <c:pt idx="120">
                  <c:v>120.0</c:v>
                </c:pt>
                <c:pt idx="121">
                  <c:v>121.0</c:v>
                </c:pt>
                <c:pt idx="122">
                  <c:v>122.0</c:v>
                </c:pt>
                <c:pt idx="123">
                  <c:v>123.0</c:v>
                </c:pt>
                <c:pt idx="124">
                  <c:v>124.0</c:v>
                </c:pt>
                <c:pt idx="125">
                  <c:v>125.0</c:v>
                </c:pt>
                <c:pt idx="126">
                  <c:v>126.0</c:v>
                </c:pt>
                <c:pt idx="127">
                  <c:v>127.0</c:v>
                </c:pt>
                <c:pt idx="128">
                  <c:v>128.0</c:v>
                </c:pt>
                <c:pt idx="129">
                  <c:v>129.0</c:v>
                </c:pt>
                <c:pt idx="130">
                  <c:v>130.0</c:v>
                </c:pt>
                <c:pt idx="131">
                  <c:v>131.0</c:v>
                </c:pt>
                <c:pt idx="132">
                  <c:v>132.0</c:v>
                </c:pt>
                <c:pt idx="133">
                  <c:v>133.0</c:v>
                </c:pt>
                <c:pt idx="134">
                  <c:v>134.0</c:v>
                </c:pt>
                <c:pt idx="135">
                  <c:v>135.0</c:v>
                </c:pt>
                <c:pt idx="136">
                  <c:v>136.0</c:v>
                </c:pt>
                <c:pt idx="137">
                  <c:v>137.0</c:v>
                </c:pt>
                <c:pt idx="138">
                  <c:v>138.0</c:v>
                </c:pt>
                <c:pt idx="139">
                  <c:v>139.0</c:v>
                </c:pt>
                <c:pt idx="140">
                  <c:v>140.0</c:v>
                </c:pt>
                <c:pt idx="141">
                  <c:v>141.0</c:v>
                </c:pt>
                <c:pt idx="142">
                  <c:v>142.0</c:v>
                </c:pt>
                <c:pt idx="143">
                  <c:v>143.0</c:v>
                </c:pt>
                <c:pt idx="144">
                  <c:v>144.0</c:v>
                </c:pt>
                <c:pt idx="145">
                  <c:v>145.0</c:v>
                </c:pt>
                <c:pt idx="146">
                  <c:v>146.0</c:v>
                </c:pt>
                <c:pt idx="147">
                  <c:v>147.0</c:v>
                </c:pt>
                <c:pt idx="148">
                  <c:v>148.0</c:v>
                </c:pt>
                <c:pt idx="149">
                  <c:v>149.0</c:v>
                </c:pt>
                <c:pt idx="150">
                  <c:v>150.0</c:v>
                </c:pt>
                <c:pt idx="151">
                  <c:v>151.0</c:v>
                </c:pt>
                <c:pt idx="152">
                  <c:v>152.0</c:v>
                </c:pt>
                <c:pt idx="153">
                  <c:v>153.0</c:v>
                </c:pt>
                <c:pt idx="154">
                  <c:v>154.0</c:v>
                </c:pt>
                <c:pt idx="155">
                  <c:v>155.0</c:v>
                </c:pt>
                <c:pt idx="156">
                  <c:v>156.0</c:v>
                </c:pt>
                <c:pt idx="157">
                  <c:v>157.0</c:v>
                </c:pt>
                <c:pt idx="158">
                  <c:v>158.0</c:v>
                </c:pt>
                <c:pt idx="159">
                  <c:v>159.0</c:v>
                </c:pt>
                <c:pt idx="160">
                  <c:v>160.0</c:v>
                </c:pt>
                <c:pt idx="161">
                  <c:v>161.0</c:v>
                </c:pt>
                <c:pt idx="162">
                  <c:v>162.0</c:v>
                </c:pt>
                <c:pt idx="163">
                  <c:v>163.0</c:v>
                </c:pt>
                <c:pt idx="164">
                  <c:v>164.0</c:v>
                </c:pt>
                <c:pt idx="165">
                  <c:v>165.0</c:v>
                </c:pt>
                <c:pt idx="166">
                  <c:v>166.0</c:v>
                </c:pt>
                <c:pt idx="167">
                  <c:v>167.0</c:v>
                </c:pt>
                <c:pt idx="168">
                  <c:v>168.0</c:v>
                </c:pt>
                <c:pt idx="169">
                  <c:v>169.0</c:v>
                </c:pt>
                <c:pt idx="170">
                  <c:v>170.0</c:v>
                </c:pt>
                <c:pt idx="171">
                  <c:v>171.0</c:v>
                </c:pt>
                <c:pt idx="172">
                  <c:v>172.0</c:v>
                </c:pt>
                <c:pt idx="173">
                  <c:v>173.0</c:v>
                </c:pt>
                <c:pt idx="174">
                  <c:v>174.0</c:v>
                </c:pt>
                <c:pt idx="175">
                  <c:v>175.0</c:v>
                </c:pt>
                <c:pt idx="176">
                  <c:v>176.0</c:v>
                </c:pt>
                <c:pt idx="177">
                  <c:v>177.0</c:v>
                </c:pt>
                <c:pt idx="178">
                  <c:v>178.0</c:v>
                </c:pt>
                <c:pt idx="179">
                  <c:v>179.0</c:v>
                </c:pt>
                <c:pt idx="180">
                  <c:v>180.0</c:v>
                </c:pt>
              </c:numCache>
            </c:numRef>
          </c:xVal>
          <c:yVal>
            <c:numRef>
              <c:f>'all charts'!$BG$3:$BG$183</c:f>
              <c:numCache>
                <c:formatCode>General</c:formatCode>
                <c:ptCount val="181"/>
                <c:pt idx="0">
                  <c:v>1900.0</c:v>
                </c:pt>
                <c:pt idx="1">
                  <c:v>880.0</c:v>
                </c:pt>
                <c:pt idx="5">
                  <c:v>860.0</c:v>
                </c:pt>
                <c:pt idx="9">
                  <c:v>1047.0</c:v>
                </c:pt>
                <c:pt idx="14">
                  <c:v>1033.0</c:v>
                </c:pt>
                <c:pt idx="22">
                  <c:v>990.0</c:v>
                </c:pt>
                <c:pt idx="34">
                  <c:v>1537.0</c:v>
                </c:pt>
                <c:pt idx="50">
                  <c:v>1333.0</c:v>
                </c:pt>
                <c:pt idx="70">
                  <c:v>1093.0</c:v>
                </c:pt>
                <c:pt idx="130">
                  <c:v>980.0</c:v>
                </c:pt>
                <c:pt idx="180">
                  <c:v>1167.0</c:v>
                </c:pt>
              </c:numCache>
            </c:numRef>
          </c:yVal>
        </c:ser>
        <c:ser>
          <c:idx val="1"/>
          <c:order val="1"/>
          <c:tx>
            <c:strRef>
              <c:f>'all charts'!$U$2</c:f>
              <c:strCache>
                <c:ptCount val="1"/>
                <c:pt idx="0">
                  <c:v>Liquid  Total Phosphorous as P</c:v>
                </c:pt>
              </c:strCache>
            </c:strRef>
          </c:tx>
          <c:spPr>
            <a:ln w="38100">
              <a:solidFill>
                <a:srgbClr val="000000"/>
              </a:solidFill>
              <a:prstDash val="sysDash"/>
            </a:ln>
          </c:spPr>
          <c:marker>
            <c:symbol val="none"/>
          </c:marker>
          <c:xVal>
            <c:numRef>
              <c:f>'all charts'!$A$3:$A$183</c:f>
              <c:numCache>
                <c:formatCode>General</c:formatCode>
                <c:ptCount val="181"/>
                <c:pt idx="0">
                  <c:v>0.0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pt idx="28">
                  <c:v>28.0</c:v>
                </c:pt>
                <c:pt idx="29">
                  <c:v>29.0</c:v>
                </c:pt>
                <c:pt idx="30">
                  <c:v>30.0</c:v>
                </c:pt>
                <c:pt idx="31">
                  <c:v>31.0</c:v>
                </c:pt>
                <c:pt idx="32">
                  <c:v>32.0</c:v>
                </c:pt>
                <c:pt idx="33">
                  <c:v>33.0</c:v>
                </c:pt>
                <c:pt idx="34">
                  <c:v>34.0</c:v>
                </c:pt>
                <c:pt idx="35">
                  <c:v>35.0</c:v>
                </c:pt>
                <c:pt idx="36">
                  <c:v>36.0</c:v>
                </c:pt>
                <c:pt idx="37">
                  <c:v>37.0</c:v>
                </c:pt>
                <c:pt idx="38">
                  <c:v>38.0</c:v>
                </c:pt>
                <c:pt idx="39">
                  <c:v>39.0</c:v>
                </c:pt>
                <c:pt idx="40">
                  <c:v>40.0</c:v>
                </c:pt>
                <c:pt idx="41">
                  <c:v>41.0</c:v>
                </c:pt>
                <c:pt idx="42">
                  <c:v>42.0</c:v>
                </c:pt>
                <c:pt idx="43">
                  <c:v>43.0</c:v>
                </c:pt>
                <c:pt idx="44">
                  <c:v>44.0</c:v>
                </c:pt>
                <c:pt idx="45">
                  <c:v>45.0</c:v>
                </c:pt>
                <c:pt idx="46">
                  <c:v>46.0</c:v>
                </c:pt>
                <c:pt idx="47">
                  <c:v>47.0</c:v>
                </c:pt>
                <c:pt idx="48">
                  <c:v>48.0</c:v>
                </c:pt>
                <c:pt idx="49">
                  <c:v>49.0</c:v>
                </c:pt>
                <c:pt idx="50">
                  <c:v>50.0</c:v>
                </c:pt>
                <c:pt idx="51">
                  <c:v>51.0</c:v>
                </c:pt>
                <c:pt idx="52">
                  <c:v>52.0</c:v>
                </c:pt>
                <c:pt idx="53">
                  <c:v>53.0</c:v>
                </c:pt>
                <c:pt idx="54">
                  <c:v>54.0</c:v>
                </c:pt>
                <c:pt idx="55">
                  <c:v>55.0</c:v>
                </c:pt>
                <c:pt idx="56">
                  <c:v>56.0</c:v>
                </c:pt>
                <c:pt idx="57">
                  <c:v>57.0</c:v>
                </c:pt>
                <c:pt idx="58">
                  <c:v>58.0</c:v>
                </c:pt>
                <c:pt idx="59">
                  <c:v>59.0</c:v>
                </c:pt>
                <c:pt idx="60">
                  <c:v>60.0</c:v>
                </c:pt>
                <c:pt idx="61">
                  <c:v>61.0</c:v>
                </c:pt>
                <c:pt idx="62">
                  <c:v>62.0</c:v>
                </c:pt>
                <c:pt idx="63">
                  <c:v>63.0</c:v>
                </c:pt>
                <c:pt idx="64">
                  <c:v>64.0</c:v>
                </c:pt>
                <c:pt idx="65">
                  <c:v>65.0</c:v>
                </c:pt>
                <c:pt idx="66">
                  <c:v>66.0</c:v>
                </c:pt>
                <c:pt idx="67">
                  <c:v>67.0</c:v>
                </c:pt>
                <c:pt idx="68">
                  <c:v>68.0</c:v>
                </c:pt>
                <c:pt idx="69">
                  <c:v>69.0</c:v>
                </c:pt>
                <c:pt idx="70">
                  <c:v>70.0</c:v>
                </c:pt>
                <c:pt idx="71">
                  <c:v>71.0</c:v>
                </c:pt>
                <c:pt idx="72">
                  <c:v>72.0</c:v>
                </c:pt>
                <c:pt idx="73">
                  <c:v>73.0</c:v>
                </c:pt>
                <c:pt idx="74">
                  <c:v>74.0</c:v>
                </c:pt>
                <c:pt idx="75">
                  <c:v>75.0</c:v>
                </c:pt>
                <c:pt idx="76">
                  <c:v>76.0</c:v>
                </c:pt>
                <c:pt idx="77">
                  <c:v>77.0</c:v>
                </c:pt>
                <c:pt idx="78">
                  <c:v>78.0</c:v>
                </c:pt>
                <c:pt idx="79">
                  <c:v>79.0</c:v>
                </c:pt>
                <c:pt idx="80">
                  <c:v>80.0</c:v>
                </c:pt>
                <c:pt idx="81">
                  <c:v>81.0</c:v>
                </c:pt>
                <c:pt idx="82">
                  <c:v>82.0</c:v>
                </c:pt>
                <c:pt idx="83">
                  <c:v>83.0</c:v>
                </c:pt>
                <c:pt idx="84">
                  <c:v>84.0</c:v>
                </c:pt>
                <c:pt idx="85">
                  <c:v>85.0</c:v>
                </c:pt>
                <c:pt idx="86">
                  <c:v>86.0</c:v>
                </c:pt>
                <c:pt idx="87">
                  <c:v>87.0</c:v>
                </c:pt>
                <c:pt idx="88">
                  <c:v>88.0</c:v>
                </c:pt>
                <c:pt idx="89">
                  <c:v>89.0</c:v>
                </c:pt>
                <c:pt idx="90">
                  <c:v>90.0</c:v>
                </c:pt>
                <c:pt idx="91">
                  <c:v>91.0</c:v>
                </c:pt>
                <c:pt idx="92">
                  <c:v>92.0</c:v>
                </c:pt>
                <c:pt idx="93">
                  <c:v>93.0</c:v>
                </c:pt>
                <c:pt idx="94">
                  <c:v>94.0</c:v>
                </c:pt>
                <c:pt idx="95">
                  <c:v>95.0</c:v>
                </c:pt>
                <c:pt idx="96">
                  <c:v>96.0</c:v>
                </c:pt>
                <c:pt idx="97">
                  <c:v>97.0</c:v>
                </c:pt>
                <c:pt idx="98">
                  <c:v>98.0</c:v>
                </c:pt>
                <c:pt idx="99">
                  <c:v>99.0</c:v>
                </c:pt>
                <c:pt idx="100">
                  <c:v>100.0</c:v>
                </c:pt>
                <c:pt idx="101">
                  <c:v>101.0</c:v>
                </c:pt>
                <c:pt idx="102">
                  <c:v>102.0</c:v>
                </c:pt>
                <c:pt idx="103">
                  <c:v>103.0</c:v>
                </c:pt>
                <c:pt idx="104">
                  <c:v>104.0</c:v>
                </c:pt>
                <c:pt idx="105">
                  <c:v>105.0</c:v>
                </c:pt>
                <c:pt idx="106">
                  <c:v>106.0</c:v>
                </c:pt>
                <c:pt idx="107">
                  <c:v>107.0</c:v>
                </c:pt>
                <c:pt idx="108">
                  <c:v>108.0</c:v>
                </c:pt>
                <c:pt idx="109">
                  <c:v>109.0</c:v>
                </c:pt>
                <c:pt idx="110">
                  <c:v>110.0</c:v>
                </c:pt>
                <c:pt idx="111">
                  <c:v>111.0</c:v>
                </c:pt>
                <c:pt idx="112">
                  <c:v>112.0</c:v>
                </c:pt>
                <c:pt idx="113">
                  <c:v>113.0</c:v>
                </c:pt>
                <c:pt idx="114">
                  <c:v>114.0</c:v>
                </c:pt>
                <c:pt idx="115">
                  <c:v>115.0</c:v>
                </c:pt>
                <c:pt idx="116">
                  <c:v>116.0</c:v>
                </c:pt>
                <c:pt idx="117">
                  <c:v>117.0</c:v>
                </c:pt>
                <c:pt idx="118">
                  <c:v>118.0</c:v>
                </c:pt>
                <c:pt idx="119">
                  <c:v>119.0</c:v>
                </c:pt>
                <c:pt idx="120">
                  <c:v>120.0</c:v>
                </c:pt>
                <c:pt idx="121">
                  <c:v>121.0</c:v>
                </c:pt>
                <c:pt idx="122">
                  <c:v>122.0</c:v>
                </c:pt>
                <c:pt idx="123">
                  <c:v>123.0</c:v>
                </c:pt>
                <c:pt idx="124">
                  <c:v>124.0</c:v>
                </c:pt>
                <c:pt idx="125">
                  <c:v>125.0</c:v>
                </c:pt>
                <c:pt idx="126">
                  <c:v>126.0</c:v>
                </c:pt>
                <c:pt idx="127">
                  <c:v>127.0</c:v>
                </c:pt>
                <c:pt idx="128">
                  <c:v>128.0</c:v>
                </c:pt>
                <c:pt idx="129">
                  <c:v>129.0</c:v>
                </c:pt>
                <c:pt idx="130">
                  <c:v>130.0</c:v>
                </c:pt>
                <c:pt idx="131">
                  <c:v>131.0</c:v>
                </c:pt>
                <c:pt idx="132">
                  <c:v>132.0</c:v>
                </c:pt>
                <c:pt idx="133">
                  <c:v>133.0</c:v>
                </c:pt>
                <c:pt idx="134">
                  <c:v>134.0</c:v>
                </c:pt>
                <c:pt idx="135">
                  <c:v>135.0</c:v>
                </c:pt>
                <c:pt idx="136">
                  <c:v>136.0</c:v>
                </c:pt>
                <c:pt idx="137">
                  <c:v>137.0</c:v>
                </c:pt>
                <c:pt idx="138">
                  <c:v>138.0</c:v>
                </c:pt>
                <c:pt idx="139">
                  <c:v>139.0</c:v>
                </c:pt>
                <c:pt idx="140">
                  <c:v>140.0</c:v>
                </c:pt>
                <c:pt idx="141">
                  <c:v>141.0</c:v>
                </c:pt>
                <c:pt idx="142">
                  <c:v>142.0</c:v>
                </c:pt>
                <c:pt idx="143">
                  <c:v>143.0</c:v>
                </c:pt>
                <c:pt idx="144">
                  <c:v>144.0</c:v>
                </c:pt>
                <c:pt idx="145">
                  <c:v>145.0</c:v>
                </c:pt>
                <c:pt idx="146">
                  <c:v>146.0</c:v>
                </c:pt>
                <c:pt idx="147">
                  <c:v>147.0</c:v>
                </c:pt>
                <c:pt idx="148">
                  <c:v>148.0</c:v>
                </c:pt>
                <c:pt idx="149">
                  <c:v>149.0</c:v>
                </c:pt>
                <c:pt idx="150">
                  <c:v>150.0</c:v>
                </c:pt>
                <c:pt idx="151">
                  <c:v>151.0</c:v>
                </c:pt>
                <c:pt idx="152">
                  <c:v>152.0</c:v>
                </c:pt>
                <c:pt idx="153">
                  <c:v>153.0</c:v>
                </c:pt>
                <c:pt idx="154">
                  <c:v>154.0</c:v>
                </c:pt>
                <c:pt idx="155">
                  <c:v>155.0</c:v>
                </c:pt>
                <c:pt idx="156">
                  <c:v>156.0</c:v>
                </c:pt>
                <c:pt idx="157">
                  <c:v>157.0</c:v>
                </c:pt>
                <c:pt idx="158">
                  <c:v>158.0</c:v>
                </c:pt>
                <c:pt idx="159">
                  <c:v>159.0</c:v>
                </c:pt>
                <c:pt idx="160">
                  <c:v>160.0</c:v>
                </c:pt>
                <c:pt idx="161">
                  <c:v>161.0</c:v>
                </c:pt>
                <c:pt idx="162">
                  <c:v>162.0</c:v>
                </c:pt>
                <c:pt idx="163">
                  <c:v>163.0</c:v>
                </c:pt>
                <c:pt idx="164">
                  <c:v>164.0</c:v>
                </c:pt>
                <c:pt idx="165">
                  <c:v>165.0</c:v>
                </c:pt>
                <c:pt idx="166">
                  <c:v>166.0</c:v>
                </c:pt>
                <c:pt idx="167">
                  <c:v>167.0</c:v>
                </c:pt>
                <c:pt idx="168">
                  <c:v>168.0</c:v>
                </c:pt>
                <c:pt idx="169">
                  <c:v>169.0</c:v>
                </c:pt>
                <c:pt idx="170">
                  <c:v>170.0</c:v>
                </c:pt>
                <c:pt idx="171">
                  <c:v>171.0</c:v>
                </c:pt>
                <c:pt idx="172">
                  <c:v>172.0</c:v>
                </c:pt>
                <c:pt idx="173">
                  <c:v>173.0</c:v>
                </c:pt>
                <c:pt idx="174">
                  <c:v>174.0</c:v>
                </c:pt>
                <c:pt idx="175">
                  <c:v>175.0</c:v>
                </c:pt>
                <c:pt idx="176">
                  <c:v>176.0</c:v>
                </c:pt>
                <c:pt idx="177">
                  <c:v>177.0</c:v>
                </c:pt>
                <c:pt idx="178">
                  <c:v>178.0</c:v>
                </c:pt>
                <c:pt idx="179">
                  <c:v>179.0</c:v>
                </c:pt>
                <c:pt idx="180">
                  <c:v>180.0</c:v>
                </c:pt>
              </c:numCache>
            </c:numRef>
          </c:xVal>
          <c:yVal>
            <c:numRef>
              <c:f>'all charts'!$U$3:$U$183</c:f>
              <c:numCache>
                <c:formatCode>0</c:formatCode>
                <c:ptCount val="181"/>
                <c:pt idx="0" formatCode="0.0">
                  <c:v>125.71428672</c:v>
                </c:pt>
                <c:pt idx="1">
                  <c:v>1057.1428656</c:v>
                </c:pt>
                <c:pt idx="5">
                  <c:v>1076.190484799999</c:v>
                </c:pt>
                <c:pt idx="9">
                  <c:v>1047.619056</c:v>
                </c:pt>
                <c:pt idx="14">
                  <c:v>961.9047696</c:v>
                </c:pt>
                <c:pt idx="22">
                  <c:v>961.9047696</c:v>
                </c:pt>
                <c:pt idx="34">
                  <c:v>1114.2857232</c:v>
                </c:pt>
                <c:pt idx="50">
                  <c:v>1133.333342399999</c:v>
                </c:pt>
                <c:pt idx="70">
                  <c:v>952.3809600000001</c:v>
                </c:pt>
                <c:pt idx="130">
                  <c:v>1161.9047712</c:v>
                </c:pt>
                <c:pt idx="180">
                  <c:v>1171.428580800001</c:v>
                </c:pt>
              </c:numCache>
            </c:numRef>
          </c:yVal>
        </c:ser>
        <c:axId val="501050792"/>
        <c:axId val="501057480"/>
      </c:scatterChart>
      <c:valAx>
        <c:axId val="501050792"/>
        <c:scaling>
          <c:orientation val="minMax"/>
          <c:max val="180.0"/>
        </c:scaling>
        <c:axPos val="b"/>
        <c:majorGridlines>
          <c:spPr>
            <a:ln w="3175">
              <a:solidFill>
                <a:srgbClr val="000000"/>
              </a:solidFill>
              <a:prstDash val="solid"/>
            </a:ln>
          </c:spPr>
        </c:majorGridlines>
        <c:title>
          <c:tx>
            <c:rich>
              <a:bodyPr/>
              <a:lstStyle/>
              <a:p>
                <a:pPr>
                  <a:defRPr sz="1000" b="0" i="0" u="none" strike="noStrike" baseline="0">
                    <a:solidFill>
                      <a:srgbClr val="000000"/>
                    </a:solidFill>
                    <a:latin typeface="Arial"/>
                    <a:ea typeface="Arial"/>
                    <a:cs typeface="Arial"/>
                  </a:defRPr>
                </a:pPr>
                <a:r>
                  <a:rPr lang="en-US" sz="1000" b="0" i="0"/>
                  <a:t>Days Immersed</a:t>
                </a:r>
              </a:p>
            </c:rich>
          </c:tx>
          <c:layout>
            <c:manualLayout>
              <c:xMode val="edge"/>
              <c:yMode val="edge"/>
              <c:x val="0.484474317598013"/>
              <c:y val="0.771415842701404"/>
            </c:manualLayout>
          </c:layout>
          <c:spPr>
            <a:noFill/>
            <a:ln w="25400">
              <a:noFill/>
            </a:ln>
          </c:spPr>
        </c:title>
        <c:numFmt formatCode="General" sourceLinked="1"/>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501057480"/>
        <c:crossesAt val="-10.0"/>
        <c:crossBetween val="midCat"/>
        <c:majorUnit val="20.0"/>
        <c:minorUnit val="2.0"/>
      </c:valAx>
      <c:valAx>
        <c:axId val="501057480"/>
        <c:scaling>
          <c:orientation val="minMax"/>
        </c:scaling>
        <c:axPos val="l"/>
        <c:majorGridlines>
          <c:spPr>
            <a:ln w="3175">
              <a:solidFill>
                <a:srgbClr val="000000"/>
              </a:solidFill>
              <a:prstDash val="solid"/>
            </a:ln>
          </c:spPr>
        </c:majorGridlines>
        <c:title>
          <c:tx>
            <c:rich>
              <a:bodyPr/>
              <a:lstStyle/>
              <a:p>
                <a:pPr>
                  <a:defRPr sz="1000" b="0" i="0" u="none" strike="noStrike" baseline="0">
                    <a:solidFill>
                      <a:srgbClr val="000000"/>
                    </a:solidFill>
                    <a:latin typeface="Arial"/>
                    <a:ea typeface="Arial"/>
                    <a:cs typeface="Arial"/>
                  </a:defRPr>
                </a:pPr>
                <a:r>
                  <a:rPr lang="en-US" sz="1000" b="0" i="0"/>
                  <a:t>mg/kg Total Phosphorous</a:t>
                </a:r>
              </a:p>
            </c:rich>
          </c:tx>
          <c:layout>
            <c:manualLayout>
              <c:xMode val="edge"/>
              <c:yMode val="edge"/>
              <c:x val="0.069240741820142"/>
              <c:y val="0.118517932327136"/>
            </c:manualLayout>
          </c:layout>
          <c:spPr>
            <a:noFill/>
            <a:ln w="25400">
              <a:noFill/>
            </a:ln>
          </c:spPr>
        </c:title>
        <c:numFmt formatCode="General" sourceLinked="1"/>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501050792"/>
        <c:crosses val="autoZero"/>
        <c:crossBetween val="midCat"/>
        <c:minorUnit val="500.0"/>
      </c:valAx>
      <c:spPr>
        <a:noFill/>
        <a:ln w="25400">
          <a:noFill/>
        </a:ln>
      </c:spPr>
    </c:plotArea>
    <c:legend>
      <c:legendPos val="r"/>
      <c:layout>
        <c:manualLayout>
          <c:xMode val="edge"/>
          <c:yMode val="edge"/>
          <c:x val="0.402684123885666"/>
          <c:y val="0.463234670435283"/>
          <c:w val="0.494406618770734"/>
          <c:h val="0.158088022450136"/>
        </c:manualLayout>
      </c:layout>
      <c:spPr>
        <a:solidFill>
          <a:srgbClr val="FFFFFF"/>
        </a:solidFill>
        <a:ln w="3175">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en-US"/>
        </a:p>
      </c:txPr>
    </c:legend>
    <c:plotVisOnly val="1"/>
    <c:dispBlanksAs val="span"/>
  </c:chart>
  <c:spPr>
    <a:solidFill>
      <a:srgbClr val="FFFFFF"/>
    </a:solidFill>
    <a:ln w="9525">
      <a:solidFill>
        <a:schemeClr val="bg1">
          <a:lumMod val="50000"/>
        </a:schemeClr>
      </a:solidFill>
    </a:ln>
  </c:spPr>
  <c:txPr>
    <a:bodyPr/>
    <a:lstStyle/>
    <a:p>
      <a:pPr>
        <a:defRPr sz="800" b="0" i="0" u="none" strike="noStrike" baseline="0">
          <a:solidFill>
            <a:srgbClr val="000000"/>
          </a:solidFill>
          <a:latin typeface="Arial"/>
          <a:ea typeface="Arial"/>
          <a:cs typeface="Arial"/>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style val="18"/>
  <c:chart>
    <c:plotArea>
      <c:layout>
        <c:manualLayout>
          <c:layoutTarget val="inner"/>
          <c:xMode val="edge"/>
          <c:yMode val="edge"/>
          <c:x val="0.131541762320582"/>
          <c:y val="0.0509259259259259"/>
          <c:w val="0.622268446008282"/>
          <c:h val="0.688537839020122"/>
        </c:manualLayout>
      </c:layout>
      <c:barChart>
        <c:barDir val="col"/>
        <c:grouping val="clustered"/>
        <c:ser>
          <c:idx val="0"/>
          <c:order val="0"/>
          <c:tx>
            <c:strRef>
              <c:f>'Green to Dry'!$A$3</c:f>
              <c:strCache>
                <c:ptCount val="1"/>
                <c:pt idx="0">
                  <c:v>TN Fresh Cut (mg/kg)</c:v>
                </c:pt>
              </c:strCache>
            </c:strRef>
          </c:tx>
          <c:spPr>
            <a:solidFill>
              <a:schemeClr val="accent3"/>
            </a:solidFill>
          </c:spPr>
          <c:dLbls>
            <c:delete val="1"/>
          </c:dLbls>
          <c:cat>
            <c:strRef>
              <c:f>'Green to Dry'!$B$2:$E$2</c:f>
              <c:strCache>
                <c:ptCount val="4"/>
                <c:pt idx="0">
                  <c:v>Bahaia No Fertilizer</c:v>
                </c:pt>
                <c:pt idx="1">
                  <c:v>Bahia w/ Fertilizer</c:v>
                </c:pt>
                <c:pt idx="2">
                  <c:v>St Augustine No Fertilizer</c:v>
                </c:pt>
                <c:pt idx="3">
                  <c:v>St Augustine w/ Fertilizer</c:v>
                </c:pt>
              </c:strCache>
            </c:strRef>
          </c:cat>
          <c:val>
            <c:numRef>
              <c:f>'Green to Dry'!$B$3:$E$3</c:f>
              <c:numCache>
                <c:formatCode>#,##0</c:formatCode>
                <c:ptCount val="4"/>
                <c:pt idx="0">
                  <c:v>12000.0</c:v>
                </c:pt>
                <c:pt idx="1">
                  <c:v>24000.0</c:v>
                </c:pt>
                <c:pt idx="2">
                  <c:v>15000.0</c:v>
                </c:pt>
                <c:pt idx="3">
                  <c:v>22000.0</c:v>
                </c:pt>
              </c:numCache>
            </c:numRef>
          </c:val>
        </c:ser>
        <c:ser>
          <c:idx val="1"/>
          <c:order val="1"/>
          <c:tx>
            <c:strRef>
              <c:f>'Green to Dry'!$A$5</c:f>
              <c:strCache>
                <c:ptCount val="1"/>
                <c:pt idx="0">
                  <c:v>TN Air Dried (mg/kg)</c:v>
                </c:pt>
              </c:strCache>
            </c:strRef>
          </c:tx>
          <c:spPr>
            <a:solidFill>
              <a:srgbClr val="ECCF12"/>
            </a:solidFill>
          </c:spPr>
          <c:dLbls>
            <c:dLbl>
              <c:idx val="0"/>
              <c:layout>
                <c:manualLayout>
                  <c:x val="0.0108991825613079"/>
                  <c:y val="0.0"/>
                </c:manualLayout>
              </c:layout>
              <c:tx>
                <c:rich>
                  <a:bodyPr/>
                  <a:lstStyle/>
                  <a:p>
                    <a:r>
                      <a:rPr lang="en-US"/>
                      <a:t>96%</a:t>
                    </a:r>
                  </a:p>
                </c:rich>
              </c:tx>
              <c:showCatName val="1"/>
            </c:dLbl>
            <c:dLbl>
              <c:idx val="1"/>
              <c:layout>
                <c:manualLayout>
                  <c:x val="0.00817438692098093"/>
                  <c:y val="0.0185185185185185"/>
                </c:manualLayout>
              </c:layout>
              <c:tx>
                <c:rich>
                  <a:bodyPr/>
                  <a:lstStyle/>
                  <a:p>
                    <a:r>
                      <a:rPr lang="en-US"/>
                      <a:t>58%</a:t>
                    </a:r>
                  </a:p>
                </c:rich>
              </c:tx>
              <c:showCatName val="1"/>
            </c:dLbl>
            <c:dLbl>
              <c:idx val="2"/>
              <c:layout>
                <c:manualLayout>
                  <c:x val="0.00817438692098093"/>
                  <c:y val="-8.4875562720134E-17"/>
                </c:manualLayout>
              </c:layout>
              <c:tx>
                <c:rich>
                  <a:bodyPr/>
                  <a:lstStyle/>
                  <a:p>
                    <a:r>
                      <a:rPr lang="en-US"/>
                      <a:t>85%</a:t>
                    </a:r>
                  </a:p>
                </c:rich>
              </c:tx>
              <c:showCatName val="1"/>
            </c:dLbl>
            <c:dLbl>
              <c:idx val="3"/>
              <c:layout>
                <c:manualLayout>
                  <c:x val="0.0108991825613078"/>
                  <c:y val="0.0"/>
                </c:manualLayout>
              </c:layout>
              <c:tx>
                <c:rich>
                  <a:bodyPr/>
                  <a:lstStyle/>
                  <a:p>
                    <a:r>
                      <a:rPr lang="en-US"/>
                      <a:t>82%</a:t>
                    </a:r>
                  </a:p>
                </c:rich>
              </c:tx>
              <c:showCatName val="1"/>
            </c:dLbl>
            <c:showCatName val="1"/>
          </c:dLbls>
          <c:cat>
            <c:strRef>
              <c:f>'Green to Dry'!$B$2:$E$2</c:f>
              <c:strCache>
                <c:ptCount val="4"/>
                <c:pt idx="0">
                  <c:v>Bahaia No Fertilizer</c:v>
                </c:pt>
                <c:pt idx="1">
                  <c:v>Bahia w/ Fertilizer</c:v>
                </c:pt>
                <c:pt idx="2">
                  <c:v>St Augustine No Fertilizer</c:v>
                </c:pt>
                <c:pt idx="3">
                  <c:v>St Augustine w/ Fertilizer</c:v>
                </c:pt>
              </c:strCache>
            </c:strRef>
          </c:cat>
          <c:val>
            <c:numRef>
              <c:f>'Green to Dry'!$B$5:$E$5</c:f>
              <c:numCache>
                <c:formatCode>#,##0</c:formatCode>
                <c:ptCount val="4"/>
                <c:pt idx="0">
                  <c:v>490.0</c:v>
                </c:pt>
                <c:pt idx="1">
                  <c:v>10000.0</c:v>
                </c:pt>
                <c:pt idx="2">
                  <c:v>2300.0</c:v>
                </c:pt>
                <c:pt idx="3">
                  <c:v>3900.0</c:v>
                </c:pt>
              </c:numCache>
            </c:numRef>
          </c:val>
        </c:ser>
        <c:dLbls>
          <c:showCatName val="1"/>
        </c:dLbls>
        <c:axId val="501096792"/>
        <c:axId val="501100056"/>
      </c:barChart>
      <c:catAx>
        <c:axId val="501096792"/>
        <c:scaling>
          <c:orientation val="minMax"/>
        </c:scaling>
        <c:axPos val="b"/>
        <c:numFmt formatCode="General" sourceLinked="1"/>
        <c:minorTickMark val="out"/>
        <c:tickLblPos val="nextTo"/>
        <c:spPr>
          <a:ln w="3175">
            <a:solidFill>
              <a:srgbClr val="808080"/>
            </a:solidFill>
            <a:prstDash val="solid"/>
          </a:ln>
        </c:spPr>
        <c:crossAx val="501100056"/>
        <c:crosses val="autoZero"/>
        <c:auto val="1"/>
        <c:lblAlgn val="ctr"/>
        <c:lblOffset val="100"/>
      </c:catAx>
      <c:valAx>
        <c:axId val="501100056"/>
        <c:scaling>
          <c:orientation val="minMax"/>
        </c:scaling>
        <c:axPos val="l"/>
        <c:majorGridlines>
          <c:spPr>
            <a:ln w="3175">
              <a:solidFill>
                <a:srgbClr val="808080"/>
              </a:solidFill>
              <a:prstDash val="solid"/>
            </a:ln>
          </c:spPr>
        </c:majorGridlines>
        <c:numFmt formatCode="#,##0" sourceLinked="1"/>
        <c:tickLblPos val="nextTo"/>
        <c:spPr>
          <a:ln w="3175">
            <a:solidFill>
              <a:srgbClr val="808080"/>
            </a:solidFill>
            <a:prstDash val="solid"/>
          </a:ln>
        </c:spPr>
        <c:crossAx val="501096792"/>
        <c:crosses val="autoZero"/>
        <c:crossBetween val="between"/>
      </c:valAx>
      <c:spPr>
        <a:solidFill>
          <a:srgbClr val="FFFFFF"/>
        </a:solidFill>
        <a:ln w="25400">
          <a:noFill/>
        </a:ln>
      </c:spPr>
    </c:plotArea>
    <c:legend>
      <c:legendPos val="r"/>
      <c:layout>
        <c:manualLayout>
          <c:xMode val="edge"/>
          <c:yMode val="edge"/>
          <c:x val="0.774965350039692"/>
          <c:y val="0.184801326917469"/>
          <c:w val="0.182569539541253"/>
          <c:h val="0.264656605424321"/>
        </c:manualLayout>
      </c:layout>
      <c:spPr>
        <a:noFill/>
        <a:ln w="25400">
          <a:noFill/>
        </a:ln>
      </c:spPr>
    </c:legend>
    <c:plotVisOnly val="1"/>
    <c:dispBlanksAs val="gap"/>
  </c:chart>
  <c:spPr>
    <a:solidFill>
      <a:srgbClr val="FFFFFF"/>
    </a:solidFill>
    <a:ln w="3175">
      <a:solidFill>
        <a:srgbClr val="808080"/>
      </a:solidFill>
      <a:prstDash val="solid"/>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style val="18"/>
  <c:chart>
    <c:plotArea>
      <c:layout>
        <c:manualLayout>
          <c:layoutTarget val="inner"/>
          <c:xMode val="edge"/>
          <c:yMode val="edge"/>
          <c:x val="0.113018295867781"/>
          <c:y val="0.0479240844081375"/>
          <c:w val="0.630883355720266"/>
          <c:h val="0.759177873824153"/>
        </c:manualLayout>
      </c:layout>
      <c:barChart>
        <c:barDir val="col"/>
        <c:grouping val="clustered"/>
        <c:ser>
          <c:idx val="1"/>
          <c:order val="0"/>
          <c:tx>
            <c:strRef>
              <c:f>'Green to Dry'!$A$4</c:f>
              <c:strCache>
                <c:ptCount val="1"/>
                <c:pt idx="0">
                  <c:v>TP Fresh Cut (mg/kg)</c:v>
                </c:pt>
              </c:strCache>
            </c:strRef>
          </c:tx>
          <c:spPr>
            <a:solidFill>
              <a:schemeClr val="accent3"/>
            </a:solidFill>
          </c:spPr>
          <c:dLbls>
            <c:delete val="1"/>
          </c:dLbls>
          <c:cat>
            <c:strRef>
              <c:f>'Green to Dry'!$B$2:$E$2</c:f>
              <c:strCache>
                <c:ptCount val="4"/>
                <c:pt idx="0">
                  <c:v>Bahaia No Fertilizer</c:v>
                </c:pt>
                <c:pt idx="1">
                  <c:v>Bahia w/ Fertilizer</c:v>
                </c:pt>
                <c:pt idx="2">
                  <c:v>St Augustine No Fertilizer</c:v>
                </c:pt>
                <c:pt idx="3">
                  <c:v>St Augustine w/ Fertilizer</c:v>
                </c:pt>
              </c:strCache>
            </c:strRef>
          </c:cat>
          <c:val>
            <c:numRef>
              <c:f>'Green to Dry'!$B$4:$E$4</c:f>
              <c:numCache>
                <c:formatCode>#,##0</c:formatCode>
                <c:ptCount val="4"/>
                <c:pt idx="0">
                  <c:v>1900.0</c:v>
                </c:pt>
                <c:pt idx="1">
                  <c:v>2200.0</c:v>
                </c:pt>
                <c:pt idx="2">
                  <c:v>4700.0</c:v>
                </c:pt>
                <c:pt idx="3">
                  <c:v>3900.0</c:v>
                </c:pt>
              </c:numCache>
            </c:numRef>
          </c:val>
        </c:ser>
        <c:ser>
          <c:idx val="0"/>
          <c:order val="1"/>
          <c:tx>
            <c:strRef>
              <c:f>'Green to Dry'!$A$6</c:f>
              <c:strCache>
                <c:ptCount val="1"/>
                <c:pt idx="0">
                  <c:v>TP Air Dried (mg/kg)</c:v>
                </c:pt>
              </c:strCache>
            </c:strRef>
          </c:tx>
          <c:spPr>
            <a:solidFill>
              <a:srgbClr val="ECCF12"/>
            </a:solidFill>
          </c:spPr>
          <c:dLbls>
            <c:dLbl>
              <c:idx val="0"/>
              <c:layout>
                <c:manualLayout>
                  <c:x val="0.0130616509926855"/>
                  <c:y val="-8.4875562720134E-17"/>
                </c:manualLayout>
              </c:layout>
              <c:tx>
                <c:rich>
                  <a:bodyPr/>
                  <a:lstStyle/>
                  <a:p>
                    <a:r>
                      <a:rPr lang="en-US"/>
                      <a:t>49%</a:t>
                    </a:r>
                  </a:p>
                </c:rich>
              </c:tx>
              <c:showCatName val="1"/>
            </c:dLbl>
            <c:dLbl>
              <c:idx val="1"/>
              <c:layout>
                <c:manualLayout>
                  <c:x val="0.00522466039707424"/>
                  <c:y val="0.00925925925925927"/>
                </c:manualLayout>
              </c:layout>
              <c:tx>
                <c:rich>
                  <a:bodyPr/>
                  <a:lstStyle/>
                  <a:p>
                    <a:r>
                      <a:rPr lang="en-US"/>
                      <a:t>32%</a:t>
                    </a:r>
                  </a:p>
                </c:rich>
              </c:tx>
              <c:showCatName val="1"/>
            </c:dLbl>
            <c:dLbl>
              <c:idx val="2"/>
              <c:layout>
                <c:manualLayout>
                  <c:x val="0.00261233019853709"/>
                  <c:y val="-4.24377813600668E-17"/>
                </c:manualLayout>
              </c:layout>
              <c:tx>
                <c:rich>
                  <a:bodyPr/>
                  <a:lstStyle/>
                  <a:p>
                    <a:r>
                      <a:rPr lang="en-US"/>
                      <a:t>36%</a:t>
                    </a:r>
                  </a:p>
                </c:rich>
              </c:tx>
              <c:showCatName val="1"/>
            </c:dLbl>
            <c:dLbl>
              <c:idx val="3"/>
              <c:layout>
                <c:manualLayout>
                  <c:x val="0.00783699059561128"/>
                  <c:y val="-4.24377813600668E-17"/>
                </c:manualLayout>
              </c:layout>
              <c:tx>
                <c:rich>
                  <a:bodyPr/>
                  <a:lstStyle/>
                  <a:p>
                    <a:r>
                      <a:rPr lang="en-US"/>
                      <a:t>23%</a:t>
                    </a:r>
                  </a:p>
                </c:rich>
              </c:tx>
              <c:showCatName val="1"/>
            </c:dLbl>
            <c:showCatName val="1"/>
          </c:dLbls>
          <c:cat>
            <c:strRef>
              <c:f>'Green to Dry'!$B$2:$E$2</c:f>
              <c:strCache>
                <c:ptCount val="4"/>
                <c:pt idx="0">
                  <c:v>Bahaia No Fertilizer</c:v>
                </c:pt>
                <c:pt idx="1">
                  <c:v>Bahia w/ Fertilizer</c:v>
                </c:pt>
                <c:pt idx="2">
                  <c:v>St Augustine No Fertilizer</c:v>
                </c:pt>
                <c:pt idx="3">
                  <c:v>St Augustine w/ Fertilizer</c:v>
                </c:pt>
              </c:strCache>
            </c:strRef>
          </c:cat>
          <c:val>
            <c:numRef>
              <c:f>'Green to Dry'!$B$6:$E$6</c:f>
              <c:numCache>
                <c:formatCode>#,##0</c:formatCode>
                <c:ptCount val="4"/>
                <c:pt idx="0">
                  <c:v>970.0</c:v>
                </c:pt>
                <c:pt idx="1">
                  <c:v>1500.0</c:v>
                </c:pt>
                <c:pt idx="2">
                  <c:v>3000.0</c:v>
                </c:pt>
                <c:pt idx="3">
                  <c:v>3000.0</c:v>
                </c:pt>
              </c:numCache>
            </c:numRef>
          </c:val>
        </c:ser>
        <c:dLbls>
          <c:showCatName val="1"/>
        </c:dLbls>
        <c:axId val="501143656"/>
        <c:axId val="501146920"/>
      </c:barChart>
      <c:catAx>
        <c:axId val="501143656"/>
        <c:scaling>
          <c:orientation val="minMax"/>
        </c:scaling>
        <c:axPos val="b"/>
        <c:numFmt formatCode="General" sourceLinked="1"/>
        <c:tickLblPos val="nextTo"/>
        <c:spPr>
          <a:ln w="3175">
            <a:solidFill>
              <a:srgbClr val="808080"/>
            </a:solidFill>
            <a:prstDash val="solid"/>
          </a:ln>
        </c:spPr>
        <c:crossAx val="501146920"/>
        <c:crosses val="autoZero"/>
        <c:auto val="1"/>
        <c:lblAlgn val="ctr"/>
        <c:lblOffset val="100"/>
      </c:catAx>
      <c:valAx>
        <c:axId val="501146920"/>
        <c:scaling>
          <c:orientation val="minMax"/>
        </c:scaling>
        <c:axPos val="l"/>
        <c:majorGridlines>
          <c:spPr>
            <a:ln w="3175">
              <a:solidFill>
                <a:srgbClr val="808080"/>
              </a:solidFill>
              <a:prstDash val="solid"/>
            </a:ln>
          </c:spPr>
        </c:majorGridlines>
        <c:numFmt formatCode="#,##0" sourceLinked="1"/>
        <c:tickLblPos val="nextTo"/>
        <c:spPr>
          <a:ln w="3175">
            <a:solidFill>
              <a:srgbClr val="808080"/>
            </a:solidFill>
            <a:prstDash val="solid"/>
          </a:ln>
        </c:spPr>
        <c:crossAx val="501143656"/>
        <c:crosses val="autoZero"/>
        <c:crossBetween val="between"/>
      </c:valAx>
      <c:spPr>
        <a:solidFill>
          <a:srgbClr val="FFFFFF"/>
        </a:solidFill>
        <a:ln w="25400">
          <a:noFill/>
        </a:ln>
      </c:spPr>
    </c:plotArea>
    <c:legend>
      <c:legendPos val="r"/>
      <c:layout>
        <c:manualLayout>
          <c:xMode val="edge"/>
          <c:yMode val="edge"/>
          <c:x val="0.764417979516985"/>
          <c:y val="0.30599030472102"/>
          <c:w val="0.188448162729658"/>
          <c:h val="0.264656605424322"/>
        </c:manualLayout>
      </c:layout>
      <c:spPr>
        <a:noFill/>
        <a:ln w="25400">
          <a:noFill/>
        </a:ln>
      </c:spPr>
    </c:legend>
    <c:plotVisOnly val="1"/>
    <c:dispBlanksAs val="gap"/>
  </c:chart>
  <c:spPr>
    <a:solidFill>
      <a:srgbClr val="FFFFFF"/>
    </a:solidFill>
    <a:ln w="3175">
      <a:solidFill>
        <a:srgbClr val="808080"/>
      </a:solidFill>
      <a:prstDash val="solid"/>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669731-AB72-E842-BBCF-CD50FB9C1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6</Pages>
  <Words>1343</Words>
  <Characters>7656</Characters>
  <Application>Microsoft Macintosh Word</Application>
  <DocSecurity>0</DocSecurity>
  <Lines>63</Lines>
  <Paragraphs>15</Paragraphs>
  <ScaleCrop>false</ScaleCrop>
  <Company>Berryman &amp; Henigar</Company>
  <LinksUpToDate>false</LinksUpToDate>
  <CharactersWithSpaces>9402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February 8, 2001</dc:title>
  <dc:subject/>
  <dc:creator>Florida</dc:creator>
  <cp:keywords/>
  <dc:description/>
  <cp:lastModifiedBy>Gordon England</cp:lastModifiedBy>
  <cp:revision>19</cp:revision>
  <cp:lastPrinted>2008-10-15T13:51:00Z</cp:lastPrinted>
  <dcterms:created xsi:type="dcterms:W3CDTF">2009-01-13T21:29:00Z</dcterms:created>
  <dcterms:modified xsi:type="dcterms:W3CDTF">2009-01-17T22:25:00Z</dcterms:modified>
</cp:coreProperties>
</file>