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018" w:type="dxa"/>
        <w:tblLook w:val="0420" w:firstRow="1" w:lastRow="0" w:firstColumn="0" w:lastColumn="0" w:noHBand="0" w:noVBand="1"/>
      </w:tblPr>
      <w:tblGrid>
        <w:gridCol w:w="1117"/>
        <w:gridCol w:w="1000"/>
        <w:gridCol w:w="1827"/>
        <w:gridCol w:w="1377"/>
        <w:gridCol w:w="1911"/>
        <w:gridCol w:w="6786"/>
      </w:tblGrid>
      <w:tr w:rsidR="002C0452" w:rsidRPr="002C0452" w:rsidTr="00B85FF5">
        <w:trPr>
          <w:trHeight w:val="288"/>
          <w:tblHeader/>
        </w:trPr>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b/>
                <w:bCs/>
                <w:i/>
                <w:iCs/>
                <w:color w:val="000000"/>
              </w:rPr>
            </w:pPr>
            <w:r w:rsidRPr="002C0452">
              <w:rPr>
                <w:rFonts w:ascii="Calibri" w:eastAsia="Times New Roman" w:hAnsi="Calibri" w:cs="Times New Roman"/>
                <w:b/>
                <w:bCs/>
                <w:i/>
                <w:iCs/>
                <w:color w:val="000000"/>
              </w:rPr>
              <w:t>SOP Collection</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b/>
                <w:bCs/>
                <w:i/>
                <w:iCs/>
                <w:color w:val="000000"/>
              </w:rPr>
            </w:pPr>
            <w:r w:rsidRPr="002C0452">
              <w:rPr>
                <w:rFonts w:ascii="Calibri" w:eastAsia="Times New Roman" w:hAnsi="Calibri" w:cs="Times New Roman"/>
                <w:b/>
                <w:bCs/>
                <w:i/>
                <w:iCs/>
                <w:color w:val="000000"/>
              </w:rPr>
              <w:t>DEP SOP</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b/>
                <w:bCs/>
                <w:i/>
                <w:iCs/>
                <w:color w:val="000000"/>
              </w:rPr>
            </w:pPr>
            <w:r w:rsidRPr="002C0452">
              <w:rPr>
                <w:rFonts w:ascii="Calibri" w:eastAsia="Times New Roman" w:hAnsi="Calibri" w:cs="Times New Roman"/>
                <w:b/>
                <w:bCs/>
                <w:i/>
                <w:iCs/>
                <w:color w:val="000000"/>
              </w:rPr>
              <w:t>Edited Sections</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b/>
                <w:bCs/>
                <w:i/>
                <w:iCs/>
                <w:color w:val="000000"/>
              </w:rPr>
            </w:pPr>
            <w:r w:rsidRPr="002C0452">
              <w:rPr>
                <w:rFonts w:ascii="Calibri" w:eastAsia="Times New Roman" w:hAnsi="Calibri" w:cs="Times New Roman"/>
                <w:b/>
                <w:bCs/>
                <w:i/>
                <w:iCs/>
                <w:color w:val="000000"/>
              </w:rPr>
              <w:t>Types of Change</w:t>
            </w:r>
          </w:p>
        </w:tc>
        <w:tc>
          <w:tcPr>
            <w:tcW w:w="1911" w:type="dxa"/>
            <w:tcBorders>
              <w:top w:val="single" w:sz="4" w:space="0" w:color="auto"/>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b/>
                <w:bCs/>
                <w:i/>
                <w:iCs/>
                <w:color w:val="000000"/>
              </w:rPr>
            </w:pPr>
            <w:r w:rsidRPr="002C0452">
              <w:rPr>
                <w:rFonts w:ascii="Calibri" w:eastAsia="Times New Roman" w:hAnsi="Calibri" w:cs="Times New Roman"/>
                <w:b/>
                <w:bCs/>
                <w:i/>
                <w:iCs/>
                <w:color w:val="000000"/>
              </w:rPr>
              <w:t>Topic Area</w:t>
            </w:r>
          </w:p>
        </w:tc>
        <w:tc>
          <w:tcPr>
            <w:tcW w:w="6786" w:type="dxa"/>
            <w:tcBorders>
              <w:top w:val="single" w:sz="4" w:space="0" w:color="auto"/>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b/>
                <w:bCs/>
                <w:i/>
                <w:iCs/>
                <w:color w:val="000000"/>
              </w:rPr>
            </w:pPr>
            <w:r w:rsidRPr="002C0452">
              <w:rPr>
                <w:rFonts w:ascii="Calibri" w:eastAsia="Times New Roman" w:hAnsi="Calibri" w:cs="Times New Roman"/>
                <w:b/>
                <w:bCs/>
                <w:i/>
                <w:iCs/>
                <w:color w:val="000000"/>
              </w:rPr>
              <w:t>Summary of Edits</w:t>
            </w:r>
            <w:r w:rsidR="00AD7E41">
              <w:rPr>
                <w:rFonts w:ascii="Calibri" w:eastAsia="Times New Roman" w:hAnsi="Calibri" w:cs="Times New Roman"/>
                <w:b/>
                <w:bCs/>
                <w:i/>
                <w:iCs/>
                <w:color w:val="000000"/>
              </w:rPr>
              <w:t xml:space="preserve"> (Effective 4/16/18)</w:t>
            </w:r>
          </w:p>
        </w:tc>
      </w:tr>
      <w:tr w:rsidR="002C04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FA 1000</w:t>
            </w:r>
          </w:p>
        </w:tc>
        <w:tc>
          <w:tcPr>
            <w:tcW w:w="182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all</w:t>
            </w:r>
          </w:p>
        </w:tc>
        <w:tc>
          <w:tcPr>
            <w:tcW w:w="137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General</w:t>
            </w:r>
          </w:p>
        </w:tc>
        <w:tc>
          <w:tcPr>
            <w:tcW w:w="6786"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Updated DEP program names that have changed. </w:t>
            </w:r>
          </w:p>
        </w:tc>
      </w:tr>
      <w:tr w:rsidR="002C0452" w:rsidRPr="002C0452" w:rsidTr="00B85FF5">
        <w:trPr>
          <w:trHeight w:val="1524"/>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FA 1000</w:t>
            </w:r>
          </w:p>
        </w:tc>
        <w:tc>
          <w:tcPr>
            <w:tcW w:w="182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Appendix: Audit Checklists</w:t>
            </w:r>
          </w:p>
        </w:tc>
        <w:tc>
          <w:tcPr>
            <w:tcW w:w="137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Audit Checklists</w:t>
            </w:r>
          </w:p>
        </w:tc>
        <w:tc>
          <w:tcPr>
            <w:tcW w:w="6786"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Updates were made to various audit checklists to correspond with SOP revisions. Added statements that pencil is allowed on waterproof paper, time must be recorded for analytes with a hold time specified in hours, thermal preservation must be documented, specified blank collection for autosamplers,</w:t>
            </w:r>
            <w:r w:rsidRPr="002C0452">
              <w:rPr>
                <w:rFonts w:ascii="Calibri" w:eastAsia="Times New Roman" w:hAnsi="Calibri" w:cs="Times New Roman"/>
              </w:rPr>
              <w:t xml:space="preserve"> the slope for pH only needs to be checked weekly if applicable to the instrument type. </w:t>
            </w:r>
          </w:p>
        </w:tc>
      </w:tr>
      <w:tr w:rsidR="002C0452" w:rsidRPr="002C0452" w:rsidTr="00B85FF5">
        <w:trPr>
          <w:trHeight w:val="1152"/>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FA 1000</w:t>
            </w:r>
          </w:p>
        </w:tc>
        <w:tc>
          <w:tcPr>
            <w:tcW w:w="182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Appendix: Habitat Assessment Training and Evaluation Checklists</w:t>
            </w:r>
          </w:p>
        </w:tc>
        <w:tc>
          <w:tcPr>
            <w:tcW w:w="137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Habitat Assessment Training</w:t>
            </w:r>
          </w:p>
        </w:tc>
        <w:tc>
          <w:tcPr>
            <w:tcW w:w="6786"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This section was deleted because it is redundant with Form FD 9000-34. </w:t>
            </w:r>
          </w:p>
        </w:tc>
      </w:tr>
      <w:tr w:rsidR="002C04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FA 1000</w:t>
            </w:r>
          </w:p>
        </w:tc>
        <w:tc>
          <w:tcPr>
            <w:tcW w:w="182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FA 1310</w:t>
            </w:r>
          </w:p>
        </w:tc>
        <w:tc>
          <w:tcPr>
            <w:tcW w:w="137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Format List</w:t>
            </w:r>
          </w:p>
        </w:tc>
        <w:tc>
          <w:tcPr>
            <w:tcW w:w="6786"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The name of the flow and continuous monitoring SOPs were updated. </w:t>
            </w:r>
          </w:p>
        </w:tc>
      </w:tr>
      <w:tr w:rsidR="002C0452" w:rsidRPr="002C0452" w:rsidTr="00B85FF5">
        <w:trPr>
          <w:trHeight w:val="1824"/>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FA 1000</w:t>
            </w:r>
          </w:p>
        </w:tc>
        <w:tc>
          <w:tcPr>
            <w:tcW w:w="1827" w:type="dxa"/>
            <w:tcBorders>
              <w:top w:val="nil"/>
              <w:left w:val="nil"/>
              <w:bottom w:val="single" w:sz="4" w:space="0" w:color="auto"/>
              <w:right w:val="single" w:sz="4" w:space="0" w:color="auto"/>
            </w:tcBorders>
            <w:shd w:val="clear" w:color="000000" w:fill="FFFFFF"/>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FA 2100, FA 2200</w:t>
            </w:r>
          </w:p>
        </w:tc>
        <w:tc>
          <w:tcPr>
            <w:tcW w:w="137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Alternative Field Methods</w:t>
            </w:r>
          </w:p>
        </w:tc>
        <w:tc>
          <w:tcPr>
            <w:tcW w:w="6786"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rPr>
            </w:pPr>
            <w:r w:rsidRPr="002C0452">
              <w:rPr>
                <w:rFonts w:ascii="Calibri" w:eastAsia="Times New Roman" w:hAnsi="Calibri" w:cs="Times New Roman"/>
              </w:rPr>
              <w:t>FA 2100 - FA 2240: Changes in definitions and procedures for New, Alternative, and Modified field methods to correspond with changes in QA Rule.  New method approval process removed, and modified method procedures included. Definitions and procedures for Alternative and Modified field method application and approval expanded.  Expanded instructions for applying for an alternative or modified procedure, and expanded acceptance criteria for approval of alternative or modified methods. Replaced "Project-Specific" procedures with "Limited Use" procedures.</w:t>
            </w:r>
            <w:r w:rsidR="00DF577A">
              <w:rPr>
                <w:rFonts w:ascii="Calibri" w:eastAsia="Times New Roman" w:hAnsi="Calibri" w:cs="Times New Roman"/>
              </w:rPr>
              <w:t xml:space="preserve">  Added clarification that the number of participants in a statewide use study will depend on the </w:t>
            </w:r>
            <w:r w:rsidR="0074748F">
              <w:rPr>
                <w:rFonts w:ascii="Calibri" w:eastAsia="Times New Roman" w:hAnsi="Calibri" w:cs="Times New Roman"/>
              </w:rPr>
              <w:t>statistical robustness needed and should be determined in collaboration with the department. SOP FS 7000 removed from list of SOPs that can’t have alternatives/modifications.</w:t>
            </w:r>
          </w:p>
        </w:tc>
      </w:tr>
      <w:tr w:rsidR="00280096" w:rsidRPr="002C0452" w:rsidTr="00AE3018">
        <w:trPr>
          <w:trHeight w:val="1268"/>
        </w:trPr>
        <w:tc>
          <w:tcPr>
            <w:tcW w:w="1117" w:type="dxa"/>
            <w:tcBorders>
              <w:top w:val="nil"/>
              <w:left w:val="single" w:sz="4" w:space="0" w:color="auto"/>
              <w:bottom w:val="single" w:sz="4" w:space="0" w:color="auto"/>
              <w:right w:val="single" w:sz="4" w:space="0" w:color="auto"/>
            </w:tcBorders>
            <w:shd w:val="clear" w:color="auto" w:fill="auto"/>
            <w:vAlign w:val="center"/>
          </w:tcPr>
          <w:p w:rsidR="00280096" w:rsidRPr="002C0452" w:rsidRDefault="00280096" w:rsidP="00280096">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tcPr>
          <w:p w:rsidR="00280096" w:rsidRPr="002C0452" w:rsidRDefault="00280096" w:rsidP="00280096">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FA 1000</w:t>
            </w:r>
          </w:p>
        </w:tc>
        <w:tc>
          <w:tcPr>
            <w:tcW w:w="1827" w:type="dxa"/>
            <w:tcBorders>
              <w:top w:val="nil"/>
              <w:left w:val="nil"/>
              <w:bottom w:val="single" w:sz="4" w:space="0" w:color="auto"/>
              <w:right w:val="single" w:sz="4" w:space="0" w:color="auto"/>
            </w:tcBorders>
            <w:shd w:val="clear" w:color="000000" w:fill="FFFFFF"/>
            <w:vAlign w:val="center"/>
          </w:tcPr>
          <w:p w:rsidR="00280096" w:rsidRPr="002C0452" w:rsidRDefault="00280096" w:rsidP="00280096">
            <w:pPr>
              <w:spacing w:after="0" w:line="240" w:lineRule="auto"/>
              <w:rPr>
                <w:rFonts w:ascii="Calibri" w:eastAsia="Times New Roman" w:hAnsi="Calibri" w:cs="Times New Roman"/>
                <w:color w:val="000000"/>
              </w:rPr>
            </w:pPr>
            <w:r>
              <w:rPr>
                <w:rFonts w:ascii="Calibri" w:eastAsia="Times New Roman" w:hAnsi="Calibri" w:cs="Times New Roman"/>
                <w:color w:val="000000"/>
              </w:rPr>
              <w:t>FA 4200</w:t>
            </w:r>
          </w:p>
        </w:tc>
        <w:tc>
          <w:tcPr>
            <w:tcW w:w="1377" w:type="dxa"/>
            <w:tcBorders>
              <w:top w:val="nil"/>
              <w:left w:val="nil"/>
              <w:bottom w:val="single" w:sz="4" w:space="0" w:color="auto"/>
              <w:right w:val="single" w:sz="4" w:space="0" w:color="auto"/>
            </w:tcBorders>
            <w:shd w:val="clear" w:color="auto" w:fill="auto"/>
            <w:vAlign w:val="center"/>
          </w:tcPr>
          <w:p w:rsidR="00280096" w:rsidRPr="002C0452" w:rsidRDefault="00280096" w:rsidP="00280096">
            <w:pPr>
              <w:spacing w:after="0" w:line="240" w:lineRule="auto"/>
              <w:rPr>
                <w:rFonts w:ascii="Calibri" w:eastAsia="Times New Roman" w:hAnsi="Calibri" w:cs="Times New Roman"/>
                <w:color w:val="000000"/>
              </w:rPr>
            </w:pPr>
            <w:r>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tcPr>
          <w:p w:rsidR="00280096" w:rsidRPr="002C0452" w:rsidRDefault="00280096" w:rsidP="00280096">
            <w:pPr>
              <w:spacing w:after="0" w:line="240" w:lineRule="auto"/>
              <w:rPr>
                <w:rFonts w:ascii="Calibri" w:eastAsia="Times New Roman" w:hAnsi="Calibri" w:cs="Times New Roman"/>
                <w:color w:val="000000"/>
              </w:rPr>
            </w:pPr>
            <w:r>
              <w:rPr>
                <w:rFonts w:ascii="Calibri" w:eastAsia="Times New Roman" w:hAnsi="Calibri" w:cs="Times New Roman"/>
                <w:color w:val="000000"/>
              </w:rPr>
              <w:t>Audits</w:t>
            </w:r>
          </w:p>
        </w:tc>
        <w:tc>
          <w:tcPr>
            <w:tcW w:w="6786" w:type="dxa"/>
            <w:tcBorders>
              <w:top w:val="nil"/>
              <w:left w:val="nil"/>
              <w:bottom w:val="single" w:sz="4" w:space="0" w:color="auto"/>
              <w:right w:val="single" w:sz="4" w:space="0" w:color="auto"/>
            </w:tcBorders>
            <w:shd w:val="clear" w:color="auto" w:fill="auto"/>
            <w:vAlign w:val="center"/>
          </w:tcPr>
          <w:p w:rsidR="00280096" w:rsidRPr="002C0452" w:rsidRDefault="00280096" w:rsidP="00280096">
            <w:pPr>
              <w:spacing w:after="0" w:line="240" w:lineRule="auto"/>
              <w:rPr>
                <w:rFonts w:ascii="Calibri" w:eastAsia="Times New Roman" w:hAnsi="Calibri" w:cs="Times New Roman"/>
              </w:rPr>
            </w:pPr>
            <w:r>
              <w:rPr>
                <w:rFonts w:ascii="Calibri" w:eastAsia="Times New Roman" w:hAnsi="Calibri" w:cs="Times New Roman"/>
              </w:rPr>
              <w:t xml:space="preserve">Added clarification about the frequency of internal audits. </w:t>
            </w:r>
          </w:p>
        </w:tc>
      </w:tr>
      <w:tr w:rsidR="002C04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lastRenderedPageBreak/>
              <w:t>SOP 001/01</w:t>
            </w:r>
          </w:p>
        </w:tc>
        <w:tc>
          <w:tcPr>
            <w:tcW w:w="1000"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FA 1000</w:t>
            </w:r>
          </w:p>
        </w:tc>
        <w:tc>
          <w:tcPr>
            <w:tcW w:w="1827" w:type="dxa"/>
            <w:tcBorders>
              <w:top w:val="nil"/>
              <w:left w:val="nil"/>
              <w:bottom w:val="single" w:sz="4" w:space="0" w:color="auto"/>
              <w:right w:val="single" w:sz="4" w:space="0" w:color="auto"/>
            </w:tcBorders>
            <w:shd w:val="clear" w:color="000000" w:fill="FFFFFF"/>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FA 5720</w:t>
            </w:r>
          </w:p>
        </w:tc>
        <w:tc>
          <w:tcPr>
            <w:tcW w:w="137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Habitat Assessment</w:t>
            </w:r>
          </w:p>
        </w:tc>
        <w:tc>
          <w:tcPr>
            <w:tcW w:w="6786"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The reference to the appendix replaced with a reference to the form FD 9000-34. Form FD 9000-34 was added as a required document to be submitted when testing for habitat assessment. </w:t>
            </w:r>
          </w:p>
        </w:tc>
      </w:tr>
      <w:tr w:rsidR="002C04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FC 1000</w:t>
            </w:r>
          </w:p>
        </w:tc>
        <w:tc>
          <w:tcPr>
            <w:tcW w:w="182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rPr>
            </w:pPr>
            <w:r w:rsidRPr="002C0452">
              <w:rPr>
                <w:rFonts w:ascii="Calibri" w:eastAsia="Times New Roman" w:hAnsi="Calibri" w:cs="Times New Roman"/>
              </w:rPr>
              <w:t xml:space="preserve">FC 1000 section 1.4  </w:t>
            </w:r>
          </w:p>
        </w:tc>
        <w:tc>
          <w:tcPr>
            <w:tcW w:w="137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Blanks in Toxicity Tests</w:t>
            </w:r>
          </w:p>
        </w:tc>
        <w:tc>
          <w:tcPr>
            <w:tcW w:w="6786"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Added language for determining effectiveness of cleaning for toxicity tests. </w:t>
            </w:r>
          </w:p>
        </w:tc>
      </w:tr>
      <w:tr w:rsidR="002C04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FC 1000</w:t>
            </w:r>
          </w:p>
        </w:tc>
        <w:tc>
          <w:tcPr>
            <w:tcW w:w="182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Table FC 1000-2</w:t>
            </w:r>
          </w:p>
        </w:tc>
        <w:tc>
          <w:tcPr>
            <w:tcW w:w="137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Cleaning for Toxicity Tests </w:t>
            </w:r>
          </w:p>
        </w:tc>
        <w:tc>
          <w:tcPr>
            <w:tcW w:w="6786"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Removed sodium bicarbonate from the cleaning steps for toxicity to correspond with EPA guidance.</w:t>
            </w:r>
          </w:p>
        </w:tc>
      </w:tr>
      <w:tr w:rsidR="002C04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1000</w:t>
            </w:r>
          </w:p>
        </w:tc>
        <w:tc>
          <w:tcPr>
            <w:tcW w:w="182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4200</w:t>
            </w:r>
          </w:p>
        </w:tc>
        <w:tc>
          <w:tcPr>
            <w:tcW w:w="1377"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Documentation for Flow</w:t>
            </w:r>
          </w:p>
        </w:tc>
        <w:tc>
          <w:tcPr>
            <w:tcW w:w="6786" w:type="dxa"/>
            <w:tcBorders>
              <w:top w:val="nil"/>
              <w:left w:val="nil"/>
              <w:bottom w:val="single" w:sz="4" w:space="0" w:color="auto"/>
              <w:right w:val="single" w:sz="4" w:space="0" w:color="auto"/>
            </w:tcBorders>
            <w:shd w:val="clear" w:color="auto" w:fill="auto"/>
            <w:vAlign w:val="center"/>
            <w:hideMark/>
          </w:tcPr>
          <w:p w:rsidR="002C0452" w:rsidRPr="002C0452" w:rsidRDefault="002C0452" w:rsidP="002C0452">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documentation requirements for use of SOP FT 1800 (flow)</w:t>
            </w:r>
          </w:p>
        </w:tc>
      </w:tr>
      <w:tr w:rsidR="0074748F"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1000</w:t>
            </w:r>
          </w:p>
        </w:tc>
        <w:tc>
          <w:tcPr>
            <w:tcW w:w="1827" w:type="dxa"/>
            <w:tcBorders>
              <w:top w:val="nil"/>
              <w:left w:val="nil"/>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5000</w:t>
            </w:r>
          </w:p>
        </w:tc>
        <w:tc>
          <w:tcPr>
            <w:tcW w:w="1377" w:type="dxa"/>
            <w:tcBorders>
              <w:top w:val="nil"/>
              <w:left w:val="nil"/>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Pr>
                <w:rFonts w:ascii="Calibri" w:eastAsia="Times New Roman" w:hAnsi="Calibri" w:cs="Times New Roman"/>
                <w:color w:val="000000"/>
              </w:rPr>
              <w:t>Sampling time documentation</w:t>
            </w:r>
          </w:p>
        </w:tc>
        <w:tc>
          <w:tcPr>
            <w:tcW w:w="6786" w:type="dxa"/>
            <w:tcBorders>
              <w:top w:val="nil"/>
              <w:left w:val="nil"/>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Added requirement to document sample time for all samples if results will be submitted to DEP WIN database. </w:t>
            </w:r>
          </w:p>
        </w:tc>
      </w:tr>
      <w:tr w:rsidR="0074748F"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5000, sec. 1</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Unique ID</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Clarified requirement for unique field ID, changed requirement for documentation of sample time for short holds from 48 to 72 hours.</w:t>
            </w:r>
          </w:p>
        </w:tc>
      </w:tr>
      <w:tr w:rsidR="0074748F"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5100</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Documentation</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Added the method of collection to the required documentation </w:t>
            </w:r>
          </w:p>
        </w:tc>
      </w:tr>
      <w:tr w:rsidR="0074748F"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Pr>
                <w:rFonts w:ascii="Calibri" w:eastAsia="Times New Roman" w:hAnsi="Calibri" w:cs="Times New Roman"/>
                <w:color w:val="000000"/>
              </w:rPr>
              <w:t>Various parts of FD 5300</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Biological sample preservation</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Clarified that preservation should be documented for biological samples  </w:t>
            </w:r>
          </w:p>
        </w:tc>
      </w:tr>
      <w:tr w:rsidR="0074748F"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Form FD 9000-1</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BioRecon Field Sheet</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Revised station information fields of the form to be consistent with other forms. </w:t>
            </w:r>
          </w:p>
        </w:tc>
      </w:tr>
      <w:tr w:rsidR="0074748F"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Form FD 9000-34</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HA Training Checklist</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Combined the Training and Evaluation checklists; Reduced the required number of training sites from 12 to 9; Removed requirement for boat site training. Evaluation site requirement is emphasized.</w:t>
            </w:r>
          </w:p>
        </w:tc>
      </w:tr>
      <w:tr w:rsidR="0074748F"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FD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Form FD 9000-35</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Training Checklist</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Combined the Training and Evaluation checklists; Reduced the required number of training sites from 12 to 9; Removed requirement for boat site training. Evaluation site requirement is emphasized.</w:t>
            </w:r>
          </w:p>
        </w:tc>
      </w:tr>
      <w:tr w:rsidR="0074748F"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w:t>
            </w:r>
            <w:r>
              <w:rPr>
                <w:rFonts w:ascii="Calibri" w:eastAsia="Times New Roman" w:hAnsi="Calibri" w:cs="Times New Roman"/>
                <w:color w:val="000000"/>
              </w:rPr>
              <w:t>M</w:t>
            </w:r>
            <w:r w:rsidRPr="002C0452">
              <w:rPr>
                <w:rFonts w:ascii="Calibri" w:eastAsia="Times New Roman" w:hAnsi="Calibri" w:cs="Times New Roman"/>
                <w:color w:val="000000"/>
              </w:rPr>
              <w:t xml:space="preserve"> 1000</w:t>
            </w:r>
          </w:p>
        </w:tc>
        <w:tc>
          <w:tcPr>
            <w:tcW w:w="1827" w:type="dxa"/>
            <w:tcBorders>
              <w:top w:val="nil"/>
              <w:left w:val="nil"/>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Pr>
                <w:rFonts w:ascii="Calibri" w:eastAsia="Times New Roman" w:hAnsi="Calibri" w:cs="Times New Roman"/>
                <w:color w:val="000000"/>
              </w:rPr>
              <w:t>Table FM</w:t>
            </w:r>
            <w:r w:rsidRPr="002C0452">
              <w:rPr>
                <w:rFonts w:ascii="Calibri" w:eastAsia="Times New Roman" w:hAnsi="Calibri" w:cs="Times New Roman"/>
                <w:color w:val="000000"/>
              </w:rPr>
              <w:t xml:space="preserve"> 1000</w:t>
            </w:r>
            <w:r>
              <w:rPr>
                <w:rFonts w:ascii="Calibri" w:eastAsia="Times New Roman" w:hAnsi="Calibri" w:cs="Times New Roman"/>
                <w:color w:val="000000"/>
              </w:rPr>
              <w:t>-1</w:t>
            </w:r>
          </w:p>
        </w:tc>
        <w:tc>
          <w:tcPr>
            <w:tcW w:w="1377" w:type="dxa"/>
            <w:tcBorders>
              <w:top w:val="nil"/>
              <w:left w:val="nil"/>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Pr>
                <w:rFonts w:ascii="Calibri" w:eastAsia="Times New Roman" w:hAnsi="Calibri" w:cs="Times New Roman"/>
                <w:color w:val="000000"/>
              </w:rPr>
              <w:t>Data Qualifier Table</w:t>
            </w:r>
          </w:p>
        </w:tc>
        <w:tc>
          <w:tcPr>
            <w:tcW w:w="6786" w:type="dxa"/>
            <w:tcBorders>
              <w:top w:val="nil"/>
              <w:left w:val="nil"/>
              <w:bottom w:val="single" w:sz="4" w:space="0" w:color="auto"/>
              <w:right w:val="single" w:sz="4" w:space="0" w:color="auto"/>
            </w:tcBorders>
            <w:shd w:val="clear" w:color="auto" w:fill="auto"/>
            <w:vAlign w:val="center"/>
          </w:tcPr>
          <w:p w:rsidR="0074748F" w:rsidRPr="002C0452" w:rsidRDefault="0074748F" w:rsidP="0074748F">
            <w:pPr>
              <w:spacing w:after="0" w:line="240" w:lineRule="auto"/>
              <w:rPr>
                <w:rFonts w:ascii="Calibri" w:eastAsia="Times New Roman" w:hAnsi="Calibri" w:cs="Times New Roman"/>
                <w:color w:val="000000"/>
              </w:rPr>
            </w:pPr>
            <w:r>
              <w:rPr>
                <w:rFonts w:ascii="Calibri" w:eastAsia="Times New Roman" w:hAnsi="Calibri" w:cs="Times New Roman"/>
                <w:color w:val="000000"/>
              </w:rPr>
              <w:t>Data qualifier table removed from FM 1000 because it duplicated the Table 1 in Rule 62-160.700, F.A.C.</w:t>
            </w:r>
          </w:p>
        </w:tc>
      </w:tr>
      <w:tr w:rsidR="0074748F"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1000</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General</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reference to other SOPs</w:t>
            </w:r>
          </w:p>
        </w:tc>
      </w:tr>
      <w:tr w:rsidR="0074748F"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1000, sec. 1</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Blanks</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Provides examples of tests within analytical groups that do or do not require blank collection, and references Table FA 1000-2 for more details.</w:t>
            </w:r>
          </w:p>
        </w:tc>
      </w:tr>
      <w:tr w:rsidR="0074748F"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lastRenderedPageBreak/>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1200, sec. 4</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Sampling operations</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Specifies VOC blanks in each cooler where there are VOC samples. </w:t>
            </w:r>
          </w:p>
        </w:tc>
      </w:tr>
      <w:tr w:rsidR="0074748F"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1212 section 4.1</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Field-Cleaned Equipment Blanks</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Equipment blank rinsed with analyte free water 3 times, not site water. </w:t>
            </w:r>
          </w:p>
        </w:tc>
      </w:tr>
      <w:tr w:rsidR="0074748F"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1213, sec. 5</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Trip Blank</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States that all trip blanks must be analyzed by water sample analytical techniques, even the sample collected matrix is non-aqueous. </w:t>
            </w:r>
          </w:p>
        </w:tc>
      </w:tr>
      <w:tr w:rsidR="0074748F"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1000</w:t>
            </w:r>
          </w:p>
        </w:tc>
        <w:tc>
          <w:tcPr>
            <w:tcW w:w="182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FQ 1230, sec. 2.1.3</w:t>
            </w:r>
          </w:p>
        </w:tc>
        <w:tc>
          <w:tcPr>
            <w:tcW w:w="1377"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Mandatory Field Quality Control</w:t>
            </w:r>
          </w:p>
        </w:tc>
        <w:tc>
          <w:tcPr>
            <w:tcW w:w="6786" w:type="dxa"/>
            <w:tcBorders>
              <w:top w:val="nil"/>
              <w:left w:val="nil"/>
              <w:bottom w:val="single" w:sz="4" w:space="0" w:color="auto"/>
              <w:right w:val="single" w:sz="4" w:space="0" w:color="auto"/>
            </w:tcBorders>
            <w:shd w:val="clear" w:color="auto" w:fill="auto"/>
            <w:vAlign w:val="center"/>
            <w:hideMark/>
          </w:tcPr>
          <w:p w:rsidR="0074748F" w:rsidRPr="002C0452" w:rsidRDefault="0074748F"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Addition and specification of autosampler equipment blank requirements.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bookmarkStart w:id="0" w:name="_GoBack"/>
            <w:bookmarkEnd w:id="0"/>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1006 Section 4.5</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pH Checks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Clarified general language in the guidance for checking pH adjusted preservation frequencies longer than monthly</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1009 section 1.3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Field Documentation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Updated the reference for the required and optional documentation forms to FD 9000</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Table FS 1000-1 and Table FS 1000-2</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Acceptable construction material for all analyte groups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a footnote that states that specific limitations for construction material outlined in Tables FS 1000-3, FS 1000-4, FS 1000-5, and FS 1000-6 supersede the general consideration for an analyte group given in Tables FS 1000-1 and FS 1000-2</w:t>
            </w:r>
          </w:p>
        </w:tc>
      </w:tr>
      <w:tr w:rsidR="00DF4752" w:rsidRPr="002C0452" w:rsidTr="00B85FF5">
        <w:trPr>
          <w:trHeight w:val="864"/>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Table FS 1000-11</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SPLP Sample Preservation/HT</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Changed the holding time of Volatiles in accordance with DEP Division of Waste Management requirements.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Table FS 1000-2 and Table FS 1000-3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Materials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w:t>
            </w:r>
            <w:r>
              <w:rPr>
                <w:rFonts w:ascii="Calibri" w:eastAsia="Times New Roman" w:hAnsi="Calibri" w:cs="Times New Roman"/>
                <w:color w:val="000000"/>
              </w:rPr>
              <w:t>cation that where materials spe</w:t>
            </w:r>
            <w:r w:rsidRPr="002C0452">
              <w:rPr>
                <w:rFonts w:ascii="Calibri" w:eastAsia="Times New Roman" w:hAnsi="Calibri" w:cs="Times New Roman"/>
                <w:color w:val="000000"/>
              </w:rPr>
              <w:t>cify Teflon it includes other fluoropolymers.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Table FS 1000-3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Housing Material for submersible pumps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allowances for Polyethylene and polypropylene, and for PVC if permanently installed</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Table FS 1000-</w:t>
            </w:r>
            <w:r>
              <w:rPr>
                <w:rFonts w:ascii="Calibri" w:eastAsia="Times New Roman" w:hAnsi="Calibri" w:cs="Times New Roman"/>
                <w:color w:val="000000"/>
              </w:rPr>
              <w:t>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Pr>
                <w:rFonts w:ascii="Calibri" w:eastAsia="Times New Roman" w:hAnsi="Calibri" w:cs="Times New Roman"/>
                <w:color w:val="000000"/>
              </w:rPr>
              <w:t>Surface Water Filtration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74748F">
            <w:pPr>
              <w:spacing w:after="0" w:line="240" w:lineRule="auto"/>
              <w:rPr>
                <w:rFonts w:ascii="Calibri" w:eastAsia="Times New Roman" w:hAnsi="Calibri" w:cs="Times New Roman"/>
                <w:color w:val="000000"/>
              </w:rPr>
            </w:pPr>
            <w:r w:rsidRPr="00B3458D">
              <w:rPr>
                <w:rFonts w:ascii="Calibri" w:eastAsia="Times New Roman" w:hAnsi="Calibri" w:cs="Times New Roman"/>
                <w:color w:val="000000"/>
              </w:rPr>
              <w:t>Deleted mistaken requirement to use in-line filter with aeration precautions.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1000</w:t>
            </w:r>
          </w:p>
        </w:tc>
        <w:tc>
          <w:tcPr>
            <w:tcW w:w="182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Table FS 1000-5</w:t>
            </w:r>
          </w:p>
        </w:tc>
        <w:tc>
          <w:tcPr>
            <w:tcW w:w="137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Sample Containers &amp; Preservation</w:t>
            </w:r>
          </w:p>
        </w:tc>
        <w:tc>
          <w:tcPr>
            <w:tcW w:w="6786"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footnote to container for cyanotoxins that states it should be amber glass.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Table FS 1000-7</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All references within the table</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Updated to be reference EPA 5035A (SW-846 validated methods)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lastRenderedPageBreak/>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Table FS 1000-8</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Sample pretreatment and preservation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 that sample pretreatm</w:t>
            </w:r>
            <w:r>
              <w:rPr>
                <w:rFonts w:ascii="Calibri" w:eastAsia="Times New Roman" w:hAnsi="Calibri" w:cs="Times New Roman"/>
                <w:color w:val="000000"/>
              </w:rPr>
              <w:t xml:space="preserve">ent should be conducted before </w:t>
            </w:r>
            <w:r w:rsidRPr="002C0452">
              <w:rPr>
                <w:rFonts w:ascii="Calibri" w:eastAsia="Times New Roman" w:hAnsi="Calibri" w:cs="Times New Roman"/>
                <w:color w:val="000000"/>
              </w:rPr>
              <w:t>preservation</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2000, Section 1.2.1.3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FL-PRO</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Added FL-PRO to list of parameters that must be collected as grab samples.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2001, sec. 3; FS 2003, sec. 3; FS 2005 sec. 3; FS 2009 sec. 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Sample pretreatment and preservation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 that any sample pretreatment should be conducted before acid preservation</w:t>
            </w:r>
          </w:p>
        </w:tc>
      </w:tr>
      <w:tr w:rsidR="00DF4752" w:rsidRPr="002C0452" w:rsidTr="00B85FF5">
        <w:trPr>
          <w:trHeight w:val="864"/>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2001, sec. 4</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pH Checks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Clarified general language in the guidance for checking pH adjusted preservation frequencies longer than monthly</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2004, sec. 2</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VOC sample collection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Added clarification that VOCs could only be collected as grab samples, and specifies to collect grab samples over time if composites are required, consistent with FS 2006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2005, sec. 2.4.3 and 2.6.1</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Bacteria sampling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Updated the language about disinfection of sample equipment or sampling port to be consistent between these two sections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2005, sec. 4.2</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Holding Time </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Changed when the holding time ends from when placed in growth media to when placed in incubator or water bath</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2006 Title &amp; sec. 1.1</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Hydrocarbon/Oil &amp; Grease sampling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FL-PRO as a test to be included in this section with oil and grease and TRPHs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2009, sec. 2</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Cyanide Sampling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Added exclusion</w:t>
            </w:r>
            <w:r w:rsidRPr="002C0452">
              <w:rPr>
                <w:rFonts w:ascii="Calibri" w:eastAsia="Times New Roman" w:hAnsi="Calibri" w:cs="Times New Roman"/>
                <w:color w:val="000000"/>
              </w:rPr>
              <w:t xml:space="preserve"> for use of automatic samplers for cyanide collection, to be consistent with requirements in FS 2000, sec. 1.2.1.3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2100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2110, sec. 2</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VOC Collection with Autosamplers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Updated to correspond with language in FS 2000 that composite samples are not to be collected with autosampler for parameters listed</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2100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2110, sec. 2.1.1.2</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Equipment Blanks for Autosamplers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Provided language on frequency of blank collection when tubing is not changed at every sampling event.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2200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FS 2211, sections 4-5 </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Groundwater Purging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guidance for finding well depth and calculating volume.</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2200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2212, sections 3.5-3.6</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Groundwater Purging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Added requirement to monitor all 5 stabilization criteria when using alternative DO and turbidity criteria. Added a statement to record </w:t>
            </w:r>
            <w:r w:rsidRPr="002C0452">
              <w:rPr>
                <w:rFonts w:ascii="Calibri" w:eastAsia="Times New Roman" w:hAnsi="Calibri" w:cs="Times New Roman"/>
                <w:color w:val="000000"/>
              </w:rPr>
              <w:lastRenderedPageBreak/>
              <w:t xml:space="preserve">stabilization just before sampling when purging more than 5 well or screen volumes. </w:t>
            </w:r>
          </w:p>
        </w:tc>
      </w:tr>
      <w:tr w:rsidR="00DF4752" w:rsidRPr="002C0452" w:rsidTr="00B85FF5">
        <w:trPr>
          <w:trHeight w:val="864"/>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lastRenderedPageBreak/>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2200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FS 2213 </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Groundwater Purging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Clarified instructions for pump and tubing decontamination in section 2.1.</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2200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2215</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Groundwater Purging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Edited 1.6, 2.3, 2.6, to be consistent with other SOPs. Made the flow for VOCs the same across SOPs, between 100 and 400 mL/minute.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2200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FS 2217</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Groundwater Purging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Added a new SOP part providing recommendations for purging and sampling artesian (free-flowing) wells.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tcPr>
          <w:p w:rsidR="00DF4752" w:rsidRPr="002C0452" w:rsidRDefault="00DF4752" w:rsidP="004649D8">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tcPr>
          <w:p w:rsidR="00DF4752" w:rsidRPr="002C0452" w:rsidRDefault="00DF4752" w:rsidP="004649D8">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2200</w:t>
            </w:r>
          </w:p>
        </w:tc>
        <w:tc>
          <w:tcPr>
            <w:tcW w:w="1827" w:type="dxa"/>
            <w:tcBorders>
              <w:top w:val="nil"/>
              <w:left w:val="nil"/>
              <w:bottom w:val="single" w:sz="4" w:space="0" w:color="auto"/>
              <w:right w:val="single" w:sz="4" w:space="0" w:color="auto"/>
            </w:tcBorders>
            <w:shd w:val="clear" w:color="auto" w:fill="auto"/>
            <w:vAlign w:val="center"/>
          </w:tcPr>
          <w:p w:rsidR="00DF4752" w:rsidRPr="002C0452" w:rsidRDefault="00DF4752" w:rsidP="004649D8">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2220</w:t>
            </w:r>
          </w:p>
        </w:tc>
        <w:tc>
          <w:tcPr>
            <w:tcW w:w="1377" w:type="dxa"/>
            <w:tcBorders>
              <w:top w:val="nil"/>
              <w:left w:val="nil"/>
              <w:bottom w:val="single" w:sz="4" w:space="0" w:color="auto"/>
              <w:right w:val="single" w:sz="4" w:space="0" w:color="auto"/>
            </w:tcBorders>
            <w:shd w:val="clear" w:color="auto" w:fill="auto"/>
            <w:vAlign w:val="center"/>
          </w:tcPr>
          <w:p w:rsidR="00DF4752" w:rsidRPr="002C0452" w:rsidRDefault="00DF4752" w:rsidP="004649D8">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tcPr>
          <w:p w:rsidR="00DF4752" w:rsidRPr="002C0452" w:rsidRDefault="00DF4752" w:rsidP="004649D8">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Groundwater Purging</w:t>
            </w:r>
          </w:p>
        </w:tc>
        <w:tc>
          <w:tcPr>
            <w:tcW w:w="6786" w:type="dxa"/>
            <w:tcBorders>
              <w:top w:val="nil"/>
              <w:left w:val="nil"/>
              <w:bottom w:val="single" w:sz="4" w:space="0" w:color="auto"/>
              <w:right w:val="single" w:sz="4" w:space="0" w:color="auto"/>
            </w:tcBorders>
            <w:shd w:val="clear" w:color="auto" w:fill="auto"/>
            <w:vAlign w:val="center"/>
          </w:tcPr>
          <w:p w:rsidR="00DF4752" w:rsidRPr="002C0452" w:rsidRDefault="00DF4752" w:rsidP="004649D8">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Fixed the inconsistencies </w:t>
            </w:r>
            <w:r>
              <w:rPr>
                <w:rFonts w:ascii="Calibri" w:eastAsia="Times New Roman" w:hAnsi="Calibri" w:cs="Times New Roman"/>
                <w:color w:val="000000"/>
              </w:rPr>
              <w:t>of allowed tubing types. Added T</w:t>
            </w:r>
            <w:r w:rsidRPr="002C0452">
              <w:rPr>
                <w:rFonts w:ascii="Calibri" w:eastAsia="Times New Roman" w:hAnsi="Calibri" w:cs="Times New Roman"/>
                <w:color w:val="000000"/>
              </w:rPr>
              <w:t xml:space="preserve">eflon as allowed material for submersible pumps to match FS 1000-3.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2200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Various</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Equipment for Groundwater Sampling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w:t>
            </w:r>
            <w:r>
              <w:rPr>
                <w:rFonts w:ascii="Calibri" w:eastAsia="Times New Roman" w:hAnsi="Calibri" w:cs="Times New Roman"/>
                <w:color w:val="000000"/>
              </w:rPr>
              <w:t>cation that where materials spe</w:t>
            </w:r>
            <w:r w:rsidRPr="002C0452">
              <w:rPr>
                <w:rFonts w:ascii="Calibri" w:eastAsia="Times New Roman" w:hAnsi="Calibri" w:cs="Times New Roman"/>
                <w:color w:val="000000"/>
              </w:rPr>
              <w:t>cify Teflon it includes other fluoropolymers.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2300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2310, sec. 1.1.3; FS 2320, sec. 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Use of Disinfectants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Updated language to be consistent FS 2005 section 2.4.3.1</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2400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2410, sec. 2.2.3, &amp; FS 2430, sec. 2.3.1.1</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Preservation temperatures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Replaced specific temperature for sample preservation with more general language that states sample must be cooled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2400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2430, sec. 2.1.1.2</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Equipment Blanks for autosamplers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Provided language on frequency of blank collection when tubing is not changed at every sampling event.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3000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3000, sec. 5 &amp; sec. 5.3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EPA Method number</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Updated EPA Method 5035 references to 5035A (SW-846 validated methods)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3000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FS 3000, sec. 5.3 </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Sample preservation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Updated sample preservation methods to be consistent with changes in EPA Method 5035A. </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3000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FS 3100, sec. 6; </w:t>
            </w:r>
            <w:r w:rsidRPr="002C0452">
              <w:rPr>
                <w:rFonts w:ascii="Calibri" w:eastAsia="Times New Roman" w:hAnsi="Calibri" w:cs="Times New Roman"/>
                <w:color w:val="000000"/>
              </w:rPr>
              <w:t>FS 3220, sec. 4.9, 5.8, 6.12, &amp;7.7</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Sample preservation temperature</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Clarification that samples should be stored at the required preservation temperature. </w:t>
            </w:r>
          </w:p>
        </w:tc>
      </w:tr>
      <w:tr w:rsidR="00DF4752" w:rsidRPr="002C0452" w:rsidTr="00B85FF5">
        <w:trPr>
          <w:trHeight w:val="864"/>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lastRenderedPageBreak/>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7000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FS 7100, sec. 3.2; FS 7110, sec. 3.5; FS 7210, sec. 3.1; FS 7220, sec. 3; FS 7240, sec. 3.5 </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Algal Sample Preservation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Changed the requirement for time to chemical preservation from 24 hours to 36 hours from sampling time.  </w:t>
            </w:r>
          </w:p>
        </w:tc>
      </w:tr>
      <w:tr w:rsidR="00DF4752" w:rsidRPr="002C0452" w:rsidTr="00B85FF5">
        <w:trPr>
          <w:trHeight w:val="611"/>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7000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7320, sec. 3.2, 3.5</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Linear Vegetation Survey</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allowance for aquatic mosses to be included in LVS; Instructed samplers to properly dispose of voucher specimens of exotic plants.</w:t>
            </w:r>
          </w:p>
        </w:tc>
      </w:tr>
      <w:tr w:rsidR="00DF4752" w:rsidRPr="002C0452" w:rsidTr="00B85FF5">
        <w:trPr>
          <w:trHeight w:val="864"/>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7000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7320, sec. 3.8</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Linear Vegetation Survey</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Clarified that the C of C and FLEPPC LVS metric calculations shall only include taxa for which C of C or FLEPPC status is known, respectively.</w:t>
            </w:r>
          </w:p>
        </w:tc>
      </w:tr>
      <w:tr w:rsidR="00DF4752" w:rsidRPr="002C0452" w:rsidTr="00B85FF5">
        <w:trPr>
          <w:trHeight w:val="864"/>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7000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FS 7430, sec. 4.1; FS 7440, sec. 2 &amp; 4.1; FS 7450, sec. 2 &amp; 4.1; FS 7460, sec. 1 &amp; 3.1; FS 7470, sec. 2, 4.2 &amp; 4.3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Macroinvertebrate sample preservation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allowance for use of non-formalin based fixative that penetrates and stabilizes tissue without compromising analytical capability (e.g. NOTOXhisto®).</w:t>
            </w:r>
          </w:p>
        </w:tc>
      </w:tr>
      <w:tr w:rsidR="00DF4752" w:rsidRPr="002C0452" w:rsidTr="00B85FF5">
        <w:trPr>
          <w:trHeight w:val="1440"/>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1000, sec. 2.1.4</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Field meter calibrations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Language clarifies that a chronological bracket means that the meter must be verified before use as well as after use.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1000, sec. 2.2.5.2</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Continuing Calibration Verification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rPr>
              <w:t xml:space="preserve">Further clarification included regarding the potential need to increase the frequency of CCVs when sampling a range of water quality conditions to avoid qualifying data.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1000, sec. 4.2.4 &amp; 4.2.9</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Documentation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rPr>
            </w:pPr>
            <w:r w:rsidRPr="002C0452">
              <w:rPr>
                <w:rFonts w:ascii="Calibri" w:eastAsia="Times New Roman" w:hAnsi="Calibri" w:cs="Times New Roman"/>
                <w:color w:val="000000"/>
              </w:rPr>
              <w:t>Included instructions for recording readings and verifications to an instrument's accuracy; included instructions to qualify data associated with a failed verification.</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FT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FT 1000, sec. 1.3.3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Factory-calibrated instruments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Added clarification that factory-calibrated instruments must meet the same calibration/verification requirements as all other instrument designs.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FT 1100</w:t>
            </w:r>
          </w:p>
        </w:tc>
        <w:tc>
          <w:tcPr>
            <w:tcW w:w="182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FT 1100, sec. 2.3.2.1 </w:t>
            </w:r>
          </w:p>
        </w:tc>
        <w:tc>
          <w:tcPr>
            <w:tcW w:w="137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Buffer sequence for calibration</w:t>
            </w:r>
          </w:p>
        </w:tc>
        <w:tc>
          <w:tcPr>
            <w:tcW w:w="6786"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rPr>
              <w:t xml:space="preserve">Revised to indicate use of value other than pH=7 for first calibration buffer in sequence, when indicated otherwise by manufacturer calibration instructions.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FT 1100</w:t>
            </w:r>
          </w:p>
        </w:tc>
        <w:tc>
          <w:tcPr>
            <w:tcW w:w="182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FT 1100, sec. 2.3.2.4</w:t>
            </w:r>
          </w:p>
        </w:tc>
        <w:tc>
          <w:tcPr>
            <w:tcW w:w="137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Verification intervals</w:t>
            </w:r>
          </w:p>
        </w:tc>
        <w:tc>
          <w:tcPr>
            <w:tcW w:w="6786"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rPr>
            </w:pPr>
            <w:r>
              <w:rPr>
                <w:rFonts w:ascii="Calibri" w:eastAsia="Times New Roman" w:hAnsi="Calibri" w:cs="Times New Roman"/>
              </w:rPr>
              <w:t xml:space="preserve">Clarified with a reference to FT 1000, sec. 2.2.5.1 &amp; 2.2.5.2.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1100</w:t>
            </w:r>
          </w:p>
        </w:tc>
        <w:tc>
          <w:tcPr>
            <w:tcW w:w="182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1100, sec. 2.3.2</w:t>
            </w:r>
          </w:p>
        </w:tc>
        <w:tc>
          <w:tcPr>
            <w:tcW w:w="137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Verifications and Bracketing </w:t>
            </w:r>
          </w:p>
        </w:tc>
        <w:tc>
          <w:tcPr>
            <w:tcW w:w="6786"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rPr>
            </w:pPr>
            <w:r w:rsidRPr="002C0452">
              <w:rPr>
                <w:rFonts w:ascii="Calibri" w:eastAsia="Times New Roman" w:hAnsi="Calibri" w:cs="Times New Roman"/>
              </w:rPr>
              <w:t>Clarifie</w:t>
            </w:r>
            <w:r>
              <w:rPr>
                <w:rFonts w:ascii="Calibri" w:eastAsia="Times New Roman" w:hAnsi="Calibri" w:cs="Times New Roman"/>
              </w:rPr>
              <w:t>d</w:t>
            </w:r>
            <w:r w:rsidRPr="002C0452">
              <w:rPr>
                <w:rFonts w:ascii="Calibri" w:eastAsia="Times New Roman" w:hAnsi="Calibri" w:cs="Times New Roman"/>
              </w:rPr>
              <w:t xml:space="preserve"> that samples must be bracketed by successful verifications.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1100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1100, sec. 4.2.4 &amp; 4.</w:t>
            </w:r>
            <w:r>
              <w:rPr>
                <w:rFonts w:ascii="Calibri" w:eastAsia="Times New Roman" w:hAnsi="Calibri" w:cs="Times New Roman"/>
                <w:color w:val="000000"/>
              </w:rPr>
              <w:t>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Documentation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rPr>
            </w:pPr>
            <w:r w:rsidRPr="002C0452">
              <w:rPr>
                <w:rFonts w:ascii="Calibri" w:eastAsia="Times New Roman" w:hAnsi="Calibri" w:cs="Times New Roman"/>
                <w:color w:val="000000"/>
              </w:rPr>
              <w:t xml:space="preserve">Included instructions to report readings to the </w:t>
            </w:r>
            <w:r>
              <w:rPr>
                <w:rFonts w:ascii="Calibri" w:eastAsia="Times New Roman" w:hAnsi="Calibri" w:cs="Times New Roman"/>
                <w:color w:val="000000"/>
              </w:rPr>
              <w:t>resolution of the instrument</w:t>
            </w:r>
            <w:r w:rsidRPr="002C0452">
              <w:rPr>
                <w:rFonts w:ascii="Calibri" w:eastAsia="Times New Roman" w:hAnsi="Calibri" w:cs="Times New Roman"/>
                <w:color w:val="000000"/>
              </w:rPr>
              <w:t>; included instruction to qualify data associated with failed verification.</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1200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1200, sec</w:t>
            </w:r>
            <w:r>
              <w:rPr>
                <w:rFonts w:ascii="Calibri" w:eastAsia="Times New Roman" w:hAnsi="Calibri" w:cs="Times New Roman"/>
                <w:color w:val="000000"/>
              </w:rPr>
              <w:t>.</w:t>
            </w:r>
            <w:r w:rsidRPr="002C0452">
              <w:rPr>
                <w:rFonts w:ascii="Calibri" w:eastAsia="Times New Roman" w:hAnsi="Calibri" w:cs="Times New Roman"/>
                <w:color w:val="000000"/>
              </w:rPr>
              <w:t xml:space="preserve"> 3.2.1</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Calibration and Calibration verification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rPr>
              <w:t>Clarifie</w:t>
            </w:r>
            <w:r>
              <w:rPr>
                <w:rFonts w:ascii="Calibri" w:eastAsia="Times New Roman" w:hAnsi="Calibri" w:cs="Times New Roman"/>
              </w:rPr>
              <w:t>d</w:t>
            </w:r>
            <w:r w:rsidRPr="002C0452">
              <w:rPr>
                <w:rFonts w:ascii="Calibri" w:eastAsia="Times New Roman" w:hAnsi="Calibri" w:cs="Times New Roman"/>
              </w:rPr>
              <w:t xml:space="preserve"> that samples must be bracketed by successful verifications. </w:t>
            </w:r>
          </w:p>
        </w:tc>
      </w:tr>
      <w:tr w:rsidR="00DF4752" w:rsidRPr="002C0452" w:rsidTr="00B85FF5">
        <w:trPr>
          <w:trHeight w:val="864"/>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FT 1200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FT 1200, sec. 3.2.5</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Verification intervals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rPr>
            </w:pPr>
            <w:r>
              <w:rPr>
                <w:rFonts w:ascii="Calibri" w:eastAsia="Times New Roman" w:hAnsi="Calibri" w:cs="Times New Roman"/>
              </w:rPr>
              <w:t xml:space="preserve">Clarified with a reference to FT 1000, sec. 2.2.5.1 &amp; 2.2.5.2.  </w:t>
            </w:r>
          </w:p>
        </w:tc>
      </w:tr>
      <w:tr w:rsidR="00DF4752" w:rsidRPr="002C0452" w:rsidTr="00B85FF5">
        <w:trPr>
          <w:trHeight w:val="864"/>
        </w:trPr>
        <w:tc>
          <w:tcPr>
            <w:tcW w:w="1117" w:type="dxa"/>
            <w:tcBorders>
              <w:top w:val="nil"/>
              <w:left w:val="single" w:sz="4" w:space="0" w:color="auto"/>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1200</w:t>
            </w:r>
          </w:p>
        </w:tc>
        <w:tc>
          <w:tcPr>
            <w:tcW w:w="182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1200, sec. 5.2.4 &amp; 5.3</w:t>
            </w:r>
          </w:p>
        </w:tc>
        <w:tc>
          <w:tcPr>
            <w:tcW w:w="137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Documentation</w:t>
            </w:r>
          </w:p>
        </w:tc>
        <w:tc>
          <w:tcPr>
            <w:tcW w:w="6786"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rPr>
            </w:pPr>
            <w:r w:rsidRPr="002C0452">
              <w:rPr>
                <w:rFonts w:ascii="Calibri" w:eastAsia="Times New Roman" w:hAnsi="Calibri" w:cs="Times New Roman"/>
                <w:color w:val="000000"/>
              </w:rPr>
              <w:t>Included instruction to report readings to the level of resolution stated by the sensor; included instruction to qualify data associated with failed verifications.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FT 1200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FT 1200, sec. 5.3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Calibration verification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Added reference to section 3.2 for clarification of bracketing requirements for samples &lt;100 umhos/cm when using the J-qualifier.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1300</w:t>
            </w:r>
          </w:p>
        </w:tc>
        <w:tc>
          <w:tcPr>
            <w:tcW w:w="182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1300, sec. 3.1.1.3</w:t>
            </w:r>
          </w:p>
        </w:tc>
        <w:tc>
          <w:tcPr>
            <w:tcW w:w="137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Calibration and Use</w:t>
            </w:r>
          </w:p>
        </w:tc>
        <w:tc>
          <w:tcPr>
            <w:tcW w:w="6786"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Include</w:t>
            </w:r>
            <w:r>
              <w:rPr>
                <w:rFonts w:ascii="Calibri" w:eastAsia="Times New Roman" w:hAnsi="Calibri" w:cs="Times New Roman"/>
                <w:color w:val="000000"/>
              </w:rPr>
              <w:t>d</w:t>
            </w:r>
            <w:r w:rsidRPr="002C0452">
              <w:rPr>
                <w:rFonts w:ascii="Calibri" w:eastAsia="Times New Roman" w:hAnsi="Calibri" w:cs="Times New Roman"/>
                <w:color w:val="000000"/>
              </w:rPr>
              <w:t xml:space="preserve"> reference to FT 1200. </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1300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1300, sec. 3.1.1.3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Calibration and Use</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Removed verification with a "zero" standard.</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1300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1300, sec. 3.1.1.4</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Calibration and Use</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rPr>
              <w:t>Clarifie</w:t>
            </w:r>
            <w:r>
              <w:rPr>
                <w:rFonts w:ascii="Calibri" w:eastAsia="Times New Roman" w:hAnsi="Calibri" w:cs="Times New Roman"/>
              </w:rPr>
              <w:t>d</w:t>
            </w:r>
            <w:r w:rsidRPr="002C0452">
              <w:rPr>
                <w:rFonts w:ascii="Calibri" w:eastAsia="Times New Roman" w:hAnsi="Calibri" w:cs="Times New Roman"/>
              </w:rPr>
              <w:t xml:space="preserve"> that samples must be bracketed by successful verifications. </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1300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1300, sec. 5.2.4 &amp; 5.3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Documentation </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rPr>
            </w:pPr>
            <w:r w:rsidRPr="002C0452">
              <w:rPr>
                <w:rFonts w:ascii="Calibri" w:eastAsia="Times New Roman" w:hAnsi="Calibri" w:cs="Times New Roman"/>
                <w:color w:val="000000"/>
              </w:rPr>
              <w:t>Included instruction to report readings to the level of resolution stated by the sensor; included instruction to qualify data associated with failed verifications.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1400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1400, sec. 2.3.4</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Measuring samples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Specifie</w:t>
            </w:r>
            <w:r>
              <w:rPr>
                <w:rFonts w:ascii="Calibri" w:eastAsia="Times New Roman" w:hAnsi="Calibri" w:cs="Times New Roman"/>
                <w:color w:val="000000"/>
              </w:rPr>
              <w:t>d</w:t>
            </w:r>
            <w:r w:rsidRPr="002C0452">
              <w:rPr>
                <w:rFonts w:ascii="Calibri" w:eastAsia="Times New Roman" w:hAnsi="Calibri" w:cs="Times New Roman"/>
                <w:color w:val="000000"/>
              </w:rPr>
              <w:t xml:space="preserve"> that temperature should not be measured from an intermediate container</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1400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1400, sec. 4.2.4 &amp; 4.3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Documentation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Included instruction to report readings to the level of resolution stated by the sensor; included instruction to qualify data associated with failed verifications.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1500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1500, sec. 1.2.3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Standards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The standard for dissolved oxyge</w:t>
            </w:r>
            <w:r>
              <w:rPr>
                <w:rFonts w:ascii="Calibri" w:eastAsia="Times New Roman" w:hAnsi="Calibri" w:cs="Times New Roman"/>
                <w:color w:val="000000"/>
              </w:rPr>
              <w:t>n should be prepared with tap,</w:t>
            </w:r>
            <w:r w:rsidRPr="002C0452">
              <w:rPr>
                <w:rFonts w:ascii="Calibri" w:eastAsia="Times New Roman" w:hAnsi="Calibri" w:cs="Times New Roman"/>
                <w:color w:val="000000"/>
              </w:rPr>
              <w:t xml:space="preserve"> distilled</w:t>
            </w:r>
            <w:r>
              <w:rPr>
                <w:rFonts w:ascii="Calibri" w:eastAsia="Times New Roman" w:hAnsi="Calibri" w:cs="Times New Roman"/>
                <w:color w:val="000000"/>
              </w:rPr>
              <w:t>, or</w:t>
            </w:r>
            <w:r w:rsidRPr="002C0452">
              <w:rPr>
                <w:rFonts w:ascii="Calibri" w:eastAsia="Times New Roman" w:hAnsi="Calibri" w:cs="Times New Roman"/>
                <w:color w:val="000000"/>
              </w:rPr>
              <w:t xml:space="preserve"> site water, prior to </w:t>
            </w:r>
            <w:r>
              <w:rPr>
                <w:rFonts w:ascii="Calibri" w:eastAsia="Times New Roman" w:hAnsi="Calibri" w:cs="Times New Roman"/>
                <w:color w:val="000000"/>
              </w:rPr>
              <w:t xml:space="preserve">or during </w:t>
            </w:r>
            <w:r w:rsidRPr="002C0452">
              <w:rPr>
                <w:rFonts w:ascii="Calibri" w:eastAsia="Times New Roman" w:hAnsi="Calibri" w:cs="Times New Roman"/>
                <w:color w:val="000000"/>
              </w:rPr>
              <w:t xml:space="preserve">site visit, per USGS documents. Included the ability to use pre-formulated zero-DO solutions.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1500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1500, sec. 2.2</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Calibration and use </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rPr>
              <w:t>Clarifie</w:t>
            </w:r>
            <w:r>
              <w:rPr>
                <w:rFonts w:ascii="Calibri" w:eastAsia="Times New Roman" w:hAnsi="Calibri" w:cs="Times New Roman"/>
              </w:rPr>
              <w:t>d</w:t>
            </w:r>
            <w:r w:rsidRPr="002C0452">
              <w:rPr>
                <w:rFonts w:ascii="Calibri" w:eastAsia="Times New Roman" w:hAnsi="Calibri" w:cs="Times New Roman"/>
              </w:rPr>
              <w:t xml:space="preserve"> that samples must be bracketed by successful verifications. </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1500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1500, sec. 2.6</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Measuring DO in samples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rPr>
            </w:pPr>
            <w:r w:rsidRPr="002C0452">
              <w:rPr>
                <w:rFonts w:ascii="Calibri" w:eastAsia="Times New Roman" w:hAnsi="Calibri" w:cs="Times New Roman"/>
                <w:color w:val="000000"/>
              </w:rPr>
              <w:t xml:space="preserve">Do not measure DO from an intermediate container containing static sample.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1500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1500, sec. 4.2.4 &amp; 4.2.9</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Documentation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Included instruction to report readings to the level of resolution stated by the sensor; included instruction to qualify data associated with failed calibrations.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FT 1500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FT 1500, Table 1500-1</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Saturation values for temperature</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Added a reference to Table FS 2200-2 in footnote 1 of Table 1500-1 for temperature look up in 0.1°C increments. </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1800</w:t>
            </w:r>
          </w:p>
        </w:tc>
        <w:tc>
          <w:tcPr>
            <w:tcW w:w="182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1800</w:t>
            </w:r>
          </w:p>
        </w:tc>
        <w:tc>
          <w:tcPr>
            <w:tcW w:w="137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Change/New SOP</w:t>
            </w:r>
          </w:p>
        </w:tc>
        <w:tc>
          <w:tcPr>
            <w:tcW w:w="1911"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Flow and Discharge Measurements in Flowing Waters</w:t>
            </w:r>
          </w:p>
        </w:tc>
        <w:tc>
          <w:tcPr>
            <w:tcW w:w="6786"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 xml:space="preserve">The FT 1800 Field Measurement of Water Flow and Velocity has been revoked and replaced with FT 1800 Field Measurement of Stage, Surface Water Velocity, and Discharge (Flow) and Computation of Streamflow. The new SOP covers direct and indirect methods for the determination of discharge. Chapters from </w:t>
            </w:r>
            <w:r w:rsidRPr="002C0452">
              <w:rPr>
                <w:rFonts w:ascii="Calibri" w:eastAsia="Times New Roman" w:hAnsi="Calibri" w:cs="Times New Roman"/>
                <w:i/>
                <w:iCs/>
                <w:color w:val="000000"/>
              </w:rPr>
              <w:t xml:space="preserve">Techniques of Water Resource Investigations </w:t>
            </w:r>
            <w:r w:rsidRPr="002C0452">
              <w:rPr>
                <w:rFonts w:ascii="Calibri" w:eastAsia="Times New Roman" w:hAnsi="Calibri" w:cs="Times New Roman"/>
                <w:color w:val="000000"/>
              </w:rPr>
              <w:t xml:space="preserve">and </w:t>
            </w:r>
            <w:r w:rsidRPr="002C0452">
              <w:rPr>
                <w:rFonts w:ascii="Calibri" w:eastAsia="Times New Roman" w:hAnsi="Calibri" w:cs="Times New Roman"/>
                <w:i/>
                <w:iCs/>
                <w:color w:val="000000"/>
              </w:rPr>
              <w:t>Techniques &amp; Methods</w:t>
            </w:r>
            <w:r w:rsidRPr="002C0452">
              <w:rPr>
                <w:rFonts w:ascii="Calibri" w:eastAsia="Times New Roman" w:hAnsi="Calibri" w:cs="Times New Roman"/>
                <w:color w:val="000000"/>
              </w:rPr>
              <w:t>, Book 3, published by the United States Geological Service (USGS) are referenced throughout the document.</w:t>
            </w:r>
          </w:p>
        </w:tc>
      </w:tr>
      <w:tr w:rsidR="00DF4752" w:rsidRPr="002C0452" w:rsidTr="00B85FF5">
        <w:trPr>
          <w:trHeight w:val="1440"/>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3000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3001, sec. 2.4</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HA in deep waters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Removed the instruction to use only visible portions of the 100 m stretch as the denominator in habitat availability calculations for stream and river habitat assessment.</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001/01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3000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FT 3100, sec. 2.3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Moss as aquatic habitat</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clarification to include moss as aquatic macrophytes in stream and river habitat assessments if the predominant length is greater than 15 cm.</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002/01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LT 7000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LT 7010, sec. 1 &amp; 3.3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Macroinvertebrate sample preservation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allowance for use of non-formalin based fixative that penetrates and stabilizes tissue without compromising analytical capability (e.g. NOTOXhisto®).</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002/01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LT 7000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LT 7613, sec. 4.4; LT 7623, sec. 4.6</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Macroinvertebrate metric calculations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Replaced the reference to Merritt et al. with reference to the FDEP Statewide Biological Database for taxonomic metric information (scraper and predator identification).</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002/01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LT 7000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Table LT 7600-1</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Plant taxa lists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C of C scores for new plants or those missing scores; updated FLEPPC status as needed.</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1100, sec. 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Sample Collection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guidance for sites with five productive habitats. Field sorting now recommended but not required.</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1110</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Documentation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Record of number of dipnet sweeps now required.</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1200</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Training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Required training is now in Form FD 9000-35 (training checklist) rather than SCI 1000 Appendix.  Use of form FD 9000-35 for training documentation is required.</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1300, sec. 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Performance Criteria</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Organisms left in detrital material after reaching target count will not subtract from sorting efficiency score during audits.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2100, sec. 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Clarification</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BioRecon Determination (Lab)</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rPr>
              <w:t>Clarification to not identify terrestrial or partial organisms in count.</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BRN 2100, sec. 5</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BioRecon Determination (Lab)</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rPr>
            </w:pPr>
            <w:r w:rsidRPr="002C0452">
              <w:rPr>
                <w:rFonts w:ascii="Calibri" w:eastAsia="Times New Roman" w:hAnsi="Calibri" w:cs="Times New Roman"/>
                <w:color w:val="000000"/>
              </w:rPr>
              <w:t>Replaced the reference to Merritt et al. with reference to the FDEP Statewide Biological Database for taxonomic metric information (clinger and filterer identification).</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LVI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LVI 1100, sec. 3.2.11 &amp; 3.3.3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Preventing spread of exotics after LVI sampling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instruction to rinse boat and trailer thoroughly between sites and dispose of voucher specimens properly to prevent spread of invasive exotic plants.</w:t>
            </w:r>
          </w:p>
        </w:tc>
      </w:tr>
      <w:tr w:rsidR="00DF4752" w:rsidRPr="002C0452" w:rsidTr="00B85FF5">
        <w:trPr>
          <w:trHeight w:val="864"/>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LVI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LVI Appendix</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Plant taxa lists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C of C scores for new plants or those missing scores; updated FLEPPC status as needed.</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1000 Appendix</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Training Checklist</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Deleted the checklist from the SCI 1000 Appendix because it was redundant with Form FD 9000-35.</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1100, sec. 1 &amp; 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sample preservation</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allowance for use of non-formalin based fixative that penetrates and stabilizes tissue without compromising analytical capability (e.g. NOTOXhisto®).</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1100, sec. 2.5 &amp; 2.6.3</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Sampling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Added clarification about how to include moss as habitat in SCI sweeps.</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1200, sec. 1</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Training Checklist</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Replaced the reference to SCI 1000 Appendix training checklist to Form FD 9000-35.  Use of form FD 9000-35 for training documentation is required.</w:t>
            </w:r>
          </w:p>
        </w:tc>
      </w:tr>
      <w:tr w:rsidR="00DF4752" w:rsidRPr="002C0452" w:rsidTr="00B85FF5">
        <w:trPr>
          <w:trHeight w:val="576"/>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2200, sec. 5</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score reporting</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Removed the requirement to report the SCI score with the "A" qualifier.</w:t>
            </w:r>
          </w:p>
        </w:tc>
      </w:tr>
      <w:tr w:rsidR="00DF4752" w:rsidRPr="002C0452" w:rsidTr="00B85FF5">
        <w:trPr>
          <w:trHeight w:val="288"/>
        </w:trPr>
        <w:tc>
          <w:tcPr>
            <w:tcW w:w="1117" w:type="dxa"/>
            <w:tcBorders>
              <w:top w:val="nil"/>
              <w:left w:val="single" w:sz="4" w:space="0" w:color="auto"/>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SOP 003/11</w:t>
            </w:r>
          </w:p>
        </w:tc>
        <w:tc>
          <w:tcPr>
            <w:tcW w:w="1000"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1000</w:t>
            </w:r>
          </w:p>
        </w:tc>
        <w:tc>
          <w:tcPr>
            <w:tcW w:w="182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2200, sec. 5.5</w:t>
            </w:r>
          </w:p>
        </w:tc>
        <w:tc>
          <w:tcPr>
            <w:tcW w:w="1377"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Change</w:t>
            </w:r>
          </w:p>
        </w:tc>
        <w:tc>
          <w:tcPr>
            <w:tcW w:w="1911"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SCI metric calculations</w:t>
            </w:r>
          </w:p>
        </w:tc>
        <w:tc>
          <w:tcPr>
            <w:tcW w:w="6786" w:type="dxa"/>
            <w:tcBorders>
              <w:top w:val="nil"/>
              <w:left w:val="nil"/>
              <w:bottom w:val="single" w:sz="4" w:space="0" w:color="auto"/>
              <w:right w:val="single" w:sz="4" w:space="0" w:color="auto"/>
            </w:tcBorders>
            <w:shd w:val="clear" w:color="auto" w:fill="auto"/>
            <w:vAlign w:val="center"/>
            <w:hideMark/>
          </w:tcPr>
          <w:p w:rsidR="00DF4752" w:rsidRPr="002C0452" w:rsidRDefault="00DF4752" w:rsidP="00B3458D">
            <w:pPr>
              <w:spacing w:after="0" w:line="240" w:lineRule="auto"/>
              <w:rPr>
                <w:rFonts w:ascii="Calibri" w:eastAsia="Times New Roman" w:hAnsi="Calibri" w:cs="Times New Roman"/>
                <w:color w:val="000000"/>
              </w:rPr>
            </w:pPr>
            <w:r w:rsidRPr="002C0452">
              <w:rPr>
                <w:rFonts w:ascii="Calibri" w:eastAsia="Times New Roman" w:hAnsi="Calibri" w:cs="Times New Roman"/>
                <w:color w:val="000000"/>
              </w:rPr>
              <w:t>Replaced the reference to Merritt et al. with reference to the FDEP Statewide Biological Database for taxonomic metric information (clinger and filterer identification).</w:t>
            </w:r>
          </w:p>
        </w:tc>
      </w:tr>
      <w:tr w:rsidR="00DF4752" w:rsidRPr="002C0452" w:rsidTr="006B67E6">
        <w:trPr>
          <w:trHeight w:val="576"/>
        </w:trPr>
        <w:tc>
          <w:tcPr>
            <w:tcW w:w="1117" w:type="dxa"/>
            <w:tcBorders>
              <w:top w:val="nil"/>
              <w:left w:val="single" w:sz="4" w:space="0" w:color="auto"/>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p>
        </w:tc>
        <w:tc>
          <w:tcPr>
            <w:tcW w:w="1000"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p>
        </w:tc>
        <w:tc>
          <w:tcPr>
            <w:tcW w:w="182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p>
        </w:tc>
        <w:tc>
          <w:tcPr>
            <w:tcW w:w="1377"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p>
        </w:tc>
        <w:tc>
          <w:tcPr>
            <w:tcW w:w="1911"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p>
        </w:tc>
        <w:tc>
          <w:tcPr>
            <w:tcW w:w="6786" w:type="dxa"/>
            <w:tcBorders>
              <w:top w:val="nil"/>
              <w:left w:val="nil"/>
              <w:bottom w:val="single" w:sz="4" w:space="0" w:color="auto"/>
              <w:right w:val="single" w:sz="4" w:space="0" w:color="auto"/>
            </w:tcBorders>
            <w:shd w:val="clear" w:color="auto" w:fill="auto"/>
            <w:vAlign w:val="center"/>
          </w:tcPr>
          <w:p w:rsidR="00DF4752" w:rsidRPr="002C0452" w:rsidRDefault="00DF4752" w:rsidP="00B3458D">
            <w:pPr>
              <w:spacing w:after="0" w:line="240" w:lineRule="auto"/>
              <w:rPr>
                <w:rFonts w:ascii="Calibri" w:eastAsia="Times New Roman" w:hAnsi="Calibri" w:cs="Times New Roman"/>
                <w:color w:val="000000"/>
              </w:rPr>
            </w:pPr>
          </w:p>
        </w:tc>
      </w:tr>
    </w:tbl>
    <w:p w:rsidR="00A20E32" w:rsidRDefault="00A20E32"/>
    <w:sectPr w:rsidR="00A20E32" w:rsidSect="002C0452">
      <w:headerReference w:type="default" r:id="rId6"/>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0DBA" w:rsidRDefault="00360DBA" w:rsidP="00F24899">
      <w:pPr>
        <w:spacing w:after="0" w:line="240" w:lineRule="auto"/>
      </w:pPr>
      <w:r>
        <w:separator/>
      </w:r>
    </w:p>
  </w:endnote>
  <w:endnote w:type="continuationSeparator" w:id="0">
    <w:p w:rsidR="00360DBA" w:rsidRDefault="00360DBA" w:rsidP="00F24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DBA" w:rsidRDefault="004649D8">
    <w:pPr>
      <w:pStyle w:val="Footer"/>
    </w:pPr>
    <w:r>
      <w:t>April 16, 2018</w:t>
    </w:r>
    <w:r w:rsidR="00360DBA">
      <w:ptab w:relativeTo="margin" w:alignment="center" w:leader="none"/>
    </w:r>
    <w:r w:rsidR="00360DBA">
      <w:tab/>
    </w:r>
    <w:r w:rsidR="00360DBA">
      <w:tab/>
    </w:r>
    <w:r w:rsidR="00360DBA">
      <w:tab/>
    </w:r>
    <w:r w:rsidR="00360DBA">
      <w:tab/>
    </w:r>
    <w:r w:rsidR="00360DBA">
      <w:tab/>
    </w:r>
    <w:r w:rsidR="00360DBA">
      <w:tab/>
    </w:r>
    <w:r w:rsidRPr="004649D8">
      <w:t xml:space="preserve">Page </w:t>
    </w:r>
    <w:r w:rsidRPr="004649D8">
      <w:rPr>
        <w:bCs/>
      </w:rPr>
      <w:fldChar w:fldCharType="begin"/>
    </w:r>
    <w:r w:rsidRPr="004649D8">
      <w:rPr>
        <w:bCs/>
      </w:rPr>
      <w:instrText xml:space="preserve"> PAGE  \* Arabic  \* MERGEFORMAT </w:instrText>
    </w:r>
    <w:r w:rsidRPr="004649D8">
      <w:rPr>
        <w:bCs/>
      </w:rPr>
      <w:fldChar w:fldCharType="separate"/>
    </w:r>
    <w:r w:rsidR="004D2A87">
      <w:rPr>
        <w:bCs/>
        <w:noProof/>
      </w:rPr>
      <w:t>1</w:t>
    </w:r>
    <w:r w:rsidRPr="004649D8">
      <w:rPr>
        <w:bCs/>
      </w:rPr>
      <w:fldChar w:fldCharType="end"/>
    </w:r>
    <w:r w:rsidRPr="004649D8">
      <w:t xml:space="preserve"> of </w:t>
    </w:r>
    <w:r w:rsidRPr="004649D8">
      <w:rPr>
        <w:bCs/>
      </w:rPr>
      <w:fldChar w:fldCharType="begin"/>
    </w:r>
    <w:r w:rsidRPr="004649D8">
      <w:rPr>
        <w:bCs/>
      </w:rPr>
      <w:instrText xml:space="preserve"> NUMPAGES  \* Arabic  \* MERGEFORMAT </w:instrText>
    </w:r>
    <w:r w:rsidRPr="004649D8">
      <w:rPr>
        <w:bCs/>
      </w:rPr>
      <w:fldChar w:fldCharType="separate"/>
    </w:r>
    <w:r w:rsidR="004D2A87">
      <w:rPr>
        <w:bCs/>
        <w:noProof/>
      </w:rPr>
      <w:t>10</w:t>
    </w:r>
    <w:r w:rsidRPr="004649D8">
      <w:rPr>
        <w:bCs/>
      </w:rPr>
      <w:fldChar w:fldCharType="end"/>
    </w:r>
    <w:r w:rsidR="00360DBA" w:rsidRPr="004649D8">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0DBA" w:rsidRDefault="00360DBA" w:rsidP="00F24899">
      <w:pPr>
        <w:spacing w:after="0" w:line="240" w:lineRule="auto"/>
      </w:pPr>
      <w:r>
        <w:separator/>
      </w:r>
    </w:p>
  </w:footnote>
  <w:footnote w:type="continuationSeparator" w:id="0">
    <w:p w:rsidR="00360DBA" w:rsidRDefault="00360DBA" w:rsidP="00F24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DBA" w:rsidRDefault="004649D8" w:rsidP="00BC5F42">
    <w:pPr>
      <w:pStyle w:val="Header"/>
      <w:jc w:val="center"/>
      <w:rPr>
        <w:b/>
        <w:sz w:val="28"/>
      </w:rPr>
    </w:pPr>
    <w:r>
      <w:rPr>
        <w:b/>
        <w:sz w:val="28"/>
      </w:rPr>
      <w:t xml:space="preserve">Summary of </w:t>
    </w:r>
    <w:r w:rsidR="00360DBA" w:rsidRPr="00A52B86">
      <w:rPr>
        <w:b/>
        <w:sz w:val="28"/>
      </w:rPr>
      <w:t>Revisions to DEP SOPs</w:t>
    </w:r>
  </w:p>
  <w:p w:rsidR="004649D8" w:rsidRPr="00A52B86" w:rsidRDefault="004649D8" w:rsidP="00BC5F42">
    <w:pPr>
      <w:pStyle w:val="Header"/>
      <w:jc w:val="center"/>
      <w:rPr>
        <w:b/>
        <w:sz w:val="28"/>
      </w:rPr>
    </w:pPr>
    <w:r>
      <w:rPr>
        <w:b/>
        <w:sz w:val="28"/>
      </w:rPr>
      <w:t>(Revision Date January 2017)</w:t>
    </w:r>
  </w:p>
  <w:p w:rsidR="00360DBA" w:rsidRDefault="00360D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452"/>
    <w:rsid w:val="0005149E"/>
    <w:rsid w:val="000F72B2"/>
    <w:rsid w:val="00280096"/>
    <w:rsid w:val="00297CAC"/>
    <w:rsid w:val="002C0452"/>
    <w:rsid w:val="0031770B"/>
    <w:rsid w:val="00360DBA"/>
    <w:rsid w:val="00415CBB"/>
    <w:rsid w:val="00451823"/>
    <w:rsid w:val="004649D8"/>
    <w:rsid w:val="00494D70"/>
    <w:rsid w:val="004C4E66"/>
    <w:rsid w:val="004D2A87"/>
    <w:rsid w:val="006432AB"/>
    <w:rsid w:val="0066079C"/>
    <w:rsid w:val="0074748F"/>
    <w:rsid w:val="008D7265"/>
    <w:rsid w:val="00A20E32"/>
    <w:rsid w:val="00A52B86"/>
    <w:rsid w:val="00AD53C1"/>
    <w:rsid w:val="00AD7E41"/>
    <w:rsid w:val="00AE3018"/>
    <w:rsid w:val="00B3458D"/>
    <w:rsid w:val="00B85FF5"/>
    <w:rsid w:val="00BC5F42"/>
    <w:rsid w:val="00C005C9"/>
    <w:rsid w:val="00D05097"/>
    <w:rsid w:val="00D1785B"/>
    <w:rsid w:val="00D46729"/>
    <w:rsid w:val="00DF4752"/>
    <w:rsid w:val="00DF577A"/>
    <w:rsid w:val="00EC63F4"/>
    <w:rsid w:val="00EC68CB"/>
    <w:rsid w:val="00F24899"/>
    <w:rsid w:val="00FC3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6D323B-14A8-4D52-ADBC-C4DE5125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8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899"/>
  </w:style>
  <w:style w:type="paragraph" w:styleId="Footer">
    <w:name w:val="footer"/>
    <w:basedOn w:val="Normal"/>
    <w:link w:val="FooterChar"/>
    <w:uiPriority w:val="99"/>
    <w:unhideWhenUsed/>
    <w:rsid w:val="00F24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899"/>
  </w:style>
  <w:style w:type="paragraph" w:styleId="BalloonText">
    <w:name w:val="Balloon Text"/>
    <w:basedOn w:val="Normal"/>
    <w:link w:val="BalloonTextChar"/>
    <w:uiPriority w:val="99"/>
    <w:semiHidden/>
    <w:unhideWhenUsed/>
    <w:rsid w:val="002800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0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40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3129</Words>
  <Characters>17838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Claypool, Jennifer</cp:lastModifiedBy>
  <cp:revision>3</cp:revision>
  <dcterms:created xsi:type="dcterms:W3CDTF">2018-04-17T18:14:00Z</dcterms:created>
  <dcterms:modified xsi:type="dcterms:W3CDTF">2018-06-07T20:18:00Z</dcterms:modified>
</cp:coreProperties>
</file>