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590" w:rsidRDefault="00D35590">
      <w:pPr>
        <w:pStyle w:val="BodyText"/>
        <w:rPr>
          <w:sz w:val="20"/>
        </w:rPr>
      </w:pPr>
      <w:bookmarkStart w:id="0" w:name="_GoBack"/>
      <w:bookmarkEnd w:id="0"/>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rPr>
          <w:sz w:val="20"/>
        </w:rPr>
      </w:pPr>
    </w:p>
    <w:p w:rsidR="00D35590" w:rsidRDefault="00D35590">
      <w:pPr>
        <w:pStyle w:val="BodyText"/>
        <w:spacing w:before="7"/>
        <w:rPr>
          <w:sz w:val="21"/>
        </w:rPr>
      </w:pPr>
    </w:p>
    <w:p w:rsidR="00D35590" w:rsidRDefault="00D75DDE">
      <w:pPr>
        <w:pStyle w:val="Title"/>
        <w:spacing w:before="100"/>
        <w:ind w:left="2849" w:right="3487"/>
      </w:pPr>
      <w:r>
        <w:t>Quality Plan for the</w:t>
      </w:r>
    </w:p>
    <w:p w:rsidR="00D35590" w:rsidRDefault="00D75DDE">
      <w:pPr>
        <w:pStyle w:val="Title"/>
        <w:ind w:firstLine="11"/>
      </w:pPr>
      <w:r>
        <w:rPr>
          <w:spacing w:val="-14"/>
        </w:rPr>
        <w:t xml:space="preserve">Water </w:t>
      </w:r>
      <w:r>
        <w:rPr>
          <w:spacing w:val="-9"/>
        </w:rPr>
        <w:t xml:space="preserve">Quality </w:t>
      </w:r>
      <w:r>
        <w:rPr>
          <w:spacing w:val="-10"/>
        </w:rPr>
        <w:t xml:space="preserve">Standards </w:t>
      </w:r>
      <w:r>
        <w:rPr>
          <w:spacing w:val="-11"/>
        </w:rPr>
        <w:t xml:space="preserve">Program </w:t>
      </w:r>
      <w:r>
        <w:rPr>
          <w:spacing w:val="-9"/>
        </w:rPr>
        <w:t xml:space="preserve">Florida Department </w:t>
      </w:r>
      <w:r>
        <w:rPr>
          <w:spacing w:val="-5"/>
        </w:rPr>
        <w:t>of</w:t>
      </w:r>
      <w:r>
        <w:rPr>
          <w:spacing w:val="-46"/>
        </w:rPr>
        <w:t xml:space="preserve"> </w:t>
      </w:r>
      <w:r>
        <w:rPr>
          <w:spacing w:val="-12"/>
        </w:rPr>
        <w:t xml:space="preserve">Environmental </w:t>
      </w:r>
      <w:r>
        <w:rPr>
          <w:spacing w:val="-11"/>
        </w:rPr>
        <w:t>Protection</w:t>
      </w: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rPr>
          <w:rFonts w:ascii="Cambria"/>
          <w:sz w:val="20"/>
        </w:rPr>
      </w:pPr>
    </w:p>
    <w:p w:rsidR="00D35590" w:rsidRDefault="00D35590">
      <w:pPr>
        <w:pStyle w:val="BodyText"/>
        <w:spacing w:before="1"/>
        <w:rPr>
          <w:rFonts w:ascii="Cambria"/>
          <w:sz w:val="19"/>
        </w:rPr>
      </w:pPr>
    </w:p>
    <w:p w:rsidR="00D35590" w:rsidRDefault="00D75DDE">
      <w:pPr>
        <w:spacing w:before="92" w:line="248" w:lineRule="exact"/>
        <w:ind w:right="2976"/>
        <w:jc w:val="right"/>
        <w:rPr>
          <w:rFonts w:ascii="Book Antiqua"/>
          <w:sz w:val="20"/>
        </w:rPr>
      </w:pPr>
      <w:r>
        <w:rPr>
          <w:noProof/>
        </w:rPr>
        <w:drawing>
          <wp:anchor distT="0" distB="0" distL="0" distR="0" simplePos="0" relativeHeight="15728640" behindDoc="0" locked="0" layoutInCell="1" allowOverlap="1">
            <wp:simplePos x="0" y="0"/>
            <wp:positionH relativeFrom="page">
              <wp:posOffset>5898644</wp:posOffset>
            </wp:positionH>
            <wp:positionV relativeFrom="paragraph">
              <wp:posOffset>-232606</wp:posOffset>
            </wp:positionV>
            <wp:extent cx="1064350" cy="1022421"/>
            <wp:effectExtent l="0" t="0" r="0" b="0"/>
            <wp:wrapNone/>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064350" cy="1022421"/>
                    </a:xfrm>
                    <a:prstGeom prst="rect">
                      <a:avLst/>
                    </a:prstGeom>
                  </pic:spPr>
                </pic:pic>
              </a:graphicData>
            </a:graphic>
          </wp:anchor>
        </w:drawing>
      </w:r>
      <w:r>
        <w:rPr>
          <w:rFonts w:ascii="Book Antiqua"/>
          <w:sz w:val="20"/>
        </w:rPr>
        <w:t>3900 Commonwealth Boulevard, MS</w:t>
      </w:r>
      <w:r>
        <w:rPr>
          <w:rFonts w:ascii="Book Antiqua"/>
          <w:spacing w:val="-10"/>
          <w:sz w:val="20"/>
        </w:rPr>
        <w:t xml:space="preserve"> </w:t>
      </w:r>
      <w:r>
        <w:rPr>
          <w:rFonts w:ascii="Book Antiqua"/>
          <w:sz w:val="20"/>
        </w:rPr>
        <w:t>41</w:t>
      </w:r>
    </w:p>
    <w:p w:rsidR="00D35590" w:rsidRDefault="00D75DDE">
      <w:pPr>
        <w:ind w:left="6048" w:right="2976" w:hanging="802"/>
        <w:jc w:val="right"/>
        <w:rPr>
          <w:rFonts w:ascii="Book Antiqua"/>
          <w:sz w:val="20"/>
        </w:rPr>
      </w:pPr>
      <w:r>
        <w:rPr>
          <w:rFonts w:ascii="Book Antiqua"/>
          <w:sz w:val="20"/>
        </w:rPr>
        <w:t>Tallahassee,</w:t>
      </w:r>
      <w:r>
        <w:rPr>
          <w:rFonts w:ascii="Book Antiqua"/>
          <w:spacing w:val="-5"/>
          <w:sz w:val="20"/>
        </w:rPr>
        <w:t xml:space="preserve"> </w:t>
      </w:r>
      <w:r>
        <w:rPr>
          <w:rFonts w:ascii="Book Antiqua"/>
          <w:sz w:val="20"/>
        </w:rPr>
        <w:t>Florida</w:t>
      </w:r>
      <w:r>
        <w:rPr>
          <w:rFonts w:ascii="Book Antiqua"/>
          <w:spacing w:val="-4"/>
          <w:sz w:val="20"/>
        </w:rPr>
        <w:t xml:space="preserve"> </w:t>
      </w:r>
      <w:r>
        <w:rPr>
          <w:rFonts w:ascii="Book Antiqua"/>
          <w:sz w:val="20"/>
        </w:rPr>
        <w:t>32399-3000</w:t>
      </w:r>
      <w:r>
        <w:rPr>
          <w:rFonts w:ascii="Book Antiqua"/>
          <w:spacing w:val="1"/>
          <w:w w:val="99"/>
          <w:sz w:val="20"/>
        </w:rPr>
        <w:t xml:space="preserve"> </w:t>
      </w:r>
      <w:hyperlink r:id="rId8">
        <w:r>
          <w:rPr>
            <w:rFonts w:ascii="Book Antiqua"/>
            <w:spacing w:val="-1"/>
            <w:sz w:val="20"/>
          </w:rPr>
          <w:t>www.FloridaDEP.gov</w:t>
        </w:r>
      </w:hyperlink>
    </w:p>
    <w:p w:rsidR="00D35590" w:rsidRDefault="00D35590">
      <w:pPr>
        <w:jc w:val="right"/>
        <w:rPr>
          <w:rFonts w:ascii="Book Antiqua"/>
          <w:sz w:val="20"/>
        </w:rPr>
        <w:sectPr w:rsidR="00D35590">
          <w:type w:val="continuous"/>
          <w:pgSz w:w="12240" w:h="15840"/>
          <w:pgMar w:top="1500" w:right="300" w:bottom="280" w:left="940" w:header="720" w:footer="720" w:gutter="0"/>
          <w:cols w:space="720"/>
        </w:sectPr>
      </w:pPr>
    </w:p>
    <w:p w:rsidR="00D35590" w:rsidRDefault="00D75DDE">
      <w:pPr>
        <w:spacing w:before="59" w:line="368" w:lineRule="exact"/>
        <w:ind w:left="140"/>
        <w:rPr>
          <w:b/>
          <w:sz w:val="32"/>
        </w:rPr>
      </w:pPr>
      <w:r>
        <w:rPr>
          <w:b/>
          <w:sz w:val="32"/>
        </w:rPr>
        <w:lastRenderedPageBreak/>
        <w:t>Signature</w:t>
      </w:r>
      <w:r>
        <w:rPr>
          <w:b/>
          <w:spacing w:val="-9"/>
          <w:sz w:val="32"/>
        </w:rPr>
        <w:t xml:space="preserve"> </w:t>
      </w:r>
      <w:r>
        <w:rPr>
          <w:b/>
          <w:sz w:val="32"/>
        </w:rPr>
        <w:t>Page</w:t>
      </w:r>
    </w:p>
    <w:p w:rsidR="00D35590" w:rsidRDefault="00D75DDE">
      <w:pPr>
        <w:pStyle w:val="BodyText"/>
        <w:ind w:left="140" w:right="849"/>
      </w:pPr>
      <w:r>
        <w:t>The undersigned have read and understood this Quality Plan, are charged with managing and improving the quality system, and are responsible for ensuring that all staff properly execute the procedures discussed in the</w:t>
      </w:r>
      <w:r>
        <w:rPr>
          <w:spacing w:val="-2"/>
        </w:rPr>
        <w:t xml:space="preserve"> </w:t>
      </w:r>
      <w:r>
        <w:t>plan.</w:t>
      </w:r>
    </w:p>
    <w:p w:rsidR="00D35590" w:rsidRDefault="00D35590">
      <w:pPr>
        <w:pStyle w:val="BodyText"/>
        <w:spacing w:before="8"/>
        <w:rPr>
          <w:sz w:val="13"/>
        </w:rPr>
      </w:pPr>
    </w:p>
    <w:p w:rsidR="00D35590" w:rsidRDefault="00257E93">
      <w:pPr>
        <w:spacing w:line="254" w:lineRule="auto"/>
        <w:ind w:left="2453" w:right="6301"/>
        <w:rPr>
          <w:rFonts w:ascii="Arial"/>
          <w:sz w:val="15"/>
        </w:rPr>
      </w:pPr>
      <w:r>
        <w:rPr>
          <w:noProof/>
        </w:rPr>
        <mc:AlternateContent>
          <mc:Choice Requires="wps">
            <w:drawing>
              <wp:anchor distT="0" distB="0" distL="114300" distR="114300" simplePos="0" relativeHeight="486599168" behindDoc="1" locked="0" layoutInCell="1" allowOverlap="1">
                <wp:simplePos x="0" y="0"/>
                <wp:positionH relativeFrom="page">
                  <wp:posOffset>1938020</wp:posOffset>
                </wp:positionH>
                <wp:positionV relativeFrom="paragraph">
                  <wp:posOffset>-7620</wp:posOffset>
                </wp:positionV>
                <wp:extent cx="378460" cy="375285"/>
                <wp:effectExtent l="0" t="0" r="0" b="0"/>
                <wp:wrapNone/>
                <wp:docPr id="13" name="AutoShap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460" cy="375285"/>
                        </a:xfrm>
                        <a:custGeom>
                          <a:avLst/>
                          <a:gdLst>
                            <a:gd name="T0" fmla="+- 0 3057 3052"/>
                            <a:gd name="T1" fmla="*/ T0 w 596"/>
                            <a:gd name="T2" fmla="+- 0 549 -12"/>
                            <a:gd name="T3" fmla="*/ 549 h 591"/>
                            <a:gd name="T4" fmla="+- 0 3101 3052"/>
                            <a:gd name="T5" fmla="*/ T4 w 596"/>
                            <a:gd name="T6" fmla="+- 0 578 -12"/>
                            <a:gd name="T7" fmla="*/ 578 h 591"/>
                            <a:gd name="T8" fmla="+- 0 3119 3052"/>
                            <a:gd name="T9" fmla="*/ T8 w 596"/>
                            <a:gd name="T10" fmla="+- 0 489 -12"/>
                            <a:gd name="T11" fmla="*/ 489 h 591"/>
                            <a:gd name="T12" fmla="+- 0 3289 3052"/>
                            <a:gd name="T13" fmla="*/ T12 w 596"/>
                            <a:gd name="T14" fmla="+- 0 15 -12"/>
                            <a:gd name="T15" fmla="*/ 15 h 591"/>
                            <a:gd name="T16" fmla="+- 0 3288 3052"/>
                            <a:gd name="T17" fmla="*/ T16 w 596"/>
                            <a:gd name="T18" fmla="+- 0 78 -12"/>
                            <a:gd name="T19" fmla="*/ 78 h 591"/>
                            <a:gd name="T20" fmla="+- 0 3299 3052"/>
                            <a:gd name="T21" fmla="*/ T20 w 596"/>
                            <a:gd name="T22" fmla="+- 0 142 -12"/>
                            <a:gd name="T23" fmla="*/ 142 h 591"/>
                            <a:gd name="T24" fmla="+- 0 3273 3052"/>
                            <a:gd name="T25" fmla="*/ T24 w 596"/>
                            <a:gd name="T26" fmla="+- 0 269 -12"/>
                            <a:gd name="T27" fmla="*/ 269 h 591"/>
                            <a:gd name="T28" fmla="+- 0 3104 3052"/>
                            <a:gd name="T29" fmla="*/ T28 w 596"/>
                            <a:gd name="T30" fmla="+- 0 557 -12"/>
                            <a:gd name="T31" fmla="*/ 557 h 591"/>
                            <a:gd name="T32" fmla="+- 0 3135 3052"/>
                            <a:gd name="T33" fmla="*/ T32 w 596"/>
                            <a:gd name="T34" fmla="+- 0 550 -12"/>
                            <a:gd name="T35" fmla="*/ 550 h 591"/>
                            <a:gd name="T36" fmla="+- 0 3218 3052"/>
                            <a:gd name="T37" fmla="*/ T36 w 596"/>
                            <a:gd name="T38" fmla="+- 0 428 -12"/>
                            <a:gd name="T39" fmla="*/ 428 h 591"/>
                            <a:gd name="T40" fmla="+- 0 3318 3052"/>
                            <a:gd name="T41" fmla="*/ T40 w 596"/>
                            <a:gd name="T42" fmla="+- 0 208 -12"/>
                            <a:gd name="T43" fmla="*/ 208 h 591"/>
                            <a:gd name="T44" fmla="+- 0 3318 3052"/>
                            <a:gd name="T45" fmla="*/ T44 w 596"/>
                            <a:gd name="T46" fmla="+- 0 142 -12"/>
                            <a:gd name="T47" fmla="*/ 142 h 591"/>
                            <a:gd name="T48" fmla="+- 0 3302 3052"/>
                            <a:gd name="T49" fmla="*/ T48 w 596"/>
                            <a:gd name="T50" fmla="+- 0 43 -12"/>
                            <a:gd name="T51" fmla="*/ 43 h 591"/>
                            <a:gd name="T52" fmla="+- 0 3315 3052"/>
                            <a:gd name="T53" fmla="*/ T52 w 596"/>
                            <a:gd name="T54" fmla="+- 0 -8 -12"/>
                            <a:gd name="T55" fmla="*/ -8 h 591"/>
                            <a:gd name="T56" fmla="+- 0 3641 3052"/>
                            <a:gd name="T57" fmla="*/ T56 w 596"/>
                            <a:gd name="T58" fmla="+- 0 427 -12"/>
                            <a:gd name="T59" fmla="*/ 427 h 591"/>
                            <a:gd name="T60" fmla="+- 0 3624 3052"/>
                            <a:gd name="T61" fmla="*/ T60 w 596"/>
                            <a:gd name="T62" fmla="+- 0 456 -12"/>
                            <a:gd name="T63" fmla="*/ 456 h 591"/>
                            <a:gd name="T64" fmla="+- 0 3621 3052"/>
                            <a:gd name="T65" fmla="*/ T64 w 596"/>
                            <a:gd name="T66" fmla="+- 0 448 -12"/>
                            <a:gd name="T67" fmla="*/ 448 h 591"/>
                            <a:gd name="T68" fmla="+- 0 3641 3052"/>
                            <a:gd name="T69" fmla="*/ T68 w 596"/>
                            <a:gd name="T70" fmla="+- 0 427 -12"/>
                            <a:gd name="T71" fmla="*/ 427 h 591"/>
                            <a:gd name="T72" fmla="+- 0 3644 3052"/>
                            <a:gd name="T73" fmla="*/ T72 w 596"/>
                            <a:gd name="T74" fmla="+- 0 448 -12"/>
                            <a:gd name="T75" fmla="*/ 448 h 591"/>
                            <a:gd name="T76" fmla="+- 0 3647 3052"/>
                            <a:gd name="T77" fmla="*/ T76 w 596"/>
                            <a:gd name="T78" fmla="+- 0 433 -12"/>
                            <a:gd name="T79" fmla="*/ 433 h 591"/>
                            <a:gd name="T80" fmla="+- 0 3627 3052"/>
                            <a:gd name="T81" fmla="*/ T80 w 596"/>
                            <a:gd name="T82" fmla="+- 0 450 -12"/>
                            <a:gd name="T83" fmla="*/ 450 h 591"/>
                            <a:gd name="T84" fmla="+- 0 3637 3052"/>
                            <a:gd name="T85" fmla="*/ T84 w 596"/>
                            <a:gd name="T86" fmla="+- 0 442 -12"/>
                            <a:gd name="T87" fmla="*/ 442 h 591"/>
                            <a:gd name="T88" fmla="+- 0 3630 3052"/>
                            <a:gd name="T89" fmla="*/ T88 w 596"/>
                            <a:gd name="T90" fmla="+- 0 436 -12"/>
                            <a:gd name="T91" fmla="*/ 436 h 591"/>
                            <a:gd name="T92" fmla="+- 0 3637 3052"/>
                            <a:gd name="T93" fmla="*/ T92 w 596"/>
                            <a:gd name="T94" fmla="+- 0 443 -12"/>
                            <a:gd name="T95" fmla="*/ 443 h 591"/>
                            <a:gd name="T96" fmla="+- 0 3636 3052"/>
                            <a:gd name="T97" fmla="*/ T96 w 596"/>
                            <a:gd name="T98" fmla="+- 0 450 -12"/>
                            <a:gd name="T99" fmla="*/ 450 h 591"/>
                            <a:gd name="T100" fmla="+- 0 3637 3052"/>
                            <a:gd name="T101" fmla="*/ T100 w 596"/>
                            <a:gd name="T102" fmla="+- 0 443 -12"/>
                            <a:gd name="T103" fmla="*/ 443 h 591"/>
                            <a:gd name="T104" fmla="+- 0 3635 3052"/>
                            <a:gd name="T105" fmla="*/ T104 w 596"/>
                            <a:gd name="T106" fmla="+- 0 440 -12"/>
                            <a:gd name="T107" fmla="*/ 440 h 591"/>
                            <a:gd name="T108" fmla="+- 0 3638 3052"/>
                            <a:gd name="T109" fmla="*/ T108 w 596"/>
                            <a:gd name="T110" fmla="+- 0 436 -12"/>
                            <a:gd name="T111" fmla="*/ 436 h 591"/>
                            <a:gd name="T112" fmla="+- 0 3384 3052"/>
                            <a:gd name="T113" fmla="*/ T112 w 596"/>
                            <a:gd name="T114" fmla="+- 0 318 -12"/>
                            <a:gd name="T115" fmla="*/ 318 h 591"/>
                            <a:gd name="T116" fmla="+- 0 3331 3052"/>
                            <a:gd name="T117" fmla="*/ T116 w 596"/>
                            <a:gd name="T118" fmla="+- 0 389 -12"/>
                            <a:gd name="T119" fmla="*/ 389 h 591"/>
                            <a:gd name="T120" fmla="+- 0 3274 3052"/>
                            <a:gd name="T121" fmla="*/ T120 w 596"/>
                            <a:gd name="T122" fmla="+- 0 413 -12"/>
                            <a:gd name="T123" fmla="*/ 413 h 591"/>
                            <a:gd name="T124" fmla="+- 0 3510 3052"/>
                            <a:gd name="T125" fmla="*/ T124 w 596"/>
                            <a:gd name="T126" fmla="+- 0 379 -12"/>
                            <a:gd name="T127" fmla="*/ 379 h 591"/>
                            <a:gd name="T128" fmla="+- 0 3619 3052"/>
                            <a:gd name="T129" fmla="*/ T128 w 596"/>
                            <a:gd name="T130" fmla="+- 0 364 -12"/>
                            <a:gd name="T131" fmla="*/ 364 h 591"/>
                            <a:gd name="T132" fmla="+- 0 3445 3052"/>
                            <a:gd name="T133" fmla="*/ T132 w 596"/>
                            <a:gd name="T134" fmla="+- 0 343 -12"/>
                            <a:gd name="T135" fmla="*/ 343 h 591"/>
                            <a:gd name="T136" fmla="+- 0 3363 3052"/>
                            <a:gd name="T137" fmla="*/ T136 w 596"/>
                            <a:gd name="T138" fmla="+- 0 257 -12"/>
                            <a:gd name="T139" fmla="*/ 257 h 591"/>
                            <a:gd name="T140" fmla="+- 0 3464 3052"/>
                            <a:gd name="T141" fmla="*/ T140 w 596"/>
                            <a:gd name="T142" fmla="+- 0 379 -12"/>
                            <a:gd name="T143" fmla="*/ 379 h 591"/>
                            <a:gd name="T144" fmla="+- 0 3610 3052"/>
                            <a:gd name="T145" fmla="*/ T144 w 596"/>
                            <a:gd name="T146" fmla="+- 0 422 -12"/>
                            <a:gd name="T147" fmla="*/ 422 h 591"/>
                            <a:gd name="T148" fmla="+- 0 3622 3052"/>
                            <a:gd name="T149" fmla="*/ T148 w 596"/>
                            <a:gd name="T150" fmla="+- 0 412 -12"/>
                            <a:gd name="T151" fmla="*/ 412 h 591"/>
                            <a:gd name="T152" fmla="+- 0 3510 3052"/>
                            <a:gd name="T153" fmla="*/ T152 w 596"/>
                            <a:gd name="T154" fmla="+- 0 379 -12"/>
                            <a:gd name="T155" fmla="*/ 379 h 591"/>
                            <a:gd name="T156" fmla="+- 0 3640 3052"/>
                            <a:gd name="T157" fmla="*/ T156 w 596"/>
                            <a:gd name="T158" fmla="+- 0 412 -12"/>
                            <a:gd name="T159" fmla="*/ 412 h 591"/>
                            <a:gd name="T160" fmla="+- 0 3589 3052"/>
                            <a:gd name="T161" fmla="*/ T160 w 596"/>
                            <a:gd name="T162" fmla="+- 0 374 -12"/>
                            <a:gd name="T163" fmla="*/ 374 h 591"/>
                            <a:gd name="T164" fmla="+- 0 3647 3052"/>
                            <a:gd name="T165" fmla="*/ T164 w 596"/>
                            <a:gd name="T166" fmla="+- 0 395 -12"/>
                            <a:gd name="T167" fmla="*/ 395 h 591"/>
                            <a:gd name="T168" fmla="+- 0 3546 3052"/>
                            <a:gd name="T169" fmla="*/ T168 w 596"/>
                            <a:gd name="T170" fmla="+- 0 355 -12"/>
                            <a:gd name="T171" fmla="*/ 355 h 591"/>
                            <a:gd name="T172" fmla="+- 0 3597 3052"/>
                            <a:gd name="T173" fmla="*/ T172 w 596"/>
                            <a:gd name="T174" fmla="+- 0 359 -12"/>
                            <a:gd name="T175" fmla="*/ 359 h 591"/>
                            <a:gd name="T176" fmla="+- 0 3333 3052"/>
                            <a:gd name="T177" fmla="*/ T176 w 596"/>
                            <a:gd name="T178" fmla="+- 0 56 -12"/>
                            <a:gd name="T179" fmla="*/ 56 h 591"/>
                            <a:gd name="T180" fmla="+- 0 3330 3052"/>
                            <a:gd name="T181" fmla="*/ T180 w 596"/>
                            <a:gd name="T182" fmla="+- 0 142 -12"/>
                            <a:gd name="T183" fmla="*/ 142 h 591"/>
                            <a:gd name="T184" fmla="+- 0 3336 3052"/>
                            <a:gd name="T185" fmla="*/ T184 w 596"/>
                            <a:gd name="T186" fmla="+- 0 38 -12"/>
                            <a:gd name="T187" fmla="*/ 38 h 591"/>
                            <a:gd name="T188" fmla="+- 0 3328 3052"/>
                            <a:gd name="T189" fmla="*/ T188 w 596"/>
                            <a:gd name="T190" fmla="+- 0 3 -12"/>
                            <a:gd name="T191" fmla="*/ 3 h 591"/>
                            <a:gd name="T192" fmla="+- 0 3333 3052"/>
                            <a:gd name="T193" fmla="*/ T192 w 596"/>
                            <a:gd name="T194" fmla="+- 0 -7 -12"/>
                            <a:gd name="T195" fmla="*/ -7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6" h="591">
                              <a:moveTo>
                                <a:pt x="107" y="466"/>
                              </a:moveTo>
                              <a:lnTo>
                                <a:pt x="56" y="500"/>
                              </a:lnTo>
                              <a:lnTo>
                                <a:pt x="23" y="533"/>
                              </a:lnTo>
                              <a:lnTo>
                                <a:pt x="5" y="561"/>
                              </a:lnTo>
                              <a:lnTo>
                                <a:pt x="0" y="582"/>
                              </a:lnTo>
                              <a:lnTo>
                                <a:pt x="0" y="591"/>
                              </a:lnTo>
                              <a:lnTo>
                                <a:pt x="46" y="591"/>
                              </a:lnTo>
                              <a:lnTo>
                                <a:pt x="49" y="590"/>
                              </a:lnTo>
                              <a:lnTo>
                                <a:pt x="12" y="590"/>
                              </a:lnTo>
                              <a:lnTo>
                                <a:pt x="17" y="568"/>
                              </a:lnTo>
                              <a:lnTo>
                                <a:pt x="36" y="537"/>
                              </a:lnTo>
                              <a:lnTo>
                                <a:pt x="67" y="501"/>
                              </a:lnTo>
                              <a:lnTo>
                                <a:pt x="107" y="466"/>
                              </a:lnTo>
                              <a:close/>
                              <a:moveTo>
                                <a:pt x="255" y="0"/>
                              </a:moveTo>
                              <a:lnTo>
                                <a:pt x="243" y="8"/>
                              </a:lnTo>
                              <a:lnTo>
                                <a:pt x="237" y="27"/>
                              </a:lnTo>
                              <a:lnTo>
                                <a:pt x="234" y="47"/>
                              </a:lnTo>
                              <a:lnTo>
                                <a:pt x="234" y="68"/>
                              </a:lnTo>
                              <a:lnTo>
                                <a:pt x="235" y="76"/>
                              </a:lnTo>
                              <a:lnTo>
                                <a:pt x="236" y="90"/>
                              </a:lnTo>
                              <a:lnTo>
                                <a:pt x="238" y="105"/>
                              </a:lnTo>
                              <a:lnTo>
                                <a:pt x="240" y="121"/>
                              </a:lnTo>
                              <a:lnTo>
                                <a:pt x="243" y="137"/>
                              </a:lnTo>
                              <a:lnTo>
                                <a:pt x="247" y="154"/>
                              </a:lnTo>
                              <a:lnTo>
                                <a:pt x="250" y="170"/>
                              </a:lnTo>
                              <a:lnTo>
                                <a:pt x="255" y="186"/>
                              </a:lnTo>
                              <a:lnTo>
                                <a:pt x="246" y="219"/>
                              </a:lnTo>
                              <a:lnTo>
                                <a:pt x="221" y="281"/>
                              </a:lnTo>
                              <a:lnTo>
                                <a:pt x="186" y="359"/>
                              </a:lnTo>
                              <a:lnTo>
                                <a:pt x="143" y="442"/>
                              </a:lnTo>
                              <a:lnTo>
                                <a:pt x="97" y="516"/>
                              </a:lnTo>
                              <a:lnTo>
                                <a:pt x="52" y="569"/>
                              </a:lnTo>
                              <a:lnTo>
                                <a:pt x="12" y="590"/>
                              </a:lnTo>
                              <a:lnTo>
                                <a:pt x="49" y="590"/>
                              </a:lnTo>
                              <a:lnTo>
                                <a:pt x="51" y="589"/>
                              </a:lnTo>
                              <a:lnTo>
                                <a:pt x="83" y="562"/>
                              </a:lnTo>
                              <a:lnTo>
                                <a:pt x="121" y="514"/>
                              </a:lnTo>
                              <a:lnTo>
                                <a:pt x="166" y="442"/>
                              </a:lnTo>
                              <a:lnTo>
                                <a:pt x="172" y="440"/>
                              </a:lnTo>
                              <a:lnTo>
                                <a:pt x="166" y="440"/>
                              </a:lnTo>
                              <a:lnTo>
                                <a:pt x="209" y="362"/>
                              </a:lnTo>
                              <a:lnTo>
                                <a:pt x="237" y="301"/>
                              </a:lnTo>
                              <a:lnTo>
                                <a:pt x="255" y="255"/>
                              </a:lnTo>
                              <a:lnTo>
                                <a:pt x="266" y="220"/>
                              </a:lnTo>
                              <a:lnTo>
                                <a:pt x="287" y="220"/>
                              </a:lnTo>
                              <a:lnTo>
                                <a:pt x="273" y="185"/>
                              </a:lnTo>
                              <a:lnTo>
                                <a:pt x="278" y="154"/>
                              </a:lnTo>
                              <a:lnTo>
                                <a:pt x="266" y="154"/>
                              </a:lnTo>
                              <a:lnTo>
                                <a:pt x="259" y="127"/>
                              </a:lnTo>
                              <a:lnTo>
                                <a:pt x="254" y="101"/>
                              </a:lnTo>
                              <a:lnTo>
                                <a:pt x="251" y="77"/>
                              </a:lnTo>
                              <a:lnTo>
                                <a:pt x="250" y="55"/>
                              </a:lnTo>
                              <a:lnTo>
                                <a:pt x="251" y="46"/>
                              </a:lnTo>
                              <a:lnTo>
                                <a:pt x="252" y="31"/>
                              </a:lnTo>
                              <a:lnTo>
                                <a:pt x="256" y="15"/>
                              </a:lnTo>
                              <a:lnTo>
                                <a:pt x="263" y="4"/>
                              </a:lnTo>
                              <a:lnTo>
                                <a:pt x="278" y="4"/>
                              </a:lnTo>
                              <a:lnTo>
                                <a:pt x="270" y="1"/>
                              </a:lnTo>
                              <a:lnTo>
                                <a:pt x="255" y="0"/>
                              </a:lnTo>
                              <a:close/>
                              <a:moveTo>
                                <a:pt x="589" y="439"/>
                              </a:moveTo>
                              <a:lnTo>
                                <a:pt x="572" y="439"/>
                              </a:lnTo>
                              <a:lnTo>
                                <a:pt x="566" y="445"/>
                              </a:lnTo>
                              <a:lnTo>
                                <a:pt x="566" y="462"/>
                              </a:lnTo>
                              <a:lnTo>
                                <a:pt x="572" y="468"/>
                              </a:lnTo>
                              <a:lnTo>
                                <a:pt x="589" y="468"/>
                              </a:lnTo>
                              <a:lnTo>
                                <a:pt x="592" y="465"/>
                              </a:lnTo>
                              <a:lnTo>
                                <a:pt x="574" y="465"/>
                              </a:lnTo>
                              <a:lnTo>
                                <a:pt x="569" y="460"/>
                              </a:lnTo>
                              <a:lnTo>
                                <a:pt x="569" y="447"/>
                              </a:lnTo>
                              <a:lnTo>
                                <a:pt x="574" y="442"/>
                              </a:lnTo>
                              <a:lnTo>
                                <a:pt x="592" y="442"/>
                              </a:lnTo>
                              <a:lnTo>
                                <a:pt x="589" y="439"/>
                              </a:lnTo>
                              <a:close/>
                              <a:moveTo>
                                <a:pt x="592" y="442"/>
                              </a:moveTo>
                              <a:lnTo>
                                <a:pt x="587" y="442"/>
                              </a:lnTo>
                              <a:lnTo>
                                <a:pt x="592" y="447"/>
                              </a:lnTo>
                              <a:lnTo>
                                <a:pt x="592" y="460"/>
                              </a:lnTo>
                              <a:lnTo>
                                <a:pt x="587" y="465"/>
                              </a:lnTo>
                              <a:lnTo>
                                <a:pt x="592" y="465"/>
                              </a:lnTo>
                              <a:lnTo>
                                <a:pt x="595" y="462"/>
                              </a:lnTo>
                              <a:lnTo>
                                <a:pt x="595" y="445"/>
                              </a:lnTo>
                              <a:lnTo>
                                <a:pt x="592" y="442"/>
                              </a:lnTo>
                              <a:close/>
                              <a:moveTo>
                                <a:pt x="584" y="444"/>
                              </a:moveTo>
                              <a:lnTo>
                                <a:pt x="575" y="444"/>
                              </a:lnTo>
                              <a:lnTo>
                                <a:pt x="575" y="462"/>
                              </a:lnTo>
                              <a:lnTo>
                                <a:pt x="578" y="462"/>
                              </a:lnTo>
                              <a:lnTo>
                                <a:pt x="578" y="455"/>
                              </a:lnTo>
                              <a:lnTo>
                                <a:pt x="585" y="455"/>
                              </a:lnTo>
                              <a:lnTo>
                                <a:pt x="585" y="454"/>
                              </a:lnTo>
                              <a:lnTo>
                                <a:pt x="583" y="454"/>
                              </a:lnTo>
                              <a:lnTo>
                                <a:pt x="587" y="452"/>
                              </a:lnTo>
                              <a:lnTo>
                                <a:pt x="578" y="452"/>
                              </a:lnTo>
                              <a:lnTo>
                                <a:pt x="578" y="448"/>
                              </a:lnTo>
                              <a:lnTo>
                                <a:pt x="586" y="448"/>
                              </a:lnTo>
                              <a:lnTo>
                                <a:pt x="586" y="446"/>
                              </a:lnTo>
                              <a:lnTo>
                                <a:pt x="584" y="444"/>
                              </a:lnTo>
                              <a:close/>
                              <a:moveTo>
                                <a:pt x="585" y="455"/>
                              </a:moveTo>
                              <a:lnTo>
                                <a:pt x="581" y="455"/>
                              </a:lnTo>
                              <a:lnTo>
                                <a:pt x="583" y="457"/>
                              </a:lnTo>
                              <a:lnTo>
                                <a:pt x="583" y="459"/>
                              </a:lnTo>
                              <a:lnTo>
                                <a:pt x="584" y="462"/>
                              </a:lnTo>
                              <a:lnTo>
                                <a:pt x="587" y="462"/>
                              </a:lnTo>
                              <a:lnTo>
                                <a:pt x="586" y="459"/>
                              </a:lnTo>
                              <a:lnTo>
                                <a:pt x="586" y="456"/>
                              </a:lnTo>
                              <a:lnTo>
                                <a:pt x="585" y="455"/>
                              </a:lnTo>
                              <a:close/>
                              <a:moveTo>
                                <a:pt x="586" y="448"/>
                              </a:moveTo>
                              <a:lnTo>
                                <a:pt x="582" y="448"/>
                              </a:lnTo>
                              <a:lnTo>
                                <a:pt x="583" y="448"/>
                              </a:lnTo>
                              <a:lnTo>
                                <a:pt x="583" y="452"/>
                              </a:lnTo>
                              <a:lnTo>
                                <a:pt x="581" y="452"/>
                              </a:lnTo>
                              <a:lnTo>
                                <a:pt x="587" y="452"/>
                              </a:lnTo>
                              <a:lnTo>
                                <a:pt x="587" y="450"/>
                              </a:lnTo>
                              <a:lnTo>
                                <a:pt x="586" y="448"/>
                              </a:lnTo>
                              <a:close/>
                              <a:moveTo>
                                <a:pt x="287" y="220"/>
                              </a:moveTo>
                              <a:lnTo>
                                <a:pt x="266" y="220"/>
                              </a:lnTo>
                              <a:lnTo>
                                <a:pt x="298" y="285"/>
                              </a:lnTo>
                              <a:lnTo>
                                <a:pt x="332" y="330"/>
                              </a:lnTo>
                              <a:lnTo>
                                <a:pt x="364" y="359"/>
                              </a:lnTo>
                              <a:lnTo>
                                <a:pt x="390" y="375"/>
                              </a:lnTo>
                              <a:lnTo>
                                <a:pt x="335" y="386"/>
                              </a:lnTo>
                              <a:lnTo>
                                <a:pt x="279" y="401"/>
                              </a:lnTo>
                              <a:lnTo>
                                <a:pt x="221" y="419"/>
                              </a:lnTo>
                              <a:lnTo>
                                <a:pt x="166" y="440"/>
                              </a:lnTo>
                              <a:lnTo>
                                <a:pt x="172" y="440"/>
                              </a:lnTo>
                              <a:lnTo>
                                <a:pt x="222" y="425"/>
                              </a:lnTo>
                              <a:lnTo>
                                <a:pt x="284" y="410"/>
                              </a:lnTo>
                              <a:lnTo>
                                <a:pt x="349" y="399"/>
                              </a:lnTo>
                              <a:lnTo>
                                <a:pt x="412" y="391"/>
                              </a:lnTo>
                              <a:lnTo>
                                <a:pt x="458" y="391"/>
                              </a:lnTo>
                              <a:lnTo>
                                <a:pt x="448" y="386"/>
                              </a:lnTo>
                              <a:lnTo>
                                <a:pt x="489" y="385"/>
                              </a:lnTo>
                              <a:lnTo>
                                <a:pt x="583" y="385"/>
                              </a:lnTo>
                              <a:lnTo>
                                <a:pt x="567" y="376"/>
                              </a:lnTo>
                              <a:lnTo>
                                <a:pt x="545" y="371"/>
                              </a:lnTo>
                              <a:lnTo>
                                <a:pt x="421" y="371"/>
                              </a:lnTo>
                              <a:lnTo>
                                <a:pt x="407" y="363"/>
                              </a:lnTo>
                              <a:lnTo>
                                <a:pt x="393" y="355"/>
                              </a:lnTo>
                              <a:lnTo>
                                <a:pt x="380" y="346"/>
                              </a:lnTo>
                              <a:lnTo>
                                <a:pt x="367" y="336"/>
                              </a:lnTo>
                              <a:lnTo>
                                <a:pt x="337" y="306"/>
                              </a:lnTo>
                              <a:lnTo>
                                <a:pt x="311" y="269"/>
                              </a:lnTo>
                              <a:lnTo>
                                <a:pt x="290" y="228"/>
                              </a:lnTo>
                              <a:lnTo>
                                <a:pt x="287" y="220"/>
                              </a:lnTo>
                              <a:close/>
                              <a:moveTo>
                                <a:pt x="458" y="391"/>
                              </a:moveTo>
                              <a:lnTo>
                                <a:pt x="412" y="391"/>
                              </a:lnTo>
                              <a:lnTo>
                                <a:pt x="452" y="409"/>
                              </a:lnTo>
                              <a:lnTo>
                                <a:pt x="491" y="422"/>
                              </a:lnTo>
                              <a:lnTo>
                                <a:pt x="528" y="431"/>
                              </a:lnTo>
                              <a:lnTo>
                                <a:pt x="558" y="434"/>
                              </a:lnTo>
                              <a:lnTo>
                                <a:pt x="577" y="434"/>
                              </a:lnTo>
                              <a:lnTo>
                                <a:pt x="587" y="429"/>
                              </a:lnTo>
                              <a:lnTo>
                                <a:pt x="588" y="424"/>
                              </a:lnTo>
                              <a:lnTo>
                                <a:pt x="570" y="424"/>
                              </a:lnTo>
                              <a:lnTo>
                                <a:pt x="546" y="421"/>
                              </a:lnTo>
                              <a:lnTo>
                                <a:pt x="517" y="414"/>
                              </a:lnTo>
                              <a:lnTo>
                                <a:pt x="483" y="402"/>
                              </a:lnTo>
                              <a:lnTo>
                                <a:pt x="458" y="391"/>
                              </a:lnTo>
                              <a:close/>
                              <a:moveTo>
                                <a:pt x="589" y="420"/>
                              </a:moveTo>
                              <a:lnTo>
                                <a:pt x="585" y="422"/>
                              </a:lnTo>
                              <a:lnTo>
                                <a:pt x="578" y="424"/>
                              </a:lnTo>
                              <a:lnTo>
                                <a:pt x="588" y="424"/>
                              </a:lnTo>
                              <a:lnTo>
                                <a:pt x="589" y="420"/>
                              </a:lnTo>
                              <a:close/>
                              <a:moveTo>
                                <a:pt x="583" y="385"/>
                              </a:moveTo>
                              <a:lnTo>
                                <a:pt x="489" y="385"/>
                              </a:lnTo>
                              <a:lnTo>
                                <a:pt x="537" y="386"/>
                              </a:lnTo>
                              <a:lnTo>
                                <a:pt x="576" y="394"/>
                              </a:lnTo>
                              <a:lnTo>
                                <a:pt x="592" y="413"/>
                              </a:lnTo>
                              <a:lnTo>
                                <a:pt x="593" y="409"/>
                              </a:lnTo>
                              <a:lnTo>
                                <a:pt x="595" y="407"/>
                              </a:lnTo>
                              <a:lnTo>
                                <a:pt x="595" y="403"/>
                              </a:lnTo>
                              <a:lnTo>
                                <a:pt x="588" y="387"/>
                              </a:lnTo>
                              <a:lnTo>
                                <a:pt x="583" y="385"/>
                              </a:lnTo>
                              <a:close/>
                              <a:moveTo>
                                <a:pt x="494" y="367"/>
                              </a:moveTo>
                              <a:lnTo>
                                <a:pt x="478" y="367"/>
                              </a:lnTo>
                              <a:lnTo>
                                <a:pt x="460" y="368"/>
                              </a:lnTo>
                              <a:lnTo>
                                <a:pt x="421" y="371"/>
                              </a:lnTo>
                              <a:lnTo>
                                <a:pt x="545" y="371"/>
                              </a:lnTo>
                              <a:lnTo>
                                <a:pt x="535" y="369"/>
                              </a:lnTo>
                              <a:lnTo>
                                <a:pt x="494" y="367"/>
                              </a:lnTo>
                              <a:close/>
                              <a:moveTo>
                                <a:pt x="284" y="50"/>
                              </a:moveTo>
                              <a:lnTo>
                                <a:pt x="281" y="68"/>
                              </a:lnTo>
                              <a:lnTo>
                                <a:pt x="277" y="91"/>
                              </a:lnTo>
                              <a:lnTo>
                                <a:pt x="272" y="119"/>
                              </a:lnTo>
                              <a:lnTo>
                                <a:pt x="266" y="154"/>
                              </a:lnTo>
                              <a:lnTo>
                                <a:pt x="278" y="154"/>
                              </a:lnTo>
                              <a:lnTo>
                                <a:pt x="278" y="150"/>
                              </a:lnTo>
                              <a:lnTo>
                                <a:pt x="281" y="116"/>
                              </a:lnTo>
                              <a:lnTo>
                                <a:pt x="283" y="84"/>
                              </a:lnTo>
                              <a:lnTo>
                                <a:pt x="284" y="50"/>
                              </a:lnTo>
                              <a:close/>
                              <a:moveTo>
                                <a:pt x="278" y="4"/>
                              </a:moveTo>
                              <a:lnTo>
                                <a:pt x="263" y="4"/>
                              </a:lnTo>
                              <a:lnTo>
                                <a:pt x="270" y="8"/>
                              </a:lnTo>
                              <a:lnTo>
                                <a:pt x="276" y="15"/>
                              </a:lnTo>
                              <a:lnTo>
                                <a:pt x="281" y="25"/>
                              </a:lnTo>
                              <a:lnTo>
                                <a:pt x="284" y="39"/>
                              </a:lnTo>
                              <a:lnTo>
                                <a:pt x="286" y="17"/>
                              </a:lnTo>
                              <a:lnTo>
                                <a:pt x="281" y="5"/>
                              </a:lnTo>
                              <a:lnTo>
                                <a:pt x="278" y="4"/>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95500" id="AutoShape 9" o:spid="_x0000_s1026" style="position:absolute;margin-left:152.6pt;margin-top:-.6pt;width:29.8pt;height:29.55pt;z-index:-167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" path="m107,466l56,500,23,533,5,561,,582r,9l46,591r3,-1l12,590r5,-22l36,537,67,501r40,-35xm255,l243,8r-6,19l234,47r,21l235,76r1,14l238,105r2,16l243,137r4,17l250,170r5,16l246,219r-25,62l186,359r-43,83l97,516,52,569,12,590r37,l51,589,83,562r38,-48l166,442r6,-2l166,440r43,-78l237,301r18,-46l266,220r21,l273,185r5,-31l266,154r-7,-27l254,101,251,77,250,55r1,-9l252,31r4,-16l263,4r15,l270,1,255,xm589,439r-17,l566,445r,17l572,468r17,l592,465r-18,l569,460r,-13l574,442r18,l589,439xm592,442r-5,l592,447r,13l587,465r5,l595,462r,-17l592,442xm584,444r-9,l575,462r3,l578,455r7,l585,454r-2,l587,452r-9,l578,448r8,l586,446r-2,-2xm585,455r-4,l583,457r,2l584,462r3,l586,459r,-3l585,455xm586,448r-4,l583,448r,4l581,452r6,l587,450r-1,-2xm287,220r-21,l298,285r34,45l364,359r26,16l335,386r-56,15l221,419r-55,21l172,440r50,-15l284,410r65,-11l412,391r46,l448,386r41,-1l583,385r-16,-9l545,371r-124,l407,363r-14,-8l380,346,367,336,337,306,311,269,290,228r-3,-8xm458,391r-46,l452,409r39,13l528,431r30,3l577,434r10,-5l588,424r-18,l546,421r-29,-7l483,402,458,391xm589,420r-4,2l578,424r10,l589,420xm583,385r-94,l537,386r39,8l592,413r1,-4l595,407r,-4l588,387r-5,-2xm494,367r-16,l460,368r-39,3l545,371r-10,-2l494,367xm284,50r-3,18l277,91r-5,28l266,154r12,l278,150r3,-34l283,84r1,-34xm278,4r-15,l270,8r6,7l281,25r3,14l286,17,281,5,278,4xe" fillcolor="#ffd8d8" stroked="f">
                <v:path arrowok="t" o:connecttype="custom" o:connectlocs="3175,348615;31115,367030;42545,310515;150495,9525;149860,49530;156845,90170;140335,170815;33020,353695;52705,349250;105410,271780;168910,132080;168910,90170;158750,27305;167005,-5080;374015,271145;363220,289560;361315,284480;374015,271145;375920,284480;377825,274955;365125,285750;371475,280670;367030,276860;371475,281305;370840,285750;371475,281305;370205,279400;372110,276860;210820,201930;177165,247015;140970,262255;290830,240665;360045,231140;249555,217805;197485,163195;261620,240665;354330,267970;361950,261620;290830,240665;373380,261620;340995,237490;377825,250825;313690,225425;346075,227965;178435,35560;176530,90170;180340,24130;175260,1905;178435,-4445" o:connectangles="0,0,0,0,0,0,0,0,0,0,0,0,0,0,0,0,0,0,0,0,0,0,0,0,0,0,0,0,0,0,0,0,0,0,0,0,0,0,0,0,0,0,0,0,0,0,0,0,0"/>
                <w10:wrap anchorx="page"/>
              </v:shape>
            </w:pict>
          </mc:Fallback>
        </mc:AlternateContent>
      </w:r>
      <w:r>
        <w:rPr>
          <w:noProof/>
        </w:rPr>
        <mc:AlternateContent>
          <mc:Choice Requires="wps">
            <w:drawing>
              <wp:anchor distT="0" distB="0" distL="114300" distR="114300" simplePos="0" relativeHeight="15731200" behindDoc="0" locked="0" layoutInCell="1" allowOverlap="1">
                <wp:simplePos x="0" y="0"/>
                <wp:positionH relativeFrom="page">
                  <wp:posOffset>666750</wp:posOffset>
                </wp:positionH>
                <wp:positionV relativeFrom="paragraph">
                  <wp:posOffset>26670</wp:posOffset>
                </wp:positionV>
                <wp:extent cx="1429385" cy="273685"/>
                <wp:effectExtent l="0" t="0" r="0" b="0"/>
                <wp:wrapNone/>
                <wp:docPr id="12"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9385"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line="430" w:lineRule="exact"/>
                              <w:rPr>
                                <w:rFonts w:ascii="Arial"/>
                                <w:sz w:val="38"/>
                              </w:rPr>
                            </w:pPr>
                            <w:r>
                              <w:rPr>
                                <w:rFonts w:ascii="Arial"/>
                                <w:sz w:val="38"/>
                              </w:rPr>
                              <w:t>Daryll Joyner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52.5pt;margin-top:2.1pt;width:112.55pt;height:21.5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" filled="f" stroked="f">
                <v:textbox inset="0,0,0,0">
                  <w:txbxContent>
                    <w:p w:rsidR="00D35590" w:rsidRDefault="00D75DDE">
                      <w:pPr>
                        <w:spacing w:line="430" w:lineRule="exact"/>
                        <w:rPr>
                          <w:rFonts w:ascii="Arial"/>
                          <w:sz w:val="38"/>
                        </w:rPr>
                      </w:pPr>
                      <w:r>
                        <w:rPr>
                          <w:rFonts w:ascii="Arial"/>
                          <w:sz w:val="38"/>
                        </w:rPr>
                        <w:t>Daryll Joyner</w:t>
                      </w:r>
                    </w:p>
                  </w:txbxContent>
                </v:textbox>
                <w10:wrap anchorx="page"/>
              </v:shape>
            </w:pict>
          </mc:Fallback>
        </mc:AlternateContent>
      </w:r>
      <w:r w:rsidR="00D75DDE">
        <w:rPr>
          <w:rFonts w:ascii="Arial"/>
          <w:sz w:val="15"/>
        </w:rPr>
        <w:t>Digitally signed by Daryll Joyner Date: 2020.11.13 10:03:59</w:t>
      </w:r>
    </w:p>
    <w:p w:rsidR="00D35590" w:rsidRDefault="00D75DDE">
      <w:pPr>
        <w:spacing w:line="172" w:lineRule="exact"/>
        <w:ind w:left="2453"/>
        <w:rPr>
          <w:rFonts w:ascii="Arial"/>
          <w:sz w:val="15"/>
        </w:rPr>
      </w:pPr>
      <w:r>
        <w:rPr>
          <w:rFonts w:ascii="Arial"/>
          <w:sz w:val="15"/>
        </w:rPr>
        <w:t>-05'00'</w:t>
      </w:r>
    </w:p>
    <w:p w:rsidR="00D35590" w:rsidRDefault="00D75DDE">
      <w:pPr>
        <w:pStyle w:val="BodyText"/>
        <w:spacing w:before="132"/>
        <w:ind w:left="140" w:right="8607"/>
      </w:pPr>
      <w:r>
        <w:t>Program Administrator Daryll Joyner</w:t>
      </w:r>
    </w:p>
    <w:p w:rsidR="00D35590" w:rsidRDefault="00D35590">
      <w:pPr>
        <w:pStyle w:val="BodyText"/>
        <w:spacing w:before="10"/>
        <w:rPr>
          <w:sz w:val="8"/>
        </w:rPr>
      </w:pPr>
    </w:p>
    <w:p w:rsidR="00D35590" w:rsidRDefault="00257E93">
      <w:pPr>
        <w:spacing w:before="97" w:line="254" w:lineRule="auto"/>
        <w:ind w:left="2446" w:right="6301"/>
        <w:rPr>
          <w:rFonts w:ascii="Arial"/>
          <w:sz w:val="15"/>
        </w:rPr>
      </w:pPr>
      <w:r>
        <w:rPr>
          <w:noProof/>
        </w:rPr>
        <mc:AlternateContent>
          <mc:Choice Requires="wps">
            <w:drawing>
              <wp:anchor distT="0" distB="0" distL="114300" distR="114300" simplePos="0" relativeHeight="486599680" behindDoc="1" locked="0" layoutInCell="1" allowOverlap="1">
                <wp:simplePos x="0" y="0"/>
                <wp:positionH relativeFrom="page">
                  <wp:posOffset>1934210</wp:posOffset>
                </wp:positionH>
                <wp:positionV relativeFrom="paragraph">
                  <wp:posOffset>53975</wp:posOffset>
                </wp:positionV>
                <wp:extent cx="378460" cy="375285"/>
                <wp:effectExtent l="0" t="0" r="0" b="0"/>
                <wp:wrapNone/>
                <wp:docPr id="11" name="AutoShap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460" cy="375285"/>
                        </a:xfrm>
                        <a:custGeom>
                          <a:avLst/>
                          <a:gdLst>
                            <a:gd name="T0" fmla="+- 0 3051 3046"/>
                            <a:gd name="T1" fmla="*/ T0 w 596"/>
                            <a:gd name="T2" fmla="+- 0 646 85"/>
                            <a:gd name="T3" fmla="*/ 646 h 591"/>
                            <a:gd name="T4" fmla="+- 0 3095 3046"/>
                            <a:gd name="T5" fmla="*/ T4 w 596"/>
                            <a:gd name="T6" fmla="+- 0 675 85"/>
                            <a:gd name="T7" fmla="*/ 675 h 591"/>
                            <a:gd name="T8" fmla="+- 0 3113 3046"/>
                            <a:gd name="T9" fmla="*/ T8 w 596"/>
                            <a:gd name="T10" fmla="+- 0 586 85"/>
                            <a:gd name="T11" fmla="*/ 586 h 591"/>
                            <a:gd name="T12" fmla="+- 0 3282 3046"/>
                            <a:gd name="T13" fmla="*/ T12 w 596"/>
                            <a:gd name="T14" fmla="+- 0 112 85"/>
                            <a:gd name="T15" fmla="*/ 112 h 591"/>
                            <a:gd name="T16" fmla="+- 0 3281 3046"/>
                            <a:gd name="T17" fmla="*/ T16 w 596"/>
                            <a:gd name="T18" fmla="+- 0 175 85"/>
                            <a:gd name="T19" fmla="*/ 175 h 591"/>
                            <a:gd name="T20" fmla="+- 0 3292 3046"/>
                            <a:gd name="T21" fmla="*/ T20 w 596"/>
                            <a:gd name="T22" fmla="+- 0 239 85"/>
                            <a:gd name="T23" fmla="*/ 239 h 591"/>
                            <a:gd name="T24" fmla="+- 0 3267 3046"/>
                            <a:gd name="T25" fmla="*/ T24 w 596"/>
                            <a:gd name="T26" fmla="+- 0 366 85"/>
                            <a:gd name="T27" fmla="*/ 366 h 591"/>
                            <a:gd name="T28" fmla="+- 0 3098 3046"/>
                            <a:gd name="T29" fmla="*/ T28 w 596"/>
                            <a:gd name="T30" fmla="+- 0 654 85"/>
                            <a:gd name="T31" fmla="*/ 654 h 591"/>
                            <a:gd name="T32" fmla="+- 0 3128 3046"/>
                            <a:gd name="T33" fmla="*/ T32 w 596"/>
                            <a:gd name="T34" fmla="+- 0 647 85"/>
                            <a:gd name="T35" fmla="*/ 647 h 591"/>
                            <a:gd name="T36" fmla="+- 0 3211 3046"/>
                            <a:gd name="T37" fmla="*/ T36 w 596"/>
                            <a:gd name="T38" fmla="+- 0 525 85"/>
                            <a:gd name="T39" fmla="*/ 525 h 591"/>
                            <a:gd name="T40" fmla="+- 0 3311 3046"/>
                            <a:gd name="T41" fmla="*/ T40 w 596"/>
                            <a:gd name="T42" fmla="+- 0 305 85"/>
                            <a:gd name="T43" fmla="*/ 305 h 591"/>
                            <a:gd name="T44" fmla="+- 0 3311 3046"/>
                            <a:gd name="T45" fmla="*/ T44 w 596"/>
                            <a:gd name="T46" fmla="+- 0 239 85"/>
                            <a:gd name="T47" fmla="*/ 239 h 591"/>
                            <a:gd name="T48" fmla="+- 0 3296 3046"/>
                            <a:gd name="T49" fmla="*/ T48 w 596"/>
                            <a:gd name="T50" fmla="+- 0 140 85"/>
                            <a:gd name="T51" fmla="*/ 140 h 591"/>
                            <a:gd name="T52" fmla="+- 0 3309 3046"/>
                            <a:gd name="T53" fmla="*/ T52 w 596"/>
                            <a:gd name="T54" fmla="+- 0 89 85"/>
                            <a:gd name="T55" fmla="*/ 89 h 591"/>
                            <a:gd name="T56" fmla="+- 0 3635 3046"/>
                            <a:gd name="T57" fmla="*/ T56 w 596"/>
                            <a:gd name="T58" fmla="+- 0 524 85"/>
                            <a:gd name="T59" fmla="*/ 524 h 591"/>
                            <a:gd name="T60" fmla="+- 0 3618 3046"/>
                            <a:gd name="T61" fmla="*/ T60 w 596"/>
                            <a:gd name="T62" fmla="+- 0 553 85"/>
                            <a:gd name="T63" fmla="*/ 553 h 591"/>
                            <a:gd name="T64" fmla="+- 0 3614 3046"/>
                            <a:gd name="T65" fmla="*/ T64 w 596"/>
                            <a:gd name="T66" fmla="+- 0 545 85"/>
                            <a:gd name="T67" fmla="*/ 545 h 591"/>
                            <a:gd name="T68" fmla="+- 0 3635 3046"/>
                            <a:gd name="T69" fmla="*/ T68 w 596"/>
                            <a:gd name="T70" fmla="+- 0 524 85"/>
                            <a:gd name="T71" fmla="*/ 524 h 591"/>
                            <a:gd name="T72" fmla="+- 0 3637 3046"/>
                            <a:gd name="T73" fmla="*/ T72 w 596"/>
                            <a:gd name="T74" fmla="+- 0 545 85"/>
                            <a:gd name="T75" fmla="*/ 545 h 591"/>
                            <a:gd name="T76" fmla="+- 0 3641 3046"/>
                            <a:gd name="T77" fmla="*/ T76 w 596"/>
                            <a:gd name="T78" fmla="+- 0 530 85"/>
                            <a:gd name="T79" fmla="*/ 530 h 591"/>
                            <a:gd name="T80" fmla="+- 0 3620 3046"/>
                            <a:gd name="T81" fmla="*/ T80 w 596"/>
                            <a:gd name="T82" fmla="+- 0 547 85"/>
                            <a:gd name="T83" fmla="*/ 547 h 591"/>
                            <a:gd name="T84" fmla="+- 0 3631 3046"/>
                            <a:gd name="T85" fmla="*/ T84 w 596"/>
                            <a:gd name="T86" fmla="+- 0 539 85"/>
                            <a:gd name="T87" fmla="*/ 539 h 591"/>
                            <a:gd name="T88" fmla="+- 0 3623 3046"/>
                            <a:gd name="T89" fmla="*/ T88 w 596"/>
                            <a:gd name="T90" fmla="+- 0 533 85"/>
                            <a:gd name="T91" fmla="*/ 533 h 591"/>
                            <a:gd name="T92" fmla="+- 0 3631 3046"/>
                            <a:gd name="T93" fmla="*/ T92 w 596"/>
                            <a:gd name="T94" fmla="+- 0 540 85"/>
                            <a:gd name="T95" fmla="*/ 540 h 591"/>
                            <a:gd name="T96" fmla="+- 0 3630 3046"/>
                            <a:gd name="T97" fmla="*/ T96 w 596"/>
                            <a:gd name="T98" fmla="+- 0 547 85"/>
                            <a:gd name="T99" fmla="*/ 547 h 591"/>
                            <a:gd name="T100" fmla="+- 0 3631 3046"/>
                            <a:gd name="T101" fmla="*/ T100 w 596"/>
                            <a:gd name="T102" fmla="+- 0 540 85"/>
                            <a:gd name="T103" fmla="*/ 540 h 591"/>
                            <a:gd name="T104" fmla="+- 0 3629 3046"/>
                            <a:gd name="T105" fmla="*/ T104 w 596"/>
                            <a:gd name="T106" fmla="+- 0 537 85"/>
                            <a:gd name="T107" fmla="*/ 537 h 591"/>
                            <a:gd name="T108" fmla="+- 0 3632 3046"/>
                            <a:gd name="T109" fmla="*/ T108 w 596"/>
                            <a:gd name="T110" fmla="+- 0 533 85"/>
                            <a:gd name="T111" fmla="*/ 533 h 591"/>
                            <a:gd name="T112" fmla="+- 0 3378 3046"/>
                            <a:gd name="T113" fmla="*/ T112 w 596"/>
                            <a:gd name="T114" fmla="+- 0 415 85"/>
                            <a:gd name="T115" fmla="*/ 415 h 591"/>
                            <a:gd name="T116" fmla="+- 0 3324 3046"/>
                            <a:gd name="T117" fmla="*/ T116 w 596"/>
                            <a:gd name="T118" fmla="+- 0 486 85"/>
                            <a:gd name="T119" fmla="*/ 486 h 591"/>
                            <a:gd name="T120" fmla="+- 0 3268 3046"/>
                            <a:gd name="T121" fmla="*/ T120 w 596"/>
                            <a:gd name="T122" fmla="+- 0 510 85"/>
                            <a:gd name="T123" fmla="*/ 510 h 591"/>
                            <a:gd name="T124" fmla="+- 0 3504 3046"/>
                            <a:gd name="T125" fmla="*/ T124 w 596"/>
                            <a:gd name="T126" fmla="+- 0 476 85"/>
                            <a:gd name="T127" fmla="*/ 476 h 591"/>
                            <a:gd name="T128" fmla="+- 0 3613 3046"/>
                            <a:gd name="T129" fmla="*/ T128 w 596"/>
                            <a:gd name="T130" fmla="+- 0 461 85"/>
                            <a:gd name="T131" fmla="*/ 461 h 591"/>
                            <a:gd name="T132" fmla="+- 0 3439 3046"/>
                            <a:gd name="T133" fmla="*/ T132 w 596"/>
                            <a:gd name="T134" fmla="+- 0 440 85"/>
                            <a:gd name="T135" fmla="*/ 440 h 591"/>
                            <a:gd name="T136" fmla="+- 0 3357 3046"/>
                            <a:gd name="T137" fmla="*/ T136 w 596"/>
                            <a:gd name="T138" fmla="+- 0 354 85"/>
                            <a:gd name="T139" fmla="*/ 354 h 591"/>
                            <a:gd name="T140" fmla="+- 0 3458 3046"/>
                            <a:gd name="T141" fmla="*/ T140 w 596"/>
                            <a:gd name="T142" fmla="+- 0 476 85"/>
                            <a:gd name="T143" fmla="*/ 476 h 591"/>
                            <a:gd name="T144" fmla="+- 0 3603 3046"/>
                            <a:gd name="T145" fmla="*/ T144 w 596"/>
                            <a:gd name="T146" fmla="+- 0 519 85"/>
                            <a:gd name="T147" fmla="*/ 519 h 591"/>
                            <a:gd name="T148" fmla="+- 0 3616 3046"/>
                            <a:gd name="T149" fmla="*/ T148 w 596"/>
                            <a:gd name="T150" fmla="+- 0 509 85"/>
                            <a:gd name="T151" fmla="*/ 509 h 591"/>
                            <a:gd name="T152" fmla="+- 0 3504 3046"/>
                            <a:gd name="T153" fmla="*/ T152 w 596"/>
                            <a:gd name="T154" fmla="+- 0 476 85"/>
                            <a:gd name="T155" fmla="*/ 476 h 591"/>
                            <a:gd name="T156" fmla="+- 0 3634 3046"/>
                            <a:gd name="T157" fmla="*/ T156 w 596"/>
                            <a:gd name="T158" fmla="+- 0 509 85"/>
                            <a:gd name="T159" fmla="*/ 509 h 591"/>
                            <a:gd name="T160" fmla="+- 0 3583 3046"/>
                            <a:gd name="T161" fmla="*/ T160 w 596"/>
                            <a:gd name="T162" fmla="+- 0 471 85"/>
                            <a:gd name="T163" fmla="*/ 471 h 591"/>
                            <a:gd name="T164" fmla="+- 0 3641 3046"/>
                            <a:gd name="T165" fmla="*/ T164 w 596"/>
                            <a:gd name="T166" fmla="+- 0 492 85"/>
                            <a:gd name="T167" fmla="*/ 492 h 591"/>
                            <a:gd name="T168" fmla="+- 0 3540 3046"/>
                            <a:gd name="T169" fmla="*/ T168 w 596"/>
                            <a:gd name="T170" fmla="+- 0 452 85"/>
                            <a:gd name="T171" fmla="*/ 452 h 591"/>
                            <a:gd name="T172" fmla="+- 0 3590 3046"/>
                            <a:gd name="T173" fmla="*/ T172 w 596"/>
                            <a:gd name="T174" fmla="+- 0 456 85"/>
                            <a:gd name="T175" fmla="*/ 456 h 591"/>
                            <a:gd name="T176" fmla="+- 0 3326 3046"/>
                            <a:gd name="T177" fmla="*/ T176 w 596"/>
                            <a:gd name="T178" fmla="+- 0 153 85"/>
                            <a:gd name="T179" fmla="*/ 153 h 591"/>
                            <a:gd name="T180" fmla="+- 0 3324 3046"/>
                            <a:gd name="T181" fmla="*/ T180 w 596"/>
                            <a:gd name="T182" fmla="+- 0 239 85"/>
                            <a:gd name="T183" fmla="*/ 239 h 591"/>
                            <a:gd name="T184" fmla="+- 0 3330 3046"/>
                            <a:gd name="T185" fmla="*/ T184 w 596"/>
                            <a:gd name="T186" fmla="+- 0 135 85"/>
                            <a:gd name="T187" fmla="*/ 135 h 591"/>
                            <a:gd name="T188" fmla="+- 0 3322 3046"/>
                            <a:gd name="T189" fmla="*/ T188 w 596"/>
                            <a:gd name="T190" fmla="+- 0 100 85"/>
                            <a:gd name="T191" fmla="*/ 100 h 591"/>
                            <a:gd name="T192" fmla="+- 0 3327 3046"/>
                            <a:gd name="T193" fmla="*/ T192 w 596"/>
                            <a:gd name="T194" fmla="+- 0 90 85"/>
                            <a:gd name="T195" fmla="*/ 90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6" h="591">
                              <a:moveTo>
                                <a:pt x="107" y="466"/>
                              </a:moveTo>
                              <a:lnTo>
                                <a:pt x="55" y="500"/>
                              </a:lnTo>
                              <a:lnTo>
                                <a:pt x="22" y="533"/>
                              </a:lnTo>
                              <a:lnTo>
                                <a:pt x="5" y="561"/>
                              </a:lnTo>
                              <a:lnTo>
                                <a:pt x="0" y="582"/>
                              </a:lnTo>
                              <a:lnTo>
                                <a:pt x="0" y="591"/>
                              </a:lnTo>
                              <a:lnTo>
                                <a:pt x="45" y="591"/>
                              </a:lnTo>
                              <a:lnTo>
                                <a:pt x="49" y="590"/>
                              </a:lnTo>
                              <a:lnTo>
                                <a:pt x="11" y="590"/>
                              </a:lnTo>
                              <a:lnTo>
                                <a:pt x="17" y="568"/>
                              </a:lnTo>
                              <a:lnTo>
                                <a:pt x="36" y="537"/>
                              </a:lnTo>
                              <a:lnTo>
                                <a:pt x="67" y="501"/>
                              </a:lnTo>
                              <a:lnTo>
                                <a:pt x="107" y="466"/>
                              </a:lnTo>
                              <a:close/>
                              <a:moveTo>
                                <a:pt x="254" y="0"/>
                              </a:moveTo>
                              <a:lnTo>
                                <a:pt x="243" y="8"/>
                              </a:lnTo>
                              <a:lnTo>
                                <a:pt x="236" y="27"/>
                              </a:lnTo>
                              <a:lnTo>
                                <a:pt x="234" y="47"/>
                              </a:lnTo>
                              <a:lnTo>
                                <a:pt x="234" y="68"/>
                              </a:lnTo>
                              <a:lnTo>
                                <a:pt x="234" y="76"/>
                              </a:lnTo>
                              <a:lnTo>
                                <a:pt x="235" y="90"/>
                              </a:lnTo>
                              <a:lnTo>
                                <a:pt x="237" y="105"/>
                              </a:lnTo>
                              <a:lnTo>
                                <a:pt x="240" y="121"/>
                              </a:lnTo>
                              <a:lnTo>
                                <a:pt x="243" y="137"/>
                              </a:lnTo>
                              <a:lnTo>
                                <a:pt x="246" y="154"/>
                              </a:lnTo>
                              <a:lnTo>
                                <a:pt x="250" y="170"/>
                              </a:lnTo>
                              <a:lnTo>
                                <a:pt x="254" y="186"/>
                              </a:lnTo>
                              <a:lnTo>
                                <a:pt x="245" y="219"/>
                              </a:lnTo>
                              <a:lnTo>
                                <a:pt x="221" y="281"/>
                              </a:lnTo>
                              <a:lnTo>
                                <a:pt x="186" y="359"/>
                              </a:lnTo>
                              <a:lnTo>
                                <a:pt x="143" y="442"/>
                              </a:lnTo>
                              <a:lnTo>
                                <a:pt x="97" y="516"/>
                              </a:lnTo>
                              <a:lnTo>
                                <a:pt x="52" y="569"/>
                              </a:lnTo>
                              <a:lnTo>
                                <a:pt x="11" y="590"/>
                              </a:lnTo>
                              <a:lnTo>
                                <a:pt x="49" y="590"/>
                              </a:lnTo>
                              <a:lnTo>
                                <a:pt x="51" y="589"/>
                              </a:lnTo>
                              <a:lnTo>
                                <a:pt x="82" y="562"/>
                              </a:lnTo>
                              <a:lnTo>
                                <a:pt x="120" y="514"/>
                              </a:lnTo>
                              <a:lnTo>
                                <a:pt x="165" y="442"/>
                              </a:lnTo>
                              <a:lnTo>
                                <a:pt x="171" y="440"/>
                              </a:lnTo>
                              <a:lnTo>
                                <a:pt x="165" y="440"/>
                              </a:lnTo>
                              <a:lnTo>
                                <a:pt x="208" y="362"/>
                              </a:lnTo>
                              <a:lnTo>
                                <a:pt x="237" y="301"/>
                              </a:lnTo>
                              <a:lnTo>
                                <a:pt x="255" y="255"/>
                              </a:lnTo>
                              <a:lnTo>
                                <a:pt x="265" y="220"/>
                              </a:lnTo>
                              <a:lnTo>
                                <a:pt x="287" y="220"/>
                              </a:lnTo>
                              <a:lnTo>
                                <a:pt x="273" y="185"/>
                              </a:lnTo>
                              <a:lnTo>
                                <a:pt x="278" y="154"/>
                              </a:lnTo>
                              <a:lnTo>
                                <a:pt x="265" y="154"/>
                              </a:lnTo>
                              <a:lnTo>
                                <a:pt x="258" y="127"/>
                              </a:lnTo>
                              <a:lnTo>
                                <a:pt x="254" y="101"/>
                              </a:lnTo>
                              <a:lnTo>
                                <a:pt x="251" y="77"/>
                              </a:lnTo>
                              <a:lnTo>
                                <a:pt x="250" y="55"/>
                              </a:lnTo>
                              <a:lnTo>
                                <a:pt x="250" y="46"/>
                              </a:lnTo>
                              <a:lnTo>
                                <a:pt x="252" y="31"/>
                              </a:lnTo>
                              <a:lnTo>
                                <a:pt x="256" y="15"/>
                              </a:lnTo>
                              <a:lnTo>
                                <a:pt x="263" y="4"/>
                              </a:lnTo>
                              <a:lnTo>
                                <a:pt x="278" y="4"/>
                              </a:lnTo>
                              <a:lnTo>
                                <a:pt x="270" y="1"/>
                              </a:lnTo>
                              <a:lnTo>
                                <a:pt x="254" y="0"/>
                              </a:lnTo>
                              <a:close/>
                              <a:moveTo>
                                <a:pt x="589" y="439"/>
                              </a:moveTo>
                              <a:lnTo>
                                <a:pt x="572" y="439"/>
                              </a:lnTo>
                              <a:lnTo>
                                <a:pt x="565" y="445"/>
                              </a:lnTo>
                              <a:lnTo>
                                <a:pt x="565" y="462"/>
                              </a:lnTo>
                              <a:lnTo>
                                <a:pt x="572" y="468"/>
                              </a:lnTo>
                              <a:lnTo>
                                <a:pt x="589" y="468"/>
                              </a:lnTo>
                              <a:lnTo>
                                <a:pt x="592" y="465"/>
                              </a:lnTo>
                              <a:lnTo>
                                <a:pt x="574" y="465"/>
                              </a:lnTo>
                              <a:lnTo>
                                <a:pt x="568" y="460"/>
                              </a:lnTo>
                              <a:lnTo>
                                <a:pt x="568" y="447"/>
                              </a:lnTo>
                              <a:lnTo>
                                <a:pt x="574" y="442"/>
                              </a:lnTo>
                              <a:lnTo>
                                <a:pt x="592" y="442"/>
                              </a:lnTo>
                              <a:lnTo>
                                <a:pt x="589" y="439"/>
                              </a:lnTo>
                              <a:close/>
                              <a:moveTo>
                                <a:pt x="592" y="442"/>
                              </a:moveTo>
                              <a:lnTo>
                                <a:pt x="587" y="442"/>
                              </a:lnTo>
                              <a:lnTo>
                                <a:pt x="591" y="447"/>
                              </a:lnTo>
                              <a:lnTo>
                                <a:pt x="591" y="460"/>
                              </a:lnTo>
                              <a:lnTo>
                                <a:pt x="587" y="465"/>
                              </a:lnTo>
                              <a:lnTo>
                                <a:pt x="592" y="465"/>
                              </a:lnTo>
                              <a:lnTo>
                                <a:pt x="595" y="462"/>
                              </a:lnTo>
                              <a:lnTo>
                                <a:pt x="595" y="445"/>
                              </a:lnTo>
                              <a:lnTo>
                                <a:pt x="592" y="442"/>
                              </a:lnTo>
                              <a:close/>
                              <a:moveTo>
                                <a:pt x="584" y="444"/>
                              </a:moveTo>
                              <a:lnTo>
                                <a:pt x="574" y="444"/>
                              </a:lnTo>
                              <a:lnTo>
                                <a:pt x="574" y="462"/>
                              </a:lnTo>
                              <a:lnTo>
                                <a:pt x="577" y="462"/>
                              </a:lnTo>
                              <a:lnTo>
                                <a:pt x="577" y="455"/>
                              </a:lnTo>
                              <a:lnTo>
                                <a:pt x="585" y="455"/>
                              </a:lnTo>
                              <a:lnTo>
                                <a:pt x="585" y="454"/>
                              </a:lnTo>
                              <a:lnTo>
                                <a:pt x="583" y="454"/>
                              </a:lnTo>
                              <a:lnTo>
                                <a:pt x="587" y="452"/>
                              </a:lnTo>
                              <a:lnTo>
                                <a:pt x="577" y="452"/>
                              </a:lnTo>
                              <a:lnTo>
                                <a:pt x="577" y="448"/>
                              </a:lnTo>
                              <a:lnTo>
                                <a:pt x="586" y="448"/>
                              </a:lnTo>
                              <a:lnTo>
                                <a:pt x="586" y="446"/>
                              </a:lnTo>
                              <a:lnTo>
                                <a:pt x="584" y="444"/>
                              </a:lnTo>
                              <a:close/>
                              <a:moveTo>
                                <a:pt x="585" y="455"/>
                              </a:moveTo>
                              <a:lnTo>
                                <a:pt x="581" y="455"/>
                              </a:lnTo>
                              <a:lnTo>
                                <a:pt x="582" y="457"/>
                              </a:lnTo>
                              <a:lnTo>
                                <a:pt x="583" y="459"/>
                              </a:lnTo>
                              <a:lnTo>
                                <a:pt x="584" y="462"/>
                              </a:lnTo>
                              <a:lnTo>
                                <a:pt x="587" y="462"/>
                              </a:lnTo>
                              <a:lnTo>
                                <a:pt x="586" y="459"/>
                              </a:lnTo>
                              <a:lnTo>
                                <a:pt x="586" y="456"/>
                              </a:lnTo>
                              <a:lnTo>
                                <a:pt x="585" y="455"/>
                              </a:lnTo>
                              <a:close/>
                              <a:moveTo>
                                <a:pt x="586" y="448"/>
                              </a:moveTo>
                              <a:lnTo>
                                <a:pt x="582" y="448"/>
                              </a:lnTo>
                              <a:lnTo>
                                <a:pt x="583" y="448"/>
                              </a:lnTo>
                              <a:lnTo>
                                <a:pt x="583" y="452"/>
                              </a:lnTo>
                              <a:lnTo>
                                <a:pt x="581" y="452"/>
                              </a:lnTo>
                              <a:lnTo>
                                <a:pt x="587" y="452"/>
                              </a:lnTo>
                              <a:lnTo>
                                <a:pt x="587" y="450"/>
                              </a:lnTo>
                              <a:lnTo>
                                <a:pt x="586" y="448"/>
                              </a:lnTo>
                              <a:close/>
                              <a:moveTo>
                                <a:pt x="287" y="220"/>
                              </a:moveTo>
                              <a:lnTo>
                                <a:pt x="265" y="220"/>
                              </a:lnTo>
                              <a:lnTo>
                                <a:pt x="298" y="285"/>
                              </a:lnTo>
                              <a:lnTo>
                                <a:pt x="332" y="330"/>
                              </a:lnTo>
                              <a:lnTo>
                                <a:pt x="364" y="359"/>
                              </a:lnTo>
                              <a:lnTo>
                                <a:pt x="390" y="375"/>
                              </a:lnTo>
                              <a:lnTo>
                                <a:pt x="335" y="386"/>
                              </a:lnTo>
                              <a:lnTo>
                                <a:pt x="278" y="401"/>
                              </a:lnTo>
                              <a:lnTo>
                                <a:pt x="221" y="419"/>
                              </a:lnTo>
                              <a:lnTo>
                                <a:pt x="165" y="440"/>
                              </a:lnTo>
                              <a:lnTo>
                                <a:pt x="171" y="440"/>
                              </a:lnTo>
                              <a:lnTo>
                                <a:pt x="222" y="425"/>
                              </a:lnTo>
                              <a:lnTo>
                                <a:pt x="284" y="410"/>
                              </a:lnTo>
                              <a:lnTo>
                                <a:pt x="348" y="399"/>
                              </a:lnTo>
                              <a:lnTo>
                                <a:pt x="412" y="391"/>
                              </a:lnTo>
                              <a:lnTo>
                                <a:pt x="458" y="391"/>
                              </a:lnTo>
                              <a:lnTo>
                                <a:pt x="448" y="386"/>
                              </a:lnTo>
                              <a:lnTo>
                                <a:pt x="489" y="385"/>
                              </a:lnTo>
                              <a:lnTo>
                                <a:pt x="583" y="385"/>
                              </a:lnTo>
                              <a:lnTo>
                                <a:pt x="567" y="376"/>
                              </a:lnTo>
                              <a:lnTo>
                                <a:pt x="544" y="371"/>
                              </a:lnTo>
                              <a:lnTo>
                                <a:pt x="421" y="371"/>
                              </a:lnTo>
                              <a:lnTo>
                                <a:pt x="407" y="363"/>
                              </a:lnTo>
                              <a:lnTo>
                                <a:pt x="393" y="355"/>
                              </a:lnTo>
                              <a:lnTo>
                                <a:pt x="380" y="346"/>
                              </a:lnTo>
                              <a:lnTo>
                                <a:pt x="367" y="336"/>
                              </a:lnTo>
                              <a:lnTo>
                                <a:pt x="336" y="306"/>
                              </a:lnTo>
                              <a:lnTo>
                                <a:pt x="311" y="269"/>
                              </a:lnTo>
                              <a:lnTo>
                                <a:pt x="290" y="228"/>
                              </a:lnTo>
                              <a:lnTo>
                                <a:pt x="287" y="220"/>
                              </a:lnTo>
                              <a:close/>
                              <a:moveTo>
                                <a:pt x="458" y="391"/>
                              </a:moveTo>
                              <a:lnTo>
                                <a:pt x="412" y="391"/>
                              </a:lnTo>
                              <a:lnTo>
                                <a:pt x="452" y="409"/>
                              </a:lnTo>
                              <a:lnTo>
                                <a:pt x="491" y="422"/>
                              </a:lnTo>
                              <a:lnTo>
                                <a:pt x="527" y="431"/>
                              </a:lnTo>
                              <a:lnTo>
                                <a:pt x="557" y="434"/>
                              </a:lnTo>
                              <a:lnTo>
                                <a:pt x="576" y="434"/>
                              </a:lnTo>
                              <a:lnTo>
                                <a:pt x="587" y="429"/>
                              </a:lnTo>
                              <a:lnTo>
                                <a:pt x="588" y="424"/>
                              </a:lnTo>
                              <a:lnTo>
                                <a:pt x="570" y="424"/>
                              </a:lnTo>
                              <a:lnTo>
                                <a:pt x="546" y="421"/>
                              </a:lnTo>
                              <a:lnTo>
                                <a:pt x="516" y="414"/>
                              </a:lnTo>
                              <a:lnTo>
                                <a:pt x="483" y="402"/>
                              </a:lnTo>
                              <a:lnTo>
                                <a:pt x="458" y="391"/>
                              </a:lnTo>
                              <a:close/>
                              <a:moveTo>
                                <a:pt x="589" y="420"/>
                              </a:moveTo>
                              <a:lnTo>
                                <a:pt x="585" y="422"/>
                              </a:lnTo>
                              <a:lnTo>
                                <a:pt x="578" y="424"/>
                              </a:lnTo>
                              <a:lnTo>
                                <a:pt x="588" y="424"/>
                              </a:lnTo>
                              <a:lnTo>
                                <a:pt x="589" y="420"/>
                              </a:lnTo>
                              <a:close/>
                              <a:moveTo>
                                <a:pt x="583" y="385"/>
                              </a:moveTo>
                              <a:lnTo>
                                <a:pt x="489" y="385"/>
                              </a:lnTo>
                              <a:lnTo>
                                <a:pt x="537" y="386"/>
                              </a:lnTo>
                              <a:lnTo>
                                <a:pt x="576" y="394"/>
                              </a:lnTo>
                              <a:lnTo>
                                <a:pt x="591" y="413"/>
                              </a:lnTo>
                              <a:lnTo>
                                <a:pt x="593" y="409"/>
                              </a:lnTo>
                              <a:lnTo>
                                <a:pt x="595" y="407"/>
                              </a:lnTo>
                              <a:lnTo>
                                <a:pt x="595" y="403"/>
                              </a:lnTo>
                              <a:lnTo>
                                <a:pt x="588" y="387"/>
                              </a:lnTo>
                              <a:lnTo>
                                <a:pt x="583" y="385"/>
                              </a:lnTo>
                              <a:close/>
                              <a:moveTo>
                                <a:pt x="494" y="367"/>
                              </a:moveTo>
                              <a:lnTo>
                                <a:pt x="478" y="367"/>
                              </a:lnTo>
                              <a:lnTo>
                                <a:pt x="460" y="368"/>
                              </a:lnTo>
                              <a:lnTo>
                                <a:pt x="421" y="371"/>
                              </a:lnTo>
                              <a:lnTo>
                                <a:pt x="544" y="371"/>
                              </a:lnTo>
                              <a:lnTo>
                                <a:pt x="535" y="369"/>
                              </a:lnTo>
                              <a:lnTo>
                                <a:pt x="494" y="367"/>
                              </a:lnTo>
                              <a:close/>
                              <a:moveTo>
                                <a:pt x="284" y="50"/>
                              </a:moveTo>
                              <a:lnTo>
                                <a:pt x="280" y="68"/>
                              </a:lnTo>
                              <a:lnTo>
                                <a:pt x="276" y="91"/>
                              </a:lnTo>
                              <a:lnTo>
                                <a:pt x="272" y="119"/>
                              </a:lnTo>
                              <a:lnTo>
                                <a:pt x="265" y="154"/>
                              </a:lnTo>
                              <a:lnTo>
                                <a:pt x="278" y="154"/>
                              </a:lnTo>
                              <a:lnTo>
                                <a:pt x="278" y="150"/>
                              </a:lnTo>
                              <a:lnTo>
                                <a:pt x="281" y="116"/>
                              </a:lnTo>
                              <a:lnTo>
                                <a:pt x="282" y="84"/>
                              </a:lnTo>
                              <a:lnTo>
                                <a:pt x="284" y="50"/>
                              </a:lnTo>
                              <a:close/>
                              <a:moveTo>
                                <a:pt x="278" y="4"/>
                              </a:moveTo>
                              <a:lnTo>
                                <a:pt x="263" y="4"/>
                              </a:lnTo>
                              <a:lnTo>
                                <a:pt x="269" y="8"/>
                              </a:lnTo>
                              <a:lnTo>
                                <a:pt x="276" y="15"/>
                              </a:lnTo>
                              <a:lnTo>
                                <a:pt x="281" y="25"/>
                              </a:lnTo>
                              <a:lnTo>
                                <a:pt x="284" y="39"/>
                              </a:lnTo>
                              <a:lnTo>
                                <a:pt x="286" y="17"/>
                              </a:lnTo>
                              <a:lnTo>
                                <a:pt x="281" y="5"/>
                              </a:lnTo>
                              <a:lnTo>
                                <a:pt x="278" y="4"/>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EFCDC" id="AutoShape 7" o:spid="_x0000_s1026" style="position:absolute;margin-left:152.3pt;margin-top:4.25pt;width:29.8pt;height:29.55pt;z-index:-1671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" path="m107,466l55,500,22,533,5,561,,582r,9l45,591r4,-1l11,590r6,-22l36,537,67,501r40,-35xm254,l243,8r-7,19l234,47r,21l234,76r1,14l237,105r3,16l243,137r3,17l250,170r4,16l245,219r-24,62l186,359r-43,83l97,516,52,569,11,590r38,l51,589,82,562r38,-48l165,442r6,-2l165,440r43,-78l237,301r18,-46l265,220r22,l273,185r5,-31l265,154r-7,-27l254,101,251,77,250,55r,-9l252,31r4,-16l263,4r15,l270,1,254,xm589,439r-17,l565,445r,17l572,468r17,l592,465r-18,l568,460r,-13l574,442r18,l589,439xm592,442r-5,l591,447r,13l587,465r5,l595,462r,-17l592,442xm584,444r-10,l574,462r3,l577,455r8,l585,454r-2,l587,452r-10,l577,448r9,l586,446r-2,-2xm585,455r-4,l582,457r1,2l584,462r3,l586,459r,-3l585,455xm586,448r-4,l583,448r,4l581,452r6,l587,450r-1,-2xm287,220r-22,l298,285r34,45l364,359r26,16l335,386r-57,15l221,419r-56,21l171,440r51,-15l284,410r64,-11l412,391r46,l448,386r41,-1l583,385r-16,-9l544,371r-123,l407,363r-14,-8l380,346,367,336,336,306,311,269,290,228r-3,-8xm458,391r-46,l452,409r39,13l527,431r30,3l576,434r11,-5l588,424r-18,l546,421r-30,-7l483,402,458,391xm589,420r-4,2l578,424r10,l589,420xm583,385r-94,l537,386r39,8l591,413r2,-4l595,407r,-4l588,387r-5,-2xm494,367r-16,l460,368r-39,3l544,371r-9,-2l494,367xm284,50r-4,18l276,91r-4,28l265,154r13,l278,150r3,-34l282,84r2,-34xm278,4r-15,l269,8r7,7l281,25r3,14l286,17,281,5,278,4xe" fillcolor="#ffd8d8" stroked="f">
                <v:path arrowok="t" o:connecttype="custom" o:connectlocs="3175,410210;31115,428625;42545,372110;149860,71120;149225,111125;156210,151765;140335,232410;33020,415290;52070,410845;104775,333375;168275,193675;168275,151765;158750,88900;167005,56515;374015,332740;363220,351155;360680,346075;374015,332740;375285,346075;377825,336550;364490,347345;371475,342265;366395,338455;371475,342900;370840,347345;371475,342900;370205,340995;372110,338455;210820,263525;176530,308610;140970,323850;290830,302260;360045,292735;249555,279400;197485,224790;261620,302260;353695,329565;361950,323215;290830,302260;373380,323215;340995,299085;377825,312420;313690,287020;345440,289560;177800,97155;176530,151765;180340,85725;175260,63500;178435,57150" o:connectangles="0,0,0,0,0,0,0,0,0,0,0,0,0,0,0,0,0,0,0,0,0,0,0,0,0,0,0,0,0,0,0,0,0,0,0,0,0,0,0,0,0,0,0,0,0,0,0,0,0"/>
                <w10:wrap anchorx="page"/>
              </v:shape>
            </w:pict>
          </mc:Fallback>
        </mc:AlternateContent>
      </w:r>
      <w:r>
        <w:rPr>
          <w:noProof/>
        </w:rPr>
        <mc:AlternateContent>
          <mc:Choice Requires="wps">
            <w:drawing>
              <wp:anchor distT="0" distB="0" distL="114300" distR="114300" simplePos="0" relativeHeight="15731712" behindDoc="0" locked="0" layoutInCell="1" allowOverlap="1">
                <wp:simplePos x="0" y="0"/>
                <wp:positionH relativeFrom="page">
                  <wp:posOffset>666750</wp:posOffset>
                </wp:positionH>
                <wp:positionV relativeFrom="paragraph">
                  <wp:posOffset>95250</wp:posOffset>
                </wp:positionV>
                <wp:extent cx="1438275" cy="260985"/>
                <wp:effectExtent l="0" t="0" r="0" b="0"/>
                <wp:wrapNone/>
                <wp:docPr id="10"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line="409" w:lineRule="exact"/>
                              <w:rPr>
                                <w:rFonts w:ascii="Arial"/>
                                <w:sz w:val="36"/>
                              </w:rPr>
                            </w:pPr>
                            <w:r>
                              <w:rPr>
                                <w:rFonts w:ascii="Arial"/>
                                <w:sz w:val="36"/>
                              </w:rPr>
                              <w:t>Kaitlyn Sutton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52.5pt;margin-top:7.5pt;width:113.25pt;height:20.55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" filled="f" stroked="f">
                <v:textbox inset="0,0,0,0">
                  <w:txbxContent>
                    <w:p w:rsidR="00D35590" w:rsidRDefault="00D75DDE">
                      <w:pPr>
                        <w:spacing w:line="409" w:lineRule="exact"/>
                        <w:rPr>
                          <w:rFonts w:ascii="Arial"/>
                          <w:sz w:val="36"/>
                        </w:rPr>
                      </w:pPr>
                      <w:r>
                        <w:rPr>
                          <w:rFonts w:ascii="Arial"/>
                          <w:sz w:val="36"/>
                        </w:rPr>
                        <w:t>Kaitlyn Sutton</w:t>
                      </w:r>
                    </w:p>
                  </w:txbxContent>
                </v:textbox>
                <w10:wrap anchorx="page"/>
              </v:shape>
            </w:pict>
          </mc:Fallback>
        </mc:AlternateContent>
      </w:r>
      <w:r w:rsidR="00D75DDE">
        <w:rPr>
          <w:rFonts w:ascii="Arial"/>
          <w:sz w:val="15"/>
        </w:rPr>
        <w:t>Digitally signed by Kaitlyn Sutton Date: 2020.11.17 14:33:23</w:t>
      </w:r>
    </w:p>
    <w:p w:rsidR="00D35590" w:rsidRDefault="00D75DDE">
      <w:pPr>
        <w:spacing w:line="172" w:lineRule="exact"/>
        <w:ind w:left="2446"/>
        <w:rPr>
          <w:rFonts w:ascii="Arial"/>
          <w:sz w:val="15"/>
        </w:rPr>
      </w:pPr>
      <w:r>
        <w:rPr>
          <w:rFonts w:ascii="Arial"/>
          <w:sz w:val="15"/>
        </w:rPr>
        <w:t>-05'00'</w:t>
      </w:r>
    </w:p>
    <w:p w:rsidR="00D35590" w:rsidRDefault="00D75DDE">
      <w:pPr>
        <w:pStyle w:val="BodyText"/>
        <w:spacing w:before="92"/>
        <w:ind w:left="140" w:right="8007"/>
      </w:pPr>
      <w:r>
        <w:t>Environmental Administrator Kaitlyn Sutton</w:t>
      </w:r>
    </w:p>
    <w:p w:rsidR="00D35590" w:rsidRDefault="00D35590">
      <w:pPr>
        <w:pStyle w:val="BodyText"/>
        <w:spacing w:before="7"/>
        <w:rPr>
          <w:sz w:val="28"/>
        </w:rPr>
      </w:pPr>
    </w:p>
    <w:p w:rsidR="00D35590" w:rsidRDefault="00257E93">
      <w:pPr>
        <w:spacing w:line="254" w:lineRule="auto"/>
        <w:ind w:left="2434" w:right="6301"/>
        <w:rPr>
          <w:rFonts w:ascii="Arial"/>
          <w:sz w:val="14"/>
        </w:rPr>
      </w:pPr>
      <w:r>
        <w:rPr>
          <w:noProof/>
        </w:rPr>
        <mc:AlternateContent>
          <mc:Choice Requires="wps">
            <w:drawing>
              <wp:anchor distT="0" distB="0" distL="114300" distR="114300" simplePos="0" relativeHeight="486600192" behindDoc="1" locked="0" layoutInCell="1" allowOverlap="1">
                <wp:simplePos x="0" y="0"/>
                <wp:positionH relativeFrom="page">
                  <wp:posOffset>1925955</wp:posOffset>
                </wp:positionH>
                <wp:positionV relativeFrom="paragraph">
                  <wp:posOffset>-73025</wp:posOffset>
                </wp:positionV>
                <wp:extent cx="378460" cy="375285"/>
                <wp:effectExtent l="0" t="0" r="0" b="0"/>
                <wp:wrapNone/>
                <wp:docPr id="9" name="AutoShap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460" cy="375285"/>
                        </a:xfrm>
                        <a:custGeom>
                          <a:avLst/>
                          <a:gdLst>
                            <a:gd name="T0" fmla="+- 0 3038 3033"/>
                            <a:gd name="T1" fmla="*/ T0 w 596"/>
                            <a:gd name="T2" fmla="+- 0 445 -115"/>
                            <a:gd name="T3" fmla="*/ 445 h 591"/>
                            <a:gd name="T4" fmla="+- 0 3082 3033"/>
                            <a:gd name="T5" fmla="*/ T4 w 596"/>
                            <a:gd name="T6" fmla="+- 0 474 -115"/>
                            <a:gd name="T7" fmla="*/ 474 h 591"/>
                            <a:gd name="T8" fmla="+- 0 3101 3033"/>
                            <a:gd name="T9" fmla="*/ T8 w 596"/>
                            <a:gd name="T10" fmla="+- 0 386 -115"/>
                            <a:gd name="T11" fmla="*/ 386 h 591"/>
                            <a:gd name="T12" fmla="+- 0 3270 3033"/>
                            <a:gd name="T13" fmla="*/ T12 w 596"/>
                            <a:gd name="T14" fmla="+- 0 -89 -115"/>
                            <a:gd name="T15" fmla="*/ -89 h 591"/>
                            <a:gd name="T16" fmla="+- 0 3269 3033"/>
                            <a:gd name="T17" fmla="*/ T16 w 596"/>
                            <a:gd name="T18" fmla="+- 0 -26 -115"/>
                            <a:gd name="T19" fmla="*/ -26 h 591"/>
                            <a:gd name="T20" fmla="+- 0 3280 3033"/>
                            <a:gd name="T21" fmla="*/ T20 w 596"/>
                            <a:gd name="T22" fmla="+- 0 38 -115"/>
                            <a:gd name="T23" fmla="*/ 38 h 591"/>
                            <a:gd name="T24" fmla="+- 0 3255 3033"/>
                            <a:gd name="T25" fmla="*/ T24 w 596"/>
                            <a:gd name="T26" fmla="+- 0 165 -115"/>
                            <a:gd name="T27" fmla="*/ 165 h 591"/>
                            <a:gd name="T28" fmla="+- 0 3085 3033"/>
                            <a:gd name="T29" fmla="*/ T28 w 596"/>
                            <a:gd name="T30" fmla="+- 0 454 -115"/>
                            <a:gd name="T31" fmla="*/ 454 h 591"/>
                            <a:gd name="T32" fmla="+- 0 3116 3033"/>
                            <a:gd name="T33" fmla="*/ T32 w 596"/>
                            <a:gd name="T34" fmla="+- 0 446 -115"/>
                            <a:gd name="T35" fmla="*/ 446 h 591"/>
                            <a:gd name="T36" fmla="+- 0 3199 3033"/>
                            <a:gd name="T37" fmla="*/ T36 w 596"/>
                            <a:gd name="T38" fmla="+- 0 325 -115"/>
                            <a:gd name="T39" fmla="*/ 325 h 591"/>
                            <a:gd name="T40" fmla="+- 0 3299 3033"/>
                            <a:gd name="T41" fmla="*/ T40 w 596"/>
                            <a:gd name="T42" fmla="+- 0 104 -115"/>
                            <a:gd name="T43" fmla="*/ 104 h 591"/>
                            <a:gd name="T44" fmla="+- 0 3299 3033"/>
                            <a:gd name="T45" fmla="*/ T44 w 596"/>
                            <a:gd name="T46" fmla="+- 0 38 -115"/>
                            <a:gd name="T47" fmla="*/ 38 h 591"/>
                            <a:gd name="T48" fmla="+- 0 3284 3033"/>
                            <a:gd name="T49" fmla="*/ T48 w 596"/>
                            <a:gd name="T50" fmla="+- 0 -60 -115"/>
                            <a:gd name="T51" fmla="*/ -60 h 591"/>
                            <a:gd name="T52" fmla="+- 0 3296 3033"/>
                            <a:gd name="T53" fmla="*/ T52 w 596"/>
                            <a:gd name="T54" fmla="+- 0 -112 -115"/>
                            <a:gd name="T55" fmla="*/ -112 h 591"/>
                            <a:gd name="T56" fmla="+- 0 3622 3033"/>
                            <a:gd name="T57" fmla="*/ T56 w 596"/>
                            <a:gd name="T58" fmla="+- 0 324 -115"/>
                            <a:gd name="T59" fmla="*/ 324 h 591"/>
                            <a:gd name="T60" fmla="+- 0 3605 3033"/>
                            <a:gd name="T61" fmla="*/ T60 w 596"/>
                            <a:gd name="T62" fmla="+- 0 352 -115"/>
                            <a:gd name="T63" fmla="*/ 352 h 591"/>
                            <a:gd name="T64" fmla="+- 0 3602 3033"/>
                            <a:gd name="T65" fmla="*/ T64 w 596"/>
                            <a:gd name="T66" fmla="+- 0 344 -115"/>
                            <a:gd name="T67" fmla="*/ 344 h 591"/>
                            <a:gd name="T68" fmla="+- 0 3622 3033"/>
                            <a:gd name="T69" fmla="*/ T68 w 596"/>
                            <a:gd name="T70" fmla="+- 0 324 -115"/>
                            <a:gd name="T71" fmla="*/ 324 h 591"/>
                            <a:gd name="T72" fmla="+- 0 3625 3033"/>
                            <a:gd name="T73" fmla="*/ T72 w 596"/>
                            <a:gd name="T74" fmla="+- 0 344 -115"/>
                            <a:gd name="T75" fmla="*/ 344 h 591"/>
                            <a:gd name="T76" fmla="+- 0 3628 3033"/>
                            <a:gd name="T77" fmla="*/ T76 w 596"/>
                            <a:gd name="T78" fmla="+- 0 330 -115"/>
                            <a:gd name="T79" fmla="*/ 330 h 591"/>
                            <a:gd name="T80" fmla="+- 0 3608 3033"/>
                            <a:gd name="T81" fmla="*/ T80 w 596"/>
                            <a:gd name="T82" fmla="+- 0 346 -115"/>
                            <a:gd name="T83" fmla="*/ 346 h 591"/>
                            <a:gd name="T84" fmla="+- 0 3618 3033"/>
                            <a:gd name="T85" fmla="*/ T84 w 596"/>
                            <a:gd name="T86" fmla="+- 0 339 -115"/>
                            <a:gd name="T87" fmla="*/ 339 h 591"/>
                            <a:gd name="T88" fmla="+- 0 3611 3033"/>
                            <a:gd name="T89" fmla="*/ T88 w 596"/>
                            <a:gd name="T90" fmla="+- 0 332 -115"/>
                            <a:gd name="T91" fmla="*/ 332 h 591"/>
                            <a:gd name="T92" fmla="+- 0 3619 3033"/>
                            <a:gd name="T93" fmla="*/ T92 w 596"/>
                            <a:gd name="T94" fmla="+- 0 339 -115"/>
                            <a:gd name="T95" fmla="*/ 339 h 591"/>
                            <a:gd name="T96" fmla="+- 0 3617 3033"/>
                            <a:gd name="T97" fmla="*/ T96 w 596"/>
                            <a:gd name="T98" fmla="+- 0 346 -115"/>
                            <a:gd name="T99" fmla="*/ 346 h 591"/>
                            <a:gd name="T100" fmla="+- 0 3619 3033"/>
                            <a:gd name="T101" fmla="*/ T100 w 596"/>
                            <a:gd name="T102" fmla="+- 0 339 -115"/>
                            <a:gd name="T103" fmla="*/ 339 h 591"/>
                            <a:gd name="T104" fmla="+- 0 3616 3033"/>
                            <a:gd name="T105" fmla="*/ T104 w 596"/>
                            <a:gd name="T106" fmla="+- 0 336 -115"/>
                            <a:gd name="T107" fmla="*/ 336 h 591"/>
                            <a:gd name="T108" fmla="+- 0 3620 3033"/>
                            <a:gd name="T109" fmla="*/ T108 w 596"/>
                            <a:gd name="T110" fmla="+- 0 332 -115"/>
                            <a:gd name="T111" fmla="*/ 332 h 591"/>
                            <a:gd name="T112" fmla="+- 0 3365 3033"/>
                            <a:gd name="T113" fmla="*/ T112 w 596"/>
                            <a:gd name="T114" fmla="+- 0 215 -115"/>
                            <a:gd name="T115" fmla="*/ 215 h 591"/>
                            <a:gd name="T116" fmla="+- 0 3312 3033"/>
                            <a:gd name="T117" fmla="*/ T116 w 596"/>
                            <a:gd name="T118" fmla="+- 0 285 -115"/>
                            <a:gd name="T119" fmla="*/ 285 h 591"/>
                            <a:gd name="T120" fmla="+- 0 3256 3033"/>
                            <a:gd name="T121" fmla="*/ T120 w 596"/>
                            <a:gd name="T122" fmla="+- 0 309 -115"/>
                            <a:gd name="T123" fmla="*/ 309 h 591"/>
                            <a:gd name="T124" fmla="+- 0 3491 3033"/>
                            <a:gd name="T125" fmla="*/ T124 w 596"/>
                            <a:gd name="T126" fmla="+- 0 275 -115"/>
                            <a:gd name="T127" fmla="*/ 275 h 591"/>
                            <a:gd name="T128" fmla="+- 0 3600 3033"/>
                            <a:gd name="T129" fmla="*/ T128 w 596"/>
                            <a:gd name="T130" fmla="+- 0 260 -115"/>
                            <a:gd name="T131" fmla="*/ 260 h 591"/>
                            <a:gd name="T132" fmla="+- 0 3427 3033"/>
                            <a:gd name="T133" fmla="*/ T132 w 596"/>
                            <a:gd name="T134" fmla="+- 0 239 -115"/>
                            <a:gd name="T135" fmla="*/ 239 h 591"/>
                            <a:gd name="T136" fmla="+- 0 3344 3033"/>
                            <a:gd name="T137" fmla="*/ T136 w 596"/>
                            <a:gd name="T138" fmla="+- 0 153 -115"/>
                            <a:gd name="T139" fmla="*/ 153 h 591"/>
                            <a:gd name="T140" fmla="+- 0 3445 3033"/>
                            <a:gd name="T141" fmla="*/ T140 w 596"/>
                            <a:gd name="T142" fmla="+- 0 275 -115"/>
                            <a:gd name="T143" fmla="*/ 275 h 591"/>
                            <a:gd name="T144" fmla="+- 0 3591 3033"/>
                            <a:gd name="T145" fmla="*/ T144 w 596"/>
                            <a:gd name="T146" fmla="+- 0 318 -115"/>
                            <a:gd name="T147" fmla="*/ 318 h 591"/>
                            <a:gd name="T148" fmla="+- 0 3604 3033"/>
                            <a:gd name="T149" fmla="*/ T148 w 596"/>
                            <a:gd name="T150" fmla="+- 0 308 -115"/>
                            <a:gd name="T151" fmla="*/ 308 h 591"/>
                            <a:gd name="T152" fmla="+- 0 3491 3033"/>
                            <a:gd name="T153" fmla="*/ T152 w 596"/>
                            <a:gd name="T154" fmla="+- 0 275 -115"/>
                            <a:gd name="T155" fmla="*/ 275 h 591"/>
                            <a:gd name="T156" fmla="+- 0 3621 3033"/>
                            <a:gd name="T157" fmla="*/ T156 w 596"/>
                            <a:gd name="T158" fmla="+- 0 308 -115"/>
                            <a:gd name="T159" fmla="*/ 308 h 591"/>
                            <a:gd name="T160" fmla="+- 0 3570 3033"/>
                            <a:gd name="T161" fmla="*/ T160 w 596"/>
                            <a:gd name="T162" fmla="+- 0 270 -115"/>
                            <a:gd name="T163" fmla="*/ 270 h 591"/>
                            <a:gd name="T164" fmla="+- 0 3628 3033"/>
                            <a:gd name="T165" fmla="*/ T164 w 596"/>
                            <a:gd name="T166" fmla="+- 0 291 -115"/>
                            <a:gd name="T167" fmla="*/ 291 h 591"/>
                            <a:gd name="T168" fmla="+- 0 3527 3033"/>
                            <a:gd name="T169" fmla="*/ T168 w 596"/>
                            <a:gd name="T170" fmla="+- 0 251 -115"/>
                            <a:gd name="T171" fmla="*/ 251 h 591"/>
                            <a:gd name="T172" fmla="+- 0 3578 3033"/>
                            <a:gd name="T173" fmla="*/ T172 w 596"/>
                            <a:gd name="T174" fmla="+- 0 256 -115"/>
                            <a:gd name="T175" fmla="*/ 256 h 591"/>
                            <a:gd name="T176" fmla="+- 0 3314 3033"/>
                            <a:gd name="T177" fmla="*/ T176 w 596"/>
                            <a:gd name="T178" fmla="+- 0 -48 -115"/>
                            <a:gd name="T179" fmla="*/ -48 h 591"/>
                            <a:gd name="T180" fmla="+- 0 3311 3033"/>
                            <a:gd name="T181" fmla="*/ T180 w 596"/>
                            <a:gd name="T182" fmla="+- 0 38 -115"/>
                            <a:gd name="T183" fmla="*/ 38 h 591"/>
                            <a:gd name="T184" fmla="+- 0 3317 3033"/>
                            <a:gd name="T185" fmla="*/ T184 w 596"/>
                            <a:gd name="T186" fmla="+- 0 -66 -115"/>
                            <a:gd name="T187" fmla="*/ -66 h 591"/>
                            <a:gd name="T188" fmla="+- 0 3309 3033"/>
                            <a:gd name="T189" fmla="*/ T188 w 596"/>
                            <a:gd name="T190" fmla="+- 0 -101 -115"/>
                            <a:gd name="T191" fmla="*/ -101 h 591"/>
                            <a:gd name="T192" fmla="+- 0 3314 3033"/>
                            <a:gd name="T193" fmla="*/ T192 w 596"/>
                            <a:gd name="T194" fmla="+- 0 -110 -115"/>
                            <a:gd name="T195" fmla="*/ -110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6" h="591">
                              <a:moveTo>
                                <a:pt x="108" y="466"/>
                              </a:moveTo>
                              <a:lnTo>
                                <a:pt x="56" y="499"/>
                              </a:lnTo>
                              <a:lnTo>
                                <a:pt x="23" y="532"/>
                              </a:lnTo>
                              <a:lnTo>
                                <a:pt x="5" y="560"/>
                              </a:lnTo>
                              <a:lnTo>
                                <a:pt x="0" y="581"/>
                              </a:lnTo>
                              <a:lnTo>
                                <a:pt x="0" y="591"/>
                              </a:lnTo>
                              <a:lnTo>
                                <a:pt x="46" y="591"/>
                              </a:lnTo>
                              <a:lnTo>
                                <a:pt x="49" y="589"/>
                              </a:lnTo>
                              <a:lnTo>
                                <a:pt x="12" y="589"/>
                              </a:lnTo>
                              <a:lnTo>
                                <a:pt x="17" y="567"/>
                              </a:lnTo>
                              <a:lnTo>
                                <a:pt x="37" y="536"/>
                              </a:lnTo>
                              <a:lnTo>
                                <a:pt x="68" y="501"/>
                              </a:lnTo>
                              <a:lnTo>
                                <a:pt x="108" y="466"/>
                              </a:lnTo>
                              <a:close/>
                              <a:moveTo>
                                <a:pt x="255" y="0"/>
                              </a:moveTo>
                              <a:lnTo>
                                <a:pt x="243" y="8"/>
                              </a:lnTo>
                              <a:lnTo>
                                <a:pt x="237" y="26"/>
                              </a:lnTo>
                              <a:lnTo>
                                <a:pt x="235" y="47"/>
                              </a:lnTo>
                              <a:lnTo>
                                <a:pt x="234" y="67"/>
                              </a:lnTo>
                              <a:lnTo>
                                <a:pt x="235" y="75"/>
                              </a:lnTo>
                              <a:lnTo>
                                <a:pt x="236" y="89"/>
                              </a:lnTo>
                              <a:lnTo>
                                <a:pt x="238" y="105"/>
                              </a:lnTo>
                              <a:lnTo>
                                <a:pt x="240" y="120"/>
                              </a:lnTo>
                              <a:lnTo>
                                <a:pt x="243" y="136"/>
                              </a:lnTo>
                              <a:lnTo>
                                <a:pt x="247" y="153"/>
                              </a:lnTo>
                              <a:lnTo>
                                <a:pt x="251" y="169"/>
                              </a:lnTo>
                              <a:lnTo>
                                <a:pt x="255" y="186"/>
                              </a:lnTo>
                              <a:lnTo>
                                <a:pt x="246" y="219"/>
                              </a:lnTo>
                              <a:lnTo>
                                <a:pt x="222" y="280"/>
                              </a:lnTo>
                              <a:lnTo>
                                <a:pt x="186" y="359"/>
                              </a:lnTo>
                              <a:lnTo>
                                <a:pt x="143" y="441"/>
                              </a:lnTo>
                              <a:lnTo>
                                <a:pt x="97" y="515"/>
                              </a:lnTo>
                              <a:lnTo>
                                <a:pt x="52" y="569"/>
                              </a:lnTo>
                              <a:lnTo>
                                <a:pt x="12" y="589"/>
                              </a:lnTo>
                              <a:lnTo>
                                <a:pt x="49" y="589"/>
                              </a:lnTo>
                              <a:lnTo>
                                <a:pt x="51" y="589"/>
                              </a:lnTo>
                              <a:lnTo>
                                <a:pt x="83" y="561"/>
                              </a:lnTo>
                              <a:lnTo>
                                <a:pt x="121" y="513"/>
                              </a:lnTo>
                              <a:lnTo>
                                <a:pt x="166" y="442"/>
                              </a:lnTo>
                              <a:lnTo>
                                <a:pt x="172" y="440"/>
                              </a:lnTo>
                              <a:lnTo>
                                <a:pt x="166" y="440"/>
                              </a:lnTo>
                              <a:lnTo>
                                <a:pt x="209" y="361"/>
                              </a:lnTo>
                              <a:lnTo>
                                <a:pt x="237" y="301"/>
                              </a:lnTo>
                              <a:lnTo>
                                <a:pt x="255" y="255"/>
                              </a:lnTo>
                              <a:lnTo>
                                <a:pt x="266" y="219"/>
                              </a:lnTo>
                              <a:lnTo>
                                <a:pt x="287" y="219"/>
                              </a:lnTo>
                              <a:lnTo>
                                <a:pt x="274" y="184"/>
                              </a:lnTo>
                              <a:lnTo>
                                <a:pt x="278" y="153"/>
                              </a:lnTo>
                              <a:lnTo>
                                <a:pt x="266" y="153"/>
                              </a:lnTo>
                              <a:lnTo>
                                <a:pt x="259" y="126"/>
                              </a:lnTo>
                              <a:lnTo>
                                <a:pt x="254" y="101"/>
                              </a:lnTo>
                              <a:lnTo>
                                <a:pt x="251" y="77"/>
                              </a:lnTo>
                              <a:lnTo>
                                <a:pt x="251" y="55"/>
                              </a:lnTo>
                              <a:lnTo>
                                <a:pt x="251" y="46"/>
                              </a:lnTo>
                              <a:lnTo>
                                <a:pt x="252" y="30"/>
                              </a:lnTo>
                              <a:lnTo>
                                <a:pt x="256" y="14"/>
                              </a:lnTo>
                              <a:lnTo>
                                <a:pt x="263" y="3"/>
                              </a:lnTo>
                              <a:lnTo>
                                <a:pt x="278" y="3"/>
                              </a:lnTo>
                              <a:lnTo>
                                <a:pt x="270" y="0"/>
                              </a:lnTo>
                              <a:lnTo>
                                <a:pt x="255" y="0"/>
                              </a:lnTo>
                              <a:close/>
                              <a:moveTo>
                                <a:pt x="589" y="439"/>
                              </a:moveTo>
                              <a:lnTo>
                                <a:pt x="572" y="439"/>
                              </a:lnTo>
                              <a:lnTo>
                                <a:pt x="566" y="445"/>
                              </a:lnTo>
                              <a:lnTo>
                                <a:pt x="566" y="461"/>
                              </a:lnTo>
                              <a:lnTo>
                                <a:pt x="572" y="467"/>
                              </a:lnTo>
                              <a:lnTo>
                                <a:pt x="589" y="467"/>
                              </a:lnTo>
                              <a:lnTo>
                                <a:pt x="592" y="464"/>
                              </a:lnTo>
                              <a:lnTo>
                                <a:pt x="574" y="464"/>
                              </a:lnTo>
                              <a:lnTo>
                                <a:pt x="569" y="459"/>
                              </a:lnTo>
                              <a:lnTo>
                                <a:pt x="569" y="446"/>
                              </a:lnTo>
                              <a:lnTo>
                                <a:pt x="574" y="442"/>
                              </a:lnTo>
                              <a:lnTo>
                                <a:pt x="592" y="442"/>
                              </a:lnTo>
                              <a:lnTo>
                                <a:pt x="589" y="439"/>
                              </a:lnTo>
                              <a:close/>
                              <a:moveTo>
                                <a:pt x="592" y="442"/>
                              </a:moveTo>
                              <a:lnTo>
                                <a:pt x="588" y="442"/>
                              </a:lnTo>
                              <a:lnTo>
                                <a:pt x="592" y="446"/>
                              </a:lnTo>
                              <a:lnTo>
                                <a:pt x="592" y="459"/>
                              </a:lnTo>
                              <a:lnTo>
                                <a:pt x="588" y="464"/>
                              </a:lnTo>
                              <a:lnTo>
                                <a:pt x="592" y="464"/>
                              </a:lnTo>
                              <a:lnTo>
                                <a:pt x="595" y="461"/>
                              </a:lnTo>
                              <a:lnTo>
                                <a:pt x="595" y="445"/>
                              </a:lnTo>
                              <a:lnTo>
                                <a:pt x="592" y="442"/>
                              </a:lnTo>
                              <a:close/>
                              <a:moveTo>
                                <a:pt x="585" y="443"/>
                              </a:moveTo>
                              <a:lnTo>
                                <a:pt x="575" y="443"/>
                              </a:lnTo>
                              <a:lnTo>
                                <a:pt x="575" y="461"/>
                              </a:lnTo>
                              <a:lnTo>
                                <a:pt x="578" y="461"/>
                              </a:lnTo>
                              <a:lnTo>
                                <a:pt x="578" y="454"/>
                              </a:lnTo>
                              <a:lnTo>
                                <a:pt x="586" y="454"/>
                              </a:lnTo>
                              <a:lnTo>
                                <a:pt x="585" y="454"/>
                              </a:lnTo>
                              <a:lnTo>
                                <a:pt x="583" y="453"/>
                              </a:lnTo>
                              <a:lnTo>
                                <a:pt x="587" y="452"/>
                              </a:lnTo>
                              <a:lnTo>
                                <a:pt x="578" y="452"/>
                              </a:lnTo>
                              <a:lnTo>
                                <a:pt x="578" y="447"/>
                              </a:lnTo>
                              <a:lnTo>
                                <a:pt x="587" y="447"/>
                              </a:lnTo>
                              <a:lnTo>
                                <a:pt x="586" y="446"/>
                              </a:lnTo>
                              <a:lnTo>
                                <a:pt x="585" y="443"/>
                              </a:lnTo>
                              <a:close/>
                              <a:moveTo>
                                <a:pt x="586" y="454"/>
                              </a:moveTo>
                              <a:lnTo>
                                <a:pt x="582" y="454"/>
                              </a:lnTo>
                              <a:lnTo>
                                <a:pt x="583" y="456"/>
                              </a:lnTo>
                              <a:lnTo>
                                <a:pt x="583" y="458"/>
                              </a:lnTo>
                              <a:lnTo>
                                <a:pt x="584" y="461"/>
                              </a:lnTo>
                              <a:lnTo>
                                <a:pt x="587" y="461"/>
                              </a:lnTo>
                              <a:lnTo>
                                <a:pt x="586" y="458"/>
                              </a:lnTo>
                              <a:lnTo>
                                <a:pt x="586" y="456"/>
                              </a:lnTo>
                              <a:lnTo>
                                <a:pt x="586" y="454"/>
                              </a:lnTo>
                              <a:close/>
                              <a:moveTo>
                                <a:pt x="587" y="447"/>
                              </a:moveTo>
                              <a:lnTo>
                                <a:pt x="582" y="447"/>
                              </a:lnTo>
                              <a:lnTo>
                                <a:pt x="583" y="448"/>
                              </a:lnTo>
                              <a:lnTo>
                                <a:pt x="583" y="451"/>
                              </a:lnTo>
                              <a:lnTo>
                                <a:pt x="582" y="452"/>
                              </a:lnTo>
                              <a:lnTo>
                                <a:pt x="587" y="452"/>
                              </a:lnTo>
                              <a:lnTo>
                                <a:pt x="587" y="449"/>
                              </a:lnTo>
                              <a:lnTo>
                                <a:pt x="587" y="447"/>
                              </a:lnTo>
                              <a:close/>
                              <a:moveTo>
                                <a:pt x="287" y="219"/>
                              </a:moveTo>
                              <a:lnTo>
                                <a:pt x="266" y="219"/>
                              </a:lnTo>
                              <a:lnTo>
                                <a:pt x="298" y="285"/>
                              </a:lnTo>
                              <a:lnTo>
                                <a:pt x="332" y="330"/>
                              </a:lnTo>
                              <a:lnTo>
                                <a:pt x="364" y="358"/>
                              </a:lnTo>
                              <a:lnTo>
                                <a:pt x="390" y="375"/>
                              </a:lnTo>
                              <a:lnTo>
                                <a:pt x="336" y="386"/>
                              </a:lnTo>
                              <a:lnTo>
                                <a:pt x="279" y="400"/>
                              </a:lnTo>
                              <a:lnTo>
                                <a:pt x="222" y="418"/>
                              </a:lnTo>
                              <a:lnTo>
                                <a:pt x="166" y="440"/>
                              </a:lnTo>
                              <a:lnTo>
                                <a:pt x="172" y="440"/>
                              </a:lnTo>
                              <a:lnTo>
                                <a:pt x="223" y="424"/>
                              </a:lnTo>
                              <a:lnTo>
                                <a:pt x="285" y="410"/>
                              </a:lnTo>
                              <a:lnTo>
                                <a:pt x="349" y="398"/>
                              </a:lnTo>
                              <a:lnTo>
                                <a:pt x="412" y="390"/>
                              </a:lnTo>
                              <a:lnTo>
                                <a:pt x="458" y="390"/>
                              </a:lnTo>
                              <a:lnTo>
                                <a:pt x="448" y="386"/>
                              </a:lnTo>
                              <a:lnTo>
                                <a:pt x="489" y="384"/>
                              </a:lnTo>
                              <a:lnTo>
                                <a:pt x="583" y="384"/>
                              </a:lnTo>
                              <a:lnTo>
                                <a:pt x="567" y="375"/>
                              </a:lnTo>
                              <a:lnTo>
                                <a:pt x="545" y="371"/>
                              </a:lnTo>
                              <a:lnTo>
                                <a:pt x="422" y="371"/>
                              </a:lnTo>
                              <a:lnTo>
                                <a:pt x="407" y="363"/>
                              </a:lnTo>
                              <a:lnTo>
                                <a:pt x="394" y="354"/>
                              </a:lnTo>
                              <a:lnTo>
                                <a:pt x="380" y="345"/>
                              </a:lnTo>
                              <a:lnTo>
                                <a:pt x="367" y="336"/>
                              </a:lnTo>
                              <a:lnTo>
                                <a:pt x="337" y="305"/>
                              </a:lnTo>
                              <a:lnTo>
                                <a:pt x="311" y="268"/>
                              </a:lnTo>
                              <a:lnTo>
                                <a:pt x="290" y="227"/>
                              </a:lnTo>
                              <a:lnTo>
                                <a:pt x="287" y="219"/>
                              </a:lnTo>
                              <a:close/>
                              <a:moveTo>
                                <a:pt x="458" y="390"/>
                              </a:moveTo>
                              <a:lnTo>
                                <a:pt x="412" y="390"/>
                              </a:lnTo>
                              <a:lnTo>
                                <a:pt x="452" y="408"/>
                              </a:lnTo>
                              <a:lnTo>
                                <a:pt x="492" y="422"/>
                              </a:lnTo>
                              <a:lnTo>
                                <a:pt x="528" y="430"/>
                              </a:lnTo>
                              <a:lnTo>
                                <a:pt x="558" y="433"/>
                              </a:lnTo>
                              <a:lnTo>
                                <a:pt x="577" y="433"/>
                              </a:lnTo>
                              <a:lnTo>
                                <a:pt x="587" y="429"/>
                              </a:lnTo>
                              <a:lnTo>
                                <a:pt x="588" y="423"/>
                              </a:lnTo>
                              <a:lnTo>
                                <a:pt x="571" y="423"/>
                              </a:lnTo>
                              <a:lnTo>
                                <a:pt x="547" y="421"/>
                              </a:lnTo>
                              <a:lnTo>
                                <a:pt x="517" y="413"/>
                              </a:lnTo>
                              <a:lnTo>
                                <a:pt x="483" y="401"/>
                              </a:lnTo>
                              <a:lnTo>
                                <a:pt x="458" y="390"/>
                              </a:lnTo>
                              <a:close/>
                              <a:moveTo>
                                <a:pt x="589" y="419"/>
                              </a:moveTo>
                              <a:lnTo>
                                <a:pt x="585" y="421"/>
                              </a:lnTo>
                              <a:lnTo>
                                <a:pt x="578" y="423"/>
                              </a:lnTo>
                              <a:lnTo>
                                <a:pt x="588" y="423"/>
                              </a:lnTo>
                              <a:lnTo>
                                <a:pt x="589" y="419"/>
                              </a:lnTo>
                              <a:close/>
                              <a:moveTo>
                                <a:pt x="583" y="384"/>
                              </a:moveTo>
                              <a:lnTo>
                                <a:pt x="489" y="384"/>
                              </a:lnTo>
                              <a:lnTo>
                                <a:pt x="537" y="385"/>
                              </a:lnTo>
                              <a:lnTo>
                                <a:pt x="576" y="394"/>
                              </a:lnTo>
                              <a:lnTo>
                                <a:pt x="592" y="412"/>
                              </a:lnTo>
                              <a:lnTo>
                                <a:pt x="594" y="408"/>
                              </a:lnTo>
                              <a:lnTo>
                                <a:pt x="595" y="406"/>
                              </a:lnTo>
                              <a:lnTo>
                                <a:pt x="595" y="402"/>
                              </a:lnTo>
                              <a:lnTo>
                                <a:pt x="588" y="387"/>
                              </a:lnTo>
                              <a:lnTo>
                                <a:pt x="583" y="384"/>
                              </a:lnTo>
                              <a:close/>
                              <a:moveTo>
                                <a:pt x="494" y="366"/>
                              </a:moveTo>
                              <a:lnTo>
                                <a:pt x="478" y="367"/>
                              </a:lnTo>
                              <a:lnTo>
                                <a:pt x="460" y="368"/>
                              </a:lnTo>
                              <a:lnTo>
                                <a:pt x="422" y="371"/>
                              </a:lnTo>
                              <a:lnTo>
                                <a:pt x="545" y="371"/>
                              </a:lnTo>
                              <a:lnTo>
                                <a:pt x="535" y="369"/>
                              </a:lnTo>
                              <a:lnTo>
                                <a:pt x="494" y="366"/>
                              </a:lnTo>
                              <a:close/>
                              <a:moveTo>
                                <a:pt x="284" y="49"/>
                              </a:moveTo>
                              <a:lnTo>
                                <a:pt x="281" y="67"/>
                              </a:lnTo>
                              <a:lnTo>
                                <a:pt x="277" y="90"/>
                              </a:lnTo>
                              <a:lnTo>
                                <a:pt x="272" y="119"/>
                              </a:lnTo>
                              <a:lnTo>
                                <a:pt x="266" y="153"/>
                              </a:lnTo>
                              <a:lnTo>
                                <a:pt x="278" y="153"/>
                              </a:lnTo>
                              <a:lnTo>
                                <a:pt x="279" y="149"/>
                              </a:lnTo>
                              <a:lnTo>
                                <a:pt x="281" y="116"/>
                              </a:lnTo>
                              <a:lnTo>
                                <a:pt x="283" y="83"/>
                              </a:lnTo>
                              <a:lnTo>
                                <a:pt x="284" y="49"/>
                              </a:lnTo>
                              <a:close/>
                              <a:moveTo>
                                <a:pt x="278" y="3"/>
                              </a:moveTo>
                              <a:lnTo>
                                <a:pt x="263" y="3"/>
                              </a:lnTo>
                              <a:lnTo>
                                <a:pt x="270" y="8"/>
                              </a:lnTo>
                              <a:lnTo>
                                <a:pt x="276" y="14"/>
                              </a:lnTo>
                              <a:lnTo>
                                <a:pt x="281" y="24"/>
                              </a:lnTo>
                              <a:lnTo>
                                <a:pt x="284" y="39"/>
                              </a:lnTo>
                              <a:lnTo>
                                <a:pt x="286" y="16"/>
                              </a:lnTo>
                              <a:lnTo>
                                <a:pt x="281" y="5"/>
                              </a:lnTo>
                              <a:lnTo>
                                <a:pt x="278" y="3"/>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B6513" id="AutoShape 5" o:spid="_x0000_s1026" style="position:absolute;margin-left:151.65pt;margin-top:-5.75pt;width:29.8pt;height:29.55pt;z-index:-1671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" path="m108,466l56,499,23,532,5,560,,581r,10l46,591r3,-2l12,589r5,-22l37,536,68,501r40,-35xm255,l243,8r-6,18l235,47r-1,20l235,75r1,14l238,105r2,15l243,136r4,17l251,169r4,17l246,219r-24,61l186,359r-43,82l97,515,52,569,12,589r37,l51,589,83,561r38,-48l166,442r6,-2l166,440r43,-79l237,301r18,-46l266,219r21,l274,184r4,-31l266,153r-7,-27l254,101,251,77r,-22l251,46r1,-16l256,14,263,3r15,l270,,255,xm589,439r-17,l566,445r,16l572,467r17,l592,464r-18,l569,459r,-13l574,442r18,l589,439xm592,442r-4,l592,446r,13l588,464r4,l595,461r,-16l592,442xm585,443r-10,l575,461r3,l578,454r8,l585,454r-2,-1l587,452r-9,l578,447r9,l586,446r-1,-3xm586,454r-4,l583,456r,2l584,461r3,l586,458r,-2l586,454xm587,447r-5,l583,448r,3l582,452r5,l587,449r,-2xm287,219r-21,l298,285r34,45l364,358r26,17l336,386r-57,14l222,418r-56,22l172,440r51,-16l285,410r64,-12l412,390r46,l448,386r41,-2l583,384r-16,-9l545,371r-123,l407,363r-13,-9l380,345r-13,-9l337,305,311,268,290,227r-3,-8xm458,390r-46,l452,408r40,14l528,430r30,3l577,433r10,-4l588,423r-17,l547,421r-30,-8l483,401,458,390xm589,419r-4,2l578,423r10,l589,419xm583,384r-94,l537,385r39,9l592,412r2,-4l595,406r,-4l588,387r-5,-3xm494,366r-16,1l460,368r-38,3l545,371r-10,-2l494,366xm284,49r-3,18l277,90r-5,29l266,153r12,l279,149r2,-33l283,83r1,-34xm278,3r-15,l270,8r6,6l281,24r3,15l286,16,281,5,278,3xe" fillcolor="#ffd8d8" stroked="f">
                <v:path arrowok="t" o:connecttype="custom" o:connectlocs="3175,282575;31115,300990;43180,245110;150495,-56515;149860,-16510;156845,24130;140970,104775;33020,288290;52705,283210;105410,206375;168910,66040;168910,24130;159385,-38100;167005,-71120;374015,205740;363220,223520;361315,218440;374015,205740;375920,218440;377825,209550;365125,219710;371475,215265;367030,210820;372110,215265;370840,219710;372110,215265;370205,213360;372745,210820;210820,136525;177165,180975;141605,196215;290830,174625;360045,165100;250190,151765;197485,97155;261620,174625;354330,201930;362585,195580;290830,174625;373380,195580;340995,171450;377825,184785;313690,159385;346075,162560;178435,-30480;176530,24130;180340,-41910;175260,-64135;178435,-69850" o:connectangles="0,0,0,0,0,0,0,0,0,0,0,0,0,0,0,0,0,0,0,0,0,0,0,0,0,0,0,0,0,0,0,0,0,0,0,0,0,0,0,0,0,0,0,0,0,0,0,0,0"/>
                <w10:wrap anchorx="page"/>
              </v:shape>
            </w:pict>
          </mc:Fallback>
        </mc:AlternateContent>
      </w:r>
      <w:r>
        <w:rPr>
          <w:noProof/>
        </w:rPr>
        <mc:AlternateContent>
          <mc:Choice Requires="wps">
            <w:drawing>
              <wp:anchor distT="0" distB="0" distL="114300" distR="114300" simplePos="0" relativeHeight="15732224" behindDoc="0" locked="0" layoutInCell="1" allowOverlap="1">
                <wp:simplePos x="0" y="0"/>
                <wp:positionH relativeFrom="page">
                  <wp:posOffset>666750</wp:posOffset>
                </wp:positionH>
                <wp:positionV relativeFrom="paragraph">
                  <wp:posOffset>-24765</wp:posOffset>
                </wp:positionV>
                <wp:extent cx="1438910" cy="247650"/>
                <wp:effectExtent l="0" t="0" r="0" b="0"/>
                <wp:wrapNone/>
                <wp:docPr id="8"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line="389" w:lineRule="exact"/>
                              <w:rPr>
                                <w:rFonts w:ascii="Arial"/>
                                <w:sz w:val="35"/>
                              </w:rPr>
                            </w:pPr>
                            <w:r>
                              <w:rPr>
                                <w:rFonts w:ascii="Arial"/>
                                <w:sz w:val="35"/>
                              </w:rPr>
                              <w:t xml:space="preserve">Sarah E </w:t>
                            </w:r>
                            <w:r>
                              <w:rPr>
                                <w:rFonts w:ascii="Arial"/>
                                <w:spacing w:val="-4"/>
                                <w:sz w:val="35"/>
                              </w:rPr>
                              <w:t>Noble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52.5pt;margin-top:-1.95pt;width:113.3pt;height:19.5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" filled="f" stroked="f">
                <v:textbox inset="0,0,0,0">
                  <w:txbxContent>
                    <w:p w:rsidR="00D35590" w:rsidRDefault="00D75DDE">
                      <w:pPr>
                        <w:spacing w:line="389" w:lineRule="exact"/>
                        <w:rPr>
                          <w:rFonts w:ascii="Arial"/>
                          <w:sz w:val="35"/>
                        </w:rPr>
                      </w:pPr>
                      <w:r>
                        <w:rPr>
                          <w:rFonts w:ascii="Arial"/>
                          <w:sz w:val="35"/>
                        </w:rPr>
                        <w:t xml:space="preserve">Sarah E </w:t>
                      </w:r>
                      <w:r>
                        <w:rPr>
                          <w:rFonts w:ascii="Arial"/>
                          <w:spacing w:val="-4"/>
                          <w:sz w:val="35"/>
                        </w:rPr>
                        <w:t>Noble</w:t>
                      </w:r>
                    </w:p>
                  </w:txbxContent>
                </v:textbox>
                <w10:wrap anchorx="page"/>
              </v:shape>
            </w:pict>
          </mc:Fallback>
        </mc:AlternateContent>
      </w:r>
      <w:r w:rsidR="00D75DDE">
        <w:rPr>
          <w:rFonts w:ascii="Arial"/>
          <w:sz w:val="14"/>
        </w:rPr>
        <w:t>Digitally signed by Sarah E Noble Date: 2020.11.13 12:11:57 -05'00'</w:t>
      </w:r>
    </w:p>
    <w:p w:rsidR="00D35590" w:rsidRDefault="00D35590">
      <w:pPr>
        <w:pStyle w:val="BodyText"/>
        <w:spacing w:before="8"/>
        <w:rPr>
          <w:rFonts w:ascii="Arial"/>
          <w:sz w:val="13"/>
        </w:rPr>
      </w:pPr>
    </w:p>
    <w:p w:rsidR="00D35590" w:rsidRDefault="00D75DDE">
      <w:pPr>
        <w:pStyle w:val="BodyText"/>
        <w:ind w:left="140" w:right="8007"/>
      </w:pPr>
      <w:r>
        <w:t>Environmental Administrator Sarah Noble</w:t>
      </w:r>
    </w:p>
    <w:p w:rsidR="00D35590" w:rsidRDefault="00D35590">
      <w:pPr>
        <w:pStyle w:val="BodyText"/>
        <w:spacing w:before="10"/>
        <w:rPr>
          <w:sz w:val="28"/>
        </w:rPr>
      </w:pPr>
    </w:p>
    <w:p w:rsidR="00D35590" w:rsidRDefault="00257E93">
      <w:pPr>
        <w:spacing w:line="254" w:lineRule="auto"/>
        <w:ind w:left="2459" w:right="6301"/>
        <w:rPr>
          <w:rFonts w:ascii="Arial"/>
          <w:sz w:val="14"/>
        </w:rPr>
      </w:pPr>
      <w:r>
        <w:rPr>
          <w:noProof/>
        </w:rPr>
        <mc:AlternateContent>
          <mc:Choice Requires="wps">
            <w:drawing>
              <wp:anchor distT="0" distB="0" distL="114300" distR="114300" simplePos="0" relativeHeight="486600704" behindDoc="1" locked="0" layoutInCell="1" allowOverlap="1">
                <wp:simplePos x="0" y="0"/>
                <wp:positionH relativeFrom="page">
                  <wp:posOffset>1941830</wp:posOffset>
                </wp:positionH>
                <wp:positionV relativeFrom="paragraph">
                  <wp:posOffset>-73025</wp:posOffset>
                </wp:positionV>
                <wp:extent cx="378460" cy="375285"/>
                <wp:effectExtent l="0" t="0" r="0" b="0"/>
                <wp:wrapNone/>
                <wp:docPr id="7" name="AutoShap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8460" cy="375285"/>
                        </a:xfrm>
                        <a:custGeom>
                          <a:avLst/>
                          <a:gdLst>
                            <a:gd name="T0" fmla="+- 0 3064 3058"/>
                            <a:gd name="T1" fmla="*/ T0 w 596"/>
                            <a:gd name="T2" fmla="+- 0 445 -115"/>
                            <a:gd name="T3" fmla="*/ 445 h 591"/>
                            <a:gd name="T4" fmla="+- 0 3107 3058"/>
                            <a:gd name="T5" fmla="*/ T4 w 596"/>
                            <a:gd name="T6" fmla="+- 0 474 -115"/>
                            <a:gd name="T7" fmla="*/ 474 h 591"/>
                            <a:gd name="T8" fmla="+- 0 3126 3058"/>
                            <a:gd name="T9" fmla="*/ T8 w 596"/>
                            <a:gd name="T10" fmla="+- 0 386 -115"/>
                            <a:gd name="T11" fmla="*/ 386 h 591"/>
                            <a:gd name="T12" fmla="+- 0 3295 3058"/>
                            <a:gd name="T13" fmla="*/ T12 w 596"/>
                            <a:gd name="T14" fmla="+- 0 -89 -115"/>
                            <a:gd name="T15" fmla="*/ -89 h 591"/>
                            <a:gd name="T16" fmla="+- 0 3294 3058"/>
                            <a:gd name="T17" fmla="*/ T16 w 596"/>
                            <a:gd name="T18" fmla="+- 0 -26 -115"/>
                            <a:gd name="T19" fmla="*/ -26 h 591"/>
                            <a:gd name="T20" fmla="+- 0 3305 3058"/>
                            <a:gd name="T21" fmla="*/ T20 w 596"/>
                            <a:gd name="T22" fmla="+- 0 38 -115"/>
                            <a:gd name="T23" fmla="*/ 38 h 591"/>
                            <a:gd name="T24" fmla="+- 0 3280 3058"/>
                            <a:gd name="T25" fmla="*/ T24 w 596"/>
                            <a:gd name="T26" fmla="+- 0 165 -115"/>
                            <a:gd name="T27" fmla="*/ 165 h 591"/>
                            <a:gd name="T28" fmla="+- 0 3110 3058"/>
                            <a:gd name="T29" fmla="*/ T28 w 596"/>
                            <a:gd name="T30" fmla="+- 0 454 -115"/>
                            <a:gd name="T31" fmla="*/ 454 h 591"/>
                            <a:gd name="T32" fmla="+- 0 3141 3058"/>
                            <a:gd name="T33" fmla="*/ T32 w 596"/>
                            <a:gd name="T34" fmla="+- 0 446 -115"/>
                            <a:gd name="T35" fmla="*/ 446 h 591"/>
                            <a:gd name="T36" fmla="+- 0 3224 3058"/>
                            <a:gd name="T37" fmla="*/ T36 w 596"/>
                            <a:gd name="T38" fmla="+- 0 325 -115"/>
                            <a:gd name="T39" fmla="*/ 325 h 591"/>
                            <a:gd name="T40" fmla="+- 0 3324 3058"/>
                            <a:gd name="T41" fmla="*/ T40 w 596"/>
                            <a:gd name="T42" fmla="+- 0 104 -115"/>
                            <a:gd name="T43" fmla="*/ 104 h 591"/>
                            <a:gd name="T44" fmla="+- 0 3324 3058"/>
                            <a:gd name="T45" fmla="*/ T44 w 596"/>
                            <a:gd name="T46" fmla="+- 0 38 -115"/>
                            <a:gd name="T47" fmla="*/ 38 h 591"/>
                            <a:gd name="T48" fmla="+- 0 3309 3058"/>
                            <a:gd name="T49" fmla="*/ T48 w 596"/>
                            <a:gd name="T50" fmla="+- 0 -60 -115"/>
                            <a:gd name="T51" fmla="*/ -60 h 591"/>
                            <a:gd name="T52" fmla="+- 0 3321 3058"/>
                            <a:gd name="T53" fmla="*/ T52 w 596"/>
                            <a:gd name="T54" fmla="+- 0 -112 -115"/>
                            <a:gd name="T55" fmla="*/ -112 h 591"/>
                            <a:gd name="T56" fmla="+- 0 3648 3058"/>
                            <a:gd name="T57" fmla="*/ T56 w 596"/>
                            <a:gd name="T58" fmla="+- 0 324 -115"/>
                            <a:gd name="T59" fmla="*/ 324 h 591"/>
                            <a:gd name="T60" fmla="+- 0 3631 3058"/>
                            <a:gd name="T61" fmla="*/ T60 w 596"/>
                            <a:gd name="T62" fmla="+- 0 352 -115"/>
                            <a:gd name="T63" fmla="*/ 352 h 591"/>
                            <a:gd name="T64" fmla="+- 0 3627 3058"/>
                            <a:gd name="T65" fmla="*/ T64 w 596"/>
                            <a:gd name="T66" fmla="+- 0 344 -115"/>
                            <a:gd name="T67" fmla="*/ 344 h 591"/>
                            <a:gd name="T68" fmla="+- 0 3648 3058"/>
                            <a:gd name="T69" fmla="*/ T68 w 596"/>
                            <a:gd name="T70" fmla="+- 0 324 -115"/>
                            <a:gd name="T71" fmla="*/ 324 h 591"/>
                            <a:gd name="T72" fmla="+- 0 3650 3058"/>
                            <a:gd name="T73" fmla="*/ T72 w 596"/>
                            <a:gd name="T74" fmla="+- 0 344 -115"/>
                            <a:gd name="T75" fmla="*/ 344 h 591"/>
                            <a:gd name="T76" fmla="+- 0 3654 3058"/>
                            <a:gd name="T77" fmla="*/ T76 w 596"/>
                            <a:gd name="T78" fmla="+- 0 330 -115"/>
                            <a:gd name="T79" fmla="*/ 330 h 591"/>
                            <a:gd name="T80" fmla="+- 0 3633 3058"/>
                            <a:gd name="T81" fmla="*/ T80 w 596"/>
                            <a:gd name="T82" fmla="+- 0 346 -115"/>
                            <a:gd name="T83" fmla="*/ 346 h 591"/>
                            <a:gd name="T84" fmla="+- 0 3643 3058"/>
                            <a:gd name="T85" fmla="*/ T84 w 596"/>
                            <a:gd name="T86" fmla="+- 0 339 -115"/>
                            <a:gd name="T87" fmla="*/ 339 h 591"/>
                            <a:gd name="T88" fmla="+- 0 3636 3058"/>
                            <a:gd name="T89" fmla="*/ T88 w 596"/>
                            <a:gd name="T90" fmla="+- 0 332 -115"/>
                            <a:gd name="T91" fmla="*/ 332 h 591"/>
                            <a:gd name="T92" fmla="+- 0 3644 3058"/>
                            <a:gd name="T93" fmla="*/ T92 w 596"/>
                            <a:gd name="T94" fmla="+- 0 339 -115"/>
                            <a:gd name="T95" fmla="*/ 339 h 591"/>
                            <a:gd name="T96" fmla="+- 0 3642 3058"/>
                            <a:gd name="T97" fmla="*/ T96 w 596"/>
                            <a:gd name="T98" fmla="+- 0 346 -115"/>
                            <a:gd name="T99" fmla="*/ 346 h 591"/>
                            <a:gd name="T100" fmla="+- 0 3644 3058"/>
                            <a:gd name="T101" fmla="*/ T100 w 596"/>
                            <a:gd name="T102" fmla="+- 0 339 -115"/>
                            <a:gd name="T103" fmla="*/ 339 h 591"/>
                            <a:gd name="T104" fmla="+- 0 3641 3058"/>
                            <a:gd name="T105" fmla="*/ T104 w 596"/>
                            <a:gd name="T106" fmla="+- 0 336 -115"/>
                            <a:gd name="T107" fmla="*/ 336 h 591"/>
                            <a:gd name="T108" fmla="+- 0 3645 3058"/>
                            <a:gd name="T109" fmla="*/ T108 w 596"/>
                            <a:gd name="T110" fmla="+- 0 332 -115"/>
                            <a:gd name="T111" fmla="*/ 332 h 591"/>
                            <a:gd name="T112" fmla="+- 0 3391 3058"/>
                            <a:gd name="T113" fmla="*/ T112 w 596"/>
                            <a:gd name="T114" fmla="+- 0 215 -115"/>
                            <a:gd name="T115" fmla="*/ 215 h 591"/>
                            <a:gd name="T116" fmla="+- 0 3337 3058"/>
                            <a:gd name="T117" fmla="*/ T116 w 596"/>
                            <a:gd name="T118" fmla="+- 0 285 -115"/>
                            <a:gd name="T119" fmla="*/ 285 h 591"/>
                            <a:gd name="T120" fmla="+- 0 3281 3058"/>
                            <a:gd name="T121" fmla="*/ T120 w 596"/>
                            <a:gd name="T122" fmla="+- 0 309 -115"/>
                            <a:gd name="T123" fmla="*/ 309 h 591"/>
                            <a:gd name="T124" fmla="+- 0 3516 3058"/>
                            <a:gd name="T125" fmla="*/ T124 w 596"/>
                            <a:gd name="T126" fmla="+- 0 275 -115"/>
                            <a:gd name="T127" fmla="*/ 275 h 591"/>
                            <a:gd name="T128" fmla="+- 0 3625 3058"/>
                            <a:gd name="T129" fmla="*/ T128 w 596"/>
                            <a:gd name="T130" fmla="+- 0 260 -115"/>
                            <a:gd name="T131" fmla="*/ 260 h 591"/>
                            <a:gd name="T132" fmla="+- 0 3452 3058"/>
                            <a:gd name="T133" fmla="*/ T132 w 596"/>
                            <a:gd name="T134" fmla="+- 0 239 -115"/>
                            <a:gd name="T135" fmla="*/ 239 h 591"/>
                            <a:gd name="T136" fmla="+- 0 3369 3058"/>
                            <a:gd name="T137" fmla="*/ T136 w 596"/>
                            <a:gd name="T138" fmla="+- 0 153 -115"/>
                            <a:gd name="T139" fmla="*/ 153 h 591"/>
                            <a:gd name="T140" fmla="+- 0 3471 3058"/>
                            <a:gd name="T141" fmla="*/ T140 w 596"/>
                            <a:gd name="T142" fmla="+- 0 275 -115"/>
                            <a:gd name="T143" fmla="*/ 275 h 591"/>
                            <a:gd name="T144" fmla="+- 0 3616 3058"/>
                            <a:gd name="T145" fmla="*/ T144 w 596"/>
                            <a:gd name="T146" fmla="+- 0 318 -115"/>
                            <a:gd name="T147" fmla="*/ 318 h 591"/>
                            <a:gd name="T148" fmla="+- 0 3629 3058"/>
                            <a:gd name="T149" fmla="*/ T148 w 596"/>
                            <a:gd name="T150" fmla="+- 0 308 -115"/>
                            <a:gd name="T151" fmla="*/ 308 h 591"/>
                            <a:gd name="T152" fmla="+- 0 3516 3058"/>
                            <a:gd name="T153" fmla="*/ T152 w 596"/>
                            <a:gd name="T154" fmla="+- 0 275 -115"/>
                            <a:gd name="T155" fmla="*/ 275 h 591"/>
                            <a:gd name="T156" fmla="+- 0 3646 3058"/>
                            <a:gd name="T157" fmla="*/ T156 w 596"/>
                            <a:gd name="T158" fmla="+- 0 308 -115"/>
                            <a:gd name="T159" fmla="*/ 308 h 591"/>
                            <a:gd name="T160" fmla="+- 0 3595 3058"/>
                            <a:gd name="T161" fmla="*/ T160 w 596"/>
                            <a:gd name="T162" fmla="+- 0 270 -115"/>
                            <a:gd name="T163" fmla="*/ 270 h 591"/>
                            <a:gd name="T164" fmla="+- 0 3654 3058"/>
                            <a:gd name="T165" fmla="*/ T164 w 596"/>
                            <a:gd name="T166" fmla="+- 0 291 -115"/>
                            <a:gd name="T167" fmla="*/ 291 h 591"/>
                            <a:gd name="T168" fmla="+- 0 3552 3058"/>
                            <a:gd name="T169" fmla="*/ T168 w 596"/>
                            <a:gd name="T170" fmla="+- 0 251 -115"/>
                            <a:gd name="T171" fmla="*/ 251 h 591"/>
                            <a:gd name="T172" fmla="+- 0 3603 3058"/>
                            <a:gd name="T173" fmla="*/ T172 w 596"/>
                            <a:gd name="T174" fmla="+- 0 256 -115"/>
                            <a:gd name="T175" fmla="*/ 256 h 591"/>
                            <a:gd name="T176" fmla="+- 0 3339 3058"/>
                            <a:gd name="T177" fmla="*/ T176 w 596"/>
                            <a:gd name="T178" fmla="+- 0 -48 -115"/>
                            <a:gd name="T179" fmla="*/ -48 h 591"/>
                            <a:gd name="T180" fmla="+- 0 3336 3058"/>
                            <a:gd name="T181" fmla="*/ T180 w 596"/>
                            <a:gd name="T182" fmla="+- 0 38 -115"/>
                            <a:gd name="T183" fmla="*/ 38 h 591"/>
                            <a:gd name="T184" fmla="+- 0 3342 3058"/>
                            <a:gd name="T185" fmla="*/ T184 w 596"/>
                            <a:gd name="T186" fmla="+- 0 -66 -115"/>
                            <a:gd name="T187" fmla="*/ -66 h 591"/>
                            <a:gd name="T188" fmla="+- 0 3334 3058"/>
                            <a:gd name="T189" fmla="*/ T188 w 596"/>
                            <a:gd name="T190" fmla="+- 0 -101 -115"/>
                            <a:gd name="T191" fmla="*/ -101 h 591"/>
                            <a:gd name="T192" fmla="+- 0 3339 3058"/>
                            <a:gd name="T193" fmla="*/ T192 w 596"/>
                            <a:gd name="T194" fmla="+- 0 -110 -115"/>
                            <a:gd name="T195" fmla="*/ -110 h 5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96" h="591">
                              <a:moveTo>
                                <a:pt x="108" y="466"/>
                              </a:moveTo>
                              <a:lnTo>
                                <a:pt x="56" y="499"/>
                              </a:lnTo>
                              <a:lnTo>
                                <a:pt x="23" y="532"/>
                              </a:lnTo>
                              <a:lnTo>
                                <a:pt x="6" y="560"/>
                              </a:lnTo>
                              <a:lnTo>
                                <a:pt x="0" y="581"/>
                              </a:lnTo>
                              <a:lnTo>
                                <a:pt x="0" y="591"/>
                              </a:lnTo>
                              <a:lnTo>
                                <a:pt x="46" y="591"/>
                              </a:lnTo>
                              <a:lnTo>
                                <a:pt x="49" y="589"/>
                              </a:lnTo>
                              <a:lnTo>
                                <a:pt x="12" y="589"/>
                              </a:lnTo>
                              <a:lnTo>
                                <a:pt x="17" y="567"/>
                              </a:lnTo>
                              <a:lnTo>
                                <a:pt x="37" y="536"/>
                              </a:lnTo>
                              <a:lnTo>
                                <a:pt x="68" y="501"/>
                              </a:lnTo>
                              <a:lnTo>
                                <a:pt x="108" y="466"/>
                              </a:lnTo>
                              <a:close/>
                              <a:moveTo>
                                <a:pt x="255" y="0"/>
                              </a:moveTo>
                              <a:lnTo>
                                <a:pt x="243" y="8"/>
                              </a:lnTo>
                              <a:lnTo>
                                <a:pt x="237" y="26"/>
                              </a:lnTo>
                              <a:lnTo>
                                <a:pt x="235" y="47"/>
                              </a:lnTo>
                              <a:lnTo>
                                <a:pt x="235" y="67"/>
                              </a:lnTo>
                              <a:lnTo>
                                <a:pt x="235" y="75"/>
                              </a:lnTo>
                              <a:lnTo>
                                <a:pt x="236" y="89"/>
                              </a:lnTo>
                              <a:lnTo>
                                <a:pt x="238" y="105"/>
                              </a:lnTo>
                              <a:lnTo>
                                <a:pt x="240" y="120"/>
                              </a:lnTo>
                              <a:lnTo>
                                <a:pt x="243" y="136"/>
                              </a:lnTo>
                              <a:lnTo>
                                <a:pt x="247" y="153"/>
                              </a:lnTo>
                              <a:lnTo>
                                <a:pt x="251" y="169"/>
                              </a:lnTo>
                              <a:lnTo>
                                <a:pt x="255" y="186"/>
                              </a:lnTo>
                              <a:lnTo>
                                <a:pt x="246" y="219"/>
                              </a:lnTo>
                              <a:lnTo>
                                <a:pt x="222" y="280"/>
                              </a:lnTo>
                              <a:lnTo>
                                <a:pt x="186" y="359"/>
                              </a:lnTo>
                              <a:lnTo>
                                <a:pt x="143" y="441"/>
                              </a:lnTo>
                              <a:lnTo>
                                <a:pt x="98" y="515"/>
                              </a:lnTo>
                              <a:lnTo>
                                <a:pt x="52" y="569"/>
                              </a:lnTo>
                              <a:lnTo>
                                <a:pt x="12" y="589"/>
                              </a:lnTo>
                              <a:lnTo>
                                <a:pt x="49" y="589"/>
                              </a:lnTo>
                              <a:lnTo>
                                <a:pt x="51" y="589"/>
                              </a:lnTo>
                              <a:lnTo>
                                <a:pt x="83" y="561"/>
                              </a:lnTo>
                              <a:lnTo>
                                <a:pt x="121" y="513"/>
                              </a:lnTo>
                              <a:lnTo>
                                <a:pt x="166" y="442"/>
                              </a:lnTo>
                              <a:lnTo>
                                <a:pt x="172" y="440"/>
                              </a:lnTo>
                              <a:lnTo>
                                <a:pt x="166" y="440"/>
                              </a:lnTo>
                              <a:lnTo>
                                <a:pt x="209" y="361"/>
                              </a:lnTo>
                              <a:lnTo>
                                <a:pt x="237" y="301"/>
                              </a:lnTo>
                              <a:lnTo>
                                <a:pt x="255" y="255"/>
                              </a:lnTo>
                              <a:lnTo>
                                <a:pt x="266" y="219"/>
                              </a:lnTo>
                              <a:lnTo>
                                <a:pt x="287" y="219"/>
                              </a:lnTo>
                              <a:lnTo>
                                <a:pt x="274" y="184"/>
                              </a:lnTo>
                              <a:lnTo>
                                <a:pt x="278" y="153"/>
                              </a:lnTo>
                              <a:lnTo>
                                <a:pt x="266" y="153"/>
                              </a:lnTo>
                              <a:lnTo>
                                <a:pt x="259" y="126"/>
                              </a:lnTo>
                              <a:lnTo>
                                <a:pt x="254" y="101"/>
                              </a:lnTo>
                              <a:lnTo>
                                <a:pt x="252" y="77"/>
                              </a:lnTo>
                              <a:lnTo>
                                <a:pt x="251" y="55"/>
                              </a:lnTo>
                              <a:lnTo>
                                <a:pt x="251" y="46"/>
                              </a:lnTo>
                              <a:lnTo>
                                <a:pt x="252" y="30"/>
                              </a:lnTo>
                              <a:lnTo>
                                <a:pt x="256" y="14"/>
                              </a:lnTo>
                              <a:lnTo>
                                <a:pt x="263" y="3"/>
                              </a:lnTo>
                              <a:lnTo>
                                <a:pt x="278" y="3"/>
                              </a:lnTo>
                              <a:lnTo>
                                <a:pt x="270" y="0"/>
                              </a:lnTo>
                              <a:lnTo>
                                <a:pt x="255" y="0"/>
                              </a:lnTo>
                              <a:close/>
                              <a:moveTo>
                                <a:pt x="590" y="439"/>
                              </a:moveTo>
                              <a:lnTo>
                                <a:pt x="573" y="439"/>
                              </a:lnTo>
                              <a:lnTo>
                                <a:pt x="566" y="445"/>
                              </a:lnTo>
                              <a:lnTo>
                                <a:pt x="566" y="461"/>
                              </a:lnTo>
                              <a:lnTo>
                                <a:pt x="573" y="467"/>
                              </a:lnTo>
                              <a:lnTo>
                                <a:pt x="590" y="467"/>
                              </a:lnTo>
                              <a:lnTo>
                                <a:pt x="593" y="464"/>
                              </a:lnTo>
                              <a:lnTo>
                                <a:pt x="574" y="464"/>
                              </a:lnTo>
                              <a:lnTo>
                                <a:pt x="569" y="459"/>
                              </a:lnTo>
                              <a:lnTo>
                                <a:pt x="569" y="446"/>
                              </a:lnTo>
                              <a:lnTo>
                                <a:pt x="574" y="442"/>
                              </a:lnTo>
                              <a:lnTo>
                                <a:pt x="593" y="442"/>
                              </a:lnTo>
                              <a:lnTo>
                                <a:pt x="590" y="439"/>
                              </a:lnTo>
                              <a:close/>
                              <a:moveTo>
                                <a:pt x="593" y="442"/>
                              </a:moveTo>
                              <a:lnTo>
                                <a:pt x="588" y="442"/>
                              </a:lnTo>
                              <a:lnTo>
                                <a:pt x="592" y="446"/>
                              </a:lnTo>
                              <a:lnTo>
                                <a:pt x="592" y="459"/>
                              </a:lnTo>
                              <a:lnTo>
                                <a:pt x="588" y="464"/>
                              </a:lnTo>
                              <a:lnTo>
                                <a:pt x="593" y="464"/>
                              </a:lnTo>
                              <a:lnTo>
                                <a:pt x="596" y="461"/>
                              </a:lnTo>
                              <a:lnTo>
                                <a:pt x="596" y="445"/>
                              </a:lnTo>
                              <a:lnTo>
                                <a:pt x="593" y="442"/>
                              </a:lnTo>
                              <a:close/>
                              <a:moveTo>
                                <a:pt x="585" y="443"/>
                              </a:moveTo>
                              <a:lnTo>
                                <a:pt x="575" y="443"/>
                              </a:lnTo>
                              <a:lnTo>
                                <a:pt x="575" y="461"/>
                              </a:lnTo>
                              <a:lnTo>
                                <a:pt x="578" y="461"/>
                              </a:lnTo>
                              <a:lnTo>
                                <a:pt x="578" y="454"/>
                              </a:lnTo>
                              <a:lnTo>
                                <a:pt x="586" y="454"/>
                              </a:lnTo>
                              <a:lnTo>
                                <a:pt x="585" y="454"/>
                              </a:lnTo>
                              <a:lnTo>
                                <a:pt x="583" y="453"/>
                              </a:lnTo>
                              <a:lnTo>
                                <a:pt x="587" y="452"/>
                              </a:lnTo>
                              <a:lnTo>
                                <a:pt x="578" y="452"/>
                              </a:lnTo>
                              <a:lnTo>
                                <a:pt x="578" y="447"/>
                              </a:lnTo>
                              <a:lnTo>
                                <a:pt x="587" y="447"/>
                              </a:lnTo>
                              <a:lnTo>
                                <a:pt x="586" y="446"/>
                              </a:lnTo>
                              <a:lnTo>
                                <a:pt x="585" y="443"/>
                              </a:lnTo>
                              <a:close/>
                              <a:moveTo>
                                <a:pt x="586" y="454"/>
                              </a:moveTo>
                              <a:lnTo>
                                <a:pt x="582" y="454"/>
                              </a:lnTo>
                              <a:lnTo>
                                <a:pt x="583" y="456"/>
                              </a:lnTo>
                              <a:lnTo>
                                <a:pt x="583" y="458"/>
                              </a:lnTo>
                              <a:lnTo>
                                <a:pt x="584" y="461"/>
                              </a:lnTo>
                              <a:lnTo>
                                <a:pt x="587" y="461"/>
                              </a:lnTo>
                              <a:lnTo>
                                <a:pt x="586" y="458"/>
                              </a:lnTo>
                              <a:lnTo>
                                <a:pt x="586" y="456"/>
                              </a:lnTo>
                              <a:lnTo>
                                <a:pt x="586" y="454"/>
                              </a:lnTo>
                              <a:close/>
                              <a:moveTo>
                                <a:pt x="587" y="447"/>
                              </a:moveTo>
                              <a:lnTo>
                                <a:pt x="582" y="447"/>
                              </a:lnTo>
                              <a:lnTo>
                                <a:pt x="583" y="448"/>
                              </a:lnTo>
                              <a:lnTo>
                                <a:pt x="583" y="451"/>
                              </a:lnTo>
                              <a:lnTo>
                                <a:pt x="582" y="452"/>
                              </a:lnTo>
                              <a:lnTo>
                                <a:pt x="587" y="452"/>
                              </a:lnTo>
                              <a:lnTo>
                                <a:pt x="587" y="449"/>
                              </a:lnTo>
                              <a:lnTo>
                                <a:pt x="587" y="447"/>
                              </a:lnTo>
                              <a:close/>
                              <a:moveTo>
                                <a:pt x="287" y="219"/>
                              </a:moveTo>
                              <a:lnTo>
                                <a:pt x="266" y="219"/>
                              </a:lnTo>
                              <a:lnTo>
                                <a:pt x="299" y="285"/>
                              </a:lnTo>
                              <a:lnTo>
                                <a:pt x="333" y="330"/>
                              </a:lnTo>
                              <a:lnTo>
                                <a:pt x="364" y="358"/>
                              </a:lnTo>
                              <a:lnTo>
                                <a:pt x="390" y="375"/>
                              </a:lnTo>
                              <a:lnTo>
                                <a:pt x="336" y="386"/>
                              </a:lnTo>
                              <a:lnTo>
                                <a:pt x="279" y="400"/>
                              </a:lnTo>
                              <a:lnTo>
                                <a:pt x="222" y="418"/>
                              </a:lnTo>
                              <a:lnTo>
                                <a:pt x="166" y="440"/>
                              </a:lnTo>
                              <a:lnTo>
                                <a:pt x="172" y="440"/>
                              </a:lnTo>
                              <a:lnTo>
                                <a:pt x="223" y="424"/>
                              </a:lnTo>
                              <a:lnTo>
                                <a:pt x="285" y="410"/>
                              </a:lnTo>
                              <a:lnTo>
                                <a:pt x="349" y="398"/>
                              </a:lnTo>
                              <a:lnTo>
                                <a:pt x="413" y="390"/>
                              </a:lnTo>
                              <a:lnTo>
                                <a:pt x="458" y="390"/>
                              </a:lnTo>
                              <a:lnTo>
                                <a:pt x="448" y="386"/>
                              </a:lnTo>
                              <a:lnTo>
                                <a:pt x="489" y="384"/>
                              </a:lnTo>
                              <a:lnTo>
                                <a:pt x="583" y="384"/>
                              </a:lnTo>
                              <a:lnTo>
                                <a:pt x="567" y="375"/>
                              </a:lnTo>
                              <a:lnTo>
                                <a:pt x="545" y="371"/>
                              </a:lnTo>
                              <a:lnTo>
                                <a:pt x="422" y="371"/>
                              </a:lnTo>
                              <a:lnTo>
                                <a:pt x="408" y="363"/>
                              </a:lnTo>
                              <a:lnTo>
                                <a:pt x="394" y="354"/>
                              </a:lnTo>
                              <a:lnTo>
                                <a:pt x="380" y="345"/>
                              </a:lnTo>
                              <a:lnTo>
                                <a:pt x="367" y="336"/>
                              </a:lnTo>
                              <a:lnTo>
                                <a:pt x="337" y="305"/>
                              </a:lnTo>
                              <a:lnTo>
                                <a:pt x="311" y="268"/>
                              </a:lnTo>
                              <a:lnTo>
                                <a:pt x="290" y="227"/>
                              </a:lnTo>
                              <a:lnTo>
                                <a:pt x="287" y="219"/>
                              </a:lnTo>
                              <a:close/>
                              <a:moveTo>
                                <a:pt x="458" y="390"/>
                              </a:moveTo>
                              <a:lnTo>
                                <a:pt x="413" y="390"/>
                              </a:lnTo>
                              <a:lnTo>
                                <a:pt x="452" y="408"/>
                              </a:lnTo>
                              <a:lnTo>
                                <a:pt x="492" y="422"/>
                              </a:lnTo>
                              <a:lnTo>
                                <a:pt x="528" y="430"/>
                              </a:lnTo>
                              <a:lnTo>
                                <a:pt x="558" y="433"/>
                              </a:lnTo>
                              <a:lnTo>
                                <a:pt x="577" y="433"/>
                              </a:lnTo>
                              <a:lnTo>
                                <a:pt x="587" y="429"/>
                              </a:lnTo>
                              <a:lnTo>
                                <a:pt x="588" y="423"/>
                              </a:lnTo>
                              <a:lnTo>
                                <a:pt x="571" y="423"/>
                              </a:lnTo>
                              <a:lnTo>
                                <a:pt x="547" y="421"/>
                              </a:lnTo>
                              <a:lnTo>
                                <a:pt x="517" y="413"/>
                              </a:lnTo>
                              <a:lnTo>
                                <a:pt x="484" y="401"/>
                              </a:lnTo>
                              <a:lnTo>
                                <a:pt x="458" y="390"/>
                              </a:lnTo>
                              <a:close/>
                              <a:moveTo>
                                <a:pt x="590" y="419"/>
                              </a:moveTo>
                              <a:lnTo>
                                <a:pt x="585" y="421"/>
                              </a:lnTo>
                              <a:lnTo>
                                <a:pt x="579" y="423"/>
                              </a:lnTo>
                              <a:lnTo>
                                <a:pt x="588" y="423"/>
                              </a:lnTo>
                              <a:lnTo>
                                <a:pt x="590" y="419"/>
                              </a:lnTo>
                              <a:close/>
                              <a:moveTo>
                                <a:pt x="583" y="384"/>
                              </a:moveTo>
                              <a:lnTo>
                                <a:pt x="489" y="384"/>
                              </a:lnTo>
                              <a:lnTo>
                                <a:pt x="537" y="385"/>
                              </a:lnTo>
                              <a:lnTo>
                                <a:pt x="576" y="394"/>
                              </a:lnTo>
                              <a:lnTo>
                                <a:pt x="592" y="412"/>
                              </a:lnTo>
                              <a:lnTo>
                                <a:pt x="594" y="408"/>
                              </a:lnTo>
                              <a:lnTo>
                                <a:pt x="596" y="406"/>
                              </a:lnTo>
                              <a:lnTo>
                                <a:pt x="596" y="402"/>
                              </a:lnTo>
                              <a:lnTo>
                                <a:pt x="588" y="387"/>
                              </a:lnTo>
                              <a:lnTo>
                                <a:pt x="583" y="384"/>
                              </a:lnTo>
                              <a:close/>
                              <a:moveTo>
                                <a:pt x="494" y="366"/>
                              </a:moveTo>
                              <a:lnTo>
                                <a:pt x="478" y="367"/>
                              </a:lnTo>
                              <a:lnTo>
                                <a:pt x="461" y="368"/>
                              </a:lnTo>
                              <a:lnTo>
                                <a:pt x="422" y="371"/>
                              </a:lnTo>
                              <a:lnTo>
                                <a:pt x="545" y="371"/>
                              </a:lnTo>
                              <a:lnTo>
                                <a:pt x="536" y="369"/>
                              </a:lnTo>
                              <a:lnTo>
                                <a:pt x="494" y="366"/>
                              </a:lnTo>
                              <a:close/>
                              <a:moveTo>
                                <a:pt x="284" y="49"/>
                              </a:moveTo>
                              <a:lnTo>
                                <a:pt x="281" y="67"/>
                              </a:lnTo>
                              <a:lnTo>
                                <a:pt x="277" y="90"/>
                              </a:lnTo>
                              <a:lnTo>
                                <a:pt x="272" y="119"/>
                              </a:lnTo>
                              <a:lnTo>
                                <a:pt x="266" y="153"/>
                              </a:lnTo>
                              <a:lnTo>
                                <a:pt x="278" y="153"/>
                              </a:lnTo>
                              <a:lnTo>
                                <a:pt x="279" y="149"/>
                              </a:lnTo>
                              <a:lnTo>
                                <a:pt x="281" y="116"/>
                              </a:lnTo>
                              <a:lnTo>
                                <a:pt x="283" y="83"/>
                              </a:lnTo>
                              <a:lnTo>
                                <a:pt x="284" y="49"/>
                              </a:lnTo>
                              <a:close/>
                              <a:moveTo>
                                <a:pt x="278" y="3"/>
                              </a:moveTo>
                              <a:lnTo>
                                <a:pt x="263" y="3"/>
                              </a:lnTo>
                              <a:lnTo>
                                <a:pt x="270" y="8"/>
                              </a:lnTo>
                              <a:lnTo>
                                <a:pt x="276" y="14"/>
                              </a:lnTo>
                              <a:lnTo>
                                <a:pt x="281" y="24"/>
                              </a:lnTo>
                              <a:lnTo>
                                <a:pt x="284" y="39"/>
                              </a:lnTo>
                              <a:lnTo>
                                <a:pt x="286" y="16"/>
                              </a:lnTo>
                              <a:lnTo>
                                <a:pt x="281" y="5"/>
                              </a:lnTo>
                              <a:lnTo>
                                <a:pt x="278" y="3"/>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FB4AA" id="AutoShape 3" o:spid="_x0000_s1026" style="position:absolute;margin-left:152.9pt;margin-top:-5.75pt;width:29.8pt;height:29.55pt;z-index:-1671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6,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" path="m108,466l56,499,23,532,6,560,,581r,10l46,591r3,-2l12,589r5,-22l37,536,68,501r40,-35xm255,l243,8r-6,18l235,47r,20l235,75r1,14l238,105r2,15l243,136r4,17l251,169r4,17l246,219r-24,61l186,359r-43,82l98,515,52,569,12,589r37,l51,589,83,561r38,-48l166,442r6,-2l166,440r43,-79l237,301r18,-46l266,219r21,l274,184r4,-31l266,153r-7,-27l254,101,252,77,251,55r,-9l252,30r4,-16l263,3r15,l270,,255,xm590,439r-17,l566,445r,16l573,467r17,l593,464r-19,l569,459r,-13l574,442r19,l590,439xm593,442r-5,l592,446r,13l588,464r5,l596,461r,-16l593,442xm585,443r-10,l575,461r3,l578,454r8,l585,454r-2,-1l587,452r-9,l578,447r9,l586,446r-1,-3xm586,454r-4,l583,456r,2l584,461r3,l586,458r,-2l586,454xm587,447r-5,l583,448r,3l582,452r5,l587,449r,-2xm287,219r-21,l299,285r34,45l364,358r26,17l336,386r-57,14l222,418r-56,22l172,440r51,-16l285,410r64,-12l413,390r45,l448,386r41,-2l583,384r-16,-9l545,371r-123,l408,363r-14,-9l380,345r-13,-9l337,305,311,268,290,227r-3,-8xm458,390r-45,l452,408r40,14l528,430r30,3l577,433r10,-4l588,423r-17,l547,421r-30,-8l484,401,458,390xm590,419r-5,2l579,423r9,l590,419xm583,384r-94,l537,385r39,9l592,412r2,-4l596,406r,-4l588,387r-5,-3xm494,366r-16,1l461,368r-39,3l545,371r-9,-2l494,366xm284,49r-3,18l277,90r-5,29l266,153r12,l279,149r2,-33l283,83r1,-34xm278,3r-15,l270,8r6,6l281,24r3,15l286,16,281,5,278,3xe" fillcolor="#ffd8d8" stroked="f">
                <v:path arrowok="t" o:connecttype="custom" o:connectlocs="3810,282575;31115,300990;43180,245110;150495,-56515;149860,-16510;156845,24130;140970,104775;33020,288290;52705,283210;105410,206375;168910,66040;168910,24130;159385,-38100;167005,-71120;374650,205740;363855,223520;361315,218440;374650,205740;375920,218440;378460,209550;365125,219710;371475,215265;367030,210820;372110,215265;370840,219710;372110,215265;370205,213360;372745,210820;211455,136525;177165,180975;141605,196215;290830,174625;360045,165100;250190,151765;197485,97155;262255,174625;354330,201930;362585,195580;290830,174625;373380,195580;340995,171450;378460,184785;313690,159385;346075,162560;178435,-30480;176530,24130;180340,-41910;175260,-64135;178435,-69850" o:connectangles="0,0,0,0,0,0,0,0,0,0,0,0,0,0,0,0,0,0,0,0,0,0,0,0,0,0,0,0,0,0,0,0,0,0,0,0,0,0,0,0,0,0,0,0,0,0,0,0,0"/>
                <w10:wrap anchorx="page"/>
              </v:shape>
            </w:pict>
          </mc:Fallback>
        </mc:AlternateContent>
      </w:r>
      <w:r>
        <w:rPr>
          <w:noProof/>
        </w:rPr>
        <mc:AlternateContent>
          <mc:Choice Requires="wps">
            <w:drawing>
              <wp:anchor distT="0" distB="0" distL="114300" distR="114300" simplePos="0" relativeHeight="15732736" behindDoc="0" locked="0" layoutInCell="1" allowOverlap="1">
                <wp:simplePos x="0" y="0"/>
                <wp:positionH relativeFrom="page">
                  <wp:posOffset>675005</wp:posOffset>
                </wp:positionH>
                <wp:positionV relativeFrom="paragraph">
                  <wp:posOffset>-10160</wp:posOffset>
                </wp:positionV>
                <wp:extent cx="1438275" cy="220980"/>
                <wp:effectExtent l="0" t="0" r="0" b="0"/>
                <wp:wrapNone/>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line="347" w:lineRule="exact"/>
                              <w:rPr>
                                <w:rFonts w:ascii="Arial"/>
                                <w:sz w:val="31"/>
                              </w:rPr>
                            </w:pPr>
                            <w:r>
                              <w:rPr>
                                <w:rFonts w:ascii="Arial"/>
                                <w:sz w:val="31"/>
                              </w:rPr>
                              <w:t>Jessica Patronis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53.15pt;margin-top:-.8pt;width:113.25pt;height:17.4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" filled="f" stroked="f">
                <v:textbox inset="0,0,0,0">
                  <w:txbxContent>
                    <w:p w:rsidR="00D35590" w:rsidRDefault="00D75DDE">
                      <w:pPr>
                        <w:spacing w:line="347" w:lineRule="exact"/>
                        <w:rPr>
                          <w:rFonts w:ascii="Arial"/>
                          <w:sz w:val="31"/>
                        </w:rPr>
                      </w:pPr>
                      <w:r>
                        <w:rPr>
                          <w:rFonts w:ascii="Arial"/>
                          <w:sz w:val="31"/>
                        </w:rPr>
                        <w:t>Jessica Patronis</w:t>
                      </w:r>
                    </w:p>
                  </w:txbxContent>
                </v:textbox>
                <w10:wrap anchorx="page"/>
              </v:shape>
            </w:pict>
          </mc:Fallback>
        </mc:AlternateContent>
      </w:r>
      <w:r w:rsidR="00D75DDE">
        <w:rPr>
          <w:rFonts w:ascii="Arial"/>
          <w:sz w:val="14"/>
        </w:rPr>
        <w:t>Digitally signed by Jessica Patronis Date: 2020.11.13 09:13:56 -05'00'</w:t>
      </w:r>
    </w:p>
    <w:p w:rsidR="00D35590" w:rsidRDefault="00D35590">
      <w:pPr>
        <w:pStyle w:val="BodyText"/>
        <w:spacing w:before="5"/>
        <w:rPr>
          <w:rFonts w:ascii="Arial"/>
          <w:sz w:val="13"/>
        </w:rPr>
      </w:pPr>
    </w:p>
    <w:p w:rsidR="00D35590" w:rsidRDefault="00D75DDE">
      <w:pPr>
        <w:pStyle w:val="BodyText"/>
        <w:ind w:left="140" w:right="8307"/>
      </w:pPr>
      <w:r>
        <w:t>Quality Assurance Officer Jessica Patronis</w:t>
      </w:r>
    </w:p>
    <w:p w:rsidR="00D35590" w:rsidRDefault="00D35590">
      <w:pPr>
        <w:sectPr w:rsidR="00D35590">
          <w:footerReference w:type="default" r:id="rId9"/>
          <w:pgSz w:w="12240" w:h="15840"/>
          <w:pgMar w:top="1380" w:right="300" w:bottom="800" w:left="940" w:header="0" w:footer="619" w:gutter="0"/>
          <w:pgNumType w:start="2"/>
          <w:cols w:space="720"/>
        </w:sectPr>
      </w:pPr>
    </w:p>
    <w:sdt>
      <w:sdtPr>
        <w:id w:val="-714341163"/>
        <w:docPartObj>
          <w:docPartGallery w:val="Table of Contents"/>
          <w:docPartUnique/>
        </w:docPartObj>
      </w:sdtPr>
      <w:sdtEndPr/>
      <w:sdtContent>
        <w:p w:rsidR="00D35590" w:rsidRDefault="00D6082D">
          <w:pPr>
            <w:pStyle w:val="TOC1"/>
            <w:numPr>
              <w:ilvl w:val="0"/>
              <w:numId w:val="26"/>
            </w:numPr>
            <w:tabs>
              <w:tab w:val="left" w:pos="679"/>
              <w:tab w:val="left" w:pos="680"/>
              <w:tab w:val="right" w:leader="dot" w:pos="10210"/>
            </w:tabs>
            <w:spacing w:before="80"/>
          </w:pPr>
          <w:hyperlink w:anchor="_bookmark0" w:history="1">
            <w:r w:rsidR="00D75DDE">
              <w:t>INTRODUCTION</w:t>
            </w:r>
            <w:r w:rsidR="00D75DDE">
              <w:tab/>
              <w:t>5</w:t>
            </w:r>
          </w:hyperlink>
        </w:p>
        <w:p w:rsidR="00D35590" w:rsidRDefault="00D6082D">
          <w:pPr>
            <w:pStyle w:val="TOC1"/>
            <w:numPr>
              <w:ilvl w:val="0"/>
              <w:numId w:val="26"/>
            </w:numPr>
            <w:tabs>
              <w:tab w:val="left" w:pos="679"/>
              <w:tab w:val="left" w:pos="680"/>
              <w:tab w:val="right" w:leader="dot" w:pos="10210"/>
            </w:tabs>
          </w:pPr>
          <w:hyperlink w:anchor="_bookmark1" w:history="1">
            <w:r w:rsidR="00D75DDE">
              <w:t>BASIC ELEMENTS OF THE WQSP</w:t>
            </w:r>
            <w:r w:rsidR="00D75DDE">
              <w:rPr>
                <w:spacing w:val="-5"/>
              </w:rPr>
              <w:t xml:space="preserve"> </w:t>
            </w:r>
            <w:r w:rsidR="00D75DDE">
              <w:t>QUALITY</w:t>
            </w:r>
            <w:r w:rsidR="00D75DDE">
              <w:rPr>
                <w:spacing w:val="-2"/>
              </w:rPr>
              <w:t xml:space="preserve"> </w:t>
            </w:r>
            <w:r w:rsidR="00D75DDE">
              <w:t>PLAN</w:t>
            </w:r>
            <w:r w:rsidR="00D75DDE">
              <w:tab/>
              <w:t>5</w:t>
            </w:r>
          </w:hyperlink>
        </w:p>
        <w:p w:rsidR="00D35590" w:rsidRDefault="00D6082D">
          <w:pPr>
            <w:pStyle w:val="TOC2"/>
            <w:numPr>
              <w:ilvl w:val="1"/>
              <w:numId w:val="26"/>
            </w:numPr>
            <w:tabs>
              <w:tab w:val="left" w:pos="679"/>
              <w:tab w:val="left" w:pos="680"/>
              <w:tab w:val="right" w:leader="dot" w:pos="10210"/>
            </w:tabs>
          </w:pPr>
          <w:hyperlink w:anchor="_bookmark2" w:history="1">
            <w:r w:rsidR="00D75DDE">
              <w:t>Policy</w:t>
            </w:r>
            <w:r w:rsidR="00D75DDE">
              <w:rPr>
                <w:spacing w:val="1"/>
              </w:rPr>
              <w:t xml:space="preserve"> </w:t>
            </w:r>
            <w:r w:rsidR="00D75DDE">
              <w:t>Statement</w:t>
            </w:r>
            <w:r w:rsidR="00D75DDE">
              <w:tab/>
              <w:t>6</w:t>
            </w:r>
          </w:hyperlink>
        </w:p>
        <w:p w:rsidR="00D35590" w:rsidRDefault="00D6082D">
          <w:pPr>
            <w:pStyle w:val="TOC1"/>
            <w:numPr>
              <w:ilvl w:val="0"/>
              <w:numId w:val="26"/>
            </w:numPr>
            <w:tabs>
              <w:tab w:val="left" w:pos="679"/>
              <w:tab w:val="left" w:pos="680"/>
              <w:tab w:val="right" w:leader="dot" w:pos="10210"/>
            </w:tabs>
          </w:pPr>
          <w:hyperlink w:anchor="_bookmark3" w:history="1">
            <w:r w:rsidR="00D75DDE">
              <w:t>ETHICS</w:t>
            </w:r>
            <w:r w:rsidR="00D75DDE">
              <w:tab/>
              <w:t>7</w:t>
            </w:r>
          </w:hyperlink>
        </w:p>
        <w:p w:rsidR="00D35590" w:rsidRDefault="00D6082D">
          <w:pPr>
            <w:pStyle w:val="TOC1"/>
            <w:numPr>
              <w:ilvl w:val="0"/>
              <w:numId w:val="26"/>
            </w:numPr>
            <w:tabs>
              <w:tab w:val="left" w:pos="679"/>
              <w:tab w:val="left" w:pos="680"/>
              <w:tab w:val="right" w:leader="dot" w:pos="10211"/>
            </w:tabs>
            <w:spacing w:before="360"/>
          </w:pPr>
          <w:hyperlink w:anchor="_bookmark4" w:history="1">
            <w:r w:rsidR="00D75DDE">
              <w:t>ORGANIZATION</w:t>
            </w:r>
            <w:r w:rsidR="00D75DDE">
              <w:rPr>
                <w:spacing w:val="-1"/>
              </w:rPr>
              <w:t xml:space="preserve"> </w:t>
            </w:r>
            <w:r w:rsidR="00D75DDE">
              <w:t>AND</w:t>
            </w:r>
            <w:r w:rsidR="00D75DDE">
              <w:rPr>
                <w:spacing w:val="-4"/>
              </w:rPr>
              <w:t xml:space="preserve"> </w:t>
            </w:r>
            <w:r w:rsidR="00D75DDE">
              <w:t>RESPONSIBILITIES</w:t>
            </w:r>
            <w:r w:rsidR="00D75DDE">
              <w:tab/>
              <w:t>7</w:t>
            </w:r>
          </w:hyperlink>
        </w:p>
        <w:p w:rsidR="00D35590" w:rsidRDefault="00D6082D">
          <w:pPr>
            <w:pStyle w:val="TOC2"/>
            <w:numPr>
              <w:ilvl w:val="1"/>
              <w:numId w:val="26"/>
            </w:numPr>
            <w:tabs>
              <w:tab w:val="left" w:pos="679"/>
              <w:tab w:val="left" w:pos="680"/>
              <w:tab w:val="right" w:leader="dot" w:pos="10210"/>
            </w:tabs>
          </w:pPr>
          <w:hyperlink w:anchor="_bookmark5" w:history="1">
            <w:r w:rsidR="00D75DDE">
              <w:t>Standards Development</w:t>
            </w:r>
            <w:r w:rsidR="00D75DDE">
              <w:rPr>
                <w:spacing w:val="-1"/>
              </w:rPr>
              <w:t xml:space="preserve"> </w:t>
            </w:r>
            <w:r w:rsidR="00D75DDE">
              <w:t>Section</w:t>
            </w:r>
            <w:r w:rsidR="00D75DDE">
              <w:rPr>
                <w:spacing w:val="1"/>
              </w:rPr>
              <w:t xml:space="preserve"> </w:t>
            </w:r>
            <w:r w:rsidR="00D75DDE">
              <w:t>Activities</w:t>
            </w:r>
            <w:r w:rsidR="00D75DDE">
              <w:tab/>
              <w:t>9</w:t>
            </w:r>
          </w:hyperlink>
        </w:p>
        <w:p w:rsidR="00D35590" w:rsidRDefault="00D6082D">
          <w:pPr>
            <w:pStyle w:val="TOC2"/>
            <w:numPr>
              <w:ilvl w:val="1"/>
              <w:numId w:val="26"/>
            </w:numPr>
            <w:tabs>
              <w:tab w:val="left" w:pos="679"/>
              <w:tab w:val="left" w:pos="680"/>
              <w:tab w:val="right" w:leader="dot" w:pos="10210"/>
            </w:tabs>
            <w:spacing w:before="240"/>
          </w:pPr>
          <w:hyperlink w:anchor="_bookmark6" w:history="1">
            <w:r w:rsidR="00D75DDE">
              <w:t>Aquatic Ecology and Quality Assurance</w:t>
            </w:r>
            <w:r w:rsidR="00D75DDE">
              <w:rPr>
                <w:spacing w:val="1"/>
              </w:rPr>
              <w:t xml:space="preserve"> </w:t>
            </w:r>
            <w:r w:rsidR="00D75DDE">
              <w:t>Section</w:t>
            </w:r>
            <w:r w:rsidR="00D75DDE">
              <w:rPr>
                <w:spacing w:val="1"/>
              </w:rPr>
              <w:t xml:space="preserve"> </w:t>
            </w:r>
            <w:r w:rsidR="00D75DDE">
              <w:t>Activities</w:t>
            </w:r>
            <w:r w:rsidR="00D75DDE">
              <w:tab/>
              <w:t>10</w:t>
            </w:r>
          </w:hyperlink>
        </w:p>
        <w:p w:rsidR="00D35590" w:rsidRDefault="00D6082D">
          <w:pPr>
            <w:pStyle w:val="TOC2"/>
            <w:numPr>
              <w:ilvl w:val="1"/>
              <w:numId w:val="26"/>
            </w:numPr>
            <w:tabs>
              <w:tab w:val="left" w:pos="679"/>
              <w:tab w:val="left" w:pos="680"/>
              <w:tab w:val="right" w:leader="dot" w:pos="10210"/>
            </w:tabs>
          </w:pPr>
          <w:hyperlink w:anchor="_bookmark7" w:history="1">
            <w:r w:rsidR="00D75DDE">
              <w:t>Duties of the department</w:t>
            </w:r>
            <w:r w:rsidR="00D75DDE">
              <w:rPr>
                <w:spacing w:val="-4"/>
              </w:rPr>
              <w:t xml:space="preserve"> </w:t>
            </w:r>
            <w:r w:rsidR="00D75DDE">
              <w:t>QA</w:t>
            </w:r>
            <w:r w:rsidR="00D75DDE">
              <w:rPr>
                <w:spacing w:val="-1"/>
              </w:rPr>
              <w:t xml:space="preserve"> </w:t>
            </w:r>
            <w:r w:rsidR="00D75DDE">
              <w:t>Coordinator</w:t>
            </w:r>
            <w:r w:rsidR="00D75DDE">
              <w:tab/>
              <w:t>11</w:t>
            </w:r>
          </w:hyperlink>
        </w:p>
        <w:p w:rsidR="00D35590" w:rsidRDefault="00D6082D">
          <w:pPr>
            <w:pStyle w:val="TOC2"/>
            <w:numPr>
              <w:ilvl w:val="1"/>
              <w:numId w:val="26"/>
            </w:numPr>
            <w:tabs>
              <w:tab w:val="left" w:pos="679"/>
              <w:tab w:val="left" w:pos="680"/>
              <w:tab w:val="right" w:leader="dot" w:pos="10210"/>
            </w:tabs>
          </w:pPr>
          <w:hyperlink w:anchor="_bookmark8" w:history="1">
            <w:r w:rsidR="00D75DDE">
              <w:t>Duties of the Water Quality Standards Program Quality</w:t>
            </w:r>
            <w:r w:rsidR="00D75DDE">
              <w:rPr>
                <w:spacing w:val="-1"/>
              </w:rPr>
              <w:t xml:space="preserve"> </w:t>
            </w:r>
            <w:r w:rsidR="00D75DDE">
              <w:t>Assurance</w:t>
            </w:r>
            <w:r w:rsidR="00D75DDE">
              <w:rPr>
                <w:spacing w:val="-1"/>
              </w:rPr>
              <w:t xml:space="preserve"> </w:t>
            </w:r>
            <w:r w:rsidR="00D75DDE">
              <w:t>Officer</w:t>
            </w:r>
            <w:r w:rsidR="00D75DDE">
              <w:tab/>
              <w:t>12</w:t>
            </w:r>
          </w:hyperlink>
        </w:p>
        <w:p w:rsidR="00D35590" w:rsidRDefault="00D6082D">
          <w:pPr>
            <w:pStyle w:val="TOC2"/>
            <w:numPr>
              <w:ilvl w:val="1"/>
              <w:numId w:val="26"/>
            </w:numPr>
            <w:tabs>
              <w:tab w:val="left" w:pos="679"/>
              <w:tab w:val="left" w:pos="680"/>
              <w:tab w:val="right" w:leader="dot" w:pos="10210"/>
            </w:tabs>
            <w:spacing w:before="238"/>
          </w:pPr>
          <w:hyperlink w:anchor="_bookmark9" w:history="1">
            <w:r w:rsidR="00D75DDE">
              <w:t>Support Activities for Sampling (both sections</w:t>
            </w:r>
            <w:r w:rsidR="00D75DDE">
              <w:rPr>
                <w:spacing w:val="-1"/>
              </w:rPr>
              <w:t xml:space="preserve"> </w:t>
            </w:r>
            <w:r w:rsidR="00D75DDE">
              <w:t>of</w:t>
            </w:r>
            <w:r w:rsidR="00D75DDE">
              <w:rPr>
                <w:spacing w:val="-1"/>
              </w:rPr>
              <w:t xml:space="preserve"> </w:t>
            </w:r>
            <w:r w:rsidR="00D75DDE">
              <w:t>WQSP)</w:t>
            </w:r>
            <w:r w:rsidR="00D75DDE">
              <w:tab/>
              <w:t>12</w:t>
            </w:r>
          </w:hyperlink>
        </w:p>
        <w:p w:rsidR="00D35590" w:rsidRDefault="00D6082D">
          <w:pPr>
            <w:pStyle w:val="TOC2"/>
            <w:numPr>
              <w:ilvl w:val="1"/>
              <w:numId w:val="26"/>
            </w:numPr>
            <w:tabs>
              <w:tab w:val="left" w:pos="679"/>
              <w:tab w:val="left" w:pos="680"/>
              <w:tab w:val="right" w:leader="dot" w:pos="10210"/>
            </w:tabs>
          </w:pPr>
          <w:hyperlink w:anchor="_bookmark10" w:history="1">
            <w:r w:rsidR="00D75DDE">
              <w:t>Support Activities for Laboratory</w:t>
            </w:r>
            <w:r w:rsidR="00D75DDE">
              <w:rPr>
                <w:spacing w:val="-1"/>
              </w:rPr>
              <w:t xml:space="preserve"> </w:t>
            </w:r>
            <w:r w:rsidR="00D75DDE">
              <w:t>Analysis</w:t>
            </w:r>
            <w:r w:rsidR="00D75DDE">
              <w:tab/>
              <w:t>13</w:t>
            </w:r>
          </w:hyperlink>
        </w:p>
        <w:p w:rsidR="00D35590" w:rsidRDefault="00D6082D">
          <w:pPr>
            <w:pStyle w:val="TOC1"/>
            <w:numPr>
              <w:ilvl w:val="0"/>
              <w:numId w:val="26"/>
            </w:numPr>
            <w:tabs>
              <w:tab w:val="left" w:pos="679"/>
              <w:tab w:val="left" w:pos="680"/>
              <w:tab w:val="right" w:leader="dot" w:pos="10210"/>
            </w:tabs>
          </w:pPr>
          <w:hyperlink w:anchor="_bookmark11" w:history="1">
            <w:r w:rsidR="00D75DDE">
              <w:t>TRAINING</w:t>
            </w:r>
            <w:r w:rsidR="00D75DDE">
              <w:tab/>
              <w:t>13</w:t>
            </w:r>
          </w:hyperlink>
        </w:p>
        <w:p w:rsidR="00D35590" w:rsidRDefault="00D6082D">
          <w:pPr>
            <w:pStyle w:val="TOC2"/>
            <w:numPr>
              <w:ilvl w:val="1"/>
              <w:numId w:val="26"/>
            </w:numPr>
            <w:tabs>
              <w:tab w:val="left" w:pos="679"/>
              <w:tab w:val="left" w:pos="680"/>
              <w:tab w:val="right" w:leader="dot" w:pos="10210"/>
            </w:tabs>
          </w:pPr>
          <w:hyperlink w:anchor="_bookmark12" w:history="1">
            <w:r w:rsidR="00D75DDE">
              <w:t>Internal</w:t>
            </w:r>
            <w:r w:rsidR="00D75DDE">
              <w:rPr>
                <w:spacing w:val="-2"/>
              </w:rPr>
              <w:t xml:space="preserve"> </w:t>
            </w:r>
            <w:r w:rsidR="00D75DDE">
              <w:t>Training</w:t>
            </w:r>
            <w:r w:rsidR="00D75DDE">
              <w:rPr>
                <w:spacing w:val="-1"/>
              </w:rPr>
              <w:t xml:space="preserve"> </w:t>
            </w:r>
            <w:r w:rsidR="00D75DDE">
              <w:t>Procedures</w:t>
            </w:r>
            <w:r w:rsidR="00D75DDE">
              <w:tab/>
              <w:t>14</w:t>
            </w:r>
          </w:hyperlink>
        </w:p>
        <w:p w:rsidR="00D35590" w:rsidRDefault="00D6082D">
          <w:pPr>
            <w:pStyle w:val="TOC2"/>
            <w:numPr>
              <w:ilvl w:val="1"/>
              <w:numId w:val="26"/>
            </w:numPr>
            <w:tabs>
              <w:tab w:val="left" w:pos="679"/>
              <w:tab w:val="left" w:pos="680"/>
              <w:tab w:val="right" w:leader="dot" w:pos="10210"/>
            </w:tabs>
            <w:spacing w:before="240"/>
          </w:pPr>
          <w:hyperlink w:anchor="_bookmark13" w:history="1">
            <w:r w:rsidR="00D75DDE">
              <w:t>Proficiency</w:t>
            </w:r>
            <w:r w:rsidR="00D75DDE">
              <w:rPr>
                <w:spacing w:val="-2"/>
              </w:rPr>
              <w:t xml:space="preserve"> </w:t>
            </w:r>
            <w:r w:rsidR="00D75DDE">
              <w:t>Evaluation</w:t>
            </w:r>
            <w:r w:rsidR="00D75DDE">
              <w:tab/>
              <w:t>14</w:t>
            </w:r>
          </w:hyperlink>
        </w:p>
        <w:p w:rsidR="00D35590" w:rsidRDefault="00D6082D">
          <w:pPr>
            <w:pStyle w:val="TOC2"/>
            <w:numPr>
              <w:ilvl w:val="1"/>
              <w:numId w:val="26"/>
            </w:numPr>
            <w:tabs>
              <w:tab w:val="left" w:pos="679"/>
              <w:tab w:val="left" w:pos="680"/>
              <w:tab w:val="right" w:leader="dot" w:pos="10210"/>
            </w:tabs>
            <w:spacing w:before="239"/>
          </w:pPr>
          <w:hyperlink w:anchor="_bookmark14" w:history="1">
            <w:r w:rsidR="00D75DDE">
              <w:t>External</w:t>
            </w:r>
            <w:r w:rsidR="00D75DDE">
              <w:rPr>
                <w:spacing w:val="-2"/>
              </w:rPr>
              <w:t xml:space="preserve"> </w:t>
            </w:r>
            <w:r w:rsidR="00D75DDE">
              <w:t>Training</w:t>
            </w:r>
            <w:r w:rsidR="00D75DDE">
              <w:tab/>
              <w:t>15</w:t>
            </w:r>
          </w:hyperlink>
        </w:p>
        <w:p w:rsidR="00D35590" w:rsidRDefault="00D6082D">
          <w:pPr>
            <w:pStyle w:val="TOC1"/>
            <w:numPr>
              <w:ilvl w:val="0"/>
              <w:numId w:val="26"/>
            </w:numPr>
            <w:tabs>
              <w:tab w:val="left" w:pos="679"/>
              <w:tab w:val="left" w:pos="680"/>
              <w:tab w:val="right" w:leader="dot" w:pos="10210"/>
            </w:tabs>
          </w:pPr>
          <w:hyperlink w:anchor="_bookmark15" w:history="1">
            <w:r w:rsidR="00D75DDE">
              <w:t>SAMPLING DESIGN</w:t>
            </w:r>
            <w:r w:rsidR="00D75DDE">
              <w:rPr>
                <w:spacing w:val="-1"/>
              </w:rPr>
              <w:t xml:space="preserve"> </w:t>
            </w:r>
            <w:r w:rsidR="00D75DDE">
              <w:t>AND</w:t>
            </w:r>
            <w:r w:rsidR="00D75DDE">
              <w:rPr>
                <w:spacing w:val="-2"/>
              </w:rPr>
              <w:t xml:space="preserve"> </w:t>
            </w:r>
            <w:r w:rsidR="00D75DDE">
              <w:t>PROCEDURES</w:t>
            </w:r>
            <w:r w:rsidR="00D75DDE">
              <w:tab/>
              <w:t>16</w:t>
            </w:r>
          </w:hyperlink>
        </w:p>
        <w:p w:rsidR="00D35590" w:rsidRDefault="00D6082D">
          <w:pPr>
            <w:pStyle w:val="TOC2"/>
            <w:numPr>
              <w:ilvl w:val="1"/>
              <w:numId w:val="26"/>
            </w:numPr>
            <w:tabs>
              <w:tab w:val="left" w:pos="679"/>
              <w:tab w:val="left" w:pos="680"/>
              <w:tab w:val="right" w:leader="dot" w:pos="10210"/>
            </w:tabs>
          </w:pPr>
          <w:hyperlink w:anchor="_bookmark16" w:history="1">
            <w:r w:rsidR="00D75DDE">
              <w:t>Sample Scheduling and</w:t>
            </w:r>
            <w:r w:rsidR="00D75DDE">
              <w:rPr>
                <w:spacing w:val="-1"/>
              </w:rPr>
              <w:t xml:space="preserve"> </w:t>
            </w:r>
            <w:r w:rsidR="00D75DDE">
              <w:t>Trip</w:t>
            </w:r>
            <w:r w:rsidR="00D75DDE">
              <w:rPr>
                <w:spacing w:val="1"/>
              </w:rPr>
              <w:t xml:space="preserve"> </w:t>
            </w:r>
            <w:r w:rsidR="00D75DDE">
              <w:t>Planning</w:t>
            </w:r>
            <w:r w:rsidR="00D75DDE">
              <w:tab/>
              <w:t>17</w:t>
            </w:r>
          </w:hyperlink>
        </w:p>
        <w:p w:rsidR="00D35590" w:rsidRDefault="00D6082D">
          <w:pPr>
            <w:pStyle w:val="TOC2"/>
            <w:numPr>
              <w:ilvl w:val="1"/>
              <w:numId w:val="26"/>
            </w:numPr>
            <w:tabs>
              <w:tab w:val="left" w:pos="679"/>
              <w:tab w:val="left" w:pos="680"/>
              <w:tab w:val="right" w:leader="dot" w:pos="10210"/>
            </w:tabs>
            <w:spacing w:before="240"/>
          </w:pPr>
          <w:hyperlink w:anchor="_bookmark17" w:history="1">
            <w:r w:rsidR="00D75DDE">
              <w:t>Sampling</w:t>
            </w:r>
            <w:r w:rsidR="00D75DDE">
              <w:rPr>
                <w:spacing w:val="-2"/>
              </w:rPr>
              <w:t xml:space="preserve"> </w:t>
            </w:r>
            <w:r w:rsidR="00D75DDE">
              <w:t>Procedures</w:t>
            </w:r>
            <w:r w:rsidR="00D75DDE">
              <w:tab/>
              <w:t>19</w:t>
            </w:r>
          </w:hyperlink>
        </w:p>
        <w:p w:rsidR="00D35590" w:rsidRDefault="00D6082D">
          <w:pPr>
            <w:pStyle w:val="TOC2"/>
            <w:numPr>
              <w:ilvl w:val="1"/>
              <w:numId w:val="26"/>
            </w:numPr>
            <w:tabs>
              <w:tab w:val="left" w:pos="679"/>
              <w:tab w:val="left" w:pos="680"/>
              <w:tab w:val="right" w:leader="dot" w:pos="10210"/>
            </w:tabs>
          </w:pPr>
          <w:hyperlink w:anchor="_bookmark18" w:history="1">
            <w:r w:rsidR="00D75DDE">
              <w:t>Data Review and Upload</w:t>
            </w:r>
            <w:r w:rsidR="00D75DDE">
              <w:rPr>
                <w:spacing w:val="1"/>
              </w:rPr>
              <w:t xml:space="preserve"> </w:t>
            </w:r>
            <w:r w:rsidR="00D75DDE">
              <w:t>to</w:t>
            </w:r>
            <w:r w:rsidR="00D75DDE">
              <w:rPr>
                <w:spacing w:val="1"/>
              </w:rPr>
              <w:t xml:space="preserve"> </w:t>
            </w:r>
            <w:r w:rsidR="00D75DDE">
              <w:t>WIN</w:t>
            </w:r>
            <w:r w:rsidR="00D75DDE">
              <w:tab/>
              <w:t>19</w:t>
            </w:r>
          </w:hyperlink>
        </w:p>
        <w:p w:rsidR="00D35590" w:rsidRDefault="00D6082D">
          <w:pPr>
            <w:pStyle w:val="TOC2"/>
            <w:numPr>
              <w:ilvl w:val="1"/>
              <w:numId w:val="26"/>
            </w:numPr>
            <w:tabs>
              <w:tab w:val="left" w:pos="679"/>
              <w:tab w:val="left" w:pos="680"/>
              <w:tab w:val="right" w:leader="dot" w:pos="10210"/>
            </w:tabs>
          </w:pPr>
          <w:hyperlink w:anchor="_bookmark19" w:history="1">
            <w:r w:rsidR="00D75DDE">
              <w:t>Long-Term Sampling</w:t>
            </w:r>
            <w:r w:rsidR="00D75DDE">
              <w:rPr>
                <w:spacing w:val="1"/>
              </w:rPr>
              <w:t xml:space="preserve"> </w:t>
            </w:r>
            <w:r w:rsidR="00D75DDE">
              <w:t>Projects</w:t>
            </w:r>
            <w:r w:rsidR="00D75DDE">
              <w:tab/>
              <w:t>20</w:t>
            </w:r>
          </w:hyperlink>
        </w:p>
        <w:p w:rsidR="00D35590" w:rsidRDefault="00D6082D">
          <w:pPr>
            <w:pStyle w:val="TOC1"/>
            <w:numPr>
              <w:ilvl w:val="0"/>
              <w:numId w:val="26"/>
            </w:numPr>
            <w:tabs>
              <w:tab w:val="left" w:pos="679"/>
              <w:tab w:val="left" w:pos="680"/>
              <w:tab w:val="right" w:leader="dot" w:pos="10210"/>
            </w:tabs>
          </w:pPr>
          <w:hyperlink w:anchor="_bookmark20" w:history="1">
            <w:r w:rsidR="00D75DDE">
              <w:t>QUALITY ASSURANCE</w:t>
            </w:r>
            <w:r w:rsidR="00D75DDE">
              <w:rPr>
                <w:spacing w:val="-1"/>
              </w:rPr>
              <w:t xml:space="preserve"> </w:t>
            </w:r>
            <w:r w:rsidR="00D75DDE">
              <w:t>PROGRAM</w:t>
            </w:r>
            <w:r w:rsidR="00D75DDE">
              <w:rPr>
                <w:spacing w:val="1"/>
              </w:rPr>
              <w:t xml:space="preserve"> </w:t>
            </w:r>
            <w:r w:rsidR="00D75DDE">
              <w:t>PROCEDURES</w:t>
            </w:r>
            <w:r w:rsidR="00D75DDE">
              <w:tab/>
              <w:t>21</w:t>
            </w:r>
          </w:hyperlink>
        </w:p>
        <w:p w:rsidR="00D35590" w:rsidRDefault="00D6082D">
          <w:pPr>
            <w:pStyle w:val="TOC2"/>
            <w:numPr>
              <w:ilvl w:val="1"/>
              <w:numId w:val="26"/>
            </w:numPr>
            <w:tabs>
              <w:tab w:val="left" w:pos="679"/>
              <w:tab w:val="left" w:pos="680"/>
              <w:tab w:val="right" w:leader="dot" w:pos="10210"/>
            </w:tabs>
          </w:pPr>
          <w:hyperlink w:anchor="_bookmark21" w:history="1">
            <w:r w:rsidR="00D75DDE">
              <w:t>Development of the QA Rules and the department Standard</w:t>
            </w:r>
            <w:r w:rsidR="00D75DDE">
              <w:rPr>
                <w:spacing w:val="-4"/>
              </w:rPr>
              <w:t xml:space="preserve"> </w:t>
            </w:r>
            <w:r w:rsidR="00D75DDE">
              <w:t>Operating</w:t>
            </w:r>
            <w:r w:rsidR="00D75DDE">
              <w:rPr>
                <w:spacing w:val="-1"/>
              </w:rPr>
              <w:t xml:space="preserve"> </w:t>
            </w:r>
            <w:r w:rsidR="00D75DDE">
              <w:t>Procedures</w:t>
            </w:r>
            <w:r w:rsidR="00D75DDE">
              <w:tab/>
              <w:t>21</w:t>
            </w:r>
          </w:hyperlink>
        </w:p>
        <w:p w:rsidR="00D35590" w:rsidRDefault="00D6082D">
          <w:pPr>
            <w:pStyle w:val="TOC2"/>
            <w:numPr>
              <w:ilvl w:val="1"/>
              <w:numId w:val="26"/>
            </w:numPr>
            <w:tabs>
              <w:tab w:val="left" w:pos="679"/>
              <w:tab w:val="left" w:pos="680"/>
              <w:tab w:val="right" w:leader="dot" w:pos="10210"/>
            </w:tabs>
            <w:spacing w:before="238"/>
          </w:pPr>
          <w:hyperlink w:anchor="_bookmark22" w:history="1">
            <w:r w:rsidR="00D75DDE">
              <w:t>Evaluation and Approval of Alternative or</w:t>
            </w:r>
            <w:r w:rsidR="00D75DDE">
              <w:rPr>
                <w:spacing w:val="-1"/>
              </w:rPr>
              <w:t xml:space="preserve"> </w:t>
            </w:r>
            <w:r w:rsidR="00D75DDE">
              <w:t>Modified</w:t>
            </w:r>
            <w:r w:rsidR="00D75DDE">
              <w:rPr>
                <w:spacing w:val="1"/>
              </w:rPr>
              <w:t xml:space="preserve"> </w:t>
            </w:r>
            <w:r w:rsidR="00D75DDE">
              <w:t>Methods</w:t>
            </w:r>
            <w:r w:rsidR="00D75DDE">
              <w:tab/>
              <w:t>21</w:t>
            </w:r>
          </w:hyperlink>
        </w:p>
        <w:p w:rsidR="00D35590" w:rsidRDefault="00D6082D">
          <w:pPr>
            <w:pStyle w:val="TOC2"/>
            <w:numPr>
              <w:ilvl w:val="1"/>
              <w:numId w:val="26"/>
            </w:numPr>
            <w:tabs>
              <w:tab w:val="left" w:pos="679"/>
              <w:tab w:val="left" w:pos="680"/>
              <w:tab w:val="right" w:leader="dot" w:pos="10210"/>
            </w:tabs>
            <w:spacing w:after="20"/>
          </w:pPr>
          <w:hyperlink w:anchor="_bookmark23" w:history="1">
            <w:r w:rsidR="00D75DDE">
              <w:t>Quality</w:t>
            </w:r>
            <w:r w:rsidR="00D75DDE">
              <w:rPr>
                <w:spacing w:val="1"/>
              </w:rPr>
              <w:t xml:space="preserve"> </w:t>
            </w:r>
            <w:r w:rsidR="00D75DDE">
              <w:t>Assurance Mailbox</w:t>
            </w:r>
            <w:r w:rsidR="00D75DDE">
              <w:tab/>
              <w:t>23</w:t>
            </w:r>
          </w:hyperlink>
        </w:p>
        <w:p w:rsidR="00D35590" w:rsidRDefault="00D6082D">
          <w:pPr>
            <w:pStyle w:val="TOC1"/>
            <w:numPr>
              <w:ilvl w:val="0"/>
              <w:numId w:val="26"/>
            </w:numPr>
            <w:tabs>
              <w:tab w:val="left" w:pos="679"/>
              <w:tab w:val="left" w:pos="680"/>
              <w:tab w:val="left" w:leader="dot" w:pos="9927"/>
            </w:tabs>
            <w:spacing w:before="80"/>
          </w:pPr>
          <w:hyperlink w:anchor="_bookmark24" w:history="1">
            <w:r w:rsidR="00D75DDE">
              <w:t>DATA</w:t>
            </w:r>
            <w:r w:rsidR="00D75DDE">
              <w:rPr>
                <w:spacing w:val="-3"/>
              </w:rPr>
              <w:t xml:space="preserve"> </w:t>
            </w:r>
            <w:r w:rsidR="00D75DDE">
              <w:t>REVIEW</w:t>
            </w:r>
            <w:r w:rsidR="00D75DDE">
              <w:rPr>
                <w:spacing w:val="-3"/>
              </w:rPr>
              <w:t xml:space="preserve"> </w:t>
            </w:r>
            <w:r w:rsidR="00D75DDE">
              <w:t>PROCEDURES</w:t>
            </w:r>
            <w:r w:rsidR="00D75DDE">
              <w:tab/>
              <w:t>23</w:t>
            </w:r>
          </w:hyperlink>
        </w:p>
        <w:p w:rsidR="00D35590" w:rsidRDefault="00D6082D">
          <w:pPr>
            <w:pStyle w:val="TOC2"/>
            <w:numPr>
              <w:ilvl w:val="1"/>
              <w:numId w:val="26"/>
            </w:numPr>
            <w:tabs>
              <w:tab w:val="left" w:pos="679"/>
              <w:tab w:val="left" w:pos="680"/>
              <w:tab w:val="left" w:leader="dot" w:pos="10008"/>
            </w:tabs>
          </w:pPr>
          <w:hyperlink w:anchor="_bookmark25" w:history="1">
            <w:r w:rsidR="00D75DDE">
              <w:t>Biological Data</w:t>
            </w:r>
            <w:r w:rsidR="00D75DDE">
              <w:rPr>
                <w:spacing w:val="-4"/>
              </w:rPr>
              <w:t xml:space="preserve"> </w:t>
            </w:r>
            <w:r w:rsidR="00D75DDE">
              <w:t>Quality</w:t>
            </w:r>
            <w:r w:rsidR="00D75DDE">
              <w:rPr>
                <w:spacing w:val="-2"/>
              </w:rPr>
              <w:t xml:space="preserve"> </w:t>
            </w:r>
            <w:r w:rsidR="00D75DDE">
              <w:t>Review</w:t>
            </w:r>
            <w:r w:rsidR="00D75DDE">
              <w:tab/>
              <w:t>23</w:t>
            </w:r>
          </w:hyperlink>
        </w:p>
        <w:p w:rsidR="00D35590" w:rsidRDefault="00D6082D">
          <w:pPr>
            <w:pStyle w:val="TOC2"/>
            <w:numPr>
              <w:ilvl w:val="1"/>
              <w:numId w:val="26"/>
            </w:numPr>
            <w:tabs>
              <w:tab w:val="left" w:pos="679"/>
              <w:tab w:val="left" w:pos="680"/>
              <w:tab w:val="left" w:leader="dot" w:pos="10008"/>
            </w:tabs>
            <w:spacing w:before="240"/>
          </w:pPr>
          <w:hyperlink w:anchor="_bookmark26" w:history="1">
            <w:r w:rsidR="00D75DDE">
              <w:t>Data Quality Review for Water Quality</w:t>
            </w:r>
            <w:r w:rsidR="00D75DDE">
              <w:rPr>
                <w:spacing w:val="-13"/>
              </w:rPr>
              <w:t xml:space="preserve"> </w:t>
            </w:r>
            <w:r w:rsidR="00D75DDE">
              <w:t>Criteria</w:t>
            </w:r>
            <w:r w:rsidR="00D75DDE">
              <w:rPr>
                <w:spacing w:val="-2"/>
              </w:rPr>
              <w:t xml:space="preserve"> </w:t>
            </w:r>
            <w:r w:rsidR="00D75DDE">
              <w:t>Development</w:t>
            </w:r>
            <w:r w:rsidR="00D75DDE">
              <w:tab/>
              <w:t>24</w:t>
            </w:r>
          </w:hyperlink>
        </w:p>
        <w:p w:rsidR="00D35590" w:rsidRDefault="00D6082D">
          <w:pPr>
            <w:pStyle w:val="TOC2"/>
            <w:numPr>
              <w:ilvl w:val="1"/>
              <w:numId w:val="26"/>
            </w:numPr>
            <w:tabs>
              <w:tab w:val="left" w:pos="679"/>
              <w:tab w:val="left" w:pos="680"/>
              <w:tab w:val="left" w:leader="dot" w:pos="10008"/>
            </w:tabs>
            <w:spacing w:before="239"/>
          </w:pPr>
          <w:hyperlink w:anchor="_bookmark27" w:history="1">
            <w:r w:rsidR="00D75DDE">
              <w:t>Audits</w:t>
            </w:r>
            <w:r w:rsidR="00D75DDE">
              <w:tab/>
              <w:t>25</w:t>
            </w:r>
          </w:hyperlink>
        </w:p>
        <w:p w:rsidR="00D35590" w:rsidRDefault="00D6082D">
          <w:pPr>
            <w:pStyle w:val="TOC2"/>
            <w:numPr>
              <w:ilvl w:val="1"/>
              <w:numId w:val="26"/>
            </w:numPr>
            <w:tabs>
              <w:tab w:val="left" w:pos="679"/>
              <w:tab w:val="left" w:pos="680"/>
              <w:tab w:val="left" w:leader="dot" w:pos="10008"/>
            </w:tabs>
            <w:spacing w:before="240"/>
          </w:pPr>
          <w:hyperlink w:anchor="_bookmark28" w:history="1">
            <w:r w:rsidR="00D75DDE">
              <w:t>Data</w:t>
            </w:r>
            <w:r w:rsidR="00D75DDE">
              <w:rPr>
                <w:spacing w:val="-2"/>
              </w:rPr>
              <w:t xml:space="preserve"> </w:t>
            </w:r>
            <w:r w:rsidR="00D75DDE">
              <w:t>Validation</w:t>
            </w:r>
            <w:r w:rsidR="00D75DDE">
              <w:tab/>
              <w:t>25</w:t>
            </w:r>
          </w:hyperlink>
        </w:p>
        <w:p w:rsidR="00D35590" w:rsidRDefault="00D6082D">
          <w:pPr>
            <w:pStyle w:val="TOC2"/>
            <w:numPr>
              <w:ilvl w:val="1"/>
              <w:numId w:val="26"/>
            </w:numPr>
            <w:tabs>
              <w:tab w:val="left" w:pos="679"/>
              <w:tab w:val="left" w:pos="680"/>
              <w:tab w:val="left" w:leader="dot" w:pos="10008"/>
            </w:tabs>
          </w:pPr>
          <w:hyperlink w:anchor="_bookmark29" w:history="1">
            <w:r w:rsidR="00D75DDE">
              <w:t>GIS Layer Updates</w:t>
            </w:r>
            <w:r w:rsidR="00D75DDE">
              <w:rPr>
                <w:spacing w:val="-5"/>
              </w:rPr>
              <w:t xml:space="preserve"> </w:t>
            </w:r>
            <w:r w:rsidR="00D75DDE">
              <w:t>and Maintenance</w:t>
            </w:r>
            <w:r w:rsidR="00D75DDE">
              <w:tab/>
              <w:t>26</w:t>
            </w:r>
          </w:hyperlink>
        </w:p>
        <w:p w:rsidR="00D35590" w:rsidRDefault="00D6082D">
          <w:pPr>
            <w:pStyle w:val="TOC1"/>
            <w:numPr>
              <w:ilvl w:val="0"/>
              <w:numId w:val="26"/>
            </w:numPr>
            <w:tabs>
              <w:tab w:val="left" w:pos="679"/>
              <w:tab w:val="left" w:pos="680"/>
              <w:tab w:val="left" w:leader="dot" w:pos="9927"/>
            </w:tabs>
            <w:ind w:left="140" w:right="787" w:firstLine="0"/>
          </w:pPr>
          <w:hyperlink w:anchor="_bookmark30" w:history="1">
            <w:r w:rsidR="00D75DDE">
              <w:t>PROCEDURES FOR CONDUCTING AUDITS AND MANAGING CORRECTIVE ACTIONS</w:t>
            </w:r>
          </w:hyperlink>
          <w:hyperlink w:anchor="_bookmark30" w:history="1">
            <w:r w:rsidR="00D75DDE">
              <w:t xml:space="preserve"> RESULTING</w:t>
            </w:r>
            <w:r w:rsidR="00D75DDE">
              <w:rPr>
                <w:spacing w:val="-2"/>
              </w:rPr>
              <w:t xml:space="preserve"> </w:t>
            </w:r>
            <w:r w:rsidR="00D75DDE">
              <w:t>FROM</w:t>
            </w:r>
            <w:r w:rsidR="00D75DDE">
              <w:rPr>
                <w:spacing w:val="-2"/>
              </w:rPr>
              <w:t xml:space="preserve"> </w:t>
            </w:r>
            <w:r w:rsidR="00D75DDE">
              <w:t>AUDITS</w:t>
            </w:r>
            <w:r w:rsidR="00D75DDE">
              <w:tab/>
            </w:r>
            <w:r w:rsidR="00D75DDE">
              <w:rPr>
                <w:spacing w:val="-10"/>
              </w:rPr>
              <w:t>27</w:t>
            </w:r>
          </w:hyperlink>
        </w:p>
        <w:p w:rsidR="00D35590" w:rsidRDefault="00D6082D">
          <w:pPr>
            <w:pStyle w:val="TOC2"/>
            <w:numPr>
              <w:ilvl w:val="1"/>
              <w:numId w:val="26"/>
            </w:numPr>
            <w:tabs>
              <w:tab w:val="left" w:pos="679"/>
              <w:tab w:val="left" w:pos="680"/>
              <w:tab w:val="left" w:leader="dot" w:pos="10008"/>
            </w:tabs>
            <w:spacing w:before="240"/>
          </w:pPr>
          <w:hyperlink w:anchor="_bookmark31" w:history="1">
            <w:r w:rsidR="00D75DDE">
              <w:t>Internal</w:t>
            </w:r>
            <w:r w:rsidR="00D75DDE">
              <w:rPr>
                <w:spacing w:val="-3"/>
              </w:rPr>
              <w:t xml:space="preserve"> </w:t>
            </w:r>
            <w:r w:rsidR="00D75DDE">
              <w:t>Auditing</w:t>
            </w:r>
            <w:r w:rsidR="00D75DDE">
              <w:tab/>
              <w:t>27</w:t>
            </w:r>
          </w:hyperlink>
        </w:p>
        <w:p w:rsidR="00D35590" w:rsidRDefault="00D6082D">
          <w:pPr>
            <w:pStyle w:val="TOC2"/>
            <w:numPr>
              <w:ilvl w:val="1"/>
              <w:numId w:val="26"/>
            </w:numPr>
            <w:tabs>
              <w:tab w:val="left" w:pos="679"/>
              <w:tab w:val="left" w:pos="680"/>
              <w:tab w:val="left" w:leader="dot" w:pos="10008"/>
            </w:tabs>
          </w:pPr>
          <w:hyperlink w:anchor="_bookmark32" w:history="1">
            <w:r w:rsidR="00D75DDE">
              <w:t>External</w:t>
            </w:r>
            <w:r w:rsidR="00D75DDE">
              <w:rPr>
                <w:spacing w:val="-3"/>
              </w:rPr>
              <w:t xml:space="preserve"> </w:t>
            </w:r>
            <w:r w:rsidR="00D75DDE">
              <w:t>Audits</w:t>
            </w:r>
            <w:r w:rsidR="00D75DDE">
              <w:tab/>
              <w:t>28</w:t>
            </w:r>
          </w:hyperlink>
        </w:p>
        <w:p w:rsidR="00D35590" w:rsidRDefault="00D6082D">
          <w:pPr>
            <w:pStyle w:val="TOC1"/>
            <w:numPr>
              <w:ilvl w:val="0"/>
              <w:numId w:val="26"/>
            </w:numPr>
            <w:tabs>
              <w:tab w:val="left" w:pos="679"/>
              <w:tab w:val="left" w:pos="680"/>
              <w:tab w:val="left" w:leader="dot" w:pos="9927"/>
            </w:tabs>
          </w:pPr>
          <w:hyperlink w:anchor="_bookmark33" w:history="1">
            <w:r w:rsidR="00D75DDE">
              <w:t>CONTRACT</w:t>
            </w:r>
            <w:r w:rsidR="00D75DDE">
              <w:rPr>
                <w:spacing w:val="-2"/>
              </w:rPr>
              <w:t xml:space="preserve"> </w:t>
            </w:r>
            <w:r w:rsidR="00D75DDE">
              <w:t>MANAGEMENT</w:t>
            </w:r>
            <w:r w:rsidR="00D75DDE">
              <w:tab/>
              <w:t>34</w:t>
            </w:r>
          </w:hyperlink>
        </w:p>
        <w:p w:rsidR="00D35590" w:rsidRDefault="00D6082D">
          <w:pPr>
            <w:pStyle w:val="TOC2"/>
            <w:numPr>
              <w:ilvl w:val="1"/>
              <w:numId w:val="26"/>
            </w:numPr>
            <w:tabs>
              <w:tab w:val="left" w:pos="680"/>
              <w:tab w:val="left" w:leader="dot" w:pos="10008"/>
            </w:tabs>
          </w:pPr>
          <w:hyperlink w:anchor="_bookmark34" w:history="1">
            <w:r w:rsidR="00D75DDE">
              <w:t>Contracts Managed by the Water Quality</w:t>
            </w:r>
            <w:r w:rsidR="00D75DDE">
              <w:rPr>
                <w:spacing w:val="-12"/>
              </w:rPr>
              <w:t xml:space="preserve"> </w:t>
            </w:r>
            <w:r w:rsidR="00D75DDE">
              <w:t>Standards</w:t>
            </w:r>
            <w:r w:rsidR="00D75DDE">
              <w:rPr>
                <w:spacing w:val="-2"/>
              </w:rPr>
              <w:t xml:space="preserve"> </w:t>
            </w:r>
            <w:r w:rsidR="00D75DDE">
              <w:t>Program</w:t>
            </w:r>
            <w:r w:rsidR="00D75DDE">
              <w:tab/>
              <w:t>34</w:t>
            </w:r>
          </w:hyperlink>
        </w:p>
        <w:p w:rsidR="00D35590" w:rsidRDefault="00D6082D">
          <w:pPr>
            <w:pStyle w:val="TOC2"/>
            <w:numPr>
              <w:ilvl w:val="1"/>
              <w:numId w:val="26"/>
            </w:numPr>
            <w:tabs>
              <w:tab w:val="left" w:pos="680"/>
              <w:tab w:val="left" w:leader="dot" w:pos="10008"/>
            </w:tabs>
            <w:spacing w:before="238"/>
          </w:pPr>
          <w:hyperlink w:anchor="_bookmark35" w:history="1">
            <w:r w:rsidR="00D75DDE">
              <w:t>Support Activities for Contracts Managed by Other</w:t>
            </w:r>
            <w:r w:rsidR="00D75DDE">
              <w:rPr>
                <w:spacing w:val="-12"/>
              </w:rPr>
              <w:t xml:space="preserve"> </w:t>
            </w:r>
            <w:r w:rsidR="00D75DDE">
              <w:t>Department</w:t>
            </w:r>
            <w:r w:rsidR="00D75DDE">
              <w:rPr>
                <w:spacing w:val="-2"/>
              </w:rPr>
              <w:t xml:space="preserve"> </w:t>
            </w:r>
            <w:r w:rsidR="00D75DDE">
              <w:t>Programs</w:t>
            </w:r>
            <w:r w:rsidR="00D75DDE">
              <w:tab/>
              <w:t>34</w:t>
            </w:r>
          </w:hyperlink>
        </w:p>
        <w:p w:rsidR="00D35590" w:rsidRDefault="00D6082D">
          <w:pPr>
            <w:pStyle w:val="TOC2"/>
            <w:numPr>
              <w:ilvl w:val="1"/>
              <w:numId w:val="26"/>
            </w:numPr>
            <w:tabs>
              <w:tab w:val="left" w:pos="680"/>
              <w:tab w:val="left" w:leader="dot" w:pos="10008"/>
            </w:tabs>
          </w:pPr>
          <w:hyperlink w:anchor="_bookmark36" w:history="1">
            <w:r w:rsidR="00D75DDE">
              <w:t>Quality Assurance Review for My Florida Marketplace (MFMP)</w:t>
            </w:r>
            <w:r w:rsidR="00D75DDE">
              <w:rPr>
                <w:spacing w:val="-14"/>
              </w:rPr>
              <w:t xml:space="preserve"> </w:t>
            </w:r>
            <w:r w:rsidR="00D75DDE">
              <w:t>Purchase</w:t>
            </w:r>
            <w:r w:rsidR="00D75DDE">
              <w:rPr>
                <w:spacing w:val="-2"/>
              </w:rPr>
              <w:t xml:space="preserve"> </w:t>
            </w:r>
            <w:r w:rsidR="00D75DDE">
              <w:t>Orders</w:t>
            </w:r>
            <w:r w:rsidR="00D75DDE">
              <w:tab/>
              <w:t>35</w:t>
            </w:r>
          </w:hyperlink>
        </w:p>
        <w:p w:rsidR="00D35590" w:rsidRDefault="00D6082D">
          <w:pPr>
            <w:pStyle w:val="TOC1"/>
            <w:numPr>
              <w:ilvl w:val="0"/>
              <w:numId w:val="26"/>
            </w:numPr>
            <w:tabs>
              <w:tab w:val="left" w:pos="679"/>
              <w:tab w:val="left" w:pos="680"/>
              <w:tab w:val="left" w:leader="dot" w:pos="9927"/>
            </w:tabs>
            <w:spacing w:line="547" w:lineRule="auto"/>
            <w:ind w:left="140" w:right="787" w:firstLine="0"/>
          </w:pPr>
          <w:hyperlink w:anchor="_bookmark37" w:history="1">
            <w:r w:rsidR="00D75DDE">
              <w:t>COMPILATION</w:t>
            </w:r>
            <w:r w:rsidR="00D75DDE">
              <w:rPr>
                <w:spacing w:val="-2"/>
              </w:rPr>
              <w:t xml:space="preserve"> </w:t>
            </w:r>
            <w:r w:rsidR="00D75DDE">
              <w:t>OF</w:t>
            </w:r>
            <w:r w:rsidR="00D75DDE">
              <w:rPr>
                <w:spacing w:val="-3"/>
              </w:rPr>
              <w:t xml:space="preserve"> </w:t>
            </w:r>
            <w:r w:rsidR="00D75DDE">
              <w:t>THE</w:t>
            </w:r>
            <w:r w:rsidR="00D75DDE">
              <w:rPr>
                <w:spacing w:val="-2"/>
              </w:rPr>
              <w:t xml:space="preserve"> </w:t>
            </w:r>
            <w:r w:rsidR="00D75DDE">
              <w:t>ANNUAL</w:t>
            </w:r>
            <w:r w:rsidR="00D75DDE">
              <w:rPr>
                <w:spacing w:val="-3"/>
              </w:rPr>
              <w:t xml:space="preserve"> </w:t>
            </w:r>
            <w:r w:rsidR="00D75DDE">
              <w:t>QUALITY</w:t>
            </w:r>
            <w:r w:rsidR="00D75DDE">
              <w:rPr>
                <w:spacing w:val="-4"/>
              </w:rPr>
              <w:t xml:space="preserve"> </w:t>
            </w:r>
            <w:r w:rsidR="00D75DDE">
              <w:t>ASSURANCE</w:t>
            </w:r>
            <w:r w:rsidR="00D75DDE">
              <w:rPr>
                <w:spacing w:val="-2"/>
              </w:rPr>
              <w:t xml:space="preserve"> </w:t>
            </w:r>
            <w:r w:rsidR="00D75DDE">
              <w:t>REPORT</w:t>
            </w:r>
            <w:r w:rsidR="00D75DDE">
              <w:rPr>
                <w:spacing w:val="-2"/>
              </w:rPr>
              <w:t xml:space="preserve"> </w:t>
            </w:r>
            <w:r w:rsidR="00D75DDE">
              <w:t>TO</w:t>
            </w:r>
            <w:r w:rsidR="00D75DDE">
              <w:rPr>
                <w:spacing w:val="-1"/>
              </w:rPr>
              <w:t xml:space="preserve"> </w:t>
            </w:r>
            <w:r w:rsidR="00D75DDE">
              <w:t>THE</w:t>
            </w:r>
            <w:r w:rsidR="00D75DDE">
              <w:rPr>
                <w:spacing w:val="-2"/>
              </w:rPr>
              <w:t xml:space="preserve"> </w:t>
            </w:r>
            <w:proofErr w:type="gramStart"/>
            <w:r w:rsidR="00D75DDE">
              <w:t>SECRETARY</w:t>
            </w:r>
            <w:r w:rsidR="00D75DDE">
              <w:rPr>
                <w:spacing w:val="-20"/>
              </w:rPr>
              <w:t xml:space="preserve"> </w:t>
            </w:r>
            <w:r w:rsidR="00D75DDE">
              <w:t>.</w:t>
            </w:r>
            <w:proofErr w:type="gramEnd"/>
            <w:r w:rsidR="00D75DDE">
              <w:rPr>
                <w:spacing w:val="-7"/>
              </w:rPr>
              <w:t xml:space="preserve"> </w:t>
            </w:r>
            <w:r w:rsidR="00D75DDE">
              <w:t>36</w:t>
            </w:r>
          </w:hyperlink>
          <w:hyperlink w:anchor="_bookmark38" w:history="1">
            <w:r w:rsidR="00D75DDE">
              <w:t xml:space="preserve"> 12.</w:t>
            </w:r>
            <w:r w:rsidR="00D75DDE">
              <w:tab/>
              <w:t>REFERENCES</w:t>
            </w:r>
            <w:r w:rsidR="00D75DDE">
              <w:tab/>
            </w:r>
            <w:r w:rsidR="00D75DDE">
              <w:rPr>
                <w:spacing w:val="-10"/>
              </w:rPr>
              <w:t>36</w:t>
            </w:r>
          </w:hyperlink>
        </w:p>
        <w:p w:rsidR="00D35590" w:rsidRDefault="00D6082D">
          <w:pPr>
            <w:pStyle w:val="TOC1"/>
            <w:tabs>
              <w:tab w:val="left" w:leader="dot" w:pos="9927"/>
            </w:tabs>
            <w:spacing w:before="1"/>
            <w:ind w:left="140" w:firstLine="0"/>
          </w:pPr>
          <w:hyperlink w:anchor="_bookmark39" w:history="1">
            <w:r w:rsidR="00D75DDE">
              <w:t>APPENDIX</w:t>
            </w:r>
            <w:r w:rsidR="00D75DDE">
              <w:rPr>
                <w:spacing w:val="-2"/>
              </w:rPr>
              <w:t xml:space="preserve"> </w:t>
            </w:r>
            <w:r w:rsidR="00D75DDE">
              <w:t>A</w:t>
            </w:r>
            <w:r w:rsidR="00D75DDE">
              <w:tab/>
              <w:t>38</w:t>
            </w:r>
          </w:hyperlink>
        </w:p>
      </w:sdtContent>
    </w:sdt>
    <w:p w:rsidR="00D35590" w:rsidRDefault="00D35590">
      <w:pPr>
        <w:sectPr w:rsidR="00D35590">
          <w:pgSz w:w="12240" w:h="15840"/>
          <w:pgMar w:top="1359" w:right="300" w:bottom="2019" w:left="940" w:header="0" w:footer="619" w:gutter="0"/>
          <w:cols w:space="720"/>
        </w:sectPr>
      </w:pPr>
    </w:p>
    <w:p w:rsidR="00D35590" w:rsidRDefault="00D75DDE">
      <w:pPr>
        <w:pStyle w:val="Heading1"/>
        <w:numPr>
          <w:ilvl w:val="0"/>
          <w:numId w:val="25"/>
        </w:numPr>
        <w:tabs>
          <w:tab w:val="left" w:pos="680"/>
        </w:tabs>
        <w:spacing w:before="60"/>
      </w:pPr>
      <w:bookmarkStart w:id="1" w:name="1._Introduction"/>
      <w:bookmarkStart w:id="2" w:name="_bookmark0"/>
      <w:bookmarkEnd w:id="1"/>
      <w:bookmarkEnd w:id="2"/>
      <w:r>
        <w:lastRenderedPageBreak/>
        <w:t>Introduction</w:t>
      </w:r>
    </w:p>
    <w:p w:rsidR="00D35590" w:rsidRDefault="00D35590">
      <w:pPr>
        <w:pStyle w:val="BodyText"/>
        <w:rPr>
          <w:b/>
          <w:sz w:val="28"/>
        </w:rPr>
      </w:pPr>
    </w:p>
    <w:p w:rsidR="00D35590" w:rsidRDefault="00D75DDE">
      <w:pPr>
        <w:pStyle w:val="BodyText"/>
        <w:ind w:left="140" w:right="795"/>
      </w:pPr>
      <w:r>
        <w:t>The Water Quality Standards Program (WQSP or Program) has developed this quality plan to ensure the implementation of a quality system when conducting WQSP activities, including carrying out the WQSP’s role in quality assurance oversite for the agency. The WQSP includes the Aquatic Ecology and Quality Assurance Section (AEQAS) and the Standards Development Section (SDS), and this document pertains to both sections.  This document describes the steps WQSP staff take to ensure the scientific and legal defensibility of environmental data generated or used by the Program. It details the processes that Program staff use to ensure that environmental data meet established quality</w:t>
      </w:r>
      <w:r>
        <w:rPr>
          <w:spacing w:val="-9"/>
        </w:rPr>
        <w:t xml:space="preserve"> </w:t>
      </w:r>
      <w:r>
        <w:t>criteria.</w:t>
      </w:r>
    </w:p>
    <w:p w:rsidR="00D35590" w:rsidRDefault="00D35590">
      <w:pPr>
        <w:pStyle w:val="BodyText"/>
      </w:pPr>
    </w:p>
    <w:p w:rsidR="00D35590" w:rsidRDefault="00D75DDE">
      <w:pPr>
        <w:pStyle w:val="BodyText"/>
        <w:spacing w:before="1"/>
        <w:ind w:left="139" w:right="805"/>
      </w:pPr>
      <w:r>
        <w:t>The AEQAS is responsible for coordinating the Quality Assurance (QA) program for the Regulatory, Ecosystem Restoration, and Land and Recreation programs. The QA program oversees the implementation of a management system (planning, review, training, and assessment) to ensure that data collection, generation, interpretation, reporting, evaluation and management are of sufficient quality to support department decisions. The effectiveness of the department’s QA program is dependent upon the actions of all department staff, from “front line” employees to management, meaning QA is a function distributed throughout our organization. The QA Program ensures that department QA activities are carried out according to commitments made to the Environmental Protection Agency (EPA) as described in the department’s</w:t>
      </w:r>
      <w:r>
        <w:rPr>
          <w:color w:val="0000FF"/>
          <w:u w:val="single" w:color="0000FF"/>
        </w:rPr>
        <w:t xml:space="preserve"> </w:t>
      </w:r>
      <w:hyperlink r:id="rId10">
        <w:r>
          <w:rPr>
            <w:color w:val="0000FF"/>
            <w:u w:val="single" w:color="0000FF"/>
          </w:rPr>
          <w:t>Quality Management Plan</w:t>
        </w:r>
        <w:r>
          <w:rPr>
            <w:color w:val="0000FF"/>
          </w:rPr>
          <w:t xml:space="preserve"> </w:t>
        </w:r>
      </w:hyperlink>
      <w:r>
        <w:t>(QMP), Revision 9 (4/21/20). AEQAS establishes and revises QA requirements for the department, as established in Chapter 62-160 (Quality Assurance Rule), Florida Administrative Code (F.A.C.). AEQAS is also responsible for the bioassessment functions of the Division. The section maintains the bioassessment SOPs, coordinates training for DEP staff and outside agencies, coordinates proficiency demonstrations for bioassessment methods, and conducts studies to improve the bioassessment</w:t>
      </w:r>
      <w:r>
        <w:rPr>
          <w:spacing w:val="-3"/>
        </w:rPr>
        <w:t xml:space="preserve"> </w:t>
      </w:r>
      <w:r>
        <w:t>tools.</w:t>
      </w:r>
    </w:p>
    <w:p w:rsidR="00D35590" w:rsidRDefault="00D35590">
      <w:pPr>
        <w:pStyle w:val="BodyText"/>
      </w:pPr>
    </w:p>
    <w:p w:rsidR="00D35590" w:rsidRDefault="00D75DDE">
      <w:pPr>
        <w:pStyle w:val="BodyText"/>
        <w:ind w:left="140" w:right="892"/>
      </w:pPr>
      <w:r>
        <w:t xml:space="preserve">The SDS is responsible for reviewing, establishing, and revising state water quality standards, as established in Chapters 62-302 (Surface Water Quality Standards), 62-4 (antidegradation policy in Rule 62-4.242), and 62-303 (Impaired Waters Rule), F.A.C. The components of Florida’s water quality standards </w:t>
      </w:r>
      <w:proofErr w:type="gramStart"/>
      <w:r>
        <w:t>include:</w:t>
      </w:r>
      <w:proofErr w:type="gramEnd"/>
      <w:r>
        <w:t xml:space="preserve"> classifications and uses, criteria, the antidegradation policy, moderating provisions, and special protection of certain waters (Outstanding Florida Waters, OFWs). The section also reviews petitions for waterbody use classification changes via Use Attainability Analyses (UAA), OFW designations, and </w:t>
      </w:r>
      <w:proofErr w:type="gramStart"/>
      <w:r>
        <w:t>Site Specific</w:t>
      </w:r>
      <w:proofErr w:type="gramEnd"/>
      <w:r>
        <w:t xml:space="preserve"> Alternative Criteria (SSAC).</w:t>
      </w:r>
    </w:p>
    <w:p w:rsidR="00D35590" w:rsidRDefault="00D35590">
      <w:pPr>
        <w:pStyle w:val="BodyText"/>
      </w:pPr>
    </w:p>
    <w:p w:rsidR="00D35590" w:rsidRDefault="00D75DDE">
      <w:pPr>
        <w:pStyle w:val="BodyText"/>
        <w:ind w:left="140" w:right="849"/>
      </w:pPr>
      <w:r>
        <w:t xml:space="preserve">The department Secretary is committed to implementation of the QA requirements in the QMP and as authorized at Section 403.0623, Florida Statutes (F.S.), and Chapter 62-160, F.A.C. It is the Secretary’s intent to carry out these obligations and requirements as described in the department’s </w:t>
      </w:r>
      <w:hyperlink r:id="rId11">
        <w:r>
          <w:rPr>
            <w:color w:val="0000FF"/>
            <w:u w:val="single" w:color="0000FF"/>
          </w:rPr>
          <w:t>QA Directive</w:t>
        </w:r>
      </w:hyperlink>
      <w:r>
        <w:rPr>
          <w:color w:val="0000FF"/>
        </w:rPr>
        <w:t xml:space="preserve"> </w:t>
      </w:r>
      <w:r>
        <w:t>(Directive 972, November 2016).</w:t>
      </w:r>
    </w:p>
    <w:p w:rsidR="00D35590" w:rsidRDefault="00D35590">
      <w:pPr>
        <w:pStyle w:val="BodyText"/>
      </w:pPr>
    </w:p>
    <w:p w:rsidR="00D35590" w:rsidRDefault="00D75DDE">
      <w:pPr>
        <w:pStyle w:val="BodyText"/>
        <w:ind w:left="140" w:right="823"/>
      </w:pPr>
      <w:r>
        <w:t>All WQSP staff are expected to read, understand and follow the procedures and criteria described in this plan, and to carry out their assigned responsibilities for effective utilization of our quality system.</w:t>
      </w:r>
    </w:p>
    <w:p w:rsidR="00D35590" w:rsidRDefault="00D35590">
      <w:pPr>
        <w:pStyle w:val="BodyText"/>
        <w:rPr>
          <w:sz w:val="21"/>
        </w:rPr>
      </w:pPr>
    </w:p>
    <w:p w:rsidR="00D35590" w:rsidRDefault="00D75DDE">
      <w:pPr>
        <w:pStyle w:val="Heading1"/>
        <w:numPr>
          <w:ilvl w:val="0"/>
          <w:numId w:val="25"/>
        </w:numPr>
        <w:tabs>
          <w:tab w:val="left" w:pos="680"/>
        </w:tabs>
      </w:pPr>
      <w:bookmarkStart w:id="3" w:name="2._Basic_Elements_of_the_WQSP_Quality_Pl"/>
      <w:bookmarkStart w:id="4" w:name="_bookmark1"/>
      <w:bookmarkEnd w:id="3"/>
      <w:bookmarkEnd w:id="4"/>
      <w:r>
        <w:t>Basic Elements of the WQSP Quality</w:t>
      </w:r>
      <w:r>
        <w:rPr>
          <w:spacing w:val="-8"/>
        </w:rPr>
        <w:t xml:space="preserve"> </w:t>
      </w:r>
      <w:r>
        <w:t>Plan</w:t>
      </w:r>
    </w:p>
    <w:p w:rsidR="00D35590" w:rsidRDefault="00D35590">
      <w:pPr>
        <w:pStyle w:val="BodyText"/>
        <w:rPr>
          <w:b/>
          <w:sz w:val="28"/>
        </w:rPr>
      </w:pPr>
    </w:p>
    <w:p w:rsidR="00D35590" w:rsidRDefault="00D75DDE">
      <w:pPr>
        <w:pStyle w:val="BodyText"/>
        <w:spacing w:before="1"/>
        <w:ind w:left="140" w:right="992"/>
        <w:jc w:val="both"/>
      </w:pPr>
      <w:r>
        <w:t xml:space="preserve">This Quality Plan explains both the process and criteria by which WQSP’s quality system is </w:t>
      </w:r>
      <w:proofErr w:type="gramStart"/>
      <w:r>
        <w:t>managed, and</w:t>
      </w:r>
      <w:proofErr w:type="gramEnd"/>
      <w:r>
        <w:t xml:space="preserve"> identifies current staff and their QA responsibilities. The plan is used to inform our staff of current and future QA activities and discusses how specific QA duties are assigned. The Quality Plan is also</w:t>
      </w:r>
    </w:p>
    <w:p w:rsidR="00D35590" w:rsidRDefault="00D35590">
      <w:pPr>
        <w:jc w:val="both"/>
        <w:sectPr w:rsidR="00D35590">
          <w:pgSz w:w="12240" w:h="15840"/>
          <w:pgMar w:top="1380" w:right="300" w:bottom="880" w:left="940" w:header="0" w:footer="619" w:gutter="0"/>
          <w:cols w:space="720"/>
        </w:sectPr>
      </w:pPr>
    </w:p>
    <w:p w:rsidR="00D35590" w:rsidRDefault="00D75DDE">
      <w:pPr>
        <w:pStyle w:val="BodyText"/>
        <w:spacing w:before="79"/>
        <w:ind w:left="140" w:right="806"/>
      </w:pPr>
      <w:r>
        <w:lastRenderedPageBreak/>
        <w:t>used as a training document for new staff and as a reference for experienced personnel. WQSP Staff will revise our Quality Plan as needed and will ensure the consistent application of procedures and criteria for the generation or use of our environmental data. The Quality Plan addresses all WQSP activities associated with environmental sampling, field testing, and data review, including those activities associated with database construction and management, as well as those responsibilities assigned to the program via the DEP QA Directive for implementation of the Department’s quality system. The WQSP plan also addresses how decisions about data use are made based on data quality assessments. The plan and its revisions also serve as an archival record of our formal quality</w:t>
      </w:r>
      <w:r>
        <w:rPr>
          <w:spacing w:val="-4"/>
        </w:rPr>
        <w:t xml:space="preserve"> </w:t>
      </w:r>
      <w:r>
        <w:t>system.</w:t>
      </w:r>
    </w:p>
    <w:p w:rsidR="00D35590" w:rsidRDefault="00D35590">
      <w:pPr>
        <w:pStyle w:val="BodyText"/>
      </w:pPr>
    </w:p>
    <w:p w:rsidR="00D35590" w:rsidRDefault="00D75DDE">
      <w:pPr>
        <w:pStyle w:val="BodyText"/>
        <w:ind w:left="140" w:right="874"/>
      </w:pPr>
      <w:r>
        <w:t xml:space="preserve">The elements of our plan are consistent with the </w:t>
      </w:r>
      <w:hyperlink r:id="rId12">
        <w:r>
          <w:rPr>
            <w:color w:val="0000FF"/>
            <w:u w:val="single" w:color="0000FF"/>
          </w:rPr>
          <w:t>department’s QMP</w:t>
        </w:r>
        <w:r>
          <w:t>,</w:t>
        </w:r>
      </w:hyperlink>
      <w:r>
        <w:t xml:space="preserve"> </w:t>
      </w:r>
      <w:hyperlink r:id="rId13">
        <w:r>
          <w:rPr>
            <w:color w:val="0000FF"/>
            <w:u w:val="single" w:color="0000FF"/>
          </w:rPr>
          <w:t>Quality Assurance Directive</w:t>
        </w:r>
      </w:hyperlink>
      <w:r>
        <w:t xml:space="preserve">, and </w:t>
      </w:r>
      <w:hyperlink r:id="rId14">
        <w:r>
          <w:rPr>
            <w:color w:val="0000FF"/>
            <w:u w:val="single" w:color="0000FF"/>
          </w:rPr>
          <w:t>QA Rule (Chapter 62-160, F.A.C.)</w:t>
        </w:r>
        <w:r>
          <w:t>.</w:t>
        </w:r>
      </w:hyperlink>
      <w:r>
        <w:t xml:space="preserve"> In addition, we affirm that our quality system for all sampling activities, including field-meter testing, is consistent with DEP SOP FA 3300 (which discusses required</w:t>
      </w:r>
      <w:bookmarkStart w:id="5" w:name="2.1_Policy_Statement"/>
      <w:bookmarkStart w:id="6" w:name="_bookmark2"/>
      <w:bookmarkEnd w:id="5"/>
      <w:bookmarkEnd w:id="6"/>
      <w:r>
        <w:t xml:space="preserve"> topics for quality manuals for field organizations).</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r>
        <w:t>Policy</w:t>
      </w:r>
      <w:r>
        <w:rPr>
          <w:spacing w:val="-1"/>
        </w:rPr>
        <w:t xml:space="preserve"> </w:t>
      </w:r>
      <w:r>
        <w:t>Statement</w:t>
      </w:r>
    </w:p>
    <w:p w:rsidR="00D35590" w:rsidRDefault="00D75DDE">
      <w:pPr>
        <w:pStyle w:val="BodyText"/>
        <w:spacing w:before="137"/>
        <w:ind w:left="140"/>
      </w:pPr>
      <w:r>
        <w:t>It is the Water Quality Standards Program’s policy to:</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ind w:right="1069"/>
        <w:rPr>
          <w:sz w:val="24"/>
        </w:rPr>
      </w:pPr>
      <w:bookmarkStart w:id="7" w:name="2.1.1_Use_scientifically_valid_and_legal"/>
      <w:bookmarkEnd w:id="7"/>
      <w:r>
        <w:rPr>
          <w:sz w:val="24"/>
        </w:rPr>
        <w:t>Use scientifically valid and legally defensible data for our decisions affecting protection of</w:t>
      </w:r>
      <w:r>
        <w:rPr>
          <w:spacing w:val="-21"/>
          <w:sz w:val="24"/>
        </w:rPr>
        <w:t xml:space="preserve"> </w:t>
      </w:r>
      <w:r>
        <w:rPr>
          <w:sz w:val="24"/>
        </w:rPr>
        <w:t>the environment, especially relating to water quality criteria development and assessing Florida’s water</w:t>
      </w:r>
      <w:r>
        <w:rPr>
          <w:spacing w:val="-2"/>
          <w:sz w:val="24"/>
        </w:rPr>
        <w:t xml:space="preserve"> </w:t>
      </w:r>
      <w:r>
        <w:rPr>
          <w:sz w:val="24"/>
        </w:rPr>
        <w:t>resources;</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rPr>
          <w:sz w:val="24"/>
        </w:rPr>
      </w:pPr>
      <w:bookmarkStart w:id="8" w:name="2.1.2_Develop_and_implement_the_Quality_"/>
      <w:bookmarkEnd w:id="8"/>
      <w:r>
        <w:rPr>
          <w:sz w:val="24"/>
        </w:rPr>
        <w:t>Develop and implement the Quality System described in this</w:t>
      </w:r>
      <w:r>
        <w:rPr>
          <w:spacing w:val="-3"/>
          <w:sz w:val="24"/>
        </w:rPr>
        <w:t xml:space="preserve"> </w:t>
      </w:r>
      <w:r>
        <w:rPr>
          <w:sz w:val="24"/>
        </w:rPr>
        <w:t>document;</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ind w:right="1489"/>
        <w:rPr>
          <w:sz w:val="24"/>
        </w:rPr>
      </w:pPr>
      <w:bookmarkStart w:id="9" w:name="2.1.3_Adaptively_manage_our_Quality_Syst"/>
      <w:bookmarkEnd w:id="9"/>
      <w:r>
        <w:rPr>
          <w:sz w:val="24"/>
        </w:rPr>
        <w:t>Adaptively manage our Quality System to be consistent with provisions of the</w:t>
      </w:r>
      <w:r>
        <w:rPr>
          <w:spacing w:val="-20"/>
          <w:sz w:val="24"/>
        </w:rPr>
        <w:t xml:space="preserve"> </w:t>
      </w:r>
      <w:r>
        <w:rPr>
          <w:sz w:val="24"/>
        </w:rPr>
        <w:t>department Quality Management Plan and QA</w:t>
      </w:r>
      <w:r>
        <w:rPr>
          <w:spacing w:val="-3"/>
          <w:sz w:val="24"/>
        </w:rPr>
        <w:t xml:space="preserve"> </w:t>
      </w:r>
      <w:r>
        <w:rPr>
          <w:sz w:val="24"/>
        </w:rPr>
        <w:t>Directive;</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rPr>
          <w:sz w:val="24"/>
        </w:rPr>
      </w:pPr>
      <w:bookmarkStart w:id="10" w:name="2.1.4_Ensure_that_all_Program_staff_are_"/>
      <w:bookmarkEnd w:id="10"/>
      <w:r>
        <w:rPr>
          <w:sz w:val="24"/>
        </w:rPr>
        <w:t>Ensure that all Program staff are properly trained to execute their assigned</w:t>
      </w:r>
      <w:r>
        <w:rPr>
          <w:spacing w:val="-9"/>
          <w:sz w:val="24"/>
        </w:rPr>
        <w:t xml:space="preserve"> </w:t>
      </w:r>
      <w:r>
        <w:rPr>
          <w:sz w:val="24"/>
        </w:rPr>
        <w:t>functions;</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ind w:right="1249"/>
        <w:rPr>
          <w:sz w:val="24"/>
        </w:rPr>
      </w:pPr>
      <w:bookmarkStart w:id="11" w:name="2.1.5_Implement_procedures_to_evaluate_t"/>
      <w:bookmarkEnd w:id="11"/>
      <w:r>
        <w:rPr>
          <w:sz w:val="24"/>
        </w:rPr>
        <w:t>Implement procedures to evaluate the quality of the data we use and to implement</w:t>
      </w:r>
      <w:r>
        <w:rPr>
          <w:spacing w:val="-21"/>
          <w:sz w:val="24"/>
        </w:rPr>
        <w:t xml:space="preserve"> </w:t>
      </w:r>
      <w:r>
        <w:rPr>
          <w:sz w:val="24"/>
        </w:rPr>
        <w:t>corrective actions when data do not meet our Data Quality Objectives</w:t>
      </w:r>
      <w:r>
        <w:rPr>
          <w:spacing w:val="-3"/>
          <w:sz w:val="24"/>
        </w:rPr>
        <w:t xml:space="preserve"> </w:t>
      </w:r>
      <w:r>
        <w:rPr>
          <w:sz w:val="24"/>
        </w:rPr>
        <w:t>(DQO);</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ind w:right="991"/>
        <w:rPr>
          <w:sz w:val="24"/>
        </w:rPr>
      </w:pPr>
      <w:bookmarkStart w:id="12" w:name="2.1.6_Periodically_audit_the_performance"/>
      <w:bookmarkEnd w:id="12"/>
      <w:r>
        <w:rPr>
          <w:sz w:val="24"/>
        </w:rPr>
        <w:t>Periodically audit the performance and record-keeping practices of data generators that</w:t>
      </w:r>
      <w:r>
        <w:rPr>
          <w:spacing w:val="-20"/>
          <w:sz w:val="24"/>
        </w:rPr>
        <w:t xml:space="preserve"> </w:t>
      </w:r>
      <w:r>
        <w:rPr>
          <w:sz w:val="24"/>
        </w:rPr>
        <w:t>provide data to the</w:t>
      </w:r>
      <w:r>
        <w:rPr>
          <w:spacing w:val="-3"/>
          <w:sz w:val="24"/>
        </w:rPr>
        <w:t xml:space="preserve"> </w:t>
      </w:r>
      <w:r>
        <w:rPr>
          <w:sz w:val="24"/>
        </w:rPr>
        <w:t>department;</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ind w:right="1221"/>
        <w:rPr>
          <w:sz w:val="24"/>
        </w:rPr>
      </w:pPr>
      <w:bookmarkStart w:id="13" w:name="2.1.7_Make_sound_data_use_recommendation"/>
      <w:bookmarkEnd w:id="13"/>
      <w:r>
        <w:rPr>
          <w:sz w:val="24"/>
        </w:rPr>
        <w:t>Make sound data use recommendations based on the DQOs of a department program and</w:t>
      </w:r>
      <w:r>
        <w:rPr>
          <w:spacing w:val="-14"/>
          <w:sz w:val="24"/>
        </w:rPr>
        <w:t xml:space="preserve"> </w:t>
      </w:r>
      <w:r>
        <w:rPr>
          <w:sz w:val="24"/>
        </w:rPr>
        <w:t>the results of a data audit or</w:t>
      </w:r>
      <w:r>
        <w:rPr>
          <w:spacing w:val="-3"/>
          <w:sz w:val="24"/>
        </w:rPr>
        <w:t xml:space="preserve"> </w:t>
      </w:r>
      <w:r>
        <w:rPr>
          <w:sz w:val="24"/>
        </w:rPr>
        <w:t>inquiry;</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rPr>
          <w:sz w:val="24"/>
        </w:rPr>
      </w:pPr>
      <w:bookmarkStart w:id="14" w:name="2.1.8_Implement_QA_procedures_for_the_ma"/>
      <w:bookmarkEnd w:id="14"/>
      <w:r>
        <w:rPr>
          <w:sz w:val="24"/>
        </w:rPr>
        <w:t>Implement QA procedures for the management of our data</w:t>
      </w:r>
      <w:r>
        <w:rPr>
          <w:spacing w:val="-6"/>
          <w:sz w:val="24"/>
        </w:rPr>
        <w:t xml:space="preserve"> </w:t>
      </w:r>
      <w:r>
        <w:rPr>
          <w:sz w:val="24"/>
        </w:rPr>
        <w:t>repositories;</w:t>
      </w:r>
    </w:p>
    <w:p w:rsidR="00D35590" w:rsidRDefault="00D35590">
      <w:pPr>
        <w:pStyle w:val="BodyText"/>
        <w:spacing w:before="10"/>
        <w:rPr>
          <w:sz w:val="20"/>
        </w:rPr>
      </w:pPr>
    </w:p>
    <w:p w:rsidR="00D35590" w:rsidRDefault="00D75DDE">
      <w:pPr>
        <w:pStyle w:val="ListParagraph"/>
        <w:numPr>
          <w:ilvl w:val="2"/>
          <w:numId w:val="26"/>
        </w:numPr>
        <w:tabs>
          <w:tab w:val="left" w:pos="859"/>
          <w:tab w:val="left" w:pos="860"/>
        </w:tabs>
        <w:spacing w:before="1"/>
        <w:ind w:right="1477"/>
        <w:rPr>
          <w:sz w:val="24"/>
        </w:rPr>
      </w:pPr>
      <w:bookmarkStart w:id="15" w:name="2.1.9_Carry_out_assigned_duties_for_the_"/>
      <w:bookmarkEnd w:id="15"/>
      <w:r>
        <w:rPr>
          <w:sz w:val="24"/>
        </w:rPr>
        <w:t>Carry out assigned duties for the implementation and active oversight of the</w:t>
      </w:r>
      <w:r>
        <w:rPr>
          <w:spacing w:val="-20"/>
          <w:sz w:val="24"/>
        </w:rPr>
        <w:t xml:space="preserve"> </w:t>
      </w:r>
      <w:r>
        <w:rPr>
          <w:sz w:val="24"/>
        </w:rPr>
        <w:t>Department’s quality system per the QA Directive;</w:t>
      </w:r>
      <w:r>
        <w:rPr>
          <w:spacing w:val="-4"/>
          <w:sz w:val="24"/>
        </w:rPr>
        <w:t xml:space="preserve"> </w:t>
      </w:r>
      <w:r>
        <w:rPr>
          <w:sz w:val="24"/>
        </w:rPr>
        <w:t>and</w:t>
      </w:r>
    </w:p>
    <w:p w:rsidR="00D35590" w:rsidRDefault="00D35590">
      <w:pPr>
        <w:pStyle w:val="BodyText"/>
        <w:spacing w:before="9"/>
        <w:rPr>
          <w:sz w:val="20"/>
        </w:rPr>
      </w:pPr>
    </w:p>
    <w:p w:rsidR="00D35590" w:rsidRDefault="00D75DDE">
      <w:pPr>
        <w:pStyle w:val="ListParagraph"/>
        <w:numPr>
          <w:ilvl w:val="2"/>
          <w:numId w:val="26"/>
        </w:numPr>
        <w:tabs>
          <w:tab w:val="left" w:pos="860"/>
        </w:tabs>
        <w:spacing w:before="1"/>
        <w:ind w:right="1163"/>
        <w:rPr>
          <w:sz w:val="24"/>
        </w:rPr>
      </w:pPr>
      <w:bookmarkStart w:id="16" w:name="2.1.10_Perform_a_yearly_systematic_asses"/>
      <w:bookmarkEnd w:id="16"/>
      <w:r>
        <w:rPr>
          <w:sz w:val="24"/>
        </w:rPr>
        <w:t>Perform a yearly systematic assessment of our QA activities, including any needed</w:t>
      </w:r>
      <w:r>
        <w:rPr>
          <w:spacing w:val="-21"/>
          <w:sz w:val="24"/>
        </w:rPr>
        <w:t xml:space="preserve"> </w:t>
      </w:r>
      <w:r>
        <w:rPr>
          <w:sz w:val="24"/>
        </w:rPr>
        <w:t>corrective actions, with the findings submitted to our Quality Assurance Officer and reviewed by our Program Administrator, who is responsible for ensuring that corrective action policies and procedures are implemented when data do not meet our program</w:t>
      </w:r>
      <w:r>
        <w:rPr>
          <w:spacing w:val="-4"/>
          <w:sz w:val="24"/>
        </w:rPr>
        <w:t xml:space="preserve"> </w:t>
      </w:r>
      <w:r>
        <w:rPr>
          <w:sz w:val="24"/>
        </w:rPr>
        <w:t>DQOs.</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Heading1"/>
        <w:numPr>
          <w:ilvl w:val="0"/>
          <w:numId w:val="25"/>
        </w:numPr>
        <w:tabs>
          <w:tab w:val="left" w:pos="680"/>
        </w:tabs>
        <w:spacing w:before="60"/>
      </w:pPr>
      <w:bookmarkStart w:id="17" w:name="3._Ethics"/>
      <w:bookmarkStart w:id="18" w:name="_bookmark3"/>
      <w:bookmarkEnd w:id="17"/>
      <w:bookmarkEnd w:id="18"/>
      <w:r>
        <w:lastRenderedPageBreak/>
        <w:t>Ethics</w:t>
      </w:r>
    </w:p>
    <w:p w:rsidR="00D35590" w:rsidRDefault="00D35590">
      <w:pPr>
        <w:pStyle w:val="BodyText"/>
        <w:rPr>
          <w:b/>
          <w:sz w:val="28"/>
        </w:rPr>
      </w:pPr>
    </w:p>
    <w:p w:rsidR="00D35590" w:rsidRDefault="00D75DDE">
      <w:pPr>
        <w:pStyle w:val="BodyText"/>
        <w:ind w:left="140" w:right="762"/>
      </w:pPr>
      <w:r>
        <w:t xml:space="preserve">All employees of the WQSP are held to high professional ethical standards in the performance of their duties. Employees are bound by state law to observe, in their official acts, the highest standards of ethics consistent with the State Code of Ethics for Public Officers and Employees. In addition, all employees are required to take an annual ethics training class. Improper, unethical or illegal actions will be dealt with per the published </w:t>
      </w:r>
      <w:hyperlink r:id="rId15">
        <w:r>
          <w:rPr>
            <w:color w:val="0000FF"/>
            <w:u w:val="single" w:color="0000FF"/>
          </w:rPr>
          <w:t>department Administrative Directives</w:t>
        </w:r>
        <w:r>
          <w:t>.</w:t>
        </w:r>
      </w:hyperlink>
    </w:p>
    <w:p w:rsidR="00D35590" w:rsidRDefault="00D35590">
      <w:pPr>
        <w:pStyle w:val="BodyText"/>
        <w:rPr>
          <w:sz w:val="21"/>
        </w:rPr>
      </w:pPr>
    </w:p>
    <w:p w:rsidR="00D35590" w:rsidRDefault="00D75DDE">
      <w:pPr>
        <w:pStyle w:val="Heading1"/>
        <w:numPr>
          <w:ilvl w:val="0"/>
          <w:numId w:val="25"/>
        </w:numPr>
        <w:tabs>
          <w:tab w:val="left" w:pos="680"/>
        </w:tabs>
      </w:pPr>
      <w:bookmarkStart w:id="19" w:name="4._Organization_and_Responsibilities"/>
      <w:bookmarkStart w:id="20" w:name="_bookmark4"/>
      <w:bookmarkEnd w:id="19"/>
      <w:bookmarkEnd w:id="20"/>
      <w:r>
        <w:t>Organization and</w:t>
      </w:r>
      <w:r>
        <w:rPr>
          <w:spacing w:val="-3"/>
        </w:rPr>
        <w:t xml:space="preserve"> </w:t>
      </w:r>
      <w:r>
        <w:t>Responsibilities</w:t>
      </w:r>
    </w:p>
    <w:p w:rsidR="00D35590" w:rsidRDefault="00D35590">
      <w:pPr>
        <w:pStyle w:val="BodyText"/>
        <w:spacing w:before="1"/>
        <w:rPr>
          <w:b/>
          <w:sz w:val="28"/>
        </w:rPr>
      </w:pPr>
    </w:p>
    <w:p w:rsidR="00D35590" w:rsidRDefault="00D75DDE">
      <w:pPr>
        <w:pStyle w:val="BodyText"/>
        <w:ind w:left="140" w:right="814"/>
      </w:pPr>
      <w:r>
        <w:t>The WQSP resides within the Division of Environmental Assessment and Restoration (DEAR). Daryll Joyner is the Program Administrator of the WQSP, and Ashley Phillips is the Administrative Assistant. Daryll oversees both the AEQAS and the SDS. Sarah Noble is the Environmental Administrator for the AEQAS, and Kaitlyn Sutton is the Environmental Administrator for the SDS. Individual staff are shown in the organization chart (Figure 1), and their responsibilities are listed below.</w:t>
      </w:r>
    </w:p>
    <w:p w:rsidR="00D35590" w:rsidRDefault="00D35590">
      <w:pPr>
        <w:sectPr w:rsidR="00D35590">
          <w:pgSz w:w="12240" w:h="15840"/>
          <w:pgMar w:top="1380" w:right="300" w:bottom="880" w:left="940" w:header="0" w:footer="619" w:gutter="0"/>
          <w:cols w:space="720"/>
        </w:sectPr>
      </w:pPr>
    </w:p>
    <w:p w:rsidR="00D35590" w:rsidRDefault="00D75DDE">
      <w:pPr>
        <w:spacing w:before="81"/>
        <w:ind w:left="140"/>
      </w:pPr>
      <w:r>
        <w:lastRenderedPageBreak/>
        <w:t>Figure 1: Organizational Chart</w:t>
      </w:r>
    </w:p>
    <w:p w:rsidR="00D35590" w:rsidRDefault="00D35590">
      <w:pPr>
        <w:pStyle w:val="BodyText"/>
        <w:rPr>
          <w:sz w:val="20"/>
        </w:rPr>
      </w:pPr>
    </w:p>
    <w:p w:rsidR="00D35590" w:rsidRDefault="00D75DDE">
      <w:pPr>
        <w:pStyle w:val="BodyText"/>
        <w:spacing w:before="11"/>
        <w:rPr>
          <w:sz w:val="17"/>
        </w:rPr>
      </w:pPr>
      <w:r>
        <w:rPr>
          <w:noProof/>
        </w:rPr>
        <w:drawing>
          <wp:anchor distT="0" distB="0" distL="0" distR="0" simplePos="0" relativeHeight="9" behindDoc="0" locked="0" layoutInCell="1" allowOverlap="1">
            <wp:simplePos x="0" y="0"/>
            <wp:positionH relativeFrom="page">
              <wp:posOffset>685800</wp:posOffset>
            </wp:positionH>
            <wp:positionV relativeFrom="paragraph">
              <wp:posOffset>155982</wp:posOffset>
            </wp:positionV>
            <wp:extent cx="5299824" cy="7072312"/>
            <wp:effectExtent l="0" t="0" r="0" b="0"/>
            <wp:wrapTopAndBottom/>
            <wp:docPr id="3" name="image2.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299824" cy="7072312"/>
                    </a:xfrm>
                    <a:prstGeom prst="rect">
                      <a:avLst/>
                    </a:prstGeom>
                  </pic:spPr>
                </pic:pic>
              </a:graphicData>
            </a:graphic>
          </wp:anchor>
        </w:drawing>
      </w:r>
    </w:p>
    <w:p w:rsidR="00D35590" w:rsidRDefault="00D35590">
      <w:pPr>
        <w:rPr>
          <w:sz w:val="17"/>
        </w:rPr>
        <w:sectPr w:rsidR="00D35590">
          <w:pgSz w:w="12240" w:h="15840"/>
          <w:pgMar w:top="1360" w:right="300" w:bottom="880" w:left="940" w:header="0" w:footer="619" w:gutter="0"/>
          <w:cols w:space="720"/>
        </w:sectPr>
      </w:pPr>
    </w:p>
    <w:p w:rsidR="00D35590" w:rsidRDefault="00D75DDE">
      <w:pPr>
        <w:pStyle w:val="BodyText"/>
        <w:spacing w:before="79"/>
        <w:ind w:left="139" w:right="1003"/>
      </w:pPr>
      <w:r>
        <w:lastRenderedPageBreak/>
        <w:t xml:space="preserve">The WQSP functions in several capacities to assist with department priorities, including the development and maintenance of surface water quality standards (Chapters </w:t>
      </w:r>
      <w:hyperlink r:id="rId17">
        <w:r>
          <w:rPr>
            <w:color w:val="0000FF"/>
            <w:u w:val="single" w:color="0000FF"/>
          </w:rPr>
          <w:t>62-302</w:t>
        </w:r>
        <w:r>
          <w:t>,</w:t>
        </w:r>
      </w:hyperlink>
      <w:r>
        <w:t xml:space="preserve"> </w:t>
      </w:r>
      <w:hyperlink r:id="rId18">
        <w:r>
          <w:rPr>
            <w:color w:val="0000FF"/>
            <w:u w:val="single" w:color="0000FF"/>
          </w:rPr>
          <w:t>62-303</w:t>
        </w:r>
        <w:r>
          <w:t>,</w:t>
        </w:r>
      </w:hyperlink>
      <w:r>
        <w:t xml:space="preserve"> and </w:t>
      </w:r>
      <w:hyperlink r:id="rId19">
        <w:r>
          <w:rPr>
            <w:color w:val="0000FF"/>
            <w:u w:val="single" w:color="0000FF"/>
          </w:rPr>
          <w:t>62-4</w:t>
        </w:r>
        <w:r>
          <w:t>,</w:t>
        </w:r>
      </w:hyperlink>
      <w:r>
        <w:t xml:space="preserve"> F.A.C.), overseeing the department’s QA Program (including maintenance of </w:t>
      </w:r>
      <w:hyperlink r:id="rId20">
        <w:r>
          <w:rPr>
            <w:color w:val="0000FF"/>
            <w:u w:val="single" w:color="0000FF"/>
          </w:rPr>
          <w:t>Chapter 62-160</w:t>
        </w:r>
        <w:r>
          <w:t xml:space="preserve">, </w:t>
        </w:r>
      </w:hyperlink>
      <w:r>
        <w:t>F.A.C., (Quality Assurance Rules), directing the department’s biological assessment program, and providing a wide variety of technical support such as conducting focused environmental studies, auditing field and laboratory records, and training and auditing department and external staff for performance of field activities. Responsibilities for existing staff are as follows.</w:t>
      </w:r>
    </w:p>
    <w:p w:rsidR="00D35590" w:rsidRDefault="00D35590">
      <w:pPr>
        <w:pStyle w:val="BodyText"/>
        <w:rPr>
          <w:sz w:val="26"/>
        </w:rPr>
      </w:pPr>
    </w:p>
    <w:p w:rsidR="00D35590" w:rsidRDefault="00D75DDE">
      <w:pPr>
        <w:pStyle w:val="Heading2"/>
        <w:numPr>
          <w:ilvl w:val="1"/>
          <w:numId w:val="25"/>
        </w:numPr>
        <w:tabs>
          <w:tab w:val="left" w:pos="1167"/>
          <w:tab w:val="left" w:pos="1168"/>
        </w:tabs>
        <w:spacing w:before="217"/>
        <w:ind w:hanging="577"/>
      </w:pPr>
      <w:bookmarkStart w:id="21" w:name="4.1_Standards_Development_Section_Activi"/>
      <w:bookmarkStart w:id="22" w:name="_bookmark5"/>
      <w:bookmarkEnd w:id="21"/>
      <w:bookmarkEnd w:id="22"/>
      <w:r>
        <w:t>Standards Development Section</w:t>
      </w:r>
      <w:r>
        <w:rPr>
          <w:spacing w:val="-2"/>
        </w:rPr>
        <w:t xml:space="preserve"> </w:t>
      </w:r>
      <w:r>
        <w:t>Activities</w:t>
      </w:r>
    </w:p>
    <w:p w:rsidR="00D35590" w:rsidRDefault="00D75DDE">
      <w:pPr>
        <w:pStyle w:val="BodyText"/>
        <w:spacing w:before="137"/>
        <w:ind w:left="860" w:right="1588"/>
      </w:pPr>
      <w:r>
        <w:t>Kaitlyn Sutton, Grover Payne, Janet Klemm, and Talia Smith (all SDS staff) perform the following duties:</w:t>
      </w:r>
    </w:p>
    <w:p w:rsidR="00D35590" w:rsidRDefault="00D35590">
      <w:pPr>
        <w:pStyle w:val="BodyText"/>
        <w:spacing w:before="2"/>
      </w:pPr>
    </w:p>
    <w:p w:rsidR="00D35590" w:rsidRDefault="00D75DDE">
      <w:pPr>
        <w:pStyle w:val="ListParagraph"/>
        <w:numPr>
          <w:ilvl w:val="0"/>
          <w:numId w:val="24"/>
        </w:numPr>
        <w:tabs>
          <w:tab w:val="left" w:pos="1219"/>
          <w:tab w:val="left" w:pos="1220"/>
        </w:tabs>
        <w:spacing w:line="276" w:lineRule="auto"/>
        <w:ind w:right="1103"/>
        <w:rPr>
          <w:rFonts w:ascii="Symbol" w:hAnsi="Symbol"/>
          <w:sz w:val="24"/>
        </w:rPr>
      </w:pPr>
      <w:r>
        <w:rPr>
          <w:sz w:val="24"/>
        </w:rPr>
        <w:t>Develop, coordinate, maintain, and revise Florida’s surface water quality standards. Standards include designated uses and surface water classifications; numeric and</w:t>
      </w:r>
      <w:r>
        <w:rPr>
          <w:spacing w:val="-21"/>
          <w:sz w:val="24"/>
        </w:rPr>
        <w:t xml:space="preserve"> </w:t>
      </w:r>
      <w:r>
        <w:rPr>
          <w:sz w:val="24"/>
        </w:rPr>
        <w:t xml:space="preserve">narrative criteria for protection of aquatic life, recreation, and human health; the antidegradation policy; and certain moderating provisions such as variances and </w:t>
      </w:r>
      <w:proofErr w:type="gramStart"/>
      <w:r>
        <w:rPr>
          <w:sz w:val="24"/>
        </w:rPr>
        <w:t>site specific</w:t>
      </w:r>
      <w:proofErr w:type="gramEnd"/>
      <w:r>
        <w:rPr>
          <w:sz w:val="24"/>
        </w:rPr>
        <w:t xml:space="preserve"> alternative criteria;</w:t>
      </w:r>
    </w:p>
    <w:p w:rsidR="00D35590" w:rsidRDefault="00D75DDE">
      <w:pPr>
        <w:pStyle w:val="ListParagraph"/>
        <w:numPr>
          <w:ilvl w:val="0"/>
          <w:numId w:val="24"/>
        </w:numPr>
        <w:tabs>
          <w:tab w:val="left" w:pos="1219"/>
          <w:tab w:val="left" w:pos="1220"/>
        </w:tabs>
        <w:spacing w:line="292" w:lineRule="exact"/>
        <w:rPr>
          <w:rFonts w:ascii="Symbol" w:hAnsi="Symbol"/>
          <w:sz w:val="24"/>
        </w:rPr>
      </w:pPr>
      <w:r>
        <w:rPr>
          <w:sz w:val="24"/>
        </w:rPr>
        <w:t>Conduct the Triennial Review of surface water quality</w:t>
      </w:r>
      <w:r>
        <w:rPr>
          <w:spacing w:val="-3"/>
          <w:sz w:val="24"/>
        </w:rPr>
        <w:t xml:space="preserve"> </w:t>
      </w:r>
      <w:r>
        <w:rPr>
          <w:sz w:val="24"/>
        </w:rPr>
        <w:t>standards;</w:t>
      </w:r>
    </w:p>
    <w:p w:rsidR="00D35590" w:rsidRDefault="00D75DDE">
      <w:pPr>
        <w:pStyle w:val="ListParagraph"/>
        <w:numPr>
          <w:ilvl w:val="0"/>
          <w:numId w:val="24"/>
        </w:numPr>
        <w:tabs>
          <w:tab w:val="left" w:pos="1219"/>
          <w:tab w:val="left" w:pos="1220"/>
        </w:tabs>
        <w:spacing w:before="39" w:line="273" w:lineRule="auto"/>
        <w:ind w:right="1430"/>
        <w:rPr>
          <w:rFonts w:ascii="Symbol" w:hAnsi="Symbol"/>
          <w:sz w:val="24"/>
        </w:rPr>
      </w:pPr>
      <w:r>
        <w:rPr>
          <w:sz w:val="24"/>
        </w:rPr>
        <w:t>Provide technical assistance regarding surface water quality standards, uses, criteria, antidegradation, OFWs, water quality standards implementation, SSACs to</w:t>
      </w:r>
      <w:r>
        <w:rPr>
          <w:spacing w:val="-21"/>
          <w:sz w:val="24"/>
        </w:rPr>
        <w:t xml:space="preserve"> </w:t>
      </w:r>
      <w:r>
        <w:rPr>
          <w:sz w:val="24"/>
        </w:rPr>
        <w:t>department programs, other Federal, state, and local agencies, and to the</w:t>
      </w:r>
      <w:r>
        <w:rPr>
          <w:spacing w:val="-1"/>
          <w:sz w:val="24"/>
        </w:rPr>
        <w:t xml:space="preserve"> </w:t>
      </w:r>
      <w:r>
        <w:rPr>
          <w:sz w:val="24"/>
        </w:rPr>
        <w:t>public;</w:t>
      </w:r>
    </w:p>
    <w:p w:rsidR="00D35590" w:rsidRDefault="00D75DDE">
      <w:pPr>
        <w:pStyle w:val="ListParagraph"/>
        <w:numPr>
          <w:ilvl w:val="0"/>
          <w:numId w:val="24"/>
        </w:numPr>
        <w:tabs>
          <w:tab w:val="left" w:pos="1219"/>
          <w:tab w:val="left" w:pos="1220"/>
        </w:tabs>
        <w:spacing w:before="6" w:line="273" w:lineRule="auto"/>
        <w:ind w:right="1901"/>
        <w:rPr>
          <w:rFonts w:ascii="Symbol" w:hAnsi="Symbol"/>
          <w:sz w:val="24"/>
        </w:rPr>
      </w:pPr>
      <w:r>
        <w:rPr>
          <w:sz w:val="24"/>
        </w:rPr>
        <w:t>Coordinate the review and approval or disapproval of study plans in support of reclassifications, SSACs, Level I and II Water Quality Based Effluent</w:t>
      </w:r>
      <w:r>
        <w:rPr>
          <w:spacing w:val="-25"/>
          <w:sz w:val="24"/>
        </w:rPr>
        <w:t xml:space="preserve"> </w:t>
      </w:r>
      <w:r>
        <w:rPr>
          <w:sz w:val="24"/>
        </w:rPr>
        <w:t>Limitations (WQBEL), and mixing</w:t>
      </w:r>
      <w:r>
        <w:rPr>
          <w:spacing w:val="-1"/>
          <w:sz w:val="24"/>
        </w:rPr>
        <w:t xml:space="preserve"> </w:t>
      </w:r>
      <w:r>
        <w:rPr>
          <w:sz w:val="24"/>
        </w:rPr>
        <w:t>zones;</w:t>
      </w:r>
    </w:p>
    <w:p w:rsidR="00D35590" w:rsidRDefault="00D75DDE">
      <w:pPr>
        <w:pStyle w:val="ListParagraph"/>
        <w:numPr>
          <w:ilvl w:val="0"/>
          <w:numId w:val="24"/>
        </w:numPr>
        <w:tabs>
          <w:tab w:val="left" w:pos="1219"/>
          <w:tab w:val="left" w:pos="1220"/>
        </w:tabs>
        <w:spacing w:before="5"/>
        <w:rPr>
          <w:rFonts w:ascii="Symbol" w:hAnsi="Symbol"/>
          <w:sz w:val="24"/>
        </w:rPr>
      </w:pPr>
      <w:r>
        <w:rPr>
          <w:sz w:val="24"/>
        </w:rPr>
        <w:t>Respond to petitions received for changes to Florida’s surface water</w:t>
      </w:r>
      <w:r>
        <w:rPr>
          <w:spacing w:val="-4"/>
          <w:sz w:val="24"/>
        </w:rPr>
        <w:t xml:space="preserve"> </w:t>
      </w:r>
      <w:r>
        <w:rPr>
          <w:sz w:val="24"/>
        </w:rPr>
        <w:t>quality</w:t>
      </w:r>
    </w:p>
    <w:p w:rsidR="00D35590" w:rsidRDefault="00D75DDE">
      <w:pPr>
        <w:pStyle w:val="BodyText"/>
        <w:spacing w:before="37" w:line="276" w:lineRule="auto"/>
        <w:ind w:left="1220" w:right="762"/>
      </w:pPr>
      <w:r>
        <w:t>standards. Responses include coordination and communication with departmental staff, other agencies, and the public; gathering appropriate data and documentation; development of special studies if further data are needed; analysis and evaluation of the proposal; development of a departmental recommendation and alternatives; compiling reports of the proposal and activities; conducting public workshops; following appropriate rulemaking procedures and developing needed rulemaking documents, including Statements of Estimated Regulatory Costs; submission of proposed rule changes to the Environmental Regulation Commission (ERC) or Secretary, as appropriate; and submission of final rule package to the United States Environmental Protection Agency (EPA);</w:t>
      </w:r>
    </w:p>
    <w:p w:rsidR="00D35590" w:rsidRDefault="00D75DDE">
      <w:pPr>
        <w:pStyle w:val="ListParagraph"/>
        <w:numPr>
          <w:ilvl w:val="0"/>
          <w:numId w:val="24"/>
        </w:numPr>
        <w:tabs>
          <w:tab w:val="left" w:pos="1219"/>
          <w:tab w:val="left" w:pos="1220"/>
        </w:tabs>
        <w:spacing w:before="4"/>
        <w:rPr>
          <w:rFonts w:ascii="Symbol" w:hAnsi="Symbol"/>
          <w:sz w:val="24"/>
        </w:rPr>
      </w:pPr>
      <w:r>
        <w:rPr>
          <w:sz w:val="24"/>
        </w:rPr>
        <w:t>Analyze environmental data for development of statewide or site-specific</w:t>
      </w:r>
      <w:r>
        <w:rPr>
          <w:spacing w:val="-7"/>
          <w:sz w:val="24"/>
        </w:rPr>
        <w:t xml:space="preserve"> </w:t>
      </w:r>
      <w:r>
        <w:rPr>
          <w:sz w:val="24"/>
        </w:rPr>
        <w:t>criteria;</w:t>
      </w:r>
    </w:p>
    <w:p w:rsidR="00D35590" w:rsidRDefault="00D75DDE">
      <w:pPr>
        <w:pStyle w:val="ListParagraph"/>
        <w:numPr>
          <w:ilvl w:val="0"/>
          <w:numId w:val="24"/>
        </w:numPr>
        <w:tabs>
          <w:tab w:val="left" w:pos="1219"/>
          <w:tab w:val="left" w:pos="1220"/>
        </w:tabs>
        <w:spacing w:before="40"/>
        <w:rPr>
          <w:rFonts w:ascii="Symbol" w:hAnsi="Symbol"/>
          <w:sz w:val="24"/>
        </w:rPr>
      </w:pPr>
      <w:r>
        <w:rPr>
          <w:sz w:val="24"/>
        </w:rPr>
        <w:t>Review documents for errors and</w:t>
      </w:r>
      <w:r>
        <w:rPr>
          <w:spacing w:val="-1"/>
          <w:sz w:val="24"/>
        </w:rPr>
        <w:t xml:space="preserve"> </w:t>
      </w:r>
      <w:r>
        <w:rPr>
          <w:sz w:val="24"/>
        </w:rPr>
        <w:t>completeness;</w:t>
      </w:r>
    </w:p>
    <w:p w:rsidR="00D35590" w:rsidRDefault="00D75DDE">
      <w:pPr>
        <w:pStyle w:val="ListParagraph"/>
        <w:numPr>
          <w:ilvl w:val="0"/>
          <w:numId w:val="24"/>
        </w:numPr>
        <w:tabs>
          <w:tab w:val="left" w:pos="1219"/>
          <w:tab w:val="left" w:pos="1220"/>
        </w:tabs>
        <w:spacing w:before="40" w:line="273" w:lineRule="auto"/>
        <w:ind w:left="1219" w:right="1103"/>
        <w:rPr>
          <w:rFonts w:ascii="Symbol" w:hAnsi="Symbol"/>
          <w:sz w:val="24"/>
        </w:rPr>
      </w:pPr>
      <w:r>
        <w:rPr>
          <w:sz w:val="24"/>
        </w:rPr>
        <w:t>Develop, maintain, and revise the GIS data layers for surface water classifications,</w:t>
      </w:r>
      <w:r>
        <w:rPr>
          <w:spacing w:val="-23"/>
          <w:sz w:val="24"/>
        </w:rPr>
        <w:t xml:space="preserve"> </w:t>
      </w:r>
      <w:r>
        <w:rPr>
          <w:sz w:val="24"/>
        </w:rPr>
        <w:t xml:space="preserve">OFWs, numeric nutrient criteria, and SSACs. The numeric nutrient criteria layer includes NNC stream exclusions, Estuary Nutrient Regions, Stream Nutrient Regions, and </w:t>
      </w:r>
      <w:proofErr w:type="gramStart"/>
      <w:r>
        <w:rPr>
          <w:sz w:val="24"/>
        </w:rPr>
        <w:t>Site Specific</w:t>
      </w:r>
      <w:proofErr w:type="gramEnd"/>
      <w:r>
        <w:rPr>
          <w:sz w:val="24"/>
        </w:rPr>
        <w:t xml:space="preserve"> Interpretations of the narrative nutrient criterion (Total Maximum Daily Loads</w:t>
      </w:r>
      <w:r>
        <w:rPr>
          <w:spacing w:val="-22"/>
          <w:sz w:val="24"/>
        </w:rPr>
        <w:t xml:space="preserve"> </w:t>
      </w:r>
      <w:r>
        <w:rPr>
          <w:sz w:val="24"/>
        </w:rPr>
        <w:t>[TMDLs],</w:t>
      </w:r>
    </w:p>
    <w:p w:rsidR="00D35590" w:rsidRDefault="00D35590">
      <w:pPr>
        <w:spacing w:line="273" w:lineRule="auto"/>
        <w:rPr>
          <w:rFonts w:ascii="Symbol" w:hAnsi="Symbol"/>
          <w:sz w:val="24"/>
        </w:rPr>
        <w:sectPr w:rsidR="00D35590">
          <w:pgSz w:w="12240" w:h="15840"/>
          <w:pgMar w:top="1360" w:right="300" w:bottom="880" w:left="940" w:header="0" w:footer="619" w:gutter="0"/>
          <w:cols w:space="720"/>
        </w:sectPr>
      </w:pPr>
    </w:p>
    <w:p w:rsidR="00D35590" w:rsidRDefault="00D75DDE">
      <w:pPr>
        <w:pStyle w:val="BodyText"/>
        <w:spacing w:before="79"/>
        <w:ind w:left="1220"/>
      </w:pPr>
      <w:r>
        <w:lastRenderedPageBreak/>
        <w:t>SSACs, and Level II WQBELs);</w:t>
      </w:r>
    </w:p>
    <w:p w:rsidR="00D35590" w:rsidRDefault="00D75DDE">
      <w:pPr>
        <w:pStyle w:val="ListParagraph"/>
        <w:numPr>
          <w:ilvl w:val="0"/>
          <w:numId w:val="24"/>
        </w:numPr>
        <w:tabs>
          <w:tab w:val="left" w:pos="1219"/>
          <w:tab w:val="left" w:pos="1220"/>
        </w:tabs>
        <w:spacing w:before="43" w:line="273" w:lineRule="auto"/>
        <w:ind w:right="1478"/>
        <w:rPr>
          <w:rFonts w:ascii="Symbol" w:hAnsi="Symbol"/>
          <w:sz w:val="24"/>
        </w:rPr>
      </w:pPr>
      <w:r>
        <w:rPr>
          <w:sz w:val="24"/>
        </w:rPr>
        <w:t>Provide technical assistance on water quality standards-related questions to the public, Department staff, and other</w:t>
      </w:r>
      <w:r>
        <w:rPr>
          <w:spacing w:val="-2"/>
          <w:sz w:val="24"/>
        </w:rPr>
        <w:t xml:space="preserve"> </w:t>
      </w:r>
      <w:r>
        <w:rPr>
          <w:sz w:val="24"/>
        </w:rPr>
        <w:t>agencies;</w:t>
      </w:r>
    </w:p>
    <w:p w:rsidR="00D35590" w:rsidRDefault="00D75DDE">
      <w:pPr>
        <w:pStyle w:val="ListParagraph"/>
        <w:numPr>
          <w:ilvl w:val="0"/>
          <w:numId w:val="24"/>
        </w:numPr>
        <w:tabs>
          <w:tab w:val="left" w:pos="1219"/>
          <w:tab w:val="left" w:pos="1220"/>
        </w:tabs>
        <w:spacing w:before="3" w:line="276" w:lineRule="auto"/>
        <w:ind w:left="1219" w:right="969"/>
        <w:rPr>
          <w:rFonts w:ascii="Symbol" w:hAnsi="Symbol"/>
          <w:sz w:val="24"/>
        </w:rPr>
      </w:pPr>
      <w:r>
        <w:rPr>
          <w:sz w:val="24"/>
        </w:rPr>
        <w:t>Design, manage, coordinate, and implement environmental studies for the development of water quality criteria and assessment of surface water uses and classifications.</w:t>
      </w:r>
      <w:r>
        <w:rPr>
          <w:spacing w:val="-22"/>
          <w:sz w:val="24"/>
        </w:rPr>
        <w:t xml:space="preserve"> </w:t>
      </w:r>
      <w:r>
        <w:rPr>
          <w:sz w:val="24"/>
        </w:rPr>
        <w:t>Management of studies includes the organization of data in relevant databases, including WIN or (STORET), and statistical analysis, interpretation, recommendation formulation, and report preparation;</w:t>
      </w:r>
    </w:p>
    <w:p w:rsidR="00D35590" w:rsidRDefault="00D75DDE">
      <w:pPr>
        <w:pStyle w:val="ListParagraph"/>
        <w:numPr>
          <w:ilvl w:val="0"/>
          <w:numId w:val="24"/>
        </w:numPr>
        <w:tabs>
          <w:tab w:val="left" w:pos="1219"/>
          <w:tab w:val="left" w:pos="1220"/>
        </w:tabs>
        <w:spacing w:line="273" w:lineRule="auto"/>
        <w:ind w:left="1219" w:right="1113"/>
        <w:rPr>
          <w:rFonts w:ascii="Symbol" w:hAnsi="Symbol"/>
          <w:sz w:val="24"/>
        </w:rPr>
      </w:pPr>
      <w:r>
        <w:rPr>
          <w:sz w:val="24"/>
        </w:rPr>
        <w:t>Coordinate with other department staff and programs on site specific interpretations of the narrative nutrient criterion, listing decisions, and</w:t>
      </w:r>
      <w:r>
        <w:rPr>
          <w:spacing w:val="-4"/>
          <w:sz w:val="24"/>
        </w:rPr>
        <w:t xml:space="preserve"> </w:t>
      </w:r>
      <w:r>
        <w:rPr>
          <w:sz w:val="24"/>
        </w:rPr>
        <w:t>permitting;</w:t>
      </w:r>
    </w:p>
    <w:p w:rsidR="00D35590" w:rsidRDefault="00D75DDE">
      <w:pPr>
        <w:pStyle w:val="ListParagraph"/>
        <w:numPr>
          <w:ilvl w:val="0"/>
          <w:numId w:val="24"/>
        </w:numPr>
        <w:tabs>
          <w:tab w:val="left" w:pos="1219"/>
          <w:tab w:val="left" w:pos="1220"/>
        </w:tabs>
        <w:ind w:left="1219" w:right="1135"/>
        <w:rPr>
          <w:rFonts w:ascii="Symbol" w:hAnsi="Symbol"/>
          <w:sz w:val="24"/>
        </w:rPr>
      </w:pPr>
      <w:r>
        <w:rPr>
          <w:sz w:val="24"/>
        </w:rPr>
        <w:t>Coordinate with U.S. EPA, U.S. Fish and Wildlife Service, and NOAA National Marine Fisheries Service on potential endangered species issues related to water quality standards changes;</w:t>
      </w:r>
      <w:r>
        <w:rPr>
          <w:spacing w:val="-1"/>
          <w:sz w:val="24"/>
        </w:rPr>
        <w:t xml:space="preserve"> </w:t>
      </w:r>
      <w:r>
        <w:rPr>
          <w:sz w:val="24"/>
        </w:rPr>
        <w:t>and</w:t>
      </w:r>
    </w:p>
    <w:p w:rsidR="00D35590" w:rsidRDefault="00D75DDE">
      <w:pPr>
        <w:pStyle w:val="ListParagraph"/>
        <w:numPr>
          <w:ilvl w:val="0"/>
          <w:numId w:val="24"/>
        </w:numPr>
        <w:tabs>
          <w:tab w:val="left" w:pos="1219"/>
          <w:tab w:val="left" w:pos="1220"/>
        </w:tabs>
        <w:spacing w:line="275" w:lineRule="exact"/>
        <w:rPr>
          <w:rFonts w:ascii="Symbol" w:hAnsi="Symbol"/>
        </w:rPr>
      </w:pPr>
      <w:r>
        <w:rPr>
          <w:sz w:val="24"/>
        </w:rPr>
        <w:t>Provide technical support on Everglades issues, or other WQS-related issues when</w:t>
      </w:r>
      <w:r>
        <w:rPr>
          <w:spacing w:val="-7"/>
          <w:sz w:val="24"/>
        </w:rPr>
        <w:t xml:space="preserve"> </w:t>
      </w:r>
      <w:r>
        <w:rPr>
          <w:sz w:val="24"/>
        </w:rPr>
        <w:t>requested.</w:t>
      </w:r>
    </w:p>
    <w:p w:rsidR="00D35590" w:rsidRDefault="00D35590">
      <w:pPr>
        <w:pStyle w:val="BodyText"/>
        <w:rPr>
          <w:sz w:val="26"/>
        </w:rPr>
      </w:pPr>
    </w:p>
    <w:p w:rsidR="00D35590" w:rsidRDefault="00D35590">
      <w:pPr>
        <w:pStyle w:val="BodyText"/>
        <w:spacing w:before="9"/>
        <w:rPr>
          <w:sz w:val="35"/>
        </w:rPr>
      </w:pPr>
    </w:p>
    <w:p w:rsidR="00D35590" w:rsidRDefault="00D75DDE">
      <w:pPr>
        <w:pStyle w:val="Heading2"/>
        <w:numPr>
          <w:ilvl w:val="1"/>
          <w:numId w:val="25"/>
        </w:numPr>
        <w:tabs>
          <w:tab w:val="left" w:pos="1167"/>
          <w:tab w:val="left" w:pos="1168"/>
        </w:tabs>
        <w:spacing w:before="1"/>
        <w:ind w:hanging="577"/>
      </w:pPr>
      <w:bookmarkStart w:id="23" w:name="4.2_Aquatic_Ecology_and_Quality_Assuranc"/>
      <w:bookmarkStart w:id="24" w:name="_bookmark6"/>
      <w:bookmarkEnd w:id="23"/>
      <w:bookmarkEnd w:id="24"/>
      <w:r>
        <w:t>Aquatic Ecology and Quality Assurance Section</w:t>
      </w:r>
      <w:r>
        <w:rPr>
          <w:spacing w:val="-4"/>
        </w:rPr>
        <w:t xml:space="preserve"> </w:t>
      </w:r>
      <w:r>
        <w:t>Activities</w:t>
      </w:r>
    </w:p>
    <w:p w:rsidR="00D35590" w:rsidRDefault="00D75DDE">
      <w:pPr>
        <w:pStyle w:val="BodyText"/>
        <w:spacing w:before="139"/>
        <w:ind w:left="860"/>
      </w:pPr>
      <w:r>
        <w:t>All AEQAS staff perform the following aquatic ecology duties:</w:t>
      </w:r>
    </w:p>
    <w:p w:rsidR="00D35590" w:rsidRDefault="00D35590">
      <w:pPr>
        <w:pStyle w:val="BodyText"/>
        <w:spacing w:before="2"/>
      </w:pPr>
    </w:p>
    <w:p w:rsidR="00D35590" w:rsidRDefault="00D75DDE">
      <w:pPr>
        <w:pStyle w:val="ListParagraph"/>
        <w:numPr>
          <w:ilvl w:val="0"/>
          <w:numId w:val="23"/>
        </w:numPr>
        <w:tabs>
          <w:tab w:val="left" w:pos="1220"/>
        </w:tabs>
        <w:ind w:hanging="361"/>
        <w:jc w:val="both"/>
        <w:rPr>
          <w:sz w:val="24"/>
        </w:rPr>
      </w:pPr>
      <w:r>
        <w:rPr>
          <w:sz w:val="24"/>
        </w:rPr>
        <w:t>Implement the department’s bioassessment</w:t>
      </w:r>
      <w:r>
        <w:rPr>
          <w:spacing w:val="-2"/>
          <w:sz w:val="24"/>
        </w:rPr>
        <w:t xml:space="preserve"> </w:t>
      </w:r>
      <w:r>
        <w:rPr>
          <w:sz w:val="24"/>
        </w:rPr>
        <w:t>program;</w:t>
      </w:r>
    </w:p>
    <w:p w:rsidR="00D35590" w:rsidRDefault="00D75DDE">
      <w:pPr>
        <w:pStyle w:val="ListParagraph"/>
        <w:numPr>
          <w:ilvl w:val="0"/>
          <w:numId w:val="23"/>
        </w:numPr>
        <w:tabs>
          <w:tab w:val="left" w:pos="1220"/>
        </w:tabs>
        <w:spacing w:before="39" w:line="273" w:lineRule="auto"/>
        <w:ind w:left="1219" w:right="1020"/>
        <w:jc w:val="both"/>
        <w:rPr>
          <w:sz w:val="24"/>
        </w:rPr>
      </w:pPr>
      <w:r>
        <w:rPr>
          <w:sz w:val="24"/>
        </w:rPr>
        <w:t>Coordinate and assist in the development and review of biological assessment methods</w:t>
      </w:r>
      <w:r>
        <w:rPr>
          <w:spacing w:val="-16"/>
          <w:sz w:val="24"/>
        </w:rPr>
        <w:t xml:space="preserve"> </w:t>
      </w:r>
      <w:r>
        <w:rPr>
          <w:sz w:val="24"/>
        </w:rPr>
        <w:t>and SOPs (e.g., Stream Condition Index (SCI), Lake Vegetation Index (LVI), algal assessment methods such as the Rapid Periphyton Survey</w:t>
      </w:r>
      <w:r>
        <w:rPr>
          <w:spacing w:val="-3"/>
          <w:sz w:val="24"/>
        </w:rPr>
        <w:t xml:space="preserve"> </w:t>
      </w:r>
      <w:r>
        <w:rPr>
          <w:sz w:val="24"/>
        </w:rPr>
        <w:t>(RPS));</w:t>
      </w:r>
    </w:p>
    <w:p w:rsidR="00D35590" w:rsidRDefault="00D75DDE">
      <w:pPr>
        <w:pStyle w:val="ListParagraph"/>
        <w:numPr>
          <w:ilvl w:val="0"/>
          <w:numId w:val="23"/>
        </w:numPr>
        <w:tabs>
          <w:tab w:val="left" w:pos="1220"/>
        </w:tabs>
        <w:spacing w:before="6" w:line="273" w:lineRule="auto"/>
        <w:ind w:left="1219" w:right="1051"/>
        <w:jc w:val="both"/>
        <w:rPr>
          <w:sz w:val="24"/>
        </w:rPr>
      </w:pPr>
      <w:r>
        <w:rPr>
          <w:sz w:val="24"/>
        </w:rPr>
        <w:t>Train and audit department and external staff, focusing on biological assessment SOPs and issues;</w:t>
      </w:r>
    </w:p>
    <w:p w:rsidR="00D35590" w:rsidRDefault="00D75DDE">
      <w:pPr>
        <w:pStyle w:val="ListParagraph"/>
        <w:numPr>
          <w:ilvl w:val="0"/>
          <w:numId w:val="23"/>
        </w:numPr>
        <w:tabs>
          <w:tab w:val="left" w:pos="1220"/>
        </w:tabs>
        <w:spacing w:before="3"/>
        <w:ind w:hanging="361"/>
        <w:jc w:val="both"/>
        <w:rPr>
          <w:sz w:val="24"/>
        </w:rPr>
      </w:pPr>
      <w:r>
        <w:rPr>
          <w:sz w:val="24"/>
        </w:rPr>
        <w:t>Establish habitat benchmark sites for QA</w:t>
      </w:r>
      <w:r>
        <w:rPr>
          <w:spacing w:val="-3"/>
          <w:sz w:val="24"/>
        </w:rPr>
        <w:t xml:space="preserve"> </w:t>
      </w:r>
      <w:r>
        <w:rPr>
          <w:sz w:val="24"/>
        </w:rPr>
        <w:t>purposes;</w:t>
      </w:r>
    </w:p>
    <w:p w:rsidR="00D35590" w:rsidRDefault="00D75DDE">
      <w:pPr>
        <w:pStyle w:val="ListParagraph"/>
        <w:numPr>
          <w:ilvl w:val="0"/>
          <w:numId w:val="23"/>
        </w:numPr>
        <w:tabs>
          <w:tab w:val="left" w:pos="1220"/>
        </w:tabs>
        <w:spacing w:before="39"/>
        <w:ind w:hanging="361"/>
        <w:jc w:val="both"/>
        <w:rPr>
          <w:sz w:val="24"/>
        </w:rPr>
      </w:pPr>
      <w:r>
        <w:rPr>
          <w:sz w:val="24"/>
        </w:rPr>
        <w:t>Coordinate LVI Proficiency</w:t>
      </w:r>
      <w:r>
        <w:rPr>
          <w:spacing w:val="-6"/>
          <w:sz w:val="24"/>
        </w:rPr>
        <w:t xml:space="preserve"> </w:t>
      </w:r>
      <w:r>
        <w:rPr>
          <w:sz w:val="24"/>
        </w:rPr>
        <w:t>Testing;</w:t>
      </w:r>
    </w:p>
    <w:p w:rsidR="00D35590" w:rsidRDefault="00D75DDE">
      <w:pPr>
        <w:pStyle w:val="ListParagraph"/>
        <w:numPr>
          <w:ilvl w:val="0"/>
          <w:numId w:val="23"/>
        </w:numPr>
        <w:tabs>
          <w:tab w:val="left" w:pos="1219"/>
          <w:tab w:val="left" w:pos="1220"/>
        </w:tabs>
        <w:spacing w:before="42" w:line="271" w:lineRule="auto"/>
        <w:ind w:left="1219" w:right="1493"/>
        <w:rPr>
          <w:sz w:val="24"/>
        </w:rPr>
      </w:pPr>
      <w:r>
        <w:rPr>
          <w:sz w:val="24"/>
        </w:rPr>
        <w:t>Conduct lab records audits of macroinvertebrate taxonomy data produced by DEP and external labs that are used by the</w:t>
      </w:r>
      <w:r>
        <w:rPr>
          <w:spacing w:val="-1"/>
          <w:sz w:val="24"/>
        </w:rPr>
        <w:t xml:space="preserve"> </w:t>
      </w:r>
      <w:r>
        <w:rPr>
          <w:sz w:val="24"/>
        </w:rPr>
        <w:t>department;</w:t>
      </w:r>
    </w:p>
    <w:p w:rsidR="00D35590" w:rsidRDefault="00D75DDE">
      <w:pPr>
        <w:pStyle w:val="ListParagraph"/>
        <w:numPr>
          <w:ilvl w:val="0"/>
          <w:numId w:val="23"/>
        </w:numPr>
        <w:tabs>
          <w:tab w:val="left" w:pos="1219"/>
          <w:tab w:val="left" w:pos="1220"/>
        </w:tabs>
        <w:spacing w:before="6"/>
        <w:ind w:hanging="361"/>
        <w:rPr>
          <w:sz w:val="24"/>
        </w:rPr>
      </w:pPr>
      <w:r>
        <w:rPr>
          <w:sz w:val="24"/>
        </w:rPr>
        <w:t>Coordinate, evaluate, and report on other bioassessment QA</w:t>
      </w:r>
      <w:r>
        <w:rPr>
          <w:spacing w:val="-2"/>
          <w:sz w:val="24"/>
        </w:rPr>
        <w:t xml:space="preserve"> </w:t>
      </w:r>
      <w:r>
        <w:rPr>
          <w:sz w:val="24"/>
        </w:rPr>
        <w:t>activities;</w:t>
      </w:r>
    </w:p>
    <w:p w:rsidR="00D35590" w:rsidRDefault="00D75DDE">
      <w:pPr>
        <w:pStyle w:val="ListParagraph"/>
        <w:numPr>
          <w:ilvl w:val="0"/>
          <w:numId w:val="23"/>
        </w:numPr>
        <w:tabs>
          <w:tab w:val="left" w:pos="1219"/>
          <w:tab w:val="left" w:pos="1220"/>
        </w:tabs>
        <w:spacing w:before="42"/>
        <w:ind w:hanging="361"/>
        <w:rPr>
          <w:sz w:val="24"/>
        </w:rPr>
      </w:pPr>
      <w:r>
        <w:rPr>
          <w:sz w:val="24"/>
        </w:rPr>
        <w:t>Assist in the development and review of water quality</w:t>
      </w:r>
      <w:r>
        <w:rPr>
          <w:spacing w:val="-6"/>
          <w:sz w:val="24"/>
        </w:rPr>
        <w:t xml:space="preserve"> </w:t>
      </w:r>
      <w:r>
        <w:rPr>
          <w:sz w:val="24"/>
        </w:rPr>
        <w:t>standards;</w:t>
      </w:r>
    </w:p>
    <w:p w:rsidR="00D35590" w:rsidRDefault="00D75DDE">
      <w:pPr>
        <w:pStyle w:val="ListParagraph"/>
        <w:numPr>
          <w:ilvl w:val="0"/>
          <w:numId w:val="23"/>
        </w:numPr>
        <w:tabs>
          <w:tab w:val="left" w:pos="1219"/>
          <w:tab w:val="left" w:pos="1220"/>
        </w:tabs>
        <w:spacing w:before="40" w:line="273" w:lineRule="auto"/>
        <w:ind w:left="1219" w:right="955"/>
        <w:rPr>
          <w:sz w:val="24"/>
        </w:rPr>
      </w:pPr>
      <w:r>
        <w:rPr>
          <w:sz w:val="24"/>
        </w:rPr>
        <w:t>Coordinate, perform sampling, and produce reports for directed studies (e.g., SSAC studies, reference site projects, stressor identification studies, and bioassessment development studies);</w:t>
      </w:r>
    </w:p>
    <w:p w:rsidR="00D35590" w:rsidRDefault="00D75DDE">
      <w:pPr>
        <w:pStyle w:val="ListParagraph"/>
        <w:numPr>
          <w:ilvl w:val="0"/>
          <w:numId w:val="23"/>
        </w:numPr>
        <w:tabs>
          <w:tab w:val="left" w:pos="1219"/>
          <w:tab w:val="left" w:pos="1220"/>
        </w:tabs>
        <w:spacing w:before="5" w:line="271" w:lineRule="auto"/>
        <w:ind w:left="1219" w:right="1455"/>
        <w:rPr>
          <w:sz w:val="24"/>
        </w:rPr>
      </w:pPr>
      <w:r>
        <w:rPr>
          <w:sz w:val="24"/>
        </w:rPr>
        <w:t>Conduct scientific reviews for department programs (e.g., Minimum Flows and</w:t>
      </w:r>
      <w:r>
        <w:rPr>
          <w:spacing w:val="-19"/>
          <w:sz w:val="24"/>
        </w:rPr>
        <w:t xml:space="preserve"> </w:t>
      </w:r>
      <w:r>
        <w:rPr>
          <w:sz w:val="24"/>
        </w:rPr>
        <w:t>Levels program, Aquatic Preserves, Resource Conservation and Recovery Act</w:t>
      </w:r>
      <w:r>
        <w:rPr>
          <w:spacing w:val="-10"/>
          <w:sz w:val="24"/>
        </w:rPr>
        <w:t xml:space="preserve"> </w:t>
      </w:r>
      <w:r>
        <w:rPr>
          <w:sz w:val="24"/>
        </w:rPr>
        <w:t>program);</w:t>
      </w:r>
    </w:p>
    <w:p w:rsidR="00D35590" w:rsidRDefault="00D75DDE">
      <w:pPr>
        <w:pStyle w:val="ListParagraph"/>
        <w:numPr>
          <w:ilvl w:val="0"/>
          <w:numId w:val="23"/>
        </w:numPr>
        <w:tabs>
          <w:tab w:val="left" w:pos="1219"/>
          <w:tab w:val="left" w:pos="1220"/>
        </w:tabs>
        <w:spacing w:before="9" w:line="271" w:lineRule="auto"/>
        <w:ind w:left="1219" w:right="922"/>
        <w:rPr>
          <w:sz w:val="24"/>
        </w:rPr>
      </w:pPr>
      <w:r>
        <w:rPr>
          <w:sz w:val="24"/>
        </w:rPr>
        <w:t>Assist with Data Interpretation and Usability analyses for department programs and</w:t>
      </w:r>
      <w:r>
        <w:rPr>
          <w:spacing w:val="-23"/>
          <w:sz w:val="24"/>
        </w:rPr>
        <w:t xml:space="preserve"> </w:t>
      </w:r>
      <w:r>
        <w:rPr>
          <w:sz w:val="24"/>
        </w:rPr>
        <w:t>external programs and</w:t>
      </w:r>
      <w:r>
        <w:rPr>
          <w:spacing w:val="-1"/>
          <w:sz w:val="24"/>
        </w:rPr>
        <w:t xml:space="preserve"> </w:t>
      </w:r>
      <w:r>
        <w:rPr>
          <w:sz w:val="24"/>
        </w:rPr>
        <w:t>projects;</w:t>
      </w:r>
    </w:p>
    <w:p w:rsidR="00D35590" w:rsidRDefault="00D75DDE">
      <w:pPr>
        <w:pStyle w:val="ListParagraph"/>
        <w:numPr>
          <w:ilvl w:val="0"/>
          <w:numId w:val="23"/>
        </w:numPr>
        <w:tabs>
          <w:tab w:val="left" w:pos="1219"/>
          <w:tab w:val="left" w:pos="1220"/>
        </w:tabs>
        <w:spacing w:before="6"/>
        <w:ind w:hanging="361"/>
        <w:rPr>
          <w:sz w:val="24"/>
        </w:rPr>
      </w:pPr>
      <w:r>
        <w:rPr>
          <w:sz w:val="24"/>
        </w:rPr>
        <w:t>Conduct SCI Stressor Identification evaluations upon request;</w:t>
      </w:r>
      <w:r>
        <w:rPr>
          <w:spacing w:val="-5"/>
          <w:sz w:val="24"/>
        </w:rPr>
        <w:t xml:space="preserve"> </w:t>
      </w:r>
      <w:r>
        <w:rPr>
          <w:sz w:val="24"/>
        </w:rPr>
        <w:t>and</w:t>
      </w:r>
    </w:p>
    <w:p w:rsidR="00D35590" w:rsidRDefault="00D75DDE">
      <w:pPr>
        <w:pStyle w:val="ListParagraph"/>
        <w:numPr>
          <w:ilvl w:val="0"/>
          <w:numId w:val="23"/>
        </w:numPr>
        <w:tabs>
          <w:tab w:val="left" w:pos="1219"/>
          <w:tab w:val="left" w:pos="1220"/>
        </w:tabs>
        <w:spacing w:before="42"/>
        <w:ind w:hanging="361"/>
        <w:rPr>
          <w:sz w:val="24"/>
        </w:rPr>
      </w:pPr>
      <w:r>
        <w:rPr>
          <w:sz w:val="24"/>
        </w:rPr>
        <w:t>Present DEP QA updates at conferences, when</w:t>
      </w:r>
      <w:r>
        <w:rPr>
          <w:spacing w:val="1"/>
          <w:sz w:val="24"/>
        </w:rPr>
        <w:t xml:space="preserve"> </w:t>
      </w:r>
      <w:r>
        <w:rPr>
          <w:sz w:val="24"/>
        </w:rPr>
        <w:t>appropriate.</w:t>
      </w:r>
    </w:p>
    <w:p w:rsidR="00D35590" w:rsidRDefault="00D35590">
      <w:pPr>
        <w:rPr>
          <w:sz w:val="24"/>
        </w:rPr>
        <w:sectPr w:rsidR="00D35590">
          <w:pgSz w:w="12240" w:h="15840"/>
          <w:pgMar w:top="1360" w:right="300" w:bottom="880" w:left="940" w:header="0" w:footer="619" w:gutter="0"/>
          <w:cols w:space="720"/>
        </w:sectPr>
      </w:pPr>
    </w:p>
    <w:p w:rsidR="00D35590" w:rsidRDefault="00D35590">
      <w:pPr>
        <w:pStyle w:val="BodyText"/>
        <w:spacing w:before="10"/>
        <w:rPr>
          <w:sz w:val="10"/>
        </w:rPr>
      </w:pPr>
    </w:p>
    <w:p w:rsidR="00D35590" w:rsidRDefault="00D75DDE">
      <w:pPr>
        <w:pStyle w:val="BodyText"/>
        <w:spacing w:before="90"/>
        <w:ind w:left="1039" w:right="796"/>
      </w:pPr>
      <w:r>
        <w:t>Sarah Noble, Ashley O’Neal, Joy Jackson, Kristen Sapp, Jessica Patronis and Jennifer Piacente (all AEQAS staff) perform the following quality assurance duties:</w:t>
      </w:r>
    </w:p>
    <w:p w:rsidR="00D35590" w:rsidRDefault="00D35590">
      <w:pPr>
        <w:pStyle w:val="BodyText"/>
        <w:spacing w:before="2"/>
      </w:pPr>
    </w:p>
    <w:p w:rsidR="00D35590" w:rsidRDefault="00D75DDE">
      <w:pPr>
        <w:pStyle w:val="ListParagraph"/>
        <w:numPr>
          <w:ilvl w:val="0"/>
          <w:numId w:val="23"/>
        </w:numPr>
        <w:tabs>
          <w:tab w:val="left" w:pos="1220"/>
        </w:tabs>
        <w:spacing w:line="273" w:lineRule="auto"/>
        <w:ind w:left="1219" w:right="834"/>
        <w:jc w:val="both"/>
        <w:rPr>
          <w:sz w:val="24"/>
        </w:rPr>
      </w:pPr>
      <w:r>
        <w:rPr>
          <w:sz w:val="24"/>
        </w:rPr>
        <w:t>Maintain and update as needed the QA Rules (Chapter 62-160, F.A.C.) and the collections</w:t>
      </w:r>
      <w:r>
        <w:rPr>
          <w:spacing w:val="-17"/>
          <w:sz w:val="24"/>
        </w:rPr>
        <w:t xml:space="preserve"> </w:t>
      </w:r>
      <w:r>
        <w:rPr>
          <w:sz w:val="24"/>
        </w:rPr>
        <w:t xml:space="preserve">of department Standard Operating Procedures </w:t>
      </w:r>
      <w:hyperlink r:id="rId21">
        <w:r>
          <w:rPr>
            <w:sz w:val="24"/>
          </w:rPr>
          <w:t>(DEP-SOP-001/01, DEP-SOP-002/01, and DEP-</w:t>
        </w:r>
      </w:hyperlink>
      <w:hyperlink r:id="rId22">
        <w:r>
          <w:rPr>
            <w:sz w:val="24"/>
          </w:rPr>
          <w:t xml:space="preserve"> SOP-003/11</w:t>
        </w:r>
      </w:hyperlink>
      <w:r>
        <w:rPr>
          <w:sz w:val="24"/>
        </w:rPr>
        <w:t>);</w:t>
      </w:r>
    </w:p>
    <w:p w:rsidR="00D35590" w:rsidRDefault="00D75DDE">
      <w:pPr>
        <w:pStyle w:val="ListParagraph"/>
        <w:numPr>
          <w:ilvl w:val="0"/>
          <w:numId w:val="23"/>
        </w:numPr>
        <w:tabs>
          <w:tab w:val="left" w:pos="1219"/>
          <w:tab w:val="left" w:pos="1220"/>
        </w:tabs>
        <w:spacing w:before="5" w:line="271" w:lineRule="auto"/>
        <w:ind w:left="1219" w:right="1119"/>
        <w:rPr>
          <w:sz w:val="24"/>
        </w:rPr>
      </w:pPr>
      <w:r>
        <w:rPr>
          <w:sz w:val="24"/>
        </w:rPr>
        <w:t>Evaluate new technologies and methodologies proposed for incorporation into department rules and procedures, including alternative method approval</w:t>
      </w:r>
      <w:r>
        <w:rPr>
          <w:spacing w:val="-3"/>
          <w:sz w:val="24"/>
        </w:rPr>
        <w:t xml:space="preserve"> </w:t>
      </w:r>
      <w:r>
        <w:rPr>
          <w:sz w:val="24"/>
        </w:rPr>
        <w:t>requests;</w:t>
      </w:r>
    </w:p>
    <w:p w:rsidR="00D35590" w:rsidRDefault="00D75DDE">
      <w:pPr>
        <w:pStyle w:val="ListParagraph"/>
        <w:numPr>
          <w:ilvl w:val="0"/>
          <w:numId w:val="23"/>
        </w:numPr>
        <w:tabs>
          <w:tab w:val="left" w:pos="1219"/>
          <w:tab w:val="left" w:pos="1220"/>
        </w:tabs>
        <w:spacing w:before="9" w:line="271" w:lineRule="auto"/>
        <w:ind w:left="1219" w:right="871"/>
        <w:rPr>
          <w:sz w:val="24"/>
        </w:rPr>
      </w:pPr>
      <w:r>
        <w:rPr>
          <w:sz w:val="24"/>
        </w:rPr>
        <w:t>Develop data quality planning and assessment criteria, Data Quality Objectives (DQOs),</w:t>
      </w:r>
      <w:r>
        <w:rPr>
          <w:spacing w:val="-23"/>
          <w:sz w:val="24"/>
        </w:rPr>
        <w:t xml:space="preserve"> </w:t>
      </w:r>
      <w:r>
        <w:rPr>
          <w:sz w:val="24"/>
        </w:rPr>
        <w:t>and Data Quality Indicators (DQIs) for regulatory and contractual data</w:t>
      </w:r>
      <w:r>
        <w:rPr>
          <w:spacing w:val="-5"/>
          <w:sz w:val="24"/>
        </w:rPr>
        <w:t xml:space="preserve"> </w:t>
      </w:r>
      <w:r>
        <w:rPr>
          <w:sz w:val="24"/>
        </w:rPr>
        <w:t>use;</w:t>
      </w:r>
    </w:p>
    <w:p w:rsidR="00D35590" w:rsidRDefault="00D75DDE">
      <w:pPr>
        <w:pStyle w:val="ListParagraph"/>
        <w:numPr>
          <w:ilvl w:val="0"/>
          <w:numId w:val="23"/>
        </w:numPr>
        <w:tabs>
          <w:tab w:val="left" w:pos="1219"/>
          <w:tab w:val="left" w:pos="1220"/>
        </w:tabs>
        <w:spacing w:before="6" w:line="273" w:lineRule="auto"/>
        <w:ind w:left="1219" w:right="1068"/>
        <w:rPr>
          <w:sz w:val="24"/>
        </w:rPr>
      </w:pPr>
      <w:r>
        <w:rPr>
          <w:sz w:val="24"/>
        </w:rPr>
        <w:t>Conduct and assist other department staff with reviews of QA documents for contracts</w:t>
      </w:r>
      <w:r>
        <w:rPr>
          <w:spacing w:val="-19"/>
          <w:sz w:val="24"/>
        </w:rPr>
        <w:t xml:space="preserve"> </w:t>
      </w:r>
      <w:r>
        <w:rPr>
          <w:sz w:val="24"/>
        </w:rPr>
        <w:t>and grants;</w:t>
      </w:r>
    </w:p>
    <w:p w:rsidR="00D35590" w:rsidRDefault="00D75DDE">
      <w:pPr>
        <w:pStyle w:val="ListParagraph"/>
        <w:numPr>
          <w:ilvl w:val="0"/>
          <w:numId w:val="23"/>
        </w:numPr>
        <w:tabs>
          <w:tab w:val="left" w:pos="1219"/>
          <w:tab w:val="left" w:pos="1220"/>
        </w:tabs>
        <w:spacing w:before="3" w:line="271" w:lineRule="auto"/>
        <w:ind w:left="1219" w:right="975"/>
        <w:rPr>
          <w:sz w:val="24"/>
        </w:rPr>
      </w:pPr>
      <w:r>
        <w:rPr>
          <w:sz w:val="24"/>
        </w:rPr>
        <w:t>Maintain templates for grant and contract QA attachments and provide QA training to</w:t>
      </w:r>
      <w:r>
        <w:rPr>
          <w:spacing w:val="-19"/>
          <w:sz w:val="24"/>
        </w:rPr>
        <w:t xml:space="preserve"> </w:t>
      </w:r>
      <w:r>
        <w:rPr>
          <w:sz w:val="24"/>
        </w:rPr>
        <w:t>grant and contract</w:t>
      </w:r>
      <w:r>
        <w:rPr>
          <w:spacing w:val="-1"/>
          <w:sz w:val="24"/>
        </w:rPr>
        <w:t xml:space="preserve"> </w:t>
      </w:r>
      <w:r>
        <w:rPr>
          <w:sz w:val="24"/>
        </w:rPr>
        <w:t>staff;</w:t>
      </w:r>
    </w:p>
    <w:p w:rsidR="00D35590" w:rsidRDefault="00D75DDE">
      <w:pPr>
        <w:pStyle w:val="ListParagraph"/>
        <w:numPr>
          <w:ilvl w:val="0"/>
          <w:numId w:val="23"/>
        </w:numPr>
        <w:tabs>
          <w:tab w:val="left" w:pos="1219"/>
          <w:tab w:val="left" w:pos="1220"/>
        </w:tabs>
        <w:spacing w:before="6"/>
        <w:ind w:hanging="361"/>
        <w:rPr>
          <w:sz w:val="24"/>
        </w:rPr>
      </w:pPr>
      <w:r>
        <w:rPr>
          <w:sz w:val="24"/>
        </w:rPr>
        <w:t xml:space="preserve">Conduct QA review and approvals of </w:t>
      </w:r>
      <w:proofErr w:type="spellStart"/>
      <w:r>
        <w:rPr>
          <w:sz w:val="24"/>
        </w:rPr>
        <w:t>MyFloridaMarketPlace</w:t>
      </w:r>
      <w:proofErr w:type="spellEnd"/>
      <w:r>
        <w:rPr>
          <w:sz w:val="24"/>
        </w:rPr>
        <w:t xml:space="preserve"> (MFMP) purchase</w:t>
      </w:r>
      <w:r>
        <w:rPr>
          <w:spacing w:val="-5"/>
          <w:sz w:val="24"/>
        </w:rPr>
        <w:t xml:space="preserve"> </w:t>
      </w:r>
      <w:r>
        <w:rPr>
          <w:sz w:val="24"/>
        </w:rPr>
        <w:t>requests;</w:t>
      </w:r>
    </w:p>
    <w:p w:rsidR="00D35590" w:rsidRDefault="00D75DDE">
      <w:pPr>
        <w:pStyle w:val="ListParagraph"/>
        <w:numPr>
          <w:ilvl w:val="0"/>
          <w:numId w:val="23"/>
        </w:numPr>
        <w:tabs>
          <w:tab w:val="left" w:pos="1219"/>
          <w:tab w:val="left" w:pos="1220"/>
        </w:tabs>
        <w:spacing w:before="42" w:line="271" w:lineRule="auto"/>
        <w:ind w:left="1219" w:right="1116"/>
        <w:rPr>
          <w:sz w:val="24"/>
        </w:rPr>
      </w:pPr>
      <w:r>
        <w:rPr>
          <w:sz w:val="24"/>
        </w:rPr>
        <w:t>Conduct field and laboratory audits, provide audit findings to affected DEP programs,</w:t>
      </w:r>
      <w:r>
        <w:rPr>
          <w:spacing w:val="-19"/>
          <w:sz w:val="24"/>
        </w:rPr>
        <w:t xml:space="preserve"> </w:t>
      </w:r>
      <w:r>
        <w:rPr>
          <w:sz w:val="24"/>
        </w:rPr>
        <w:t>and enter audit results into WIN, if</w:t>
      </w:r>
      <w:r>
        <w:rPr>
          <w:spacing w:val="-3"/>
          <w:sz w:val="24"/>
        </w:rPr>
        <w:t xml:space="preserve"> </w:t>
      </w:r>
      <w:r>
        <w:rPr>
          <w:sz w:val="24"/>
        </w:rPr>
        <w:t>applicable;</w:t>
      </w:r>
    </w:p>
    <w:p w:rsidR="00D35590" w:rsidRDefault="00D75DDE">
      <w:pPr>
        <w:pStyle w:val="ListParagraph"/>
        <w:numPr>
          <w:ilvl w:val="0"/>
          <w:numId w:val="23"/>
        </w:numPr>
        <w:tabs>
          <w:tab w:val="left" w:pos="1219"/>
          <w:tab w:val="left" w:pos="1220"/>
        </w:tabs>
        <w:spacing w:before="9" w:line="271" w:lineRule="auto"/>
        <w:ind w:left="1219" w:right="1188"/>
        <w:rPr>
          <w:sz w:val="24"/>
        </w:rPr>
      </w:pPr>
      <w:r>
        <w:rPr>
          <w:sz w:val="24"/>
        </w:rPr>
        <w:t>Coordinate implementation of the QA Directive through QA training and development</w:t>
      </w:r>
      <w:r>
        <w:rPr>
          <w:spacing w:val="-18"/>
          <w:sz w:val="24"/>
        </w:rPr>
        <w:t xml:space="preserve"> </w:t>
      </w:r>
      <w:r>
        <w:rPr>
          <w:sz w:val="24"/>
        </w:rPr>
        <w:t>of information</w:t>
      </w:r>
      <w:r>
        <w:rPr>
          <w:spacing w:val="-1"/>
          <w:sz w:val="24"/>
        </w:rPr>
        <w:t xml:space="preserve"> </w:t>
      </w:r>
      <w:r>
        <w:rPr>
          <w:sz w:val="24"/>
        </w:rPr>
        <w:t>materials;</w:t>
      </w:r>
    </w:p>
    <w:p w:rsidR="00D35590" w:rsidRDefault="00D75DDE">
      <w:pPr>
        <w:pStyle w:val="ListParagraph"/>
        <w:numPr>
          <w:ilvl w:val="0"/>
          <w:numId w:val="23"/>
        </w:numPr>
        <w:tabs>
          <w:tab w:val="left" w:pos="1219"/>
          <w:tab w:val="left" w:pos="1220"/>
        </w:tabs>
        <w:spacing w:before="6" w:line="273" w:lineRule="auto"/>
        <w:ind w:left="1219" w:right="799"/>
        <w:rPr>
          <w:sz w:val="24"/>
        </w:rPr>
      </w:pPr>
      <w:r>
        <w:rPr>
          <w:sz w:val="24"/>
        </w:rPr>
        <w:t>Coordinate with and assist department QA Officers in the development of quality systems for department programs and organizational work</w:t>
      </w:r>
      <w:r>
        <w:rPr>
          <w:spacing w:val="1"/>
          <w:sz w:val="24"/>
        </w:rPr>
        <w:t xml:space="preserve"> </w:t>
      </w:r>
      <w:r>
        <w:rPr>
          <w:sz w:val="24"/>
        </w:rPr>
        <w:t>units;</w:t>
      </w:r>
    </w:p>
    <w:p w:rsidR="00D35590" w:rsidRDefault="00D75DDE">
      <w:pPr>
        <w:pStyle w:val="ListParagraph"/>
        <w:numPr>
          <w:ilvl w:val="0"/>
          <w:numId w:val="23"/>
        </w:numPr>
        <w:tabs>
          <w:tab w:val="left" w:pos="1219"/>
          <w:tab w:val="left" w:pos="1220"/>
        </w:tabs>
        <w:spacing w:before="3" w:line="271" w:lineRule="auto"/>
        <w:ind w:left="1219" w:right="1281"/>
        <w:rPr>
          <w:sz w:val="24"/>
        </w:rPr>
      </w:pPr>
      <w:r>
        <w:rPr>
          <w:sz w:val="24"/>
        </w:rPr>
        <w:t>Provide technical training on a variety of issues, such as sampling SOPs and data</w:t>
      </w:r>
      <w:r>
        <w:rPr>
          <w:spacing w:val="-18"/>
          <w:sz w:val="24"/>
        </w:rPr>
        <w:t xml:space="preserve"> </w:t>
      </w:r>
      <w:r>
        <w:rPr>
          <w:sz w:val="24"/>
        </w:rPr>
        <w:t>review procedures;</w:t>
      </w:r>
    </w:p>
    <w:p w:rsidR="00D35590" w:rsidRDefault="00D75DDE">
      <w:pPr>
        <w:pStyle w:val="ListParagraph"/>
        <w:numPr>
          <w:ilvl w:val="0"/>
          <w:numId w:val="23"/>
        </w:numPr>
        <w:tabs>
          <w:tab w:val="left" w:pos="1219"/>
          <w:tab w:val="left" w:pos="1220"/>
        </w:tabs>
        <w:spacing w:before="9" w:line="271" w:lineRule="auto"/>
        <w:ind w:left="1219" w:right="1593"/>
        <w:rPr>
          <w:sz w:val="24"/>
        </w:rPr>
      </w:pPr>
      <w:r>
        <w:rPr>
          <w:sz w:val="24"/>
        </w:rPr>
        <w:t>Assist with special studies, WQSP contract management, and water quality standards development through support of QA</w:t>
      </w:r>
      <w:r>
        <w:rPr>
          <w:spacing w:val="-3"/>
          <w:sz w:val="24"/>
        </w:rPr>
        <w:t xml:space="preserve"> </w:t>
      </w:r>
      <w:r>
        <w:rPr>
          <w:sz w:val="24"/>
        </w:rPr>
        <w:t>components;</w:t>
      </w:r>
    </w:p>
    <w:p w:rsidR="00D35590" w:rsidRDefault="00D75DDE">
      <w:pPr>
        <w:pStyle w:val="ListParagraph"/>
        <w:numPr>
          <w:ilvl w:val="0"/>
          <w:numId w:val="23"/>
        </w:numPr>
        <w:tabs>
          <w:tab w:val="left" w:pos="1219"/>
          <w:tab w:val="left" w:pos="1220"/>
        </w:tabs>
        <w:spacing w:before="6" w:line="273" w:lineRule="auto"/>
        <w:ind w:left="1219" w:right="1221"/>
        <w:rPr>
          <w:sz w:val="24"/>
        </w:rPr>
      </w:pPr>
      <w:r>
        <w:rPr>
          <w:sz w:val="24"/>
        </w:rPr>
        <w:t>Administer the department-wide QA program for the water, waste, and land &amp; recreation programs (see duties of the department Quality Assurance</w:t>
      </w:r>
      <w:r>
        <w:rPr>
          <w:spacing w:val="-7"/>
          <w:sz w:val="24"/>
        </w:rPr>
        <w:t xml:space="preserve"> </w:t>
      </w:r>
      <w:r>
        <w:rPr>
          <w:sz w:val="24"/>
        </w:rPr>
        <w:t>Coordinator);</w:t>
      </w:r>
    </w:p>
    <w:p w:rsidR="00D35590" w:rsidRDefault="00D75DDE">
      <w:pPr>
        <w:pStyle w:val="ListParagraph"/>
        <w:numPr>
          <w:ilvl w:val="0"/>
          <w:numId w:val="23"/>
        </w:numPr>
        <w:tabs>
          <w:tab w:val="left" w:pos="1219"/>
          <w:tab w:val="left" w:pos="1220"/>
        </w:tabs>
        <w:spacing w:before="3" w:line="271" w:lineRule="auto"/>
        <w:ind w:left="1219" w:right="902"/>
        <w:rPr>
          <w:sz w:val="24"/>
        </w:rPr>
      </w:pPr>
      <w:r>
        <w:rPr>
          <w:sz w:val="24"/>
        </w:rPr>
        <w:t>Provide technical assistance to department Programs concerning miscellaneous topics,</w:t>
      </w:r>
      <w:r>
        <w:rPr>
          <w:spacing w:val="-21"/>
          <w:sz w:val="24"/>
        </w:rPr>
        <w:t xml:space="preserve"> </w:t>
      </w:r>
      <w:r>
        <w:rPr>
          <w:sz w:val="24"/>
        </w:rPr>
        <w:t>when requested;</w:t>
      </w:r>
      <w:r>
        <w:rPr>
          <w:spacing w:val="-1"/>
          <w:sz w:val="24"/>
        </w:rPr>
        <w:t xml:space="preserve"> </w:t>
      </w:r>
      <w:r>
        <w:rPr>
          <w:sz w:val="24"/>
        </w:rPr>
        <w:t>and,</w:t>
      </w:r>
    </w:p>
    <w:p w:rsidR="00D35590" w:rsidRDefault="00D75DDE">
      <w:pPr>
        <w:pStyle w:val="BodyText"/>
        <w:spacing w:before="5"/>
        <w:ind w:left="1219"/>
      </w:pPr>
      <w:r>
        <w:t>Present DEP QA updates at conferences, when appropriate</w:t>
      </w:r>
    </w:p>
    <w:p w:rsidR="00D35590" w:rsidRDefault="00D35590">
      <w:pPr>
        <w:pStyle w:val="BodyText"/>
        <w:spacing w:before="7"/>
      </w:pPr>
    </w:p>
    <w:p w:rsidR="00D35590" w:rsidRDefault="00D75DDE">
      <w:pPr>
        <w:pStyle w:val="Heading2"/>
        <w:numPr>
          <w:ilvl w:val="1"/>
          <w:numId w:val="25"/>
        </w:numPr>
        <w:tabs>
          <w:tab w:val="left" w:pos="1167"/>
          <w:tab w:val="left" w:pos="1168"/>
        </w:tabs>
        <w:ind w:hanging="577"/>
      </w:pPr>
      <w:bookmarkStart w:id="25" w:name="4.3_Duties_of_the_department_QA_Coordina"/>
      <w:bookmarkStart w:id="26" w:name="_bookmark7"/>
      <w:bookmarkEnd w:id="25"/>
      <w:bookmarkEnd w:id="26"/>
      <w:r>
        <w:t>Duties of the department QA</w:t>
      </w:r>
      <w:r>
        <w:rPr>
          <w:spacing w:val="-5"/>
        </w:rPr>
        <w:t xml:space="preserve"> </w:t>
      </w:r>
      <w:r>
        <w:t>Coordinator</w:t>
      </w:r>
    </w:p>
    <w:p w:rsidR="00D35590" w:rsidRDefault="00D75DDE">
      <w:pPr>
        <w:pStyle w:val="BodyText"/>
        <w:spacing w:before="137"/>
        <w:ind w:left="951" w:right="849"/>
      </w:pPr>
      <w:r>
        <w:t>Kristen Sapp is the designated Quality Assurance Coordinator for the Water, Waste, and Land and Recreation programs, as described in the department’s QMP, and is the QA liaison for all associated organizational units covered in the QMP. The QA Coordinator works with other AEQAS staff to carry out the following responsibilities:</w:t>
      </w:r>
    </w:p>
    <w:p w:rsidR="00D35590" w:rsidRDefault="00D75DDE">
      <w:pPr>
        <w:pStyle w:val="ListParagraph"/>
        <w:numPr>
          <w:ilvl w:val="0"/>
          <w:numId w:val="22"/>
        </w:numPr>
        <w:tabs>
          <w:tab w:val="left" w:pos="1219"/>
          <w:tab w:val="left" w:pos="1220"/>
        </w:tabs>
        <w:spacing w:before="2" w:line="273" w:lineRule="auto"/>
        <w:ind w:right="925"/>
        <w:rPr>
          <w:sz w:val="24"/>
        </w:rPr>
      </w:pPr>
      <w:r>
        <w:rPr>
          <w:sz w:val="24"/>
        </w:rPr>
        <w:t>Preparing and distributing the QMP. Ensuring that the department quality systems documented in the QMP meet all relevant requirements prescribed in Florida statutes, department contracts and grants, and all delegation and performance partnership</w:t>
      </w:r>
      <w:r>
        <w:rPr>
          <w:spacing w:val="-19"/>
          <w:sz w:val="24"/>
        </w:rPr>
        <w:t xml:space="preserve"> </w:t>
      </w:r>
      <w:r>
        <w:rPr>
          <w:sz w:val="24"/>
        </w:rPr>
        <w:t>agreements for work funded and mandated by</w:t>
      </w:r>
      <w:r>
        <w:rPr>
          <w:spacing w:val="-2"/>
          <w:sz w:val="24"/>
        </w:rPr>
        <w:t xml:space="preserve"> </w:t>
      </w:r>
      <w:r>
        <w:rPr>
          <w:sz w:val="24"/>
        </w:rPr>
        <w:t>EPA;</w:t>
      </w:r>
    </w:p>
    <w:p w:rsidR="00D35590" w:rsidRDefault="00D35590">
      <w:pPr>
        <w:spacing w:line="273" w:lineRule="auto"/>
        <w:rPr>
          <w:sz w:val="24"/>
        </w:rPr>
        <w:sectPr w:rsidR="00D35590">
          <w:pgSz w:w="12240" w:h="15840"/>
          <w:pgMar w:top="1500" w:right="300" w:bottom="880" w:left="940" w:header="0" w:footer="619" w:gutter="0"/>
          <w:cols w:space="720"/>
        </w:sectPr>
      </w:pPr>
    </w:p>
    <w:p w:rsidR="00D35590" w:rsidRDefault="00D75DDE">
      <w:pPr>
        <w:pStyle w:val="ListParagraph"/>
        <w:numPr>
          <w:ilvl w:val="0"/>
          <w:numId w:val="22"/>
        </w:numPr>
        <w:tabs>
          <w:tab w:val="left" w:pos="1219"/>
          <w:tab w:val="left" w:pos="1220"/>
        </w:tabs>
        <w:spacing w:before="81"/>
        <w:rPr>
          <w:sz w:val="24"/>
        </w:rPr>
      </w:pPr>
      <w:r>
        <w:rPr>
          <w:sz w:val="24"/>
        </w:rPr>
        <w:lastRenderedPageBreak/>
        <w:t>Updating the QA rule and incorporated documents and SOPs as</w:t>
      </w:r>
      <w:r>
        <w:rPr>
          <w:spacing w:val="-4"/>
          <w:sz w:val="24"/>
        </w:rPr>
        <w:t xml:space="preserve"> </w:t>
      </w:r>
      <w:r>
        <w:rPr>
          <w:sz w:val="24"/>
        </w:rPr>
        <w:t>needed;</w:t>
      </w:r>
    </w:p>
    <w:p w:rsidR="00D35590" w:rsidRDefault="00D75DDE">
      <w:pPr>
        <w:pStyle w:val="ListParagraph"/>
        <w:numPr>
          <w:ilvl w:val="0"/>
          <w:numId w:val="22"/>
        </w:numPr>
        <w:tabs>
          <w:tab w:val="left" w:pos="1219"/>
          <w:tab w:val="left" w:pos="1220"/>
        </w:tabs>
        <w:spacing w:before="39" w:line="273" w:lineRule="auto"/>
        <w:ind w:right="1015"/>
        <w:rPr>
          <w:sz w:val="24"/>
        </w:rPr>
      </w:pPr>
      <w:r>
        <w:rPr>
          <w:sz w:val="24"/>
        </w:rPr>
        <w:t>Developing, implementing and overseeing the continued execution of the department’s</w:t>
      </w:r>
      <w:r>
        <w:rPr>
          <w:spacing w:val="-17"/>
          <w:sz w:val="24"/>
        </w:rPr>
        <w:t xml:space="preserve"> </w:t>
      </w:r>
      <w:r>
        <w:rPr>
          <w:sz w:val="24"/>
        </w:rPr>
        <w:t>QA policies;</w:t>
      </w:r>
    </w:p>
    <w:p w:rsidR="00D35590" w:rsidRDefault="00D75DDE">
      <w:pPr>
        <w:pStyle w:val="ListParagraph"/>
        <w:numPr>
          <w:ilvl w:val="0"/>
          <w:numId w:val="22"/>
        </w:numPr>
        <w:tabs>
          <w:tab w:val="left" w:pos="1219"/>
          <w:tab w:val="left" w:pos="1220"/>
        </w:tabs>
        <w:spacing w:before="3" w:line="271" w:lineRule="auto"/>
        <w:ind w:right="1493"/>
        <w:rPr>
          <w:sz w:val="24"/>
        </w:rPr>
      </w:pPr>
      <w:r>
        <w:rPr>
          <w:sz w:val="24"/>
        </w:rPr>
        <w:t>Providing leadership and working with the QA team to address data quality issues</w:t>
      </w:r>
      <w:r>
        <w:rPr>
          <w:spacing w:val="-16"/>
          <w:sz w:val="24"/>
        </w:rPr>
        <w:t xml:space="preserve"> </w:t>
      </w:r>
      <w:r>
        <w:rPr>
          <w:sz w:val="24"/>
        </w:rPr>
        <w:t>and answer questions submitted to the QA</w:t>
      </w:r>
      <w:r>
        <w:rPr>
          <w:spacing w:val="-4"/>
          <w:sz w:val="24"/>
        </w:rPr>
        <w:t xml:space="preserve"> </w:t>
      </w:r>
      <w:r>
        <w:rPr>
          <w:sz w:val="24"/>
        </w:rPr>
        <w:t>mailbox;</w:t>
      </w:r>
    </w:p>
    <w:p w:rsidR="00D35590" w:rsidRDefault="00D75DDE">
      <w:pPr>
        <w:pStyle w:val="ListParagraph"/>
        <w:numPr>
          <w:ilvl w:val="0"/>
          <w:numId w:val="22"/>
        </w:numPr>
        <w:tabs>
          <w:tab w:val="left" w:pos="1219"/>
          <w:tab w:val="left" w:pos="1220"/>
        </w:tabs>
        <w:spacing w:before="9"/>
        <w:rPr>
          <w:sz w:val="24"/>
        </w:rPr>
      </w:pPr>
      <w:r>
        <w:rPr>
          <w:sz w:val="24"/>
        </w:rPr>
        <w:t>Ensuring that each agency program has a program-specific quality</w:t>
      </w:r>
      <w:r>
        <w:rPr>
          <w:spacing w:val="-1"/>
          <w:sz w:val="24"/>
        </w:rPr>
        <w:t xml:space="preserve"> </w:t>
      </w:r>
      <w:r>
        <w:rPr>
          <w:sz w:val="24"/>
        </w:rPr>
        <w:t>plan;</w:t>
      </w:r>
    </w:p>
    <w:p w:rsidR="00D35590" w:rsidRDefault="00D75DDE">
      <w:pPr>
        <w:pStyle w:val="ListParagraph"/>
        <w:numPr>
          <w:ilvl w:val="0"/>
          <w:numId w:val="22"/>
        </w:numPr>
        <w:tabs>
          <w:tab w:val="left" w:pos="1219"/>
          <w:tab w:val="left" w:pos="1220"/>
        </w:tabs>
        <w:spacing w:before="40" w:line="273" w:lineRule="auto"/>
        <w:ind w:right="1426"/>
        <w:rPr>
          <w:sz w:val="24"/>
        </w:rPr>
      </w:pPr>
      <w:r>
        <w:rPr>
          <w:sz w:val="24"/>
        </w:rPr>
        <w:t>Coordinating the efforts of all program Quality Assurance Officers (QAOs) by holding meetings and providing specific guidance and training to the program</w:t>
      </w:r>
      <w:r>
        <w:rPr>
          <w:spacing w:val="-7"/>
          <w:sz w:val="24"/>
        </w:rPr>
        <w:t xml:space="preserve"> </w:t>
      </w:r>
      <w:r>
        <w:rPr>
          <w:sz w:val="24"/>
        </w:rPr>
        <w:t>QAOs;</w:t>
      </w:r>
    </w:p>
    <w:p w:rsidR="00D35590" w:rsidRDefault="00D75DDE">
      <w:pPr>
        <w:pStyle w:val="ListParagraph"/>
        <w:numPr>
          <w:ilvl w:val="0"/>
          <w:numId w:val="22"/>
        </w:numPr>
        <w:tabs>
          <w:tab w:val="left" w:pos="1219"/>
          <w:tab w:val="left" w:pos="1220"/>
        </w:tabs>
        <w:spacing w:before="3" w:line="271" w:lineRule="auto"/>
        <w:ind w:right="869"/>
        <w:rPr>
          <w:sz w:val="24"/>
        </w:rPr>
      </w:pPr>
      <w:r>
        <w:rPr>
          <w:sz w:val="24"/>
        </w:rPr>
        <w:t>Independently evaluating the effectiveness of the department’s Quality System and initiating corrective actions when warranted;</w:t>
      </w:r>
    </w:p>
    <w:p w:rsidR="00D35590" w:rsidRDefault="00D75DDE">
      <w:pPr>
        <w:pStyle w:val="ListParagraph"/>
        <w:numPr>
          <w:ilvl w:val="0"/>
          <w:numId w:val="22"/>
        </w:numPr>
        <w:tabs>
          <w:tab w:val="left" w:pos="1219"/>
          <w:tab w:val="left" w:pos="1220"/>
        </w:tabs>
        <w:spacing w:before="6" w:line="273" w:lineRule="auto"/>
        <w:ind w:right="1435"/>
        <w:rPr>
          <w:sz w:val="24"/>
        </w:rPr>
      </w:pPr>
      <w:r>
        <w:rPr>
          <w:sz w:val="24"/>
        </w:rPr>
        <w:t>Coordinating the preparation of an annual QA report to the DEP Secretary on all QA activities, including recommendations for improving the department’s Quality</w:t>
      </w:r>
      <w:r>
        <w:rPr>
          <w:spacing w:val="-15"/>
          <w:sz w:val="24"/>
        </w:rPr>
        <w:t xml:space="preserve"> </w:t>
      </w:r>
      <w:r>
        <w:rPr>
          <w:sz w:val="24"/>
        </w:rPr>
        <w:t>System;</w:t>
      </w:r>
    </w:p>
    <w:p w:rsidR="00D35590" w:rsidRDefault="00D75DDE">
      <w:pPr>
        <w:pStyle w:val="ListParagraph"/>
        <w:numPr>
          <w:ilvl w:val="0"/>
          <w:numId w:val="22"/>
        </w:numPr>
        <w:tabs>
          <w:tab w:val="left" w:pos="1220"/>
        </w:tabs>
        <w:spacing w:before="3" w:line="273" w:lineRule="auto"/>
        <w:ind w:right="1102"/>
        <w:jc w:val="both"/>
        <w:rPr>
          <w:sz w:val="24"/>
        </w:rPr>
      </w:pPr>
      <w:r>
        <w:rPr>
          <w:sz w:val="24"/>
        </w:rPr>
        <w:t>Interacting with data generators and providers, data consumers, and external</w:t>
      </w:r>
      <w:r>
        <w:rPr>
          <w:spacing w:val="-18"/>
          <w:sz w:val="24"/>
        </w:rPr>
        <w:t xml:space="preserve"> </w:t>
      </w:r>
      <w:r>
        <w:rPr>
          <w:sz w:val="24"/>
        </w:rPr>
        <w:t>organizations concerning department QA matters, including providing training and technical assistance; and,</w:t>
      </w:r>
    </w:p>
    <w:p w:rsidR="00D35590" w:rsidRDefault="00D75DDE">
      <w:pPr>
        <w:pStyle w:val="ListParagraph"/>
        <w:numPr>
          <w:ilvl w:val="0"/>
          <w:numId w:val="22"/>
        </w:numPr>
        <w:tabs>
          <w:tab w:val="left" w:pos="1220"/>
        </w:tabs>
        <w:spacing w:before="5" w:line="271" w:lineRule="auto"/>
        <w:ind w:left="1219" w:right="794"/>
        <w:jc w:val="both"/>
        <w:rPr>
          <w:sz w:val="24"/>
        </w:rPr>
      </w:pPr>
      <w:r>
        <w:rPr>
          <w:sz w:val="24"/>
        </w:rPr>
        <w:t>Publishing the Quality of Science e-Newsletter as needed to disseminate important updates</w:t>
      </w:r>
      <w:r>
        <w:rPr>
          <w:spacing w:val="-23"/>
          <w:sz w:val="24"/>
        </w:rPr>
        <w:t xml:space="preserve"> </w:t>
      </w:r>
      <w:r>
        <w:rPr>
          <w:sz w:val="24"/>
        </w:rPr>
        <w:t>to the general scientific community regarding the QA rules and other QA</w:t>
      </w:r>
      <w:r>
        <w:rPr>
          <w:spacing w:val="-11"/>
          <w:sz w:val="24"/>
        </w:rPr>
        <w:t xml:space="preserve"> </w:t>
      </w:r>
      <w:r>
        <w:rPr>
          <w:sz w:val="24"/>
        </w:rPr>
        <w:t>matters.</w:t>
      </w:r>
    </w:p>
    <w:p w:rsidR="00D35590" w:rsidRDefault="00D35590">
      <w:pPr>
        <w:pStyle w:val="BodyText"/>
        <w:spacing w:before="5"/>
        <w:rPr>
          <w:sz w:val="21"/>
        </w:rPr>
      </w:pPr>
    </w:p>
    <w:p w:rsidR="00D35590" w:rsidRDefault="00D75DDE">
      <w:pPr>
        <w:pStyle w:val="Heading2"/>
        <w:numPr>
          <w:ilvl w:val="1"/>
          <w:numId w:val="25"/>
        </w:numPr>
        <w:tabs>
          <w:tab w:val="left" w:pos="1167"/>
          <w:tab w:val="left" w:pos="1168"/>
        </w:tabs>
        <w:ind w:hanging="577"/>
      </w:pPr>
      <w:bookmarkStart w:id="27" w:name="4.4_Duties_of_the_Water_Quality_Standard"/>
      <w:bookmarkStart w:id="28" w:name="_bookmark8"/>
      <w:bookmarkEnd w:id="27"/>
      <w:bookmarkEnd w:id="28"/>
      <w:r>
        <w:t>Duties of the Water Quality Standards Program Quality Assurance</w:t>
      </w:r>
      <w:r>
        <w:rPr>
          <w:spacing w:val="-7"/>
        </w:rPr>
        <w:t xml:space="preserve"> </w:t>
      </w:r>
      <w:r>
        <w:t>Officer</w:t>
      </w:r>
    </w:p>
    <w:p w:rsidR="00D35590" w:rsidRDefault="00D75DDE">
      <w:pPr>
        <w:pStyle w:val="BodyText"/>
        <w:spacing w:before="137"/>
        <w:ind w:left="860"/>
      </w:pPr>
      <w:r>
        <w:t>Responsibilities of the WQSP’s Quality Assurance Officer (QAO), Jessica Patronis, include:</w:t>
      </w:r>
    </w:p>
    <w:p w:rsidR="00D35590" w:rsidRDefault="00D35590">
      <w:pPr>
        <w:pStyle w:val="BodyText"/>
        <w:spacing w:before="2"/>
      </w:pPr>
    </w:p>
    <w:p w:rsidR="00D35590" w:rsidRDefault="00D75DDE">
      <w:pPr>
        <w:pStyle w:val="ListParagraph"/>
        <w:numPr>
          <w:ilvl w:val="0"/>
          <w:numId w:val="21"/>
        </w:numPr>
        <w:tabs>
          <w:tab w:val="left" w:pos="1219"/>
          <w:tab w:val="left" w:pos="1220"/>
        </w:tabs>
        <w:rPr>
          <w:sz w:val="24"/>
        </w:rPr>
      </w:pPr>
      <w:r>
        <w:rPr>
          <w:sz w:val="24"/>
        </w:rPr>
        <w:t>Conducting and/or coordinating evaluation of the quality of data used by the</w:t>
      </w:r>
      <w:r>
        <w:rPr>
          <w:spacing w:val="-8"/>
          <w:sz w:val="24"/>
        </w:rPr>
        <w:t xml:space="preserve"> </w:t>
      </w:r>
      <w:r>
        <w:rPr>
          <w:sz w:val="24"/>
        </w:rPr>
        <w:t>program;</w:t>
      </w:r>
    </w:p>
    <w:p w:rsidR="00D35590" w:rsidRDefault="00D75DDE">
      <w:pPr>
        <w:pStyle w:val="ListParagraph"/>
        <w:numPr>
          <w:ilvl w:val="0"/>
          <w:numId w:val="21"/>
        </w:numPr>
        <w:tabs>
          <w:tab w:val="left" w:pos="1219"/>
          <w:tab w:val="left" w:pos="1220"/>
        </w:tabs>
        <w:spacing w:before="42"/>
        <w:rPr>
          <w:sz w:val="24"/>
        </w:rPr>
      </w:pPr>
      <w:r>
        <w:rPr>
          <w:sz w:val="24"/>
        </w:rPr>
        <w:t>Overseeing staff performance of assigned QA</w:t>
      </w:r>
      <w:r>
        <w:rPr>
          <w:spacing w:val="-1"/>
          <w:sz w:val="24"/>
        </w:rPr>
        <w:t xml:space="preserve"> </w:t>
      </w:r>
      <w:r>
        <w:rPr>
          <w:sz w:val="24"/>
        </w:rPr>
        <w:t>functions;</w:t>
      </w:r>
    </w:p>
    <w:p w:rsidR="00D35590" w:rsidRDefault="00D75DDE">
      <w:pPr>
        <w:pStyle w:val="ListParagraph"/>
        <w:numPr>
          <w:ilvl w:val="0"/>
          <w:numId w:val="21"/>
        </w:numPr>
        <w:tabs>
          <w:tab w:val="left" w:pos="1219"/>
          <w:tab w:val="left" w:pos="1220"/>
        </w:tabs>
        <w:spacing w:before="40" w:line="271" w:lineRule="auto"/>
        <w:ind w:right="1107"/>
        <w:rPr>
          <w:sz w:val="24"/>
        </w:rPr>
      </w:pPr>
      <w:r>
        <w:rPr>
          <w:sz w:val="24"/>
        </w:rPr>
        <w:t>Conducting and/or coordinating system audits of internal and external data generators (lab and field) and sampling performance</w:t>
      </w:r>
      <w:r>
        <w:rPr>
          <w:spacing w:val="-1"/>
          <w:sz w:val="24"/>
        </w:rPr>
        <w:t xml:space="preserve"> </w:t>
      </w:r>
      <w:r>
        <w:rPr>
          <w:sz w:val="24"/>
        </w:rPr>
        <w:t>audits;</w:t>
      </w:r>
    </w:p>
    <w:p w:rsidR="00D35590" w:rsidRDefault="00D75DDE">
      <w:pPr>
        <w:pStyle w:val="ListParagraph"/>
        <w:numPr>
          <w:ilvl w:val="0"/>
          <w:numId w:val="21"/>
        </w:numPr>
        <w:tabs>
          <w:tab w:val="left" w:pos="1219"/>
          <w:tab w:val="left" w:pos="1220"/>
        </w:tabs>
        <w:spacing w:before="8" w:line="271" w:lineRule="auto"/>
        <w:ind w:right="1330"/>
        <w:rPr>
          <w:sz w:val="24"/>
        </w:rPr>
      </w:pPr>
      <w:r>
        <w:rPr>
          <w:sz w:val="24"/>
        </w:rPr>
        <w:t>Ensuring that corrective actions are implemented for data non-conformance incidents</w:t>
      </w:r>
      <w:r>
        <w:rPr>
          <w:spacing w:val="-20"/>
          <w:sz w:val="24"/>
        </w:rPr>
        <w:t xml:space="preserve"> </w:t>
      </w:r>
      <w:r>
        <w:rPr>
          <w:sz w:val="24"/>
        </w:rPr>
        <w:t>as determined by evaluation of the data used by the program against established</w:t>
      </w:r>
      <w:r>
        <w:rPr>
          <w:spacing w:val="-13"/>
          <w:sz w:val="24"/>
        </w:rPr>
        <w:t xml:space="preserve"> </w:t>
      </w:r>
      <w:r>
        <w:rPr>
          <w:sz w:val="24"/>
        </w:rPr>
        <w:t>DQOs;</w:t>
      </w:r>
    </w:p>
    <w:p w:rsidR="00D35590" w:rsidRDefault="00D75DDE">
      <w:pPr>
        <w:pStyle w:val="ListParagraph"/>
        <w:numPr>
          <w:ilvl w:val="0"/>
          <w:numId w:val="21"/>
        </w:numPr>
        <w:tabs>
          <w:tab w:val="left" w:pos="1219"/>
          <w:tab w:val="left" w:pos="1220"/>
        </w:tabs>
        <w:spacing w:before="7" w:line="273" w:lineRule="auto"/>
        <w:ind w:right="1123"/>
        <w:rPr>
          <w:sz w:val="24"/>
        </w:rPr>
      </w:pPr>
      <w:r>
        <w:rPr>
          <w:sz w:val="24"/>
        </w:rPr>
        <w:t>Assisting program managers in the development of program-specific Quality Systems and the logistical aspects of implementation, such as coordinating associated training</w:t>
      </w:r>
      <w:r>
        <w:rPr>
          <w:spacing w:val="-13"/>
          <w:sz w:val="24"/>
        </w:rPr>
        <w:t xml:space="preserve"> </w:t>
      </w:r>
      <w:r>
        <w:rPr>
          <w:sz w:val="24"/>
        </w:rPr>
        <w:t>needs;</w:t>
      </w:r>
    </w:p>
    <w:p w:rsidR="00D35590" w:rsidRDefault="00D75DDE">
      <w:pPr>
        <w:pStyle w:val="ListParagraph"/>
        <w:numPr>
          <w:ilvl w:val="0"/>
          <w:numId w:val="21"/>
        </w:numPr>
        <w:tabs>
          <w:tab w:val="left" w:pos="1219"/>
          <w:tab w:val="left" w:pos="1220"/>
        </w:tabs>
        <w:spacing w:before="3" w:line="271" w:lineRule="auto"/>
        <w:ind w:right="1208"/>
        <w:rPr>
          <w:sz w:val="24"/>
        </w:rPr>
      </w:pPr>
      <w:r>
        <w:rPr>
          <w:sz w:val="24"/>
        </w:rPr>
        <w:t>Coordinating data reviews and the documentation of all program QA activities,</w:t>
      </w:r>
      <w:r>
        <w:rPr>
          <w:spacing w:val="-18"/>
          <w:sz w:val="24"/>
        </w:rPr>
        <w:t xml:space="preserve"> </w:t>
      </w:r>
      <w:r>
        <w:rPr>
          <w:sz w:val="24"/>
        </w:rPr>
        <w:t>including training, audits and corrective actions;</w:t>
      </w:r>
      <w:r>
        <w:rPr>
          <w:spacing w:val="-2"/>
          <w:sz w:val="24"/>
        </w:rPr>
        <w:t xml:space="preserve"> </w:t>
      </w:r>
      <w:r>
        <w:rPr>
          <w:sz w:val="24"/>
        </w:rPr>
        <w:t>and</w:t>
      </w:r>
    </w:p>
    <w:p w:rsidR="00D35590" w:rsidRDefault="00D75DDE">
      <w:pPr>
        <w:pStyle w:val="ListParagraph"/>
        <w:numPr>
          <w:ilvl w:val="0"/>
          <w:numId w:val="21"/>
        </w:numPr>
        <w:tabs>
          <w:tab w:val="left" w:pos="1219"/>
          <w:tab w:val="left" w:pos="1220"/>
        </w:tabs>
        <w:spacing w:before="8"/>
        <w:rPr>
          <w:sz w:val="24"/>
        </w:rPr>
      </w:pPr>
      <w:r>
        <w:rPr>
          <w:sz w:val="24"/>
        </w:rPr>
        <w:t>Updating the Quality Plan as</w:t>
      </w:r>
      <w:r>
        <w:rPr>
          <w:spacing w:val="-2"/>
          <w:sz w:val="24"/>
        </w:rPr>
        <w:t xml:space="preserve"> </w:t>
      </w:r>
      <w:r>
        <w:rPr>
          <w:sz w:val="24"/>
        </w:rPr>
        <w:t>needed.</w:t>
      </w:r>
    </w:p>
    <w:p w:rsidR="00D35590" w:rsidRDefault="00D35590">
      <w:pPr>
        <w:pStyle w:val="BodyText"/>
        <w:spacing w:before="2"/>
      </w:pPr>
    </w:p>
    <w:p w:rsidR="00D35590" w:rsidRDefault="00D75DDE">
      <w:pPr>
        <w:pStyle w:val="Heading2"/>
        <w:numPr>
          <w:ilvl w:val="1"/>
          <w:numId w:val="25"/>
        </w:numPr>
        <w:tabs>
          <w:tab w:val="left" w:pos="1167"/>
          <w:tab w:val="left" w:pos="1168"/>
        </w:tabs>
        <w:ind w:hanging="577"/>
      </w:pPr>
      <w:bookmarkStart w:id="29" w:name="4.5_Support_Activities_for_Sampling_(bot"/>
      <w:bookmarkStart w:id="30" w:name="_bookmark9"/>
      <w:bookmarkEnd w:id="29"/>
      <w:bookmarkEnd w:id="30"/>
      <w:r>
        <w:t>Support Activities for Sampling (both sections of</w:t>
      </w:r>
      <w:r>
        <w:rPr>
          <w:spacing w:val="-8"/>
        </w:rPr>
        <w:t xml:space="preserve"> </w:t>
      </w:r>
      <w:r>
        <w:t>WQSP)</w:t>
      </w:r>
    </w:p>
    <w:p w:rsidR="00D35590" w:rsidRDefault="00D75DDE">
      <w:pPr>
        <w:pStyle w:val="BodyText"/>
        <w:spacing w:before="137"/>
        <w:ind w:left="860" w:right="995"/>
      </w:pPr>
      <w:r>
        <w:t>WQSP staff perform many activities in support of sampling efforts for department projects and programs (staff responsibilities are as indicated):</w:t>
      </w:r>
    </w:p>
    <w:p w:rsidR="00D35590" w:rsidRDefault="00D35590">
      <w:pPr>
        <w:pStyle w:val="BodyText"/>
        <w:spacing w:before="2"/>
      </w:pPr>
    </w:p>
    <w:p w:rsidR="00D35590" w:rsidRDefault="00D75DDE">
      <w:pPr>
        <w:pStyle w:val="ListParagraph"/>
        <w:numPr>
          <w:ilvl w:val="0"/>
          <w:numId w:val="20"/>
        </w:numPr>
        <w:tabs>
          <w:tab w:val="left" w:pos="1219"/>
          <w:tab w:val="left" w:pos="1220"/>
        </w:tabs>
        <w:spacing w:line="273" w:lineRule="auto"/>
        <w:ind w:right="1296"/>
        <w:rPr>
          <w:sz w:val="24"/>
        </w:rPr>
      </w:pPr>
      <w:r>
        <w:rPr>
          <w:sz w:val="24"/>
        </w:rPr>
        <w:t>Design sampling plans to meet project- and program-specific needs (Kaitlyn Sutton, Joy Jackson, Grover Payne, Sarah Noble, and Ashley</w:t>
      </w:r>
      <w:r>
        <w:rPr>
          <w:spacing w:val="2"/>
          <w:sz w:val="24"/>
        </w:rPr>
        <w:t xml:space="preserve"> </w:t>
      </w:r>
      <w:r>
        <w:rPr>
          <w:sz w:val="24"/>
        </w:rPr>
        <w:t>O’Neal);</w:t>
      </w:r>
    </w:p>
    <w:p w:rsidR="00D35590" w:rsidRDefault="00D75DDE">
      <w:pPr>
        <w:pStyle w:val="ListParagraph"/>
        <w:numPr>
          <w:ilvl w:val="0"/>
          <w:numId w:val="20"/>
        </w:numPr>
        <w:tabs>
          <w:tab w:val="left" w:pos="1219"/>
          <w:tab w:val="left" w:pos="1220"/>
        </w:tabs>
        <w:spacing w:before="3"/>
        <w:rPr>
          <w:sz w:val="24"/>
        </w:rPr>
      </w:pPr>
      <w:r>
        <w:rPr>
          <w:sz w:val="24"/>
        </w:rPr>
        <w:t>Prepare QA plans and SOPs (Sarah Noble, Ashley O’Neal, Joy Jackson, Kristen</w:t>
      </w:r>
      <w:r>
        <w:rPr>
          <w:spacing w:val="-7"/>
          <w:sz w:val="24"/>
        </w:rPr>
        <w:t xml:space="preserve"> </w:t>
      </w:r>
      <w:r>
        <w:rPr>
          <w:sz w:val="24"/>
        </w:rPr>
        <w:t>Sapp,</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1220"/>
      </w:pPr>
      <w:r>
        <w:lastRenderedPageBreak/>
        <w:t>Jessica Patronis, and Jennifer Piacente);</w:t>
      </w:r>
    </w:p>
    <w:p w:rsidR="00D35590" w:rsidRDefault="00D75DDE">
      <w:pPr>
        <w:pStyle w:val="ListParagraph"/>
        <w:numPr>
          <w:ilvl w:val="0"/>
          <w:numId w:val="20"/>
        </w:numPr>
        <w:tabs>
          <w:tab w:val="left" w:pos="1219"/>
          <w:tab w:val="left" w:pos="1220"/>
        </w:tabs>
        <w:spacing w:before="43" w:line="273" w:lineRule="auto"/>
        <w:ind w:right="1035"/>
        <w:rPr>
          <w:sz w:val="24"/>
        </w:rPr>
      </w:pPr>
      <w:r>
        <w:rPr>
          <w:sz w:val="24"/>
        </w:rPr>
        <w:t>Review procedures and methods for compliance with QA plans and requirements (Sarah Noble, Joy Jackson, Ashley O’Neal, Kristen Sapp, Jessica Patronis, and Jennifer</w:t>
      </w:r>
      <w:r>
        <w:rPr>
          <w:spacing w:val="-21"/>
          <w:sz w:val="24"/>
        </w:rPr>
        <w:t xml:space="preserve"> </w:t>
      </w:r>
      <w:r>
        <w:rPr>
          <w:sz w:val="24"/>
        </w:rPr>
        <w:t>Piacente);</w:t>
      </w:r>
    </w:p>
    <w:p w:rsidR="00D35590" w:rsidRDefault="00D75DDE">
      <w:pPr>
        <w:pStyle w:val="ListParagraph"/>
        <w:numPr>
          <w:ilvl w:val="0"/>
          <w:numId w:val="20"/>
        </w:numPr>
        <w:tabs>
          <w:tab w:val="left" w:pos="1219"/>
          <w:tab w:val="left" w:pos="1220"/>
        </w:tabs>
        <w:spacing w:before="3" w:line="273" w:lineRule="auto"/>
        <w:ind w:right="1049"/>
        <w:rPr>
          <w:sz w:val="24"/>
        </w:rPr>
      </w:pPr>
      <w:r>
        <w:rPr>
          <w:sz w:val="24"/>
        </w:rPr>
        <w:t>Provide guidance for and process requests for use of alternative or modified sampling procedures according to requirements in Chapter 62-160.220, F.A.C. (Sarah Noble,</w:t>
      </w:r>
      <w:r>
        <w:rPr>
          <w:spacing w:val="-18"/>
          <w:sz w:val="24"/>
        </w:rPr>
        <w:t xml:space="preserve"> </w:t>
      </w:r>
      <w:r>
        <w:rPr>
          <w:sz w:val="24"/>
        </w:rPr>
        <w:t>Jessica Patronis, Kristen Sapp, and Jennifer</w:t>
      </w:r>
      <w:r>
        <w:rPr>
          <w:spacing w:val="-2"/>
          <w:sz w:val="24"/>
        </w:rPr>
        <w:t xml:space="preserve"> </w:t>
      </w:r>
      <w:r>
        <w:rPr>
          <w:sz w:val="24"/>
        </w:rPr>
        <w:t>Piacente);</w:t>
      </w:r>
    </w:p>
    <w:p w:rsidR="00D35590" w:rsidRDefault="00D75DDE">
      <w:pPr>
        <w:pStyle w:val="ListParagraph"/>
        <w:numPr>
          <w:ilvl w:val="0"/>
          <w:numId w:val="20"/>
        </w:numPr>
        <w:tabs>
          <w:tab w:val="left" w:pos="1219"/>
          <w:tab w:val="left" w:pos="1220"/>
        </w:tabs>
        <w:spacing w:before="5" w:line="273" w:lineRule="auto"/>
        <w:ind w:right="862"/>
        <w:rPr>
          <w:sz w:val="24"/>
        </w:rPr>
      </w:pPr>
      <w:r>
        <w:rPr>
          <w:sz w:val="24"/>
        </w:rPr>
        <w:t>Answer public or external technical inquiries about data interpretation, approved</w:t>
      </w:r>
      <w:r>
        <w:rPr>
          <w:spacing w:val="-18"/>
          <w:sz w:val="24"/>
        </w:rPr>
        <w:t xml:space="preserve"> </w:t>
      </w:r>
      <w:r>
        <w:rPr>
          <w:sz w:val="24"/>
        </w:rPr>
        <w:t>procedures, suspected QA problems, site-specific issues, etc. (Sarah Noble, Kristen Sapp, Jessica Patronis, Joy Jackson, Ashley O’Neal, and Jennifer</w:t>
      </w:r>
      <w:r>
        <w:rPr>
          <w:spacing w:val="-3"/>
          <w:sz w:val="24"/>
        </w:rPr>
        <w:t xml:space="preserve"> </w:t>
      </w:r>
      <w:r>
        <w:rPr>
          <w:sz w:val="24"/>
        </w:rPr>
        <w:t>Piacente)</w:t>
      </w:r>
    </w:p>
    <w:p w:rsidR="00D35590" w:rsidRDefault="00D75DDE">
      <w:pPr>
        <w:pStyle w:val="ListParagraph"/>
        <w:numPr>
          <w:ilvl w:val="0"/>
          <w:numId w:val="20"/>
        </w:numPr>
        <w:tabs>
          <w:tab w:val="left" w:pos="1219"/>
          <w:tab w:val="left" w:pos="1220"/>
        </w:tabs>
        <w:spacing w:before="5" w:line="271" w:lineRule="auto"/>
        <w:ind w:right="974"/>
        <w:rPr>
          <w:sz w:val="24"/>
        </w:rPr>
      </w:pPr>
      <w:r>
        <w:rPr>
          <w:sz w:val="24"/>
        </w:rPr>
        <w:t>Manage WQSP field sampling, field-testing and associated support operations (Joy</w:t>
      </w:r>
      <w:r>
        <w:rPr>
          <w:spacing w:val="-19"/>
          <w:sz w:val="24"/>
        </w:rPr>
        <w:t xml:space="preserve"> </w:t>
      </w:r>
      <w:r>
        <w:rPr>
          <w:sz w:val="24"/>
        </w:rPr>
        <w:t>Jackson and Sarah</w:t>
      </w:r>
      <w:r>
        <w:rPr>
          <w:spacing w:val="-1"/>
          <w:sz w:val="24"/>
        </w:rPr>
        <w:t xml:space="preserve"> </w:t>
      </w:r>
      <w:r>
        <w:rPr>
          <w:sz w:val="24"/>
        </w:rPr>
        <w:t>Noble);</w:t>
      </w:r>
    </w:p>
    <w:p w:rsidR="00D35590" w:rsidRDefault="00D75DDE">
      <w:pPr>
        <w:pStyle w:val="ListParagraph"/>
        <w:numPr>
          <w:ilvl w:val="0"/>
          <w:numId w:val="20"/>
        </w:numPr>
        <w:tabs>
          <w:tab w:val="left" w:pos="1219"/>
          <w:tab w:val="left" w:pos="1220"/>
        </w:tabs>
        <w:spacing w:before="6" w:line="273" w:lineRule="auto"/>
        <w:ind w:right="821"/>
        <w:rPr>
          <w:sz w:val="24"/>
        </w:rPr>
      </w:pPr>
      <w:r>
        <w:rPr>
          <w:sz w:val="24"/>
        </w:rPr>
        <w:t>Conduct field sampling, field-testing and associated support operations (Joy Jackson,</w:t>
      </w:r>
      <w:r>
        <w:rPr>
          <w:spacing w:val="-18"/>
          <w:sz w:val="24"/>
        </w:rPr>
        <w:t xml:space="preserve"> </w:t>
      </w:r>
      <w:r>
        <w:rPr>
          <w:sz w:val="24"/>
        </w:rPr>
        <w:t>Kaitlyn Sutton, Ashley O’Neal, Kristen Sapp, Jessica Patronis, Jennifer Piacente, and Sarah</w:t>
      </w:r>
      <w:r>
        <w:rPr>
          <w:spacing w:val="-17"/>
          <w:sz w:val="24"/>
        </w:rPr>
        <w:t xml:space="preserve"> </w:t>
      </w:r>
      <w:r>
        <w:rPr>
          <w:sz w:val="24"/>
        </w:rPr>
        <w:t>Noble);</w:t>
      </w:r>
    </w:p>
    <w:p w:rsidR="00D35590" w:rsidRDefault="00D75DDE">
      <w:pPr>
        <w:pStyle w:val="ListParagraph"/>
        <w:numPr>
          <w:ilvl w:val="0"/>
          <w:numId w:val="20"/>
        </w:numPr>
        <w:tabs>
          <w:tab w:val="left" w:pos="1219"/>
          <w:tab w:val="left" w:pos="1220"/>
        </w:tabs>
        <w:spacing w:before="3" w:line="271" w:lineRule="auto"/>
        <w:ind w:right="1269"/>
        <w:rPr>
          <w:sz w:val="24"/>
        </w:rPr>
      </w:pPr>
      <w:r>
        <w:rPr>
          <w:sz w:val="24"/>
        </w:rPr>
        <w:t xml:space="preserve">Review </w:t>
      </w:r>
      <w:proofErr w:type="spellStart"/>
      <w:r>
        <w:rPr>
          <w:sz w:val="24"/>
        </w:rPr>
        <w:t>Ecosummary</w:t>
      </w:r>
      <w:proofErr w:type="spellEnd"/>
      <w:r>
        <w:rPr>
          <w:sz w:val="24"/>
        </w:rPr>
        <w:t xml:space="preserve"> reports written by department Regional Operations Centers</w:t>
      </w:r>
      <w:r>
        <w:rPr>
          <w:spacing w:val="-22"/>
          <w:sz w:val="24"/>
        </w:rPr>
        <w:t xml:space="preserve"> </w:t>
      </w:r>
      <w:r>
        <w:rPr>
          <w:sz w:val="24"/>
        </w:rPr>
        <w:t>(ROC) samplers (Joy Jackson, Sarah Noble, and Ashley</w:t>
      </w:r>
      <w:r>
        <w:rPr>
          <w:spacing w:val="2"/>
          <w:sz w:val="24"/>
        </w:rPr>
        <w:t xml:space="preserve"> </w:t>
      </w:r>
      <w:r>
        <w:rPr>
          <w:sz w:val="24"/>
        </w:rPr>
        <w:t>O’Neal);</w:t>
      </w:r>
    </w:p>
    <w:p w:rsidR="00D35590" w:rsidRDefault="00D75DDE">
      <w:pPr>
        <w:pStyle w:val="ListParagraph"/>
        <w:numPr>
          <w:ilvl w:val="0"/>
          <w:numId w:val="20"/>
        </w:numPr>
        <w:tabs>
          <w:tab w:val="left" w:pos="1219"/>
          <w:tab w:val="left" w:pos="1220"/>
        </w:tabs>
        <w:spacing w:before="9" w:line="271" w:lineRule="auto"/>
        <w:ind w:right="1258"/>
        <w:rPr>
          <w:sz w:val="24"/>
        </w:rPr>
      </w:pPr>
      <w:r>
        <w:rPr>
          <w:sz w:val="24"/>
        </w:rPr>
        <w:t>Conduct aquatic and wetland plant identifications and verifications for other DEAR</w:t>
      </w:r>
      <w:r>
        <w:rPr>
          <w:spacing w:val="-23"/>
          <w:sz w:val="24"/>
        </w:rPr>
        <w:t xml:space="preserve"> </w:t>
      </w:r>
      <w:r>
        <w:rPr>
          <w:sz w:val="24"/>
        </w:rPr>
        <w:t>staff (Ashley O’Neal and Sarah</w:t>
      </w:r>
      <w:r>
        <w:rPr>
          <w:spacing w:val="-1"/>
          <w:sz w:val="24"/>
        </w:rPr>
        <w:t xml:space="preserve"> </w:t>
      </w:r>
      <w:r>
        <w:rPr>
          <w:sz w:val="24"/>
        </w:rPr>
        <w:t>Noble).</w:t>
      </w:r>
    </w:p>
    <w:p w:rsidR="00D35590" w:rsidRDefault="00D35590">
      <w:pPr>
        <w:pStyle w:val="BodyText"/>
        <w:spacing w:before="5"/>
        <w:rPr>
          <w:sz w:val="21"/>
        </w:rPr>
      </w:pPr>
    </w:p>
    <w:p w:rsidR="00D35590" w:rsidRDefault="00D75DDE">
      <w:pPr>
        <w:pStyle w:val="Heading2"/>
        <w:numPr>
          <w:ilvl w:val="1"/>
          <w:numId w:val="25"/>
        </w:numPr>
        <w:tabs>
          <w:tab w:val="left" w:pos="1167"/>
          <w:tab w:val="left" w:pos="1168"/>
        </w:tabs>
        <w:ind w:hanging="577"/>
      </w:pPr>
      <w:bookmarkStart w:id="31" w:name="4.6_Support_Activities_for_Laboratory_An"/>
      <w:bookmarkStart w:id="32" w:name="_bookmark10"/>
      <w:bookmarkEnd w:id="31"/>
      <w:bookmarkEnd w:id="32"/>
      <w:r>
        <w:t>Support Activities for Laboratory</w:t>
      </w:r>
      <w:r>
        <w:rPr>
          <w:spacing w:val="-3"/>
        </w:rPr>
        <w:t xml:space="preserve"> </w:t>
      </w:r>
      <w:r>
        <w:t>Analysis</w:t>
      </w:r>
    </w:p>
    <w:p w:rsidR="00D35590" w:rsidRDefault="00D75DDE">
      <w:pPr>
        <w:pStyle w:val="BodyText"/>
        <w:spacing w:before="137"/>
        <w:ind w:left="140" w:right="768"/>
      </w:pPr>
      <w:r>
        <w:t>WQSP staff provide guidance for and process requests for use of alternative or modified lab methods according to requirements in Rule 62-160.330, F.A.C. (Sarah Noble, Kristen Sapp, and Jessica Patronis).</w:t>
      </w:r>
    </w:p>
    <w:p w:rsidR="00D35590" w:rsidRDefault="00D75DDE">
      <w:pPr>
        <w:pStyle w:val="ListParagraph"/>
        <w:numPr>
          <w:ilvl w:val="0"/>
          <w:numId w:val="19"/>
        </w:numPr>
        <w:tabs>
          <w:tab w:val="left" w:pos="1219"/>
          <w:tab w:val="left" w:pos="1220"/>
        </w:tabs>
        <w:spacing w:before="2" w:line="276" w:lineRule="auto"/>
        <w:ind w:right="935"/>
        <w:rPr>
          <w:sz w:val="24"/>
        </w:rPr>
      </w:pPr>
      <w:r>
        <w:rPr>
          <w:sz w:val="24"/>
        </w:rPr>
        <w:t>WQSP staff routinely review laboratory data at the request of other departments and</w:t>
      </w:r>
      <w:r>
        <w:rPr>
          <w:spacing w:val="-20"/>
          <w:sz w:val="24"/>
        </w:rPr>
        <w:t xml:space="preserve"> </w:t>
      </w:r>
      <w:r>
        <w:rPr>
          <w:sz w:val="24"/>
        </w:rPr>
        <w:t>outside agencies. Data are reviewed for adherence to the provisions of the QA rule and the Data Usability document, DEP-EA 001/07, to determine the usability for specific purposes, or to give an overview of the quality and defensibility of the data (Kristen Sapp, Jessica Patronis, Jennifer Piacente, Sarah Noble, Joy Jackson).</w:t>
      </w:r>
    </w:p>
    <w:p w:rsidR="00D35590" w:rsidRDefault="00D75DDE">
      <w:pPr>
        <w:pStyle w:val="ListParagraph"/>
        <w:numPr>
          <w:ilvl w:val="0"/>
          <w:numId w:val="19"/>
        </w:numPr>
        <w:tabs>
          <w:tab w:val="left" w:pos="1219"/>
          <w:tab w:val="left" w:pos="1220"/>
        </w:tabs>
        <w:spacing w:line="273" w:lineRule="auto"/>
        <w:ind w:right="1008"/>
        <w:rPr>
          <w:sz w:val="24"/>
        </w:rPr>
      </w:pPr>
      <w:r>
        <w:rPr>
          <w:sz w:val="24"/>
        </w:rPr>
        <w:t>Additionally, Ashley O’Neal, Joy Jackson, Sarah Noble, Kristen Sapp, Jessica Patronis, Jennifer Piacente, Kaitlyn Sutton, Talia Smith, and Grover Payne answer public or external technical inquiries about data interpretation, approved procedures, suspected QA</w:t>
      </w:r>
      <w:r>
        <w:rPr>
          <w:spacing w:val="-17"/>
          <w:sz w:val="24"/>
        </w:rPr>
        <w:t xml:space="preserve"> </w:t>
      </w:r>
      <w:r>
        <w:rPr>
          <w:sz w:val="24"/>
        </w:rPr>
        <w:t>problems, site-specific issues,</w:t>
      </w:r>
      <w:r>
        <w:rPr>
          <w:spacing w:val="-2"/>
          <w:sz w:val="24"/>
        </w:rPr>
        <w:t xml:space="preserve"> </w:t>
      </w:r>
      <w:r>
        <w:rPr>
          <w:sz w:val="24"/>
        </w:rPr>
        <w:t>etc.</w:t>
      </w:r>
    </w:p>
    <w:p w:rsidR="00D35590" w:rsidRDefault="00D75DDE">
      <w:pPr>
        <w:pStyle w:val="ListParagraph"/>
        <w:numPr>
          <w:ilvl w:val="0"/>
          <w:numId w:val="19"/>
        </w:numPr>
        <w:tabs>
          <w:tab w:val="left" w:pos="1219"/>
          <w:tab w:val="left" w:pos="1220"/>
        </w:tabs>
        <w:spacing w:before="3" w:line="276" w:lineRule="auto"/>
        <w:ind w:right="1004"/>
        <w:rPr>
          <w:sz w:val="24"/>
        </w:rPr>
      </w:pPr>
      <w:r>
        <w:rPr>
          <w:sz w:val="24"/>
        </w:rPr>
        <w:t>Our unit’s management, Daryll Joyner, Sarah Noble, and Kaitlyn Sutton, ensure that the WQSP quality system is fully operational for all activities within our program. Jessica Patronis has been designated as our Quality Assurance Officer. These individuals also evaluate the Data Quality Objectives and Data Quality Indicators found in Appendix A to ensure they meet our program’s needs, and periodically evaluate the effectiveness of</w:t>
      </w:r>
      <w:r>
        <w:rPr>
          <w:spacing w:val="-20"/>
          <w:sz w:val="24"/>
        </w:rPr>
        <w:t xml:space="preserve"> </w:t>
      </w:r>
      <w:r>
        <w:rPr>
          <w:sz w:val="24"/>
        </w:rPr>
        <w:t>staff’s data quality assurance activities, including reviewing internal audit results. They evaluate corrective action policies and procedures to be implemented when data do not meet our established program DQOs. Our managers discuss audit results with the QAO and review the annual QA Report to the</w:t>
      </w:r>
      <w:r>
        <w:rPr>
          <w:spacing w:val="-4"/>
          <w:sz w:val="24"/>
        </w:rPr>
        <w:t xml:space="preserve"> </w:t>
      </w:r>
      <w:r>
        <w:rPr>
          <w:sz w:val="24"/>
        </w:rPr>
        <w:t>Secretary.</w:t>
      </w:r>
    </w:p>
    <w:p w:rsidR="00D35590" w:rsidRDefault="00D75DDE">
      <w:pPr>
        <w:pStyle w:val="Heading1"/>
        <w:numPr>
          <w:ilvl w:val="0"/>
          <w:numId w:val="25"/>
        </w:numPr>
        <w:tabs>
          <w:tab w:val="left" w:pos="680"/>
        </w:tabs>
        <w:spacing w:line="319" w:lineRule="exact"/>
      </w:pPr>
      <w:bookmarkStart w:id="33" w:name="5._Training"/>
      <w:bookmarkStart w:id="34" w:name="_bookmark11"/>
      <w:bookmarkEnd w:id="33"/>
      <w:bookmarkEnd w:id="34"/>
      <w:r>
        <w:t>Training</w:t>
      </w:r>
    </w:p>
    <w:p w:rsidR="00D35590" w:rsidRDefault="00D35590">
      <w:pPr>
        <w:spacing w:line="319" w:lineRule="exact"/>
        <w:sectPr w:rsidR="00D35590">
          <w:pgSz w:w="12240" w:h="15840"/>
          <w:pgMar w:top="1360" w:right="300" w:bottom="880" w:left="940" w:header="0" w:footer="619" w:gutter="0"/>
          <w:cols w:space="720"/>
        </w:sectPr>
      </w:pPr>
    </w:p>
    <w:p w:rsidR="00D35590" w:rsidRDefault="00D35590">
      <w:pPr>
        <w:pStyle w:val="BodyText"/>
        <w:spacing w:before="10"/>
        <w:rPr>
          <w:b/>
          <w:sz w:val="10"/>
        </w:rPr>
      </w:pPr>
    </w:p>
    <w:p w:rsidR="00D35590" w:rsidRDefault="00D75DDE">
      <w:pPr>
        <w:pStyle w:val="BodyText"/>
        <w:spacing w:before="90"/>
        <w:ind w:left="140" w:right="849"/>
      </w:pPr>
      <w:r>
        <w:t>WQSP personnel shall be properly trained to perform their duties. Supervisors periodically assess</w:t>
      </w:r>
      <w:bookmarkStart w:id="35" w:name="5.1_Internal_Training_Procedures"/>
      <w:bookmarkStart w:id="36" w:name="_bookmark12"/>
      <w:bookmarkEnd w:id="35"/>
      <w:bookmarkEnd w:id="36"/>
      <w:r>
        <w:t xml:space="preserve"> whether our staff performance conforms with the policies and procedures of our work unit.</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r>
        <w:t>Internal Training</w:t>
      </w:r>
      <w:r>
        <w:rPr>
          <w:spacing w:val="-1"/>
        </w:rPr>
        <w:t xml:space="preserve"> </w:t>
      </w:r>
      <w:r>
        <w:t>Procedures</w:t>
      </w:r>
    </w:p>
    <w:p w:rsidR="00D35590" w:rsidRDefault="00D75DDE">
      <w:pPr>
        <w:pStyle w:val="BodyText"/>
        <w:spacing w:before="137"/>
        <w:ind w:left="860" w:right="1089"/>
      </w:pPr>
      <w:r>
        <w:t>Ensuring all new WQSP field staff are familiar with the QA Rule requirements and the details involved with department SOPs includes the following tasks:</w:t>
      </w:r>
    </w:p>
    <w:p w:rsidR="00D35590" w:rsidRDefault="00D35590">
      <w:pPr>
        <w:pStyle w:val="BodyText"/>
      </w:pPr>
    </w:p>
    <w:p w:rsidR="00D35590" w:rsidRDefault="00D75DDE">
      <w:pPr>
        <w:pStyle w:val="ListParagraph"/>
        <w:numPr>
          <w:ilvl w:val="2"/>
          <w:numId w:val="18"/>
        </w:numPr>
        <w:tabs>
          <w:tab w:val="left" w:pos="859"/>
          <w:tab w:val="left" w:pos="860"/>
        </w:tabs>
        <w:ind w:right="939"/>
        <w:rPr>
          <w:sz w:val="24"/>
        </w:rPr>
      </w:pPr>
      <w:bookmarkStart w:id="37" w:name="5.1.1_Staff_must_complete_the_appropriat"/>
      <w:bookmarkEnd w:id="37"/>
      <w:r>
        <w:rPr>
          <w:sz w:val="24"/>
        </w:rPr>
        <w:t>Staff must complete the appropriate environmental sampling training program for the job duties assigned.</w:t>
      </w:r>
    </w:p>
    <w:p w:rsidR="00D35590" w:rsidRDefault="00D35590">
      <w:pPr>
        <w:pStyle w:val="BodyText"/>
        <w:spacing w:before="10"/>
        <w:rPr>
          <w:sz w:val="20"/>
        </w:rPr>
      </w:pPr>
    </w:p>
    <w:p w:rsidR="00D35590" w:rsidRDefault="00D75DDE">
      <w:pPr>
        <w:pStyle w:val="ListParagraph"/>
        <w:numPr>
          <w:ilvl w:val="3"/>
          <w:numId w:val="18"/>
        </w:numPr>
        <w:tabs>
          <w:tab w:val="left" w:pos="1580"/>
        </w:tabs>
        <w:ind w:right="830"/>
        <w:rPr>
          <w:sz w:val="24"/>
        </w:rPr>
      </w:pPr>
      <w:r>
        <w:rPr>
          <w:sz w:val="24"/>
        </w:rPr>
        <w:t>For general and water sampling, the appropriate training is the</w:t>
      </w:r>
      <w:r>
        <w:rPr>
          <w:color w:val="0000FF"/>
          <w:sz w:val="24"/>
        </w:rPr>
        <w:t xml:space="preserve"> </w:t>
      </w:r>
      <w:hyperlink r:id="rId23">
        <w:r>
          <w:rPr>
            <w:color w:val="0000FF"/>
            <w:sz w:val="24"/>
            <w:u w:val="single" w:color="0000FF"/>
          </w:rPr>
          <w:t>DEAR Water Quality</w:t>
        </w:r>
      </w:hyperlink>
      <w:hyperlink r:id="rId24">
        <w:r>
          <w:rPr>
            <w:color w:val="0000FF"/>
            <w:sz w:val="24"/>
            <w:u w:val="single" w:color="0000FF"/>
          </w:rPr>
          <w:t xml:space="preserve"> Sampling Training</w:t>
        </w:r>
      </w:hyperlink>
      <w:r>
        <w:rPr>
          <w:sz w:val="24"/>
        </w:rPr>
        <w:t>. The link to this training program is an internal SharePoint site and not available to the public. Staff must take and pass the SOP tests pertinent to their sampling and training duties, initially and once every 3 years as a refresher. Additionally, samplers should read and follow the</w:t>
      </w:r>
      <w:hyperlink r:id="rId25">
        <w:r>
          <w:rPr>
            <w:color w:val="0000FF"/>
            <w:sz w:val="24"/>
          </w:rPr>
          <w:t xml:space="preserve"> </w:t>
        </w:r>
        <w:r>
          <w:rPr>
            <w:color w:val="0000FF"/>
            <w:sz w:val="24"/>
            <w:u w:val="single" w:color="0000FF"/>
          </w:rPr>
          <w:t>Field Safety Manual</w:t>
        </w:r>
        <w:r>
          <w:rPr>
            <w:color w:val="0000FF"/>
            <w:sz w:val="24"/>
          </w:rPr>
          <w:t xml:space="preserve"> </w:t>
        </w:r>
      </w:hyperlink>
      <w:r>
        <w:rPr>
          <w:sz w:val="24"/>
        </w:rPr>
        <w:t>and pass the accompanying quiz located on the People First Learning Management System</w:t>
      </w:r>
      <w:r>
        <w:rPr>
          <w:spacing w:val="-6"/>
          <w:sz w:val="24"/>
        </w:rPr>
        <w:t xml:space="preserve"> </w:t>
      </w:r>
      <w:r>
        <w:rPr>
          <w:sz w:val="24"/>
        </w:rPr>
        <w:t>(LMS).</w:t>
      </w:r>
    </w:p>
    <w:p w:rsidR="00D35590" w:rsidRDefault="00D75DDE">
      <w:pPr>
        <w:pStyle w:val="ListParagraph"/>
        <w:numPr>
          <w:ilvl w:val="3"/>
          <w:numId w:val="18"/>
        </w:numPr>
        <w:tabs>
          <w:tab w:val="left" w:pos="1580"/>
        </w:tabs>
        <w:ind w:left="1579" w:right="1266"/>
        <w:rPr>
          <w:sz w:val="24"/>
        </w:rPr>
      </w:pPr>
      <w:r>
        <w:rPr>
          <w:sz w:val="24"/>
        </w:rPr>
        <w:t>For bioassessments, requirements consist of hands-on training at Bear Creek on SCI, Linear Vegetation Survey (LVS), and RPS, and completion of the Stream Condition Index and Habitat Assessment (SCI/HA) apprenticeship program, as detailed in DEP SOPs BRN 1000, SCI 1000 and FA 1000 (Part FA 5720, HA training). See Table 1, below.</w:t>
      </w:r>
    </w:p>
    <w:p w:rsidR="00D35590" w:rsidRDefault="00D75DDE">
      <w:pPr>
        <w:pStyle w:val="ListParagraph"/>
        <w:numPr>
          <w:ilvl w:val="3"/>
          <w:numId w:val="18"/>
        </w:numPr>
        <w:tabs>
          <w:tab w:val="left" w:pos="1580"/>
        </w:tabs>
        <w:ind w:left="1579" w:right="1105"/>
        <w:rPr>
          <w:sz w:val="24"/>
        </w:rPr>
      </w:pPr>
      <w:r>
        <w:rPr>
          <w:sz w:val="24"/>
        </w:rPr>
        <w:t>For the Lake Vegetation Index, training includes attending plant identification workshops, participating in field training and team proficiency testing, and passing the</w:t>
      </w:r>
      <w:bookmarkStart w:id="38" w:name="5.1.2_Staff_will_be_trained_for_specific"/>
      <w:bookmarkEnd w:id="38"/>
      <w:r>
        <w:rPr>
          <w:sz w:val="24"/>
        </w:rPr>
        <w:t xml:space="preserve"> on-line plant test (for applicable staff) as detailed in LVI 1000. See Table 1,</w:t>
      </w:r>
      <w:r>
        <w:rPr>
          <w:spacing w:val="-16"/>
          <w:sz w:val="24"/>
        </w:rPr>
        <w:t xml:space="preserve"> </w:t>
      </w:r>
      <w:r>
        <w:rPr>
          <w:sz w:val="24"/>
        </w:rPr>
        <w:t>below.</w:t>
      </w:r>
    </w:p>
    <w:p w:rsidR="00D35590" w:rsidRDefault="00D75DDE">
      <w:pPr>
        <w:pStyle w:val="ListParagraph"/>
        <w:numPr>
          <w:ilvl w:val="2"/>
          <w:numId w:val="18"/>
        </w:numPr>
        <w:tabs>
          <w:tab w:val="left" w:pos="859"/>
          <w:tab w:val="left" w:pos="860"/>
        </w:tabs>
        <w:ind w:left="859" w:right="888"/>
        <w:rPr>
          <w:sz w:val="24"/>
        </w:rPr>
      </w:pPr>
      <w:r>
        <w:rPr>
          <w:sz w:val="24"/>
        </w:rPr>
        <w:t>Staff will be trained for specific QA functions, including performing audits and data</w:t>
      </w:r>
      <w:r>
        <w:rPr>
          <w:spacing w:val="-23"/>
          <w:sz w:val="24"/>
        </w:rPr>
        <w:t xml:space="preserve"> </w:t>
      </w:r>
      <w:r>
        <w:rPr>
          <w:sz w:val="24"/>
        </w:rPr>
        <w:t>verification and validation projects. This is done for appropriate staff via meetings and hands-on</w:t>
      </w:r>
      <w:r>
        <w:rPr>
          <w:spacing w:val="-14"/>
          <w:sz w:val="24"/>
        </w:rPr>
        <w:t xml:space="preserve"> </w:t>
      </w:r>
      <w:r>
        <w:rPr>
          <w:sz w:val="24"/>
        </w:rPr>
        <w:t>training.</w:t>
      </w:r>
    </w:p>
    <w:p w:rsidR="00D35590" w:rsidRDefault="00D35590">
      <w:pPr>
        <w:pStyle w:val="BodyText"/>
        <w:spacing w:before="10"/>
        <w:rPr>
          <w:sz w:val="20"/>
        </w:rPr>
      </w:pPr>
    </w:p>
    <w:p w:rsidR="00D35590" w:rsidRDefault="00D75DDE">
      <w:pPr>
        <w:pStyle w:val="ListParagraph"/>
        <w:numPr>
          <w:ilvl w:val="3"/>
          <w:numId w:val="18"/>
        </w:numPr>
        <w:tabs>
          <w:tab w:val="left" w:pos="1580"/>
        </w:tabs>
        <w:ind w:left="1579" w:right="989"/>
        <w:rPr>
          <w:sz w:val="24"/>
        </w:rPr>
      </w:pPr>
      <w:r>
        <w:rPr>
          <w:sz w:val="24"/>
        </w:rPr>
        <w:t>Staff responsible for supporting the program’s QA functions must read materials</w:t>
      </w:r>
      <w:r>
        <w:rPr>
          <w:spacing w:val="-20"/>
          <w:sz w:val="24"/>
        </w:rPr>
        <w:t xml:space="preserve"> </w:t>
      </w:r>
      <w:r>
        <w:rPr>
          <w:sz w:val="24"/>
        </w:rPr>
        <w:t>posted on the</w:t>
      </w:r>
      <w:r>
        <w:rPr>
          <w:color w:val="0000FF"/>
          <w:sz w:val="24"/>
        </w:rPr>
        <w:t xml:space="preserve"> </w:t>
      </w:r>
      <w:hyperlink r:id="rId26">
        <w:r>
          <w:rPr>
            <w:color w:val="0000FF"/>
            <w:sz w:val="24"/>
            <w:u w:val="single" w:color="0000FF"/>
          </w:rPr>
          <w:t>QA Resources page</w:t>
        </w:r>
        <w:r>
          <w:rPr>
            <w:color w:val="0000FF"/>
            <w:sz w:val="24"/>
          </w:rPr>
          <w:t xml:space="preserve"> </w:t>
        </w:r>
      </w:hyperlink>
      <w:r>
        <w:rPr>
          <w:sz w:val="24"/>
        </w:rPr>
        <w:t>on the QA website and become familiar with those topics applicable to their assigned</w:t>
      </w:r>
      <w:r>
        <w:rPr>
          <w:spacing w:val="-3"/>
          <w:sz w:val="24"/>
        </w:rPr>
        <w:t xml:space="preserve"> </w:t>
      </w:r>
      <w:r>
        <w:rPr>
          <w:sz w:val="24"/>
        </w:rPr>
        <w:t>duties.</w:t>
      </w:r>
    </w:p>
    <w:p w:rsidR="00D35590" w:rsidRDefault="00D75DDE">
      <w:pPr>
        <w:pStyle w:val="ListParagraph"/>
        <w:numPr>
          <w:ilvl w:val="3"/>
          <w:numId w:val="18"/>
        </w:numPr>
        <w:tabs>
          <w:tab w:val="left" w:pos="1580"/>
        </w:tabs>
        <w:ind w:right="1040"/>
        <w:rPr>
          <w:sz w:val="24"/>
        </w:rPr>
      </w:pPr>
      <w:r>
        <w:rPr>
          <w:sz w:val="24"/>
        </w:rPr>
        <w:t>As part of initial training, staff must complete the online course “Intro to QA Training” through the People First LMS and review</w:t>
      </w:r>
      <w:r>
        <w:rPr>
          <w:color w:val="0000FF"/>
          <w:sz w:val="24"/>
        </w:rPr>
        <w:t xml:space="preserve"> </w:t>
      </w:r>
      <w:hyperlink r:id="rId27">
        <w:r>
          <w:rPr>
            <w:color w:val="0000FF"/>
            <w:sz w:val="24"/>
            <w:u w:val="single" w:color="0000FF"/>
          </w:rPr>
          <w:t>training videos</w:t>
        </w:r>
        <w:r>
          <w:rPr>
            <w:color w:val="0000FF"/>
            <w:sz w:val="24"/>
          </w:rPr>
          <w:t xml:space="preserve"> </w:t>
        </w:r>
      </w:hyperlink>
      <w:r>
        <w:rPr>
          <w:sz w:val="24"/>
        </w:rPr>
        <w:t>posted on the QA</w:t>
      </w:r>
      <w:r>
        <w:rPr>
          <w:spacing w:val="-12"/>
          <w:sz w:val="24"/>
        </w:rPr>
        <w:t xml:space="preserve"> </w:t>
      </w:r>
      <w:r>
        <w:rPr>
          <w:sz w:val="24"/>
        </w:rPr>
        <w:t>website.</w:t>
      </w:r>
    </w:p>
    <w:p w:rsidR="00D35590" w:rsidRDefault="00D75DDE">
      <w:pPr>
        <w:pStyle w:val="ListParagraph"/>
        <w:numPr>
          <w:ilvl w:val="2"/>
          <w:numId w:val="18"/>
        </w:numPr>
        <w:tabs>
          <w:tab w:val="left" w:pos="859"/>
          <w:tab w:val="left" w:pos="860"/>
        </w:tabs>
        <w:ind w:right="1375"/>
        <w:rPr>
          <w:sz w:val="24"/>
        </w:rPr>
      </w:pPr>
      <w:bookmarkStart w:id="39" w:name="5.1.3_All_WQSP_staff_must_complete_the_a"/>
      <w:bookmarkEnd w:id="39"/>
      <w:r>
        <w:rPr>
          <w:sz w:val="24"/>
        </w:rPr>
        <w:t>All WQSP staff must complete the annual DEP “combo refresher” training, which</w:t>
      </w:r>
      <w:r>
        <w:rPr>
          <w:spacing w:val="-22"/>
          <w:sz w:val="24"/>
        </w:rPr>
        <w:t xml:space="preserve"> </w:t>
      </w:r>
      <w:r>
        <w:rPr>
          <w:sz w:val="24"/>
        </w:rPr>
        <w:t>includes ethics</w:t>
      </w:r>
      <w:r>
        <w:rPr>
          <w:spacing w:val="-1"/>
          <w:sz w:val="24"/>
        </w:rPr>
        <w:t xml:space="preserve"> </w:t>
      </w:r>
      <w:r>
        <w:rPr>
          <w:sz w:val="24"/>
        </w:rPr>
        <w:t>training.</w:t>
      </w:r>
    </w:p>
    <w:p w:rsidR="00D35590" w:rsidRDefault="00D35590">
      <w:pPr>
        <w:pStyle w:val="BodyText"/>
        <w:spacing w:before="10"/>
        <w:rPr>
          <w:sz w:val="20"/>
        </w:rPr>
      </w:pPr>
    </w:p>
    <w:p w:rsidR="00D35590" w:rsidRDefault="00D75DDE">
      <w:pPr>
        <w:pStyle w:val="Heading2"/>
        <w:numPr>
          <w:ilvl w:val="1"/>
          <w:numId w:val="17"/>
        </w:numPr>
        <w:tabs>
          <w:tab w:val="left" w:pos="1167"/>
          <w:tab w:val="left" w:pos="1168"/>
        </w:tabs>
        <w:ind w:hanging="577"/>
      </w:pPr>
      <w:bookmarkStart w:id="40" w:name="5.2_Proficiency_Evaluation"/>
      <w:bookmarkStart w:id="41" w:name="_bookmark13"/>
      <w:bookmarkEnd w:id="40"/>
      <w:bookmarkEnd w:id="41"/>
      <w:r>
        <w:t>Proficiency</w:t>
      </w:r>
      <w:r>
        <w:rPr>
          <w:spacing w:val="-1"/>
        </w:rPr>
        <w:t xml:space="preserve"> </w:t>
      </w:r>
      <w:r>
        <w:t>Evaluation</w:t>
      </w:r>
    </w:p>
    <w:p w:rsidR="00D35590" w:rsidRDefault="00D75DDE">
      <w:pPr>
        <w:pStyle w:val="ListParagraph"/>
        <w:numPr>
          <w:ilvl w:val="2"/>
          <w:numId w:val="16"/>
        </w:numPr>
        <w:tabs>
          <w:tab w:val="left" w:pos="859"/>
          <w:tab w:val="left" w:pos="860"/>
        </w:tabs>
        <w:spacing w:before="140"/>
        <w:ind w:left="859" w:right="781"/>
        <w:rPr>
          <w:sz w:val="24"/>
        </w:rPr>
      </w:pPr>
      <w:bookmarkStart w:id="42" w:name="5.2.1_Sampling_staff_are_evaluated_by_re"/>
      <w:bookmarkEnd w:id="42"/>
      <w:r>
        <w:rPr>
          <w:sz w:val="24"/>
        </w:rPr>
        <w:t>Sampling staff are evaluated by reviewing their performance to determine effectiveness of training. For example, field staff must be trained in biological assessment and habitat assessment procedures, and pass audits for those assessment procedures prior to collection of samples or field data (see section 5.1). Similarly, as part of the DEAR training program, new staff are audited by experienced staff during collection of water chemistry samples, field measurements, and use of other SOPs prior to collecting samples and performing field tests as lead samplers. Senior staff review raw field data sheets to determine that all staff are consistently conducting the sampling and documenting information as required by the DEP</w:t>
      </w:r>
      <w:r>
        <w:rPr>
          <w:spacing w:val="-5"/>
          <w:sz w:val="24"/>
        </w:rPr>
        <w:t xml:space="preserve"> </w:t>
      </w:r>
      <w:r>
        <w:rPr>
          <w:sz w:val="24"/>
        </w:rPr>
        <w:t>SOPs.</w:t>
      </w:r>
    </w:p>
    <w:p w:rsidR="00D35590" w:rsidRDefault="00D35590">
      <w:pPr>
        <w:rPr>
          <w:sz w:val="24"/>
        </w:rPr>
        <w:sectPr w:rsidR="00D35590">
          <w:pgSz w:w="12240" w:h="15840"/>
          <w:pgMar w:top="1500" w:right="300" w:bottom="880" w:left="940" w:header="0" w:footer="619" w:gutter="0"/>
          <w:cols w:space="720"/>
        </w:sectPr>
      </w:pPr>
    </w:p>
    <w:p w:rsidR="00D35590" w:rsidRDefault="00D75DDE">
      <w:pPr>
        <w:pStyle w:val="ListParagraph"/>
        <w:numPr>
          <w:ilvl w:val="2"/>
          <w:numId w:val="16"/>
        </w:numPr>
        <w:tabs>
          <w:tab w:val="left" w:pos="860"/>
        </w:tabs>
        <w:spacing w:before="79"/>
        <w:ind w:left="859" w:right="809"/>
        <w:jc w:val="both"/>
        <w:rPr>
          <w:sz w:val="24"/>
        </w:rPr>
      </w:pPr>
      <w:bookmarkStart w:id="43" w:name="5.2.2_Staff_training_metrics_are_include"/>
      <w:bookmarkEnd w:id="43"/>
      <w:r>
        <w:rPr>
          <w:sz w:val="24"/>
        </w:rPr>
        <w:lastRenderedPageBreak/>
        <w:t>Staff training metrics are included in the WQSP reporting templates submitted for the annual</w:t>
      </w:r>
      <w:r>
        <w:rPr>
          <w:spacing w:val="-24"/>
          <w:sz w:val="24"/>
        </w:rPr>
        <w:t xml:space="preserve"> </w:t>
      </w:r>
      <w:r>
        <w:rPr>
          <w:sz w:val="24"/>
        </w:rPr>
        <w:t xml:space="preserve">QA report to the Secretary. Individual staff must maintain training logs for water sampling, SCI, and HA training, which are found on the </w:t>
      </w:r>
      <w:hyperlink r:id="rId28">
        <w:r>
          <w:rPr>
            <w:sz w:val="24"/>
          </w:rPr>
          <w:t>bioassessment training</w:t>
        </w:r>
        <w:r>
          <w:rPr>
            <w:spacing w:val="-5"/>
            <w:sz w:val="24"/>
          </w:rPr>
          <w:t xml:space="preserve"> </w:t>
        </w:r>
        <w:r>
          <w:rPr>
            <w:sz w:val="24"/>
          </w:rPr>
          <w:t>website.</w:t>
        </w:r>
      </w:hyperlink>
    </w:p>
    <w:p w:rsidR="00D35590" w:rsidRDefault="00D35590">
      <w:pPr>
        <w:pStyle w:val="BodyText"/>
        <w:spacing w:before="10"/>
        <w:rPr>
          <w:sz w:val="20"/>
        </w:rPr>
      </w:pPr>
    </w:p>
    <w:p w:rsidR="00D35590" w:rsidRDefault="00D75DDE">
      <w:pPr>
        <w:pStyle w:val="ListParagraph"/>
        <w:numPr>
          <w:ilvl w:val="2"/>
          <w:numId w:val="16"/>
        </w:numPr>
        <w:tabs>
          <w:tab w:val="left" w:pos="859"/>
          <w:tab w:val="left" w:pos="860"/>
        </w:tabs>
        <w:ind w:left="859" w:right="968"/>
        <w:rPr>
          <w:sz w:val="24"/>
        </w:rPr>
      </w:pPr>
      <w:bookmarkStart w:id="44" w:name="5.2.3_For_selected_department_biological"/>
      <w:bookmarkEnd w:id="44"/>
      <w:r>
        <w:rPr>
          <w:sz w:val="24"/>
        </w:rPr>
        <w:t>For selected department biological assessment tools, staff must maintain proficiency to</w:t>
      </w:r>
      <w:r>
        <w:rPr>
          <w:spacing w:val="-20"/>
          <w:sz w:val="24"/>
        </w:rPr>
        <w:t xml:space="preserve"> </w:t>
      </w:r>
      <w:r>
        <w:rPr>
          <w:sz w:val="24"/>
        </w:rPr>
        <w:t>conduct the sampling (see section 5.1). AEQAS maintains an internet-based</w:t>
      </w:r>
      <w:r>
        <w:rPr>
          <w:color w:val="0000FF"/>
          <w:sz w:val="24"/>
        </w:rPr>
        <w:t xml:space="preserve"> </w:t>
      </w:r>
      <w:hyperlink r:id="rId29">
        <w:r>
          <w:rPr>
            <w:color w:val="0000FF"/>
            <w:sz w:val="24"/>
            <w:u w:val="single" w:color="0000FF"/>
          </w:rPr>
          <w:t>Searchable Registry for</w:t>
        </w:r>
      </w:hyperlink>
      <w:hyperlink r:id="rId30">
        <w:r>
          <w:rPr>
            <w:color w:val="0000FF"/>
            <w:sz w:val="24"/>
            <w:u w:val="single" w:color="0000FF"/>
          </w:rPr>
          <w:t xml:space="preserve"> Bioassessment Method Proficiency</w:t>
        </w:r>
        <w:r>
          <w:rPr>
            <w:color w:val="0000FF"/>
            <w:sz w:val="24"/>
          </w:rPr>
          <w:t xml:space="preserve"> </w:t>
        </w:r>
      </w:hyperlink>
      <w:r>
        <w:rPr>
          <w:sz w:val="24"/>
        </w:rPr>
        <w:t>listing proficient samplers statewide, and WQSP staff are included on that registry if they pass the appropriate QA measures as described in SOPs associated with the biological tools, as</w:t>
      </w:r>
      <w:r>
        <w:rPr>
          <w:spacing w:val="-2"/>
          <w:sz w:val="24"/>
        </w:rPr>
        <w:t xml:space="preserve"> </w:t>
      </w:r>
      <w:r>
        <w:rPr>
          <w:sz w:val="24"/>
        </w:rPr>
        <w:t>follows:</w:t>
      </w:r>
    </w:p>
    <w:p w:rsidR="00D35590" w:rsidRDefault="00D35590">
      <w:pPr>
        <w:pStyle w:val="BodyText"/>
        <w:spacing w:before="10"/>
        <w:rPr>
          <w:sz w:val="20"/>
        </w:rPr>
      </w:pPr>
    </w:p>
    <w:p w:rsidR="00D35590" w:rsidRDefault="00D75DDE">
      <w:pPr>
        <w:pStyle w:val="BodyText"/>
        <w:ind w:left="771" w:right="849"/>
      </w:pPr>
      <w:r>
        <w:t>Table 1: Training, proficiency and testing requirements for the FDEP biological measurement tools.</w:t>
      </w:r>
    </w:p>
    <w:p w:rsidR="00D35590" w:rsidRDefault="00D35590">
      <w:pPr>
        <w:pStyle w:val="BodyText"/>
        <w:spacing w:before="10"/>
        <w:rPr>
          <w:sz w:val="23"/>
        </w:rPr>
      </w:pPr>
    </w:p>
    <w:tbl>
      <w:tblPr>
        <w:tblW w:w="0" w:type="auto"/>
        <w:tblInd w:w="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6"/>
        <w:gridCol w:w="3060"/>
        <w:gridCol w:w="3504"/>
      </w:tblGrid>
      <w:tr w:rsidR="00D35590">
        <w:trPr>
          <w:trHeight w:val="551"/>
        </w:trPr>
        <w:tc>
          <w:tcPr>
            <w:tcW w:w="3506" w:type="dxa"/>
            <w:tcBorders>
              <w:bottom w:val="single" w:sz="6" w:space="0" w:color="000000"/>
              <w:right w:val="single" w:sz="6" w:space="0" w:color="000000"/>
            </w:tcBorders>
            <w:shd w:val="clear" w:color="auto" w:fill="DDD9C3"/>
          </w:tcPr>
          <w:p w:rsidR="00D35590" w:rsidRDefault="00D75DDE">
            <w:pPr>
              <w:pStyle w:val="TableParagraph"/>
              <w:spacing w:line="275" w:lineRule="exact"/>
              <w:ind w:left="107"/>
              <w:rPr>
                <w:i/>
                <w:sz w:val="24"/>
              </w:rPr>
            </w:pPr>
            <w:r>
              <w:rPr>
                <w:i/>
                <w:sz w:val="24"/>
              </w:rPr>
              <w:t>Biological Measurement Tool</w:t>
            </w:r>
          </w:p>
        </w:tc>
        <w:tc>
          <w:tcPr>
            <w:tcW w:w="3060" w:type="dxa"/>
            <w:tcBorders>
              <w:left w:val="single" w:sz="6" w:space="0" w:color="000000"/>
              <w:bottom w:val="single" w:sz="6" w:space="0" w:color="000000"/>
            </w:tcBorders>
            <w:shd w:val="clear" w:color="auto" w:fill="DDD9C3"/>
          </w:tcPr>
          <w:p w:rsidR="00D35590" w:rsidRDefault="00D75DDE">
            <w:pPr>
              <w:pStyle w:val="TableParagraph"/>
              <w:spacing w:before="2" w:line="276" w:lineRule="exact"/>
              <w:ind w:left="105" w:right="155"/>
              <w:rPr>
                <w:i/>
                <w:sz w:val="24"/>
              </w:rPr>
            </w:pPr>
            <w:r>
              <w:rPr>
                <w:i/>
                <w:sz w:val="24"/>
              </w:rPr>
              <w:t>SOPs containing Training &amp; Proficiency Requirements</w:t>
            </w:r>
          </w:p>
        </w:tc>
        <w:tc>
          <w:tcPr>
            <w:tcW w:w="3504" w:type="dxa"/>
            <w:tcBorders>
              <w:bottom w:val="single" w:sz="6" w:space="0" w:color="000000"/>
            </w:tcBorders>
            <w:shd w:val="clear" w:color="auto" w:fill="DDD9C3"/>
          </w:tcPr>
          <w:p w:rsidR="00D35590" w:rsidRDefault="00D75DDE">
            <w:pPr>
              <w:pStyle w:val="TableParagraph"/>
              <w:spacing w:line="275" w:lineRule="exact"/>
              <w:ind w:left="108"/>
              <w:rPr>
                <w:i/>
                <w:sz w:val="24"/>
              </w:rPr>
            </w:pPr>
            <w:r>
              <w:rPr>
                <w:i/>
                <w:sz w:val="24"/>
              </w:rPr>
              <w:t>Testing Procedure</w:t>
            </w:r>
          </w:p>
        </w:tc>
      </w:tr>
      <w:tr w:rsidR="00D35590">
        <w:trPr>
          <w:trHeight w:val="1228"/>
        </w:trPr>
        <w:tc>
          <w:tcPr>
            <w:tcW w:w="3506" w:type="dxa"/>
            <w:tcBorders>
              <w:top w:val="single" w:sz="6" w:space="0" w:color="000000"/>
              <w:right w:val="single" w:sz="6" w:space="0" w:color="000000"/>
            </w:tcBorders>
          </w:tcPr>
          <w:p w:rsidR="00D35590" w:rsidRDefault="00D75DDE">
            <w:pPr>
              <w:pStyle w:val="TableParagraph"/>
              <w:spacing w:line="272" w:lineRule="exact"/>
              <w:ind w:left="107"/>
              <w:rPr>
                <w:sz w:val="24"/>
              </w:rPr>
            </w:pPr>
            <w:r>
              <w:rPr>
                <w:sz w:val="24"/>
              </w:rPr>
              <w:t>Stream Condition Index (SCI)</w:t>
            </w:r>
          </w:p>
        </w:tc>
        <w:tc>
          <w:tcPr>
            <w:tcW w:w="3060" w:type="dxa"/>
            <w:tcBorders>
              <w:top w:val="single" w:sz="6" w:space="0" w:color="000000"/>
              <w:left w:val="single" w:sz="6" w:space="0" w:color="000000"/>
            </w:tcBorders>
          </w:tcPr>
          <w:p w:rsidR="00D35590" w:rsidRDefault="00D75DDE">
            <w:pPr>
              <w:pStyle w:val="TableParagraph"/>
              <w:spacing w:line="272" w:lineRule="exact"/>
              <w:ind w:left="105"/>
              <w:rPr>
                <w:sz w:val="24"/>
              </w:rPr>
            </w:pPr>
            <w:r>
              <w:rPr>
                <w:sz w:val="24"/>
              </w:rPr>
              <w:t>SCI 1200, SCI 1300</w:t>
            </w:r>
          </w:p>
        </w:tc>
        <w:tc>
          <w:tcPr>
            <w:tcW w:w="3504" w:type="dxa"/>
            <w:tcBorders>
              <w:top w:val="single" w:sz="6" w:space="0" w:color="000000"/>
            </w:tcBorders>
          </w:tcPr>
          <w:p w:rsidR="00D35590" w:rsidRDefault="00D75DDE">
            <w:pPr>
              <w:pStyle w:val="TableParagraph"/>
              <w:ind w:left="108" w:right="253"/>
              <w:rPr>
                <w:sz w:val="24"/>
              </w:rPr>
            </w:pPr>
            <w:r>
              <w:rPr>
                <w:sz w:val="24"/>
              </w:rPr>
              <w:t>Online test of concepts and field demonstration (benchmark site SCI score within acceptance criteria) every 5 years</w:t>
            </w:r>
          </w:p>
        </w:tc>
      </w:tr>
      <w:tr w:rsidR="00D35590">
        <w:trPr>
          <w:trHeight w:val="1163"/>
        </w:trPr>
        <w:tc>
          <w:tcPr>
            <w:tcW w:w="3506" w:type="dxa"/>
            <w:tcBorders>
              <w:right w:val="single" w:sz="6" w:space="0" w:color="000000"/>
            </w:tcBorders>
          </w:tcPr>
          <w:p w:rsidR="00D35590" w:rsidRDefault="00D75DDE">
            <w:pPr>
              <w:pStyle w:val="TableParagraph"/>
              <w:spacing w:line="275" w:lineRule="exact"/>
              <w:ind w:left="107"/>
              <w:rPr>
                <w:sz w:val="24"/>
              </w:rPr>
            </w:pPr>
            <w:r>
              <w:rPr>
                <w:sz w:val="24"/>
              </w:rPr>
              <w:t>Stream Habitat Assessment (HA)</w:t>
            </w:r>
          </w:p>
        </w:tc>
        <w:tc>
          <w:tcPr>
            <w:tcW w:w="3060" w:type="dxa"/>
            <w:tcBorders>
              <w:left w:val="single" w:sz="6" w:space="0" w:color="000000"/>
            </w:tcBorders>
          </w:tcPr>
          <w:p w:rsidR="00D35590" w:rsidRDefault="00D75DDE">
            <w:pPr>
              <w:pStyle w:val="TableParagraph"/>
              <w:spacing w:line="275" w:lineRule="exact"/>
              <w:ind w:left="105"/>
              <w:rPr>
                <w:sz w:val="24"/>
              </w:rPr>
            </w:pPr>
            <w:r>
              <w:rPr>
                <w:sz w:val="24"/>
              </w:rPr>
              <w:t>FA 5720</w:t>
            </w:r>
          </w:p>
        </w:tc>
        <w:tc>
          <w:tcPr>
            <w:tcW w:w="3504" w:type="dxa"/>
          </w:tcPr>
          <w:p w:rsidR="00D35590" w:rsidRDefault="00D75DDE">
            <w:pPr>
              <w:pStyle w:val="TableParagraph"/>
              <w:ind w:left="108" w:right="306"/>
              <w:rPr>
                <w:sz w:val="24"/>
              </w:rPr>
            </w:pPr>
            <w:r>
              <w:rPr>
                <w:sz w:val="24"/>
              </w:rPr>
              <w:t>Consistency demonstration of independent field assessment of benchmark sites (initially and every 2 years)</w:t>
            </w:r>
          </w:p>
        </w:tc>
      </w:tr>
      <w:tr w:rsidR="00D35590">
        <w:trPr>
          <w:trHeight w:val="2044"/>
        </w:trPr>
        <w:tc>
          <w:tcPr>
            <w:tcW w:w="3506" w:type="dxa"/>
            <w:tcBorders>
              <w:right w:val="single" w:sz="6" w:space="0" w:color="000000"/>
            </w:tcBorders>
          </w:tcPr>
          <w:p w:rsidR="00D35590" w:rsidRDefault="00D75DDE">
            <w:pPr>
              <w:pStyle w:val="TableParagraph"/>
              <w:spacing w:line="275" w:lineRule="exact"/>
              <w:ind w:left="107"/>
              <w:rPr>
                <w:sz w:val="24"/>
              </w:rPr>
            </w:pPr>
            <w:r>
              <w:rPr>
                <w:sz w:val="24"/>
              </w:rPr>
              <w:t>Lake Vegetation Index (LVI)</w:t>
            </w:r>
          </w:p>
        </w:tc>
        <w:tc>
          <w:tcPr>
            <w:tcW w:w="3060" w:type="dxa"/>
            <w:tcBorders>
              <w:left w:val="single" w:sz="6" w:space="0" w:color="000000"/>
            </w:tcBorders>
          </w:tcPr>
          <w:p w:rsidR="00D35590" w:rsidRDefault="00D75DDE">
            <w:pPr>
              <w:pStyle w:val="TableParagraph"/>
              <w:spacing w:line="275" w:lineRule="exact"/>
              <w:ind w:left="105"/>
              <w:rPr>
                <w:sz w:val="24"/>
              </w:rPr>
            </w:pPr>
            <w:r>
              <w:rPr>
                <w:sz w:val="24"/>
              </w:rPr>
              <w:t>LVI 1200</w:t>
            </w:r>
          </w:p>
        </w:tc>
        <w:tc>
          <w:tcPr>
            <w:tcW w:w="3504" w:type="dxa"/>
          </w:tcPr>
          <w:p w:rsidR="00D35590" w:rsidRDefault="00D75DDE">
            <w:pPr>
              <w:pStyle w:val="TableParagraph"/>
              <w:ind w:left="108" w:right="306"/>
              <w:rPr>
                <w:sz w:val="24"/>
              </w:rPr>
            </w:pPr>
            <w:r>
              <w:rPr>
                <w:sz w:val="24"/>
              </w:rPr>
              <w:t>Online plant identification test (for applicable LVI team members) and LVI team consistency demonstration of independent field assessment of benchmark sites (initially and every 2 years)</w:t>
            </w:r>
          </w:p>
        </w:tc>
      </w:tr>
      <w:tr w:rsidR="00D35590">
        <w:trPr>
          <w:trHeight w:val="551"/>
        </w:trPr>
        <w:tc>
          <w:tcPr>
            <w:tcW w:w="3506" w:type="dxa"/>
            <w:tcBorders>
              <w:right w:val="single" w:sz="6" w:space="0" w:color="000000"/>
            </w:tcBorders>
          </w:tcPr>
          <w:p w:rsidR="00D35590" w:rsidRDefault="00D75DDE">
            <w:pPr>
              <w:pStyle w:val="TableParagraph"/>
              <w:spacing w:before="2" w:line="276" w:lineRule="exact"/>
              <w:ind w:left="107" w:right="773"/>
              <w:rPr>
                <w:sz w:val="24"/>
              </w:rPr>
            </w:pPr>
            <w:r>
              <w:rPr>
                <w:sz w:val="24"/>
              </w:rPr>
              <w:t>Biological Reconnaissance (</w:t>
            </w:r>
            <w:proofErr w:type="spellStart"/>
            <w:r>
              <w:rPr>
                <w:sz w:val="24"/>
              </w:rPr>
              <w:t>BioRecon</w:t>
            </w:r>
            <w:proofErr w:type="spellEnd"/>
            <w:r>
              <w:rPr>
                <w:sz w:val="24"/>
              </w:rPr>
              <w:t>)</w:t>
            </w:r>
          </w:p>
        </w:tc>
        <w:tc>
          <w:tcPr>
            <w:tcW w:w="3060" w:type="dxa"/>
            <w:tcBorders>
              <w:left w:val="single" w:sz="6" w:space="0" w:color="000000"/>
            </w:tcBorders>
          </w:tcPr>
          <w:p w:rsidR="00D35590" w:rsidRDefault="00D75DDE">
            <w:pPr>
              <w:pStyle w:val="TableParagraph"/>
              <w:spacing w:line="275" w:lineRule="exact"/>
              <w:ind w:left="105"/>
              <w:rPr>
                <w:sz w:val="24"/>
              </w:rPr>
            </w:pPr>
            <w:r>
              <w:rPr>
                <w:sz w:val="24"/>
              </w:rPr>
              <w:t>BRN 1200, BRN 1300</w:t>
            </w:r>
          </w:p>
        </w:tc>
        <w:tc>
          <w:tcPr>
            <w:tcW w:w="3504" w:type="dxa"/>
          </w:tcPr>
          <w:p w:rsidR="00D35590" w:rsidRDefault="00D75DDE">
            <w:pPr>
              <w:pStyle w:val="TableParagraph"/>
              <w:spacing w:before="2" w:line="276" w:lineRule="exact"/>
              <w:ind w:left="108" w:right="319"/>
              <w:rPr>
                <w:sz w:val="24"/>
              </w:rPr>
            </w:pPr>
            <w:r>
              <w:rPr>
                <w:sz w:val="24"/>
              </w:rPr>
              <w:t>Online test of SCI concepts and field audit every 5 years</w:t>
            </w:r>
          </w:p>
        </w:tc>
      </w:tr>
      <w:tr w:rsidR="00D35590">
        <w:trPr>
          <w:trHeight w:val="549"/>
        </w:trPr>
        <w:tc>
          <w:tcPr>
            <w:tcW w:w="3506" w:type="dxa"/>
            <w:tcBorders>
              <w:right w:val="single" w:sz="6" w:space="0" w:color="000000"/>
            </w:tcBorders>
          </w:tcPr>
          <w:p w:rsidR="00D35590" w:rsidRDefault="00D75DDE">
            <w:pPr>
              <w:pStyle w:val="TableParagraph"/>
              <w:spacing w:line="273" w:lineRule="exact"/>
              <w:ind w:left="107"/>
              <w:rPr>
                <w:sz w:val="24"/>
              </w:rPr>
            </w:pPr>
            <w:r>
              <w:rPr>
                <w:sz w:val="24"/>
              </w:rPr>
              <w:t>Rapid Periphyton Survey (RPS)</w:t>
            </w:r>
          </w:p>
        </w:tc>
        <w:tc>
          <w:tcPr>
            <w:tcW w:w="3060" w:type="dxa"/>
            <w:tcBorders>
              <w:left w:val="single" w:sz="6" w:space="0" w:color="000000"/>
            </w:tcBorders>
          </w:tcPr>
          <w:p w:rsidR="00D35590" w:rsidRDefault="00D75DDE">
            <w:pPr>
              <w:pStyle w:val="TableParagraph"/>
              <w:spacing w:line="273" w:lineRule="exact"/>
              <w:ind w:left="105"/>
              <w:rPr>
                <w:sz w:val="24"/>
              </w:rPr>
            </w:pPr>
            <w:r>
              <w:rPr>
                <w:sz w:val="24"/>
              </w:rPr>
              <w:t>FS 7230</w:t>
            </w:r>
          </w:p>
        </w:tc>
        <w:tc>
          <w:tcPr>
            <w:tcW w:w="3504" w:type="dxa"/>
          </w:tcPr>
          <w:p w:rsidR="00D35590" w:rsidRDefault="00D75DDE">
            <w:pPr>
              <w:pStyle w:val="TableParagraph"/>
              <w:spacing w:line="276" w:lineRule="exact"/>
              <w:ind w:left="108" w:right="792"/>
              <w:rPr>
                <w:sz w:val="24"/>
              </w:rPr>
            </w:pPr>
            <w:r>
              <w:rPr>
                <w:sz w:val="24"/>
              </w:rPr>
              <w:t>Online test of RPS method concepts</w:t>
            </w:r>
          </w:p>
        </w:tc>
      </w:tr>
      <w:tr w:rsidR="00D35590">
        <w:trPr>
          <w:trHeight w:val="551"/>
        </w:trPr>
        <w:tc>
          <w:tcPr>
            <w:tcW w:w="3506" w:type="dxa"/>
            <w:tcBorders>
              <w:right w:val="single" w:sz="6" w:space="0" w:color="000000"/>
            </w:tcBorders>
          </w:tcPr>
          <w:p w:rsidR="00D35590" w:rsidRDefault="00D75DDE">
            <w:pPr>
              <w:pStyle w:val="TableParagraph"/>
              <w:spacing w:line="272" w:lineRule="exact"/>
              <w:ind w:left="107"/>
              <w:rPr>
                <w:sz w:val="24"/>
              </w:rPr>
            </w:pPr>
            <w:r>
              <w:rPr>
                <w:sz w:val="24"/>
              </w:rPr>
              <w:t>Linear Vegetation Survey (LVS)</w:t>
            </w:r>
          </w:p>
        </w:tc>
        <w:tc>
          <w:tcPr>
            <w:tcW w:w="3060" w:type="dxa"/>
            <w:tcBorders>
              <w:left w:val="single" w:sz="6" w:space="0" w:color="000000"/>
            </w:tcBorders>
          </w:tcPr>
          <w:p w:rsidR="00D35590" w:rsidRDefault="00D75DDE">
            <w:pPr>
              <w:pStyle w:val="TableParagraph"/>
              <w:spacing w:line="272" w:lineRule="exact"/>
              <w:ind w:left="105"/>
              <w:rPr>
                <w:sz w:val="24"/>
              </w:rPr>
            </w:pPr>
            <w:r>
              <w:rPr>
                <w:sz w:val="24"/>
              </w:rPr>
              <w:t>FS 7320</w:t>
            </w:r>
          </w:p>
        </w:tc>
        <w:tc>
          <w:tcPr>
            <w:tcW w:w="3504" w:type="dxa"/>
          </w:tcPr>
          <w:p w:rsidR="00D35590" w:rsidRDefault="00D75DDE">
            <w:pPr>
              <w:pStyle w:val="TableParagraph"/>
              <w:spacing w:line="272" w:lineRule="exact"/>
              <w:ind w:left="108"/>
              <w:rPr>
                <w:sz w:val="24"/>
              </w:rPr>
            </w:pPr>
            <w:r>
              <w:rPr>
                <w:sz w:val="24"/>
              </w:rPr>
              <w:t>Online test of LVS method</w:t>
            </w:r>
          </w:p>
          <w:p w:rsidR="00D35590" w:rsidRDefault="00D75DDE">
            <w:pPr>
              <w:pStyle w:val="TableParagraph"/>
              <w:spacing w:line="259" w:lineRule="exact"/>
              <w:ind w:left="108"/>
              <w:rPr>
                <w:sz w:val="24"/>
              </w:rPr>
            </w:pPr>
            <w:r>
              <w:rPr>
                <w:sz w:val="24"/>
              </w:rPr>
              <w:t>concepts</w:t>
            </w:r>
          </w:p>
        </w:tc>
      </w:tr>
    </w:tbl>
    <w:p w:rsidR="00D35590" w:rsidRDefault="00D75DDE">
      <w:pPr>
        <w:pStyle w:val="ListParagraph"/>
        <w:numPr>
          <w:ilvl w:val="2"/>
          <w:numId w:val="16"/>
        </w:numPr>
        <w:tabs>
          <w:tab w:val="left" w:pos="859"/>
          <w:tab w:val="left" w:pos="860"/>
        </w:tabs>
        <w:ind w:right="783"/>
        <w:rPr>
          <w:sz w:val="24"/>
        </w:rPr>
      </w:pPr>
      <w:bookmarkStart w:id="45" w:name="5.2.4_Staff_who_conduct_audits,_perform_"/>
      <w:bookmarkEnd w:id="45"/>
      <w:r>
        <w:rPr>
          <w:sz w:val="24"/>
        </w:rPr>
        <w:t>Staff who conduct audits, perform data evaluations, or generate reports are periodically</w:t>
      </w:r>
      <w:r>
        <w:rPr>
          <w:spacing w:val="-20"/>
          <w:sz w:val="24"/>
        </w:rPr>
        <w:t xml:space="preserve"> </w:t>
      </w:r>
      <w:r>
        <w:rPr>
          <w:sz w:val="24"/>
        </w:rPr>
        <w:t>evaluated by senior staff. This evaluation is informal and usually in the form of editing or review of work products such as audit reports, data summaries, or project</w:t>
      </w:r>
      <w:r>
        <w:rPr>
          <w:spacing w:val="-2"/>
          <w:sz w:val="24"/>
        </w:rPr>
        <w:t xml:space="preserve"> </w:t>
      </w:r>
      <w:r>
        <w:rPr>
          <w:sz w:val="24"/>
        </w:rPr>
        <w:t>reports.</w:t>
      </w:r>
    </w:p>
    <w:p w:rsidR="00D35590" w:rsidRDefault="00D35590">
      <w:pPr>
        <w:pStyle w:val="BodyText"/>
        <w:spacing w:before="10"/>
        <w:rPr>
          <w:sz w:val="20"/>
        </w:rPr>
      </w:pPr>
    </w:p>
    <w:p w:rsidR="00D35590" w:rsidRDefault="00D75DDE">
      <w:pPr>
        <w:pStyle w:val="Heading2"/>
        <w:numPr>
          <w:ilvl w:val="1"/>
          <w:numId w:val="17"/>
        </w:numPr>
        <w:tabs>
          <w:tab w:val="left" w:pos="1167"/>
          <w:tab w:val="left" w:pos="1168"/>
        </w:tabs>
        <w:ind w:hanging="577"/>
      </w:pPr>
      <w:bookmarkStart w:id="46" w:name="5.3_External_Training"/>
      <w:bookmarkStart w:id="47" w:name="_bookmark14"/>
      <w:bookmarkEnd w:id="46"/>
      <w:bookmarkEnd w:id="47"/>
      <w:r>
        <w:t>External</w:t>
      </w:r>
      <w:r>
        <w:rPr>
          <w:spacing w:val="-1"/>
        </w:rPr>
        <w:t xml:space="preserve"> </w:t>
      </w:r>
      <w:r>
        <w:t>Training</w:t>
      </w:r>
    </w:p>
    <w:p w:rsidR="00D35590" w:rsidRDefault="00D75DDE">
      <w:pPr>
        <w:pStyle w:val="ListParagraph"/>
        <w:numPr>
          <w:ilvl w:val="2"/>
          <w:numId w:val="15"/>
        </w:numPr>
        <w:tabs>
          <w:tab w:val="left" w:pos="859"/>
          <w:tab w:val="left" w:pos="860"/>
        </w:tabs>
        <w:spacing w:before="137"/>
        <w:ind w:right="1325"/>
        <w:rPr>
          <w:sz w:val="24"/>
        </w:rPr>
      </w:pPr>
      <w:bookmarkStart w:id="48" w:name="5.3.1_AEQAS_staff_hold_semi-annual_train"/>
      <w:bookmarkEnd w:id="48"/>
      <w:r>
        <w:rPr>
          <w:sz w:val="24"/>
        </w:rPr>
        <w:t>AEQAS staff hold semi-annual training sessions for DEP stream bioassessment SOPs (SCI, Habitat Assessment, RPS, and LVS) at locations throughout the state (e.g., Bear Creek Environmental Center, Starkey Wilderness</w:t>
      </w:r>
      <w:r>
        <w:rPr>
          <w:spacing w:val="-1"/>
          <w:sz w:val="24"/>
        </w:rPr>
        <w:t xml:space="preserve"> </w:t>
      </w:r>
      <w:r>
        <w:rPr>
          <w:sz w:val="24"/>
        </w:rPr>
        <w:t>Preserve).</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ListParagraph"/>
        <w:numPr>
          <w:ilvl w:val="2"/>
          <w:numId w:val="15"/>
        </w:numPr>
        <w:tabs>
          <w:tab w:val="left" w:pos="859"/>
          <w:tab w:val="left" w:pos="860"/>
        </w:tabs>
        <w:spacing w:before="79"/>
        <w:ind w:right="1227"/>
        <w:rPr>
          <w:sz w:val="24"/>
        </w:rPr>
      </w:pPr>
      <w:bookmarkStart w:id="49" w:name="5.3.2_AEQAS_staff_hold_semi-annual_train"/>
      <w:bookmarkEnd w:id="49"/>
      <w:r>
        <w:rPr>
          <w:sz w:val="24"/>
        </w:rPr>
        <w:lastRenderedPageBreak/>
        <w:t>AEQAS staff hold semi-annual training sessions on DEP SOPs at the University of</w:t>
      </w:r>
      <w:r>
        <w:rPr>
          <w:spacing w:val="-24"/>
          <w:sz w:val="24"/>
        </w:rPr>
        <w:t xml:space="preserve"> </w:t>
      </w:r>
      <w:r>
        <w:rPr>
          <w:sz w:val="24"/>
        </w:rPr>
        <w:t>Florida’s Center for Training, Research and Education for Environmental Occupations (TREEO). The training sessions are held jointly with the Site Investigations Section and cover the SOPs necessary for surface water, ground water, drinking water, and wastewater</w:t>
      </w:r>
      <w:r>
        <w:rPr>
          <w:spacing w:val="-7"/>
          <w:sz w:val="24"/>
        </w:rPr>
        <w:t xml:space="preserve"> </w:t>
      </w:r>
      <w:r>
        <w:rPr>
          <w:sz w:val="24"/>
        </w:rPr>
        <w:t>sampling.</w:t>
      </w:r>
    </w:p>
    <w:p w:rsidR="00D35590" w:rsidRDefault="00D35590">
      <w:pPr>
        <w:pStyle w:val="BodyText"/>
        <w:spacing w:before="10"/>
        <w:rPr>
          <w:sz w:val="20"/>
        </w:rPr>
      </w:pPr>
    </w:p>
    <w:p w:rsidR="00D35590" w:rsidRDefault="00D75DDE">
      <w:pPr>
        <w:pStyle w:val="ListParagraph"/>
        <w:numPr>
          <w:ilvl w:val="2"/>
          <w:numId w:val="15"/>
        </w:numPr>
        <w:tabs>
          <w:tab w:val="left" w:pos="859"/>
          <w:tab w:val="left" w:pos="860"/>
        </w:tabs>
        <w:rPr>
          <w:sz w:val="24"/>
        </w:rPr>
      </w:pPr>
      <w:bookmarkStart w:id="50" w:name="5.3.3_AEQAS_staff_hold_an_annual_trainin"/>
      <w:bookmarkEnd w:id="50"/>
      <w:r>
        <w:rPr>
          <w:sz w:val="24"/>
        </w:rPr>
        <w:t>AEQAS staff hold an annual training session on DEP SOPs in</w:t>
      </w:r>
      <w:r>
        <w:rPr>
          <w:spacing w:val="-3"/>
          <w:sz w:val="24"/>
        </w:rPr>
        <w:t xml:space="preserve"> </w:t>
      </w:r>
      <w:r>
        <w:rPr>
          <w:sz w:val="24"/>
        </w:rPr>
        <w:t>Tallahassee.</w:t>
      </w:r>
    </w:p>
    <w:p w:rsidR="00D35590" w:rsidRDefault="00D35590">
      <w:pPr>
        <w:pStyle w:val="BodyText"/>
        <w:spacing w:before="10"/>
        <w:rPr>
          <w:sz w:val="20"/>
        </w:rPr>
      </w:pPr>
    </w:p>
    <w:p w:rsidR="00D35590" w:rsidRDefault="00D75DDE">
      <w:pPr>
        <w:pStyle w:val="ListParagraph"/>
        <w:numPr>
          <w:ilvl w:val="2"/>
          <w:numId w:val="15"/>
        </w:numPr>
        <w:tabs>
          <w:tab w:val="left" w:pos="860"/>
        </w:tabs>
        <w:ind w:right="940"/>
        <w:jc w:val="both"/>
        <w:rPr>
          <w:sz w:val="24"/>
        </w:rPr>
      </w:pPr>
      <w:bookmarkStart w:id="51" w:name="5.3.4_AEQAS_staff_participate_in_the_DEA"/>
      <w:bookmarkEnd w:id="51"/>
      <w:r>
        <w:rPr>
          <w:sz w:val="24"/>
        </w:rPr>
        <w:t>AEQAS staff participate in the DEAR training and apprenticeship program. AEQAS staff write and maintain training checklists and coordinate with other programs within DEAR to determine training needs and ensure</w:t>
      </w:r>
      <w:r>
        <w:rPr>
          <w:spacing w:val="2"/>
          <w:sz w:val="24"/>
        </w:rPr>
        <w:t xml:space="preserve"> </w:t>
      </w:r>
      <w:r>
        <w:rPr>
          <w:sz w:val="24"/>
        </w:rPr>
        <w:t>consistency.</w:t>
      </w:r>
    </w:p>
    <w:p w:rsidR="00D35590" w:rsidRDefault="00D35590">
      <w:pPr>
        <w:pStyle w:val="BodyText"/>
        <w:spacing w:before="10"/>
        <w:rPr>
          <w:sz w:val="20"/>
        </w:rPr>
      </w:pPr>
    </w:p>
    <w:p w:rsidR="00D35590" w:rsidRDefault="00D75DDE">
      <w:pPr>
        <w:pStyle w:val="ListParagraph"/>
        <w:numPr>
          <w:ilvl w:val="2"/>
          <w:numId w:val="15"/>
        </w:numPr>
        <w:tabs>
          <w:tab w:val="left" w:pos="860"/>
        </w:tabs>
        <w:ind w:right="1001"/>
        <w:jc w:val="both"/>
        <w:rPr>
          <w:sz w:val="24"/>
        </w:rPr>
      </w:pPr>
      <w:bookmarkStart w:id="52" w:name="5.3.5_AEQAS_staff_train_other_DEP_staff_"/>
      <w:bookmarkEnd w:id="52"/>
      <w:r>
        <w:rPr>
          <w:sz w:val="24"/>
        </w:rPr>
        <w:t>AEQAS staff train other DEP staff and outside agencies upon request on the use of DEP</w:t>
      </w:r>
      <w:r>
        <w:rPr>
          <w:spacing w:val="-23"/>
          <w:sz w:val="24"/>
        </w:rPr>
        <w:t xml:space="preserve"> </w:t>
      </w:r>
      <w:r>
        <w:rPr>
          <w:sz w:val="24"/>
        </w:rPr>
        <w:t>SOPs, Quality Assurance practices, and auditing</w:t>
      </w:r>
      <w:r>
        <w:rPr>
          <w:spacing w:val="-2"/>
          <w:sz w:val="24"/>
        </w:rPr>
        <w:t xml:space="preserve"> </w:t>
      </w:r>
      <w:r>
        <w:rPr>
          <w:sz w:val="24"/>
        </w:rPr>
        <w:t>procedures.</w:t>
      </w:r>
    </w:p>
    <w:p w:rsidR="00D35590" w:rsidRDefault="00D35590">
      <w:pPr>
        <w:pStyle w:val="BodyText"/>
        <w:spacing w:before="10"/>
        <w:rPr>
          <w:sz w:val="20"/>
        </w:rPr>
      </w:pPr>
    </w:p>
    <w:p w:rsidR="00D35590" w:rsidRDefault="00D75DDE">
      <w:pPr>
        <w:pStyle w:val="ListParagraph"/>
        <w:numPr>
          <w:ilvl w:val="2"/>
          <w:numId w:val="15"/>
        </w:numPr>
        <w:tabs>
          <w:tab w:val="left" w:pos="859"/>
          <w:tab w:val="left" w:pos="860"/>
        </w:tabs>
        <w:ind w:right="1121"/>
        <w:rPr>
          <w:sz w:val="24"/>
        </w:rPr>
      </w:pPr>
      <w:bookmarkStart w:id="53" w:name="5.3.6_AEQAS_staff_maintain_training_reso"/>
      <w:bookmarkEnd w:id="53"/>
      <w:r>
        <w:rPr>
          <w:sz w:val="24"/>
        </w:rPr>
        <w:t>AEQAS staff maintain training resources on its website, such as SOP training videos,</w:t>
      </w:r>
      <w:r>
        <w:rPr>
          <w:spacing w:val="-23"/>
          <w:sz w:val="24"/>
        </w:rPr>
        <w:t xml:space="preserve"> </w:t>
      </w:r>
      <w:r>
        <w:rPr>
          <w:sz w:val="24"/>
        </w:rPr>
        <w:t>training presentations, and recorded training</w:t>
      </w:r>
      <w:r>
        <w:rPr>
          <w:spacing w:val="-1"/>
          <w:sz w:val="24"/>
        </w:rPr>
        <w:t xml:space="preserve"> </w:t>
      </w:r>
      <w:r>
        <w:rPr>
          <w:sz w:val="24"/>
        </w:rPr>
        <w:t>webinars.</w:t>
      </w:r>
    </w:p>
    <w:p w:rsidR="00D35590" w:rsidRDefault="00D35590">
      <w:pPr>
        <w:pStyle w:val="BodyText"/>
        <w:spacing w:before="10"/>
        <w:rPr>
          <w:sz w:val="20"/>
        </w:rPr>
      </w:pPr>
    </w:p>
    <w:p w:rsidR="00D35590" w:rsidRDefault="00D75DDE">
      <w:pPr>
        <w:pStyle w:val="ListParagraph"/>
        <w:numPr>
          <w:ilvl w:val="2"/>
          <w:numId w:val="15"/>
        </w:numPr>
        <w:tabs>
          <w:tab w:val="left" w:pos="859"/>
          <w:tab w:val="left" w:pos="860"/>
        </w:tabs>
        <w:ind w:right="1334"/>
        <w:rPr>
          <w:sz w:val="24"/>
        </w:rPr>
      </w:pPr>
      <w:bookmarkStart w:id="54" w:name="5.3.7_SDS_staff_offer_training_as_needed"/>
      <w:bookmarkEnd w:id="54"/>
      <w:r>
        <w:rPr>
          <w:sz w:val="24"/>
        </w:rPr>
        <w:t>SDS staff offer training as needed for Numeric Nutrient Criteria and General Water Quality Standards, including standards</w:t>
      </w:r>
      <w:r>
        <w:rPr>
          <w:spacing w:val="-1"/>
          <w:sz w:val="24"/>
        </w:rPr>
        <w:t xml:space="preserve"> </w:t>
      </w:r>
      <w:r>
        <w:rPr>
          <w:sz w:val="24"/>
        </w:rPr>
        <w:t>implementation.</w:t>
      </w:r>
    </w:p>
    <w:p w:rsidR="00D35590" w:rsidRDefault="00D35590">
      <w:pPr>
        <w:pStyle w:val="BodyText"/>
        <w:rPr>
          <w:sz w:val="21"/>
        </w:rPr>
      </w:pPr>
    </w:p>
    <w:p w:rsidR="00D35590" w:rsidRDefault="00D75DDE">
      <w:pPr>
        <w:pStyle w:val="Heading1"/>
        <w:numPr>
          <w:ilvl w:val="0"/>
          <w:numId w:val="25"/>
        </w:numPr>
        <w:tabs>
          <w:tab w:val="left" w:pos="680"/>
        </w:tabs>
      </w:pPr>
      <w:bookmarkStart w:id="55" w:name="6._Sampling_Design_and_Procedures"/>
      <w:bookmarkStart w:id="56" w:name="_bookmark15"/>
      <w:bookmarkEnd w:id="55"/>
      <w:bookmarkEnd w:id="56"/>
      <w:r>
        <w:t>Sampling Design and</w:t>
      </w:r>
      <w:r>
        <w:rPr>
          <w:spacing w:val="-5"/>
        </w:rPr>
        <w:t xml:space="preserve"> </w:t>
      </w:r>
      <w:r>
        <w:t>Procedures</w:t>
      </w:r>
    </w:p>
    <w:p w:rsidR="00D35590" w:rsidRDefault="00D75DDE">
      <w:pPr>
        <w:pStyle w:val="BodyText"/>
        <w:spacing w:before="46"/>
        <w:ind w:left="139" w:right="849"/>
      </w:pPr>
      <w:r>
        <w:t>Successful implementation of the WQSP relies on having valid data, which begins with proper study design and sampling. Studies are designed to answer a wide variety of environmental questions, and therefore, each study should contain specific elements or objectives best suited for answering the question at hand.  Studies could involve judgment sampling (sampling sites upstream and downstream of a suspected pollutant source or a Before-After-Control-Impact design), probabilistic sampling (selecting sites randomly along a stratified-random gradient), or other methods. Extensive discussion of various study objectives/study design are found in the following documents produced by the</w:t>
      </w:r>
      <w:r>
        <w:rPr>
          <w:spacing w:val="-11"/>
        </w:rPr>
        <w:t xml:space="preserve"> </w:t>
      </w:r>
      <w:r>
        <w:t>WQSP:</w:t>
      </w:r>
    </w:p>
    <w:p w:rsidR="00D35590" w:rsidRDefault="00D6082D">
      <w:pPr>
        <w:pStyle w:val="ListParagraph"/>
        <w:numPr>
          <w:ilvl w:val="0"/>
          <w:numId w:val="14"/>
        </w:numPr>
        <w:tabs>
          <w:tab w:val="left" w:pos="1219"/>
          <w:tab w:val="left" w:pos="1220"/>
        </w:tabs>
        <w:spacing w:before="1"/>
        <w:rPr>
          <w:rFonts w:ascii="Symbol" w:hAnsi="Symbol"/>
          <w:color w:val="0000FF"/>
        </w:rPr>
      </w:pPr>
      <w:hyperlink r:id="rId31">
        <w:r w:rsidR="00D75DDE">
          <w:rPr>
            <w:color w:val="0000FF"/>
            <w:sz w:val="24"/>
            <w:u w:val="single" w:color="0000FF"/>
          </w:rPr>
          <w:t>Sampling and Use of the Stream Condition Index for Assessing Flowing Waters: A</w:t>
        </w:r>
        <w:r w:rsidR="00D75DDE">
          <w:rPr>
            <w:color w:val="0000FF"/>
            <w:spacing w:val="-12"/>
            <w:sz w:val="24"/>
            <w:u w:val="single" w:color="0000FF"/>
          </w:rPr>
          <w:t xml:space="preserve"> </w:t>
        </w:r>
        <w:r w:rsidR="00D75DDE">
          <w:rPr>
            <w:color w:val="0000FF"/>
            <w:sz w:val="24"/>
            <w:u w:val="single" w:color="0000FF"/>
          </w:rPr>
          <w:t>Primer</w:t>
        </w:r>
        <w:r w:rsidR="00D75DDE">
          <w:rPr>
            <w:rFonts w:ascii="Calibri" w:hAnsi="Calibri"/>
            <w:color w:val="0000FF"/>
            <w:u w:val="single" w:color="0000FF"/>
          </w:rPr>
          <w:t>;</w:t>
        </w:r>
      </w:hyperlink>
    </w:p>
    <w:p w:rsidR="00D35590" w:rsidRDefault="00D6082D">
      <w:pPr>
        <w:pStyle w:val="ListParagraph"/>
        <w:numPr>
          <w:ilvl w:val="0"/>
          <w:numId w:val="14"/>
        </w:numPr>
        <w:tabs>
          <w:tab w:val="left" w:pos="1219"/>
          <w:tab w:val="left" w:pos="1220"/>
        </w:tabs>
        <w:spacing w:before="42" w:line="273" w:lineRule="auto"/>
        <w:ind w:right="1966"/>
        <w:rPr>
          <w:rFonts w:ascii="Symbol" w:hAnsi="Symbol"/>
          <w:sz w:val="24"/>
        </w:rPr>
      </w:pPr>
      <w:hyperlink r:id="rId32">
        <w:r w:rsidR="00D75DDE">
          <w:rPr>
            <w:color w:val="0000FF"/>
            <w:sz w:val="24"/>
            <w:u w:val="single" w:color="0000FF"/>
          </w:rPr>
          <w:t>“Sampling and Use of the Lake Vegetation Index (LVI) for Assessing Lake Plant</w:t>
        </w:r>
      </w:hyperlink>
      <w:hyperlink r:id="rId33">
        <w:r w:rsidR="00D75DDE">
          <w:rPr>
            <w:color w:val="0000FF"/>
            <w:sz w:val="24"/>
            <w:u w:val="single" w:color="0000FF"/>
          </w:rPr>
          <w:t xml:space="preserve"> Communities in Florida: A</w:t>
        </w:r>
        <w:r w:rsidR="00D75DDE">
          <w:rPr>
            <w:color w:val="0000FF"/>
            <w:spacing w:val="-4"/>
            <w:sz w:val="24"/>
            <w:u w:val="single" w:color="0000FF"/>
          </w:rPr>
          <w:t xml:space="preserve"> </w:t>
        </w:r>
        <w:r w:rsidR="00D75DDE">
          <w:rPr>
            <w:color w:val="0000FF"/>
            <w:sz w:val="24"/>
            <w:u w:val="single" w:color="0000FF"/>
          </w:rPr>
          <w:t>Primer</w:t>
        </w:r>
      </w:hyperlink>
      <w:r w:rsidR="00D75DDE">
        <w:rPr>
          <w:sz w:val="24"/>
        </w:rPr>
        <w:t>;”</w:t>
      </w:r>
    </w:p>
    <w:p w:rsidR="00D35590" w:rsidRDefault="00D6082D">
      <w:pPr>
        <w:pStyle w:val="ListParagraph"/>
        <w:numPr>
          <w:ilvl w:val="0"/>
          <w:numId w:val="14"/>
        </w:numPr>
        <w:tabs>
          <w:tab w:val="left" w:pos="1219"/>
          <w:tab w:val="left" w:pos="1220"/>
        </w:tabs>
        <w:spacing w:before="3"/>
        <w:rPr>
          <w:rFonts w:ascii="Symbol" w:hAnsi="Symbol"/>
          <w:color w:val="0000FF"/>
          <w:sz w:val="24"/>
        </w:rPr>
      </w:pPr>
      <w:hyperlink r:id="rId34">
        <w:r w:rsidR="00D75DDE">
          <w:rPr>
            <w:color w:val="0000FF"/>
            <w:sz w:val="24"/>
            <w:u w:val="single" w:color="0000FF"/>
          </w:rPr>
          <w:t>“Development of Type III Site Specific Alternative Criteria for</w:t>
        </w:r>
        <w:r w:rsidR="00D75DDE">
          <w:rPr>
            <w:color w:val="0000FF"/>
            <w:spacing w:val="-8"/>
            <w:sz w:val="24"/>
            <w:u w:val="single" w:color="0000FF"/>
          </w:rPr>
          <w:t xml:space="preserve"> </w:t>
        </w:r>
        <w:r w:rsidR="00D75DDE">
          <w:rPr>
            <w:color w:val="0000FF"/>
            <w:sz w:val="24"/>
            <w:u w:val="single" w:color="0000FF"/>
          </w:rPr>
          <w:t>Nutrients;”</w:t>
        </w:r>
      </w:hyperlink>
    </w:p>
    <w:p w:rsidR="00D35590" w:rsidRDefault="00D75DDE">
      <w:pPr>
        <w:pStyle w:val="ListParagraph"/>
        <w:numPr>
          <w:ilvl w:val="0"/>
          <w:numId w:val="14"/>
        </w:numPr>
        <w:tabs>
          <w:tab w:val="left" w:pos="1219"/>
          <w:tab w:val="left" w:pos="1220"/>
        </w:tabs>
        <w:spacing w:before="40"/>
        <w:rPr>
          <w:rFonts w:ascii="Symbol" w:hAnsi="Symbol"/>
          <w:sz w:val="24"/>
        </w:rPr>
      </w:pPr>
      <w:r>
        <w:rPr>
          <w:sz w:val="24"/>
        </w:rPr>
        <w:t>“</w:t>
      </w:r>
      <w:hyperlink r:id="rId35">
        <w:r>
          <w:rPr>
            <w:color w:val="0000FF"/>
            <w:sz w:val="24"/>
            <w:u w:val="single" w:color="0000FF"/>
          </w:rPr>
          <w:t>Process for Reclassifying the Designated Uses of Florida Surface</w:t>
        </w:r>
        <w:r>
          <w:rPr>
            <w:color w:val="0000FF"/>
            <w:spacing w:val="-4"/>
            <w:sz w:val="24"/>
            <w:u w:val="single" w:color="0000FF"/>
          </w:rPr>
          <w:t xml:space="preserve"> </w:t>
        </w:r>
        <w:r>
          <w:rPr>
            <w:color w:val="0000FF"/>
            <w:sz w:val="24"/>
            <w:u w:val="single" w:color="0000FF"/>
          </w:rPr>
          <w:t>Waters</w:t>
        </w:r>
      </w:hyperlink>
      <w:r>
        <w:rPr>
          <w:sz w:val="24"/>
        </w:rPr>
        <w:t>;”</w:t>
      </w:r>
    </w:p>
    <w:p w:rsidR="00D35590" w:rsidRDefault="00D6082D">
      <w:pPr>
        <w:pStyle w:val="ListParagraph"/>
        <w:numPr>
          <w:ilvl w:val="0"/>
          <w:numId w:val="14"/>
        </w:numPr>
        <w:tabs>
          <w:tab w:val="left" w:pos="1219"/>
          <w:tab w:val="left" w:pos="1220"/>
        </w:tabs>
        <w:spacing w:before="42"/>
        <w:rPr>
          <w:rFonts w:ascii="Symbol" w:hAnsi="Symbol"/>
          <w:sz w:val="24"/>
        </w:rPr>
      </w:pPr>
      <w:hyperlink r:id="rId36">
        <w:r w:rsidR="00D75DDE">
          <w:rPr>
            <w:color w:val="0000FF"/>
            <w:sz w:val="24"/>
            <w:u w:val="single" w:color="0000FF"/>
          </w:rPr>
          <w:t>Implementation of Florida’s Numeric Nutrient Standards</w:t>
        </w:r>
      </w:hyperlink>
      <w:r w:rsidR="00D75DDE">
        <w:rPr>
          <w:sz w:val="24"/>
        </w:rPr>
        <w:t>;</w:t>
      </w:r>
      <w:r w:rsidR="00D75DDE">
        <w:rPr>
          <w:spacing w:val="-2"/>
          <w:sz w:val="24"/>
        </w:rPr>
        <w:t xml:space="preserve"> </w:t>
      </w:r>
      <w:r w:rsidR="00D75DDE">
        <w:rPr>
          <w:sz w:val="24"/>
        </w:rPr>
        <w:t>and</w:t>
      </w:r>
    </w:p>
    <w:p w:rsidR="00D35590" w:rsidRDefault="00D75DDE">
      <w:pPr>
        <w:pStyle w:val="ListParagraph"/>
        <w:numPr>
          <w:ilvl w:val="0"/>
          <w:numId w:val="14"/>
        </w:numPr>
        <w:tabs>
          <w:tab w:val="left" w:pos="1219"/>
          <w:tab w:val="left" w:pos="1220"/>
        </w:tabs>
        <w:spacing w:before="40"/>
        <w:rPr>
          <w:rFonts w:ascii="Symbol" w:hAnsi="Symbol"/>
          <w:sz w:val="24"/>
        </w:rPr>
      </w:pPr>
      <w:r>
        <w:rPr>
          <w:sz w:val="24"/>
        </w:rPr>
        <w:t>Everglades “</w:t>
      </w:r>
      <w:hyperlink r:id="rId37">
        <w:r>
          <w:rPr>
            <w:color w:val="0000FF"/>
            <w:sz w:val="24"/>
            <w:u w:val="single" w:color="0000FF"/>
          </w:rPr>
          <w:t>Data Quality Screening</w:t>
        </w:r>
        <w:r>
          <w:rPr>
            <w:color w:val="0000FF"/>
            <w:spacing w:val="2"/>
            <w:sz w:val="24"/>
            <w:u w:val="single" w:color="0000FF"/>
          </w:rPr>
          <w:t xml:space="preserve"> </w:t>
        </w:r>
        <w:r>
          <w:rPr>
            <w:color w:val="0000FF"/>
            <w:sz w:val="24"/>
            <w:u w:val="single" w:color="0000FF"/>
          </w:rPr>
          <w:t>Protocol.</w:t>
        </w:r>
      </w:hyperlink>
      <w:r>
        <w:rPr>
          <w:sz w:val="24"/>
        </w:rPr>
        <w:t>”</w:t>
      </w:r>
    </w:p>
    <w:p w:rsidR="00D35590" w:rsidRDefault="00D75DDE">
      <w:pPr>
        <w:pStyle w:val="BodyText"/>
        <w:spacing w:before="239"/>
        <w:ind w:left="140" w:right="1282"/>
      </w:pPr>
      <w:r>
        <w:t>The following are water quality parameters commonly collected by the WQSP, depending upon the needs of the study.</w:t>
      </w:r>
    </w:p>
    <w:p w:rsidR="00D35590" w:rsidRDefault="00D35590">
      <w:pPr>
        <w:pStyle w:val="BodyText"/>
        <w:spacing w:before="10"/>
        <w:rPr>
          <w:sz w:val="23"/>
        </w:rPr>
      </w:pPr>
    </w:p>
    <w:p w:rsidR="00D35590" w:rsidRDefault="00D75DDE">
      <w:pPr>
        <w:pStyle w:val="ListParagraph"/>
        <w:numPr>
          <w:ilvl w:val="0"/>
          <w:numId w:val="14"/>
        </w:numPr>
        <w:tabs>
          <w:tab w:val="left" w:pos="1219"/>
          <w:tab w:val="left" w:pos="1220"/>
        </w:tabs>
        <w:spacing w:line="295" w:lineRule="exact"/>
        <w:rPr>
          <w:rFonts w:ascii="Symbol" w:hAnsi="Symbol"/>
          <w:sz w:val="24"/>
        </w:rPr>
      </w:pPr>
      <w:r>
        <w:rPr>
          <w:position w:val="2"/>
          <w:sz w:val="24"/>
        </w:rPr>
        <w:t>Preserved Nutrients (TKN, TP, NOx, NH</w:t>
      </w:r>
      <w:r>
        <w:rPr>
          <w:sz w:val="16"/>
        </w:rPr>
        <w:t>3</w:t>
      </w:r>
      <w:r>
        <w:rPr>
          <w:position w:val="2"/>
          <w:sz w:val="24"/>
        </w:rPr>
        <w:t>, TOC)</w:t>
      </w:r>
    </w:p>
    <w:p w:rsidR="00D35590" w:rsidRDefault="00D75DDE">
      <w:pPr>
        <w:pStyle w:val="ListParagraph"/>
        <w:numPr>
          <w:ilvl w:val="0"/>
          <w:numId w:val="14"/>
        </w:numPr>
        <w:tabs>
          <w:tab w:val="left" w:pos="1219"/>
          <w:tab w:val="left" w:pos="1220"/>
        </w:tabs>
        <w:spacing w:line="292" w:lineRule="exact"/>
        <w:ind w:hanging="361"/>
        <w:rPr>
          <w:rFonts w:ascii="Symbol" w:hAnsi="Symbol"/>
          <w:sz w:val="24"/>
        </w:rPr>
      </w:pPr>
      <w:r>
        <w:rPr>
          <w:sz w:val="24"/>
        </w:rPr>
        <w:t>Filtered Nutrients</w:t>
      </w:r>
      <w:r>
        <w:rPr>
          <w:spacing w:val="-1"/>
          <w:sz w:val="24"/>
        </w:rPr>
        <w:t xml:space="preserve"> </w:t>
      </w:r>
      <w:r>
        <w:rPr>
          <w:sz w:val="24"/>
        </w:rPr>
        <w:t>(Orthophosphate)</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position w:val="2"/>
          <w:sz w:val="24"/>
        </w:rPr>
        <w:t>Unpreserved Nutrients (NO</w:t>
      </w:r>
      <w:r>
        <w:rPr>
          <w:sz w:val="16"/>
        </w:rPr>
        <w:t>2</w:t>
      </w:r>
      <w:r>
        <w:rPr>
          <w:position w:val="2"/>
          <w:sz w:val="24"/>
        </w:rPr>
        <w:t>,</w:t>
      </w:r>
      <w:r>
        <w:rPr>
          <w:spacing w:val="-1"/>
          <w:position w:val="2"/>
          <w:sz w:val="24"/>
        </w:rPr>
        <w:t xml:space="preserve"> </w:t>
      </w:r>
      <w:r>
        <w:rPr>
          <w:position w:val="2"/>
          <w:sz w:val="24"/>
        </w:rPr>
        <w:t>NO</w:t>
      </w:r>
      <w:r>
        <w:rPr>
          <w:sz w:val="16"/>
        </w:rPr>
        <w:t>3</w:t>
      </w:r>
      <w:r>
        <w:rPr>
          <w:position w:val="2"/>
          <w:sz w:val="24"/>
        </w:rPr>
        <w:t>)</w:t>
      </w:r>
    </w:p>
    <w:p w:rsidR="00D35590" w:rsidRDefault="00D75DDE">
      <w:pPr>
        <w:pStyle w:val="ListParagraph"/>
        <w:numPr>
          <w:ilvl w:val="0"/>
          <w:numId w:val="14"/>
        </w:numPr>
        <w:tabs>
          <w:tab w:val="left" w:pos="1219"/>
          <w:tab w:val="left" w:pos="1220"/>
        </w:tabs>
        <w:spacing w:line="294" w:lineRule="exact"/>
        <w:ind w:hanging="361"/>
        <w:rPr>
          <w:rFonts w:ascii="Symbol" w:hAnsi="Symbol"/>
          <w:sz w:val="24"/>
        </w:rPr>
      </w:pPr>
      <w:r>
        <w:rPr>
          <w:position w:val="2"/>
          <w:sz w:val="24"/>
        </w:rPr>
        <w:t>Sulfate</w:t>
      </w:r>
      <w:r>
        <w:rPr>
          <w:spacing w:val="-2"/>
          <w:position w:val="2"/>
          <w:sz w:val="24"/>
        </w:rPr>
        <w:t xml:space="preserve"> </w:t>
      </w:r>
      <w:r>
        <w:rPr>
          <w:position w:val="2"/>
          <w:sz w:val="24"/>
        </w:rPr>
        <w:t>(SO</w:t>
      </w:r>
      <w:r>
        <w:rPr>
          <w:sz w:val="16"/>
        </w:rPr>
        <w:t>4</w:t>
      </w:r>
      <w:r>
        <w:rPr>
          <w:position w:val="2"/>
          <w:sz w:val="24"/>
        </w:rPr>
        <w:t>)</w:t>
      </w:r>
    </w:p>
    <w:p w:rsidR="00D35590" w:rsidRDefault="00D75DDE">
      <w:pPr>
        <w:pStyle w:val="ListParagraph"/>
        <w:numPr>
          <w:ilvl w:val="0"/>
          <w:numId w:val="14"/>
        </w:numPr>
        <w:tabs>
          <w:tab w:val="left" w:pos="1219"/>
          <w:tab w:val="left" w:pos="1220"/>
        </w:tabs>
        <w:spacing w:line="293" w:lineRule="exact"/>
        <w:rPr>
          <w:rFonts w:ascii="Symbol" w:hAnsi="Symbol"/>
          <w:sz w:val="24"/>
        </w:rPr>
      </w:pPr>
      <w:r>
        <w:rPr>
          <w:sz w:val="24"/>
        </w:rPr>
        <w:t>Physical/Aggregate Properties (TDS, TSS, TS, Turbidity, Alkalinity,</w:t>
      </w:r>
      <w:r>
        <w:rPr>
          <w:spacing w:val="-5"/>
          <w:sz w:val="24"/>
        </w:rPr>
        <w:t xml:space="preserve"> </w:t>
      </w:r>
      <w:r>
        <w:rPr>
          <w:sz w:val="24"/>
        </w:rPr>
        <w:t>Color)</w:t>
      </w:r>
    </w:p>
    <w:p w:rsidR="00D35590" w:rsidRDefault="00D75DDE">
      <w:pPr>
        <w:pStyle w:val="ListParagraph"/>
        <w:numPr>
          <w:ilvl w:val="0"/>
          <w:numId w:val="14"/>
        </w:numPr>
        <w:tabs>
          <w:tab w:val="left" w:pos="1219"/>
          <w:tab w:val="left" w:pos="1220"/>
        </w:tabs>
        <w:spacing w:line="293" w:lineRule="exact"/>
        <w:rPr>
          <w:rFonts w:ascii="Symbol" w:hAnsi="Symbol"/>
          <w:sz w:val="24"/>
        </w:rPr>
      </w:pPr>
      <w:r>
        <w:rPr>
          <w:sz w:val="24"/>
        </w:rPr>
        <w:t>Chlorophyll</w:t>
      </w:r>
    </w:p>
    <w:p w:rsidR="00D35590" w:rsidRDefault="00D35590">
      <w:pPr>
        <w:spacing w:line="293" w:lineRule="exact"/>
        <w:rPr>
          <w:rFonts w:ascii="Symbol" w:hAnsi="Symbol"/>
          <w:sz w:val="24"/>
        </w:rPr>
        <w:sectPr w:rsidR="00D35590">
          <w:pgSz w:w="12240" w:h="15840"/>
          <w:pgMar w:top="1360" w:right="300" w:bottom="880" w:left="940" w:header="0" w:footer="619" w:gutter="0"/>
          <w:cols w:space="720"/>
        </w:sectPr>
      </w:pPr>
    </w:p>
    <w:p w:rsidR="00D35590" w:rsidRDefault="00D75DDE">
      <w:pPr>
        <w:pStyle w:val="ListParagraph"/>
        <w:numPr>
          <w:ilvl w:val="0"/>
          <w:numId w:val="14"/>
        </w:numPr>
        <w:tabs>
          <w:tab w:val="left" w:pos="1219"/>
          <w:tab w:val="left" w:pos="1220"/>
        </w:tabs>
        <w:spacing w:before="78" w:line="293" w:lineRule="exact"/>
        <w:rPr>
          <w:rFonts w:ascii="Symbol" w:hAnsi="Symbol"/>
          <w:sz w:val="24"/>
        </w:rPr>
      </w:pPr>
      <w:r>
        <w:rPr>
          <w:sz w:val="24"/>
        </w:rPr>
        <w:lastRenderedPageBreak/>
        <w:t>BOD</w:t>
      </w:r>
    </w:p>
    <w:p w:rsidR="00D35590" w:rsidRDefault="00D75DDE">
      <w:pPr>
        <w:pStyle w:val="ListParagraph"/>
        <w:numPr>
          <w:ilvl w:val="0"/>
          <w:numId w:val="14"/>
        </w:numPr>
        <w:tabs>
          <w:tab w:val="left" w:pos="1219"/>
          <w:tab w:val="left" w:pos="1220"/>
        </w:tabs>
        <w:spacing w:line="293" w:lineRule="exact"/>
        <w:rPr>
          <w:rFonts w:ascii="Symbol" w:hAnsi="Symbol"/>
          <w:sz w:val="24"/>
        </w:rPr>
      </w:pPr>
      <w:r>
        <w:rPr>
          <w:sz w:val="24"/>
        </w:rPr>
        <w:t>Microbiology (</w:t>
      </w:r>
      <w:r>
        <w:rPr>
          <w:i/>
          <w:sz w:val="24"/>
        </w:rPr>
        <w:t>E. coli</w:t>
      </w:r>
      <w:r>
        <w:rPr>
          <w:sz w:val="24"/>
        </w:rPr>
        <w:t>, fecal coliform,</w:t>
      </w:r>
      <w:r>
        <w:rPr>
          <w:spacing w:val="-1"/>
          <w:sz w:val="24"/>
        </w:rPr>
        <w:t xml:space="preserve"> </w:t>
      </w:r>
      <w:r>
        <w:rPr>
          <w:sz w:val="24"/>
        </w:rPr>
        <w:t>enterococci)</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Macroinvertebrates</w:t>
      </w:r>
    </w:p>
    <w:p w:rsidR="00D35590" w:rsidRDefault="00D75DDE">
      <w:pPr>
        <w:pStyle w:val="ListParagraph"/>
        <w:numPr>
          <w:ilvl w:val="0"/>
          <w:numId w:val="14"/>
        </w:numPr>
        <w:tabs>
          <w:tab w:val="left" w:pos="1219"/>
          <w:tab w:val="left" w:pos="1220"/>
        </w:tabs>
        <w:spacing w:before="2" w:line="293" w:lineRule="exact"/>
        <w:ind w:hanging="361"/>
        <w:rPr>
          <w:rFonts w:ascii="Symbol" w:hAnsi="Symbol"/>
          <w:sz w:val="24"/>
        </w:rPr>
      </w:pPr>
      <w:r>
        <w:rPr>
          <w:sz w:val="24"/>
        </w:rPr>
        <w:t>Phytoplankton (algal blooms or</w:t>
      </w:r>
      <w:r>
        <w:rPr>
          <w:spacing w:val="-2"/>
          <w:sz w:val="24"/>
        </w:rPr>
        <w:t xml:space="preserve"> </w:t>
      </w:r>
      <w:r>
        <w:rPr>
          <w:sz w:val="24"/>
        </w:rPr>
        <w:t>research)</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Periphyton</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AGP</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Metals</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Filtered</w:t>
      </w:r>
      <w:r>
        <w:rPr>
          <w:spacing w:val="-1"/>
          <w:sz w:val="24"/>
        </w:rPr>
        <w:t xml:space="preserve"> </w:t>
      </w:r>
      <w:r>
        <w:rPr>
          <w:sz w:val="24"/>
        </w:rPr>
        <w:t>Metals</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Base Neutral/Acid Extractable</w:t>
      </w:r>
      <w:r>
        <w:rPr>
          <w:spacing w:val="-3"/>
          <w:sz w:val="24"/>
        </w:rPr>
        <w:t xml:space="preserve"> </w:t>
      </w:r>
      <w:r>
        <w:rPr>
          <w:sz w:val="24"/>
        </w:rPr>
        <w:t>organics</w:t>
      </w:r>
    </w:p>
    <w:p w:rsidR="00D35590" w:rsidRDefault="00D75DDE">
      <w:pPr>
        <w:pStyle w:val="ListParagraph"/>
        <w:numPr>
          <w:ilvl w:val="0"/>
          <w:numId w:val="14"/>
        </w:numPr>
        <w:tabs>
          <w:tab w:val="left" w:pos="1219"/>
          <w:tab w:val="left" w:pos="1220"/>
        </w:tabs>
        <w:spacing w:before="1" w:line="293" w:lineRule="exact"/>
        <w:ind w:hanging="361"/>
        <w:rPr>
          <w:rFonts w:ascii="Symbol" w:hAnsi="Symbol"/>
          <w:sz w:val="24"/>
        </w:rPr>
      </w:pPr>
      <w:r>
        <w:rPr>
          <w:sz w:val="24"/>
        </w:rPr>
        <w:t>Pesticides</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Volatile</w:t>
      </w:r>
      <w:r>
        <w:rPr>
          <w:spacing w:val="-2"/>
          <w:sz w:val="24"/>
        </w:rPr>
        <w:t xml:space="preserve"> </w:t>
      </w:r>
      <w:r>
        <w:rPr>
          <w:sz w:val="24"/>
        </w:rPr>
        <w:t>Organics</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Bioassays</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 xml:space="preserve">Genetic markers, such as HF183, GFD, and </w:t>
      </w:r>
      <w:proofErr w:type="spellStart"/>
      <w:r>
        <w:rPr>
          <w:sz w:val="24"/>
        </w:rPr>
        <w:t>BacR</w:t>
      </w:r>
      <w:proofErr w:type="spellEnd"/>
      <w:r>
        <w:rPr>
          <w:sz w:val="24"/>
        </w:rPr>
        <w:t xml:space="preserve"> analyzed by</w:t>
      </w:r>
      <w:r>
        <w:rPr>
          <w:spacing w:val="3"/>
          <w:sz w:val="24"/>
        </w:rPr>
        <w:t xml:space="preserve"> </w:t>
      </w:r>
      <w:r>
        <w:rPr>
          <w:sz w:val="24"/>
        </w:rPr>
        <w:t>PCR</w:t>
      </w:r>
    </w:p>
    <w:p w:rsidR="00D35590" w:rsidRDefault="00D75DDE">
      <w:pPr>
        <w:pStyle w:val="ListParagraph"/>
        <w:numPr>
          <w:ilvl w:val="0"/>
          <w:numId w:val="14"/>
        </w:numPr>
        <w:tabs>
          <w:tab w:val="left" w:pos="1219"/>
          <w:tab w:val="left" w:pos="1220"/>
        </w:tabs>
        <w:spacing w:line="293" w:lineRule="exact"/>
        <w:ind w:hanging="361"/>
        <w:rPr>
          <w:rFonts w:ascii="Symbol" w:hAnsi="Symbol"/>
          <w:sz w:val="24"/>
        </w:rPr>
      </w:pPr>
      <w:r>
        <w:rPr>
          <w:sz w:val="24"/>
        </w:rPr>
        <w:t>Chemical</w:t>
      </w:r>
      <w:r>
        <w:rPr>
          <w:spacing w:val="-1"/>
          <w:sz w:val="24"/>
        </w:rPr>
        <w:t xml:space="preserve"> </w:t>
      </w:r>
      <w:r>
        <w:rPr>
          <w:sz w:val="24"/>
        </w:rPr>
        <w:t>tracers</w:t>
      </w:r>
    </w:p>
    <w:p w:rsidR="00D35590" w:rsidRDefault="00D35590">
      <w:pPr>
        <w:pStyle w:val="BodyText"/>
        <w:spacing w:before="10"/>
        <w:rPr>
          <w:sz w:val="23"/>
        </w:rPr>
      </w:pPr>
    </w:p>
    <w:p w:rsidR="00D35590" w:rsidRDefault="00D75DDE">
      <w:pPr>
        <w:pStyle w:val="BodyText"/>
        <w:ind w:left="139" w:right="1104"/>
      </w:pPr>
      <w:r>
        <w:t>Most often, a direct grab with the sample container is performed; however, pole samples, dippers, peristaltic pumps, and Alpha bottles may also be used as needed. Multi-probed units (Yellow Springs Instruments, [YSI]) are most often used to collect field measurements of dissolved oxygen (DO), pH, specific conductance, and temperature. The instruments are verified and calibrated per DEP SOPs FT 1000, FT 1100, FT 1200, FT 1300, FT 1400, and FT 1500. AEQAS maintains a YSI unit for WQSP</w:t>
      </w:r>
    </w:p>
    <w:p w:rsidR="00D35590" w:rsidRDefault="00D75DDE">
      <w:pPr>
        <w:pStyle w:val="BodyText"/>
        <w:spacing w:before="1"/>
        <w:ind w:left="139" w:right="962"/>
      </w:pPr>
      <w:r>
        <w:t>use. Additional YSI units are maintained by the Biology Program in the DEP Laboratories. Calibration and verification records are kept with each unit and maintained within the Laboratories document control system.</w:t>
      </w:r>
    </w:p>
    <w:p w:rsidR="00D35590" w:rsidRDefault="00D35590">
      <w:pPr>
        <w:pStyle w:val="BodyText"/>
        <w:spacing w:before="11"/>
        <w:rPr>
          <w:sz w:val="23"/>
        </w:rPr>
      </w:pPr>
    </w:p>
    <w:p w:rsidR="00D35590" w:rsidRDefault="00D75DDE">
      <w:pPr>
        <w:pStyle w:val="BodyText"/>
        <w:ind w:left="139" w:right="1268"/>
      </w:pPr>
      <w:r>
        <w:t xml:space="preserve">Field documentation and quality control for field sampling activities follow DEP SOP FD 1000 and DEP SOP FQ 1000. The DEP lab maintains </w:t>
      </w:r>
      <w:hyperlink r:id="rId38">
        <w:r>
          <w:rPr>
            <w:color w:val="0000FF"/>
            <w:u w:val="single" w:color="0000FF"/>
          </w:rPr>
          <w:t>SOPs</w:t>
        </w:r>
        <w:r>
          <w:rPr>
            <w:color w:val="0000FF"/>
          </w:rPr>
          <w:t xml:space="preserve"> </w:t>
        </w:r>
      </w:hyperlink>
      <w:r>
        <w:t>for sample handing, log in and custody, lab procedures, data entry, analytical methods and quality control.</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bookmarkStart w:id="57" w:name="6.1_Sample_Scheduling_and_Trip_Planning"/>
      <w:bookmarkStart w:id="58" w:name="_bookmark16"/>
      <w:bookmarkEnd w:id="57"/>
      <w:bookmarkEnd w:id="58"/>
      <w:r>
        <w:t>Sample Scheduling and Trip</w:t>
      </w:r>
      <w:r>
        <w:rPr>
          <w:spacing w:val="-5"/>
        </w:rPr>
        <w:t xml:space="preserve"> </w:t>
      </w:r>
      <w:r>
        <w:t>Planning</w:t>
      </w:r>
    </w:p>
    <w:p w:rsidR="00D35590" w:rsidRDefault="00D75DDE">
      <w:pPr>
        <w:pStyle w:val="BodyText"/>
        <w:spacing w:before="140"/>
        <w:ind w:left="140" w:right="888"/>
      </w:pPr>
      <w:r>
        <w:t>The Laboratory Information Management System (LIMS) is a tool used for scheduling sampling events and entering, searching and viewing data. LIMS also can be used to create electronic or hard copy reports. WQSP staff use LIMS to schedule samples with the DEP labs, print field sheets, and retrieve data. For WQSP sampling, the customer in LIMS is “BSSP,” which includes the following projects:</w:t>
      </w:r>
    </w:p>
    <w:p w:rsidR="00D35590" w:rsidRDefault="00D35590">
      <w:pPr>
        <w:pStyle w:val="BodyText"/>
        <w:spacing w:before="11"/>
        <w:rPr>
          <w:sz w:val="23"/>
        </w:rPr>
      </w:pPr>
    </w:p>
    <w:p w:rsidR="00D35590" w:rsidRDefault="00D75DDE">
      <w:pPr>
        <w:pStyle w:val="BodyText"/>
        <w:ind w:left="140" w:right="5421"/>
      </w:pPr>
      <w:r>
        <w:t>ADDLAKES: Additional LVI Lake Site (not Reference) ALG-GR-STY: Algal Gradient Study</w:t>
      </w:r>
    </w:p>
    <w:p w:rsidR="00D35590" w:rsidRDefault="00D75DDE">
      <w:pPr>
        <w:pStyle w:val="BodyText"/>
        <w:ind w:left="140" w:right="6353"/>
      </w:pPr>
      <w:r>
        <w:t>DESIG_USES: Evaluation of Designated Uses DIS-OXYGEN: Dissolved oxygen project</w:t>
      </w:r>
    </w:p>
    <w:p w:rsidR="00D35590" w:rsidRDefault="00D75DDE">
      <w:pPr>
        <w:pStyle w:val="BodyText"/>
        <w:ind w:left="140" w:right="4927"/>
      </w:pPr>
      <w:r>
        <w:t>EPA-NWCA: EPA National Wetland Conditions Assessment LAKESREF: LVI Lake Reference Site</w:t>
      </w:r>
    </w:p>
    <w:p w:rsidR="00D35590" w:rsidRDefault="00D75DDE">
      <w:pPr>
        <w:pStyle w:val="BodyText"/>
        <w:ind w:left="140" w:right="4492"/>
      </w:pPr>
      <w:r>
        <w:t>LANDG-GOMA: Gulf of Mexico Mercury and Nutrient sampling LKWTCH-DEP: Comparability Study</w:t>
      </w:r>
    </w:p>
    <w:p w:rsidR="00D35590" w:rsidRDefault="00D75DDE">
      <w:pPr>
        <w:pStyle w:val="BodyText"/>
        <w:ind w:left="140"/>
      </w:pPr>
      <w:r>
        <w:t>LOWWATER: Effect of drought and low water on SCI</w:t>
      </w:r>
    </w:p>
    <w:p w:rsidR="00D35590" w:rsidRDefault="00D75DDE">
      <w:pPr>
        <w:pStyle w:val="BodyText"/>
        <w:ind w:left="140" w:right="3484"/>
      </w:pPr>
      <w:r>
        <w:t>MCKAY-BAY: McKay Bay Contaminants Project - Multi Agency project MST-SAMPLG: Microbial Source Tracking Sampling - Color and Turbidity</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139" w:right="3537"/>
      </w:pPr>
      <w:r>
        <w:lastRenderedPageBreak/>
        <w:t>NNC-STUDY: Coastal numeric nutrient criteria (NNC) project with NOAA NT-ESTUARY: Estuary Nutrient Criteria Development Project</w:t>
      </w:r>
    </w:p>
    <w:p w:rsidR="00D35590" w:rsidRDefault="00D75DDE">
      <w:pPr>
        <w:pStyle w:val="BodyText"/>
        <w:ind w:left="139"/>
      </w:pPr>
      <w:r>
        <w:t>NT-GRA-STY: Nutrient Gradient Study</w:t>
      </w:r>
    </w:p>
    <w:p w:rsidR="00D35590" w:rsidRDefault="00D75DDE">
      <w:pPr>
        <w:pStyle w:val="BodyText"/>
        <w:ind w:left="139" w:right="6301"/>
      </w:pPr>
      <w:r>
        <w:t>NT-LON-STY: Nutrient Longitudinal Study NT-LVI-STY: Nutrients and LVIs in Lakes NT-REF-SIT: Nutrient Criteria Reference Sites</w:t>
      </w:r>
    </w:p>
    <w:p w:rsidR="00D35590" w:rsidRDefault="00D75DDE">
      <w:pPr>
        <w:pStyle w:val="BodyText"/>
        <w:ind w:left="139"/>
      </w:pPr>
      <w:r>
        <w:t>QA-INVSGTN: Quality Assurance Investigations</w:t>
      </w:r>
    </w:p>
    <w:p w:rsidR="00D35590" w:rsidRDefault="00D75DDE">
      <w:pPr>
        <w:pStyle w:val="BodyText"/>
        <w:ind w:left="139" w:right="3833"/>
      </w:pPr>
      <w:r>
        <w:t>RECLASS: Assess potential revisions to the surface water classifications SCI-BNCHMK: Benchmark SCI Sites for Re-auditing Purposes</w:t>
      </w:r>
    </w:p>
    <w:p w:rsidR="00D35590" w:rsidRDefault="00D75DDE">
      <w:pPr>
        <w:pStyle w:val="BodyText"/>
        <w:ind w:left="139"/>
      </w:pPr>
      <w:r>
        <w:t>SCI-DUPS: Evaluation of variability for SCI_2007</w:t>
      </w:r>
    </w:p>
    <w:p w:rsidR="00D35590" w:rsidRDefault="00D75DDE">
      <w:pPr>
        <w:pStyle w:val="BodyText"/>
        <w:ind w:left="139" w:right="3847"/>
      </w:pPr>
      <w:r>
        <w:t>SCIREF: SCI Stream Reference Site - Not to be used for TMDL projects SSAC-PETTN: Site Specific Alternative Criteria Petition</w:t>
      </w:r>
    </w:p>
    <w:p w:rsidR="00D35590" w:rsidRDefault="00D75DDE">
      <w:pPr>
        <w:pStyle w:val="BodyText"/>
        <w:ind w:left="139" w:right="6485"/>
      </w:pPr>
      <w:r>
        <w:t>SCI-STRESS: Stressor ID Project WETLAND-DO: DO monitoring in wetlands WW-NUT-EFF: WWTP Effects Study</w:t>
      </w:r>
    </w:p>
    <w:p w:rsidR="00D35590" w:rsidRDefault="00D75DDE">
      <w:pPr>
        <w:pStyle w:val="BodyText"/>
        <w:ind w:left="139"/>
      </w:pPr>
      <w:r>
        <w:t>CLAM_BAYOU: Clam Bayou Antidegradation Study</w:t>
      </w:r>
    </w:p>
    <w:p w:rsidR="00D35590" w:rsidRDefault="00D35590">
      <w:pPr>
        <w:pStyle w:val="BodyText"/>
        <w:rPr>
          <w:sz w:val="26"/>
        </w:rPr>
      </w:pPr>
    </w:p>
    <w:p w:rsidR="00D35590" w:rsidRDefault="00D75DDE">
      <w:pPr>
        <w:pStyle w:val="BodyText"/>
        <w:spacing w:before="217"/>
        <w:ind w:left="139"/>
      </w:pPr>
      <w:r>
        <w:t>WQSP staff are instructed to take the following steps to schedule and prepare for sampling trips:</w:t>
      </w:r>
    </w:p>
    <w:p w:rsidR="00D35590" w:rsidRDefault="00D35590">
      <w:pPr>
        <w:pStyle w:val="BodyText"/>
        <w:spacing w:before="10"/>
        <w:rPr>
          <w:sz w:val="20"/>
        </w:rPr>
      </w:pPr>
    </w:p>
    <w:p w:rsidR="00D35590" w:rsidRDefault="00D75DDE">
      <w:pPr>
        <w:pStyle w:val="ListParagraph"/>
        <w:numPr>
          <w:ilvl w:val="2"/>
          <w:numId w:val="13"/>
        </w:numPr>
        <w:tabs>
          <w:tab w:val="left" w:pos="859"/>
          <w:tab w:val="left" w:pos="860"/>
        </w:tabs>
        <w:ind w:left="859" w:right="791"/>
        <w:rPr>
          <w:sz w:val="24"/>
        </w:rPr>
      </w:pPr>
      <w:bookmarkStart w:id="59" w:name="6.1.1_Be_sure_to_schedule_sampling_trips"/>
      <w:bookmarkEnd w:id="59"/>
      <w:r>
        <w:rPr>
          <w:sz w:val="24"/>
        </w:rPr>
        <w:t xml:space="preserve">Be sure to schedule sampling trips in LIMS at least two weeks prior to the event to allow laboratory staff ample time to prepare the sampling kit. Schedule a sampling trip in LIMS by selecting the “Scheduler” module found under the “General” tab. From the </w:t>
      </w:r>
      <w:proofErr w:type="gramStart"/>
      <w:r>
        <w:rPr>
          <w:sz w:val="24"/>
        </w:rPr>
        <w:t>drop down</w:t>
      </w:r>
      <w:proofErr w:type="gramEnd"/>
      <w:r>
        <w:rPr>
          <w:sz w:val="24"/>
        </w:rPr>
        <w:t xml:space="preserve"> menu, select “Schedule New Request” and navigate to the next page. (If available, select “Load Template” to load a previously saved sampling kit template). Select the appropriate date for the week of the scheduled sample(s). A table will populate with the laboratory capacity (in percent) for the week selected, be sure to check the lab is not over capacity (&gt;100%) for analytes included in sampling kit. If the lab is near or over capacity for an analyte(s) in the sampling kit, contact the lab before completing the order. Fill out all prompted information on the next page.  From the </w:t>
      </w:r>
      <w:proofErr w:type="gramStart"/>
      <w:r>
        <w:rPr>
          <w:sz w:val="24"/>
        </w:rPr>
        <w:t>drop down</w:t>
      </w:r>
      <w:proofErr w:type="gramEnd"/>
      <w:r>
        <w:rPr>
          <w:sz w:val="24"/>
        </w:rPr>
        <w:t xml:space="preserve"> menu for “Customer,” select “BSSP,” then select the appropriate “Project ID.” Priority will be set at “3” for all routine sampling projects. Checkmark the boxes appropriate to sampling project (Criminal Investigation, Sampling Kit Require, Sampling Kit for Pickup, and/or Preservatives Needed) and provide a brief sampling event description in the box provided. Include any additional comments or pertinent information in the “Comments” section. Click on the date under the “Return Date” heading and select the date samples will be returned to the laboratory. Fill out all of the information in the “Send Coolers To” and “Send Final Report To” sections. If the “Next” button at the bottom of the page remains “greyed” and the page cannot advance, check that all information has been</w:t>
      </w:r>
      <w:r>
        <w:rPr>
          <w:spacing w:val="-1"/>
          <w:sz w:val="24"/>
        </w:rPr>
        <w:t xml:space="preserve"> </w:t>
      </w:r>
      <w:r>
        <w:rPr>
          <w:sz w:val="24"/>
        </w:rPr>
        <w:t>provided.</w:t>
      </w:r>
    </w:p>
    <w:p w:rsidR="00D35590" w:rsidRDefault="00D35590">
      <w:pPr>
        <w:pStyle w:val="BodyText"/>
        <w:spacing w:before="11"/>
        <w:rPr>
          <w:sz w:val="20"/>
        </w:rPr>
      </w:pPr>
    </w:p>
    <w:p w:rsidR="00D35590" w:rsidRDefault="00D75DDE">
      <w:pPr>
        <w:pStyle w:val="BodyText"/>
        <w:ind w:left="859" w:right="923"/>
      </w:pPr>
      <w:bookmarkStart w:id="60" w:name="On_the_next_page,_select_the_button_with"/>
      <w:bookmarkEnd w:id="60"/>
      <w:r>
        <w:t>On the next page, select the button with the blue arrow and “+” sign to add a new bottle group. Select the appropriate Matrix – Soil/Sediment/Waste, Tissue, Water, Biological, or Air. Select the number of samples needed. Then, select the analytes to be included in the sampling kit from the “Available Analyses” box and click “Add.” The analytes selected will appear in the “Selected Analyses” box. Some analyses contain multiple analytes. Click “Select Analytes” to choose which analytes should be included in the sampling kit and click “Add.” Repeat this process for additional bottle groups as needed. If desired, select “Save Template” to save the analyte list for use for future sampling events. Select “Finish” and record the RQ.</w:t>
      </w:r>
    </w:p>
    <w:p w:rsidR="00D35590" w:rsidRDefault="00D35590">
      <w:pPr>
        <w:sectPr w:rsidR="00D35590">
          <w:pgSz w:w="12240" w:h="15840"/>
          <w:pgMar w:top="1360" w:right="300" w:bottom="880" w:left="940" w:header="0" w:footer="619" w:gutter="0"/>
          <w:cols w:space="720"/>
        </w:sectPr>
      </w:pPr>
    </w:p>
    <w:p w:rsidR="00D35590" w:rsidRDefault="00D75DDE">
      <w:pPr>
        <w:pStyle w:val="ListParagraph"/>
        <w:numPr>
          <w:ilvl w:val="2"/>
          <w:numId w:val="13"/>
        </w:numPr>
        <w:tabs>
          <w:tab w:val="left" w:pos="859"/>
          <w:tab w:val="left" w:pos="860"/>
        </w:tabs>
        <w:spacing w:before="79"/>
        <w:ind w:left="859" w:right="781"/>
        <w:rPr>
          <w:sz w:val="24"/>
        </w:rPr>
      </w:pPr>
      <w:bookmarkStart w:id="61" w:name="6.1.2_Once_the_sampling_kit_has_been_rec"/>
      <w:bookmarkEnd w:id="61"/>
      <w:r>
        <w:rPr>
          <w:sz w:val="24"/>
        </w:rPr>
        <w:lastRenderedPageBreak/>
        <w:t>Once the sampling kit has been received from the lab, check that the information is correct on the sample bottles. The lab adheres waterproof labels to the bottles which are pre-printed with the RQ number, project ID, analytes, and required preservation. Sampling staff use a black permanent marker to write the site name, date, collection time and sampler initials on the space provided on the sample label on each sample bottle in the kit. If there is more than one bottle collected for a given analyte in the same bottle suite, label them sequentially (for example, “1 of 3”, “2 of 3,” 3 of 3”). Use a</w:t>
      </w:r>
      <w:r>
        <w:rPr>
          <w:color w:val="0000FF"/>
          <w:sz w:val="24"/>
        </w:rPr>
        <w:t xml:space="preserve"> </w:t>
      </w:r>
      <w:r>
        <w:rPr>
          <w:color w:val="0000FF"/>
          <w:sz w:val="24"/>
          <w:u w:val="single" w:color="0000FF"/>
        </w:rPr>
        <w:t>checklist</w:t>
      </w:r>
      <w:r>
        <w:rPr>
          <w:color w:val="0000FF"/>
          <w:sz w:val="24"/>
        </w:rPr>
        <w:t xml:space="preserve"> </w:t>
      </w:r>
      <w:r>
        <w:rPr>
          <w:sz w:val="24"/>
        </w:rPr>
        <w:t>to collect all the equipment you will need for sampling. Check the expiration dates on any acids needed for preservation of samples. If acids are expired, request new acids from the laboratory. Check the weather and recent water level readings to determine if it is an appropriate and safe time to sample. Before taking field testing measurements, perform necessary verifications, calibrations and maintenance to the field meter. Document these procedures in the</w:t>
      </w:r>
      <w:r>
        <w:rPr>
          <w:color w:val="0000FF"/>
          <w:sz w:val="24"/>
        </w:rPr>
        <w:t xml:space="preserve"> </w:t>
      </w:r>
      <w:r>
        <w:rPr>
          <w:color w:val="0000FF"/>
          <w:sz w:val="24"/>
          <w:u w:val="single" w:color="0000FF"/>
        </w:rPr>
        <w:t>calibration log</w:t>
      </w:r>
      <w:r>
        <w:rPr>
          <w:sz w:val="24"/>
        </w:rPr>
        <w:t>. When taking a boat, fill out and file a</w:t>
      </w:r>
      <w:r>
        <w:rPr>
          <w:color w:val="0000FF"/>
          <w:sz w:val="24"/>
        </w:rPr>
        <w:t xml:space="preserve"> </w:t>
      </w:r>
      <w:r>
        <w:rPr>
          <w:color w:val="0000FF"/>
          <w:sz w:val="24"/>
          <w:u w:val="single" w:color="0000FF"/>
        </w:rPr>
        <w:t>float plan</w:t>
      </w:r>
      <w:r>
        <w:rPr>
          <w:sz w:val="24"/>
        </w:rPr>
        <w:t>. Attain supervisor approval for each sampling trip and notify a designated staff member who is not going on the trip of departure and return for safety</w:t>
      </w:r>
      <w:r>
        <w:rPr>
          <w:spacing w:val="-5"/>
          <w:sz w:val="24"/>
        </w:rPr>
        <w:t xml:space="preserve"> </w:t>
      </w:r>
      <w:r>
        <w:rPr>
          <w:sz w:val="24"/>
        </w:rPr>
        <w:t>purposes.</w:t>
      </w:r>
    </w:p>
    <w:p w:rsidR="00D35590" w:rsidRDefault="00D35590">
      <w:pPr>
        <w:pStyle w:val="BodyText"/>
        <w:rPr>
          <w:sz w:val="26"/>
        </w:rPr>
      </w:pPr>
    </w:p>
    <w:p w:rsidR="00D35590" w:rsidRDefault="00D35590">
      <w:pPr>
        <w:pStyle w:val="BodyText"/>
        <w:rPr>
          <w:sz w:val="26"/>
        </w:rPr>
      </w:pPr>
    </w:p>
    <w:p w:rsidR="00D35590" w:rsidRDefault="00D75DDE">
      <w:pPr>
        <w:pStyle w:val="Heading2"/>
        <w:numPr>
          <w:ilvl w:val="1"/>
          <w:numId w:val="25"/>
        </w:numPr>
        <w:tabs>
          <w:tab w:val="left" w:pos="1167"/>
          <w:tab w:val="left" w:pos="1168"/>
        </w:tabs>
        <w:spacing w:before="158"/>
        <w:ind w:hanging="577"/>
      </w:pPr>
      <w:bookmarkStart w:id="62" w:name="6.2_Sampling_Procedures"/>
      <w:bookmarkStart w:id="63" w:name="_bookmark17"/>
      <w:bookmarkEnd w:id="62"/>
      <w:bookmarkEnd w:id="63"/>
      <w:r>
        <w:t>Sampling</w:t>
      </w:r>
      <w:r>
        <w:rPr>
          <w:spacing w:val="-1"/>
        </w:rPr>
        <w:t xml:space="preserve"> </w:t>
      </w:r>
      <w:r>
        <w:t>Procedures</w:t>
      </w:r>
    </w:p>
    <w:p w:rsidR="00D35590" w:rsidRDefault="00D35590">
      <w:pPr>
        <w:pStyle w:val="BodyText"/>
        <w:spacing w:before="10"/>
        <w:rPr>
          <w:b/>
          <w:sz w:val="35"/>
        </w:rPr>
      </w:pPr>
    </w:p>
    <w:p w:rsidR="00D35590" w:rsidRDefault="00D75DDE">
      <w:pPr>
        <w:pStyle w:val="BodyText"/>
        <w:spacing w:before="1"/>
        <w:ind w:left="500"/>
      </w:pPr>
      <w:r>
        <w:t>WQSP staff are instructed to take the following sampling procedures:</w:t>
      </w:r>
    </w:p>
    <w:p w:rsidR="00D35590" w:rsidRDefault="00D35590">
      <w:pPr>
        <w:pStyle w:val="BodyText"/>
        <w:spacing w:before="11"/>
        <w:rPr>
          <w:sz w:val="23"/>
        </w:rPr>
      </w:pPr>
    </w:p>
    <w:p w:rsidR="00D35590" w:rsidRDefault="00D75DDE">
      <w:pPr>
        <w:pStyle w:val="ListParagraph"/>
        <w:numPr>
          <w:ilvl w:val="2"/>
          <w:numId w:val="12"/>
        </w:numPr>
        <w:tabs>
          <w:tab w:val="left" w:pos="859"/>
          <w:tab w:val="left" w:pos="860"/>
        </w:tabs>
        <w:ind w:right="1158"/>
        <w:rPr>
          <w:sz w:val="24"/>
        </w:rPr>
      </w:pPr>
      <w:bookmarkStart w:id="64" w:name="6.2.1_When_you_reach_the_sampling_site,_"/>
      <w:bookmarkEnd w:id="64"/>
      <w:r>
        <w:rPr>
          <w:sz w:val="24"/>
        </w:rPr>
        <w:t>When you reach the sampling site, verify that conditions are appropriate for sampling and the site is</w:t>
      </w:r>
      <w:r>
        <w:rPr>
          <w:spacing w:val="-2"/>
          <w:sz w:val="24"/>
        </w:rPr>
        <w:t xml:space="preserve"> </w:t>
      </w:r>
      <w:r>
        <w:rPr>
          <w:sz w:val="24"/>
        </w:rPr>
        <w:t>representative.</w:t>
      </w:r>
    </w:p>
    <w:p w:rsidR="00D35590" w:rsidRDefault="00D35590">
      <w:pPr>
        <w:pStyle w:val="BodyText"/>
        <w:spacing w:before="10"/>
        <w:rPr>
          <w:sz w:val="20"/>
        </w:rPr>
      </w:pPr>
    </w:p>
    <w:p w:rsidR="00D35590" w:rsidRDefault="00D75DDE">
      <w:pPr>
        <w:pStyle w:val="ListParagraph"/>
        <w:numPr>
          <w:ilvl w:val="2"/>
          <w:numId w:val="12"/>
        </w:numPr>
        <w:tabs>
          <w:tab w:val="left" w:pos="859"/>
          <w:tab w:val="left" w:pos="860"/>
        </w:tabs>
        <w:ind w:right="792"/>
        <w:rPr>
          <w:sz w:val="24"/>
        </w:rPr>
      </w:pPr>
      <w:bookmarkStart w:id="65" w:name="6.2.2_Follow_the_procedures_in_the_DEP_S"/>
      <w:bookmarkEnd w:id="65"/>
      <w:r>
        <w:rPr>
          <w:sz w:val="24"/>
        </w:rPr>
        <w:t>Follow the procedures in the DEP SOPs for the applicable type of sampling. Use the appropriate equipment for the sampling conditions. Collect your samples and preserve according to the codes on the bottles. Preserve and filter (as needed) within 15 minutes of</w:t>
      </w:r>
      <w:r>
        <w:rPr>
          <w:spacing w:val="-5"/>
          <w:sz w:val="24"/>
        </w:rPr>
        <w:t xml:space="preserve"> </w:t>
      </w:r>
      <w:r>
        <w:rPr>
          <w:sz w:val="24"/>
        </w:rPr>
        <w:t>collection.</w:t>
      </w:r>
    </w:p>
    <w:p w:rsidR="00D35590" w:rsidRDefault="00D35590">
      <w:pPr>
        <w:pStyle w:val="BodyText"/>
        <w:spacing w:before="10"/>
        <w:rPr>
          <w:sz w:val="20"/>
        </w:rPr>
      </w:pPr>
    </w:p>
    <w:p w:rsidR="00D35590" w:rsidRDefault="00D75DDE">
      <w:pPr>
        <w:pStyle w:val="ListParagraph"/>
        <w:numPr>
          <w:ilvl w:val="2"/>
          <w:numId w:val="12"/>
        </w:numPr>
        <w:tabs>
          <w:tab w:val="left" w:pos="859"/>
          <w:tab w:val="left" w:pos="860"/>
        </w:tabs>
        <w:rPr>
          <w:sz w:val="24"/>
        </w:rPr>
      </w:pPr>
      <w:bookmarkStart w:id="66" w:name="6.2.3_Collect_any_field_meter_readings_o"/>
      <w:bookmarkEnd w:id="66"/>
      <w:r>
        <w:rPr>
          <w:sz w:val="24"/>
        </w:rPr>
        <w:t>Collect any field meter readings or physical measurements required by the sampling</w:t>
      </w:r>
      <w:r>
        <w:rPr>
          <w:spacing w:val="-8"/>
          <w:sz w:val="24"/>
        </w:rPr>
        <w:t xml:space="preserve"> </w:t>
      </w:r>
      <w:r>
        <w:rPr>
          <w:sz w:val="24"/>
        </w:rPr>
        <w:t>plan.</w:t>
      </w:r>
    </w:p>
    <w:p w:rsidR="00D35590" w:rsidRDefault="00D35590">
      <w:pPr>
        <w:pStyle w:val="BodyText"/>
        <w:spacing w:before="10"/>
        <w:rPr>
          <w:sz w:val="20"/>
        </w:rPr>
      </w:pPr>
    </w:p>
    <w:p w:rsidR="00D35590" w:rsidRDefault="00D75DDE">
      <w:pPr>
        <w:pStyle w:val="ListParagraph"/>
        <w:numPr>
          <w:ilvl w:val="2"/>
          <w:numId w:val="12"/>
        </w:numPr>
        <w:tabs>
          <w:tab w:val="left" w:pos="859"/>
          <w:tab w:val="left" w:pos="860"/>
        </w:tabs>
        <w:ind w:right="1085"/>
        <w:rPr>
          <w:sz w:val="24"/>
        </w:rPr>
      </w:pPr>
      <w:bookmarkStart w:id="67" w:name="6.2.4_Before_leaving_the_site,_check_to_"/>
      <w:bookmarkEnd w:id="67"/>
      <w:r>
        <w:rPr>
          <w:sz w:val="24"/>
        </w:rPr>
        <w:t xml:space="preserve">Before leaving the site, check to be sure that all the needed procedures were </w:t>
      </w:r>
      <w:proofErr w:type="gramStart"/>
      <w:r>
        <w:rPr>
          <w:sz w:val="24"/>
        </w:rPr>
        <w:t>completed</w:t>
      </w:r>
      <w:proofErr w:type="gramEnd"/>
      <w:r>
        <w:rPr>
          <w:sz w:val="24"/>
        </w:rPr>
        <w:t xml:space="preserve"> and</w:t>
      </w:r>
      <w:r>
        <w:rPr>
          <w:spacing w:val="-20"/>
          <w:sz w:val="24"/>
        </w:rPr>
        <w:t xml:space="preserve"> </w:t>
      </w:r>
      <w:r>
        <w:rPr>
          <w:sz w:val="24"/>
        </w:rPr>
        <w:t>no equipment or trash was left</w:t>
      </w:r>
      <w:r>
        <w:rPr>
          <w:spacing w:val="-2"/>
          <w:sz w:val="24"/>
        </w:rPr>
        <w:t xml:space="preserve"> </w:t>
      </w:r>
      <w:r>
        <w:rPr>
          <w:sz w:val="24"/>
        </w:rPr>
        <w:t>behind.</w:t>
      </w:r>
    </w:p>
    <w:p w:rsidR="00D35590" w:rsidRDefault="00D35590">
      <w:pPr>
        <w:pStyle w:val="BodyText"/>
        <w:spacing w:before="10"/>
        <w:rPr>
          <w:sz w:val="20"/>
        </w:rPr>
      </w:pPr>
    </w:p>
    <w:p w:rsidR="00D35590" w:rsidRDefault="00D75DDE">
      <w:pPr>
        <w:pStyle w:val="ListParagraph"/>
        <w:numPr>
          <w:ilvl w:val="2"/>
          <w:numId w:val="12"/>
        </w:numPr>
        <w:tabs>
          <w:tab w:val="left" w:pos="859"/>
          <w:tab w:val="left" w:pos="860"/>
        </w:tabs>
        <w:rPr>
          <w:sz w:val="24"/>
        </w:rPr>
      </w:pPr>
      <w:bookmarkStart w:id="68" w:name="6.2.5_Bring_any_samples_that_need_analys"/>
      <w:bookmarkEnd w:id="68"/>
      <w:r>
        <w:rPr>
          <w:sz w:val="24"/>
        </w:rPr>
        <w:t>Bring any samples that need analysis back to lab and follow procedures for transferring</w:t>
      </w:r>
      <w:r>
        <w:rPr>
          <w:spacing w:val="-10"/>
          <w:sz w:val="24"/>
        </w:rPr>
        <w:t xml:space="preserve"> </w:t>
      </w:r>
      <w:r>
        <w:rPr>
          <w:sz w:val="24"/>
        </w:rPr>
        <w:t>custody.</w:t>
      </w:r>
    </w:p>
    <w:p w:rsidR="00D35590" w:rsidRDefault="00D35590">
      <w:pPr>
        <w:pStyle w:val="BodyText"/>
        <w:spacing w:before="10"/>
        <w:rPr>
          <w:sz w:val="20"/>
        </w:rPr>
      </w:pPr>
    </w:p>
    <w:p w:rsidR="00D35590" w:rsidRDefault="00D75DDE">
      <w:pPr>
        <w:pStyle w:val="ListParagraph"/>
        <w:numPr>
          <w:ilvl w:val="2"/>
          <w:numId w:val="12"/>
        </w:numPr>
        <w:tabs>
          <w:tab w:val="left" w:pos="859"/>
          <w:tab w:val="left" w:pos="860"/>
        </w:tabs>
        <w:ind w:right="1240"/>
        <w:rPr>
          <w:sz w:val="24"/>
        </w:rPr>
      </w:pPr>
      <w:bookmarkStart w:id="69" w:name="6.2.6_Perform_a_continuing_calibration_v"/>
      <w:bookmarkEnd w:id="69"/>
      <w:r>
        <w:rPr>
          <w:sz w:val="24"/>
        </w:rPr>
        <w:t xml:space="preserve">Perform a continuing calibration verification on the field meter, document the results in the calibration log and appropriately qualify any </w:t>
      </w:r>
      <w:proofErr w:type="gramStart"/>
      <w:r>
        <w:rPr>
          <w:sz w:val="24"/>
        </w:rPr>
        <w:t>field testing</w:t>
      </w:r>
      <w:proofErr w:type="gramEnd"/>
      <w:r>
        <w:rPr>
          <w:sz w:val="24"/>
        </w:rPr>
        <w:t xml:space="preserve"> data that were not quantitatively or chronologically bracketed by successful</w:t>
      </w:r>
      <w:r>
        <w:rPr>
          <w:spacing w:val="-1"/>
          <w:sz w:val="24"/>
        </w:rPr>
        <w:t xml:space="preserve"> </w:t>
      </w:r>
      <w:r>
        <w:rPr>
          <w:sz w:val="24"/>
        </w:rPr>
        <w:t>verifications.</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spacing w:before="1"/>
        <w:ind w:hanging="577"/>
      </w:pPr>
      <w:bookmarkStart w:id="70" w:name="6.3_Data_Review_and_Upload_to_WIN"/>
      <w:bookmarkStart w:id="71" w:name="_bookmark18"/>
      <w:bookmarkEnd w:id="70"/>
      <w:bookmarkEnd w:id="71"/>
      <w:r>
        <w:t>Data Review and Upload to</w:t>
      </w:r>
      <w:r>
        <w:rPr>
          <w:spacing w:val="-2"/>
        </w:rPr>
        <w:t xml:space="preserve"> </w:t>
      </w:r>
      <w:r>
        <w:t>WIN</w:t>
      </w:r>
    </w:p>
    <w:p w:rsidR="00D35590" w:rsidRDefault="00D75DDE">
      <w:pPr>
        <w:pStyle w:val="ListParagraph"/>
        <w:numPr>
          <w:ilvl w:val="2"/>
          <w:numId w:val="11"/>
        </w:numPr>
        <w:tabs>
          <w:tab w:val="left" w:pos="859"/>
          <w:tab w:val="left" w:pos="860"/>
        </w:tabs>
        <w:spacing w:before="139"/>
        <w:ind w:left="859" w:right="842"/>
        <w:rPr>
          <w:sz w:val="24"/>
        </w:rPr>
      </w:pPr>
      <w:bookmarkStart w:id="72" w:name="6.3.1_Field_data_sheets_are_generated_in"/>
      <w:bookmarkEnd w:id="72"/>
      <w:r>
        <w:rPr>
          <w:sz w:val="24"/>
        </w:rPr>
        <w:t>Field data sheets are generated in hard copy formats in the field for all water quality samples</w:t>
      </w:r>
      <w:r>
        <w:rPr>
          <w:spacing w:val="-21"/>
          <w:sz w:val="24"/>
        </w:rPr>
        <w:t xml:space="preserve"> </w:t>
      </w:r>
      <w:r>
        <w:rPr>
          <w:sz w:val="24"/>
        </w:rPr>
        <w:t>and biological monitoring activities. After returning from the field, samplers must review documentation from the field trip and ensure that records are complete and accurate. All records are retained in accordance with the department’s Records Retention Schedule. Hard copy files are stored in project folders in Room 238A. Scanned copies of all additional field records are stored in the WQSP common</w:t>
      </w:r>
      <w:r>
        <w:rPr>
          <w:color w:val="0000FF"/>
          <w:sz w:val="24"/>
        </w:rPr>
        <w:t xml:space="preserve"> </w:t>
      </w:r>
      <w:r>
        <w:rPr>
          <w:color w:val="0000FF"/>
          <w:sz w:val="24"/>
          <w:u w:val="single" w:color="0000FF"/>
        </w:rPr>
        <w:t>electronic folder.</w:t>
      </w:r>
      <w:r>
        <w:rPr>
          <w:color w:val="0000FF"/>
          <w:sz w:val="24"/>
        </w:rPr>
        <w:t xml:space="preserve"> </w:t>
      </w:r>
      <w:r>
        <w:rPr>
          <w:sz w:val="24"/>
        </w:rPr>
        <w:t>Electronic records for reference stream and reference lake sampling are stored in individual electronic folders in the DEAR</w:t>
      </w:r>
      <w:r>
        <w:rPr>
          <w:spacing w:val="-12"/>
          <w:sz w:val="24"/>
        </w:rPr>
        <w:t xml:space="preserve"> </w:t>
      </w:r>
      <w:r>
        <w:rPr>
          <w:sz w:val="24"/>
        </w:rPr>
        <w:t>common</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860" w:right="881"/>
      </w:pPr>
      <w:r>
        <w:lastRenderedPageBreak/>
        <w:t xml:space="preserve">electronic folder, </w:t>
      </w:r>
      <w:hyperlink r:id="rId39">
        <w:proofErr w:type="spellStart"/>
        <w:r>
          <w:rPr>
            <w:color w:val="0000FF"/>
            <w:u w:val="single" w:color="0000FF"/>
          </w:rPr>
          <w:t>WQAPmonitoring</w:t>
        </w:r>
        <w:proofErr w:type="spellEnd"/>
      </w:hyperlink>
      <w:r>
        <w:t>. These files are used to pull data for the WBID History database. Laboratory reports are received in an electronic format from the Central Laboratory. These records are stored electronically in the appropriate site folder containing the associated field sheets. Erasing or obliterating records is not permitted. Corrections are made by marking a single line through the error so that it is still legible, and the initials of the individual performing the correction are included. All documentation records are required to be legible.</w:t>
      </w:r>
    </w:p>
    <w:p w:rsidR="00D35590" w:rsidRDefault="00D35590">
      <w:pPr>
        <w:pStyle w:val="BodyText"/>
        <w:spacing w:before="10"/>
        <w:rPr>
          <w:sz w:val="20"/>
        </w:rPr>
      </w:pPr>
    </w:p>
    <w:p w:rsidR="00D35590" w:rsidRDefault="00D75DDE">
      <w:pPr>
        <w:pStyle w:val="BodyText"/>
        <w:ind w:left="860" w:right="883"/>
      </w:pPr>
      <w:bookmarkStart w:id="73" w:name="Unless_otherwise_specified_by_statutes_o"/>
      <w:bookmarkEnd w:id="73"/>
      <w:r>
        <w:t>Unless otherwise specified by statutes or directives, all hard copies of records shall be retained for a minimum of five years after the date of generation or completion of the project unless otherwise specified in a Department contract, order, permit or Title 62 rules, in accordance with Rules 62-160.240, 62-160.340, and DEP SOP FD 1000. After five years, hard copies of records shall be maintained per the official DEP records retention schedule. Electronic copies of records will be stored indefinitely.</w:t>
      </w:r>
    </w:p>
    <w:p w:rsidR="00D35590" w:rsidRDefault="00D35590">
      <w:pPr>
        <w:pStyle w:val="BodyText"/>
        <w:spacing w:before="10"/>
        <w:rPr>
          <w:sz w:val="20"/>
        </w:rPr>
      </w:pPr>
    </w:p>
    <w:p w:rsidR="00D35590" w:rsidRDefault="00D75DDE">
      <w:pPr>
        <w:pStyle w:val="ListParagraph"/>
        <w:numPr>
          <w:ilvl w:val="2"/>
          <w:numId w:val="11"/>
        </w:numPr>
        <w:tabs>
          <w:tab w:val="left" w:pos="859"/>
          <w:tab w:val="left" w:pos="860"/>
        </w:tabs>
        <w:ind w:right="1090"/>
        <w:rPr>
          <w:sz w:val="24"/>
        </w:rPr>
      </w:pPr>
      <w:bookmarkStart w:id="74" w:name="6.3.2_Once_laboratory_analyses_are_compl"/>
      <w:bookmarkEnd w:id="74"/>
      <w:r>
        <w:rPr>
          <w:sz w:val="24"/>
        </w:rPr>
        <w:t>Once laboratory analyses are completed, data are reviewed in LIMS prior to migration and uploaded to the Watershed Information Network (WIN), the department’s new data</w:t>
      </w:r>
      <w:r>
        <w:rPr>
          <w:spacing w:val="-22"/>
          <w:sz w:val="24"/>
        </w:rPr>
        <w:t xml:space="preserve"> </w:t>
      </w:r>
      <w:r>
        <w:rPr>
          <w:sz w:val="24"/>
        </w:rPr>
        <w:t>repository that was brought online in July</w:t>
      </w:r>
      <w:r>
        <w:rPr>
          <w:spacing w:val="-2"/>
          <w:sz w:val="24"/>
        </w:rPr>
        <w:t xml:space="preserve"> </w:t>
      </w:r>
      <w:r>
        <w:rPr>
          <w:sz w:val="24"/>
        </w:rPr>
        <w:t>2017.</w:t>
      </w:r>
    </w:p>
    <w:p w:rsidR="00D35590" w:rsidRDefault="00D35590">
      <w:pPr>
        <w:pStyle w:val="BodyText"/>
        <w:rPr>
          <w:sz w:val="26"/>
        </w:rPr>
      </w:pPr>
    </w:p>
    <w:p w:rsidR="00D35590" w:rsidRDefault="00D75DDE">
      <w:pPr>
        <w:pStyle w:val="ListParagraph"/>
        <w:numPr>
          <w:ilvl w:val="2"/>
          <w:numId w:val="11"/>
        </w:numPr>
        <w:tabs>
          <w:tab w:val="left" w:pos="859"/>
          <w:tab w:val="left" w:pos="860"/>
        </w:tabs>
        <w:spacing w:before="217"/>
        <w:ind w:right="1401"/>
        <w:rPr>
          <w:sz w:val="24"/>
        </w:rPr>
      </w:pPr>
      <w:bookmarkStart w:id="75" w:name="6.3.3_Previously,_data_collected_by_WQSP"/>
      <w:bookmarkEnd w:id="75"/>
      <w:r>
        <w:rPr>
          <w:sz w:val="24"/>
        </w:rPr>
        <w:t>Previously, data collected by WQSP staff were uploaded semi-annually or as needed to the Florida data Storage and Retrieval System (STORET) under the organization (Org) code “21FLWQSP.” STORET is no longer be used for data upload as of July 2017, but the data already in the database will be stored indefinitely and can be retrieved any</w:t>
      </w:r>
      <w:r>
        <w:rPr>
          <w:spacing w:val="-8"/>
          <w:sz w:val="24"/>
        </w:rPr>
        <w:t xml:space="preserve"> </w:t>
      </w:r>
      <w:r>
        <w:rPr>
          <w:sz w:val="24"/>
        </w:rPr>
        <w:t>time.</w:t>
      </w:r>
    </w:p>
    <w:p w:rsidR="00D35590" w:rsidRDefault="00D35590">
      <w:pPr>
        <w:pStyle w:val="BodyText"/>
        <w:spacing w:before="10"/>
        <w:rPr>
          <w:sz w:val="20"/>
        </w:rPr>
      </w:pPr>
    </w:p>
    <w:p w:rsidR="00D35590" w:rsidRDefault="00D75DDE">
      <w:pPr>
        <w:pStyle w:val="ListParagraph"/>
        <w:numPr>
          <w:ilvl w:val="2"/>
          <w:numId w:val="11"/>
        </w:numPr>
        <w:tabs>
          <w:tab w:val="left" w:pos="859"/>
          <w:tab w:val="left" w:pos="860"/>
        </w:tabs>
        <w:ind w:right="912"/>
        <w:rPr>
          <w:sz w:val="24"/>
        </w:rPr>
      </w:pPr>
      <w:bookmarkStart w:id="76" w:name="6.3.4_Data_collected_by_WQSP_staff_are_u"/>
      <w:bookmarkEnd w:id="76"/>
      <w:r>
        <w:rPr>
          <w:sz w:val="24"/>
        </w:rPr>
        <w:t>Data collected by WQSP staff are uploaded quarterly, or as needed, to WIN under the organization (Org) code “21FLWQSP.” If a sampling station has not yet been established in WIN, the station is named using the following convention: [first three letters of county name][last two digits of year of project initiation][first three letters of waterbody name][ordinal indicating which site for that waterbody]. For example, if two sites on Beaver Creek in Leon County were sampled for a project starting in 2013, the WIN site names would be LEO13BEA1 and LEO13BEA2. The site location and coordinates are visually verified in</w:t>
      </w:r>
      <w:r>
        <w:rPr>
          <w:spacing w:val="-8"/>
          <w:sz w:val="24"/>
        </w:rPr>
        <w:t xml:space="preserve"> </w:t>
      </w:r>
      <w:r>
        <w:rPr>
          <w:sz w:val="24"/>
        </w:rPr>
        <w:t>WIN.</w:t>
      </w:r>
    </w:p>
    <w:p w:rsidR="00D35590" w:rsidRDefault="00D35590">
      <w:pPr>
        <w:pStyle w:val="BodyText"/>
        <w:rPr>
          <w:sz w:val="26"/>
        </w:rPr>
      </w:pPr>
    </w:p>
    <w:p w:rsidR="00D35590" w:rsidRDefault="00D75DDE">
      <w:pPr>
        <w:pStyle w:val="ListParagraph"/>
        <w:numPr>
          <w:ilvl w:val="2"/>
          <w:numId w:val="11"/>
        </w:numPr>
        <w:tabs>
          <w:tab w:val="left" w:pos="859"/>
          <w:tab w:val="left" w:pos="860"/>
        </w:tabs>
        <w:spacing w:before="218"/>
        <w:ind w:right="904"/>
        <w:rPr>
          <w:sz w:val="24"/>
        </w:rPr>
      </w:pPr>
      <w:bookmarkStart w:id="77" w:name="6.3.5_WIN_includes_many_Quality_Assuranc"/>
      <w:bookmarkEnd w:id="77"/>
      <w:r>
        <w:rPr>
          <w:sz w:val="24"/>
        </w:rPr>
        <w:t>WIN includes many Quality Assurance checks that are not available in STORET. New data will generally be entered in WIN as it is received by the department, or within 3 months. The data currently in STORET will not be migrated to WIN, so both data repositories will remain in use. Once entered, data must be checked for Quality Control. See section 8, Data Quality Review</w:t>
      </w:r>
      <w:r>
        <w:rPr>
          <w:spacing w:val="-23"/>
          <w:sz w:val="24"/>
        </w:rPr>
        <w:t xml:space="preserve"> </w:t>
      </w:r>
      <w:r>
        <w:rPr>
          <w:sz w:val="24"/>
        </w:rPr>
        <w:t>for QA/QC procedures. WQSP WIN data loaders refer to the LIMS Data Merge Tool (DMT) User Guide and program specific user guides when uploading and migrating data to WIN. These guides are stored electronically in a</w:t>
      </w:r>
      <w:r>
        <w:rPr>
          <w:color w:val="0000FF"/>
          <w:sz w:val="24"/>
        </w:rPr>
        <w:t xml:space="preserve"> </w:t>
      </w:r>
      <w:r>
        <w:rPr>
          <w:color w:val="0000FF"/>
          <w:sz w:val="24"/>
          <w:u w:val="single" w:color="0000FF"/>
        </w:rPr>
        <w:t>WQSP common</w:t>
      </w:r>
      <w:r>
        <w:rPr>
          <w:color w:val="0000FF"/>
          <w:spacing w:val="-4"/>
          <w:sz w:val="24"/>
          <w:u w:val="single" w:color="0000FF"/>
        </w:rPr>
        <w:t xml:space="preserve"> </w:t>
      </w:r>
      <w:r>
        <w:rPr>
          <w:color w:val="0000FF"/>
          <w:sz w:val="24"/>
          <w:u w:val="single" w:color="0000FF"/>
        </w:rPr>
        <w:t>folder</w:t>
      </w:r>
      <w:r>
        <w:rPr>
          <w:sz w:val="24"/>
        </w:rPr>
        <w:t>.</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bookmarkStart w:id="78" w:name="6.4_Long-Term_Sampling_Projects"/>
      <w:bookmarkStart w:id="79" w:name="_bookmark19"/>
      <w:bookmarkEnd w:id="78"/>
      <w:bookmarkEnd w:id="79"/>
      <w:r>
        <w:t>Long-Term Sampling</w:t>
      </w:r>
      <w:r>
        <w:rPr>
          <w:spacing w:val="-1"/>
        </w:rPr>
        <w:t xml:space="preserve"> </w:t>
      </w:r>
      <w:r>
        <w:t>Projects</w:t>
      </w:r>
    </w:p>
    <w:p w:rsidR="00D35590" w:rsidRDefault="00D75DDE">
      <w:pPr>
        <w:pStyle w:val="BodyText"/>
        <w:spacing w:before="137"/>
        <w:ind w:left="140" w:right="789"/>
      </w:pPr>
      <w:r>
        <w:t xml:space="preserve">WQSP staff perform field sampling at a network of stream and lake reference sites, which are used to establish natural background conditions. Stream reference sites currently sampled include 21 sites from the following counties: Bay, Calhoun, Liberty, Gadsden, Leon, Wakulla, Jefferson, Taylor, Madison and Lafayette. WQSP also samples approximately twelve reference lakes. The current list of analytes for reference streams is listed in </w:t>
      </w:r>
      <w:r>
        <w:rPr>
          <w:color w:val="0000FF"/>
          <w:u w:val="single" w:color="0000FF"/>
        </w:rPr>
        <w:t>this document</w:t>
      </w:r>
      <w:r>
        <w:rPr>
          <w:color w:val="0000FF"/>
        </w:rPr>
        <w:t xml:space="preserve"> </w:t>
      </w:r>
      <w:r>
        <w:t xml:space="preserve">and the list for lakes is listed </w:t>
      </w:r>
      <w:r>
        <w:rPr>
          <w:color w:val="0000FF"/>
          <w:u w:val="single" w:color="0000FF"/>
        </w:rPr>
        <w:t>here</w:t>
      </w:r>
      <w:r>
        <w:t>. At reference sites that are</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140" w:right="1285"/>
        <w:jc w:val="both"/>
      </w:pPr>
      <w:r>
        <w:lastRenderedPageBreak/>
        <w:t>currently listed as impaired for fecal coliforms per Chapter 62-303, F.A.C., WQSP staff also</w:t>
      </w:r>
      <w:r>
        <w:rPr>
          <w:spacing w:val="-29"/>
        </w:rPr>
        <w:t xml:space="preserve"> </w:t>
      </w:r>
      <w:r>
        <w:t xml:space="preserve">collect samples for analysis of </w:t>
      </w:r>
      <w:r>
        <w:rPr>
          <w:i/>
        </w:rPr>
        <w:t>E. coli</w:t>
      </w:r>
      <w:r>
        <w:t xml:space="preserve">, fecal coliforms and microbial source tracking. Descriptions of these projects are in the </w:t>
      </w:r>
      <w:r>
        <w:rPr>
          <w:color w:val="0000FF"/>
          <w:u w:val="single" w:color="0000FF"/>
        </w:rPr>
        <w:t>common sampling</w:t>
      </w:r>
      <w:r>
        <w:rPr>
          <w:color w:val="0000FF"/>
          <w:spacing w:val="-4"/>
          <w:u w:val="single" w:color="0000FF"/>
        </w:rPr>
        <w:t xml:space="preserve"> </w:t>
      </w:r>
      <w:r>
        <w:rPr>
          <w:color w:val="0000FF"/>
          <w:u w:val="single" w:color="0000FF"/>
        </w:rPr>
        <w:t>folder</w:t>
      </w:r>
      <w:r>
        <w:t>.</w:t>
      </w:r>
    </w:p>
    <w:p w:rsidR="00D35590" w:rsidRDefault="00D35590">
      <w:pPr>
        <w:pStyle w:val="BodyText"/>
        <w:spacing w:before="2"/>
        <w:rPr>
          <w:sz w:val="16"/>
        </w:rPr>
      </w:pPr>
    </w:p>
    <w:p w:rsidR="00D35590" w:rsidRDefault="00D75DDE">
      <w:pPr>
        <w:pStyle w:val="BodyText"/>
        <w:spacing w:before="90"/>
        <w:ind w:left="140" w:right="857"/>
      </w:pPr>
      <w:r>
        <w:t>Occasionally, data are needed to support applications for Site Specific Alternative Criteria (SSAC) or Water Quality Based Effluent Limitations (WQBEL). When additional data are needed and the department is responsible for data collection, WQSP staff will either collect the required data or arrange for another department program to collect</w:t>
      </w:r>
      <w:r>
        <w:rPr>
          <w:spacing w:val="-3"/>
        </w:rPr>
        <w:t xml:space="preserve"> </w:t>
      </w:r>
      <w:r>
        <w:t>it.</w:t>
      </w:r>
    </w:p>
    <w:p w:rsidR="00D35590" w:rsidRDefault="00D35590">
      <w:pPr>
        <w:pStyle w:val="BodyText"/>
        <w:spacing w:before="11"/>
        <w:rPr>
          <w:sz w:val="20"/>
        </w:rPr>
      </w:pPr>
    </w:p>
    <w:p w:rsidR="00D35590" w:rsidRDefault="00D75DDE">
      <w:pPr>
        <w:pStyle w:val="Heading1"/>
        <w:numPr>
          <w:ilvl w:val="0"/>
          <w:numId w:val="25"/>
        </w:numPr>
        <w:tabs>
          <w:tab w:val="left" w:pos="680"/>
        </w:tabs>
      </w:pPr>
      <w:bookmarkStart w:id="80" w:name="7._Quality_Assurance_Program_Procedures"/>
      <w:bookmarkStart w:id="81" w:name="_bookmark20"/>
      <w:bookmarkEnd w:id="80"/>
      <w:bookmarkEnd w:id="81"/>
      <w:r>
        <w:t>Quality Assurance Program</w:t>
      </w:r>
      <w:r>
        <w:rPr>
          <w:spacing w:val="-13"/>
        </w:rPr>
        <w:t xml:space="preserve"> </w:t>
      </w:r>
      <w:r>
        <w:t>Procedures</w:t>
      </w:r>
    </w:p>
    <w:p w:rsidR="00D35590" w:rsidRDefault="00D35590">
      <w:pPr>
        <w:pStyle w:val="BodyText"/>
        <w:spacing w:before="10"/>
        <w:rPr>
          <w:b/>
        </w:rPr>
      </w:pPr>
    </w:p>
    <w:p w:rsidR="00D35590" w:rsidRDefault="00D75DDE">
      <w:pPr>
        <w:pStyle w:val="Heading2"/>
        <w:numPr>
          <w:ilvl w:val="1"/>
          <w:numId w:val="25"/>
        </w:numPr>
        <w:tabs>
          <w:tab w:val="left" w:pos="1167"/>
          <w:tab w:val="left" w:pos="1168"/>
        </w:tabs>
        <w:spacing w:before="1"/>
        <w:ind w:hanging="577"/>
      </w:pPr>
      <w:bookmarkStart w:id="82" w:name="7.1_Development_of_the_QA_Rules_and_the_"/>
      <w:bookmarkStart w:id="83" w:name="_bookmark21"/>
      <w:bookmarkEnd w:id="82"/>
      <w:bookmarkEnd w:id="83"/>
      <w:r>
        <w:t>Development of the QA Rules and the department Standard Operating</w:t>
      </w:r>
      <w:r>
        <w:rPr>
          <w:spacing w:val="-14"/>
        </w:rPr>
        <w:t xml:space="preserve"> </w:t>
      </w:r>
      <w:r>
        <w:t>Procedures</w:t>
      </w:r>
    </w:p>
    <w:p w:rsidR="00D35590" w:rsidRDefault="00D75DDE">
      <w:pPr>
        <w:pStyle w:val="BodyText"/>
        <w:spacing w:before="139"/>
        <w:ind w:left="140" w:right="829"/>
      </w:pPr>
      <w:r>
        <w:t xml:space="preserve">AEQAS staff periodically update the </w:t>
      </w:r>
      <w:hyperlink r:id="rId40">
        <w:r>
          <w:rPr>
            <w:color w:val="0000FF"/>
            <w:u w:val="single" w:color="0000FF"/>
          </w:rPr>
          <w:t>QA Rules</w:t>
        </w:r>
        <w:r>
          <w:t xml:space="preserve">, </w:t>
        </w:r>
      </w:hyperlink>
      <w:r>
        <w:t xml:space="preserve">Chapter 62-160, F.A.C., and </w:t>
      </w:r>
      <w:hyperlink r:id="rId41">
        <w:r>
          <w:rPr>
            <w:color w:val="0000FF"/>
            <w:u w:val="single" w:color="0000FF"/>
          </w:rPr>
          <w:t>DEP SOPs</w:t>
        </w:r>
        <w:r>
          <w:rPr>
            <w:color w:val="0000FF"/>
          </w:rPr>
          <w:t xml:space="preserve"> </w:t>
        </w:r>
      </w:hyperlink>
      <w:r>
        <w:t>(DEP-SOP- 001/01, DEP-SOP-002/01 and DEP-SOP-003/11) to ensure that they accurately reflect ongoing technical and scientific advancements and are practical and suitable for carrying out the department’s mission. WQSP staff routinely accept technical input on QA Rule and DEP SOPs, and if rule revisions are needed, hold public workshops at the time of rule development to solicit public comment on any proposed revisions. Revised versions of the documents are posted on the WSQP website and finalized when the rulemaking process is complete. Current revisions to Chapter 62-160, F.A.C., and the incorporated DEP SOPs, published as the collections numbered DEP-SOP-001/01, DEP-SOP-002/01 and DEP-SOP-003/11, were effective as of 4/16/18. Summaries of all adopted revisions are available on the AEQAS common drive (</w:t>
      </w:r>
      <w:r>
        <w:rPr>
          <w:color w:val="0000FF"/>
          <w:u w:val="single" w:color="0000FF"/>
        </w:rPr>
        <w:t>X:\Labs\Lab5\EAS\Common\AEQA\1 QA\62-160</w:t>
      </w:r>
      <w:r>
        <w:t>).</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bookmarkStart w:id="84" w:name="7.2_Evaluation_and_Approval_of_Alternati"/>
      <w:bookmarkStart w:id="85" w:name="_bookmark22"/>
      <w:bookmarkEnd w:id="84"/>
      <w:bookmarkEnd w:id="85"/>
      <w:r>
        <w:t>Evaluation and Approval of Alternative or Modified</w:t>
      </w:r>
      <w:r>
        <w:rPr>
          <w:spacing w:val="-5"/>
        </w:rPr>
        <w:t xml:space="preserve"> </w:t>
      </w:r>
      <w:r>
        <w:t>Methods</w:t>
      </w:r>
    </w:p>
    <w:p w:rsidR="00D35590" w:rsidRDefault="00D75DDE">
      <w:pPr>
        <w:pStyle w:val="BodyText"/>
        <w:spacing w:before="137"/>
        <w:ind w:left="140" w:right="896"/>
      </w:pPr>
      <w:r>
        <w:t xml:space="preserve">AEQAS staff review and either deny or approve applications from external parties for alternative or modified field or laboratory procedures, per Rules 62-160.220 and 62-160.330, F.A.C. Staff check whether applicants have provided the information required in the QA Rule and, for laboratory methods, the document “Alternative and Modified Analytical Laboratory Methods (DEP-QA-001/01, current revision January 2017).” Checklists have been created to ensure that the review of each request is consistent. General checklists are found in </w:t>
      </w:r>
      <w:r>
        <w:rPr>
          <w:color w:val="0000FF"/>
          <w:u w:val="single" w:color="0000FF"/>
        </w:rPr>
        <w:t>this folder</w:t>
      </w:r>
      <w:r>
        <w:t xml:space="preserve">. For the evaluation of the FLPRO method, AEQAS developed a unique set of </w:t>
      </w:r>
      <w:r>
        <w:rPr>
          <w:color w:val="0000FF"/>
          <w:u w:val="single" w:color="0000FF"/>
        </w:rPr>
        <w:t>checklists</w:t>
      </w:r>
      <w:r>
        <w:rPr>
          <w:color w:val="0000FF"/>
        </w:rPr>
        <w:t xml:space="preserve"> </w:t>
      </w:r>
      <w:r>
        <w:t>that were specifically written to perform a detailed comparison of the approved DEP FLPRO method and the alternative or modified method submitted.</w:t>
      </w:r>
    </w:p>
    <w:p w:rsidR="00D35590" w:rsidRDefault="00D35590">
      <w:pPr>
        <w:pStyle w:val="BodyText"/>
      </w:pPr>
    </w:p>
    <w:p w:rsidR="00D35590" w:rsidRDefault="00D75DDE">
      <w:pPr>
        <w:pStyle w:val="BodyText"/>
        <w:ind w:left="140" w:right="801"/>
      </w:pPr>
      <w:r>
        <w:t xml:space="preserve">To determine equivalence for a proposed alternative or modified field or lab procedure, staff may conduct and/or require from the requester specific statistical tests to evaluate whether a dataset of sample results using the requested method is statistically significantly similar to a dataset of results using the DEP-approved standard or reference method. Per recommendations in </w:t>
      </w:r>
      <w:proofErr w:type="spellStart"/>
      <w:r>
        <w:t>Niu</w:t>
      </w:r>
      <w:proofErr w:type="spellEnd"/>
      <w:r>
        <w:t xml:space="preserve"> et al. (2014), the following statistical tests are used: Student t-test, Wilcoxon signed rank test or Fisher Sign test, and Bland and Altman’s limits of agreement. When evaluating statistical differences, staff consider whether those differences are relevant to the scale for the proposed application of the method. For example, if the difference between two types of meters is statistically significant, but that difference is less than the allowed margin of error for that test, the alternative meter could be</w:t>
      </w:r>
      <w:r>
        <w:rPr>
          <w:spacing w:val="-6"/>
        </w:rPr>
        <w:t xml:space="preserve"> </w:t>
      </w:r>
      <w:r>
        <w:t>approved.</w:t>
      </w:r>
    </w:p>
    <w:p w:rsidR="00D35590" w:rsidRDefault="00D75DDE">
      <w:pPr>
        <w:pStyle w:val="BodyText"/>
        <w:ind w:left="140" w:right="849"/>
      </w:pPr>
      <w:r>
        <w:t>If a proposed alternative or modified method is approved, that approval is communicated in a letter to the applicant. The letter must be signed by the Deputy Division Director or the Division Director, and then certified by a department Clerk. The letter may be transmitted via e-mail. All approvals or disapprovals of new methods are announced in the Quality of Science Newsletter, and approvals for</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139" w:right="996"/>
      </w:pPr>
      <w:r>
        <w:lastRenderedPageBreak/>
        <w:t xml:space="preserve">statewide use (as defined in the relevant rules of Chapter 62-160, F.A.C.) are also published in the Florida Administrative Register (FAR). Both alternative and modified method approvals are posted on the department </w:t>
      </w:r>
      <w:hyperlink r:id="rId42">
        <w:r>
          <w:rPr>
            <w:color w:val="0000FF"/>
            <w:u w:val="single" w:color="0000FF"/>
          </w:rPr>
          <w:t>website</w:t>
        </w:r>
        <w:r>
          <w:rPr>
            <w:color w:val="0000FF"/>
          </w:rPr>
          <w:t xml:space="preserve"> </w:t>
        </w:r>
      </w:hyperlink>
      <w:r>
        <w:t>for approvals of alternative and modified methods.</w:t>
      </w:r>
    </w:p>
    <w:p w:rsidR="00D35590" w:rsidRDefault="00D35590">
      <w:pPr>
        <w:pStyle w:val="BodyText"/>
        <w:spacing w:before="10"/>
        <w:rPr>
          <w:sz w:val="20"/>
        </w:rPr>
      </w:pPr>
    </w:p>
    <w:p w:rsidR="00D35590" w:rsidRDefault="00D75DDE">
      <w:pPr>
        <w:pStyle w:val="ListParagraph"/>
        <w:numPr>
          <w:ilvl w:val="2"/>
          <w:numId w:val="10"/>
        </w:numPr>
        <w:tabs>
          <w:tab w:val="left" w:pos="859"/>
          <w:tab w:val="left" w:pos="860"/>
        </w:tabs>
        <w:rPr>
          <w:sz w:val="24"/>
        </w:rPr>
      </w:pPr>
      <w:bookmarkStart w:id="86" w:name="7.2.1_General_Procedure_for_Review_of_Al"/>
      <w:bookmarkEnd w:id="86"/>
      <w:r>
        <w:rPr>
          <w:sz w:val="24"/>
        </w:rPr>
        <w:t>General Procedure for Review of Alternative and Modified Method</w:t>
      </w:r>
      <w:r>
        <w:rPr>
          <w:spacing w:val="-5"/>
          <w:sz w:val="24"/>
        </w:rPr>
        <w:t xml:space="preserve"> </w:t>
      </w:r>
      <w:r>
        <w:rPr>
          <w:sz w:val="24"/>
        </w:rPr>
        <w:t>Requests</w:t>
      </w:r>
    </w:p>
    <w:p w:rsidR="00D35590" w:rsidRDefault="00D35590">
      <w:pPr>
        <w:pStyle w:val="BodyText"/>
        <w:spacing w:before="10"/>
        <w:rPr>
          <w:sz w:val="20"/>
        </w:rPr>
      </w:pPr>
    </w:p>
    <w:p w:rsidR="00D35590" w:rsidRDefault="00D75DDE">
      <w:pPr>
        <w:pStyle w:val="ListParagraph"/>
        <w:numPr>
          <w:ilvl w:val="3"/>
          <w:numId w:val="10"/>
        </w:numPr>
        <w:tabs>
          <w:tab w:val="left" w:pos="1580"/>
        </w:tabs>
        <w:ind w:right="801"/>
        <w:rPr>
          <w:sz w:val="24"/>
        </w:rPr>
      </w:pPr>
      <w:r>
        <w:rPr>
          <w:sz w:val="24"/>
        </w:rPr>
        <w:t>The AEQAS staff member receiving the request or approval inquiry will first inform the AEQAS section administrator and QA program manager about the approval requested. The section administrator will assign the review to a designated staff member. The staff member will determine whether any submitted information is complete. This may require consultation with the requestor prior to the submission of any information or validation data. The reviewer must clearly determine the scope of the requested approval and whether Department approval is required according to Rule 62-160.220, F.A.C., (field)</w:t>
      </w:r>
      <w:r>
        <w:rPr>
          <w:spacing w:val="-17"/>
          <w:sz w:val="24"/>
        </w:rPr>
        <w:t xml:space="preserve"> </w:t>
      </w:r>
      <w:r>
        <w:rPr>
          <w:sz w:val="24"/>
        </w:rPr>
        <w:t>or Rule 62-160.330, F.A.C. (lab), as some method modifications are preapproved, and are described in these two rule sections. The requester will be apprised of submission requirements by the AEQAS member, according to the appropriate rule section and AEQAS checklists. The relevant checklists may be provided to the requester to facilitate this</w:t>
      </w:r>
      <w:r>
        <w:rPr>
          <w:spacing w:val="-1"/>
          <w:sz w:val="24"/>
        </w:rPr>
        <w:t xml:space="preserve"> </w:t>
      </w:r>
      <w:r>
        <w:rPr>
          <w:sz w:val="24"/>
        </w:rPr>
        <w:t>process.</w:t>
      </w:r>
    </w:p>
    <w:p w:rsidR="00D35590" w:rsidRDefault="00D75DDE">
      <w:pPr>
        <w:pStyle w:val="ListParagraph"/>
        <w:numPr>
          <w:ilvl w:val="3"/>
          <w:numId w:val="9"/>
        </w:numPr>
        <w:tabs>
          <w:tab w:val="left" w:pos="1580"/>
        </w:tabs>
        <w:ind w:left="1579" w:right="787"/>
        <w:rPr>
          <w:sz w:val="24"/>
        </w:rPr>
      </w:pPr>
      <w:r>
        <w:rPr>
          <w:sz w:val="24"/>
        </w:rPr>
        <w:t xml:space="preserve">Once the data and supporting information for the request are received at AEQAS, the reviewer will examine all information for conformance with the submission </w:t>
      </w:r>
      <w:proofErr w:type="gramStart"/>
      <w:r>
        <w:rPr>
          <w:sz w:val="24"/>
        </w:rPr>
        <w:t>requirements..</w:t>
      </w:r>
      <w:proofErr w:type="gramEnd"/>
      <w:r>
        <w:rPr>
          <w:sz w:val="24"/>
        </w:rPr>
        <w:t xml:space="preserve"> As necessary, the reviewer will enlist the expertise of other section members or expert staff from other programs, usually the DEP Chemistry and Biology lab programs, to assist with issues and questions concerning the submission. If it is likely that DEP regulatory program staff should be apprised of the approval request, the appropriate program(s) should be contacted early in the review process to ensure that data quality objectives for regulatory data use will be met. The full description of the proposed method steps and the validation of submitted data must be verified by the reviewer before proceeding with any approval (or disapproval).</w:t>
      </w:r>
    </w:p>
    <w:p w:rsidR="00D35590" w:rsidRDefault="00D75DDE">
      <w:pPr>
        <w:pStyle w:val="ListParagraph"/>
        <w:numPr>
          <w:ilvl w:val="3"/>
          <w:numId w:val="9"/>
        </w:numPr>
        <w:tabs>
          <w:tab w:val="left" w:pos="1580"/>
        </w:tabs>
        <w:ind w:right="843"/>
        <w:rPr>
          <w:sz w:val="24"/>
        </w:rPr>
      </w:pPr>
      <w:r>
        <w:rPr>
          <w:sz w:val="24"/>
        </w:rPr>
        <w:t xml:space="preserve">During this process, it is often necessary to solicit additional clarification and documentation from the requester to verify all information submitted. This may be accomplished with phone calls and emails, including emailed support documents and document revisions submitted by the requester to provide the additional information. </w:t>
      </w:r>
      <w:r>
        <w:rPr>
          <w:spacing w:val="-4"/>
          <w:sz w:val="24"/>
        </w:rPr>
        <w:t xml:space="preserve">In </w:t>
      </w:r>
      <w:r>
        <w:rPr>
          <w:sz w:val="24"/>
        </w:rPr>
        <w:t>some cases, a resubmission of validation data from a new study may be required. Staff should request such resubmissions informally, rather than incur the delay of a formal disapproval letter. Requesters are often amenable to performing new validation studies to help expedite timely approval. However, the reviewer will in all cases ensure that any approval is based on the written documentation, not verbal</w:t>
      </w:r>
      <w:r>
        <w:rPr>
          <w:spacing w:val="-3"/>
          <w:sz w:val="24"/>
        </w:rPr>
        <w:t xml:space="preserve"> </w:t>
      </w:r>
      <w:r>
        <w:rPr>
          <w:sz w:val="24"/>
        </w:rPr>
        <w:t>communications.</w:t>
      </w:r>
    </w:p>
    <w:p w:rsidR="00D35590" w:rsidRDefault="00D75DDE">
      <w:pPr>
        <w:pStyle w:val="ListParagraph"/>
        <w:numPr>
          <w:ilvl w:val="3"/>
          <w:numId w:val="9"/>
        </w:numPr>
        <w:tabs>
          <w:tab w:val="left" w:pos="1580"/>
        </w:tabs>
        <w:spacing w:before="1"/>
        <w:ind w:right="844"/>
        <w:rPr>
          <w:sz w:val="24"/>
        </w:rPr>
      </w:pPr>
      <w:r>
        <w:rPr>
          <w:sz w:val="24"/>
        </w:rPr>
        <w:t>Once the review of the submitted information is completed, the AEQAS reviewer will determine whether the alternative or modified method has been validated for the scope</w:t>
      </w:r>
      <w:r>
        <w:rPr>
          <w:spacing w:val="-20"/>
          <w:sz w:val="24"/>
        </w:rPr>
        <w:t xml:space="preserve"> </w:t>
      </w:r>
      <w:r>
        <w:rPr>
          <w:sz w:val="24"/>
        </w:rPr>
        <w:t>of approval requested, including, when required, whether equivalency with the DEP- approved, standard or reference method has been demonstrated, according to the requirements in this section. The reviewer will then route the review package to the AEQAS section administrator for final review, who will authorize the completed review and request approval of the package from the WQSP Program Administrator and the DEAR Deputy Division</w:t>
      </w:r>
      <w:r>
        <w:rPr>
          <w:spacing w:val="-1"/>
          <w:sz w:val="24"/>
        </w:rPr>
        <w:t xml:space="preserve"> </w:t>
      </w:r>
      <w:r>
        <w:rPr>
          <w:sz w:val="24"/>
        </w:rPr>
        <w:t>Director.</w:t>
      </w:r>
    </w:p>
    <w:p w:rsidR="00D35590" w:rsidRDefault="00D75DDE">
      <w:pPr>
        <w:pStyle w:val="ListParagraph"/>
        <w:numPr>
          <w:ilvl w:val="3"/>
          <w:numId w:val="9"/>
        </w:numPr>
        <w:tabs>
          <w:tab w:val="left" w:pos="1580"/>
        </w:tabs>
        <w:ind w:right="948"/>
        <w:rPr>
          <w:sz w:val="24"/>
        </w:rPr>
      </w:pPr>
      <w:r>
        <w:rPr>
          <w:sz w:val="24"/>
        </w:rPr>
        <w:t>The reviewer will prepare an approval letter on DEP stationery. The approval letter will provide a detailed list of the significant method modifications, or a complete</w:t>
      </w:r>
      <w:r>
        <w:rPr>
          <w:spacing w:val="-19"/>
          <w:sz w:val="24"/>
        </w:rPr>
        <w:t xml:space="preserve"> </w:t>
      </w:r>
      <w:r>
        <w:rPr>
          <w:sz w:val="24"/>
        </w:rPr>
        <w:t>description</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1579" w:right="837"/>
      </w:pPr>
      <w:r>
        <w:lastRenderedPageBreak/>
        <w:t xml:space="preserve">of the alternative method that is approved. In all cases, the scope of approval will be limited to that requested by the submitter and validated by the reviewed data. In no instance will an approval be granted without the Department’s receipt of a complete SOP or published method that includes the </w:t>
      </w:r>
      <w:proofErr w:type="gramStart"/>
      <w:r>
        <w:t>step-wise</w:t>
      </w:r>
      <w:proofErr w:type="gramEnd"/>
      <w:r>
        <w:t xml:space="preserve"> details of the method and/or method modifications. Current templates for approval letters consist of previous approval letters retained in the AEQAS </w:t>
      </w:r>
      <w:r>
        <w:rPr>
          <w:color w:val="0000FF"/>
          <w:u w:val="single" w:color="0000FF"/>
        </w:rPr>
        <w:t>subfolder.</w:t>
      </w:r>
      <w:r>
        <w:rPr>
          <w:color w:val="0000FF"/>
        </w:rPr>
        <w:t xml:space="preserve"> </w:t>
      </w:r>
      <w:r>
        <w:t>The reviewer will use a recent approval letter as the example to edit for the current approval request. In the rare situation where a request is formally disapproved, the approval letter will be modified to indicate the technical reason(s) for denying an approval.</w:t>
      </w:r>
    </w:p>
    <w:p w:rsidR="00D35590" w:rsidRDefault="00D75DDE">
      <w:pPr>
        <w:pStyle w:val="ListParagraph"/>
        <w:numPr>
          <w:ilvl w:val="3"/>
          <w:numId w:val="9"/>
        </w:numPr>
        <w:tabs>
          <w:tab w:val="left" w:pos="1580"/>
        </w:tabs>
        <w:ind w:right="846"/>
        <w:rPr>
          <w:sz w:val="24"/>
        </w:rPr>
      </w:pPr>
      <w:r>
        <w:rPr>
          <w:sz w:val="24"/>
        </w:rPr>
        <w:t>Once the official approval has been signed by the Deputy Director and Clerk, the reviewer may transmit the approval letter to the requester by email. The reviewer will inform the requester that the approved SOP or method will be posted on the Department website along with the letter (unless SOP or method confidentiality or copyright is claimed, which must be indicated with the original submittal of the SOP or method to DEP). If statewide-use approval is given to a request, the reviewer will work with WQSP staff to publish the approval in the FAR. Field procedures approved for statewide use are incorporated into the collection of DEP SOPs. The reviewer will list the statewide-use</w:t>
      </w:r>
      <w:bookmarkStart w:id="87" w:name="7.3_Quality_Assurance_Mailbox"/>
      <w:bookmarkStart w:id="88" w:name="_bookmark23"/>
      <w:bookmarkEnd w:id="87"/>
      <w:bookmarkEnd w:id="88"/>
      <w:r>
        <w:rPr>
          <w:sz w:val="24"/>
        </w:rPr>
        <w:t xml:space="preserve"> method in the current DEP SOP</w:t>
      </w:r>
      <w:r>
        <w:rPr>
          <w:color w:val="0000FF"/>
          <w:sz w:val="24"/>
        </w:rPr>
        <w:t xml:space="preserve"> </w:t>
      </w:r>
      <w:r>
        <w:rPr>
          <w:color w:val="0000FF"/>
          <w:sz w:val="24"/>
          <w:u w:val="single" w:color="0000FF"/>
        </w:rPr>
        <w:t>revision tracker</w:t>
      </w:r>
      <w:r>
        <w:rPr>
          <w:color w:val="0000FF"/>
          <w:sz w:val="24"/>
        </w:rPr>
        <w:t xml:space="preserve"> </w:t>
      </w:r>
      <w:r>
        <w:rPr>
          <w:sz w:val="24"/>
        </w:rPr>
        <w:t>maintained by the</w:t>
      </w:r>
      <w:r>
        <w:rPr>
          <w:spacing w:val="-7"/>
          <w:sz w:val="24"/>
        </w:rPr>
        <w:t xml:space="preserve"> </w:t>
      </w:r>
      <w:r>
        <w:rPr>
          <w:sz w:val="24"/>
        </w:rPr>
        <w:t>section.</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r>
        <w:t>Quality Assurance</w:t>
      </w:r>
      <w:r>
        <w:rPr>
          <w:spacing w:val="-2"/>
        </w:rPr>
        <w:t xml:space="preserve"> </w:t>
      </w:r>
      <w:r>
        <w:t>Mailbox</w:t>
      </w:r>
    </w:p>
    <w:p w:rsidR="00D35590" w:rsidRDefault="00D75DDE">
      <w:pPr>
        <w:pStyle w:val="BodyText"/>
        <w:spacing w:before="137"/>
        <w:ind w:left="140" w:right="787"/>
      </w:pPr>
      <w:r>
        <w:t xml:space="preserve">AEQAS staff maintain a group email address, </w:t>
      </w:r>
      <w:hyperlink r:id="rId43">
        <w:r>
          <w:rPr>
            <w:color w:val="0000FF"/>
            <w:u w:val="single" w:color="0000FF"/>
          </w:rPr>
          <w:t>Quality_Assurance@FloridaDEP.gov</w:t>
        </w:r>
      </w:hyperlink>
      <w:r>
        <w:t xml:space="preserve">, which serves as an additional avenue for individuals or entities to ask quality assurance questions. The staff who monitor the mailbox are Sarah Noble, Kristen Sapp, Jessica Patronis and Jennifer Piacente. Staff receive, read, and respond to questions in the mailbox on an ongoing basis, with the goal to answer questions within one week of receipt. Some questions may require discussion amongst QA staff or outside experts and take more time to answer. In these cases, QA staff will acknowledge receipt of the question to the sender and notify the sender that a response will be available soon. Status of questions in the QA mailbox are tracked using an </w:t>
      </w:r>
      <w:hyperlink r:id="rId44">
        <w:r>
          <w:rPr>
            <w:color w:val="0000FF"/>
            <w:u w:val="single" w:color="0000FF"/>
          </w:rPr>
          <w:t>Excel spreadsheet</w:t>
        </w:r>
        <w:r>
          <w:t>.</w:t>
        </w:r>
      </w:hyperlink>
      <w:r>
        <w:t xml:space="preserve"> Jennifer Piacente manages the tracker. The status of the QA mailbox is routinely discussed during the QA staff’s weekly QA Check-In</w:t>
      </w:r>
      <w:r>
        <w:rPr>
          <w:spacing w:val="-4"/>
        </w:rPr>
        <w:t xml:space="preserve"> </w:t>
      </w:r>
      <w:r>
        <w:t>Meeting.</w:t>
      </w:r>
    </w:p>
    <w:p w:rsidR="00D35590" w:rsidRDefault="00D35590">
      <w:pPr>
        <w:pStyle w:val="BodyText"/>
        <w:spacing w:before="1"/>
      </w:pPr>
    </w:p>
    <w:p w:rsidR="00D35590" w:rsidRDefault="00D75DDE">
      <w:pPr>
        <w:pStyle w:val="Heading1"/>
        <w:numPr>
          <w:ilvl w:val="0"/>
          <w:numId w:val="25"/>
        </w:numPr>
        <w:tabs>
          <w:tab w:val="left" w:pos="680"/>
        </w:tabs>
      </w:pPr>
      <w:bookmarkStart w:id="89" w:name="8._Data_Review_Procedures"/>
      <w:bookmarkStart w:id="90" w:name="_bookmark24"/>
      <w:bookmarkEnd w:id="89"/>
      <w:bookmarkEnd w:id="90"/>
      <w:r>
        <w:t>Data Review</w:t>
      </w:r>
      <w:r>
        <w:rPr>
          <w:spacing w:val="-7"/>
        </w:rPr>
        <w:t xml:space="preserve"> </w:t>
      </w:r>
      <w:r>
        <w:t>Procedures</w:t>
      </w:r>
    </w:p>
    <w:p w:rsidR="00D35590" w:rsidRDefault="00D35590">
      <w:pPr>
        <w:pStyle w:val="BodyText"/>
        <w:spacing w:before="1"/>
        <w:rPr>
          <w:b/>
          <w:sz w:val="28"/>
        </w:rPr>
      </w:pPr>
    </w:p>
    <w:p w:rsidR="00D35590" w:rsidRDefault="00D75DDE">
      <w:pPr>
        <w:pStyle w:val="BodyText"/>
        <w:ind w:left="140" w:right="796"/>
      </w:pPr>
      <w:r>
        <w:t>WQSP staff understand the need to evaluate the quality and usefulness of environmental data prior to making decisions. Data used by WQSP is reviewed by staff to determine its usability for determination of compliance with permits or rules and as input for water quality standards development. Upon request, WQSP may review data for other programs and agencies. These procedures are based on established DQOs and DQIs, and incorporate the concepts and criteria found in the department’s “</w:t>
      </w:r>
      <w:hyperlink r:id="rId45">
        <w:r>
          <w:rPr>
            <w:color w:val="0000FF"/>
            <w:u w:val="single" w:color="0000FF"/>
          </w:rPr>
          <w:t>Process for</w:t>
        </w:r>
      </w:hyperlink>
      <w:r>
        <w:rPr>
          <w:color w:val="0000FF"/>
        </w:rPr>
        <w:t xml:space="preserve"> </w:t>
      </w:r>
      <w:hyperlink r:id="rId46">
        <w:r>
          <w:rPr>
            <w:color w:val="0000FF"/>
            <w:u w:val="single" w:color="0000FF"/>
          </w:rPr>
          <w:t>Assessing Data Usability”, DEP-EA-001/07</w:t>
        </w:r>
        <w:r>
          <w:t>.</w:t>
        </w:r>
      </w:hyperlink>
      <w:r>
        <w:t>” See Appendix A for a list of routine DQOs and DQIs that are reviewed via the procedures in DEP-EA-001/07. Staff evaluate data using the WQSP DQOs and DQIs and implement corrective actions as directed by the QAO.</w:t>
      </w:r>
    </w:p>
    <w:p w:rsidR="00D35590" w:rsidRDefault="00D35590">
      <w:pPr>
        <w:pStyle w:val="BodyText"/>
        <w:spacing w:before="10"/>
        <w:rPr>
          <w:sz w:val="20"/>
        </w:rPr>
      </w:pPr>
    </w:p>
    <w:p w:rsidR="00D35590" w:rsidRDefault="00D75DDE">
      <w:pPr>
        <w:pStyle w:val="Heading2"/>
        <w:numPr>
          <w:ilvl w:val="1"/>
          <w:numId w:val="25"/>
        </w:numPr>
        <w:tabs>
          <w:tab w:val="left" w:pos="1227"/>
          <w:tab w:val="left" w:pos="1228"/>
        </w:tabs>
        <w:ind w:left="1227" w:hanging="637"/>
      </w:pPr>
      <w:bookmarkStart w:id="91" w:name="8.1__Biological_Data_Quality_Review"/>
      <w:bookmarkStart w:id="92" w:name="_bookmark25"/>
      <w:bookmarkEnd w:id="91"/>
      <w:bookmarkEnd w:id="92"/>
      <w:r>
        <w:t>Biological Data Quality</w:t>
      </w:r>
      <w:r>
        <w:rPr>
          <w:spacing w:val="-1"/>
        </w:rPr>
        <w:t xml:space="preserve"> </w:t>
      </w:r>
      <w:r>
        <w:t>Review</w:t>
      </w:r>
    </w:p>
    <w:p w:rsidR="00D35590" w:rsidRDefault="00D75DDE">
      <w:pPr>
        <w:pStyle w:val="BodyText"/>
        <w:spacing w:before="139"/>
        <w:ind w:left="140" w:right="994"/>
        <w:jc w:val="both"/>
      </w:pPr>
      <w:r>
        <w:t>Determining if biological data are usable by the Department for a certain purpose is a complex process requiring an objective evaluation of many factors. There are factors specific to each type of biological assessment tool, and specific data usability considerations for the SCI and LVI are included in the SCI</w:t>
      </w:r>
    </w:p>
    <w:p w:rsidR="00D35590" w:rsidRDefault="00D35590">
      <w:pPr>
        <w:jc w:val="both"/>
        <w:sectPr w:rsidR="00D35590">
          <w:pgSz w:w="12240" w:h="15840"/>
          <w:pgMar w:top="1360" w:right="300" w:bottom="880" w:left="940" w:header="0" w:footer="619" w:gutter="0"/>
          <w:cols w:space="720"/>
        </w:sectPr>
      </w:pPr>
    </w:p>
    <w:p w:rsidR="00D35590" w:rsidRDefault="00D75DDE">
      <w:pPr>
        <w:pStyle w:val="BodyText"/>
        <w:spacing w:before="79"/>
        <w:ind w:left="140" w:right="782"/>
      </w:pPr>
      <w:r>
        <w:lastRenderedPageBreak/>
        <w:t xml:space="preserve">Primer and LVI Primer documents. AEQAS staff use data </w:t>
      </w:r>
      <w:r>
        <w:rPr>
          <w:color w:val="0000FF"/>
          <w:u w:val="single" w:color="0000FF"/>
        </w:rPr>
        <w:t>review checklists</w:t>
      </w:r>
      <w:r>
        <w:rPr>
          <w:color w:val="0000FF"/>
        </w:rPr>
        <w:t xml:space="preserve"> </w:t>
      </w:r>
      <w:r>
        <w:t>for specific tools (LVI, LVS, RPS, SCI, Hester-</w:t>
      </w:r>
      <w:proofErr w:type="spellStart"/>
      <w:r>
        <w:t>Dendys</w:t>
      </w:r>
      <w:proofErr w:type="spellEnd"/>
      <w:r>
        <w:t xml:space="preserve">, and macroinvertebrate dredge sampling) to assess data usability for specific purposes (e.g., Impaired Waters listing per Chapter 62-303, F.A.C., wastewater permit compliance). The </w:t>
      </w:r>
      <w:hyperlink r:id="rId47">
        <w:r>
          <w:rPr>
            <w:color w:val="0000FF"/>
            <w:u w:val="single" w:color="0000FF"/>
          </w:rPr>
          <w:t>Stressor ID process</w:t>
        </w:r>
        <w:r>
          <w:rPr>
            <w:color w:val="0000FF"/>
          </w:rPr>
          <w:t xml:space="preserve"> </w:t>
        </w:r>
      </w:hyperlink>
      <w:r>
        <w:t xml:space="preserve">is used to determine the cause of an SCI failure when a causative pollutant cannot be identified. The process involves critically reviewing available information, forming possible stressor scenarios, testing the scenarios in the Stressor Identification Statewide Model, and producing conclusions based on the model output. In some cases, additional data collection may be necessary to accurately confirm the stressor(s). The conclusions can be translated into management actions, and the effectiveness of those management actions can be monitored. The overall process involves a series of steps that are described in detail in the </w:t>
      </w:r>
      <w:hyperlink r:id="rId48">
        <w:r>
          <w:rPr>
            <w:color w:val="0000FF"/>
            <w:u w:val="single" w:color="0000FF"/>
          </w:rPr>
          <w:t>SCI Stressor Identification Process document</w:t>
        </w:r>
      </w:hyperlink>
      <w:r>
        <w:t>.</w:t>
      </w:r>
    </w:p>
    <w:p w:rsidR="00D35590" w:rsidRDefault="00D35590">
      <w:pPr>
        <w:pStyle w:val="BodyText"/>
        <w:spacing w:before="2"/>
        <w:rPr>
          <w:sz w:val="16"/>
        </w:rPr>
      </w:pPr>
    </w:p>
    <w:p w:rsidR="00D35590" w:rsidRDefault="00D75DDE">
      <w:pPr>
        <w:pStyle w:val="BodyText"/>
        <w:spacing w:before="90"/>
        <w:ind w:left="140"/>
        <w:jc w:val="both"/>
      </w:pPr>
      <w:r>
        <w:t>In general, the following are considered when making decisions about using biological data:</w:t>
      </w:r>
    </w:p>
    <w:p w:rsidR="00D35590" w:rsidRDefault="00D75DDE">
      <w:pPr>
        <w:pStyle w:val="ListParagraph"/>
        <w:numPr>
          <w:ilvl w:val="0"/>
          <w:numId w:val="8"/>
        </w:numPr>
        <w:tabs>
          <w:tab w:val="left" w:pos="1220"/>
        </w:tabs>
        <w:spacing w:before="2" w:line="271" w:lineRule="auto"/>
        <w:ind w:right="1119"/>
        <w:jc w:val="both"/>
        <w:rPr>
          <w:sz w:val="24"/>
        </w:rPr>
      </w:pPr>
      <w:r>
        <w:rPr>
          <w:sz w:val="24"/>
        </w:rPr>
        <w:t>The user must understand the purpose for the sampling, and extent to which the biological data meet the objectives of the program data</w:t>
      </w:r>
      <w:r>
        <w:rPr>
          <w:spacing w:val="-4"/>
          <w:sz w:val="24"/>
        </w:rPr>
        <w:t xml:space="preserve"> </w:t>
      </w:r>
      <w:r>
        <w:rPr>
          <w:sz w:val="24"/>
        </w:rPr>
        <w:t>use.</w:t>
      </w:r>
    </w:p>
    <w:p w:rsidR="00D35590" w:rsidRDefault="00D75DDE">
      <w:pPr>
        <w:pStyle w:val="ListParagraph"/>
        <w:numPr>
          <w:ilvl w:val="0"/>
          <w:numId w:val="8"/>
        </w:numPr>
        <w:tabs>
          <w:tab w:val="left" w:pos="1220"/>
        </w:tabs>
        <w:spacing w:before="9" w:line="273" w:lineRule="auto"/>
        <w:ind w:right="1469"/>
        <w:jc w:val="both"/>
        <w:rPr>
          <w:sz w:val="24"/>
        </w:rPr>
      </w:pPr>
      <w:r>
        <w:rPr>
          <w:sz w:val="24"/>
        </w:rPr>
        <w:t>The user must determine if the samplers were proficient in the bioassessment method. Bioassessment proficiency information is maintained on the department’s website</w:t>
      </w:r>
      <w:r>
        <w:rPr>
          <w:spacing w:val="-20"/>
          <w:sz w:val="24"/>
        </w:rPr>
        <w:t xml:space="preserve"> </w:t>
      </w:r>
      <w:r>
        <w:rPr>
          <w:sz w:val="24"/>
        </w:rPr>
        <w:t>(see section</w:t>
      </w:r>
      <w:r>
        <w:rPr>
          <w:spacing w:val="-1"/>
          <w:sz w:val="24"/>
        </w:rPr>
        <w:t xml:space="preserve"> </w:t>
      </w:r>
      <w:r>
        <w:rPr>
          <w:sz w:val="24"/>
        </w:rPr>
        <w:t>5.2).</w:t>
      </w:r>
    </w:p>
    <w:p w:rsidR="00D35590" w:rsidRDefault="00D75DDE">
      <w:pPr>
        <w:pStyle w:val="ListParagraph"/>
        <w:numPr>
          <w:ilvl w:val="0"/>
          <w:numId w:val="8"/>
        </w:numPr>
        <w:tabs>
          <w:tab w:val="left" w:pos="1219"/>
          <w:tab w:val="left" w:pos="1220"/>
        </w:tabs>
        <w:spacing w:before="3" w:line="273" w:lineRule="auto"/>
        <w:ind w:right="920"/>
        <w:rPr>
          <w:sz w:val="24"/>
        </w:rPr>
      </w:pPr>
      <w:r>
        <w:rPr>
          <w:sz w:val="24"/>
        </w:rPr>
        <w:t>The user must evaluate field and lab quality control measures and supporting data (water quality data, other biological tools, companion tools [HA], other entities’ [FDEP, WMDs, and local governments] data for the same waterbody) to determine if appropriate SOPs were followed and if results were within expected</w:t>
      </w:r>
      <w:r>
        <w:rPr>
          <w:spacing w:val="-3"/>
          <w:sz w:val="24"/>
        </w:rPr>
        <w:t xml:space="preserve"> </w:t>
      </w:r>
      <w:r>
        <w:rPr>
          <w:sz w:val="24"/>
        </w:rPr>
        <w:t>levels.</w:t>
      </w:r>
    </w:p>
    <w:p w:rsidR="00D35590" w:rsidRDefault="00D75DDE">
      <w:pPr>
        <w:pStyle w:val="ListParagraph"/>
        <w:numPr>
          <w:ilvl w:val="0"/>
          <w:numId w:val="8"/>
        </w:numPr>
        <w:tabs>
          <w:tab w:val="left" w:pos="1219"/>
          <w:tab w:val="left" w:pos="1220"/>
        </w:tabs>
        <w:spacing w:before="9" w:line="271" w:lineRule="auto"/>
        <w:ind w:right="963"/>
        <w:rPr>
          <w:sz w:val="24"/>
        </w:rPr>
      </w:pPr>
      <w:r>
        <w:rPr>
          <w:sz w:val="24"/>
        </w:rPr>
        <w:t>The user must determine the pattern, frequency, and magnitude of any QC issues</w:t>
      </w:r>
      <w:r>
        <w:rPr>
          <w:spacing w:val="-18"/>
          <w:sz w:val="24"/>
        </w:rPr>
        <w:t xml:space="preserve"> </w:t>
      </w:r>
      <w:r>
        <w:rPr>
          <w:sz w:val="24"/>
        </w:rPr>
        <w:t>associated with</w:t>
      </w:r>
      <w:r>
        <w:rPr>
          <w:spacing w:val="-1"/>
          <w:sz w:val="24"/>
        </w:rPr>
        <w:t xml:space="preserve"> </w:t>
      </w:r>
      <w:r>
        <w:rPr>
          <w:sz w:val="24"/>
        </w:rPr>
        <w:t>results.</w:t>
      </w:r>
    </w:p>
    <w:p w:rsidR="00D35590" w:rsidRDefault="00D75DDE">
      <w:pPr>
        <w:pStyle w:val="ListParagraph"/>
        <w:numPr>
          <w:ilvl w:val="0"/>
          <w:numId w:val="8"/>
        </w:numPr>
        <w:tabs>
          <w:tab w:val="left" w:pos="1219"/>
          <w:tab w:val="left" w:pos="1220"/>
        </w:tabs>
        <w:spacing w:before="7" w:line="273" w:lineRule="auto"/>
        <w:ind w:left="1219" w:right="946"/>
        <w:rPr>
          <w:sz w:val="24"/>
        </w:rPr>
      </w:pPr>
      <w:r>
        <w:rPr>
          <w:sz w:val="24"/>
        </w:rPr>
        <w:t>The user must determine the relationship between the bioassessment result (SCI, LVI, LVS, or RPS score), the associated action level (listing decision, etc.), and the MDD (minimum detectable difference—a measure of uncertainty) associated with the</w:t>
      </w:r>
      <w:r>
        <w:rPr>
          <w:spacing w:val="-7"/>
          <w:sz w:val="24"/>
        </w:rPr>
        <w:t xml:space="preserve"> </w:t>
      </w:r>
      <w:r>
        <w:rPr>
          <w:sz w:val="24"/>
        </w:rPr>
        <w:t>method.</w:t>
      </w:r>
    </w:p>
    <w:p w:rsidR="00D35590" w:rsidRDefault="00D75DDE">
      <w:pPr>
        <w:pStyle w:val="ListParagraph"/>
        <w:numPr>
          <w:ilvl w:val="0"/>
          <w:numId w:val="8"/>
        </w:numPr>
        <w:tabs>
          <w:tab w:val="left" w:pos="1219"/>
          <w:tab w:val="left" w:pos="1220"/>
        </w:tabs>
        <w:spacing w:before="5" w:line="273" w:lineRule="auto"/>
        <w:ind w:left="1219" w:right="788"/>
        <w:rPr>
          <w:sz w:val="24"/>
        </w:rPr>
      </w:pPr>
      <w:r>
        <w:rPr>
          <w:sz w:val="24"/>
        </w:rPr>
        <w:t>The user must determine, to the extent possible, a reasonable cause for a failing or</w:t>
      </w:r>
      <w:r>
        <w:rPr>
          <w:spacing w:val="-17"/>
          <w:sz w:val="24"/>
        </w:rPr>
        <w:t xml:space="preserve"> </w:t>
      </w:r>
      <w:r>
        <w:rPr>
          <w:sz w:val="24"/>
        </w:rPr>
        <w:t>anomalous bioassessment</w:t>
      </w:r>
      <w:r>
        <w:rPr>
          <w:spacing w:val="-1"/>
          <w:sz w:val="24"/>
        </w:rPr>
        <w:t xml:space="preserve"> </w:t>
      </w:r>
      <w:r>
        <w:rPr>
          <w:sz w:val="24"/>
        </w:rPr>
        <w:t>score.</w:t>
      </w:r>
    </w:p>
    <w:p w:rsidR="00D35590" w:rsidRDefault="00D35590">
      <w:pPr>
        <w:pStyle w:val="BodyText"/>
        <w:spacing w:before="11"/>
        <w:rPr>
          <w:sz w:val="20"/>
        </w:rPr>
      </w:pPr>
    </w:p>
    <w:p w:rsidR="00D35590" w:rsidRDefault="00D75DDE">
      <w:pPr>
        <w:pStyle w:val="Heading2"/>
        <w:numPr>
          <w:ilvl w:val="1"/>
          <w:numId w:val="25"/>
        </w:numPr>
        <w:tabs>
          <w:tab w:val="left" w:pos="1167"/>
          <w:tab w:val="left" w:pos="1168"/>
        </w:tabs>
        <w:ind w:hanging="577"/>
      </w:pPr>
      <w:bookmarkStart w:id="93" w:name="8.2_Data_Quality_Review_for_Water_Qualit"/>
      <w:bookmarkStart w:id="94" w:name="_bookmark26"/>
      <w:bookmarkEnd w:id="93"/>
      <w:bookmarkEnd w:id="94"/>
      <w:r>
        <w:t>Data Quality Review for Water Quality Criteria</w:t>
      </w:r>
      <w:r>
        <w:rPr>
          <w:spacing w:val="-5"/>
        </w:rPr>
        <w:t xml:space="preserve"> </w:t>
      </w:r>
      <w:r>
        <w:t>Development</w:t>
      </w:r>
    </w:p>
    <w:p w:rsidR="00D35590" w:rsidRDefault="00D75DDE">
      <w:pPr>
        <w:pStyle w:val="BodyText"/>
        <w:spacing w:before="137"/>
        <w:ind w:left="139" w:right="803"/>
      </w:pPr>
      <w:r>
        <w:t>Water quality criteria are the ultimate threshold against which monitoring data will be assessed for Clean Water Act purposes.  Therefore, water quality standards and criteria derivation require particularly stringent quality assurance. Data used to develop water quality criteria for the protection of aquatic life from acute or chronic toxicity endpoints are reviewed based on the requirements and procedures in Stephan et al., 1985, or other scientifically defensible methods applicable to the criteria under development. Water quality data used to assess or derive numeric criteria for other parameters are reviewed to ensure the data used accurately represent ambient conditions following the procedures in DEP-EA-001/07. Additionally, data and associated qualifiers are reviewed, and data are handled as follows:</w:t>
      </w:r>
    </w:p>
    <w:p w:rsidR="00D35590" w:rsidRDefault="00D35590">
      <w:pPr>
        <w:pStyle w:val="BodyText"/>
        <w:spacing w:before="2"/>
      </w:pPr>
    </w:p>
    <w:p w:rsidR="00D35590" w:rsidRDefault="00D75DDE">
      <w:pPr>
        <w:pStyle w:val="ListParagraph"/>
        <w:numPr>
          <w:ilvl w:val="0"/>
          <w:numId w:val="7"/>
        </w:numPr>
        <w:tabs>
          <w:tab w:val="left" w:pos="1219"/>
          <w:tab w:val="left" w:pos="1220"/>
        </w:tabs>
        <w:spacing w:line="273" w:lineRule="auto"/>
        <w:ind w:left="1219" w:right="785"/>
        <w:rPr>
          <w:sz w:val="24"/>
        </w:rPr>
      </w:pPr>
      <w:r>
        <w:rPr>
          <w:sz w:val="24"/>
        </w:rPr>
        <w:t>On a case by case basis, reject results with ‘Fatal’ Qualifier codes (J, K, N, O, Q, V {except as noted below}, Y, or ?), as defined in Table 1 of Rule 62-160.700, F.A.C., or per equivalent laboratory</w:t>
      </w:r>
      <w:r>
        <w:rPr>
          <w:spacing w:val="-1"/>
          <w:sz w:val="24"/>
        </w:rPr>
        <w:t xml:space="preserve"> </w:t>
      </w:r>
      <w:r>
        <w:rPr>
          <w:sz w:val="24"/>
        </w:rPr>
        <w:t>comments.</w:t>
      </w:r>
    </w:p>
    <w:p w:rsidR="00D35590" w:rsidRDefault="00D35590">
      <w:pPr>
        <w:spacing w:line="273" w:lineRule="auto"/>
        <w:rPr>
          <w:sz w:val="24"/>
        </w:rPr>
        <w:sectPr w:rsidR="00D35590">
          <w:pgSz w:w="12240" w:h="15840"/>
          <w:pgMar w:top="1360" w:right="300" w:bottom="880" w:left="940" w:header="0" w:footer="619" w:gutter="0"/>
          <w:cols w:space="720"/>
        </w:sectPr>
      </w:pPr>
    </w:p>
    <w:p w:rsidR="00D35590" w:rsidRDefault="00D75DDE">
      <w:pPr>
        <w:pStyle w:val="ListParagraph"/>
        <w:numPr>
          <w:ilvl w:val="0"/>
          <w:numId w:val="7"/>
        </w:numPr>
        <w:tabs>
          <w:tab w:val="left" w:pos="1219"/>
          <w:tab w:val="left" w:pos="1220"/>
        </w:tabs>
        <w:spacing w:before="81" w:line="271" w:lineRule="auto"/>
        <w:ind w:right="1168"/>
        <w:rPr>
          <w:sz w:val="24"/>
        </w:rPr>
      </w:pPr>
      <w:r>
        <w:rPr>
          <w:sz w:val="24"/>
        </w:rPr>
        <w:lastRenderedPageBreak/>
        <w:t>Results reported as below the detection limit and flagged for blank contamination (e.g.,</w:t>
      </w:r>
      <w:r>
        <w:rPr>
          <w:spacing w:val="-18"/>
          <w:sz w:val="24"/>
        </w:rPr>
        <w:t xml:space="preserve"> </w:t>
      </w:r>
      <w:r>
        <w:rPr>
          <w:sz w:val="24"/>
        </w:rPr>
        <w:t>V qualifier code) will not be</w:t>
      </w:r>
      <w:r>
        <w:rPr>
          <w:spacing w:val="-4"/>
          <w:sz w:val="24"/>
        </w:rPr>
        <w:t xml:space="preserve"> </w:t>
      </w:r>
      <w:r>
        <w:rPr>
          <w:sz w:val="24"/>
        </w:rPr>
        <w:t>rejected.</w:t>
      </w:r>
    </w:p>
    <w:p w:rsidR="00D35590" w:rsidRDefault="00D75DDE">
      <w:pPr>
        <w:pStyle w:val="ListParagraph"/>
        <w:numPr>
          <w:ilvl w:val="0"/>
          <w:numId w:val="7"/>
        </w:numPr>
        <w:tabs>
          <w:tab w:val="left" w:pos="1219"/>
          <w:tab w:val="left" w:pos="1220"/>
        </w:tabs>
        <w:spacing w:before="9" w:line="273" w:lineRule="auto"/>
        <w:ind w:right="797"/>
        <w:rPr>
          <w:sz w:val="24"/>
        </w:rPr>
      </w:pPr>
      <w:r>
        <w:rPr>
          <w:sz w:val="24"/>
        </w:rPr>
        <w:t>Results reported as less than the method detection limit (e.g., U qualifier code) are replaced with either half of the reported detection limit or half the criterion, whichever is lower. Zeros are not used to represent values below the</w:t>
      </w:r>
      <w:r>
        <w:rPr>
          <w:spacing w:val="-4"/>
          <w:sz w:val="24"/>
        </w:rPr>
        <w:t xml:space="preserve"> </w:t>
      </w:r>
      <w:r>
        <w:rPr>
          <w:sz w:val="24"/>
        </w:rPr>
        <w:t>MDL.</w:t>
      </w:r>
    </w:p>
    <w:p w:rsidR="00D35590" w:rsidRDefault="00D75DDE">
      <w:pPr>
        <w:pStyle w:val="ListParagraph"/>
        <w:numPr>
          <w:ilvl w:val="0"/>
          <w:numId w:val="7"/>
        </w:numPr>
        <w:tabs>
          <w:tab w:val="left" w:pos="1219"/>
          <w:tab w:val="left" w:pos="1220"/>
        </w:tabs>
        <w:spacing w:before="5" w:line="271" w:lineRule="auto"/>
        <w:ind w:right="1576"/>
        <w:rPr>
          <w:sz w:val="24"/>
        </w:rPr>
      </w:pPr>
      <w:r>
        <w:rPr>
          <w:sz w:val="24"/>
        </w:rPr>
        <w:t>Qualifiers are reviewed to ensure appropriate use (e.g., T was used when U was</w:t>
      </w:r>
      <w:r>
        <w:rPr>
          <w:spacing w:val="-18"/>
          <w:sz w:val="24"/>
        </w:rPr>
        <w:t xml:space="preserve"> </w:t>
      </w:r>
      <w:r>
        <w:rPr>
          <w:sz w:val="24"/>
        </w:rPr>
        <w:t>more appropriate).</w:t>
      </w:r>
    </w:p>
    <w:p w:rsidR="00D35590" w:rsidRDefault="00D35590">
      <w:pPr>
        <w:pStyle w:val="BodyText"/>
        <w:spacing w:before="2"/>
        <w:rPr>
          <w:sz w:val="21"/>
        </w:rPr>
      </w:pPr>
    </w:p>
    <w:p w:rsidR="00D35590" w:rsidRDefault="00D75DDE">
      <w:pPr>
        <w:pStyle w:val="Heading2"/>
        <w:numPr>
          <w:ilvl w:val="1"/>
          <w:numId w:val="25"/>
        </w:numPr>
        <w:tabs>
          <w:tab w:val="left" w:pos="1167"/>
          <w:tab w:val="left" w:pos="1168"/>
        </w:tabs>
        <w:spacing w:before="1"/>
        <w:ind w:hanging="577"/>
      </w:pPr>
      <w:bookmarkStart w:id="95" w:name="8.3_Audits"/>
      <w:bookmarkStart w:id="96" w:name="_bookmark27"/>
      <w:bookmarkEnd w:id="95"/>
      <w:bookmarkEnd w:id="96"/>
      <w:r>
        <w:t>Audits</w:t>
      </w:r>
    </w:p>
    <w:p w:rsidR="00D35590" w:rsidRDefault="00D75DDE">
      <w:pPr>
        <w:pStyle w:val="BodyText"/>
        <w:spacing w:before="139"/>
        <w:ind w:left="140" w:right="934"/>
      </w:pPr>
      <w:r>
        <w:t>Pursuant to the QA Rule, Chapter 62-160, F.A.C., the department has the authority to conduct audits in support of program-specific use of data (see Rule 62-160.650, F.A.C., Field and Laboratory Audits).</w:t>
      </w:r>
    </w:p>
    <w:p w:rsidR="00D35590" w:rsidRDefault="00D75DDE">
      <w:pPr>
        <w:pStyle w:val="BodyText"/>
        <w:ind w:left="140" w:right="796"/>
      </w:pPr>
      <w:r>
        <w:t>Department staff may audit sampler performance at the time of sample collection and visit laboratories to assess analytical operations. For both on-site audits and off-site records audits, documentation is inspected for conformance with requirements found in the QA Rule, the DEP SOPs, and the NELAC/TNI standards. Regulated parties and contractors, as well as consultants, local governments and department work units, are all subject to audits, and must provide all information necessary to reconstruct sampling events and laboratory analyses. The department may require corrective action responses for specific findings reported as the result of audits. The general procedures for conducting</w:t>
      </w:r>
      <w:bookmarkStart w:id="97" w:name="8.4_Data_Validation"/>
      <w:bookmarkStart w:id="98" w:name="_bookmark28"/>
      <w:bookmarkEnd w:id="97"/>
      <w:bookmarkEnd w:id="98"/>
      <w:r>
        <w:t xml:space="preserve"> audits are described in section 9 of this document.</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r>
        <w:t>Data</w:t>
      </w:r>
      <w:r>
        <w:rPr>
          <w:spacing w:val="-1"/>
        </w:rPr>
        <w:t xml:space="preserve"> </w:t>
      </w:r>
      <w:r>
        <w:t>Validation</w:t>
      </w:r>
    </w:p>
    <w:p w:rsidR="00D35590" w:rsidRDefault="00D75DDE">
      <w:pPr>
        <w:pStyle w:val="BodyText"/>
        <w:spacing w:before="137"/>
        <w:ind w:left="140" w:right="824"/>
      </w:pPr>
      <w:r>
        <w:t>The rule authorizing the department to verify and validate data used by its programs for specific usability assessments is Rule 62-160.670, F.A.C. (Data Validation by the Department). This assessment includes evaluation of sample collection, preservation and handling; laboratory certification, analysis methodology, analytical sensitivity, instrument calibration and quality control; and attainment of any specific data quality objectives identified for the project or program, and may include the additional activities listed in this section. Data records are evaluated for completeness and internal linkage by tracking specific samples through the process from sample collection to data use, to reconstruct the sampling and/or analytical process that produced the sample results. Further detail about the usability assessment process is provided in the document, “Process for Assessing Data Usability”, DEP-EA- 001/07, which is incorporated into the QA Rule. The validation process is similar to that used for records audits and includes many of the same verification and validation criteria and may also include criteria more specific to the project or program data use. Often, DEP program staff in DEAR or the regulatory divisions’ request that AQEAS perform abbreviated QA reviews of project or sampling event data packages and make recommendations about specific usability questions. The general process for conducting data validations and data verifications of all types</w:t>
      </w:r>
      <w:r>
        <w:rPr>
          <w:spacing w:val="-3"/>
        </w:rPr>
        <w:t xml:space="preserve"> </w:t>
      </w:r>
      <w:r>
        <w:t>includes:</w:t>
      </w:r>
    </w:p>
    <w:p w:rsidR="00D35590" w:rsidRDefault="00D35590">
      <w:pPr>
        <w:pStyle w:val="BodyText"/>
      </w:pPr>
    </w:p>
    <w:p w:rsidR="00D35590" w:rsidRDefault="00D75DDE">
      <w:pPr>
        <w:pStyle w:val="ListParagraph"/>
        <w:numPr>
          <w:ilvl w:val="2"/>
          <w:numId w:val="6"/>
        </w:numPr>
        <w:tabs>
          <w:tab w:val="left" w:pos="859"/>
          <w:tab w:val="left" w:pos="860"/>
        </w:tabs>
        <w:ind w:right="960"/>
        <w:rPr>
          <w:sz w:val="24"/>
        </w:rPr>
      </w:pPr>
      <w:bookmarkStart w:id="99" w:name="8.4.1_The_AEQAS_staff_member_receiving_t"/>
      <w:bookmarkEnd w:id="99"/>
      <w:r>
        <w:rPr>
          <w:sz w:val="24"/>
        </w:rPr>
        <w:t>The AEQAS staff member receiving the data review or validation request will coordinate with the program requesting the review to gather the relevant facts of data use and QA/QC questions pertaining to the review and, with the concurrence of the section administrator regarding any review assignments, engage the help of subject matter experts within AEQAS and other programs (often the DEP Laboratory programs) to assist with the review or answer specific validation questions. The AEQAS reviewer will attempt to reach a consensus evaluation of the data with the</w:t>
      </w:r>
      <w:r>
        <w:rPr>
          <w:spacing w:val="-3"/>
          <w:sz w:val="24"/>
        </w:rPr>
        <w:t xml:space="preserve"> </w:t>
      </w:r>
      <w:r>
        <w:rPr>
          <w:sz w:val="24"/>
        </w:rPr>
        <w:t>experts.</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ListParagraph"/>
        <w:numPr>
          <w:ilvl w:val="2"/>
          <w:numId w:val="6"/>
        </w:numPr>
        <w:tabs>
          <w:tab w:val="left" w:pos="859"/>
          <w:tab w:val="left" w:pos="860"/>
        </w:tabs>
        <w:spacing w:before="79"/>
        <w:ind w:right="931"/>
        <w:rPr>
          <w:sz w:val="24"/>
        </w:rPr>
      </w:pPr>
      <w:bookmarkStart w:id="100" w:name="8.4.2_Once_completed,_the_evaluation_of_"/>
      <w:bookmarkEnd w:id="100"/>
      <w:r>
        <w:rPr>
          <w:sz w:val="24"/>
        </w:rPr>
        <w:lastRenderedPageBreak/>
        <w:t>Once completed, the evaluation of the data is shared with the requesting program staff, and AEQAS makes a recommendation for data usability, based on the specific data use indicated. Communications with requesting program staff are often informal, and are facilitated with emails, phone calls and meetings. AEQAS staff will retain all correspondence and documentation concerning the review and usability recommendation. Emails and records of meetings and phone calls are kept for the project file by the reviewer. Documentation submitted for review is also retained by the AEQAS reviewer, and a copy of the documentation may be placed in a project specific folder on the AEQAS common drive. The requesting program staff are responsible for initiating any department action regarding the use of the</w:t>
      </w:r>
      <w:r>
        <w:rPr>
          <w:spacing w:val="-9"/>
          <w:sz w:val="24"/>
        </w:rPr>
        <w:t xml:space="preserve"> </w:t>
      </w:r>
      <w:r>
        <w:rPr>
          <w:sz w:val="24"/>
        </w:rPr>
        <w:t>data.</w:t>
      </w:r>
    </w:p>
    <w:p w:rsidR="00D35590" w:rsidRDefault="00D35590">
      <w:pPr>
        <w:pStyle w:val="BodyText"/>
        <w:spacing w:before="10"/>
        <w:rPr>
          <w:sz w:val="20"/>
        </w:rPr>
      </w:pPr>
    </w:p>
    <w:p w:rsidR="00D35590" w:rsidRDefault="00D75DDE">
      <w:pPr>
        <w:pStyle w:val="ListParagraph"/>
        <w:numPr>
          <w:ilvl w:val="2"/>
          <w:numId w:val="6"/>
        </w:numPr>
        <w:tabs>
          <w:tab w:val="left" w:pos="859"/>
          <w:tab w:val="left" w:pos="860"/>
        </w:tabs>
        <w:ind w:right="970"/>
        <w:rPr>
          <w:sz w:val="24"/>
        </w:rPr>
      </w:pPr>
      <w:bookmarkStart w:id="101" w:name="8.4.3_If_a_formal_record_of_data_validat"/>
      <w:bookmarkEnd w:id="101"/>
      <w:r>
        <w:rPr>
          <w:sz w:val="24"/>
        </w:rPr>
        <w:t>If a formal record of data validation is necessary, AEQAS will prepare a department memo</w:t>
      </w:r>
      <w:r>
        <w:rPr>
          <w:spacing w:val="-24"/>
          <w:sz w:val="24"/>
        </w:rPr>
        <w:t xml:space="preserve"> </w:t>
      </w:r>
      <w:r>
        <w:rPr>
          <w:sz w:val="24"/>
        </w:rPr>
        <w:t>that summarizes the categorical review items that were validated according to rule 62-160.670, F.A.C., in addition to the additional criteria specific to the project. The summary will contain sufficient technical details for defensibility of the AEQAS data usability recommendation and department action</w:t>
      </w:r>
      <w:r>
        <w:rPr>
          <w:spacing w:val="-1"/>
          <w:sz w:val="24"/>
        </w:rPr>
        <w:t xml:space="preserve"> </w:t>
      </w:r>
      <w:r>
        <w:rPr>
          <w:sz w:val="24"/>
        </w:rPr>
        <w:t>taken.</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bookmarkStart w:id="102" w:name="8.5_GIS_Layer_Updates_and_Maintenance"/>
      <w:bookmarkStart w:id="103" w:name="_bookmark29"/>
      <w:bookmarkEnd w:id="102"/>
      <w:bookmarkEnd w:id="103"/>
      <w:r>
        <w:t>GIS Layer Updates and</w:t>
      </w:r>
      <w:r>
        <w:rPr>
          <w:spacing w:val="-4"/>
        </w:rPr>
        <w:t xml:space="preserve"> </w:t>
      </w:r>
      <w:r>
        <w:t>Maintenance</w:t>
      </w:r>
    </w:p>
    <w:p w:rsidR="00D35590" w:rsidRDefault="00D75DDE">
      <w:pPr>
        <w:pStyle w:val="ListParagraph"/>
        <w:numPr>
          <w:ilvl w:val="2"/>
          <w:numId w:val="5"/>
        </w:numPr>
        <w:tabs>
          <w:tab w:val="left" w:pos="859"/>
          <w:tab w:val="left" w:pos="860"/>
        </w:tabs>
        <w:spacing w:before="137"/>
        <w:ind w:right="794"/>
        <w:rPr>
          <w:sz w:val="24"/>
        </w:rPr>
      </w:pPr>
      <w:bookmarkStart w:id="104" w:name="8.5.1_Geographic_Information_Systems_(GI"/>
      <w:bookmarkEnd w:id="104"/>
      <w:r>
        <w:rPr>
          <w:sz w:val="24"/>
        </w:rPr>
        <w:t>Geographic Information Systems (GIS) use geospatial data files and internet-based mapping to allow the display and analysis of a wide array of environmental data. Department staff and the public can view spatial information relevant to department programs. This information can be used to help make environmental decisions, such as selecting sites for water quality or biological sampling or monitoring, permit and compliance considerations, or 303(d) assessments. GIS is an important tool for staff and helps WQSP staff work more efficiently and accurately, resulting in better decisions and responses.</w:t>
      </w:r>
    </w:p>
    <w:p w:rsidR="00D35590" w:rsidRDefault="00D35590">
      <w:pPr>
        <w:pStyle w:val="BodyText"/>
        <w:spacing w:before="10"/>
        <w:rPr>
          <w:sz w:val="20"/>
        </w:rPr>
      </w:pPr>
    </w:p>
    <w:p w:rsidR="00D35590" w:rsidRDefault="00D75DDE">
      <w:pPr>
        <w:pStyle w:val="ListParagraph"/>
        <w:numPr>
          <w:ilvl w:val="2"/>
          <w:numId w:val="5"/>
        </w:numPr>
        <w:tabs>
          <w:tab w:val="left" w:pos="859"/>
          <w:tab w:val="left" w:pos="860"/>
        </w:tabs>
        <w:ind w:right="781"/>
        <w:rPr>
          <w:sz w:val="24"/>
        </w:rPr>
      </w:pPr>
      <w:bookmarkStart w:id="105" w:name="8.5.2_Surface_water_quality_standards_ar"/>
      <w:bookmarkEnd w:id="105"/>
      <w:r>
        <w:rPr>
          <w:sz w:val="24"/>
        </w:rPr>
        <w:t>Surface water quality standards are fundamental to many department programs and decisions. In addition to the maintenance and revision of these water quality standards rules, SDS is responsible for the development, maintenance and revision of four attendant GIS data layer categories. These data layers are fundamental to several department programs, including permitting, assessment, and monitoring, because the layers provide information on the applicable standards for waterbodies throughout the state. The water quality standards data layers include the Surface Water Classifications, Outstanding Florida Waters (OFW), Numeric Nutrient</w:t>
      </w:r>
      <w:r>
        <w:rPr>
          <w:spacing w:val="-26"/>
          <w:sz w:val="24"/>
        </w:rPr>
        <w:t xml:space="preserve"> </w:t>
      </w:r>
      <w:r>
        <w:rPr>
          <w:sz w:val="24"/>
        </w:rPr>
        <w:t>Criteria (NNC), and Site-Specific Criteria</w:t>
      </w:r>
      <w:r>
        <w:rPr>
          <w:spacing w:val="-1"/>
          <w:sz w:val="24"/>
        </w:rPr>
        <w:t xml:space="preserve"> </w:t>
      </w:r>
      <w:r>
        <w:rPr>
          <w:sz w:val="24"/>
        </w:rPr>
        <w:t>(SSC).</w:t>
      </w:r>
    </w:p>
    <w:p w:rsidR="00D35590" w:rsidRDefault="00D35590">
      <w:pPr>
        <w:pStyle w:val="BodyText"/>
        <w:spacing w:before="10"/>
        <w:rPr>
          <w:sz w:val="20"/>
        </w:rPr>
      </w:pPr>
    </w:p>
    <w:p w:rsidR="00D35590" w:rsidRDefault="00D75DDE">
      <w:pPr>
        <w:pStyle w:val="ListParagraph"/>
        <w:numPr>
          <w:ilvl w:val="2"/>
          <w:numId w:val="5"/>
        </w:numPr>
        <w:tabs>
          <w:tab w:val="left" w:pos="859"/>
          <w:tab w:val="left" w:pos="860"/>
        </w:tabs>
        <w:ind w:left="859" w:right="833"/>
        <w:rPr>
          <w:sz w:val="24"/>
        </w:rPr>
      </w:pPr>
      <w:bookmarkStart w:id="106" w:name="8.5.3_The_bases_for_these_data_layers_ar"/>
      <w:bookmarkEnd w:id="106"/>
      <w:r>
        <w:rPr>
          <w:sz w:val="24"/>
        </w:rPr>
        <w:t>The bases for these data layers are generally the geographic descriptions and/or maps adopted by reference in the standards rule (Chapter 62-302, F.A.C.) or in Final Orders. Regardless of the adoption procedure (rule or final order), the description in the documentation that was approved by the department and EPA is used to update the GIS layer with new data or to create new data layers as the need</w:t>
      </w:r>
      <w:r>
        <w:rPr>
          <w:spacing w:val="-2"/>
          <w:sz w:val="24"/>
        </w:rPr>
        <w:t xml:space="preserve"> </w:t>
      </w:r>
      <w:r>
        <w:rPr>
          <w:sz w:val="24"/>
        </w:rPr>
        <w:t>arises.</w:t>
      </w:r>
    </w:p>
    <w:p w:rsidR="00D35590" w:rsidRDefault="00D35590">
      <w:pPr>
        <w:pStyle w:val="BodyText"/>
        <w:spacing w:before="10"/>
        <w:rPr>
          <w:sz w:val="20"/>
        </w:rPr>
      </w:pPr>
    </w:p>
    <w:p w:rsidR="00D35590" w:rsidRDefault="00D75DDE">
      <w:pPr>
        <w:pStyle w:val="ListParagraph"/>
        <w:numPr>
          <w:ilvl w:val="2"/>
          <w:numId w:val="5"/>
        </w:numPr>
        <w:tabs>
          <w:tab w:val="left" w:pos="859"/>
          <w:tab w:val="left" w:pos="860"/>
        </w:tabs>
        <w:spacing w:before="1"/>
        <w:ind w:left="859" w:right="1005"/>
        <w:rPr>
          <w:sz w:val="24"/>
        </w:rPr>
      </w:pPr>
      <w:bookmarkStart w:id="107" w:name="8.5.4_Though_each_data_layer_has_its_own"/>
      <w:bookmarkEnd w:id="107"/>
      <w:r>
        <w:rPr>
          <w:sz w:val="24"/>
        </w:rPr>
        <w:t>Though each data layer has its own unique requirements, the general revision or addition to the data layer is as</w:t>
      </w:r>
      <w:r>
        <w:rPr>
          <w:spacing w:val="-1"/>
          <w:sz w:val="24"/>
        </w:rPr>
        <w:t xml:space="preserve"> </w:t>
      </w:r>
      <w:r>
        <w:rPr>
          <w:sz w:val="24"/>
        </w:rPr>
        <w:t>follows:</w:t>
      </w:r>
    </w:p>
    <w:p w:rsidR="00D35590" w:rsidRDefault="00D35590">
      <w:pPr>
        <w:pStyle w:val="BodyText"/>
        <w:rPr>
          <w:sz w:val="21"/>
        </w:rPr>
      </w:pPr>
    </w:p>
    <w:p w:rsidR="00D35590" w:rsidRDefault="00D75DDE">
      <w:pPr>
        <w:pStyle w:val="ListParagraph"/>
        <w:numPr>
          <w:ilvl w:val="3"/>
          <w:numId w:val="5"/>
        </w:numPr>
        <w:tabs>
          <w:tab w:val="left" w:pos="1219"/>
          <w:tab w:val="left" w:pos="1220"/>
        </w:tabs>
        <w:spacing w:line="273" w:lineRule="auto"/>
        <w:ind w:left="1219" w:right="881"/>
        <w:rPr>
          <w:sz w:val="24"/>
        </w:rPr>
      </w:pPr>
      <w:r>
        <w:rPr>
          <w:sz w:val="24"/>
        </w:rPr>
        <w:t>Compare the adopted rule language and spatial descriptions to the supporting</w:t>
      </w:r>
      <w:r>
        <w:rPr>
          <w:spacing w:val="-16"/>
          <w:sz w:val="24"/>
        </w:rPr>
        <w:t xml:space="preserve"> </w:t>
      </w:r>
      <w:r>
        <w:rPr>
          <w:sz w:val="24"/>
        </w:rPr>
        <w:t>documentation and to features on land (e.g., cities, roads, waterbodies, latitude and</w:t>
      </w:r>
      <w:r>
        <w:rPr>
          <w:spacing w:val="-5"/>
          <w:sz w:val="24"/>
        </w:rPr>
        <w:t xml:space="preserve"> </w:t>
      </w:r>
      <w:r>
        <w:rPr>
          <w:sz w:val="24"/>
        </w:rPr>
        <w:t>longitude);</w:t>
      </w:r>
    </w:p>
    <w:p w:rsidR="00D35590" w:rsidRDefault="00D75DDE">
      <w:pPr>
        <w:pStyle w:val="ListParagraph"/>
        <w:numPr>
          <w:ilvl w:val="3"/>
          <w:numId w:val="5"/>
        </w:numPr>
        <w:tabs>
          <w:tab w:val="left" w:pos="1219"/>
          <w:tab w:val="left" w:pos="1220"/>
        </w:tabs>
        <w:spacing w:before="3"/>
        <w:ind w:hanging="361"/>
        <w:rPr>
          <w:sz w:val="24"/>
        </w:rPr>
      </w:pPr>
      <w:r>
        <w:rPr>
          <w:sz w:val="24"/>
        </w:rPr>
        <w:t>Resolve any</w:t>
      </w:r>
      <w:r>
        <w:rPr>
          <w:spacing w:val="-2"/>
          <w:sz w:val="24"/>
        </w:rPr>
        <w:t xml:space="preserve"> </w:t>
      </w:r>
      <w:r>
        <w:rPr>
          <w:sz w:val="24"/>
        </w:rPr>
        <w:t>questions;</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ListParagraph"/>
        <w:numPr>
          <w:ilvl w:val="3"/>
          <w:numId w:val="5"/>
        </w:numPr>
        <w:tabs>
          <w:tab w:val="left" w:pos="1219"/>
          <w:tab w:val="left" w:pos="1220"/>
        </w:tabs>
        <w:spacing w:before="81"/>
        <w:rPr>
          <w:sz w:val="24"/>
        </w:rPr>
      </w:pPr>
      <w:r>
        <w:rPr>
          <w:sz w:val="24"/>
        </w:rPr>
        <w:lastRenderedPageBreak/>
        <w:t>Create a shapefile of the</w:t>
      </w:r>
      <w:r>
        <w:rPr>
          <w:spacing w:val="-4"/>
          <w:sz w:val="24"/>
        </w:rPr>
        <w:t xml:space="preserve"> </w:t>
      </w:r>
      <w:r>
        <w:rPr>
          <w:sz w:val="24"/>
        </w:rPr>
        <w:t>change;</w:t>
      </w:r>
    </w:p>
    <w:p w:rsidR="00D35590" w:rsidRDefault="00D75DDE">
      <w:pPr>
        <w:pStyle w:val="ListParagraph"/>
        <w:numPr>
          <w:ilvl w:val="3"/>
          <w:numId w:val="5"/>
        </w:numPr>
        <w:tabs>
          <w:tab w:val="left" w:pos="1219"/>
          <w:tab w:val="left" w:pos="1220"/>
        </w:tabs>
        <w:spacing w:before="39" w:line="273" w:lineRule="auto"/>
        <w:ind w:right="1320"/>
        <w:rPr>
          <w:sz w:val="24"/>
        </w:rPr>
      </w:pPr>
      <w:r>
        <w:rPr>
          <w:sz w:val="24"/>
        </w:rPr>
        <w:t>Create a static (e.g., .pdf, .jpeg) image of the shapefile showing the change in relation to features that would aid viewers in locating the</w:t>
      </w:r>
      <w:r>
        <w:rPr>
          <w:spacing w:val="-3"/>
          <w:sz w:val="24"/>
        </w:rPr>
        <w:t xml:space="preserve"> </w:t>
      </w:r>
      <w:r>
        <w:rPr>
          <w:sz w:val="24"/>
        </w:rPr>
        <w:t>area;</w:t>
      </w:r>
    </w:p>
    <w:p w:rsidR="00D35590" w:rsidRDefault="00D75DDE">
      <w:pPr>
        <w:pStyle w:val="ListParagraph"/>
        <w:numPr>
          <w:ilvl w:val="3"/>
          <w:numId w:val="5"/>
        </w:numPr>
        <w:tabs>
          <w:tab w:val="left" w:pos="1219"/>
          <w:tab w:val="left" w:pos="1220"/>
        </w:tabs>
        <w:spacing w:before="3"/>
        <w:rPr>
          <w:sz w:val="24"/>
        </w:rPr>
      </w:pPr>
      <w:r>
        <w:rPr>
          <w:sz w:val="24"/>
        </w:rPr>
        <w:t>Create attribute table entries and any necessary revisions to the layer</w:t>
      </w:r>
      <w:r>
        <w:rPr>
          <w:spacing w:val="-10"/>
          <w:sz w:val="24"/>
        </w:rPr>
        <w:t xml:space="preserve"> </w:t>
      </w:r>
      <w:r>
        <w:rPr>
          <w:sz w:val="24"/>
        </w:rPr>
        <w:t>metadata;</w:t>
      </w:r>
    </w:p>
    <w:p w:rsidR="00D35590" w:rsidRDefault="00D75DDE">
      <w:pPr>
        <w:pStyle w:val="ListParagraph"/>
        <w:numPr>
          <w:ilvl w:val="3"/>
          <w:numId w:val="5"/>
        </w:numPr>
        <w:tabs>
          <w:tab w:val="left" w:pos="1219"/>
          <w:tab w:val="left" w:pos="1220"/>
        </w:tabs>
        <w:spacing w:before="40" w:line="273" w:lineRule="auto"/>
        <w:ind w:right="969"/>
        <w:rPr>
          <w:sz w:val="24"/>
        </w:rPr>
      </w:pPr>
      <w:r>
        <w:rPr>
          <w:sz w:val="24"/>
        </w:rPr>
        <w:t>Distribute the static image, attribute table, and metadata drafts to staff knowledgeable</w:t>
      </w:r>
      <w:r>
        <w:rPr>
          <w:spacing w:val="-22"/>
          <w:sz w:val="24"/>
        </w:rPr>
        <w:t xml:space="preserve"> </w:t>
      </w:r>
      <w:r>
        <w:rPr>
          <w:sz w:val="24"/>
        </w:rPr>
        <w:t>about the change for consistency and accuracy</w:t>
      </w:r>
      <w:r>
        <w:rPr>
          <w:spacing w:val="-2"/>
          <w:sz w:val="24"/>
        </w:rPr>
        <w:t xml:space="preserve"> </w:t>
      </w:r>
      <w:r>
        <w:rPr>
          <w:sz w:val="24"/>
        </w:rPr>
        <w:t>review;</w:t>
      </w:r>
    </w:p>
    <w:p w:rsidR="00D35590" w:rsidRDefault="00D75DDE">
      <w:pPr>
        <w:pStyle w:val="ListParagraph"/>
        <w:numPr>
          <w:ilvl w:val="3"/>
          <w:numId w:val="5"/>
        </w:numPr>
        <w:tabs>
          <w:tab w:val="left" w:pos="1219"/>
          <w:tab w:val="left" w:pos="1220"/>
        </w:tabs>
        <w:spacing w:before="3" w:line="273" w:lineRule="auto"/>
        <w:ind w:right="1141"/>
        <w:rPr>
          <w:sz w:val="24"/>
        </w:rPr>
      </w:pPr>
      <w:r>
        <w:rPr>
          <w:sz w:val="24"/>
        </w:rPr>
        <w:t>Once the changes are verified and approved as accurate, include a final static image in the file for the WQS change as additional documentation;</w:t>
      </w:r>
      <w:r>
        <w:rPr>
          <w:spacing w:val="-4"/>
          <w:sz w:val="24"/>
        </w:rPr>
        <w:t xml:space="preserve"> </w:t>
      </w:r>
      <w:r>
        <w:rPr>
          <w:sz w:val="24"/>
        </w:rPr>
        <w:t>and,</w:t>
      </w:r>
    </w:p>
    <w:p w:rsidR="00D35590" w:rsidRDefault="00D75DDE">
      <w:pPr>
        <w:pStyle w:val="ListParagraph"/>
        <w:numPr>
          <w:ilvl w:val="3"/>
          <w:numId w:val="5"/>
        </w:numPr>
        <w:tabs>
          <w:tab w:val="left" w:pos="1219"/>
          <w:tab w:val="left" w:pos="1220"/>
        </w:tabs>
        <w:spacing w:before="3" w:line="273" w:lineRule="auto"/>
        <w:ind w:right="817"/>
        <w:rPr>
          <w:sz w:val="24"/>
        </w:rPr>
      </w:pPr>
      <w:r>
        <w:rPr>
          <w:sz w:val="24"/>
        </w:rPr>
        <w:t>Submit the shapefile and updated attributes to staff in the GIS section for modification of the appropriate data layer. Only a limited number of individuals (currently one) are approved to make changes or additions to the water quality standards data layers. WQSP staff are</w:t>
      </w:r>
      <w:r>
        <w:rPr>
          <w:spacing w:val="-22"/>
          <w:sz w:val="24"/>
        </w:rPr>
        <w:t xml:space="preserve"> </w:t>
      </w:r>
      <w:r>
        <w:rPr>
          <w:sz w:val="24"/>
        </w:rPr>
        <w:t>notified when the data layer has been updated and is available for</w:t>
      </w:r>
      <w:r>
        <w:rPr>
          <w:spacing w:val="-5"/>
          <w:sz w:val="24"/>
        </w:rPr>
        <w:t xml:space="preserve"> </w:t>
      </w:r>
      <w:r>
        <w:rPr>
          <w:sz w:val="24"/>
        </w:rPr>
        <w:t>use.</w:t>
      </w:r>
    </w:p>
    <w:p w:rsidR="00D35590" w:rsidRDefault="00D75DDE">
      <w:pPr>
        <w:pStyle w:val="ListParagraph"/>
        <w:numPr>
          <w:ilvl w:val="2"/>
          <w:numId w:val="5"/>
        </w:numPr>
        <w:tabs>
          <w:tab w:val="left" w:pos="859"/>
          <w:tab w:val="left" w:pos="860"/>
        </w:tabs>
        <w:spacing w:before="205"/>
        <w:ind w:left="859" w:right="841"/>
        <w:rPr>
          <w:sz w:val="24"/>
        </w:rPr>
      </w:pPr>
      <w:bookmarkStart w:id="108" w:name="8.5.5_The_overall_GIS_layer_revision_pro"/>
      <w:bookmarkEnd w:id="108"/>
      <w:r>
        <w:rPr>
          <w:sz w:val="24"/>
        </w:rPr>
        <w:t xml:space="preserve">The overall GIS layer revision process is similar for all water quality </w:t>
      </w:r>
      <w:proofErr w:type="gramStart"/>
      <w:r>
        <w:rPr>
          <w:sz w:val="24"/>
        </w:rPr>
        <w:t>standards layers, but</w:t>
      </w:r>
      <w:proofErr w:type="gramEnd"/>
      <w:r>
        <w:rPr>
          <w:sz w:val="24"/>
        </w:rPr>
        <w:t xml:space="preserve"> can involve additional program areas depending on the specific need and data layer. Questions regarding OFWs can involve additional research into the history and ownership of an area prior to validating the extent or responding to the question. These questions are received both by</w:t>
      </w:r>
      <w:r>
        <w:rPr>
          <w:spacing w:val="-17"/>
          <w:sz w:val="24"/>
        </w:rPr>
        <w:t xml:space="preserve"> </w:t>
      </w:r>
      <w:r>
        <w:rPr>
          <w:sz w:val="24"/>
        </w:rPr>
        <w:t>SDS and other programs; for example, DEP Districts, GIS Section, Division of State Lands, and OGC. Responses to these questions need to be coordinated among the program areas to maintain effective internal communication and consistency of departmental response. The coordinated response process is as</w:t>
      </w:r>
      <w:r>
        <w:rPr>
          <w:spacing w:val="-2"/>
          <w:sz w:val="24"/>
        </w:rPr>
        <w:t xml:space="preserve"> </w:t>
      </w:r>
      <w:r>
        <w:rPr>
          <w:sz w:val="24"/>
        </w:rPr>
        <w:t>follows:</w:t>
      </w:r>
    </w:p>
    <w:p w:rsidR="00D35590" w:rsidRDefault="00D35590">
      <w:pPr>
        <w:pStyle w:val="BodyText"/>
        <w:rPr>
          <w:sz w:val="21"/>
        </w:rPr>
      </w:pPr>
    </w:p>
    <w:p w:rsidR="00D35590" w:rsidRDefault="00D75DDE">
      <w:pPr>
        <w:pStyle w:val="ListParagraph"/>
        <w:numPr>
          <w:ilvl w:val="3"/>
          <w:numId w:val="5"/>
        </w:numPr>
        <w:tabs>
          <w:tab w:val="left" w:pos="1219"/>
          <w:tab w:val="left" w:pos="1220"/>
        </w:tabs>
        <w:ind w:hanging="361"/>
        <w:rPr>
          <w:sz w:val="24"/>
        </w:rPr>
      </w:pPr>
      <w:r>
        <w:rPr>
          <w:sz w:val="24"/>
        </w:rPr>
        <w:t>The question is forwarded to SDS staff if received by GIS or Division of State</w:t>
      </w:r>
      <w:r>
        <w:rPr>
          <w:spacing w:val="-11"/>
          <w:sz w:val="24"/>
        </w:rPr>
        <w:t xml:space="preserve"> </w:t>
      </w:r>
      <w:r>
        <w:rPr>
          <w:sz w:val="24"/>
        </w:rPr>
        <w:t>Lands</w:t>
      </w:r>
    </w:p>
    <w:p w:rsidR="00D35590" w:rsidRDefault="00D75DDE">
      <w:pPr>
        <w:pStyle w:val="ListParagraph"/>
        <w:numPr>
          <w:ilvl w:val="3"/>
          <w:numId w:val="5"/>
        </w:numPr>
        <w:tabs>
          <w:tab w:val="left" w:pos="1219"/>
          <w:tab w:val="left" w:pos="1220"/>
        </w:tabs>
        <w:spacing w:before="42"/>
        <w:ind w:hanging="361"/>
        <w:rPr>
          <w:sz w:val="24"/>
        </w:rPr>
      </w:pPr>
      <w:r>
        <w:rPr>
          <w:sz w:val="24"/>
        </w:rPr>
        <w:t>SDS staff research the records, documentation, and history from previous</w:t>
      </w:r>
      <w:r>
        <w:rPr>
          <w:spacing w:val="-6"/>
          <w:sz w:val="24"/>
        </w:rPr>
        <w:t xml:space="preserve"> </w:t>
      </w:r>
      <w:r>
        <w:rPr>
          <w:sz w:val="24"/>
        </w:rPr>
        <w:t>investigations,</w:t>
      </w:r>
    </w:p>
    <w:p w:rsidR="00D35590" w:rsidRDefault="00D75DDE">
      <w:pPr>
        <w:pStyle w:val="ListParagraph"/>
        <w:numPr>
          <w:ilvl w:val="3"/>
          <w:numId w:val="5"/>
        </w:numPr>
        <w:tabs>
          <w:tab w:val="left" w:pos="1219"/>
          <w:tab w:val="left" w:pos="1220"/>
        </w:tabs>
        <w:spacing w:before="40" w:line="271" w:lineRule="auto"/>
        <w:ind w:left="1219" w:right="1058"/>
        <w:rPr>
          <w:sz w:val="24"/>
        </w:rPr>
      </w:pPr>
      <w:r>
        <w:rPr>
          <w:sz w:val="24"/>
        </w:rPr>
        <w:t>Additionally, program staff from GIS, Division of State Lands, and/or OGC assist with the record and documentation review as needed.</w:t>
      </w:r>
    </w:p>
    <w:p w:rsidR="00D35590" w:rsidRDefault="00D75DDE">
      <w:pPr>
        <w:pStyle w:val="ListParagraph"/>
        <w:numPr>
          <w:ilvl w:val="3"/>
          <w:numId w:val="5"/>
        </w:numPr>
        <w:tabs>
          <w:tab w:val="left" w:pos="1219"/>
          <w:tab w:val="left" w:pos="1220"/>
        </w:tabs>
        <w:spacing w:before="8" w:line="271" w:lineRule="auto"/>
        <w:ind w:left="1219" w:right="814"/>
        <w:rPr>
          <w:sz w:val="24"/>
        </w:rPr>
      </w:pPr>
      <w:r>
        <w:rPr>
          <w:sz w:val="24"/>
        </w:rPr>
        <w:t>Once the response or decision is made, those involved are informed and the documentation</w:t>
      </w:r>
      <w:r>
        <w:rPr>
          <w:spacing w:val="-15"/>
          <w:sz w:val="24"/>
        </w:rPr>
        <w:t xml:space="preserve"> </w:t>
      </w:r>
      <w:r>
        <w:rPr>
          <w:sz w:val="24"/>
        </w:rPr>
        <w:t>is retained in SDS</w:t>
      </w:r>
      <w:r>
        <w:rPr>
          <w:spacing w:val="-1"/>
          <w:sz w:val="24"/>
        </w:rPr>
        <w:t xml:space="preserve"> </w:t>
      </w:r>
      <w:r>
        <w:rPr>
          <w:sz w:val="24"/>
        </w:rPr>
        <w:t>files.</w:t>
      </w:r>
    </w:p>
    <w:p w:rsidR="00D35590" w:rsidRDefault="00D75DDE">
      <w:pPr>
        <w:pStyle w:val="ListParagraph"/>
        <w:numPr>
          <w:ilvl w:val="3"/>
          <w:numId w:val="5"/>
        </w:numPr>
        <w:tabs>
          <w:tab w:val="left" w:pos="1219"/>
          <w:tab w:val="left" w:pos="1220"/>
        </w:tabs>
        <w:spacing w:before="7" w:line="273" w:lineRule="auto"/>
        <w:ind w:left="1219" w:right="1244"/>
        <w:rPr>
          <w:sz w:val="24"/>
        </w:rPr>
      </w:pPr>
      <w:r>
        <w:rPr>
          <w:sz w:val="24"/>
        </w:rPr>
        <w:t>Any modifications to the data layer(s) that are necessary are made in the same manner</w:t>
      </w:r>
      <w:r>
        <w:rPr>
          <w:spacing w:val="-20"/>
          <w:sz w:val="24"/>
        </w:rPr>
        <w:t xml:space="preserve"> </w:t>
      </w:r>
      <w:r>
        <w:rPr>
          <w:sz w:val="24"/>
        </w:rPr>
        <w:t>as above.</w:t>
      </w:r>
    </w:p>
    <w:p w:rsidR="00D35590" w:rsidRDefault="00D75DDE">
      <w:pPr>
        <w:pStyle w:val="Heading1"/>
        <w:numPr>
          <w:ilvl w:val="0"/>
          <w:numId w:val="25"/>
        </w:numPr>
        <w:tabs>
          <w:tab w:val="left" w:pos="680"/>
        </w:tabs>
        <w:spacing w:before="201" w:line="278" w:lineRule="auto"/>
        <w:ind w:right="877"/>
      </w:pPr>
      <w:bookmarkStart w:id="109" w:name="9._Procedures_for_Conducting_Audits_and_"/>
      <w:bookmarkStart w:id="110" w:name="_bookmark30"/>
      <w:bookmarkEnd w:id="109"/>
      <w:bookmarkEnd w:id="110"/>
      <w:r>
        <w:t>Procedures for Conducting Audits and Managing Corrective Actions Resulting from</w:t>
      </w:r>
      <w:r>
        <w:rPr>
          <w:spacing w:val="-2"/>
        </w:rPr>
        <w:t xml:space="preserve"> </w:t>
      </w:r>
      <w:r>
        <w:t>Audits</w:t>
      </w:r>
    </w:p>
    <w:p w:rsidR="00D35590" w:rsidRDefault="00D75DDE">
      <w:pPr>
        <w:pStyle w:val="BodyText"/>
        <w:spacing w:before="270"/>
        <w:ind w:left="140" w:right="960"/>
      </w:pPr>
      <w:r>
        <w:t>Audits provide objective feedback concerning the effectiveness of a program’s quality system and may identify areas in need of improvement. The WQSP performs both internal and external audits and</w:t>
      </w:r>
      <w:bookmarkStart w:id="111" w:name="9.1_Internal_Auditing"/>
      <w:bookmarkStart w:id="112" w:name="_bookmark31"/>
      <w:bookmarkEnd w:id="111"/>
      <w:bookmarkEnd w:id="112"/>
      <w:r>
        <w:t xml:space="preserve"> follow-up activities, as discussed below (also see section 8.3 above).</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ind w:hanging="577"/>
      </w:pPr>
      <w:r>
        <w:t>Internal</w:t>
      </w:r>
      <w:r>
        <w:rPr>
          <w:spacing w:val="-1"/>
        </w:rPr>
        <w:t xml:space="preserve"> </w:t>
      </w:r>
      <w:r>
        <w:t>Auditing</w:t>
      </w:r>
    </w:p>
    <w:p w:rsidR="00D35590" w:rsidRDefault="00D75DDE">
      <w:pPr>
        <w:pStyle w:val="ListParagraph"/>
        <w:numPr>
          <w:ilvl w:val="2"/>
          <w:numId w:val="4"/>
        </w:numPr>
        <w:tabs>
          <w:tab w:val="left" w:pos="859"/>
          <w:tab w:val="left" w:pos="860"/>
        </w:tabs>
        <w:spacing w:before="137"/>
        <w:ind w:right="820"/>
        <w:rPr>
          <w:sz w:val="24"/>
        </w:rPr>
      </w:pPr>
      <w:bookmarkStart w:id="113" w:name="9.1.1_Internal_audits_typically_involve_"/>
      <w:bookmarkEnd w:id="113"/>
      <w:r>
        <w:rPr>
          <w:sz w:val="24"/>
        </w:rPr>
        <w:t xml:space="preserve">Internal audits typically involve a field evaluation to determine each person’s skill and knowledge of sampling and </w:t>
      </w:r>
      <w:proofErr w:type="gramStart"/>
      <w:r>
        <w:rPr>
          <w:sz w:val="24"/>
        </w:rPr>
        <w:t>field testing</w:t>
      </w:r>
      <w:proofErr w:type="gramEnd"/>
      <w:r>
        <w:rPr>
          <w:sz w:val="24"/>
        </w:rPr>
        <w:t xml:space="preserve"> techniques. These audits are conducted by AEQAS staff (see Section 4.1.2) using audit checklists designed for each of the applicable DEP SOPs.</w:t>
      </w:r>
      <w:r>
        <w:rPr>
          <w:spacing w:val="-12"/>
          <w:sz w:val="24"/>
        </w:rPr>
        <w:t xml:space="preserve"> </w:t>
      </w:r>
      <w:r>
        <w:rPr>
          <w:sz w:val="24"/>
        </w:rPr>
        <w:t>The</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860" w:right="883"/>
      </w:pPr>
      <w:r>
        <w:lastRenderedPageBreak/>
        <w:t xml:space="preserve">current version of these checklists is in Excel format and is stored in the program’s common server directory under </w:t>
      </w:r>
      <w:r>
        <w:rPr>
          <w:color w:val="0000FF"/>
          <w:u w:val="single" w:color="0000FF"/>
        </w:rPr>
        <w:t>QA\Audits\</w:t>
      </w:r>
      <w:proofErr w:type="spellStart"/>
      <w:r>
        <w:rPr>
          <w:color w:val="0000FF"/>
          <w:u w:val="single" w:color="0000FF"/>
        </w:rPr>
        <w:t>Cklsts</w:t>
      </w:r>
      <w:proofErr w:type="spellEnd"/>
      <w:r>
        <w:t xml:space="preserve">. Generic versions of these checklists are found in the appendix to DEP SOP FA 1000 and are also available to staff and the public via links on the </w:t>
      </w:r>
      <w:hyperlink r:id="rId49">
        <w:r>
          <w:rPr>
            <w:color w:val="0000FF"/>
            <w:u w:val="single" w:color="0000FF"/>
          </w:rPr>
          <w:t>Data Review and Audits</w:t>
        </w:r>
        <w:r>
          <w:rPr>
            <w:color w:val="0000FF"/>
          </w:rPr>
          <w:t xml:space="preserve"> </w:t>
        </w:r>
      </w:hyperlink>
      <w:r>
        <w:t>webpage. Auditors complete the checklist while conducting the audit, describe any deficiencies, and provide a preliminary audit report to audited staff and supervisors within the section. Audited staff provide responses to the audit findings, and then both parties agree on corrective actions. Corrective actions often consist of additional training and revision of field sheets to improve documentation. Once corrective actions have been agreed upon and approved, a final report with a summary of the actions and dates of implementation is issued.</w:t>
      </w:r>
    </w:p>
    <w:p w:rsidR="00D35590" w:rsidRDefault="00D35590">
      <w:pPr>
        <w:pStyle w:val="BodyText"/>
        <w:spacing w:before="10"/>
        <w:rPr>
          <w:sz w:val="20"/>
        </w:rPr>
      </w:pPr>
    </w:p>
    <w:p w:rsidR="00D35590" w:rsidRDefault="00D75DDE">
      <w:pPr>
        <w:pStyle w:val="ListParagraph"/>
        <w:numPr>
          <w:ilvl w:val="2"/>
          <w:numId w:val="4"/>
        </w:numPr>
        <w:tabs>
          <w:tab w:val="left" w:pos="859"/>
          <w:tab w:val="left" w:pos="860"/>
        </w:tabs>
        <w:ind w:right="922"/>
        <w:rPr>
          <w:sz w:val="24"/>
        </w:rPr>
      </w:pPr>
      <w:bookmarkStart w:id="114" w:name="9.1.2_WQSP_personnel_are_also_audited_to"/>
      <w:bookmarkEnd w:id="114"/>
      <w:r>
        <w:rPr>
          <w:sz w:val="24"/>
        </w:rPr>
        <w:t>WQSP personnel are also audited to determine initial (see section 5.1) and continuing proficiency per time frames outlined in DEP SOPs to be qualified to conduct sampling and</w:t>
      </w:r>
      <w:r>
        <w:rPr>
          <w:spacing w:val="-23"/>
          <w:sz w:val="24"/>
        </w:rPr>
        <w:t xml:space="preserve"> </w:t>
      </w:r>
      <w:r>
        <w:rPr>
          <w:sz w:val="24"/>
        </w:rPr>
        <w:t xml:space="preserve">field assessment activities for the SCI, </w:t>
      </w:r>
      <w:proofErr w:type="spellStart"/>
      <w:r>
        <w:rPr>
          <w:sz w:val="24"/>
        </w:rPr>
        <w:t>BioRecon</w:t>
      </w:r>
      <w:proofErr w:type="spellEnd"/>
      <w:r>
        <w:rPr>
          <w:sz w:val="24"/>
        </w:rPr>
        <w:t xml:space="preserve"> and LVI. Proficiency requirements for those methods are in SOP sections SCI 1300, BRN 1300, and LVI 1200, respectively. In addition, after receiving training per DEP SOP FA 5720, staff are required to participate in periodic peer group evaluations of their ability to perform Habitat Assessments (HA; DEP SOP FT</w:t>
      </w:r>
      <w:r>
        <w:rPr>
          <w:spacing w:val="-16"/>
          <w:sz w:val="24"/>
        </w:rPr>
        <w:t xml:space="preserve"> </w:t>
      </w:r>
      <w:r>
        <w:rPr>
          <w:sz w:val="24"/>
        </w:rPr>
        <w:t>3000).</w:t>
      </w:r>
    </w:p>
    <w:p w:rsidR="00D35590" w:rsidRDefault="00D35590">
      <w:pPr>
        <w:pStyle w:val="BodyText"/>
        <w:spacing w:before="10"/>
        <w:rPr>
          <w:sz w:val="20"/>
        </w:rPr>
      </w:pPr>
    </w:p>
    <w:p w:rsidR="00D35590" w:rsidRDefault="00D75DDE">
      <w:pPr>
        <w:pStyle w:val="ListParagraph"/>
        <w:numPr>
          <w:ilvl w:val="2"/>
          <w:numId w:val="4"/>
        </w:numPr>
        <w:tabs>
          <w:tab w:val="left" w:pos="859"/>
          <w:tab w:val="left" w:pos="860"/>
        </w:tabs>
        <w:ind w:left="859" w:right="950"/>
        <w:rPr>
          <w:sz w:val="24"/>
        </w:rPr>
      </w:pPr>
      <w:bookmarkStart w:id="115" w:name="9.1.3_The_results_of_audits_for_individu"/>
      <w:bookmarkEnd w:id="115"/>
      <w:r>
        <w:rPr>
          <w:sz w:val="24"/>
        </w:rPr>
        <w:t xml:space="preserve">The results of audits for individuals evaluated for SCI and </w:t>
      </w:r>
      <w:proofErr w:type="spellStart"/>
      <w:r>
        <w:rPr>
          <w:sz w:val="24"/>
        </w:rPr>
        <w:t>BioRecon</w:t>
      </w:r>
      <w:proofErr w:type="spellEnd"/>
      <w:r>
        <w:rPr>
          <w:sz w:val="24"/>
        </w:rPr>
        <w:t xml:space="preserve"> sampling are scored per DEP SOPs SCI 1300 and BRN 1300, and hard copies are retained in AEQAS archives. The results for sampling teams evaluated for the LVI procedures are scored per DEP SOP LVI</w:t>
      </w:r>
      <w:r>
        <w:rPr>
          <w:spacing w:val="-26"/>
          <w:sz w:val="24"/>
        </w:rPr>
        <w:t xml:space="preserve"> </w:t>
      </w:r>
      <w:r>
        <w:rPr>
          <w:sz w:val="24"/>
        </w:rPr>
        <w:t>1200 and retained in</w:t>
      </w:r>
      <w:r>
        <w:rPr>
          <w:color w:val="0000FF"/>
          <w:sz w:val="24"/>
        </w:rPr>
        <w:t xml:space="preserve"> </w:t>
      </w:r>
      <w:r>
        <w:rPr>
          <w:color w:val="0000FF"/>
          <w:sz w:val="24"/>
          <w:u w:val="single" w:color="0000FF"/>
        </w:rPr>
        <w:t>electronic files</w:t>
      </w:r>
      <w:r>
        <w:rPr>
          <w:sz w:val="24"/>
        </w:rPr>
        <w:t>. Audits of water quality sampling and field testing are also retained. Habitat Assessment (FT 3000) evaluations are periodically conducted on a peer group basis and are based upon the central tendency of the established expert group. These results are also scored and retained. Electronic records for bioassessment audits are stored in their respective folders in the AEQAS common drive</w:t>
      </w:r>
      <w:r>
        <w:rPr>
          <w:color w:val="0000FF"/>
          <w:sz w:val="24"/>
        </w:rPr>
        <w:t xml:space="preserve"> </w:t>
      </w:r>
      <w:r>
        <w:rPr>
          <w:color w:val="0000FF"/>
          <w:sz w:val="24"/>
          <w:u w:val="single" w:color="0000FF"/>
        </w:rPr>
        <w:t>Bioassessment</w:t>
      </w:r>
      <w:r>
        <w:rPr>
          <w:color w:val="0000FF"/>
          <w:spacing w:val="-1"/>
          <w:sz w:val="24"/>
          <w:u w:val="single" w:color="0000FF"/>
        </w:rPr>
        <w:t xml:space="preserve"> </w:t>
      </w:r>
      <w:r>
        <w:rPr>
          <w:color w:val="0000FF"/>
          <w:sz w:val="24"/>
          <w:u w:val="single" w:color="0000FF"/>
        </w:rPr>
        <w:t>folder</w:t>
      </w:r>
      <w:r>
        <w:rPr>
          <w:sz w:val="24"/>
        </w:rPr>
        <w:t>.</w:t>
      </w:r>
    </w:p>
    <w:p w:rsidR="00D35590" w:rsidRDefault="00D35590">
      <w:pPr>
        <w:pStyle w:val="BodyText"/>
        <w:spacing w:before="10"/>
        <w:rPr>
          <w:sz w:val="20"/>
        </w:rPr>
      </w:pPr>
    </w:p>
    <w:p w:rsidR="00D35590" w:rsidRDefault="00D75DDE">
      <w:pPr>
        <w:pStyle w:val="ListParagraph"/>
        <w:numPr>
          <w:ilvl w:val="2"/>
          <w:numId w:val="4"/>
        </w:numPr>
        <w:tabs>
          <w:tab w:val="left" w:pos="859"/>
          <w:tab w:val="left" w:pos="860"/>
        </w:tabs>
        <w:ind w:right="820"/>
        <w:rPr>
          <w:sz w:val="24"/>
        </w:rPr>
      </w:pPr>
      <w:bookmarkStart w:id="116" w:name="9.1.4_When_deficiencies_are_identified_w"/>
      <w:bookmarkEnd w:id="116"/>
      <w:r>
        <w:rPr>
          <w:sz w:val="24"/>
        </w:rPr>
        <w:t>When deficiencies are identified with respect to the SCI, LVI, HA, water quality sampling, field- meter testing, or documentation, the root cause of the issue is identified and corrective action, such as additional training or testing, is</w:t>
      </w:r>
      <w:r>
        <w:rPr>
          <w:spacing w:val="-2"/>
          <w:sz w:val="24"/>
        </w:rPr>
        <w:t xml:space="preserve"> </w:t>
      </w:r>
      <w:r>
        <w:rPr>
          <w:sz w:val="24"/>
        </w:rPr>
        <w:t>implemented.</w:t>
      </w:r>
    </w:p>
    <w:p w:rsidR="00D35590" w:rsidRDefault="00D35590">
      <w:pPr>
        <w:pStyle w:val="BodyText"/>
        <w:spacing w:before="10"/>
        <w:rPr>
          <w:sz w:val="20"/>
        </w:rPr>
      </w:pPr>
    </w:p>
    <w:p w:rsidR="00D35590" w:rsidRDefault="00D75DDE">
      <w:pPr>
        <w:pStyle w:val="Heading2"/>
        <w:numPr>
          <w:ilvl w:val="1"/>
          <w:numId w:val="25"/>
        </w:numPr>
        <w:tabs>
          <w:tab w:val="left" w:pos="1167"/>
          <w:tab w:val="left" w:pos="1168"/>
        </w:tabs>
        <w:spacing w:before="1"/>
        <w:ind w:hanging="577"/>
      </w:pPr>
      <w:bookmarkStart w:id="117" w:name="9.2_External_Audits"/>
      <w:bookmarkStart w:id="118" w:name="_bookmark32"/>
      <w:bookmarkEnd w:id="117"/>
      <w:bookmarkEnd w:id="118"/>
      <w:r>
        <w:t>External</w:t>
      </w:r>
      <w:r>
        <w:rPr>
          <w:spacing w:val="-1"/>
        </w:rPr>
        <w:t xml:space="preserve"> </w:t>
      </w:r>
      <w:r>
        <w:t>Audits</w:t>
      </w:r>
    </w:p>
    <w:p w:rsidR="00D35590" w:rsidRDefault="00D75DDE">
      <w:pPr>
        <w:pStyle w:val="BodyText"/>
        <w:spacing w:before="136"/>
        <w:ind w:left="139" w:right="810"/>
      </w:pPr>
      <w:r>
        <w:t xml:space="preserve">The WQSP conducts sampling-performance, field-testing and data records audits at the request of department programs, and provides recommendations for data use by those programs, as appropriate. When necessary, the WQSP can jointly conduct laboratory audits with the Florida Department of Health (DOH) Environmental Laboratory Certification Program (ELCP) to investigate QA issues identified with a specific laboratory. Reports containing audit findings are posted on the department’s </w:t>
      </w:r>
      <w:hyperlink r:id="rId50">
        <w:r>
          <w:rPr>
            <w:color w:val="0000FF"/>
            <w:u w:val="single" w:color="0000FF"/>
          </w:rPr>
          <w:t>Audit</w:t>
        </w:r>
      </w:hyperlink>
      <w:r>
        <w:rPr>
          <w:color w:val="0000FF"/>
        </w:rPr>
        <w:t xml:space="preserve"> </w:t>
      </w:r>
      <w:hyperlink r:id="rId51">
        <w:r>
          <w:rPr>
            <w:color w:val="0000FF"/>
            <w:u w:val="single" w:color="0000FF"/>
          </w:rPr>
          <w:t>Reports Webpage</w:t>
        </w:r>
        <w:r>
          <w:t>.</w:t>
        </w:r>
      </w:hyperlink>
      <w:r>
        <w:t xml:space="preserve"> The WQSP also conducts routine audits to evaluate proficiency of individuals performing biological assessment procedures (see 9.2.4 below). The prioritization and scheduling of all audits is based on the availability of WQSP staff auditors and auditor-trainees.</w:t>
      </w:r>
    </w:p>
    <w:p w:rsidR="00D35590" w:rsidRDefault="00D35590">
      <w:pPr>
        <w:pStyle w:val="BodyText"/>
        <w:spacing w:before="10"/>
        <w:rPr>
          <w:sz w:val="20"/>
        </w:rPr>
      </w:pPr>
    </w:p>
    <w:p w:rsidR="00D35590" w:rsidRDefault="00D75DDE">
      <w:pPr>
        <w:pStyle w:val="ListParagraph"/>
        <w:numPr>
          <w:ilvl w:val="2"/>
          <w:numId w:val="3"/>
        </w:numPr>
        <w:tabs>
          <w:tab w:val="left" w:pos="859"/>
          <w:tab w:val="left" w:pos="860"/>
        </w:tabs>
        <w:spacing w:before="1"/>
        <w:rPr>
          <w:sz w:val="24"/>
        </w:rPr>
      </w:pPr>
      <w:bookmarkStart w:id="119" w:name="9.2.1_Quality_of_Science_Reviews"/>
      <w:bookmarkEnd w:id="119"/>
      <w:r>
        <w:rPr>
          <w:sz w:val="24"/>
        </w:rPr>
        <w:t>Quality of Science</w:t>
      </w:r>
      <w:r>
        <w:rPr>
          <w:spacing w:val="-3"/>
          <w:sz w:val="24"/>
        </w:rPr>
        <w:t xml:space="preserve"> </w:t>
      </w:r>
      <w:r>
        <w:rPr>
          <w:sz w:val="24"/>
        </w:rPr>
        <w:t>Reviews</w:t>
      </w:r>
    </w:p>
    <w:p w:rsidR="00D35590" w:rsidRDefault="00D35590">
      <w:pPr>
        <w:pStyle w:val="BodyText"/>
        <w:spacing w:before="9"/>
        <w:rPr>
          <w:sz w:val="20"/>
        </w:rPr>
      </w:pPr>
    </w:p>
    <w:p w:rsidR="00D35590" w:rsidRDefault="00D75DDE">
      <w:pPr>
        <w:pStyle w:val="BodyText"/>
        <w:spacing w:before="1"/>
        <w:ind w:left="860" w:right="1055"/>
      </w:pPr>
      <w:r>
        <w:t>Dependent upon requests, need and utility, WQSP performs Quality of Science Reviews of department programs, per its responsibilities under the QA Directive. WQSP conducts these reviews by evaluating the effectiveness of a program’s quality system, including its implementation and documentation, while providing suggestions for and assisting with improvement of the program’s quality system. The following steps are followed for Quality of</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860"/>
      </w:pPr>
      <w:r>
        <w:lastRenderedPageBreak/>
        <w:t>Science Reviews:</w:t>
      </w:r>
    </w:p>
    <w:p w:rsidR="00D35590" w:rsidRDefault="00D35590">
      <w:pPr>
        <w:pStyle w:val="BodyText"/>
        <w:spacing w:before="10"/>
        <w:rPr>
          <w:sz w:val="21"/>
        </w:rPr>
      </w:pPr>
    </w:p>
    <w:p w:rsidR="00D35590" w:rsidRDefault="00D75DDE">
      <w:pPr>
        <w:pStyle w:val="ListParagraph"/>
        <w:numPr>
          <w:ilvl w:val="3"/>
          <w:numId w:val="3"/>
        </w:numPr>
        <w:tabs>
          <w:tab w:val="left" w:pos="1580"/>
        </w:tabs>
        <w:ind w:right="836"/>
        <w:rPr>
          <w:sz w:val="24"/>
        </w:rPr>
      </w:pPr>
      <w:r>
        <w:rPr>
          <w:sz w:val="24"/>
        </w:rPr>
        <w:t>Identify the program, section or district to be reviewed, and identify key staff members within the unit. This should include the Administrator and the Quality Assurance</w:t>
      </w:r>
      <w:r>
        <w:rPr>
          <w:spacing w:val="-22"/>
          <w:sz w:val="24"/>
        </w:rPr>
        <w:t xml:space="preserve"> </w:t>
      </w:r>
      <w:r>
        <w:rPr>
          <w:sz w:val="24"/>
        </w:rPr>
        <w:t>Officer. Details about the review, including interview date and time, are determined via</w:t>
      </w:r>
      <w:r>
        <w:rPr>
          <w:spacing w:val="-12"/>
          <w:sz w:val="24"/>
        </w:rPr>
        <w:t xml:space="preserve"> </w:t>
      </w:r>
      <w:r>
        <w:rPr>
          <w:sz w:val="24"/>
        </w:rPr>
        <w:t>email.</w:t>
      </w:r>
    </w:p>
    <w:p w:rsidR="00D35590" w:rsidRDefault="00D75DDE">
      <w:pPr>
        <w:pStyle w:val="ListParagraph"/>
        <w:numPr>
          <w:ilvl w:val="3"/>
          <w:numId w:val="3"/>
        </w:numPr>
        <w:tabs>
          <w:tab w:val="left" w:pos="1580"/>
        </w:tabs>
        <w:ind w:left="1579" w:right="1012"/>
        <w:rPr>
          <w:sz w:val="24"/>
        </w:rPr>
      </w:pPr>
      <w:r>
        <w:rPr>
          <w:sz w:val="24"/>
        </w:rPr>
        <w:t>Any documents used for quality assurance purposes that are not incorporated in the QA Rule, including program-specific SOPs and the program’s quality plan, are provided to WQSP staff by the audited program. AEQAS staff then review the documents and develop questions regarding the quality</w:t>
      </w:r>
      <w:r>
        <w:rPr>
          <w:spacing w:val="-2"/>
          <w:sz w:val="24"/>
        </w:rPr>
        <w:t xml:space="preserve"> </w:t>
      </w:r>
      <w:r>
        <w:rPr>
          <w:sz w:val="24"/>
        </w:rPr>
        <w:t>system.</w:t>
      </w:r>
    </w:p>
    <w:p w:rsidR="00D35590" w:rsidRDefault="00D75DDE">
      <w:pPr>
        <w:pStyle w:val="ListParagraph"/>
        <w:numPr>
          <w:ilvl w:val="3"/>
          <w:numId w:val="3"/>
        </w:numPr>
        <w:tabs>
          <w:tab w:val="left" w:pos="1580"/>
        </w:tabs>
        <w:spacing w:before="1"/>
        <w:ind w:right="933"/>
        <w:rPr>
          <w:sz w:val="24"/>
        </w:rPr>
      </w:pPr>
      <w:r>
        <w:rPr>
          <w:sz w:val="24"/>
        </w:rPr>
        <w:t>At least one meeting is scheduled with AEQAS staff and the program being reviewed to discuss any questions left unanswered by the QA documents. Procedures in use by the unit are covered through the meeting interview. If any gaps in procedures exist, AEQAS staff discuss how to best resolve</w:t>
      </w:r>
      <w:r>
        <w:rPr>
          <w:spacing w:val="-2"/>
          <w:sz w:val="24"/>
        </w:rPr>
        <w:t xml:space="preserve"> </w:t>
      </w:r>
      <w:r>
        <w:rPr>
          <w:sz w:val="24"/>
        </w:rPr>
        <w:t>them.</w:t>
      </w:r>
    </w:p>
    <w:p w:rsidR="00D35590" w:rsidRDefault="00D75DDE">
      <w:pPr>
        <w:pStyle w:val="ListParagraph"/>
        <w:numPr>
          <w:ilvl w:val="3"/>
          <w:numId w:val="3"/>
        </w:numPr>
        <w:tabs>
          <w:tab w:val="left" w:pos="1580"/>
        </w:tabs>
        <w:ind w:right="929"/>
        <w:rPr>
          <w:sz w:val="24"/>
        </w:rPr>
      </w:pPr>
      <w:r>
        <w:rPr>
          <w:sz w:val="24"/>
        </w:rPr>
        <w:t>Findings from review of the quality system documents and interview meeting(s) are compiled in a draft report, which includes recommendations for quality system improvement, as well as suggested revisions for the program’s Quality Plan. AEQAS staff and appropriate program staff may hold a second meeting to review the draft</w:t>
      </w:r>
      <w:r>
        <w:rPr>
          <w:spacing w:val="-18"/>
          <w:sz w:val="24"/>
        </w:rPr>
        <w:t xml:space="preserve"> </w:t>
      </w:r>
      <w:r>
        <w:rPr>
          <w:sz w:val="24"/>
        </w:rPr>
        <w:t>report if</w:t>
      </w:r>
      <w:r>
        <w:rPr>
          <w:spacing w:val="-2"/>
          <w:sz w:val="24"/>
        </w:rPr>
        <w:t xml:space="preserve"> </w:t>
      </w:r>
      <w:r>
        <w:rPr>
          <w:sz w:val="24"/>
        </w:rPr>
        <w:t>necessary.</w:t>
      </w:r>
    </w:p>
    <w:p w:rsidR="00D35590" w:rsidRDefault="00D75DDE">
      <w:pPr>
        <w:pStyle w:val="ListParagraph"/>
        <w:numPr>
          <w:ilvl w:val="3"/>
          <w:numId w:val="3"/>
        </w:numPr>
        <w:tabs>
          <w:tab w:val="left" w:pos="1580"/>
        </w:tabs>
        <w:ind w:right="1119"/>
        <w:rPr>
          <w:sz w:val="24"/>
        </w:rPr>
      </w:pPr>
      <w:r>
        <w:rPr>
          <w:sz w:val="24"/>
        </w:rPr>
        <w:t>The report is finalized and issued. This report is transmitted via email to the staff involved in the Quality of Science Review, including the Program Administrator. This report may be distributed among interested staff or staff within the reviewed program. AEQAS stores Quality of Science Reviews in this common drive</w:t>
      </w:r>
      <w:r>
        <w:rPr>
          <w:color w:val="0000FF"/>
          <w:sz w:val="24"/>
        </w:rPr>
        <w:t xml:space="preserve"> </w:t>
      </w:r>
      <w:r>
        <w:rPr>
          <w:color w:val="0000FF"/>
          <w:sz w:val="24"/>
          <w:u w:val="single" w:color="0000FF"/>
        </w:rPr>
        <w:t>folder</w:t>
      </w:r>
      <w:r>
        <w:rPr>
          <w:sz w:val="24"/>
        </w:rPr>
        <w:t xml:space="preserve"> (\\Fldep1\dear\Labs\Lab5\EAS\Common\AEQA\1 QA\Audits\</w:t>
      </w:r>
      <w:proofErr w:type="spellStart"/>
      <w:r>
        <w:rPr>
          <w:sz w:val="24"/>
        </w:rPr>
        <w:t>QualityofScienceReviews</w:t>
      </w:r>
      <w:proofErr w:type="spellEnd"/>
      <w:r>
        <w:rPr>
          <w:sz w:val="24"/>
        </w:rPr>
        <w:t>).</w:t>
      </w:r>
    </w:p>
    <w:p w:rsidR="00D35590" w:rsidRDefault="00D35590">
      <w:pPr>
        <w:pStyle w:val="BodyText"/>
      </w:pPr>
    </w:p>
    <w:p w:rsidR="00D35590" w:rsidRDefault="00D75DDE">
      <w:pPr>
        <w:pStyle w:val="ListParagraph"/>
        <w:numPr>
          <w:ilvl w:val="2"/>
          <w:numId w:val="3"/>
        </w:numPr>
        <w:tabs>
          <w:tab w:val="left" w:pos="859"/>
          <w:tab w:val="left" w:pos="860"/>
        </w:tabs>
        <w:rPr>
          <w:sz w:val="24"/>
        </w:rPr>
      </w:pPr>
      <w:bookmarkStart w:id="120" w:name="9.2.2_Laboratory_Records_Audits"/>
      <w:bookmarkEnd w:id="120"/>
      <w:r>
        <w:rPr>
          <w:sz w:val="24"/>
        </w:rPr>
        <w:t>Laboratory Records</w:t>
      </w:r>
      <w:r>
        <w:rPr>
          <w:spacing w:val="-1"/>
          <w:sz w:val="24"/>
        </w:rPr>
        <w:t xml:space="preserve"> </w:t>
      </w:r>
      <w:r>
        <w:rPr>
          <w:sz w:val="24"/>
        </w:rPr>
        <w:t>Audits</w:t>
      </w:r>
    </w:p>
    <w:p w:rsidR="00D35590" w:rsidRDefault="00D35590">
      <w:pPr>
        <w:pStyle w:val="BodyText"/>
        <w:spacing w:before="10"/>
        <w:rPr>
          <w:sz w:val="20"/>
        </w:rPr>
      </w:pPr>
    </w:p>
    <w:p w:rsidR="00D35590" w:rsidRDefault="00D75DDE">
      <w:pPr>
        <w:pStyle w:val="ListParagraph"/>
        <w:numPr>
          <w:ilvl w:val="3"/>
          <w:numId w:val="3"/>
        </w:numPr>
        <w:tabs>
          <w:tab w:val="left" w:pos="1580"/>
        </w:tabs>
        <w:ind w:right="821"/>
        <w:rPr>
          <w:sz w:val="24"/>
        </w:rPr>
      </w:pPr>
      <w:r>
        <w:rPr>
          <w:sz w:val="24"/>
        </w:rPr>
        <w:t>After an initial request and subsequent discussions, WQSP staff typically obtain</w:t>
      </w:r>
      <w:r>
        <w:rPr>
          <w:spacing w:val="-20"/>
          <w:sz w:val="24"/>
        </w:rPr>
        <w:t xml:space="preserve"> </w:t>
      </w:r>
      <w:r>
        <w:rPr>
          <w:sz w:val="24"/>
        </w:rPr>
        <w:t>pertinent information about sampling sites, sample lists, sampling dates, and the identities of the organizations involved in the audit. Jessica Patronis is the lead auditor and organizes these audit preparations or delegates this task to other WQSP staff, with the concurrence of the AEQAS section administrator (and the WQSP program administrator, when appropriate), and includes the following</w:t>
      </w:r>
      <w:r>
        <w:rPr>
          <w:spacing w:val="-2"/>
          <w:sz w:val="24"/>
        </w:rPr>
        <w:t xml:space="preserve"> </w:t>
      </w:r>
      <w:r>
        <w:rPr>
          <w:sz w:val="24"/>
        </w:rPr>
        <w:t>steps:</w:t>
      </w:r>
    </w:p>
    <w:p w:rsidR="00D35590" w:rsidRDefault="00D75DDE">
      <w:pPr>
        <w:pStyle w:val="ListParagraph"/>
        <w:numPr>
          <w:ilvl w:val="3"/>
          <w:numId w:val="3"/>
        </w:numPr>
        <w:tabs>
          <w:tab w:val="left" w:pos="1580"/>
        </w:tabs>
        <w:ind w:right="910"/>
        <w:rPr>
          <w:sz w:val="24"/>
        </w:rPr>
      </w:pPr>
      <w:r>
        <w:rPr>
          <w:sz w:val="24"/>
        </w:rPr>
        <w:t>Identify the set of records to be audited. This set is defined by the sites, sampling entity, and/or timeframe for which data are to be used by the program requesting the audit. For each analyte or test to be audited, QA Program staff (within AEQAS) select a set of sample results to audit based on the purpose of the audit and the number of results available. For example, records from a single sampling event, using a single laboratory, and for only a few analytes may be selected as the scope of the audit. Alternatively, multiple sampling events, sampling projects, or laboratories with a larger number of analytes may be represented by the scope of the requested audit, with a corresponding increase in the number of results</w:t>
      </w:r>
      <w:r>
        <w:rPr>
          <w:spacing w:val="-3"/>
          <w:sz w:val="24"/>
        </w:rPr>
        <w:t xml:space="preserve"> </w:t>
      </w:r>
      <w:r>
        <w:rPr>
          <w:sz w:val="24"/>
        </w:rPr>
        <w:t>selected.</w:t>
      </w:r>
    </w:p>
    <w:p w:rsidR="00D35590" w:rsidRDefault="00D75DDE">
      <w:pPr>
        <w:pStyle w:val="ListParagraph"/>
        <w:numPr>
          <w:ilvl w:val="3"/>
          <w:numId w:val="3"/>
        </w:numPr>
        <w:tabs>
          <w:tab w:val="left" w:pos="1580"/>
        </w:tabs>
        <w:ind w:right="854"/>
        <w:rPr>
          <w:sz w:val="24"/>
        </w:rPr>
      </w:pPr>
      <w:r>
        <w:rPr>
          <w:sz w:val="24"/>
        </w:rPr>
        <w:t>Determine the appropriate evaluation criteria for the audit. Audit criteria are derived from the QA Rules, relevant program rules and requirements, DEP SOP requirements, NELAC requirements for lab certification, DEP data usability criteria</w:t>
      </w:r>
      <w:r>
        <w:rPr>
          <w:spacing w:val="-24"/>
          <w:sz w:val="24"/>
        </w:rPr>
        <w:t xml:space="preserve"> </w:t>
      </w:r>
      <w:r>
        <w:rPr>
          <w:sz w:val="24"/>
        </w:rPr>
        <w:t>(DEP-EA-001/07), or analytical method requirements. Checklists to be used for these audits are located on the program’s</w:t>
      </w:r>
      <w:r>
        <w:rPr>
          <w:color w:val="0000FF"/>
          <w:sz w:val="24"/>
        </w:rPr>
        <w:t xml:space="preserve"> </w:t>
      </w:r>
      <w:r>
        <w:rPr>
          <w:color w:val="0000FF"/>
          <w:sz w:val="24"/>
          <w:u w:val="single" w:color="0000FF"/>
        </w:rPr>
        <w:t>common drive</w:t>
      </w:r>
      <w:r>
        <w:rPr>
          <w:sz w:val="24"/>
        </w:rPr>
        <w:t>.</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ListParagraph"/>
        <w:numPr>
          <w:ilvl w:val="3"/>
          <w:numId w:val="3"/>
        </w:numPr>
        <w:tabs>
          <w:tab w:val="left" w:pos="1580"/>
        </w:tabs>
        <w:spacing w:before="79"/>
        <w:ind w:right="782"/>
        <w:rPr>
          <w:sz w:val="24"/>
        </w:rPr>
      </w:pPr>
      <w:r>
        <w:rPr>
          <w:sz w:val="24"/>
        </w:rPr>
        <w:lastRenderedPageBreak/>
        <w:t>Arrange to perform the audit. The designated lead auditor will be responsible for</w:t>
      </w:r>
      <w:r>
        <w:rPr>
          <w:spacing w:val="-19"/>
          <w:sz w:val="24"/>
        </w:rPr>
        <w:t xml:space="preserve"> </w:t>
      </w:r>
      <w:r>
        <w:rPr>
          <w:sz w:val="24"/>
        </w:rPr>
        <w:t xml:space="preserve">ensuring that all preparations are completed timely before the start of the audit. Any auditor training must be completed prior to the audit, and may include a review of standard AEQAS checklists, review of example documentation, conducting a mock audit, etc. Any new checklists required for the specific audit scope will be prepared by experienced AEQAS QA staff, with the assistance of subject matter experts, as needed. When possible, audit checklists will be pre-filled with information about the selected audit samples and reported sample results, based on records submitted by the audited organization and obtained from the appropriate department data base. Develop and send the field and/or lab organization(s) a list of records that will be evaluated (representing sample result data that have been reported to DEP), indicating that all field and/or lab records related to the chosen audit samples must be provided for inspection. For audits that comprise an evaluation of both field and lab components, records must be sufficient to reconstruct how the sample was collected, received in the lab, processed and analyzed, results evaluated, and results reported. For separate field or lab audits, only the relevant records are examined. If the audit will be conducted on-site at the office or lab location for the audited organization, schedule a date and time to meet at the location, indicate the expected duration of the audit (typically, one or more business days), specify the number of auditors attending, and ensure that there is sufficient office space for audit staff to review documents. If AEQAS will conduct a desk audit, </w:t>
      </w:r>
      <w:proofErr w:type="gramStart"/>
      <w:r>
        <w:rPr>
          <w:sz w:val="24"/>
        </w:rPr>
        <w:t>make arrangements</w:t>
      </w:r>
      <w:proofErr w:type="gramEnd"/>
      <w:r>
        <w:rPr>
          <w:sz w:val="24"/>
        </w:rPr>
        <w:t xml:space="preserve"> for providing all digital documents to DEP by email or ftp download. All communications with the audited organizations should facilitate a smooth and cooperative exchange of information and documentation. AEQAS auditors will provide enough details to the organization about the audit to clearly indicate the scope of the audit and the records to</w:t>
      </w:r>
      <w:r>
        <w:rPr>
          <w:spacing w:val="-16"/>
          <w:sz w:val="24"/>
        </w:rPr>
        <w:t xml:space="preserve"> </w:t>
      </w:r>
      <w:r>
        <w:rPr>
          <w:sz w:val="24"/>
        </w:rPr>
        <w:t>be exhibited.</w:t>
      </w:r>
    </w:p>
    <w:p w:rsidR="00D35590" w:rsidRDefault="00D75DDE">
      <w:pPr>
        <w:pStyle w:val="ListParagraph"/>
        <w:numPr>
          <w:ilvl w:val="3"/>
          <w:numId w:val="3"/>
        </w:numPr>
        <w:tabs>
          <w:tab w:val="left" w:pos="1580"/>
        </w:tabs>
        <w:ind w:right="859"/>
        <w:rPr>
          <w:sz w:val="24"/>
        </w:rPr>
      </w:pPr>
      <w:r>
        <w:rPr>
          <w:sz w:val="24"/>
        </w:rPr>
        <w:t>During the audit, review assembled records and complete the audit checklists. Obtain additional information from the audited lab if needed to resolve questions that may influence the findings. The designated lead auditor will ensure that all auditors are correctly completing checklists and interpreting information in relevant organization records. The audit team will request copies of any documentation needed to complete the audit and audit reports, both at the time of the audit onsite at the organization location, and after the audit, as needed. Often, such documentation requests are necessary to resolve details of specific audit</w:t>
      </w:r>
      <w:r>
        <w:rPr>
          <w:spacing w:val="-2"/>
          <w:sz w:val="24"/>
        </w:rPr>
        <w:t xml:space="preserve"> </w:t>
      </w:r>
      <w:r>
        <w:rPr>
          <w:sz w:val="24"/>
        </w:rPr>
        <w:t>findings.</w:t>
      </w:r>
    </w:p>
    <w:p w:rsidR="00D35590" w:rsidRDefault="00D75DDE">
      <w:pPr>
        <w:pStyle w:val="ListParagraph"/>
        <w:numPr>
          <w:ilvl w:val="3"/>
          <w:numId w:val="3"/>
        </w:numPr>
        <w:tabs>
          <w:tab w:val="left" w:pos="1580"/>
        </w:tabs>
        <w:spacing w:before="1"/>
        <w:ind w:right="859"/>
        <w:rPr>
          <w:sz w:val="24"/>
        </w:rPr>
      </w:pPr>
      <w:r>
        <w:rPr>
          <w:sz w:val="24"/>
        </w:rPr>
        <w:t>Compile findings and discuss them among QA staff. Write a preliminary audit report that contains a summary of the audit event, a table of deficiencies, and a timeframe within which the audited party must provide responses and proposed corrective actions for deficiencies. For AEQAS audits, the date by which the preliminary report must be sent to the audited party is specified in</w:t>
      </w:r>
      <w:r>
        <w:rPr>
          <w:color w:val="0000FF"/>
          <w:sz w:val="24"/>
        </w:rPr>
        <w:t xml:space="preserve"> </w:t>
      </w:r>
      <w:hyperlink r:id="rId52">
        <w:r>
          <w:rPr>
            <w:color w:val="0000FF"/>
            <w:sz w:val="24"/>
            <w:u w:val="single" w:color="0000FF"/>
          </w:rPr>
          <w:t>Rule 62-160.650, F.A.C.,</w:t>
        </w:r>
        <w:r>
          <w:rPr>
            <w:color w:val="0000FF"/>
            <w:sz w:val="24"/>
          </w:rPr>
          <w:t xml:space="preserve"> </w:t>
        </w:r>
      </w:hyperlink>
      <w:r>
        <w:rPr>
          <w:sz w:val="24"/>
        </w:rPr>
        <w:t>but other deadlines may apply if AEQAS is assisting a regulatory program with an audit and preparing a report according to different established schedules. Some findings, especially related to data reporting, may be directed to the sampling entity rather than the lab; in this case, split the findings into two tables within the report. The preliminary report will be sent to the audited party within 90 days of the audit date. Preliminary and final audit report templates are located on the AEQAS</w:t>
      </w:r>
      <w:r>
        <w:rPr>
          <w:color w:val="0000FF"/>
          <w:sz w:val="24"/>
        </w:rPr>
        <w:t xml:space="preserve"> </w:t>
      </w:r>
      <w:r>
        <w:rPr>
          <w:color w:val="0000FF"/>
          <w:sz w:val="24"/>
          <w:u w:val="single" w:color="0000FF"/>
        </w:rPr>
        <w:t>common</w:t>
      </w:r>
      <w:r>
        <w:rPr>
          <w:color w:val="0000FF"/>
          <w:spacing w:val="-5"/>
          <w:sz w:val="24"/>
          <w:u w:val="single" w:color="0000FF"/>
        </w:rPr>
        <w:t xml:space="preserve"> </w:t>
      </w:r>
      <w:r>
        <w:rPr>
          <w:color w:val="0000FF"/>
          <w:sz w:val="24"/>
          <w:u w:val="single" w:color="0000FF"/>
        </w:rPr>
        <w:t>directory</w:t>
      </w:r>
      <w:r>
        <w:rPr>
          <w:sz w:val="24"/>
        </w:rPr>
        <w:t>.</w:t>
      </w:r>
    </w:p>
    <w:p w:rsidR="00D35590" w:rsidRDefault="00D75DDE">
      <w:pPr>
        <w:pStyle w:val="ListParagraph"/>
        <w:numPr>
          <w:ilvl w:val="3"/>
          <w:numId w:val="3"/>
        </w:numPr>
        <w:tabs>
          <w:tab w:val="left" w:pos="1580"/>
        </w:tabs>
        <w:ind w:right="1480"/>
        <w:rPr>
          <w:sz w:val="24"/>
        </w:rPr>
      </w:pPr>
      <w:r>
        <w:rPr>
          <w:sz w:val="24"/>
        </w:rPr>
        <w:t>Per Rule 62-160.650, F.A.C., the audited party must send responses and</w:t>
      </w:r>
      <w:r>
        <w:rPr>
          <w:spacing w:val="-15"/>
          <w:sz w:val="24"/>
        </w:rPr>
        <w:t xml:space="preserve"> </w:t>
      </w:r>
      <w:r>
        <w:rPr>
          <w:sz w:val="24"/>
        </w:rPr>
        <w:t>corrective actions within 45 days from receipt of the preliminary audit report. QA staff</w:t>
      </w:r>
      <w:r>
        <w:rPr>
          <w:spacing w:val="-16"/>
          <w:sz w:val="24"/>
        </w:rPr>
        <w:t xml:space="preserve"> </w:t>
      </w:r>
      <w:r>
        <w:rPr>
          <w:sz w:val="24"/>
        </w:rPr>
        <w:t>shall</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1579" w:right="806"/>
      </w:pPr>
      <w:r>
        <w:lastRenderedPageBreak/>
        <w:t>determine if the responses and corrective actions adequately address the deficiencies. QA staff will amend the preliminary audit report to create the final report by adding comments of acceptance or conditional acceptance of the proposed corrective action within the table and include a data usability recommendation for the Program that requested the audit, when requested by the program. A draft of amendments to the preliminary report should be sent to the audited party for review and discussion before the report is finalized. This step reduces any misinterpretations by the auditors or the audited party. The data usability recommendation and any associated cautionary statements will be determined based on the severity and frequency of the noted deficiencies. If QA staff recommend that some or all data generated by the audited party should not be used, this recommendation should also contain a date range for usability, or some other appropriate</w:t>
      </w:r>
      <w:r>
        <w:rPr>
          <w:spacing w:val="-4"/>
        </w:rPr>
        <w:t xml:space="preserve"> </w:t>
      </w:r>
      <w:r>
        <w:t>constraint.</w:t>
      </w:r>
    </w:p>
    <w:p w:rsidR="00D35590" w:rsidRDefault="00D75DDE">
      <w:pPr>
        <w:pStyle w:val="ListParagraph"/>
        <w:numPr>
          <w:ilvl w:val="3"/>
          <w:numId w:val="3"/>
        </w:numPr>
        <w:tabs>
          <w:tab w:val="left" w:pos="1580"/>
        </w:tabs>
        <w:ind w:left="1579" w:right="791"/>
        <w:rPr>
          <w:sz w:val="24"/>
        </w:rPr>
      </w:pPr>
      <w:r>
        <w:rPr>
          <w:sz w:val="24"/>
        </w:rPr>
        <w:t>Issue the final audit report. The final report may be transmitted with a cover letter to external organizations or as a memo to an internal DEP program. It may be directed at</w:t>
      </w:r>
      <w:r>
        <w:rPr>
          <w:spacing w:val="-23"/>
          <w:sz w:val="24"/>
        </w:rPr>
        <w:t xml:space="preserve"> </w:t>
      </w:r>
      <w:r>
        <w:rPr>
          <w:sz w:val="24"/>
        </w:rPr>
        <w:t>the audited lab, sampling entity, the program requesting the audit, or some combination thereof, and it may be transmitted via email, which is the typical method of routing. The final audit report will be signed by the Division Director or Deputy Director and be certified by a department Clerk. It will then be posted on the department</w:t>
      </w:r>
      <w:r>
        <w:rPr>
          <w:color w:val="0000FF"/>
          <w:sz w:val="24"/>
        </w:rPr>
        <w:t xml:space="preserve"> </w:t>
      </w:r>
      <w:hyperlink r:id="rId53">
        <w:r>
          <w:rPr>
            <w:color w:val="0000FF"/>
            <w:sz w:val="24"/>
            <w:u w:val="single" w:color="0000FF"/>
          </w:rPr>
          <w:t>Audit Reports</w:t>
        </w:r>
      </w:hyperlink>
      <w:hyperlink r:id="rId54">
        <w:r>
          <w:rPr>
            <w:color w:val="0000FF"/>
            <w:sz w:val="24"/>
            <w:u w:val="single" w:color="0000FF"/>
          </w:rPr>
          <w:t xml:space="preserve"> Webpage</w:t>
        </w:r>
        <w:r>
          <w:rPr>
            <w:sz w:val="24"/>
          </w:rPr>
          <w:t>.</w:t>
        </w:r>
      </w:hyperlink>
      <w:r>
        <w:rPr>
          <w:sz w:val="24"/>
        </w:rPr>
        <w:t xml:space="preserve"> The lead auditor will ensure that each step of the final report processing is completed timely and</w:t>
      </w:r>
      <w:r>
        <w:rPr>
          <w:spacing w:val="-2"/>
          <w:sz w:val="24"/>
        </w:rPr>
        <w:t xml:space="preserve"> </w:t>
      </w:r>
      <w:r>
        <w:rPr>
          <w:sz w:val="24"/>
        </w:rPr>
        <w:t>accurately.</w:t>
      </w:r>
    </w:p>
    <w:p w:rsidR="00D35590" w:rsidRDefault="00D75DDE">
      <w:pPr>
        <w:pStyle w:val="ListParagraph"/>
        <w:numPr>
          <w:ilvl w:val="3"/>
          <w:numId w:val="3"/>
        </w:numPr>
        <w:tabs>
          <w:tab w:val="left" w:pos="1580"/>
        </w:tabs>
        <w:ind w:right="994"/>
        <w:rPr>
          <w:sz w:val="24"/>
        </w:rPr>
      </w:pPr>
      <w:r>
        <w:rPr>
          <w:sz w:val="24"/>
        </w:rPr>
        <w:t>After completion of the audit, staff will enter general information about the audit into WIN, including the audit type, audit purpose, audited party, audit date, and analyte groups. Check with programs to see if they want any data sensors applied to the</w:t>
      </w:r>
      <w:r>
        <w:rPr>
          <w:spacing w:val="-15"/>
          <w:sz w:val="24"/>
        </w:rPr>
        <w:t xml:space="preserve"> </w:t>
      </w:r>
      <w:r>
        <w:rPr>
          <w:sz w:val="24"/>
        </w:rPr>
        <w:t>audited data based on findings. Specific analytes and date ranges can be flagged with specific data use limitations,</w:t>
      </w:r>
      <w:r>
        <w:rPr>
          <w:spacing w:val="-3"/>
          <w:sz w:val="24"/>
        </w:rPr>
        <w:t xml:space="preserve"> </w:t>
      </w:r>
      <w:r>
        <w:rPr>
          <w:sz w:val="24"/>
        </w:rPr>
        <w:t>including:</w:t>
      </w:r>
    </w:p>
    <w:p w:rsidR="00D35590" w:rsidRDefault="00D75DDE">
      <w:pPr>
        <w:pStyle w:val="ListParagraph"/>
        <w:numPr>
          <w:ilvl w:val="4"/>
          <w:numId w:val="3"/>
        </w:numPr>
        <w:tabs>
          <w:tab w:val="left" w:pos="1939"/>
          <w:tab w:val="left" w:pos="1940"/>
        </w:tabs>
        <w:spacing w:line="293" w:lineRule="exact"/>
        <w:rPr>
          <w:sz w:val="24"/>
        </w:rPr>
      </w:pPr>
      <w:r>
        <w:rPr>
          <w:sz w:val="24"/>
        </w:rPr>
        <w:t>Data are not usable for IWR verified</w:t>
      </w:r>
      <w:r>
        <w:rPr>
          <w:spacing w:val="-3"/>
          <w:sz w:val="24"/>
        </w:rPr>
        <w:t xml:space="preserve"> </w:t>
      </w:r>
      <w:r>
        <w:rPr>
          <w:sz w:val="24"/>
        </w:rPr>
        <w:t>listing</w:t>
      </w:r>
    </w:p>
    <w:p w:rsidR="00D35590" w:rsidRDefault="00D75DDE">
      <w:pPr>
        <w:pStyle w:val="ListParagraph"/>
        <w:numPr>
          <w:ilvl w:val="4"/>
          <w:numId w:val="3"/>
        </w:numPr>
        <w:tabs>
          <w:tab w:val="left" w:pos="1939"/>
          <w:tab w:val="left" w:pos="1940"/>
        </w:tabs>
        <w:spacing w:line="293" w:lineRule="exact"/>
        <w:rPr>
          <w:sz w:val="24"/>
        </w:rPr>
      </w:pPr>
      <w:r>
        <w:rPr>
          <w:sz w:val="24"/>
        </w:rPr>
        <w:t>Data are not usable for any IWR</w:t>
      </w:r>
      <w:r>
        <w:rPr>
          <w:spacing w:val="-10"/>
          <w:sz w:val="24"/>
        </w:rPr>
        <w:t xml:space="preserve"> </w:t>
      </w:r>
      <w:r>
        <w:rPr>
          <w:sz w:val="24"/>
        </w:rPr>
        <w:t>assessment</w:t>
      </w:r>
    </w:p>
    <w:p w:rsidR="00D35590" w:rsidRDefault="00D75DDE">
      <w:pPr>
        <w:pStyle w:val="ListParagraph"/>
        <w:numPr>
          <w:ilvl w:val="4"/>
          <w:numId w:val="3"/>
        </w:numPr>
        <w:tabs>
          <w:tab w:val="left" w:pos="1939"/>
          <w:tab w:val="left" w:pos="1940"/>
        </w:tabs>
        <w:spacing w:line="293" w:lineRule="exact"/>
        <w:rPr>
          <w:sz w:val="24"/>
        </w:rPr>
      </w:pPr>
      <w:r>
        <w:rPr>
          <w:sz w:val="24"/>
        </w:rPr>
        <w:t>Data are not usable for TMDL</w:t>
      </w:r>
      <w:r>
        <w:rPr>
          <w:spacing w:val="-10"/>
          <w:sz w:val="24"/>
        </w:rPr>
        <w:t xml:space="preserve"> </w:t>
      </w:r>
      <w:r>
        <w:rPr>
          <w:sz w:val="24"/>
        </w:rPr>
        <w:t>development</w:t>
      </w:r>
    </w:p>
    <w:p w:rsidR="00D35590" w:rsidRDefault="00D75DDE">
      <w:pPr>
        <w:pStyle w:val="ListParagraph"/>
        <w:numPr>
          <w:ilvl w:val="4"/>
          <w:numId w:val="3"/>
        </w:numPr>
        <w:tabs>
          <w:tab w:val="left" w:pos="1939"/>
          <w:tab w:val="left" w:pos="1940"/>
        </w:tabs>
        <w:spacing w:line="293" w:lineRule="exact"/>
        <w:rPr>
          <w:sz w:val="24"/>
        </w:rPr>
      </w:pPr>
      <w:r>
        <w:rPr>
          <w:sz w:val="24"/>
        </w:rPr>
        <w:t>Data are not usable for BMAP development or</w:t>
      </w:r>
      <w:r>
        <w:rPr>
          <w:spacing w:val="-6"/>
          <w:sz w:val="24"/>
        </w:rPr>
        <w:t xml:space="preserve"> </w:t>
      </w:r>
      <w:r>
        <w:rPr>
          <w:sz w:val="24"/>
        </w:rPr>
        <w:t>analysis</w:t>
      </w:r>
    </w:p>
    <w:p w:rsidR="00D35590" w:rsidRDefault="00D75DDE">
      <w:pPr>
        <w:pStyle w:val="ListParagraph"/>
        <w:numPr>
          <w:ilvl w:val="4"/>
          <w:numId w:val="3"/>
        </w:numPr>
        <w:tabs>
          <w:tab w:val="left" w:pos="1939"/>
          <w:tab w:val="left" w:pos="1940"/>
        </w:tabs>
        <w:spacing w:line="293" w:lineRule="exact"/>
        <w:rPr>
          <w:sz w:val="24"/>
        </w:rPr>
      </w:pPr>
      <w:r>
        <w:rPr>
          <w:sz w:val="24"/>
        </w:rPr>
        <w:t>Data are not usable for Standards</w:t>
      </w:r>
      <w:r>
        <w:rPr>
          <w:spacing w:val="-5"/>
          <w:sz w:val="24"/>
        </w:rPr>
        <w:t xml:space="preserve"> </w:t>
      </w:r>
      <w:r>
        <w:rPr>
          <w:sz w:val="24"/>
        </w:rPr>
        <w:t>development</w:t>
      </w:r>
    </w:p>
    <w:p w:rsidR="00D35590" w:rsidRDefault="00D35590">
      <w:pPr>
        <w:pStyle w:val="BodyText"/>
        <w:spacing w:before="2"/>
      </w:pPr>
    </w:p>
    <w:p w:rsidR="00D35590" w:rsidRDefault="00D75DDE">
      <w:pPr>
        <w:pStyle w:val="ListParagraph"/>
        <w:numPr>
          <w:ilvl w:val="2"/>
          <w:numId w:val="3"/>
        </w:numPr>
        <w:tabs>
          <w:tab w:val="left" w:pos="859"/>
          <w:tab w:val="left" w:pos="860"/>
        </w:tabs>
        <w:rPr>
          <w:sz w:val="24"/>
        </w:rPr>
      </w:pPr>
      <w:bookmarkStart w:id="121" w:name="9.2.3_Sampling_Performance_and_Field-Tes"/>
      <w:bookmarkEnd w:id="121"/>
      <w:r>
        <w:rPr>
          <w:sz w:val="24"/>
        </w:rPr>
        <w:t>Sampling Performance and Field-Testing Audits Conducted by</w:t>
      </w:r>
      <w:r>
        <w:rPr>
          <w:spacing w:val="1"/>
          <w:sz w:val="24"/>
        </w:rPr>
        <w:t xml:space="preserve"> </w:t>
      </w:r>
      <w:r>
        <w:rPr>
          <w:sz w:val="24"/>
        </w:rPr>
        <w:t>WQSP</w:t>
      </w:r>
    </w:p>
    <w:p w:rsidR="00D35590" w:rsidRDefault="00D35590">
      <w:pPr>
        <w:pStyle w:val="BodyText"/>
        <w:spacing w:before="10"/>
        <w:rPr>
          <w:sz w:val="20"/>
        </w:rPr>
      </w:pPr>
    </w:p>
    <w:p w:rsidR="00D35590" w:rsidRDefault="00D75DDE">
      <w:pPr>
        <w:pStyle w:val="BodyText"/>
        <w:ind w:left="860" w:right="876"/>
      </w:pPr>
      <w:r>
        <w:t>The WQSP conducts field performance and field-testing audits upon the request of department programs. Sampling teams to be audited are identified through contacts with the team leader or other managers. The following steps are followed for field performance audits, and it will be the responsibility of the designated lead auditor to ensure that all steps are completed:</w:t>
      </w:r>
    </w:p>
    <w:p w:rsidR="00D35590" w:rsidRDefault="00D35590">
      <w:pPr>
        <w:pStyle w:val="BodyText"/>
        <w:spacing w:before="10"/>
        <w:rPr>
          <w:sz w:val="20"/>
        </w:rPr>
      </w:pPr>
    </w:p>
    <w:p w:rsidR="00D35590" w:rsidRDefault="00D75DDE">
      <w:pPr>
        <w:pStyle w:val="ListParagraph"/>
        <w:numPr>
          <w:ilvl w:val="3"/>
          <w:numId w:val="3"/>
        </w:numPr>
        <w:tabs>
          <w:tab w:val="left" w:pos="1580"/>
        </w:tabs>
        <w:ind w:right="874"/>
        <w:rPr>
          <w:sz w:val="24"/>
        </w:rPr>
      </w:pPr>
      <w:r>
        <w:rPr>
          <w:sz w:val="24"/>
        </w:rPr>
        <w:t>Identify the sampling team and site(s) to be audited. The team and site(s) should be representative of typical sampling operations conducted by the audited organization and specific to the project for which the audit was requested (when applicable). Details about the planned audit date, meet-up logistics and audit scope are typically arranged via email and phone calls. As with other types of audits, the lead auditor will organize strategy meetings and auditor training as necessary to prepare for audits. Since field-performance checklists have been standardized to the DEP SOPs, there is typically little, if</w:t>
      </w:r>
      <w:r>
        <w:rPr>
          <w:spacing w:val="-14"/>
          <w:sz w:val="24"/>
        </w:rPr>
        <w:t xml:space="preserve"> </w:t>
      </w:r>
      <w:r>
        <w:rPr>
          <w:sz w:val="24"/>
        </w:rPr>
        <w:t>any,</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1580" w:right="1375"/>
      </w:pPr>
      <w:r>
        <w:lastRenderedPageBreak/>
        <w:t>revising of audit checklists needed, but the lead auditor will oversee any revision of checklists required as part of audit preparations.</w:t>
      </w:r>
    </w:p>
    <w:p w:rsidR="00D35590" w:rsidRDefault="00D75DDE">
      <w:pPr>
        <w:pStyle w:val="ListParagraph"/>
        <w:numPr>
          <w:ilvl w:val="3"/>
          <w:numId w:val="3"/>
        </w:numPr>
        <w:tabs>
          <w:tab w:val="left" w:pos="1580"/>
        </w:tabs>
        <w:ind w:right="809"/>
        <w:rPr>
          <w:sz w:val="24"/>
        </w:rPr>
      </w:pPr>
      <w:r>
        <w:rPr>
          <w:sz w:val="24"/>
        </w:rPr>
        <w:t>WQSP auditors will observe as much of the sampling process as possible, including pre- event field meter calibration/verification, field mobilization, sampling, sample submittal to the lab, and post-event field meter verification. Auditors will use audit checklists based on department SOPs to evaluate sampling performance (checklists are located on the program</w:t>
      </w:r>
      <w:r>
        <w:rPr>
          <w:color w:val="0000FF"/>
          <w:sz w:val="24"/>
        </w:rPr>
        <w:t xml:space="preserve"> </w:t>
      </w:r>
      <w:r>
        <w:rPr>
          <w:color w:val="0000FF"/>
          <w:sz w:val="24"/>
          <w:u w:val="single" w:color="0000FF"/>
        </w:rPr>
        <w:t>common file directory</w:t>
      </w:r>
      <w:r>
        <w:rPr>
          <w:sz w:val="24"/>
        </w:rPr>
        <w:t>). Auditors will obtain copies of all field sampling, sample submittal, and field meter calibration/verification documentation on the audit</w:t>
      </w:r>
      <w:r>
        <w:rPr>
          <w:spacing w:val="-20"/>
          <w:sz w:val="24"/>
        </w:rPr>
        <w:t xml:space="preserve"> </w:t>
      </w:r>
      <w:r>
        <w:rPr>
          <w:sz w:val="24"/>
        </w:rPr>
        <w:t>day, if possible, or from the sampling team shortly after the audit date. The records from the will be scanned and electronically stored with the audit</w:t>
      </w:r>
      <w:r>
        <w:rPr>
          <w:spacing w:val="-1"/>
          <w:sz w:val="24"/>
        </w:rPr>
        <w:t xml:space="preserve"> </w:t>
      </w:r>
      <w:r>
        <w:rPr>
          <w:sz w:val="24"/>
        </w:rPr>
        <w:t>report.</w:t>
      </w:r>
    </w:p>
    <w:p w:rsidR="00D35590" w:rsidRDefault="00D75DDE">
      <w:pPr>
        <w:pStyle w:val="ListParagraph"/>
        <w:numPr>
          <w:ilvl w:val="3"/>
          <w:numId w:val="3"/>
        </w:numPr>
        <w:tabs>
          <w:tab w:val="left" w:pos="1580"/>
        </w:tabs>
        <w:ind w:right="831"/>
        <w:rPr>
          <w:sz w:val="24"/>
        </w:rPr>
      </w:pPr>
      <w:r>
        <w:rPr>
          <w:sz w:val="24"/>
        </w:rPr>
        <w:t>Compile findings observed during the sampling performance audit and findings from the review of field documentation prepared with the sampling event(s) audited and discuss them among QA staff. Write a preliminary audit report that contains a summary of the audit event, a table of deficiencies, and a timeframe within which the audited party must provide responses and proposed corrective action for deficiencies. The preliminary</w:t>
      </w:r>
      <w:r>
        <w:rPr>
          <w:spacing w:val="-19"/>
          <w:sz w:val="24"/>
        </w:rPr>
        <w:t xml:space="preserve"> </w:t>
      </w:r>
      <w:r>
        <w:rPr>
          <w:sz w:val="24"/>
        </w:rPr>
        <w:t>report should be sent to the audited party within 90 days of the audit date, if possible. For AEQAS audits, the timeline is specified in Rule 62-160.650, F.A.C., but other deadlines may apply if AEQAS is assisting a regulatory program with an audit and preparing a report according to different established schedules. Preliminary and final audit report templates for field performance audits are located on the</w:t>
      </w:r>
      <w:r>
        <w:rPr>
          <w:color w:val="0000FF"/>
          <w:sz w:val="24"/>
        </w:rPr>
        <w:t xml:space="preserve"> </w:t>
      </w:r>
      <w:r>
        <w:rPr>
          <w:color w:val="0000FF"/>
          <w:sz w:val="24"/>
          <w:u w:val="single" w:color="0000FF"/>
        </w:rPr>
        <w:t>AEQAS common</w:t>
      </w:r>
      <w:r>
        <w:rPr>
          <w:color w:val="0000FF"/>
          <w:spacing w:val="-13"/>
          <w:sz w:val="24"/>
          <w:u w:val="single" w:color="0000FF"/>
        </w:rPr>
        <w:t xml:space="preserve"> </w:t>
      </w:r>
      <w:r>
        <w:rPr>
          <w:color w:val="0000FF"/>
          <w:sz w:val="24"/>
          <w:u w:val="single" w:color="0000FF"/>
        </w:rPr>
        <w:t>directory</w:t>
      </w:r>
      <w:r>
        <w:rPr>
          <w:sz w:val="24"/>
        </w:rPr>
        <w:t>.</w:t>
      </w:r>
    </w:p>
    <w:p w:rsidR="00D35590" w:rsidRDefault="00D75DDE">
      <w:pPr>
        <w:pStyle w:val="ListParagraph"/>
        <w:numPr>
          <w:ilvl w:val="3"/>
          <w:numId w:val="3"/>
        </w:numPr>
        <w:tabs>
          <w:tab w:val="left" w:pos="1580"/>
        </w:tabs>
        <w:ind w:left="1579" w:right="854"/>
        <w:rPr>
          <w:sz w:val="24"/>
        </w:rPr>
      </w:pPr>
      <w:r>
        <w:rPr>
          <w:sz w:val="24"/>
        </w:rPr>
        <w:t>Per Rule 62-160.650, F.A.C., the audited party must send responses and corrective actions within 45 days from receipt of the preliminary audit report, unless a different schedule applies, as in 9.2.2.7 above. QA staff shall determine if the responses and corrective actions adequately address the deficiencies. QA staff will amend the preliminary audit report to create the final report by adding comments of acceptance or conditional acceptance of the proposed corrective action within the table and including a data usability recommendation for the Program that requested the audit. The data usability recommendation and any associated cautionary statements will be determined based on the severity and frequency of the noted deficiencies. If QA staff recommend that some or all data generated by the audited party should not be used, this recommendation should also contain a date range for usability, or some other appropriate constraint. As with lab audit reports, it is usually a good idea to share a draft of the final report with the audited party to avoid</w:t>
      </w:r>
      <w:r>
        <w:rPr>
          <w:spacing w:val="-3"/>
          <w:sz w:val="24"/>
        </w:rPr>
        <w:t xml:space="preserve"> </w:t>
      </w:r>
      <w:r>
        <w:rPr>
          <w:sz w:val="24"/>
        </w:rPr>
        <w:t>misinterpretations.</w:t>
      </w:r>
    </w:p>
    <w:p w:rsidR="00D35590" w:rsidRDefault="00D75DDE">
      <w:pPr>
        <w:pStyle w:val="ListParagraph"/>
        <w:numPr>
          <w:ilvl w:val="3"/>
          <w:numId w:val="3"/>
        </w:numPr>
        <w:tabs>
          <w:tab w:val="left" w:pos="1580"/>
        </w:tabs>
        <w:spacing w:before="1"/>
        <w:ind w:right="954"/>
        <w:rPr>
          <w:sz w:val="24"/>
        </w:rPr>
      </w:pPr>
      <w:r>
        <w:rPr>
          <w:sz w:val="24"/>
        </w:rPr>
        <w:t>Issue the final audit report. The final report may be transmitted with a cover letter to external organizations or as a memo to an internal DEP program., It may be directed at the audited lab, sampling entity, the program requesting the audit, or some combination thereof, and it may be transmitted via email, which is the typical method of routing.</w:t>
      </w:r>
      <w:r>
        <w:rPr>
          <w:spacing w:val="-18"/>
          <w:sz w:val="24"/>
        </w:rPr>
        <w:t xml:space="preserve"> </w:t>
      </w:r>
      <w:r>
        <w:rPr>
          <w:sz w:val="24"/>
        </w:rPr>
        <w:t>The final audit report will be signed by the Division Director or Deputy Director and be certified by a department Clerk. Post the final audit report on the department</w:t>
      </w:r>
      <w:r>
        <w:rPr>
          <w:color w:val="0000FF"/>
          <w:sz w:val="24"/>
        </w:rPr>
        <w:t xml:space="preserve"> </w:t>
      </w:r>
      <w:hyperlink r:id="rId55">
        <w:r>
          <w:rPr>
            <w:color w:val="0000FF"/>
            <w:sz w:val="24"/>
            <w:u w:val="single" w:color="0000FF"/>
          </w:rPr>
          <w:t>Audit</w:t>
        </w:r>
      </w:hyperlink>
      <w:hyperlink r:id="rId56">
        <w:r>
          <w:rPr>
            <w:color w:val="0000FF"/>
            <w:sz w:val="24"/>
            <w:u w:val="single" w:color="0000FF"/>
          </w:rPr>
          <w:t xml:space="preserve"> Reports Webpage</w:t>
        </w:r>
        <w:r>
          <w:rPr>
            <w:sz w:val="24"/>
          </w:rPr>
          <w:t>.</w:t>
        </w:r>
      </w:hyperlink>
      <w:r>
        <w:rPr>
          <w:sz w:val="24"/>
        </w:rPr>
        <w:t xml:space="preserve"> The lead auditor will ensure that each step of the final report processing is completed timely and</w:t>
      </w:r>
      <w:r>
        <w:rPr>
          <w:spacing w:val="-1"/>
          <w:sz w:val="24"/>
        </w:rPr>
        <w:t xml:space="preserve"> </w:t>
      </w:r>
      <w:r>
        <w:rPr>
          <w:sz w:val="24"/>
        </w:rPr>
        <w:t>accurately.</w:t>
      </w:r>
    </w:p>
    <w:p w:rsidR="00D35590" w:rsidRDefault="00D75DDE">
      <w:pPr>
        <w:pStyle w:val="ListParagraph"/>
        <w:numPr>
          <w:ilvl w:val="3"/>
          <w:numId w:val="3"/>
        </w:numPr>
        <w:tabs>
          <w:tab w:val="left" w:pos="1580"/>
        </w:tabs>
        <w:rPr>
          <w:sz w:val="24"/>
        </w:rPr>
      </w:pPr>
      <w:r>
        <w:rPr>
          <w:sz w:val="24"/>
        </w:rPr>
        <w:t>Enter audit results into WIN per instructions in</w:t>
      </w:r>
      <w:r>
        <w:rPr>
          <w:spacing w:val="-4"/>
          <w:sz w:val="24"/>
        </w:rPr>
        <w:t xml:space="preserve"> </w:t>
      </w:r>
      <w:r>
        <w:rPr>
          <w:sz w:val="24"/>
        </w:rPr>
        <w:t>9.2.2.9.</w:t>
      </w:r>
    </w:p>
    <w:p w:rsidR="00D35590" w:rsidRDefault="00D35590">
      <w:pPr>
        <w:pStyle w:val="BodyText"/>
      </w:pPr>
    </w:p>
    <w:p w:rsidR="00D35590" w:rsidRDefault="00D75DDE">
      <w:pPr>
        <w:pStyle w:val="ListParagraph"/>
        <w:numPr>
          <w:ilvl w:val="2"/>
          <w:numId w:val="3"/>
        </w:numPr>
        <w:tabs>
          <w:tab w:val="left" w:pos="859"/>
          <w:tab w:val="left" w:pos="860"/>
        </w:tabs>
        <w:rPr>
          <w:sz w:val="24"/>
        </w:rPr>
      </w:pPr>
      <w:bookmarkStart w:id="122" w:name="9.2.4_Bioassessment_Audits_Conducted_by_"/>
      <w:bookmarkEnd w:id="122"/>
      <w:r>
        <w:rPr>
          <w:sz w:val="24"/>
        </w:rPr>
        <w:t>Bioassessment Audits Conducted by WQSP for External</w:t>
      </w:r>
      <w:r>
        <w:rPr>
          <w:spacing w:val="-2"/>
          <w:sz w:val="24"/>
        </w:rPr>
        <w:t xml:space="preserve"> </w:t>
      </w:r>
      <w:r>
        <w:rPr>
          <w:sz w:val="24"/>
        </w:rPr>
        <w:t>Parties</w:t>
      </w:r>
    </w:p>
    <w:p w:rsidR="00D35590" w:rsidRDefault="00D35590">
      <w:pPr>
        <w:pStyle w:val="BodyText"/>
        <w:spacing w:before="10"/>
        <w:rPr>
          <w:sz w:val="20"/>
        </w:rPr>
      </w:pPr>
    </w:p>
    <w:p w:rsidR="00D35590" w:rsidRDefault="00D75DDE">
      <w:pPr>
        <w:pStyle w:val="BodyText"/>
        <w:ind w:left="859" w:right="876"/>
      </w:pPr>
      <w:r>
        <w:t xml:space="preserve">AEQAS schedules field audits with individuals wishing to become proficient in performing the SCI and </w:t>
      </w:r>
      <w:proofErr w:type="spellStart"/>
      <w:r>
        <w:t>BioRecon</w:t>
      </w:r>
      <w:proofErr w:type="spellEnd"/>
      <w:r>
        <w:t>, coordinates refresher audits for those intending to maintain their proficiency</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860" w:right="1002"/>
      </w:pPr>
      <w:r>
        <w:lastRenderedPageBreak/>
        <w:t>status, coordinates comparability testing for the LVI and stream HA, and provides web links to allow people to take the SCI online test of concepts and LVI online plant identification test.</w:t>
      </w:r>
    </w:p>
    <w:p w:rsidR="00D35590" w:rsidRDefault="00D75DDE">
      <w:pPr>
        <w:pStyle w:val="BodyText"/>
        <w:ind w:left="860" w:right="942"/>
      </w:pPr>
      <w:r>
        <w:t xml:space="preserve">Results of these QA evaluations are maintained by Ashley O’Neal and Joy Jackson in an </w:t>
      </w:r>
      <w:hyperlink r:id="rId57">
        <w:r>
          <w:rPr>
            <w:color w:val="0000FF"/>
            <w:u w:val="single" w:color="0000FF"/>
          </w:rPr>
          <w:t>online</w:t>
        </w:r>
      </w:hyperlink>
      <w:r>
        <w:rPr>
          <w:color w:val="0000FF"/>
        </w:rPr>
        <w:t xml:space="preserve"> </w:t>
      </w:r>
      <w:hyperlink r:id="rId58">
        <w:r>
          <w:rPr>
            <w:color w:val="0000FF"/>
            <w:u w:val="single" w:color="0000FF"/>
          </w:rPr>
          <w:t>registry</w:t>
        </w:r>
        <w:r>
          <w:t>.</w:t>
        </w:r>
      </w:hyperlink>
    </w:p>
    <w:p w:rsidR="00D35590" w:rsidRDefault="00D35590">
      <w:pPr>
        <w:pStyle w:val="BodyText"/>
        <w:spacing w:before="2"/>
        <w:rPr>
          <w:sz w:val="16"/>
        </w:rPr>
      </w:pPr>
    </w:p>
    <w:p w:rsidR="00D35590" w:rsidRDefault="00D75DDE">
      <w:pPr>
        <w:pStyle w:val="BodyText"/>
        <w:spacing w:before="90"/>
        <w:ind w:left="860" w:right="809"/>
      </w:pPr>
      <w:r>
        <w:t xml:space="preserve">AEQAS staff conduct the SCI and </w:t>
      </w:r>
      <w:proofErr w:type="spellStart"/>
      <w:r>
        <w:t>BioRecon</w:t>
      </w:r>
      <w:proofErr w:type="spellEnd"/>
      <w:r>
        <w:t xml:space="preserve"> audits and evaluate results from the LVI and HA comparability testing. SCI and </w:t>
      </w:r>
      <w:proofErr w:type="spellStart"/>
      <w:r>
        <w:t>BioRecon</w:t>
      </w:r>
      <w:proofErr w:type="spellEnd"/>
      <w:r>
        <w:t xml:space="preserve"> audits are conducted and evaluated per SOPs SCI 1300 and BRN 1300, respectively. LVI and HA testing results are evaluated per SOPs LVI 1200 and FA 5720. For biennial LVI testing, the AEQAS issues a report of the results, including discussion of differences among teams and indication of which teams were within the acceptable range of scores. Ashley O’Neal is responsible for the LVI proficiency testing and evaluation,</w:t>
      </w:r>
      <w:r>
        <w:rPr>
          <w:spacing w:val="-21"/>
        </w:rPr>
        <w:t xml:space="preserve"> </w:t>
      </w:r>
      <w:r>
        <w:t>and Joy Jackson is responsible for the HA</w:t>
      </w:r>
      <w:r>
        <w:rPr>
          <w:spacing w:val="-5"/>
        </w:rPr>
        <w:t xml:space="preserve"> </w:t>
      </w:r>
      <w:r>
        <w:t>evaluations.</w:t>
      </w:r>
    </w:p>
    <w:p w:rsidR="00D35590" w:rsidRDefault="00D35590">
      <w:pPr>
        <w:pStyle w:val="BodyText"/>
      </w:pPr>
    </w:p>
    <w:p w:rsidR="00D35590" w:rsidRDefault="00D75DDE">
      <w:pPr>
        <w:pStyle w:val="ListParagraph"/>
        <w:numPr>
          <w:ilvl w:val="3"/>
          <w:numId w:val="3"/>
        </w:numPr>
        <w:tabs>
          <w:tab w:val="left" w:pos="1580"/>
        </w:tabs>
        <w:ind w:left="859" w:right="4601" w:firstLine="0"/>
        <w:rPr>
          <w:sz w:val="24"/>
        </w:rPr>
      </w:pPr>
      <w:r>
        <w:rPr>
          <w:sz w:val="24"/>
        </w:rPr>
        <w:t>Lake Vegetation Index Proficiency test</w:t>
      </w:r>
      <w:r>
        <w:rPr>
          <w:spacing w:val="-13"/>
          <w:sz w:val="24"/>
        </w:rPr>
        <w:t xml:space="preserve"> </w:t>
      </w:r>
      <w:r>
        <w:rPr>
          <w:sz w:val="24"/>
        </w:rPr>
        <w:t>evaluation Testing:</w:t>
      </w:r>
    </w:p>
    <w:p w:rsidR="00D35590" w:rsidRDefault="00D75DDE">
      <w:pPr>
        <w:pStyle w:val="ListParagraph"/>
        <w:numPr>
          <w:ilvl w:val="4"/>
          <w:numId w:val="3"/>
        </w:numPr>
        <w:tabs>
          <w:tab w:val="left" w:pos="1579"/>
          <w:tab w:val="left" w:pos="1580"/>
        </w:tabs>
        <w:ind w:left="1579" w:right="993"/>
        <w:rPr>
          <w:sz w:val="24"/>
        </w:rPr>
      </w:pPr>
      <w:r>
        <w:rPr>
          <w:sz w:val="24"/>
        </w:rPr>
        <w:t>Establish 3 test lakes, with one in the Panhandle, one in the northern Peninsula, and one in the southern Peninsula), per SOP LVI 1200. Each lake should have good public access, a good boat ramp, and accommodate moderately sized</w:t>
      </w:r>
      <w:r>
        <w:rPr>
          <w:spacing w:val="-5"/>
          <w:sz w:val="24"/>
        </w:rPr>
        <w:t xml:space="preserve"> </w:t>
      </w:r>
      <w:r>
        <w:rPr>
          <w:sz w:val="24"/>
        </w:rPr>
        <w:t>boats.</w:t>
      </w:r>
    </w:p>
    <w:p w:rsidR="00D35590" w:rsidRDefault="00D75DDE">
      <w:pPr>
        <w:pStyle w:val="ListParagraph"/>
        <w:numPr>
          <w:ilvl w:val="4"/>
          <w:numId w:val="3"/>
        </w:numPr>
        <w:tabs>
          <w:tab w:val="left" w:pos="1580"/>
        </w:tabs>
        <w:ind w:left="1580" w:right="1074"/>
        <w:jc w:val="both"/>
        <w:rPr>
          <w:sz w:val="24"/>
        </w:rPr>
      </w:pPr>
      <w:r>
        <w:rPr>
          <w:sz w:val="24"/>
        </w:rPr>
        <w:t>Announce the test and test window on the website and Quality of Science newsletter</w:t>
      </w:r>
      <w:r>
        <w:rPr>
          <w:spacing w:val="-19"/>
          <w:sz w:val="24"/>
        </w:rPr>
        <w:t xml:space="preserve"> </w:t>
      </w:r>
      <w:r>
        <w:rPr>
          <w:sz w:val="24"/>
        </w:rPr>
        <w:t>at least 15 days prior to test window. The test window should be 30 days in length. Give teams 2 weeks after testing window to send results to the</w:t>
      </w:r>
      <w:r>
        <w:rPr>
          <w:spacing w:val="-5"/>
          <w:sz w:val="24"/>
        </w:rPr>
        <w:t xml:space="preserve"> </w:t>
      </w:r>
      <w:r>
        <w:rPr>
          <w:sz w:val="24"/>
        </w:rPr>
        <w:t>AEQAS.</w:t>
      </w:r>
    </w:p>
    <w:p w:rsidR="00D35590" w:rsidRDefault="00D75DDE">
      <w:pPr>
        <w:pStyle w:val="ListParagraph"/>
        <w:numPr>
          <w:ilvl w:val="4"/>
          <w:numId w:val="3"/>
        </w:numPr>
        <w:tabs>
          <w:tab w:val="left" w:pos="1580"/>
        </w:tabs>
        <w:ind w:left="1580" w:right="1048"/>
        <w:jc w:val="both"/>
        <w:rPr>
          <w:sz w:val="24"/>
        </w:rPr>
      </w:pPr>
      <w:r>
        <w:rPr>
          <w:sz w:val="24"/>
        </w:rPr>
        <w:t>Provide a sampling map for each testing lake, with sections numbered and labeled</w:t>
      </w:r>
      <w:r>
        <w:rPr>
          <w:spacing w:val="-19"/>
          <w:sz w:val="24"/>
        </w:rPr>
        <w:t xml:space="preserve"> </w:t>
      </w:r>
      <w:r>
        <w:rPr>
          <w:sz w:val="24"/>
        </w:rPr>
        <w:t xml:space="preserve">with </w:t>
      </w:r>
      <w:proofErr w:type="spellStart"/>
      <w:r>
        <w:rPr>
          <w:sz w:val="24"/>
        </w:rPr>
        <w:t>lat</w:t>
      </w:r>
      <w:proofErr w:type="spellEnd"/>
      <w:r>
        <w:rPr>
          <w:sz w:val="24"/>
        </w:rPr>
        <w:t>/longs.</w:t>
      </w:r>
    </w:p>
    <w:p w:rsidR="00D35590" w:rsidRDefault="00D75DDE">
      <w:pPr>
        <w:pStyle w:val="ListParagraph"/>
        <w:numPr>
          <w:ilvl w:val="4"/>
          <w:numId w:val="3"/>
        </w:numPr>
        <w:tabs>
          <w:tab w:val="left" w:pos="1579"/>
          <w:tab w:val="left" w:pos="1580"/>
        </w:tabs>
        <w:ind w:left="1580" w:right="1210"/>
        <w:rPr>
          <w:sz w:val="24"/>
        </w:rPr>
      </w:pPr>
      <w:r>
        <w:rPr>
          <w:sz w:val="24"/>
        </w:rPr>
        <w:t>If a team misses the testing window but wants to test, allow them to do so but do not include their score in the expert median, even if they passed during the previous most recent proficiency</w:t>
      </w:r>
      <w:r>
        <w:rPr>
          <w:spacing w:val="-1"/>
          <w:sz w:val="24"/>
        </w:rPr>
        <w:t xml:space="preserve"> </w:t>
      </w:r>
      <w:r>
        <w:rPr>
          <w:sz w:val="24"/>
        </w:rPr>
        <w:t>exercise.</w:t>
      </w:r>
    </w:p>
    <w:p w:rsidR="00D35590" w:rsidRDefault="00D75DDE">
      <w:pPr>
        <w:pStyle w:val="BodyText"/>
        <w:spacing w:line="275" w:lineRule="exact"/>
        <w:ind w:left="860"/>
      </w:pPr>
      <w:r>
        <w:t>Summarizing and Reporting:</w:t>
      </w:r>
    </w:p>
    <w:p w:rsidR="00D35590" w:rsidRDefault="00D75DDE">
      <w:pPr>
        <w:pStyle w:val="ListParagraph"/>
        <w:numPr>
          <w:ilvl w:val="4"/>
          <w:numId w:val="3"/>
        </w:numPr>
        <w:tabs>
          <w:tab w:val="left" w:pos="1579"/>
          <w:tab w:val="left" w:pos="1580"/>
        </w:tabs>
        <w:ind w:left="1580" w:right="901"/>
        <w:rPr>
          <w:sz w:val="24"/>
        </w:rPr>
      </w:pPr>
      <w:r>
        <w:rPr>
          <w:sz w:val="24"/>
        </w:rPr>
        <w:t>Calculate the median score from the teams that were in pass status after the most recent proficiency exercise. LVI scores that are within ± 12 points of this expert median will be considered</w:t>
      </w:r>
      <w:r>
        <w:rPr>
          <w:spacing w:val="-1"/>
          <w:sz w:val="24"/>
        </w:rPr>
        <w:t xml:space="preserve"> </w:t>
      </w:r>
      <w:r>
        <w:rPr>
          <w:sz w:val="24"/>
        </w:rPr>
        <w:t>passing.</w:t>
      </w:r>
    </w:p>
    <w:p w:rsidR="00D35590" w:rsidRDefault="00D75DDE">
      <w:pPr>
        <w:pStyle w:val="ListParagraph"/>
        <w:numPr>
          <w:ilvl w:val="4"/>
          <w:numId w:val="3"/>
        </w:numPr>
        <w:tabs>
          <w:tab w:val="left" w:pos="1579"/>
          <w:tab w:val="left" w:pos="1580"/>
        </w:tabs>
        <w:ind w:left="1580" w:right="856"/>
        <w:rPr>
          <w:sz w:val="24"/>
        </w:rPr>
      </w:pPr>
      <w:r>
        <w:rPr>
          <w:sz w:val="24"/>
        </w:rPr>
        <w:t>Notify participants of pass or fail status as soon as all scores are in. We do this before</w:t>
      </w:r>
      <w:r>
        <w:rPr>
          <w:spacing w:val="-19"/>
          <w:sz w:val="24"/>
        </w:rPr>
        <w:t xml:space="preserve"> </w:t>
      </w:r>
      <w:r>
        <w:rPr>
          <w:sz w:val="24"/>
        </w:rPr>
        <w:t>the finalized report so that participants are aware of their proficiency status as soon as possible, for the LVI sampling season that is</w:t>
      </w:r>
      <w:r>
        <w:rPr>
          <w:spacing w:val="-7"/>
          <w:sz w:val="24"/>
        </w:rPr>
        <w:t xml:space="preserve"> </w:t>
      </w:r>
      <w:r>
        <w:rPr>
          <w:sz w:val="24"/>
        </w:rPr>
        <w:t>underway.</w:t>
      </w:r>
    </w:p>
    <w:p w:rsidR="00D35590" w:rsidRDefault="00D75DDE">
      <w:pPr>
        <w:pStyle w:val="ListParagraph"/>
        <w:numPr>
          <w:ilvl w:val="4"/>
          <w:numId w:val="3"/>
        </w:numPr>
        <w:tabs>
          <w:tab w:val="left" w:pos="1579"/>
          <w:tab w:val="left" w:pos="1580"/>
        </w:tabs>
        <w:ind w:left="1580" w:right="850"/>
        <w:rPr>
          <w:sz w:val="24"/>
        </w:rPr>
      </w:pPr>
      <w:r>
        <w:rPr>
          <w:sz w:val="24"/>
        </w:rPr>
        <w:t>Create plots and tables of LVI scores, metric scores, dominant taxa chosen, plant taxa lists, and participating teams and their members (see previous years’ reports for</w:t>
      </w:r>
      <w:r>
        <w:rPr>
          <w:spacing w:val="-23"/>
          <w:sz w:val="24"/>
        </w:rPr>
        <w:t xml:space="preserve"> </w:t>
      </w:r>
      <w:r>
        <w:rPr>
          <w:sz w:val="24"/>
        </w:rPr>
        <w:t>formats).</w:t>
      </w:r>
    </w:p>
    <w:p w:rsidR="00D35590" w:rsidRDefault="00D75DDE">
      <w:pPr>
        <w:pStyle w:val="ListParagraph"/>
        <w:numPr>
          <w:ilvl w:val="4"/>
          <w:numId w:val="3"/>
        </w:numPr>
        <w:tabs>
          <w:tab w:val="left" w:pos="1579"/>
          <w:tab w:val="left" w:pos="1580"/>
        </w:tabs>
        <w:ind w:left="1580" w:right="1060"/>
        <w:rPr>
          <w:sz w:val="24"/>
        </w:rPr>
      </w:pPr>
      <w:r>
        <w:rPr>
          <w:sz w:val="24"/>
        </w:rPr>
        <w:t>Summarize results into a report, including a discussion of variability in LVI and</w:t>
      </w:r>
      <w:r>
        <w:rPr>
          <w:spacing w:val="-19"/>
          <w:sz w:val="24"/>
        </w:rPr>
        <w:t xml:space="preserve"> </w:t>
      </w:r>
      <w:r>
        <w:rPr>
          <w:sz w:val="24"/>
        </w:rPr>
        <w:t>metric scores, tips for plant identification for any taxa that were commonly misidentified or confused.</w:t>
      </w:r>
    </w:p>
    <w:p w:rsidR="00D35590" w:rsidRDefault="00D75DDE">
      <w:pPr>
        <w:pStyle w:val="ListParagraph"/>
        <w:numPr>
          <w:ilvl w:val="4"/>
          <w:numId w:val="3"/>
        </w:numPr>
        <w:tabs>
          <w:tab w:val="left" w:pos="1579"/>
          <w:tab w:val="left" w:pos="1580"/>
        </w:tabs>
        <w:ind w:left="1580" w:right="1091"/>
        <w:rPr>
          <w:sz w:val="24"/>
        </w:rPr>
      </w:pPr>
      <w:r>
        <w:rPr>
          <w:sz w:val="24"/>
        </w:rPr>
        <w:t>Send draft report to participants for review, finalize report, post final report on website and send to</w:t>
      </w:r>
      <w:r>
        <w:rPr>
          <w:spacing w:val="-1"/>
          <w:sz w:val="24"/>
        </w:rPr>
        <w:t xml:space="preserve"> </w:t>
      </w:r>
      <w:r>
        <w:rPr>
          <w:sz w:val="24"/>
        </w:rPr>
        <w:t>participants.</w:t>
      </w:r>
    </w:p>
    <w:p w:rsidR="00D35590" w:rsidRDefault="00D75DDE">
      <w:pPr>
        <w:pStyle w:val="ListParagraph"/>
        <w:numPr>
          <w:ilvl w:val="3"/>
          <w:numId w:val="3"/>
        </w:numPr>
        <w:tabs>
          <w:tab w:val="left" w:pos="1580"/>
        </w:tabs>
        <w:spacing w:line="275" w:lineRule="exact"/>
        <w:rPr>
          <w:sz w:val="24"/>
        </w:rPr>
      </w:pPr>
      <w:r>
        <w:rPr>
          <w:sz w:val="24"/>
        </w:rPr>
        <w:t>Habitat Assessment proficiency test</w:t>
      </w:r>
      <w:r>
        <w:rPr>
          <w:spacing w:val="-1"/>
          <w:sz w:val="24"/>
        </w:rPr>
        <w:t xml:space="preserve"> </w:t>
      </w:r>
      <w:r>
        <w:rPr>
          <w:sz w:val="24"/>
        </w:rPr>
        <w:t>evaluation</w:t>
      </w:r>
    </w:p>
    <w:p w:rsidR="00D35590" w:rsidRDefault="00D75DDE">
      <w:pPr>
        <w:pStyle w:val="ListParagraph"/>
        <w:numPr>
          <w:ilvl w:val="4"/>
          <w:numId w:val="3"/>
        </w:numPr>
        <w:tabs>
          <w:tab w:val="left" w:pos="1579"/>
          <w:tab w:val="left" w:pos="1580"/>
        </w:tabs>
        <w:ind w:left="1580" w:right="794"/>
        <w:rPr>
          <w:sz w:val="24"/>
        </w:rPr>
      </w:pPr>
      <w:r>
        <w:rPr>
          <w:sz w:val="24"/>
        </w:rPr>
        <w:t>For HA testing purposes, five stream sites are typically established in three regions</w:t>
      </w:r>
      <w:r>
        <w:rPr>
          <w:spacing w:val="-20"/>
          <w:sz w:val="24"/>
        </w:rPr>
        <w:t xml:space="preserve"> </w:t>
      </w:r>
      <w:r>
        <w:rPr>
          <w:sz w:val="24"/>
        </w:rPr>
        <w:t>across the state. Scores are compared to the total “consensus score” agreed upon by a group of Habitat Assessment testers in “Pass” status at the time the scores are</w:t>
      </w:r>
      <w:r>
        <w:rPr>
          <w:spacing w:val="-12"/>
          <w:sz w:val="24"/>
        </w:rPr>
        <w:t xml:space="preserve"> </w:t>
      </w:r>
      <w:r>
        <w:rPr>
          <w:sz w:val="24"/>
        </w:rPr>
        <w:t>established.</w:t>
      </w:r>
    </w:p>
    <w:p w:rsidR="00D35590" w:rsidRDefault="00D75DDE">
      <w:pPr>
        <w:pStyle w:val="ListParagraph"/>
        <w:numPr>
          <w:ilvl w:val="4"/>
          <w:numId w:val="3"/>
        </w:numPr>
        <w:tabs>
          <w:tab w:val="left" w:pos="1579"/>
          <w:tab w:val="left" w:pos="1580"/>
        </w:tabs>
        <w:ind w:left="1580" w:right="945"/>
        <w:rPr>
          <w:sz w:val="24"/>
        </w:rPr>
      </w:pPr>
      <w:r>
        <w:rPr>
          <w:sz w:val="24"/>
        </w:rPr>
        <w:t>A “consensus score” is established by a minimum of seven HA analysts in “Pass” status at the same site on the same day. Testers must achieve a score that is within 10 points</w:t>
      </w:r>
      <w:r>
        <w:rPr>
          <w:spacing w:val="-15"/>
          <w:sz w:val="24"/>
        </w:rPr>
        <w:t xml:space="preserve"> </w:t>
      </w:r>
      <w:r>
        <w:rPr>
          <w:sz w:val="24"/>
        </w:rPr>
        <w:t>of</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1580" w:right="1302"/>
      </w:pPr>
      <w:r>
        <w:lastRenderedPageBreak/>
        <w:t>the established consensus score at a minimum of three sites every other year to be in “Pass” status.</w:t>
      </w:r>
    </w:p>
    <w:p w:rsidR="00D35590" w:rsidRDefault="00D35590">
      <w:pPr>
        <w:pStyle w:val="BodyText"/>
        <w:spacing w:before="1"/>
      </w:pPr>
    </w:p>
    <w:p w:rsidR="00D35590" w:rsidRDefault="00D75DDE">
      <w:pPr>
        <w:pStyle w:val="Heading1"/>
        <w:numPr>
          <w:ilvl w:val="0"/>
          <w:numId w:val="25"/>
        </w:numPr>
        <w:tabs>
          <w:tab w:val="left" w:pos="750"/>
        </w:tabs>
        <w:ind w:left="749" w:hanging="430"/>
      </w:pPr>
      <w:bookmarkStart w:id="123" w:name="10.__Contract_Management"/>
      <w:bookmarkStart w:id="124" w:name="_bookmark33"/>
      <w:bookmarkEnd w:id="123"/>
      <w:bookmarkEnd w:id="124"/>
      <w:r>
        <w:t>Contract</w:t>
      </w:r>
      <w:r>
        <w:rPr>
          <w:spacing w:val="-2"/>
        </w:rPr>
        <w:t xml:space="preserve"> </w:t>
      </w:r>
      <w:r>
        <w:t>Management</w:t>
      </w:r>
    </w:p>
    <w:p w:rsidR="00D35590" w:rsidRDefault="00D35590">
      <w:pPr>
        <w:pStyle w:val="BodyText"/>
        <w:spacing w:before="10"/>
        <w:rPr>
          <w:b/>
        </w:rPr>
      </w:pPr>
    </w:p>
    <w:p w:rsidR="00D35590" w:rsidRDefault="00D75DDE">
      <w:pPr>
        <w:pStyle w:val="Heading2"/>
        <w:numPr>
          <w:ilvl w:val="1"/>
          <w:numId w:val="25"/>
        </w:numPr>
        <w:tabs>
          <w:tab w:val="left" w:pos="1227"/>
          <w:tab w:val="left" w:pos="1228"/>
        </w:tabs>
        <w:spacing w:before="1"/>
        <w:ind w:left="1227" w:hanging="637"/>
      </w:pPr>
      <w:bookmarkStart w:id="125" w:name="10.1__Contracts_Managed_by_the_Water_Qua"/>
      <w:bookmarkStart w:id="126" w:name="_bookmark34"/>
      <w:bookmarkEnd w:id="125"/>
      <w:bookmarkEnd w:id="126"/>
      <w:r>
        <w:t>Contracts Managed by the Water Quality Standards</w:t>
      </w:r>
      <w:r>
        <w:rPr>
          <w:spacing w:val="-2"/>
        </w:rPr>
        <w:t xml:space="preserve"> </w:t>
      </w:r>
      <w:r>
        <w:t>Program</w:t>
      </w:r>
    </w:p>
    <w:p w:rsidR="00D35590" w:rsidRDefault="00D75DDE">
      <w:pPr>
        <w:pStyle w:val="BodyText"/>
        <w:spacing w:before="139"/>
        <w:ind w:left="140" w:right="823"/>
      </w:pPr>
      <w:r>
        <w:t xml:space="preserve">The WQSP ensures that the contracts managed by program staff are properly developed and managed to assure appropriate data quality. Contract managers assure that the work is properly planned and executed, relevant to department environmental decisions, and consistent with the department QA Rule and department SOPs. Joy Jackson, Ashley O’Neal, and Kaitlyn Sutton are trained department contract managers. WQSP staff ensure that contract development and review </w:t>
      </w:r>
      <w:proofErr w:type="gramStart"/>
      <w:r>
        <w:t>includes</w:t>
      </w:r>
      <w:proofErr w:type="gramEnd"/>
      <w:r>
        <w:t xml:space="preserve"> the provisions of the QA rule and the appropriate instruction document. There are separate instruction documents on the QA Process for Contracts, Grants, and MFMP Purchase Orders, all of which are available on the </w:t>
      </w:r>
      <w:hyperlink r:id="rId59">
        <w:r>
          <w:rPr>
            <w:color w:val="0000FF"/>
            <w:u w:val="single" w:color="0000FF"/>
          </w:rPr>
          <w:t>QA</w:t>
        </w:r>
      </w:hyperlink>
      <w:r>
        <w:rPr>
          <w:color w:val="0000FF"/>
        </w:rPr>
        <w:t xml:space="preserve"> </w:t>
      </w:r>
      <w:hyperlink r:id="rId60">
        <w:r>
          <w:rPr>
            <w:color w:val="0000FF"/>
            <w:u w:val="single" w:color="0000FF"/>
          </w:rPr>
          <w:t>Resources</w:t>
        </w:r>
        <w:r>
          <w:rPr>
            <w:color w:val="0000FF"/>
          </w:rPr>
          <w:t xml:space="preserve"> </w:t>
        </w:r>
      </w:hyperlink>
      <w:r>
        <w:t>webpage. Standard templates are maintained by AEQAS and provided to contract managers as attachments to the above documents. These templates may be edited to customize requirements to the scope of contract work.</w:t>
      </w:r>
    </w:p>
    <w:p w:rsidR="00D35590" w:rsidRDefault="00D35590">
      <w:pPr>
        <w:pStyle w:val="BodyText"/>
        <w:spacing w:before="10"/>
        <w:rPr>
          <w:sz w:val="20"/>
        </w:rPr>
      </w:pPr>
    </w:p>
    <w:p w:rsidR="00D35590" w:rsidRDefault="00D75DDE">
      <w:pPr>
        <w:pStyle w:val="Heading2"/>
        <w:numPr>
          <w:ilvl w:val="1"/>
          <w:numId w:val="25"/>
        </w:numPr>
        <w:tabs>
          <w:tab w:val="left" w:pos="1227"/>
          <w:tab w:val="left" w:pos="1228"/>
        </w:tabs>
        <w:ind w:left="1227" w:hanging="637"/>
      </w:pPr>
      <w:bookmarkStart w:id="127" w:name="10.2__Support_Activities_for_Contracts_M"/>
      <w:bookmarkStart w:id="128" w:name="_bookmark35"/>
      <w:bookmarkEnd w:id="127"/>
      <w:bookmarkEnd w:id="128"/>
      <w:r>
        <w:t>Support Activities for Contracts Managed by Other Department</w:t>
      </w:r>
      <w:r>
        <w:rPr>
          <w:spacing w:val="-2"/>
        </w:rPr>
        <w:t xml:space="preserve"> </w:t>
      </w:r>
      <w:r>
        <w:t>Programs</w:t>
      </w:r>
    </w:p>
    <w:p w:rsidR="00D35590" w:rsidRDefault="00D75DDE">
      <w:pPr>
        <w:pStyle w:val="BodyText"/>
        <w:spacing w:before="137"/>
        <w:ind w:left="140" w:right="923"/>
      </w:pPr>
      <w:r>
        <w:t>The WQSP provides education and “stock” QA language in the QA Process for Contracts and Grants documents to contract (and grant) managers from other department programs to assist them with data quality issues for all contracts and grants that include field or laboratory analytical work. However, all department contract managers bear the obligation of assuring that the work is properly planned and executed, relevant to department environmental decisions, and consistent with the department QA Rule and department SOPs.</w:t>
      </w:r>
    </w:p>
    <w:p w:rsidR="00D35590" w:rsidRDefault="00D35590">
      <w:pPr>
        <w:pStyle w:val="BodyText"/>
      </w:pPr>
    </w:p>
    <w:p w:rsidR="00D35590" w:rsidRDefault="00D75DDE">
      <w:pPr>
        <w:pStyle w:val="BodyText"/>
        <w:ind w:left="140" w:right="983"/>
      </w:pPr>
      <w:r>
        <w:t>The QA process documents include guidance for contract/grant managers whether to attach a Standard or Research QA Attachment to their agreements. The documents include those QA Attachments as embedded documents, and Quality Assurance Project Plan (QAPP) templates to be used for research projects contracted by the department and for Nonpoint Source Best Management Practices (BMP) projects funded by EPA via 319h grants and managed by the department.</w:t>
      </w:r>
    </w:p>
    <w:p w:rsidR="00D35590" w:rsidRDefault="00D35590">
      <w:pPr>
        <w:pStyle w:val="BodyText"/>
      </w:pPr>
    </w:p>
    <w:p w:rsidR="00D35590" w:rsidRDefault="00D75DDE">
      <w:pPr>
        <w:pStyle w:val="ListParagraph"/>
        <w:numPr>
          <w:ilvl w:val="2"/>
          <w:numId w:val="2"/>
        </w:numPr>
        <w:tabs>
          <w:tab w:val="left" w:pos="860"/>
        </w:tabs>
        <w:ind w:right="799"/>
        <w:rPr>
          <w:sz w:val="24"/>
        </w:rPr>
      </w:pPr>
      <w:bookmarkStart w:id="129" w:name="10.2.1_Contract/grant_managers_are_train"/>
      <w:bookmarkEnd w:id="129"/>
      <w:r>
        <w:rPr>
          <w:sz w:val="24"/>
        </w:rPr>
        <w:t>Contract/grant managers are trained by AEQAS staff on an as needed basis. The training consists of Quality Assurance concepts, the use of the templates for contracts and grants, and how to review a QAPP. AEQAS will also provide training upon request from contract managers and department procurement</w:t>
      </w:r>
      <w:r>
        <w:rPr>
          <w:spacing w:val="1"/>
          <w:sz w:val="24"/>
        </w:rPr>
        <w:t xml:space="preserve"> </w:t>
      </w:r>
      <w:r>
        <w:rPr>
          <w:sz w:val="24"/>
        </w:rPr>
        <w:t>staff.</w:t>
      </w:r>
    </w:p>
    <w:p w:rsidR="00D35590" w:rsidRDefault="00D35590">
      <w:pPr>
        <w:pStyle w:val="BodyText"/>
        <w:spacing w:before="10"/>
        <w:rPr>
          <w:sz w:val="20"/>
        </w:rPr>
      </w:pPr>
    </w:p>
    <w:p w:rsidR="00D35590" w:rsidRDefault="00D75DDE">
      <w:pPr>
        <w:pStyle w:val="ListParagraph"/>
        <w:numPr>
          <w:ilvl w:val="2"/>
          <w:numId w:val="2"/>
        </w:numPr>
        <w:tabs>
          <w:tab w:val="left" w:pos="860"/>
        </w:tabs>
        <w:ind w:right="888"/>
        <w:rPr>
          <w:sz w:val="24"/>
        </w:rPr>
      </w:pPr>
      <w:bookmarkStart w:id="130" w:name="10.2.2_When_a_contract/grant_or_Purchase"/>
      <w:bookmarkEnd w:id="130"/>
      <w:r>
        <w:rPr>
          <w:sz w:val="24"/>
        </w:rPr>
        <w:t>When a contract/grant or Purchase Order (PO) is initiated (i.e., a department contract “agreement”), the contract managers edit and attach the appropriate template to the contract or PO. AEQAS has process documents available on the Quality Assurance Resources website for</w:t>
      </w:r>
      <w:r>
        <w:rPr>
          <w:color w:val="0000FF"/>
          <w:sz w:val="24"/>
          <w:u w:val="single" w:color="0000FF"/>
        </w:rPr>
        <w:t xml:space="preserve"> </w:t>
      </w:r>
      <w:hyperlink r:id="rId61">
        <w:r>
          <w:rPr>
            <w:color w:val="0000FF"/>
            <w:sz w:val="24"/>
            <w:u w:val="single" w:color="0000FF"/>
          </w:rPr>
          <w:t>contracts</w:t>
        </w:r>
        <w:r>
          <w:rPr>
            <w:sz w:val="24"/>
          </w:rPr>
          <w:t>,</w:t>
        </w:r>
      </w:hyperlink>
      <w:hyperlink r:id="rId62">
        <w:r>
          <w:rPr>
            <w:color w:val="0000FF"/>
            <w:sz w:val="24"/>
          </w:rPr>
          <w:t xml:space="preserve"> </w:t>
        </w:r>
        <w:r>
          <w:rPr>
            <w:color w:val="0000FF"/>
            <w:sz w:val="24"/>
            <w:u w:val="single" w:color="0000FF"/>
          </w:rPr>
          <w:t>grants</w:t>
        </w:r>
        <w:r>
          <w:rPr>
            <w:color w:val="0000FF"/>
            <w:sz w:val="24"/>
          </w:rPr>
          <w:t xml:space="preserve"> </w:t>
        </w:r>
      </w:hyperlink>
      <w:r>
        <w:rPr>
          <w:sz w:val="24"/>
        </w:rPr>
        <w:t>and</w:t>
      </w:r>
      <w:hyperlink r:id="rId63">
        <w:r>
          <w:rPr>
            <w:color w:val="0000FF"/>
            <w:sz w:val="24"/>
          </w:rPr>
          <w:t xml:space="preserve"> </w:t>
        </w:r>
        <w:r>
          <w:rPr>
            <w:color w:val="0000FF"/>
            <w:sz w:val="24"/>
            <w:u w:val="single" w:color="0000FF"/>
          </w:rPr>
          <w:t>purchase orders</w:t>
        </w:r>
        <w:r>
          <w:rPr>
            <w:color w:val="0000FF"/>
            <w:sz w:val="24"/>
          </w:rPr>
          <w:t xml:space="preserve"> </w:t>
        </w:r>
      </w:hyperlink>
      <w:r>
        <w:rPr>
          <w:sz w:val="24"/>
        </w:rPr>
        <w:t>that include template attachments. If a QA Plan is</w:t>
      </w:r>
      <w:r>
        <w:rPr>
          <w:spacing w:val="-20"/>
          <w:sz w:val="24"/>
        </w:rPr>
        <w:t xml:space="preserve"> </w:t>
      </w:r>
      <w:r>
        <w:rPr>
          <w:sz w:val="24"/>
        </w:rPr>
        <w:t>required as part of the agreement, a specific template for the QA Plan is provided to the contractor or grantee for NPS BMP and research projects. Other projects requiring a QA Plan will be evaluated by AEQAS contract QA staff, who will provide the department agreement manager with appropriate guidance information contained in</w:t>
      </w:r>
      <w:hyperlink r:id="rId64">
        <w:r>
          <w:rPr>
            <w:color w:val="0000FF"/>
            <w:sz w:val="24"/>
          </w:rPr>
          <w:t xml:space="preserve"> </w:t>
        </w:r>
        <w:r>
          <w:rPr>
            <w:color w:val="0000FF"/>
            <w:sz w:val="24"/>
            <w:u w:val="single" w:color="0000FF"/>
          </w:rPr>
          <w:t>EPA-QA/R-5</w:t>
        </w:r>
      </w:hyperlink>
      <w:r>
        <w:rPr>
          <w:color w:val="0000FF"/>
          <w:sz w:val="24"/>
        </w:rPr>
        <w:t xml:space="preserve"> </w:t>
      </w:r>
      <w:r>
        <w:rPr>
          <w:sz w:val="24"/>
        </w:rPr>
        <w:t>or</w:t>
      </w:r>
      <w:hyperlink r:id="rId65">
        <w:r>
          <w:rPr>
            <w:color w:val="0000FF"/>
            <w:sz w:val="24"/>
          </w:rPr>
          <w:t xml:space="preserve"> </w:t>
        </w:r>
        <w:r>
          <w:rPr>
            <w:color w:val="0000FF"/>
            <w:sz w:val="24"/>
            <w:u w:val="single" w:color="0000FF"/>
          </w:rPr>
          <w:t>DEP-QA-002/02</w:t>
        </w:r>
        <w:r>
          <w:rPr>
            <w:sz w:val="24"/>
          </w:rPr>
          <w:t>,</w:t>
        </w:r>
      </w:hyperlink>
      <w:r>
        <w:rPr>
          <w:sz w:val="24"/>
        </w:rPr>
        <w:t xml:space="preserve"> and may also provide the manager with a copy of the</w:t>
      </w:r>
      <w:r>
        <w:rPr>
          <w:color w:val="0000FF"/>
          <w:sz w:val="24"/>
        </w:rPr>
        <w:t xml:space="preserve"> </w:t>
      </w:r>
      <w:r>
        <w:rPr>
          <w:color w:val="0000FF"/>
          <w:sz w:val="24"/>
          <w:u w:val="single" w:color="0000FF"/>
        </w:rPr>
        <w:t>Excel worksheet</w:t>
      </w:r>
      <w:r>
        <w:rPr>
          <w:color w:val="0000FF"/>
          <w:sz w:val="24"/>
        </w:rPr>
        <w:t xml:space="preserve"> </w:t>
      </w:r>
      <w:r>
        <w:rPr>
          <w:sz w:val="24"/>
        </w:rPr>
        <w:t>used by AEQAS QA plan reviewers. This worksheet outlines the review topics against which the QA plan contents</w:t>
      </w:r>
      <w:r>
        <w:rPr>
          <w:spacing w:val="-14"/>
          <w:sz w:val="24"/>
        </w:rPr>
        <w:t xml:space="preserve"> </w:t>
      </w:r>
      <w:r>
        <w:rPr>
          <w:sz w:val="24"/>
        </w:rPr>
        <w:t>are</w:t>
      </w:r>
    </w:p>
    <w:p w:rsidR="00D35590" w:rsidRDefault="00D35590">
      <w:pPr>
        <w:rPr>
          <w:sz w:val="24"/>
        </w:rPr>
        <w:sectPr w:rsidR="00D35590">
          <w:pgSz w:w="12240" w:h="15840"/>
          <w:pgMar w:top="1360" w:right="300" w:bottom="880" w:left="940" w:header="0" w:footer="619" w:gutter="0"/>
          <w:cols w:space="720"/>
        </w:sectPr>
      </w:pPr>
    </w:p>
    <w:p w:rsidR="00D35590" w:rsidRDefault="00D75DDE">
      <w:pPr>
        <w:pStyle w:val="BodyText"/>
        <w:spacing w:before="79"/>
        <w:ind w:left="860"/>
      </w:pPr>
      <w:r>
        <w:lastRenderedPageBreak/>
        <w:t>evaluated, and incorporates the criteria contained in the EPA and DEP documents cited above.</w:t>
      </w:r>
    </w:p>
    <w:p w:rsidR="00D35590" w:rsidRDefault="00D35590">
      <w:pPr>
        <w:pStyle w:val="BodyText"/>
        <w:spacing w:before="10"/>
        <w:rPr>
          <w:sz w:val="20"/>
        </w:rPr>
      </w:pPr>
    </w:p>
    <w:p w:rsidR="00D35590" w:rsidRDefault="00D75DDE">
      <w:pPr>
        <w:pStyle w:val="ListParagraph"/>
        <w:numPr>
          <w:ilvl w:val="2"/>
          <w:numId w:val="2"/>
        </w:numPr>
        <w:tabs>
          <w:tab w:val="left" w:pos="860"/>
        </w:tabs>
        <w:ind w:right="936"/>
        <w:rPr>
          <w:sz w:val="24"/>
        </w:rPr>
      </w:pPr>
      <w:bookmarkStart w:id="131" w:name="10.2.3_Once_the_contractor_or_grantee_ha"/>
      <w:bookmarkEnd w:id="131"/>
      <w:r>
        <w:rPr>
          <w:sz w:val="24"/>
        </w:rPr>
        <w:t>Once the contractor or grantee has submitted a QA Plan, the contract/grant manager will</w:t>
      </w:r>
      <w:r>
        <w:rPr>
          <w:spacing w:val="-22"/>
          <w:sz w:val="24"/>
        </w:rPr>
        <w:t xml:space="preserve"> </w:t>
      </w:r>
      <w:r>
        <w:rPr>
          <w:sz w:val="24"/>
        </w:rPr>
        <w:t>review and approve or request further edits, as appropriate. If the project is non-standard, such as a research QA Plan, or the contract/grant manager has questions, AEQAS staff are available to help with</w:t>
      </w:r>
      <w:r>
        <w:rPr>
          <w:spacing w:val="-1"/>
          <w:sz w:val="24"/>
        </w:rPr>
        <w:t xml:space="preserve"> </w:t>
      </w:r>
      <w:r>
        <w:rPr>
          <w:sz w:val="24"/>
        </w:rPr>
        <w:t>review.</w:t>
      </w:r>
    </w:p>
    <w:p w:rsidR="00D35590" w:rsidRDefault="00D35590">
      <w:pPr>
        <w:pStyle w:val="BodyText"/>
        <w:spacing w:before="10"/>
        <w:rPr>
          <w:sz w:val="20"/>
        </w:rPr>
      </w:pPr>
    </w:p>
    <w:p w:rsidR="00D35590" w:rsidRDefault="00D75DDE">
      <w:pPr>
        <w:pStyle w:val="ListParagraph"/>
        <w:numPr>
          <w:ilvl w:val="2"/>
          <w:numId w:val="2"/>
        </w:numPr>
        <w:tabs>
          <w:tab w:val="left" w:pos="860"/>
        </w:tabs>
        <w:ind w:right="802"/>
        <w:rPr>
          <w:sz w:val="24"/>
        </w:rPr>
      </w:pPr>
      <w:bookmarkStart w:id="132" w:name="10.2.4_It_is_up_to_the_contract/grant_ma"/>
      <w:bookmarkEnd w:id="132"/>
      <w:r>
        <w:rPr>
          <w:sz w:val="24"/>
        </w:rPr>
        <w:t>It is up to the contract/grant manager to ensure that the contractor or grantee has an approved</w:t>
      </w:r>
      <w:r>
        <w:rPr>
          <w:spacing w:val="-19"/>
          <w:sz w:val="24"/>
        </w:rPr>
        <w:t xml:space="preserve"> </w:t>
      </w:r>
      <w:r>
        <w:rPr>
          <w:sz w:val="24"/>
        </w:rPr>
        <w:t>QA Plan in place prior to any work being</w:t>
      </w:r>
      <w:r>
        <w:rPr>
          <w:spacing w:val="-1"/>
          <w:sz w:val="24"/>
        </w:rPr>
        <w:t xml:space="preserve"> </w:t>
      </w:r>
      <w:r>
        <w:rPr>
          <w:sz w:val="24"/>
        </w:rPr>
        <w:t>done.</w:t>
      </w:r>
    </w:p>
    <w:p w:rsidR="00D35590" w:rsidRDefault="00D35590">
      <w:pPr>
        <w:pStyle w:val="BodyText"/>
        <w:spacing w:before="10"/>
        <w:rPr>
          <w:sz w:val="20"/>
        </w:rPr>
      </w:pPr>
    </w:p>
    <w:p w:rsidR="00D35590" w:rsidRDefault="00D75DDE">
      <w:pPr>
        <w:pStyle w:val="Heading2"/>
        <w:numPr>
          <w:ilvl w:val="1"/>
          <w:numId w:val="25"/>
        </w:numPr>
        <w:tabs>
          <w:tab w:val="left" w:pos="1168"/>
        </w:tabs>
        <w:ind w:hanging="577"/>
      </w:pPr>
      <w:bookmarkStart w:id="133" w:name="10.3_Quality_Assurance_Review_for_My_Flo"/>
      <w:bookmarkStart w:id="134" w:name="_bookmark36"/>
      <w:bookmarkEnd w:id="133"/>
      <w:bookmarkEnd w:id="134"/>
      <w:r>
        <w:t>Quality Assurance Review for My Florida Marketplace (MFMP) Purchase</w:t>
      </w:r>
      <w:r>
        <w:rPr>
          <w:spacing w:val="-9"/>
        </w:rPr>
        <w:t xml:space="preserve"> </w:t>
      </w:r>
      <w:r>
        <w:t>Orders</w:t>
      </w:r>
    </w:p>
    <w:p w:rsidR="00D35590" w:rsidRDefault="00D75DDE">
      <w:pPr>
        <w:pStyle w:val="ListParagraph"/>
        <w:numPr>
          <w:ilvl w:val="2"/>
          <w:numId w:val="1"/>
        </w:numPr>
        <w:tabs>
          <w:tab w:val="left" w:pos="860"/>
        </w:tabs>
        <w:spacing w:before="137"/>
        <w:ind w:right="846"/>
        <w:rPr>
          <w:sz w:val="24"/>
        </w:rPr>
      </w:pPr>
      <w:bookmarkStart w:id="135" w:name="10.3.1_Staff_within_the_AEQAS_(Kristen_S"/>
      <w:bookmarkEnd w:id="135"/>
      <w:r>
        <w:rPr>
          <w:sz w:val="24"/>
        </w:rPr>
        <w:t>Staff within the AEQAS (Kristen Sapp, Jennifer Piacente, Jessica Patronis, and Sarah Noble) are responsible for reviewing and approving any purchase orders (PO) that include field or laboratory analytical work, using the MFMP online review and approval procedures. For AEQAS staff to evaluate the PO, it must include the lab conducting the analysis and the analytes to be tested, with proof of Department of Health (DOH) National Environmental Lab Accreditation Certification (NELAC), if applicable. Staff follow the following steps in reviewing and approving or denying the</w:t>
      </w:r>
      <w:r>
        <w:rPr>
          <w:spacing w:val="1"/>
          <w:sz w:val="24"/>
        </w:rPr>
        <w:t xml:space="preserve"> </w:t>
      </w:r>
      <w:r>
        <w:rPr>
          <w:sz w:val="24"/>
        </w:rPr>
        <w:t>POs:</w:t>
      </w:r>
    </w:p>
    <w:p w:rsidR="00D35590" w:rsidRDefault="00D35590">
      <w:pPr>
        <w:pStyle w:val="BodyText"/>
        <w:spacing w:before="10"/>
        <w:rPr>
          <w:sz w:val="20"/>
        </w:rPr>
      </w:pPr>
    </w:p>
    <w:p w:rsidR="00D35590" w:rsidRDefault="00D75DDE">
      <w:pPr>
        <w:pStyle w:val="ListParagraph"/>
        <w:numPr>
          <w:ilvl w:val="2"/>
          <w:numId w:val="1"/>
        </w:numPr>
        <w:tabs>
          <w:tab w:val="left" w:pos="860"/>
        </w:tabs>
        <w:ind w:right="822"/>
        <w:rPr>
          <w:sz w:val="24"/>
        </w:rPr>
      </w:pPr>
      <w:bookmarkStart w:id="136" w:name="10.3.2_Typical_POs:_A_common_type_of_PO_"/>
      <w:bookmarkEnd w:id="136"/>
      <w:r>
        <w:rPr>
          <w:sz w:val="24"/>
        </w:rPr>
        <w:t xml:space="preserve">Typical POs: A common type of PO is for surface water and/or drinking water testing at State Parks for one or more of the following: fecal coliforms, total coliforms, nitrate/nitrite, and lead. AEQAS staff must ensure that the purchased sampling and analysis complies with the QA Rule. AEQAS staff check the </w:t>
      </w:r>
      <w:hyperlink r:id="rId66">
        <w:r>
          <w:rPr>
            <w:sz w:val="24"/>
          </w:rPr>
          <w:t xml:space="preserve">DOH lab certification page </w:t>
        </w:r>
      </w:hyperlink>
      <w:r>
        <w:rPr>
          <w:sz w:val="24"/>
        </w:rPr>
        <w:t>to verify that the lab is certified in the appropriate matrix (drinking water if from drinking water source, or non-potable water if from swimming area) for the analytes to be tested. If the lab is certified for the analyte and</w:t>
      </w:r>
      <w:r>
        <w:rPr>
          <w:spacing w:val="-22"/>
          <w:sz w:val="24"/>
        </w:rPr>
        <w:t xml:space="preserve"> </w:t>
      </w:r>
      <w:r>
        <w:rPr>
          <w:sz w:val="24"/>
        </w:rPr>
        <w:t>appropriate matrix, then staff approve the PO by attaching the document “Purchase Order QA Standard,” which is embedded in the file, “</w:t>
      </w:r>
      <w:proofErr w:type="spellStart"/>
      <w:r>
        <w:fldChar w:fldCharType="begin"/>
      </w:r>
      <w:r>
        <w:instrText xml:space="preserve"> HYPERLINK "http://publicfiles.dep.state.fl.us/dear/DEARweb/QA/QA%20resources/QA_Process_MFMP_10-17-18.pdf" \h </w:instrText>
      </w:r>
      <w:r>
        <w:fldChar w:fldCharType="separate"/>
      </w:r>
      <w:r>
        <w:rPr>
          <w:color w:val="0000FF"/>
          <w:sz w:val="24"/>
          <w:u w:val="single" w:color="0000FF"/>
        </w:rPr>
        <w:t>MyFlorida</w:t>
      </w:r>
      <w:proofErr w:type="spellEnd"/>
      <w:r>
        <w:rPr>
          <w:color w:val="0000FF"/>
          <w:sz w:val="24"/>
          <w:u w:val="single" w:color="0000FF"/>
        </w:rPr>
        <w:t xml:space="preserve"> </w:t>
      </w:r>
      <w:proofErr w:type="spellStart"/>
      <w:r>
        <w:rPr>
          <w:color w:val="0000FF"/>
          <w:sz w:val="24"/>
          <w:u w:val="single" w:color="0000FF"/>
        </w:rPr>
        <w:t>MarketPlace</w:t>
      </w:r>
      <w:proofErr w:type="spellEnd"/>
      <w:r>
        <w:rPr>
          <w:color w:val="0000FF"/>
          <w:sz w:val="24"/>
          <w:u w:val="single" w:color="0000FF"/>
        </w:rPr>
        <w:t xml:space="preserve"> Purchase Requisitions Quality</w:t>
      </w:r>
      <w:r>
        <w:rPr>
          <w:color w:val="0000FF"/>
          <w:sz w:val="24"/>
          <w:u w:val="single" w:color="0000FF"/>
        </w:rPr>
        <w:fldChar w:fldCharType="end"/>
      </w:r>
      <w:hyperlink r:id="rId67">
        <w:r>
          <w:rPr>
            <w:color w:val="0000FF"/>
            <w:sz w:val="24"/>
            <w:u w:val="single" w:color="0000FF"/>
          </w:rPr>
          <w:t xml:space="preserve"> Assurance Process for Procurement of Sampling and Analytical Services”</w:t>
        </w:r>
        <w:r>
          <w:rPr>
            <w:color w:val="0000FF"/>
            <w:sz w:val="24"/>
          </w:rPr>
          <w:t xml:space="preserve"> </w:t>
        </w:r>
      </w:hyperlink>
      <w:r>
        <w:rPr>
          <w:sz w:val="24"/>
        </w:rPr>
        <w:t>located on the QA resources webpage. Staff then click “Approve,” and add the comment, “Approved per requirements in Purchase Order QA Standard</w:t>
      </w:r>
      <w:r>
        <w:rPr>
          <w:spacing w:val="-4"/>
          <w:sz w:val="24"/>
        </w:rPr>
        <w:t xml:space="preserve"> </w:t>
      </w:r>
      <w:r>
        <w:rPr>
          <w:sz w:val="24"/>
        </w:rPr>
        <w:t>(attached).”</w:t>
      </w:r>
    </w:p>
    <w:p w:rsidR="00D35590" w:rsidRDefault="00D35590">
      <w:pPr>
        <w:pStyle w:val="BodyText"/>
        <w:spacing w:before="10"/>
        <w:rPr>
          <w:sz w:val="20"/>
        </w:rPr>
      </w:pPr>
    </w:p>
    <w:p w:rsidR="00D35590" w:rsidRDefault="00D75DDE">
      <w:pPr>
        <w:pStyle w:val="ListParagraph"/>
        <w:numPr>
          <w:ilvl w:val="2"/>
          <w:numId w:val="1"/>
        </w:numPr>
        <w:tabs>
          <w:tab w:val="left" w:pos="860"/>
        </w:tabs>
        <w:ind w:right="788"/>
        <w:rPr>
          <w:sz w:val="24"/>
        </w:rPr>
      </w:pPr>
      <w:bookmarkStart w:id="137" w:name="10.3.3_If_the_PO_information_does_not_cl"/>
      <w:bookmarkEnd w:id="137"/>
      <w:r>
        <w:rPr>
          <w:sz w:val="24"/>
        </w:rPr>
        <w:t>If the PO information does not clearly indicate which lab will conduct the analyses, or the lab is not listed on the DOH website as certified for the analyte(s), staff should first contact the requestor and ask them to provide clarification. Include any additional information gathered</w:t>
      </w:r>
      <w:r>
        <w:rPr>
          <w:spacing w:val="-19"/>
          <w:sz w:val="24"/>
        </w:rPr>
        <w:t xml:space="preserve"> </w:t>
      </w:r>
      <w:r>
        <w:rPr>
          <w:sz w:val="24"/>
        </w:rPr>
        <w:t>from the requestor in the comment box. If necessary, deny the request and, in the comment box, request that the vendor specify which certified lab will conduct the work. Once the lab information is received via a resubmitted requisition, the AEQAS MFMP QA Approver will then verify the certification status of the laboratory and approve the</w:t>
      </w:r>
      <w:r>
        <w:rPr>
          <w:spacing w:val="-6"/>
          <w:sz w:val="24"/>
        </w:rPr>
        <w:t xml:space="preserve"> </w:t>
      </w:r>
      <w:r>
        <w:rPr>
          <w:sz w:val="24"/>
        </w:rPr>
        <w:t>item.</w:t>
      </w:r>
    </w:p>
    <w:p w:rsidR="00D35590" w:rsidRDefault="00D35590">
      <w:pPr>
        <w:pStyle w:val="BodyText"/>
        <w:spacing w:before="10"/>
        <w:rPr>
          <w:sz w:val="20"/>
        </w:rPr>
      </w:pPr>
    </w:p>
    <w:p w:rsidR="00D35590" w:rsidRDefault="00D75DDE">
      <w:pPr>
        <w:pStyle w:val="ListParagraph"/>
        <w:numPr>
          <w:ilvl w:val="2"/>
          <w:numId w:val="1"/>
        </w:numPr>
        <w:tabs>
          <w:tab w:val="left" w:pos="860"/>
        </w:tabs>
        <w:spacing w:before="1"/>
        <w:ind w:right="803"/>
        <w:rPr>
          <w:sz w:val="24"/>
        </w:rPr>
      </w:pPr>
      <w:bookmarkStart w:id="138" w:name="10.3.4_Non-standard_research_or_monitori"/>
      <w:bookmarkEnd w:id="138"/>
      <w:r>
        <w:rPr>
          <w:sz w:val="24"/>
        </w:rPr>
        <w:t>Non-standard research or monitoring POs: If department programs are contracting with samplers or labs to conduct monitoring or analyses for non-standard procedures or methods not explicitly covered by the DEP SOPs or the lab DOH certification program, AEQAS staff must verify that there are published methods and procedures that will be followed to conduct the work within the PO. The contracted entity should provide a project plan, SOPs, or other documentation describing the QC, calibration and data evaluation elements of the sampling and analysis or</w:t>
      </w:r>
      <w:r>
        <w:rPr>
          <w:spacing w:val="-20"/>
          <w:sz w:val="24"/>
        </w:rPr>
        <w:t xml:space="preserve"> </w:t>
      </w:r>
      <w:r>
        <w:rPr>
          <w:sz w:val="24"/>
        </w:rPr>
        <w:t>other experimental procedures, as required in the Purchase Order Research QA template, which is embedded in the file, “</w:t>
      </w:r>
      <w:proofErr w:type="spellStart"/>
      <w:r>
        <w:fldChar w:fldCharType="begin"/>
      </w:r>
      <w:r>
        <w:instrText xml:space="preserve"> HYPERLINK "http://publicfiles.dep.state.fl.us/dear/DEARweb/QA/QA%20resources/QA_Process_MFMP_10-17-18.pdf" \h </w:instrText>
      </w:r>
      <w:r>
        <w:fldChar w:fldCharType="separate"/>
      </w:r>
      <w:r>
        <w:rPr>
          <w:color w:val="0000FF"/>
          <w:sz w:val="24"/>
          <w:u w:val="single" w:color="0000FF"/>
        </w:rPr>
        <w:t>MyFlorida</w:t>
      </w:r>
      <w:proofErr w:type="spellEnd"/>
      <w:r>
        <w:rPr>
          <w:color w:val="0000FF"/>
          <w:sz w:val="24"/>
          <w:u w:val="single" w:color="0000FF"/>
        </w:rPr>
        <w:t xml:space="preserve"> </w:t>
      </w:r>
      <w:proofErr w:type="spellStart"/>
      <w:r>
        <w:rPr>
          <w:color w:val="0000FF"/>
          <w:sz w:val="24"/>
          <w:u w:val="single" w:color="0000FF"/>
        </w:rPr>
        <w:t>MarketPlace</w:t>
      </w:r>
      <w:proofErr w:type="spellEnd"/>
      <w:r>
        <w:rPr>
          <w:color w:val="0000FF"/>
          <w:sz w:val="24"/>
          <w:u w:val="single" w:color="0000FF"/>
        </w:rPr>
        <w:t xml:space="preserve"> Purchase Requisitions Quality Assurance</w:t>
      </w:r>
      <w:r>
        <w:rPr>
          <w:color w:val="0000FF"/>
          <w:spacing w:val="-19"/>
          <w:sz w:val="24"/>
          <w:u w:val="single" w:color="0000FF"/>
        </w:rPr>
        <w:t xml:space="preserve"> </w:t>
      </w:r>
      <w:r>
        <w:rPr>
          <w:color w:val="0000FF"/>
          <w:sz w:val="24"/>
          <w:u w:val="single" w:color="0000FF"/>
        </w:rPr>
        <w:t>Process</w:t>
      </w:r>
      <w:r>
        <w:rPr>
          <w:color w:val="0000FF"/>
          <w:sz w:val="24"/>
          <w:u w:val="single" w:color="0000FF"/>
        </w:rPr>
        <w:fldChar w:fldCharType="end"/>
      </w:r>
    </w:p>
    <w:p w:rsidR="00D35590" w:rsidRDefault="00D35590">
      <w:pPr>
        <w:rPr>
          <w:sz w:val="24"/>
        </w:rPr>
        <w:sectPr w:rsidR="00D35590">
          <w:pgSz w:w="12240" w:h="15840"/>
          <w:pgMar w:top="1360" w:right="300" w:bottom="880" w:left="940" w:header="0" w:footer="619" w:gutter="0"/>
          <w:cols w:space="720"/>
        </w:sectPr>
      </w:pPr>
    </w:p>
    <w:p w:rsidR="00D35590" w:rsidRDefault="00D6082D">
      <w:pPr>
        <w:pStyle w:val="BodyText"/>
        <w:spacing w:before="79"/>
        <w:ind w:left="860" w:right="762"/>
      </w:pPr>
      <w:hyperlink r:id="rId68">
        <w:r w:rsidR="00D75DDE">
          <w:rPr>
            <w:color w:val="0000FF"/>
            <w:u w:val="single" w:color="0000FF"/>
          </w:rPr>
          <w:t>for Procurement of Sampling and Analytical Services”</w:t>
        </w:r>
        <w:r w:rsidR="00D75DDE">
          <w:rPr>
            <w:color w:val="0000FF"/>
          </w:rPr>
          <w:t xml:space="preserve"> </w:t>
        </w:r>
      </w:hyperlink>
      <w:r w:rsidR="00D75DDE">
        <w:t>located on the QA resources webpage. If sufficient documentation is not provided, the MFMP QA Approver will ask the requestor to provide the missing information, and the requestor will attach that information to the PO request. AEQAS staff should review the plan or SOP to ensure that expected QC measures will be taken.</w:t>
      </w:r>
    </w:p>
    <w:p w:rsidR="00D35590" w:rsidRDefault="00D35590">
      <w:pPr>
        <w:pStyle w:val="BodyText"/>
        <w:spacing w:before="10"/>
        <w:rPr>
          <w:sz w:val="20"/>
        </w:rPr>
      </w:pPr>
    </w:p>
    <w:p w:rsidR="00D35590" w:rsidRDefault="00D75DDE">
      <w:pPr>
        <w:pStyle w:val="ListParagraph"/>
        <w:numPr>
          <w:ilvl w:val="2"/>
          <w:numId w:val="1"/>
        </w:numPr>
        <w:tabs>
          <w:tab w:val="left" w:pos="860"/>
        </w:tabs>
        <w:ind w:right="781"/>
        <w:rPr>
          <w:sz w:val="24"/>
        </w:rPr>
      </w:pPr>
      <w:bookmarkStart w:id="139" w:name="10.3.5_When_reviewing_the_research_docum"/>
      <w:bookmarkEnd w:id="139"/>
      <w:r>
        <w:rPr>
          <w:sz w:val="24"/>
        </w:rPr>
        <w:t>When reviewing the research documentation, the AEQAS QA Approver must rely on the presumed expertise of the researcher to describe appropriate experimental procedures and quality control measures, but should ensure that these types of activities (and measurement acceptance criteria) are adequately discussed or summarized in the documentation. Research QA requirements are listed in Rule 62-160.600, F.A.C. These reviews are often discussed among AEQAS staff to ensure that the work being purchased will be of sufficient quality for the intended use. If necessary, the AEQAS Approver will consult with other DEP subject matter experts for assistance with the review. After the review for sufficiency is complete and satisfactory, AEQAS MFMP staff will attach the Purchase Order Research QA template,</w:t>
      </w:r>
      <w:r>
        <w:rPr>
          <w:spacing w:val="-23"/>
          <w:sz w:val="24"/>
        </w:rPr>
        <w:t xml:space="preserve"> </w:t>
      </w:r>
      <w:r>
        <w:rPr>
          <w:sz w:val="24"/>
        </w:rPr>
        <w:t>approve the PO requisition, and record a comment that approval is per adherence to the attached project plan or SOPs and the QA requirements</w:t>
      </w:r>
      <w:r>
        <w:rPr>
          <w:spacing w:val="-3"/>
          <w:sz w:val="24"/>
        </w:rPr>
        <w:t xml:space="preserve"> </w:t>
      </w:r>
      <w:r>
        <w:rPr>
          <w:sz w:val="24"/>
        </w:rPr>
        <w:t>template.</w:t>
      </w:r>
    </w:p>
    <w:p w:rsidR="00D35590" w:rsidRDefault="00D35590">
      <w:pPr>
        <w:pStyle w:val="BodyText"/>
        <w:spacing w:before="10"/>
        <w:rPr>
          <w:sz w:val="20"/>
        </w:rPr>
      </w:pPr>
    </w:p>
    <w:p w:rsidR="00D35590" w:rsidRDefault="00D75DDE">
      <w:pPr>
        <w:pStyle w:val="ListParagraph"/>
        <w:numPr>
          <w:ilvl w:val="2"/>
          <w:numId w:val="1"/>
        </w:numPr>
        <w:tabs>
          <w:tab w:val="left" w:pos="860"/>
        </w:tabs>
        <w:ind w:right="869"/>
        <w:rPr>
          <w:sz w:val="24"/>
        </w:rPr>
      </w:pPr>
      <w:bookmarkStart w:id="140" w:name="10.3.6_No_field_or_lab_work:_Sometimes_P"/>
      <w:bookmarkEnd w:id="140"/>
      <w:r>
        <w:rPr>
          <w:sz w:val="24"/>
        </w:rPr>
        <w:t>No field or lab work: Sometimes POs are routed through for QA approval because of a commodity code used in MFMP, but there is not actually any sampling or lab work involved.</w:t>
      </w:r>
      <w:r>
        <w:rPr>
          <w:spacing w:val="41"/>
          <w:sz w:val="24"/>
        </w:rPr>
        <w:t xml:space="preserve"> </w:t>
      </w:r>
      <w:r>
        <w:rPr>
          <w:sz w:val="24"/>
        </w:rPr>
        <w:t>In these cases, AEQAS staff approve the PO and comment that QA approval was not</w:t>
      </w:r>
      <w:r>
        <w:rPr>
          <w:spacing w:val="-13"/>
          <w:sz w:val="24"/>
        </w:rPr>
        <w:t xml:space="preserve"> </w:t>
      </w:r>
      <w:r>
        <w:rPr>
          <w:sz w:val="24"/>
        </w:rPr>
        <w:t>needed.</w:t>
      </w:r>
    </w:p>
    <w:p w:rsidR="00D35590" w:rsidRDefault="00D35590">
      <w:pPr>
        <w:pStyle w:val="BodyText"/>
        <w:spacing w:before="10"/>
        <w:rPr>
          <w:sz w:val="20"/>
        </w:rPr>
      </w:pPr>
    </w:p>
    <w:p w:rsidR="00D35590" w:rsidRDefault="00D75DDE">
      <w:pPr>
        <w:pStyle w:val="ListParagraph"/>
        <w:numPr>
          <w:ilvl w:val="2"/>
          <w:numId w:val="1"/>
        </w:numPr>
        <w:tabs>
          <w:tab w:val="left" w:pos="860"/>
        </w:tabs>
        <w:ind w:right="800"/>
        <w:rPr>
          <w:sz w:val="24"/>
        </w:rPr>
      </w:pPr>
      <w:bookmarkStart w:id="141" w:name="10.3.7_Second_round_approval:_Occasional"/>
      <w:bookmarkEnd w:id="141"/>
      <w:r>
        <w:rPr>
          <w:sz w:val="24"/>
        </w:rPr>
        <w:t>Second round approval: Occasionally minor administrative changes in a PO can cause a PO to be routed back through all approvers, including the QA approval. If the PO has already been approved by AEQAS staff, the PO can be approved again without further review after verification of the initial QA</w:t>
      </w:r>
      <w:r>
        <w:rPr>
          <w:spacing w:val="-2"/>
          <w:sz w:val="24"/>
        </w:rPr>
        <w:t xml:space="preserve"> </w:t>
      </w:r>
      <w:r>
        <w:rPr>
          <w:sz w:val="24"/>
        </w:rPr>
        <w:t>approval.</w:t>
      </w:r>
    </w:p>
    <w:p w:rsidR="00D35590" w:rsidRDefault="00D35590">
      <w:pPr>
        <w:pStyle w:val="BodyText"/>
        <w:rPr>
          <w:sz w:val="21"/>
        </w:rPr>
      </w:pPr>
    </w:p>
    <w:p w:rsidR="00D35590" w:rsidRDefault="00D75DDE">
      <w:pPr>
        <w:pStyle w:val="ListParagraph"/>
        <w:numPr>
          <w:ilvl w:val="0"/>
          <w:numId w:val="25"/>
        </w:numPr>
        <w:tabs>
          <w:tab w:val="left" w:pos="750"/>
        </w:tabs>
        <w:ind w:left="749" w:hanging="430"/>
        <w:rPr>
          <w:b/>
          <w:sz w:val="28"/>
        </w:rPr>
      </w:pPr>
      <w:bookmarkStart w:id="142" w:name="11.__Compilation_of_the_Annual_Quality_A"/>
      <w:bookmarkStart w:id="143" w:name="_bookmark37"/>
      <w:bookmarkEnd w:id="142"/>
      <w:bookmarkEnd w:id="143"/>
      <w:r>
        <w:rPr>
          <w:b/>
          <w:sz w:val="28"/>
        </w:rPr>
        <w:t>Compilation of the Annual Quality Assurance Report to the</w:t>
      </w:r>
      <w:r>
        <w:rPr>
          <w:b/>
          <w:spacing w:val="-17"/>
          <w:sz w:val="28"/>
        </w:rPr>
        <w:t xml:space="preserve"> </w:t>
      </w:r>
      <w:r>
        <w:rPr>
          <w:b/>
          <w:sz w:val="28"/>
        </w:rPr>
        <w:t>Secretary</w:t>
      </w:r>
    </w:p>
    <w:p w:rsidR="00D35590" w:rsidRDefault="00D35590">
      <w:pPr>
        <w:pStyle w:val="BodyText"/>
        <w:rPr>
          <w:b/>
          <w:sz w:val="28"/>
        </w:rPr>
      </w:pPr>
    </w:p>
    <w:p w:rsidR="00D35590" w:rsidRDefault="00D75DDE">
      <w:pPr>
        <w:pStyle w:val="BodyText"/>
        <w:spacing w:before="1"/>
        <w:ind w:left="140" w:right="762"/>
      </w:pPr>
      <w:r>
        <w:t>To provide the Secretary with information regarding the department’s ongoing QA efforts, the WQSP prepares a WQSP-specific QA report that is compiled with the department-wide annual QA report. Both the WQSP and department-wide QA reports describe the types and outcomes of QA activities conducted each year. The AEQAS solicits annual QA reports from all department programs (except Air) during January, meets with QA officers in February, and summarizes those reports into a single annual QA report March-April. Kristen Sapp coordinates this report compilation. Once the draft report is compiled, it is sent to QA Officers for their review, then to the AEQAS and WQSP administrators for review. Then the report is sent to DEAR’s deputy division director and division director, with a delivery goal of the end of May. Once the DEAR division director approves the report, s/he sends it to other directors for their review before subsequent routing to the Secretary through the Deputy Secretaries, with a delivery goal of July of each year.</w:t>
      </w:r>
    </w:p>
    <w:p w:rsidR="00D35590" w:rsidRDefault="00D35590">
      <w:pPr>
        <w:pStyle w:val="BodyText"/>
        <w:spacing w:before="1"/>
      </w:pPr>
    </w:p>
    <w:p w:rsidR="00D35590" w:rsidRDefault="00D75DDE">
      <w:pPr>
        <w:pStyle w:val="ListParagraph"/>
        <w:numPr>
          <w:ilvl w:val="0"/>
          <w:numId w:val="25"/>
        </w:numPr>
        <w:tabs>
          <w:tab w:val="left" w:pos="750"/>
        </w:tabs>
        <w:ind w:left="749" w:hanging="430"/>
        <w:rPr>
          <w:b/>
          <w:sz w:val="28"/>
        </w:rPr>
      </w:pPr>
      <w:bookmarkStart w:id="144" w:name="12.__References"/>
      <w:bookmarkStart w:id="145" w:name="_bookmark38"/>
      <w:bookmarkEnd w:id="144"/>
      <w:bookmarkEnd w:id="145"/>
      <w:r>
        <w:rPr>
          <w:b/>
          <w:sz w:val="28"/>
        </w:rPr>
        <w:t>References</w:t>
      </w:r>
    </w:p>
    <w:p w:rsidR="00D35590" w:rsidRDefault="00D35590">
      <w:pPr>
        <w:pStyle w:val="BodyText"/>
        <w:rPr>
          <w:b/>
          <w:sz w:val="28"/>
        </w:rPr>
      </w:pPr>
    </w:p>
    <w:p w:rsidR="00D35590" w:rsidRDefault="00D6082D">
      <w:pPr>
        <w:pStyle w:val="BodyText"/>
        <w:spacing w:before="1"/>
        <w:ind w:left="140" w:right="1635"/>
      </w:pPr>
      <w:hyperlink r:id="rId69">
        <w:r w:rsidR="00D75DDE">
          <w:rPr>
            <w:color w:val="0000FF"/>
            <w:u w:val="single" w:color="0000FF"/>
          </w:rPr>
          <w:t>Department Standard Operating Procedures for Field Activities (DEP-SOP-001/01), Laboratory</w:t>
        </w:r>
      </w:hyperlink>
      <w:r w:rsidR="00D75DDE">
        <w:rPr>
          <w:color w:val="0000FF"/>
        </w:rPr>
        <w:t xml:space="preserve"> </w:t>
      </w:r>
      <w:hyperlink r:id="rId70">
        <w:r w:rsidR="00D75DDE">
          <w:rPr>
            <w:color w:val="0000FF"/>
            <w:u w:val="single" w:color="0000FF"/>
          </w:rPr>
          <w:t>Activities (DEP-SOP-002/01), and Bioassessment Methods (DEP-SOP-003/11)</w:t>
        </w:r>
      </w:hyperlink>
    </w:p>
    <w:p w:rsidR="00D35590" w:rsidRDefault="00D35590">
      <w:pPr>
        <w:pStyle w:val="BodyText"/>
        <w:spacing w:before="2"/>
        <w:rPr>
          <w:sz w:val="16"/>
        </w:rPr>
      </w:pPr>
    </w:p>
    <w:p w:rsidR="00D35590" w:rsidRDefault="00D75DDE">
      <w:pPr>
        <w:pStyle w:val="BodyText"/>
        <w:spacing w:before="90"/>
        <w:ind w:left="140"/>
      </w:pPr>
      <w:proofErr w:type="spellStart"/>
      <w:r>
        <w:t>Niu</w:t>
      </w:r>
      <w:proofErr w:type="spellEnd"/>
      <w:r>
        <w:t>, X., S. Zhang, and N. Wellendorf. 2014. Statistical Comparison of Two Paired Samples. Technical</w:t>
      </w:r>
    </w:p>
    <w:p w:rsidR="00D35590" w:rsidRDefault="00D35590">
      <w:pPr>
        <w:sectPr w:rsidR="00D35590">
          <w:pgSz w:w="12240" w:h="15840"/>
          <w:pgMar w:top="1360" w:right="300" w:bottom="880" w:left="940" w:header="0" w:footer="619" w:gutter="0"/>
          <w:cols w:space="720"/>
        </w:sectPr>
      </w:pPr>
    </w:p>
    <w:p w:rsidR="00D35590" w:rsidRDefault="00D75DDE">
      <w:pPr>
        <w:pStyle w:val="BodyText"/>
        <w:spacing w:before="79"/>
        <w:ind w:left="140" w:right="1055"/>
      </w:pPr>
      <w:r>
        <w:lastRenderedPageBreak/>
        <w:t>report submitted to the Florida Department of Environmental Protection under Contract No. LAB043. May 2014.</w:t>
      </w:r>
    </w:p>
    <w:p w:rsidR="00D35590" w:rsidRDefault="00D35590">
      <w:pPr>
        <w:pStyle w:val="BodyText"/>
      </w:pPr>
    </w:p>
    <w:p w:rsidR="00D35590" w:rsidRDefault="00D75DDE">
      <w:pPr>
        <w:pStyle w:val="BodyText"/>
        <w:ind w:left="140"/>
      </w:pPr>
      <w:r>
        <w:t>Stephan, C.E., D.I. Mount, D.J. Hansen, J.H. Gentile, G.A. Chapman, and W.A.</w:t>
      </w:r>
    </w:p>
    <w:p w:rsidR="00D35590" w:rsidRDefault="00D75DDE">
      <w:pPr>
        <w:pStyle w:val="BodyText"/>
        <w:ind w:left="140" w:right="849"/>
      </w:pPr>
      <w:proofErr w:type="spellStart"/>
      <w:r>
        <w:t>Brungs</w:t>
      </w:r>
      <w:proofErr w:type="spellEnd"/>
      <w:r>
        <w:t>, 1985, Guidelines for Deriving Numerical National Water Quality Criteria for the Protection of Aquatic Organisms and Their Uses, U.S. Environmental Protection Agency, Office of Research and Development, Environmental Research Laboratories, Duluth MN, Narragansett R.I., and Corvallis, OR.</w:t>
      </w:r>
    </w:p>
    <w:p w:rsidR="00D35590" w:rsidRDefault="00D35590">
      <w:pPr>
        <w:sectPr w:rsidR="00D35590">
          <w:pgSz w:w="12240" w:h="15840"/>
          <w:pgMar w:top="1360" w:right="300" w:bottom="880" w:left="940" w:header="0" w:footer="619" w:gutter="0"/>
          <w:cols w:space="720"/>
        </w:sectPr>
      </w:pPr>
    </w:p>
    <w:p w:rsidR="00D35590" w:rsidRDefault="00D75DDE">
      <w:pPr>
        <w:pStyle w:val="Heading1"/>
        <w:spacing w:before="60"/>
        <w:ind w:left="140" w:firstLine="0"/>
      </w:pPr>
      <w:bookmarkStart w:id="146" w:name="Appendix_A"/>
      <w:bookmarkStart w:id="147" w:name="_bookmark39"/>
      <w:bookmarkEnd w:id="146"/>
      <w:bookmarkEnd w:id="147"/>
      <w:r>
        <w:lastRenderedPageBreak/>
        <w:t>Appendix A</w:t>
      </w:r>
    </w:p>
    <w:p w:rsidR="00D35590" w:rsidRDefault="00D75DDE">
      <w:pPr>
        <w:pStyle w:val="BodyText"/>
        <w:spacing w:before="46"/>
        <w:ind w:left="140" w:right="949"/>
      </w:pPr>
      <w:r>
        <w:t>Default Data Quality Objectives and Data Quality Indicators for the Water Quality Standards Program. DQOs and DQIs are adjusted as necessary to meet the requirements and objectives of the department Projects and Programs we are assisting.</w:t>
      </w:r>
    </w:p>
    <w:p w:rsidR="00D35590" w:rsidRDefault="00D35590">
      <w:pPr>
        <w:pStyle w:val="BodyText"/>
        <w:spacing w:before="1"/>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1103"/>
        </w:trPr>
        <w:tc>
          <w:tcPr>
            <w:tcW w:w="3101" w:type="dxa"/>
          </w:tcPr>
          <w:p w:rsidR="00D35590" w:rsidRDefault="00D75DDE">
            <w:pPr>
              <w:pStyle w:val="TableParagraph"/>
              <w:spacing w:before="2" w:line="276" w:lineRule="exact"/>
              <w:ind w:right="490"/>
              <w:rPr>
                <w:sz w:val="24"/>
              </w:rPr>
            </w:pPr>
            <w:r>
              <w:rPr>
                <w:sz w:val="24"/>
              </w:rPr>
              <w:t>Laboratory Control Spike (LCS) or Laboratory Fortified Blank (LFB) Concentration</w:t>
            </w:r>
          </w:p>
        </w:tc>
        <w:tc>
          <w:tcPr>
            <w:tcW w:w="3279" w:type="dxa"/>
          </w:tcPr>
          <w:p w:rsidR="00D35590" w:rsidRDefault="00D35590">
            <w:pPr>
              <w:pStyle w:val="TableParagraph"/>
              <w:spacing w:before="9"/>
              <w:ind w:left="0"/>
              <w:rPr>
                <w:sz w:val="35"/>
              </w:rPr>
            </w:pPr>
          </w:p>
          <w:p w:rsidR="00D35590" w:rsidRDefault="00D75DDE">
            <w:pPr>
              <w:pStyle w:val="TableParagraph"/>
              <w:rPr>
                <w:sz w:val="24"/>
              </w:rPr>
            </w:pPr>
            <w:r>
              <w:rPr>
                <w:sz w:val="24"/>
              </w:rPr>
              <w:t>Ammonium</w:t>
            </w:r>
          </w:p>
        </w:tc>
        <w:tc>
          <w:tcPr>
            <w:tcW w:w="3101" w:type="dxa"/>
          </w:tcPr>
          <w:p w:rsidR="00D35590" w:rsidRDefault="00D35590">
            <w:pPr>
              <w:pStyle w:val="TableParagraph"/>
              <w:spacing w:before="9"/>
              <w:ind w:left="0"/>
              <w:rPr>
                <w:sz w:val="35"/>
              </w:rPr>
            </w:pPr>
          </w:p>
          <w:p w:rsidR="00D35590" w:rsidRDefault="00D75DDE">
            <w:pPr>
              <w:pStyle w:val="TableParagraph"/>
              <w:rPr>
                <w:sz w:val="24"/>
              </w:rPr>
            </w:pPr>
            <w:r>
              <w:rPr>
                <w:sz w:val="24"/>
              </w:rPr>
              <w:t xml:space="preserve">≤ 160 </w:t>
            </w:r>
            <w:proofErr w:type="spellStart"/>
            <w:r>
              <w:rPr>
                <w:sz w:val="24"/>
              </w:rPr>
              <w:t>μg</w:t>
            </w:r>
            <w:proofErr w:type="spellEnd"/>
            <w:r>
              <w:rPr>
                <w:sz w:val="24"/>
              </w:rPr>
              <w:t>/L</w:t>
            </w:r>
          </w:p>
        </w:tc>
      </w:tr>
      <w:tr w:rsidR="00D35590">
        <w:trPr>
          <w:trHeight w:val="297"/>
        </w:trPr>
        <w:tc>
          <w:tcPr>
            <w:tcW w:w="3101" w:type="dxa"/>
          </w:tcPr>
          <w:p w:rsidR="00D35590" w:rsidRDefault="00D75DDE">
            <w:pPr>
              <w:pStyle w:val="TableParagraph"/>
              <w:spacing w:before="8" w:line="269" w:lineRule="exact"/>
              <w:rPr>
                <w:sz w:val="24"/>
              </w:rPr>
            </w:pPr>
            <w:r>
              <w:rPr>
                <w:sz w:val="24"/>
              </w:rPr>
              <w:t>LCS or LFB</w:t>
            </w:r>
          </w:p>
        </w:tc>
        <w:tc>
          <w:tcPr>
            <w:tcW w:w="3279" w:type="dxa"/>
          </w:tcPr>
          <w:p w:rsidR="00D35590" w:rsidRDefault="00D75DDE">
            <w:pPr>
              <w:pStyle w:val="TableParagraph"/>
              <w:spacing w:before="8" w:line="269" w:lineRule="exact"/>
              <w:rPr>
                <w:sz w:val="24"/>
              </w:rPr>
            </w:pPr>
            <w:r>
              <w:rPr>
                <w:sz w:val="24"/>
              </w:rPr>
              <w:t>Calcium (Ca)</w:t>
            </w:r>
          </w:p>
        </w:tc>
        <w:tc>
          <w:tcPr>
            <w:tcW w:w="3101" w:type="dxa"/>
          </w:tcPr>
          <w:p w:rsidR="00D35590" w:rsidRDefault="00D75DDE">
            <w:pPr>
              <w:pStyle w:val="TableParagraph"/>
              <w:spacing w:before="8" w:line="269" w:lineRule="exact"/>
              <w:rPr>
                <w:sz w:val="24"/>
              </w:rPr>
            </w:pPr>
            <w:r>
              <w:rPr>
                <w:sz w:val="24"/>
              </w:rPr>
              <w:t>≤ 0.4 mg/L</w:t>
            </w:r>
          </w:p>
        </w:tc>
      </w:tr>
      <w:tr w:rsidR="00D35590">
        <w:trPr>
          <w:trHeight w:val="551"/>
        </w:trPr>
        <w:tc>
          <w:tcPr>
            <w:tcW w:w="3101" w:type="dxa"/>
          </w:tcPr>
          <w:p w:rsidR="00D35590" w:rsidRDefault="00D75DDE">
            <w:pPr>
              <w:pStyle w:val="TableParagraph"/>
              <w:spacing w:before="135"/>
              <w:rPr>
                <w:sz w:val="24"/>
              </w:rPr>
            </w:pPr>
            <w:r>
              <w:rPr>
                <w:sz w:val="24"/>
              </w:rPr>
              <w:t>LCS or LFB</w:t>
            </w:r>
          </w:p>
        </w:tc>
        <w:tc>
          <w:tcPr>
            <w:tcW w:w="3279" w:type="dxa"/>
          </w:tcPr>
          <w:p w:rsidR="00D35590" w:rsidRDefault="00D75DDE">
            <w:pPr>
              <w:pStyle w:val="TableParagraph"/>
              <w:spacing w:before="2" w:line="276" w:lineRule="exact"/>
              <w:ind w:right="133"/>
              <w:rPr>
                <w:sz w:val="24"/>
              </w:rPr>
            </w:pPr>
            <w:r>
              <w:rPr>
                <w:sz w:val="24"/>
              </w:rPr>
              <w:t>Hardness (Ca + Mg calculation method)</w:t>
            </w:r>
          </w:p>
        </w:tc>
        <w:tc>
          <w:tcPr>
            <w:tcW w:w="3101" w:type="dxa"/>
          </w:tcPr>
          <w:p w:rsidR="00D35590" w:rsidRDefault="00D75DDE">
            <w:pPr>
              <w:pStyle w:val="TableParagraph"/>
              <w:spacing w:before="135"/>
              <w:rPr>
                <w:sz w:val="24"/>
              </w:rPr>
            </w:pPr>
            <w:r>
              <w:rPr>
                <w:sz w:val="24"/>
              </w:rPr>
              <w:t>Note 8</w:t>
            </w:r>
          </w:p>
        </w:tc>
      </w:tr>
      <w:tr w:rsidR="00D35590">
        <w:trPr>
          <w:trHeight w:val="297"/>
        </w:trPr>
        <w:tc>
          <w:tcPr>
            <w:tcW w:w="3101" w:type="dxa"/>
          </w:tcPr>
          <w:p w:rsidR="00D35590" w:rsidRDefault="00D75DDE">
            <w:pPr>
              <w:pStyle w:val="TableParagraph"/>
              <w:spacing w:before="8" w:line="269" w:lineRule="exact"/>
              <w:rPr>
                <w:sz w:val="24"/>
              </w:rPr>
            </w:pPr>
            <w:r>
              <w:rPr>
                <w:sz w:val="24"/>
              </w:rPr>
              <w:t>LCS or LFB</w:t>
            </w:r>
          </w:p>
        </w:tc>
        <w:tc>
          <w:tcPr>
            <w:tcW w:w="3279" w:type="dxa"/>
          </w:tcPr>
          <w:p w:rsidR="00D35590" w:rsidRDefault="00D75DDE">
            <w:pPr>
              <w:pStyle w:val="TableParagraph"/>
              <w:spacing w:before="8" w:line="269" w:lineRule="exact"/>
              <w:rPr>
                <w:sz w:val="24"/>
              </w:rPr>
            </w:pPr>
            <w:r>
              <w:rPr>
                <w:sz w:val="24"/>
              </w:rPr>
              <w:t>Hardness (titration method)</w:t>
            </w:r>
          </w:p>
        </w:tc>
        <w:tc>
          <w:tcPr>
            <w:tcW w:w="3101" w:type="dxa"/>
          </w:tcPr>
          <w:p w:rsidR="00D35590" w:rsidRDefault="00D75DDE">
            <w:pPr>
              <w:pStyle w:val="TableParagraph"/>
              <w:spacing w:before="8" w:line="269" w:lineRule="exact"/>
              <w:rPr>
                <w:sz w:val="24"/>
              </w:rPr>
            </w:pPr>
            <w:r>
              <w:rPr>
                <w:sz w:val="24"/>
              </w:rPr>
              <w:t>≤ 50 mg/L</w:t>
            </w:r>
          </w:p>
        </w:tc>
      </w:tr>
      <w:tr w:rsidR="00D35590">
        <w:trPr>
          <w:trHeight w:val="299"/>
        </w:trPr>
        <w:tc>
          <w:tcPr>
            <w:tcW w:w="3101" w:type="dxa"/>
          </w:tcPr>
          <w:p w:rsidR="00D35590" w:rsidRDefault="00D75DDE">
            <w:pPr>
              <w:pStyle w:val="TableParagraph"/>
              <w:spacing w:before="11" w:line="269" w:lineRule="exact"/>
              <w:rPr>
                <w:sz w:val="24"/>
              </w:rPr>
            </w:pPr>
            <w:r>
              <w:rPr>
                <w:sz w:val="24"/>
              </w:rPr>
              <w:t>LCS or LFB</w:t>
            </w:r>
          </w:p>
        </w:tc>
        <w:tc>
          <w:tcPr>
            <w:tcW w:w="3279" w:type="dxa"/>
          </w:tcPr>
          <w:p w:rsidR="00D35590" w:rsidRDefault="00D75DDE">
            <w:pPr>
              <w:pStyle w:val="TableParagraph"/>
              <w:spacing w:before="11" w:line="269" w:lineRule="exact"/>
              <w:rPr>
                <w:sz w:val="24"/>
              </w:rPr>
            </w:pPr>
            <w:r>
              <w:rPr>
                <w:sz w:val="24"/>
              </w:rPr>
              <w:t>Magnesium (Mg)</w:t>
            </w:r>
          </w:p>
        </w:tc>
        <w:tc>
          <w:tcPr>
            <w:tcW w:w="3101" w:type="dxa"/>
          </w:tcPr>
          <w:p w:rsidR="00D35590" w:rsidRDefault="00D75DDE">
            <w:pPr>
              <w:pStyle w:val="TableParagraph"/>
              <w:spacing w:before="11" w:line="269" w:lineRule="exact"/>
              <w:rPr>
                <w:sz w:val="24"/>
              </w:rPr>
            </w:pPr>
            <w:r>
              <w:rPr>
                <w:sz w:val="24"/>
              </w:rPr>
              <w:t>≤ 0.16 mg/L</w:t>
            </w:r>
          </w:p>
        </w:tc>
      </w:tr>
      <w:tr w:rsidR="00D35590">
        <w:trPr>
          <w:trHeight w:val="299"/>
        </w:trPr>
        <w:tc>
          <w:tcPr>
            <w:tcW w:w="3101" w:type="dxa"/>
          </w:tcPr>
          <w:p w:rsidR="00D35590" w:rsidRDefault="00D75DDE">
            <w:pPr>
              <w:pStyle w:val="TableParagraph"/>
              <w:spacing w:before="11" w:line="269" w:lineRule="exact"/>
              <w:rPr>
                <w:sz w:val="24"/>
              </w:rPr>
            </w:pPr>
            <w:r>
              <w:rPr>
                <w:sz w:val="24"/>
              </w:rPr>
              <w:t>LCS or LFB</w:t>
            </w:r>
          </w:p>
        </w:tc>
        <w:tc>
          <w:tcPr>
            <w:tcW w:w="3279" w:type="dxa"/>
          </w:tcPr>
          <w:p w:rsidR="00D35590" w:rsidRDefault="00D75DDE">
            <w:pPr>
              <w:pStyle w:val="TableParagraph"/>
              <w:spacing w:before="11" w:line="269" w:lineRule="exact"/>
              <w:rPr>
                <w:sz w:val="24"/>
              </w:rPr>
            </w:pPr>
            <w:r>
              <w:rPr>
                <w:sz w:val="24"/>
              </w:rPr>
              <w:t>Metals</w:t>
            </w:r>
          </w:p>
        </w:tc>
        <w:tc>
          <w:tcPr>
            <w:tcW w:w="3101" w:type="dxa"/>
          </w:tcPr>
          <w:p w:rsidR="00D35590" w:rsidRDefault="00D75DDE">
            <w:pPr>
              <w:pStyle w:val="TableParagraph"/>
              <w:spacing w:before="11" w:line="269" w:lineRule="exact"/>
              <w:rPr>
                <w:sz w:val="24"/>
              </w:rPr>
            </w:pPr>
            <w:r>
              <w:rPr>
                <w:sz w:val="24"/>
              </w:rPr>
              <w:t>See Note 2</w:t>
            </w:r>
          </w:p>
        </w:tc>
      </w:tr>
      <w:tr w:rsidR="00D35590">
        <w:trPr>
          <w:trHeight w:val="1103"/>
        </w:trPr>
        <w:tc>
          <w:tcPr>
            <w:tcW w:w="3101" w:type="dxa"/>
          </w:tcPr>
          <w:p w:rsidR="00D35590" w:rsidRDefault="00D35590">
            <w:pPr>
              <w:pStyle w:val="TableParagraph"/>
              <w:ind w:left="0"/>
              <w:rPr>
                <w:sz w:val="36"/>
              </w:rPr>
            </w:pPr>
          </w:p>
          <w:p w:rsidR="00D35590" w:rsidRDefault="00D75DDE">
            <w:pPr>
              <w:pStyle w:val="TableParagraph"/>
              <w:rPr>
                <w:sz w:val="24"/>
              </w:rPr>
            </w:pPr>
            <w:r>
              <w:rPr>
                <w:sz w:val="24"/>
              </w:rPr>
              <w:t>LCS or LFB</w:t>
            </w:r>
          </w:p>
        </w:tc>
        <w:tc>
          <w:tcPr>
            <w:tcW w:w="3279" w:type="dxa"/>
          </w:tcPr>
          <w:p w:rsidR="00D35590" w:rsidRDefault="00D75DDE">
            <w:pPr>
              <w:pStyle w:val="TableParagraph"/>
              <w:spacing w:before="2" w:line="276" w:lineRule="exact"/>
              <w:ind w:right="228"/>
              <w:rPr>
                <w:sz w:val="24"/>
              </w:rPr>
            </w:pPr>
            <w:r>
              <w:rPr>
                <w:sz w:val="24"/>
              </w:rPr>
              <w:t>Other Nutrients, including Nitrate, Nitrite, Nitrate + Nitrite, Orthophosphate, Total Phosphorus (TP)</w:t>
            </w:r>
          </w:p>
        </w:tc>
        <w:tc>
          <w:tcPr>
            <w:tcW w:w="3101" w:type="dxa"/>
          </w:tcPr>
          <w:p w:rsidR="00D35590" w:rsidRDefault="00D35590">
            <w:pPr>
              <w:pStyle w:val="TableParagraph"/>
              <w:ind w:left="0"/>
              <w:rPr>
                <w:sz w:val="36"/>
              </w:rPr>
            </w:pPr>
          </w:p>
          <w:p w:rsidR="00D35590" w:rsidRDefault="00D75DDE">
            <w:pPr>
              <w:pStyle w:val="TableParagraph"/>
              <w:rPr>
                <w:sz w:val="24"/>
              </w:rPr>
            </w:pPr>
            <w:r>
              <w:rPr>
                <w:sz w:val="24"/>
              </w:rPr>
              <w:t xml:space="preserve">≤ 80 </w:t>
            </w:r>
            <w:proofErr w:type="spellStart"/>
            <w:r>
              <w:rPr>
                <w:sz w:val="24"/>
              </w:rPr>
              <w:t>μg</w:t>
            </w:r>
            <w:proofErr w:type="spellEnd"/>
            <w:r>
              <w:rPr>
                <w:sz w:val="24"/>
              </w:rPr>
              <w:t>/L</w:t>
            </w:r>
          </w:p>
        </w:tc>
      </w:tr>
      <w:tr w:rsidR="00D35590">
        <w:trPr>
          <w:trHeight w:val="552"/>
        </w:trPr>
        <w:tc>
          <w:tcPr>
            <w:tcW w:w="3101" w:type="dxa"/>
          </w:tcPr>
          <w:p w:rsidR="00D35590" w:rsidRDefault="00D75DDE">
            <w:pPr>
              <w:pStyle w:val="TableParagraph"/>
              <w:spacing w:before="2" w:line="276" w:lineRule="exact"/>
              <w:ind w:right="977"/>
              <w:rPr>
                <w:sz w:val="24"/>
              </w:rPr>
            </w:pPr>
            <w:r>
              <w:rPr>
                <w:sz w:val="24"/>
              </w:rPr>
              <w:t>LCS or LFB Percent Recovery (%R)</w:t>
            </w:r>
          </w:p>
        </w:tc>
        <w:tc>
          <w:tcPr>
            <w:tcW w:w="3279" w:type="dxa"/>
          </w:tcPr>
          <w:p w:rsidR="00D35590" w:rsidRDefault="00D75DDE">
            <w:pPr>
              <w:pStyle w:val="TableParagraph"/>
              <w:spacing w:before="2" w:line="276" w:lineRule="exact"/>
              <w:ind w:right="133"/>
              <w:rPr>
                <w:sz w:val="24"/>
              </w:rPr>
            </w:pPr>
            <w:r>
              <w:rPr>
                <w:sz w:val="24"/>
              </w:rPr>
              <w:t>Hardness (Ca + Mg calculation method)</w:t>
            </w:r>
          </w:p>
        </w:tc>
        <w:tc>
          <w:tcPr>
            <w:tcW w:w="3101" w:type="dxa"/>
          </w:tcPr>
          <w:p w:rsidR="00D35590" w:rsidRDefault="00D75DDE">
            <w:pPr>
              <w:pStyle w:val="TableParagraph"/>
              <w:spacing w:before="135"/>
              <w:rPr>
                <w:sz w:val="24"/>
              </w:rPr>
            </w:pPr>
            <w:r>
              <w:rPr>
                <w:sz w:val="24"/>
              </w:rPr>
              <w:t>See Note 8</w:t>
            </w:r>
          </w:p>
        </w:tc>
      </w:tr>
      <w:tr w:rsidR="00D35590">
        <w:trPr>
          <w:trHeight w:val="549"/>
        </w:trPr>
        <w:tc>
          <w:tcPr>
            <w:tcW w:w="3101" w:type="dxa"/>
          </w:tcPr>
          <w:p w:rsidR="00D35590" w:rsidRDefault="00D75DDE">
            <w:pPr>
              <w:pStyle w:val="TableParagraph"/>
              <w:spacing w:line="273" w:lineRule="exact"/>
              <w:rPr>
                <w:sz w:val="24"/>
              </w:rPr>
            </w:pPr>
            <w:r>
              <w:rPr>
                <w:sz w:val="24"/>
              </w:rPr>
              <w:t>LCS or LFB Percent</w:t>
            </w:r>
          </w:p>
          <w:p w:rsidR="00D35590" w:rsidRDefault="00D75DDE">
            <w:pPr>
              <w:pStyle w:val="TableParagraph"/>
              <w:spacing w:line="257" w:lineRule="exact"/>
              <w:rPr>
                <w:sz w:val="24"/>
              </w:rPr>
            </w:pPr>
            <w:r>
              <w:rPr>
                <w:sz w:val="24"/>
              </w:rPr>
              <w:t>Recovery (%R)</w:t>
            </w:r>
          </w:p>
        </w:tc>
        <w:tc>
          <w:tcPr>
            <w:tcW w:w="3279" w:type="dxa"/>
          </w:tcPr>
          <w:p w:rsidR="00D35590" w:rsidRDefault="00D75DDE">
            <w:pPr>
              <w:pStyle w:val="TableParagraph"/>
              <w:spacing w:before="133"/>
              <w:rPr>
                <w:sz w:val="24"/>
              </w:rPr>
            </w:pPr>
            <w:r>
              <w:rPr>
                <w:sz w:val="24"/>
              </w:rPr>
              <w:t>Hardness (titration method)</w:t>
            </w:r>
          </w:p>
        </w:tc>
        <w:tc>
          <w:tcPr>
            <w:tcW w:w="3101" w:type="dxa"/>
          </w:tcPr>
          <w:p w:rsidR="00D35590" w:rsidRDefault="00D75DDE">
            <w:pPr>
              <w:pStyle w:val="TableParagraph"/>
              <w:spacing w:before="133"/>
              <w:rPr>
                <w:sz w:val="24"/>
              </w:rPr>
            </w:pPr>
            <w:r>
              <w:rPr>
                <w:sz w:val="24"/>
              </w:rPr>
              <w:t>See Note 1</w:t>
            </w:r>
          </w:p>
        </w:tc>
      </w:tr>
      <w:tr w:rsidR="00D35590">
        <w:trPr>
          <w:trHeight w:val="551"/>
        </w:trPr>
        <w:tc>
          <w:tcPr>
            <w:tcW w:w="3101" w:type="dxa"/>
          </w:tcPr>
          <w:p w:rsidR="00D35590" w:rsidRDefault="00D75DDE">
            <w:pPr>
              <w:pStyle w:val="TableParagraph"/>
              <w:spacing w:before="2" w:line="276" w:lineRule="exact"/>
              <w:ind w:right="977"/>
              <w:rPr>
                <w:sz w:val="24"/>
              </w:rPr>
            </w:pPr>
            <w:r>
              <w:rPr>
                <w:sz w:val="24"/>
              </w:rPr>
              <w:t>LCS or LFB Percent Recovery (%R)</w:t>
            </w:r>
          </w:p>
        </w:tc>
        <w:tc>
          <w:tcPr>
            <w:tcW w:w="3279" w:type="dxa"/>
          </w:tcPr>
          <w:p w:rsidR="00D35590" w:rsidRDefault="00D75DDE">
            <w:pPr>
              <w:pStyle w:val="TableParagraph"/>
              <w:spacing w:before="135"/>
              <w:rPr>
                <w:sz w:val="24"/>
              </w:rPr>
            </w:pPr>
            <w:r>
              <w:rPr>
                <w:sz w:val="24"/>
              </w:rPr>
              <w:t>Metals, including Ca, Mg</w:t>
            </w:r>
          </w:p>
        </w:tc>
        <w:tc>
          <w:tcPr>
            <w:tcW w:w="3101" w:type="dxa"/>
          </w:tcPr>
          <w:p w:rsidR="00D35590" w:rsidRDefault="00D75DDE">
            <w:pPr>
              <w:pStyle w:val="TableParagraph"/>
              <w:spacing w:before="135"/>
              <w:rPr>
                <w:sz w:val="24"/>
              </w:rPr>
            </w:pPr>
            <w:r>
              <w:rPr>
                <w:sz w:val="24"/>
              </w:rPr>
              <w:t>85% -115%</w:t>
            </w:r>
          </w:p>
        </w:tc>
      </w:tr>
      <w:tr w:rsidR="00D35590">
        <w:trPr>
          <w:trHeight w:val="1377"/>
        </w:trPr>
        <w:tc>
          <w:tcPr>
            <w:tcW w:w="3101" w:type="dxa"/>
          </w:tcPr>
          <w:p w:rsidR="00D35590" w:rsidRDefault="00D35590">
            <w:pPr>
              <w:pStyle w:val="TableParagraph"/>
              <w:spacing w:before="9"/>
              <w:ind w:left="0"/>
              <w:rPr>
                <w:sz w:val="35"/>
              </w:rPr>
            </w:pPr>
          </w:p>
          <w:p w:rsidR="00D35590" w:rsidRDefault="00D75DDE">
            <w:pPr>
              <w:pStyle w:val="TableParagraph"/>
              <w:ind w:right="977"/>
              <w:rPr>
                <w:sz w:val="24"/>
              </w:rPr>
            </w:pPr>
            <w:r>
              <w:rPr>
                <w:sz w:val="24"/>
              </w:rPr>
              <w:t>LCS or LFB Percent Recovery (%R)</w:t>
            </w:r>
          </w:p>
        </w:tc>
        <w:tc>
          <w:tcPr>
            <w:tcW w:w="3279" w:type="dxa"/>
          </w:tcPr>
          <w:p w:rsidR="00D35590" w:rsidRDefault="00D75DDE">
            <w:pPr>
              <w:pStyle w:val="TableParagraph"/>
              <w:ind w:right="382"/>
              <w:rPr>
                <w:sz w:val="24"/>
              </w:rPr>
            </w:pPr>
            <w:r>
              <w:rPr>
                <w:sz w:val="24"/>
              </w:rPr>
              <w:t xml:space="preserve">Nutrients, including Ammonium, Nitrate, Nitrite, </w:t>
            </w:r>
            <w:proofErr w:type="spellStart"/>
            <w:r>
              <w:rPr>
                <w:sz w:val="24"/>
              </w:rPr>
              <w:t>Nitrate+Nitrite</w:t>
            </w:r>
            <w:proofErr w:type="spellEnd"/>
            <w:r>
              <w:rPr>
                <w:sz w:val="24"/>
              </w:rPr>
              <w:t>,</w:t>
            </w:r>
          </w:p>
          <w:p w:rsidR="00D35590" w:rsidRDefault="00D75DDE">
            <w:pPr>
              <w:pStyle w:val="TableParagraph"/>
              <w:spacing w:line="270" w:lineRule="atLeast"/>
              <w:ind w:right="521"/>
              <w:rPr>
                <w:sz w:val="24"/>
              </w:rPr>
            </w:pPr>
            <w:r>
              <w:rPr>
                <w:sz w:val="24"/>
              </w:rPr>
              <w:t>Orthophosphate, TKN, TP; and TOC</w:t>
            </w:r>
          </w:p>
        </w:tc>
        <w:tc>
          <w:tcPr>
            <w:tcW w:w="3101" w:type="dxa"/>
          </w:tcPr>
          <w:p w:rsidR="00D35590" w:rsidRDefault="00D35590">
            <w:pPr>
              <w:pStyle w:val="TableParagraph"/>
              <w:ind w:left="0"/>
              <w:rPr>
                <w:sz w:val="26"/>
              </w:rPr>
            </w:pPr>
          </w:p>
          <w:p w:rsidR="00D35590" w:rsidRDefault="00D35590">
            <w:pPr>
              <w:pStyle w:val="TableParagraph"/>
              <w:spacing w:before="8"/>
              <w:ind w:left="0"/>
              <w:rPr>
                <w:sz w:val="21"/>
              </w:rPr>
            </w:pPr>
          </w:p>
          <w:p w:rsidR="00D35590" w:rsidRDefault="00D75DDE">
            <w:pPr>
              <w:pStyle w:val="TableParagraph"/>
              <w:rPr>
                <w:sz w:val="24"/>
              </w:rPr>
            </w:pPr>
            <w:r>
              <w:rPr>
                <w:sz w:val="24"/>
              </w:rPr>
              <w:t>80% - 120%</w:t>
            </w:r>
          </w:p>
        </w:tc>
      </w:tr>
      <w:tr w:rsidR="00D35590">
        <w:trPr>
          <w:trHeight w:val="2756"/>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03"/>
              <w:ind w:right="977"/>
              <w:rPr>
                <w:sz w:val="24"/>
              </w:rPr>
            </w:pPr>
            <w:r>
              <w:rPr>
                <w:sz w:val="24"/>
              </w:rPr>
              <w:t>LCS or LFB Percent Recovery (%R)</w:t>
            </w:r>
          </w:p>
        </w:tc>
        <w:tc>
          <w:tcPr>
            <w:tcW w:w="3279" w:type="dxa"/>
          </w:tcPr>
          <w:p w:rsidR="00D35590" w:rsidRDefault="00D75DDE">
            <w:pPr>
              <w:pStyle w:val="TableParagraph"/>
              <w:ind w:right="105"/>
              <w:rPr>
                <w:sz w:val="24"/>
              </w:rPr>
            </w:pPr>
            <w:r>
              <w:rPr>
                <w:sz w:val="24"/>
              </w:rPr>
              <w:t>Semi-volatile (Extractable) Organic Compounds, including Pesticides, Herbicides, Phenolic Compounds, Chlorinated Phenols, Chlorinated Cresols, Polycyclic Aromatic Hydrocarbons (PAHs), Phthalate Esters, Polychlorinated</w:t>
            </w:r>
            <w:r>
              <w:rPr>
                <w:spacing w:val="-1"/>
                <w:sz w:val="24"/>
              </w:rPr>
              <w:t xml:space="preserve"> </w:t>
            </w:r>
            <w:r>
              <w:rPr>
                <w:sz w:val="24"/>
              </w:rPr>
              <w:t>Biphenyls</w:t>
            </w:r>
          </w:p>
          <w:p w:rsidR="00D35590" w:rsidRDefault="00D75DDE">
            <w:pPr>
              <w:pStyle w:val="TableParagraph"/>
              <w:spacing w:line="257" w:lineRule="exact"/>
              <w:rPr>
                <w:sz w:val="24"/>
              </w:rPr>
            </w:pPr>
            <w:r>
              <w:rPr>
                <w:sz w:val="24"/>
              </w:rPr>
              <w:t>(PCBs), Oils &amp; Greases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9"/>
              <w:ind w:left="0"/>
              <w:rPr>
                <w:sz w:val="29"/>
              </w:rPr>
            </w:pPr>
          </w:p>
          <w:p w:rsidR="00D35590" w:rsidRDefault="00D75DDE">
            <w:pPr>
              <w:pStyle w:val="TableParagraph"/>
              <w:rPr>
                <w:sz w:val="24"/>
              </w:rPr>
            </w:pPr>
            <w:r>
              <w:rPr>
                <w:sz w:val="24"/>
              </w:rPr>
              <w:t>See Note 4</w:t>
            </w:r>
          </w:p>
        </w:tc>
      </w:tr>
      <w:tr w:rsidR="00D35590">
        <w:trPr>
          <w:trHeight w:val="551"/>
        </w:trPr>
        <w:tc>
          <w:tcPr>
            <w:tcW w:w="3101" w:type="dxa"/>
          </w:tcPr>
          <w:p w:rsidR="00D35590" w:rsidRDefault="00D75DDE">
            <w:pPr>
              <w:pStyle w:val="TableParagraph"/>
              <w:spacing w:before="138"/>
              <w:rPr>
                <w:sz w:val="24"/>
              </w:rPr>
            </w:pPr>
            <w:r>
              <w:rPr>
                <w:sz w:val="24"/>
              </w:rPr>
              <w:t>Matrix Spike (MS) %R</w:t>
            </w:r>
          </w:p>
        </w:tc>
        <w:tc>
          <w:tcPr>
            <w:tcW w:w="3279" w:type="dxa"/>
          </w:tcPr>
          <w:p w:rsidR="00D35590" w:rsidRDefault="00D75DDE">
            <w:pPr>
              <w:pStyle w:val="TableParagraph"/>
              <w:spacing w:before="2" w:line="276" w:lineRule="exact"/>
              <w:ind w:right="133"/>
              <w:rPr>
                <w:sz w:val="24"/>
              </w:rPr>
            </w:pPr>
            <w:r>
              <w:rPr>
                <w:sz w:val="24"/>
              </w:rPr>
              <w:t>Hardness (Ca + Mg calculation method)</w:t>
            </w:r>
          </w:p>
        </w:tc>
        <w:tc>
          <w:tcPr>
            <w:tcW w:w="3101" w:type="dxa"/>
          </w:tcPr>
          <w:p w:rsidR="00D35590" w:rsidRDefault="00D75DDE">
            <w:pPr>
              <w:pStyle w:val="TableParagraph"/>
              <w:spacing w:before="138"/>
              <w:rPr>
                <w:sz w:val="24"/>
              </w:rPr>
            </w:pPr>
            <w:r>
              <w:rPr>
                <w:sz w:val="24"/>
              </w:rPr>
              <w:t>See Note 8</w:t>
            </w:r>
          </w:p>
        </w:tc>
      </w:tr>
      <w:tr w:rsidR="00D35590">
        <w:trPr>
          <w:trHeight w:val="300"/>
        </w:trPr>
        <w:tc>
          <w:tcPr>
            <w:tcW w:w="3101" w:type="dxa"/>
          </w:tcPr>
          <w:p w:rsidR="00D35590" w:rsidRDefault="00D75DDE">
            <w:pPr>
              <w:pStyle w:val="TableParagraph"/>
              <w:spacing w:before="8" w:line="271" w:lineRule="exact"/>
              <w:rPr>
                <w:sz w:val="24"/>
              </w:rPr>
            </w:pPr>
            <w:r>
              <w:rPr>
                <w:sz w:val="24"/>
              </w:rPr>
              <w:t>Matrix Spike (MS) %R</w:t>
            </w:r>
          </w:p>
        </w:tc>
        <w:tc>
          <w:tcPr>
            <w:tcW w:w="3279" w:type="dxa"/>
          </w:tcPr>
          <w:p w:rsidR="00D35590" w:rsidRDefault="00D75DDE">
            <w:pPr>
              <w:pStyle w:val="TableParagraph"/>
              <w:spacing w:before="8" w:line="271" w:lineRule="exact"/>
              <w:rPr>
                <w:sz w:val="24"/>
              </w:rPr>
            </w:pPr>
            <w:r>
              <w:rPr>
                <w:sz w:val="24"/>
              </w:rPr>
              <w:t>Hardness (titration method)</w:t>
            </w:r>
          </w:p>
        </w:tc>
        <w:tc>
          <w:tcPr>
            <w:tcW w:w="3101" w:type="dxa"/>
          </w:tcPr>
          <w:p w:rsidR="00D35590" w:rsidRDefault="00D75DDE">
            <w:pPr>
              <w:pStyle w:val="TableParagraph"/>
              <w:spacing w:before="8" w:line="271" w:lineRule="exact"/>
              <w:rPr>
                <w:sz w:val="24"/>
              </w:rPr>
            </w:pPr>
            <w:r>
              <w:rPr>
                <w:sz w:val="24"/>
              </w:rPr>
              <w:t>See Note 1</w:t>
            </w:r>
          </w:p>
        </w:tc>
      </w:tr>
    </w:tbl>
    <w:p w:rsidR="00D35590" w:rsidRDefault="00D35590">
      <w:pPr>
        <w:spacing w:line="271" w:lineRule="exact"/>
        <w:rPr>
          <w:sz w:val="24"/>
        </w:rPr>
        <w:sectPr w:rsidR="00D35590">
          <w:pgSz w:w="12240" w:h="15840"/>
          <w:pgMar w:top="1380" w:right="300" w:bottom="88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2757"/>
        </w:trPr>
        <w:tc>
          <w:tcPr>
            <w:tcW w:w="3101" w:type="dxa"/>
          </w:tcPr>
          <w:p w:rsidR="00D35590" w:rsidRDefault="00D35590">
            <w:pPr>
              <w:pStyle w:val="TableParagraph"/>
              <w:spacing w:before="9"/>
              <w:ind w:left="0"/>
              <w:rPr>
                <w:sz w:val="35"/>
              </w:rPr>
            </w:pPr>
          </w:p>
          <w:p w:rsidR="00D35590" w:rsidRDefault="00D75DDE">
            <w:pPr>
              <w:pStyle w:val="TableParagraph"/>
              <w:ind w:right="151"/>
              <w:rPr>
                <w:sz w:val="24"/>
              </w:rPr>
            </w:pPr>
            <w:r>
              <w:rPr>
                <w:sz w:val="24"/>
              </w:rPr>
              <w:t>Precision (Relative Percent Difference, Percent Relative Standard Deviation or Other) for Duplicate or Replicate (LCS, LFB, MS, Quality Control Check Sample or Sample Analyses)</w:t>
            </w:r>
          </w:p>
        </w:tc>
        <w:tc>
          <w:tcPr>
            <w:tcW w:w="3279" w:type="dxa"/>
          </w:tcPr>
          <w:p w:rsidR="00D35590" w:rsidRDefault="00D75DDE">
            <w:pPr>
              <w:pStyle w:val="TableParagraph"/>
              <w:ind w:right="114"/>
              <w:rPr>
                <w:sz w:val="24"/>
              </w:rPr>
            </w:pPr>
            <w:r>
              <w:rPr>
                <w:sz w:val="24"/>
              </w:rPr>
              <w:t xml:space="preserve">Ammonium, BOD (Biochemical Oxygen Demand), Chlorophyll, Color, Hardness (titration method), Metals (including Ca, Mg), Nitrate, Nitrite, </w:t>
            </w:r>
            <w:proofErr w:type="spellStart"/>
            <w:r>
              <w:rPr>
                <w:sz w:val="24"/>
              </w:rPr>
              <w:t>Nitrate+Nitrite</w:t>
            </w:r>
            <w:proofErr w:type="spellEnd"/>
            <w:r>
              <w:rPr>
                <w:sz w:val="24"/>
              </w:rPr>
              <w:t>, Orthophosphate, TDS (Total Dissolved Solids), TKN, TP,</w:t>
            </w:r>
          </w:p>
          <w:p w:rsidR="00D35590" w:rsidRDefault="00D75DDE">
            <w:pPr>
              <w:pStyle w:val="TableParagraph"/>
              <w:spacing w:line="270" w:lineRule="atLeast"/>
              <w:ind w:right="174"/>
              <w:rPr>
                <w:sz w:val="24"/>
              </w:rPr>
            </w:pPr>
            <w:r>
              <w:rPr>
                <w:sz w:val="24"/>
              </w:rPr>
              <w:t>TSS (Total Suspended Solids), TOC, Turbidity</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9"/>
              <w:ind w:left="0"/>
              <w:rPr>
                <w:sz w:val="29"/>
              </w:rPr>
            </w:pPr>
          </w:p>
          <w:p w:rsidR="00D35590" w:rsidRDefault="00D75DDE">
            <w:pPr>
              <w:pStyle w:val="TableParagraph"/>
              <w:rPr>
                <w:sz w:val="24"/>
              </w:rPr>
            </w:pPr>
            <w:r>
              <w:rPr>
                <w:sz w:val="24"/>
              </w:rPr>
              <w:t>≤ 20%</w:t>
            </w:r>
          </w:p>
        </w:tc>
      </w:tr>
      <w:tr w:rsidR="00D35590">
        <w:trPr>
          <w:trHeight w:val="596"/>
        </w:trPr>
        <w:tc>
          <w:tcPr>
            <w:tcW w:w="3101" w:type="dxa"/>
          </w:tcPr>
          <w:p w:rsidR="00D35590" w:rsidRDefault="00D75DDE">
            <w:pPr>
              <w:pStyle w:val="TableParagraph"/>
              <w:spacing w:before="20"/>
              <w:ind w:right="471"/>
              <w:rPr>
                <w:sz w:val="24"/>
              </w:rPr>
            </w:pPr>
            <w:r>
              <w:rPr>
                <w:sz w:val="24"/>
              </w:rPr>
              <w:t>Precision for Duplicate or Replicate</w:t>
            </w:r>
          </w:p>
        </w:tc>
        <w:tc>
          <w:tcPr>
            <w:tcW w:w="3279" w:type="dxa"/>
          </w:tcPr>
          <w:p w:rsidR="00D35590" w:rsidRDefault="00D75DDE">
            <w:pPr>
              <w:pStyle w:val="TableParagraph"/>
              <w:spacing w:before="20"/>
              <w:ind w:right="229"/>
              <w:rPr>
                <w:sz w:val="24"/>
              </w:rPr>
            </w:pPr>
            <w:r>
              <w:rPr>
                <w:sz w:val="24"/>
              </w:rPr>
              <w:t>Bacteriological Quality (Fecal Coliform Bacteria)</w:t>
            </w:r>
          </w:p>
        </w:tc>
        <w:tc>
          <w:tcPr>
            <w:tcW w:w="3101" w:type="dxa"/>
          </w:tcPr>
          <w:p w:rsidR="00D35590" w:rsidRDefault="00D75DDE">
            <w:pPr>
              <w:pStyle w:val="TableParagraph"/>
              <w:spacing w:before="159"/>
              <w:rPr>
                <w:sz w:val="24"/>
              </w:rPr>
            </w:pPr>
            <w:r>
              <w:rPr>
                <w:sz w:val="24"/>
              </w:rPr>
              <w:t>See Note 5</w:t>
            </w:r>
          </w:p>
        </w:tc>
      </w:tr>
      <w:tr w:rsidR="00D35590">
        <w:trPr>
          <w:trHeight w:val="602"/>
        </w:trPr>
        <w:tc>
          <w:tcPr>
            <w:tcW w:w="3101" w:type="dxa"/>
          </w:tcPr>
          <w:p w:rsidR="00D35590" w:rsidRDefault="00D75DDE">
            <w:pPr>
              <w:pStyle w:val="TableParagraph"/>
              <w:spacing w:before="25"/>
              <w:ind w:right="471"/>
              <w:rPr>
                <w:sz w:val="24"/>
              </w:rPr>
            </w:pPr>
            <w:r>
              <w:rPr>
                <w:sz w:val="24"/>
              </w:rPr>
              <w:t>Precision for Duplicate or Replicate</w:t>
            </w:r>
          </w:p>
        </w:tc>
        <w:tc>
          <w:tcPr>
            <w:tcW w:w="3279" w:type="dxa"/>
          </w:tcPr>
          <w:p w:rsidR="00D35590" w:rsidRDefault="00D75DDE">
            <w:pPr>
              <w:pStyle w:val="TableParagraph"/>
              <w:spacing w:before="25"/>
              <w:ind w:right="133"/>
              <w:rPr>
                <w:sz w:val="24"/>
              </w:rPr>
            </w:pPr>
            <w:r>
              <w:rPr>
                <w:sz w:val="24"/>
              </w:rPr>
              <w:t>Hardness (Ca + Mg calculation method)</w:t>
            </w:r>
          </w:p>
        </w:tc>
        <w:tc>
          <w:tcPr>
            <w:tcW w:w="3101" w:type="dxa"/>
          </w:tcPr>
          <w:p w:rsidR="00D35590" w:rsidRDefault="00D75DDE">
            <w:pPr>
              <w:pStyle w:val="TableParagraph"/>
              <w:spacing w:before="162"/>
              <w:rPr>
                <w:sz w:val="24"/>
              </w:rPr>
            </w:pPr>
            <w:r>
              <w:rPr>
                <w:sz w:val="24"/>
              </w:rPr>
              <w:t>See Note 8</w:t>
            </w:r>
          </w:p>
        </w:tc>
      </w:tr>
      <w:tr w:rsidR="00D35590">
        <w:trPr>
          <w:trHeight w:val="2207"/>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29"/>
              <w:ind w:right="471"/>
              <w:rPr>
                <w:sz w:val="24"/>
              </w:rPr>
            </w:pPr>
            <w:r>
              <w:rPr>
                <w:sz w:val="24"/>
              </w:rPr>
              <w:t>Precision for Duplicate or Replicate</w:t>
            </w:r>
          </w:p>
        </w:tc>
        <w:tc>
          <w:tcPr>
            <w:tcW w:w="3279" w:type="dxa"/>
          </w:tcPr>
          <w:p w:rsidR="00D35590" w:rsidRDefault="00D75DDE">
            <w:pPr>
              <w:pStyle w:val="TableParagraph"/>
              <w:spacing w:before="2" w:line="276" w:lineRule="exact"/>
              <w:ind w:right="130"/>
              <w:rPr>
                <w:sz w:val="24"/>
              </w:rPr>
            </w:pPr>
            <w:r>
              <w:rPr>
                <w:sz w:val="24"/>
              </w:rPr>
              <w:t>Semi-volatile (Extractable) Organic Compounds, including Pesticides, Herbicides, Phenolic Compounds, Chlorinated Phenols, Chlorinated Cresols, PAHs, Phthalate Esters, PCBs, Oils &amp; Greases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9"/>
              <w:ind w:left="0"/>
              <w:rPr>
                <w:sz w:val="31"/>
              </w:rPr>
            </w:pPr>
          </w:p>
          <w:p w:rsidR="00D35590" w:rsidRDefault="00D75DDE">
            <w:pPr>
              <w:pStyle w:val="TableParagraph"/>
              <w:rPr>
                <w:sz w:val="24"/>
              </w:rPr>
            </w:pPr>
            <w:r>
              <w:rPr>
                <w:sz w:val="24"/>
              </w:rPr>
              <w:t>See Note 4</w:t>
            </w:r>
          </w:p>
        </w:tc>
      </w:tr>
      <w:tr w:rsidR="00D35590">
        <w:trPr>
          <w:trHeight w:val="2205"/>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26"/>
              <w:ind w:right="637"/>
              <w:rPr>
                <w:sz w:val="24"/>
              </w:rPr>
            </w:pPr>
            <w:r>
              <w:rPr>
                <w:sz w:val="24"/>
              </w:rPr>
              <w:t>Surrogate Spike Percent Recovery</w:t>
            </w:r>
          </w:p>
        </w:tc>
        <w:tc>
          <w:tcPr>
            <w:tcW w:w="3279" w:type="dxa"/>
          </w:tcPr>
          <w:p w:rsidR="00D35590" w:rsidRDefault="00D75DDE">
            <w:pPr>
              <w:pStyle w:val="TableParagraph"/>
              <w:spacing w:line="276" w:lineRule="exact"/>
              <w:ind w:right="130"/>
              <w:rPr>
                <w:sz w:val="24"/>
              </w:rPr>
            </w:pPr>
            <w:r>
              <w:rPr>
                <w:sz w:val="24"/>
              </w:rPr>
              <w:t>Semi-volatile (Extractable) Organic Compounds, including Pesticides, Herbicides, Phenolic Compounds, Chlorinated Phenols, Chlorinated Cresols, PAHs, Phthalate Esters, PCBs, Oils &amp; Greases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6"/>
              <w:ind w:left="0"/>
              <w:rPr>
                <w:sz w:val="31"/>
              </w:rPr>
            </w:pPr>
          </w:p>
          <w:p w:rsidR="00D35590" w:rsidRDefault="00D75DDE">
            <w:pPr>
              <w:pStyle w:val="TableParagraph"/>
              <w:spacing w:before="1"/>
              <w:rPr>
                <w:sz w:val="24"/>
              </w:rPr>
            </w:pPr>
            <w:r>
              <w:rPr>
                <w:sz w:val="24"/>
              </w:rPr>
              <w:t>See Note 4</w:t>
            </w:r>
          </w:p>
        </w:tc>
      </w:tr>
      <w:tr w:rsidR="00D35590">
        <w:trPr>
          <w:trHeight w:val="1376"/>
        </w:trPr>
        <w:tc>
          <w:tcPr>
            <w:tcW w:w="3101" w:type="dxa"/>
          </w:tcPr>
          <w:p w:rsidR="00D35590" w:rsidRDefault="00D35590">
            <w:pPr>
              <w:pStyle w:val="TableParagraph"/>
              <w:spacing w:before="6"/>
              <w:ind w:left="0"/>
              <w:rPr>
                <w:sz w:val="35"/>
              </w:rPr>
            </w:pPr>
          </w:p>
          <w:p w:rsidR="00D35590" w:rsidRDefault="00D75DDE">
            <w:pPr>
              <w:pStyle w:val="TableParagraph"/>
              <w:ind w:right="291"/>
              <w:rPr>
                <w:sz w:val="24"/>
              </w:rPr>
            </w:pPr>
            <w:r>
              <w:rPr>
                <w:sz w:val="24"/>
              </w:rPr>
              <w:t>Calibration Curve Linearity Evaluation</w:t>
            </w:r>
          </w:p>
        </w:tc>
        <w:tc>
          <w:tcPr>
            <w:tcW w:w="3279" w:type="dxa"/>
          </w:tcPr>
          <w:p w:rsidR="00D35590" w:rsidRDefault="00D75DDE">
            <w:pPr>
              <w:pStyle w:val="TableParagraph"/>
              <w:ind w:right="155"/>
              <w:rPr>
                <w:sz w:val="24"/>
              </w:rPr>
            </w:pPr>
            <w:r>
              <w:rPr>
                <w:sz w:val="24"/>
              </w:rPr>
              <w:t xml:space="preserve">Ammonium, Metals (including Ca, Mg), Nitrate, Nitrite, </w:t>
            </w:r>
            <w:proofErr w:type="spellStart"/>
            <w:r>
              <w:rPr>
                <w:sz w:val="24"/>
              </w:rPr>
              <w:t>Nitrate+Nitrite</w:t>
            </w:r>
            <w:proofErr w:type="spellEnd"/>
            <w:r>
              <w:rPr>
                <w:sz w:val="24"/>
              </w:rPr>
              <w:t>, Orthophosphate, TKN, TP,</w:t>
            </w:r>
          </w:p>
          <w:p w:rsidR="00D35590" w:rsidRDefault="00D75DDE">
            <w:pPr>
              <w:pStyle w:val="TableParagraph"/>
              <w:spacing w:line="257" w:lineRule="exact"/>
              <w:rPr>
                <w:sz w:val="24"/>
              </w:rPr>
            </w:pPr>
            <w:r>
              <w:rPr>
                <w:sz w:val="24"/>
              </w:rPr>
              <w:t>TOC</w:t>
            </w:r>
          </w:p>
        </w:tc>
        <w:tc>
          <w:tcPr>
            <w:tcW w:w="3101" w:type="dxa"/>
          </w:tcPr>
          <w:p w:rsidR="00D35590" w:rsidRDefault="00D35590">
            <w:pPr>
              <w:pStyle w:val="TableParagraph"/>
              <w:ind w:left="0"/>
              <w:rPr>
                <w:sz w:val="26"/>
              </w:rPr>
            </w:pPr>
          </w:p>
          <w:p w:rsidR="00D35590" w:rsidRDefault="00D35590">
            <w:pPr>
              <w:pStyle w:val="TableParagraph"/>
              <w:spacing w:before="7"/>
              <w:ind w:left="0"/>
              <w:rPr>
                <w:sz w:val="21"/>
              </w:rPr>
            </w:pPr>
          </w:p>
          <w:p w:rsidR="00D35590" w:rsidRDefault="00D75DDE">
            <w:pPr>
              <w:pStyle w:val="TableParagraph"/>
              <w:rPr>
                <w:sz w:val="24"/>
              </w:rPr>
            </w:pPr>
            <w:r>
              <w:rPr>
                <w:sz w:val="24"/>
              </w:rPr>
              <w:t>See Note 6</w:t>
            </w:r>
          </w:p>
        </w:tc>
      </w:tr>
      <w:tr w:rsidR="00D35590">
        <w:trPr>
          <w:trHeight w:val="551"/>
        </w:trPr>
        <w:tc>
          <w:tcPr>
            <w:tcW w:w="3101" w:type="dxa"/>
          </w:tcPr>
          <w:p w:rsidR="00D35590" w:rsidRDefault="00D75DDE">
            <w:pPr>
              <w:pStyle w:val="TableParagraph"/>
              <w:spacing w:before="2" w:line="276" w:lineRule="exact"/>
              <w:ind w:right="291"/>
              <w:rPr>
                <w:sz w:val="24"/>
              </w:rPr>
            </w:pPr>
            <w:r>
              <w:rPr>
                <w:sz w:val="24"/>
              </w:rPr>
              <w:t>Calibration Curve Linearity Evaluation</w:t>
            </w:r>
          </w:p>
        </w:tc>
        <w:tc>
          <w:tcPr>
            <w:tcW w:w="3279" w:type="dxa"/>
          </w:tcPr>
          <w:p w:rsidR="00D35590" w:rsidRDefault="00D75DDE">
            <w:pPr>
              <w:pStyle w:val="TableParagraph"/>
              <w:spacing w:before="2" w:line="276" w:lineRule="exact"/>
              <w:ind w:right="133"/>
              <w:rPr>
                <w:sz w:val="24"/>
              </w:rPr>
            </w:pPr>
            <w:r>
              <w:rPr>
                <w:sz w:val="24"/>
              </w:rPr>
              <w:t>Hardness (Ca + Mg calculation method)</w:t>
            </w:r>
          </w:p>
        </w:tc>
        <w:tc>
          <w:tcPr>
            <w:tcW w:w="3101" w:type="dxa"/>
          </w:tcPr>
          <w:p w:rsidR="00D35590" w:rsidRDefault="00D75DDE">
            <w:pPr>
              <w:pStyle w:val="TableParagraph"/>
              <w:spacing w:before="135"/>
              <w:rPr>
                <w:sz w:val="24"/>
              </w:rPr>
            </w:pPr>
            <w:r>
              <w:rPr>
                <w:sz w:val="24"/>
              </w:rPr>
              <w:t>Note 8</w:t>
            </w:r>
          </w:p>
        </w:tc>
      </w:tr>
      <w:tr w:rsidR="00D35590">
        <w:trPr>
          <w:trHeight w:val="1929"/>
        </w:trPr>
        <w:tc>
          <w:tcPr>
            <w:tcW w:w="3101" w:type="dxa"/>
          </w:tcPr>
          <w:p w:rsidR="00D35590" w:rsidRDefault="00D35590">
            <w:pPr>
              <w:pStyle w:val="TableParagraph"/>
              <w:ind w:left="0"/>
              <w:rPr>
                <w:sz w:val="26"/>
              </w:rPr>
            </w:pPr>
          </w:p>
          <w:p w:rsidR="00D35590" w:rsidRDefault="00D35590">
            <w:pPr>
              <w:pStyle w:val="TableParagraph"/>
              <w:spacing w:before="9"/>
              <w:ind w:left="0"/>
              <w:rPr>
                <w:sz w:val="33"/>
              </w:rPr>
            </w:pPr>
          </w:p>
          <w:p w:rsidR="00D35590" w:rsidRDefault="00D75DDE">
            <w:pPr>
              <w:pStyle w:val="TableParagraph"/>
              <w:ind w:right="291"/>
              <w:rPr>
                <w:sz w:val="24"/>
              </w:rPr>
            </w:pPr>
            <w:r>
              <w:rPr>
                <w:sz w:val="24"/>
              </w:rPr>
              <w:t>Calibration Curve Linearity Evaluation</w:t>
            </w:r>
          </w:p>
        </w:tc>
        <w:tc>
          <w:tcPr>
            <w:tcW w:w="3279" w:type="dxa"/>
          </w:tcPr>
          <w:p w:rsidR="00D35590" w:rsidRDefault="00D75DDE">
            <w:pPr>
              <w:pStyle w:val="TableParagraph"/>
              <w:spacing w:line="276" w:lineRule="exact"/>
              <w:ind w:right="130"/>
              <w:rPr>
                <w:sz w:val="24"/>
              </w:rPr>
            </w:pPr>
            <w:r>
              <w:rPr>
                <w:sz w:val="24"/>
              </w:rPr>
              <w:t>Semi-volatile (Extractable) Organic Compounds, including Pesticides, Herbicides, Phenolic Compounds, Chlorinated Phenols, Chlorinated Cresols, PAHs, Phthalate Esters, PCBs, Oils</w:t>
            </w:r>
            <w:r>
              <w:rPr>
                <w:spacing w:val="-6"/>
                <w:sz w:val="24"/>
              </w:rPr>
              <w:t xml:space="preserve"> </w:t>
            </w:r>
            <w:r>
              <w:rPr>
                <w:sz w:val="24"/>
              </w:rPr>
              <w:t>&amp;</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26"/>
              <w:rPr>
                <w:sz w:val="24"/>
              </w:rPr>
            </w:pPr>
            <w:r>
              <w:rPr>
                <w:sz w:val="24"/>
              </w:rPr>
              <w:t>Note 14</w:t>
            </w:r>
          </w:p>
        </w:tc>
      </w:tr>
    </w:tbl>
    <w:p w:rsidR="00D35590" w:rsidRDefault="00D35590">
      <w:pPr>
        <w:rPr>
          <w:sz w:val="24"/>
        </w:rPr>
        <w:sectPr w:rsidR="00D35590">
          <w:pgSz w:w="12240" w:h="15840"/>
          <w:pgMar w:top="1440" w:right="300" w:bottom="80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1519"/>
        </w:trPr>
        <w:tc>
          <w:tcPr>
            <w:tcW w:w="3101" w:type="dxa"/>
          </w:tcPr>
          <w:p w:rsidR="00D35590" w:rsidRDefault="00D35590">
            <w:pPr>
              <w:pStyle w:val="TableParagraph"/>
              <w:ind w:left="0"/>
            </w:pPr>
          </w:p>
        </w:tc>
        <w:tc>
          <w:tcPr>
            <w:tcW w:w="3279" w:type="dxa"/>
          </w:tcPr>
          <w:p w:rsidR="00D35590" w:rsidRDefault="00D75DDE">
            <w:pPr>
              <w:pStyle w:val="TableParagraph"/>
              <w:spacing w:line="263" w:lineRule="exact"/>
              <w:rPr>
                <w:sz w:val="24"/>
              </w:rPr>
            </w:pPr>
            <w:r>
              <w:rPr>
                <w:sz w:val="24"/>
              </w:rPr>
              <w:t>Greases</w:t>
            </w:r>
          </w:p>
        </w:tc>
        <w:tc>
          <w:tcPr>
            <w:tcW w:w="3101" w:type="dxa"/>
          </w:tcPr>
          <w:p w:rsidR="00D35590" w:rsidRDefault="00D35590">
            <w:pPr>
              <w:pStyle w:val="TableParagraph"/>
              <w:ind w:left="0"/>
            </w:pPr>
          </w:p>
        </w:tc>
      </w:tr>
      <w:tr w:rsidR="00D35590">
        <w:trPr>
          <w:trHeight w:val="1103"/>
        </w:trPr>
        <w:tc>
          <w:tcPr>
            <w:tcW w:w="3101" w:type="dxa"/>
          </w:tcPr>
          <w:p w:rsidR="00D35590" w:rsidRDefault="00D75DDE">
            <w:pPr>
              <w:pStyle w:val="TableParagraph"/>
              <w:spacing w:before="2" w:line="276" w:lineRule="exact"/>
              <w:ind w:right="530"/>
              <w:rPr>
                <w:sz w:val="24"/>
              </w:rPr>
            </w:pPr>
            <w:r>
              <w:rPr>
                <w:sz w:val="24"/>
              </w:rPr>
              <w:t>Minimum Number of Calibration Standards for Calibration Curve or Calibration Verification</w:t>
            </w:r>
          </w:p>
        </w:tc>
        <w:tc>
          <w:tcPr>
            <w:tcW w:w="3279" w:type="dxa"/>
          </w:tcPr>
          <w:p w:rsidR="00D35590" w:rsidRDefault="00D75DDE">
            <w:pPr>
              <w:pStyle w:val="TableParagraph"/>
              <w:spacing w:before="2" w:line="276" w:lineRule="exact"/>
              <w:ind w:right="382"/>
              <w:rPr>
                <w:sz w:val="24"/>
              </w:rPr>
            </w:pPr>
            <w:r>
              <w:rPr>
                <w:sz w:val="24"/>
              </w:rPr>
              <w:t xml:space="preserve">Ammonium, Nitrate, Nitrite, </w:t>
            </w:r>
            <w:proofErr w:type="spellStart"/>
            <w:r>
              <w:rPr>
                <w:sz w:val="24"/>
              </w:rPr>
              <w:t>Nitrate+Nitrite</w:t>
            </w:r>
            <w:proofErr w:type="spellEnd"/>
            <w:r>
              <w:rPr>
                <w:sz w:val="24"/>
              </w:rPr>
              <w:t>, Orthophosphate, TKN, TP, TOC</w:t>
            </w:r>
          </w:p>
        </w:tc>
        <w:tc>
          <w:tcPr>
            <w:tcW w:w="3101" w:type="dxa"/>
          </w:tcPr>
          <w:p w:rsidR="00D35590" w:rsidRDefault="00D35590">
            <w:pPr>
              <w:pStyle w:val="TableParagraph"/>
              <w:spacing w:before="9"/>
              <w:ind w:left="0"/>
              <w:rPr>
                <w:sz w:val="35"/>
              </w:rPr>
            </w:pPr>
          </w:p>
          <w:p w:rsidR="00D35590" w:rsidRDefault="00D75DDE">
            <w:pPr>
              <w:pStyle w:val="TableParagraph"/>
              <w:rPr>
                <w:sz w:val="24"/>
              </w:rPr>
            </w:pPr>
            <w:r>
              <w:rPr>
                <w:sz w:val="24"/>
              </w:rPr>
              <w:t>≥ 3</w:t>
            </w:r>
          </w:p>
        </w:tc>
      </w:tr>
      <w:tr w:rsidR="00D35590">
        <w:trPr>
          <w:trHeight w:val="1101"/>
        </w:trPr>
        <w:tc>
          <w:tcPr>
            <w:tcW w:w="3101" w:type="dxa"/>
          </w:tcPr>
          <w:p w:rsidR="00D35590" w:rsidRDefault="00D75DDE">
            <w:pPr>
              <w:pStyle w:val="TableParagraph"/>
              <w:spacing w:line="276" w:lineRule="exact"/>
              <w:ind w:right="530"/>
              <w:rPr>
                <w:sz w:val="24"/>
              </w:rPr>
            </w:pPr>
            <w:r>
              <w:rPr>
                <w:sz w:val="24"/>
              </w:rPr>
              <w:t>Minimum Number of Calibration Standards for Calibration Curve or Calibration Verification</w:t>
            </w:r>
          </w:p>
        </w:tc>
        <w:tc>
          <w:tcPr>
            <w:tcW w:w="3279" w:type="dxa"/>
          </w:tcPr>
          <w:p w:rsidR="00D35590" w:rsidRDefault="00D35590">
            <w:pPr>
              <w:pStyle w:val="TableParagraph"/>
              <w:spacing w:before="6"/>
              <w:ind w:left="0"/>
              <w:rPr>
                <w:sz w:val="35"/>
              </w:rPr>
            </w:pPr>
          </w:p>
          <w:p w:rsidR="00D35590" w:rsidRDefault="00D75DDE">
            <w:pPr>
              <w:pStyle w:val="TableParagraph"/>
              <w:spacing w:before="1"/>
              <w:rPr>
                <w:sz w:val="24"/>
              </w:rPr>
            </w:pPr>
            <w:r>
              <w:rPr>
                <w:sz w:val="24"/>
              </w:rPr>
              <w:t>Metals (including Ca, Mg)</w:t>
            </w:r>
          </w:p>
        </w:tc>
        <w:tc>
          <w:tcPr>
            <w:tcW w:w="3101" w:type="dxa"/>
          </w:tcPr>
          <w:p w:rsidR="00D35590" w:rsidRDefault="00D35590">
            <w:pPr>
              <w:pStyle w:val="TableParagraph"/>
              <w:spacing w:before="6"/>
              <w:ind w:left="0"/>
              <w:rPr>
                <w:sz w:val="35"/>
              </w:rPr>
            </w:pPr>
          </w:p>
          <w:p w:rsidR="00D35590" w:rsidRDefault="00D75DDE">
            <w:pPr>
              <w:pStyle w:val="TableParagraph"/>
              <w:spacing w:before="1"/>
              <w:rPr>
                <w:sz w:val="24"/>
              </w:rPr>
            </w:pPr>
            <w:r>
              <w:rPr>
                <w:sz w:val="24"/>
              </w:rPr>
              <w:t>Note 13</w:t>
            </w:r>
          </w:p>
        </w:tc>
      </w:tr>
      <w:tr w:rsidR="00D35590">
        <w:trPr>
          <w:trHeight w:val="1100"/>
        </w:trPr>
        <w:tc>
          <w:tcPr>
            <w:tcW w:w="3101" w:type="dxa"/>
          </w:tcPr>
          <w:p w:rsidR="00D35590" w:rsidRDefault="00D75DDE">
            <w:pPr>
              <w:pStyle w:val="TableParagraph"/>
              <w:ind w:right="530"/>
              <w:rPr>
                <w:sz w:val="24"/>
              </w:rPr>
            </w:pPr>
            <w:r>
              <w:rPr>
                <w:sz w:val="24"/>
              </w:rPr>
              <w:t>Minimum Number of Calibration Standards for Calibration Curve or</w:t>
            </w:r>
          </w:p>
          <w:p w:rsidR="00D35590" w:rsidRDefault="00D75DDE">
            <w:pPr>
              <w:pStyle w:val="TableParagraph"/>
              <w:spacing w:line="257" w:lineRule="exact"/>
              <w:rPr>
                <w:sz w:val="24"/>
              </w:rPr>
            </w:pPr>
            <w:r>
              <w:rPr>
                <w:sz w:val="24"/>
              </w:rPr>
              <w:t>Calibration Verification</w:t>
            </w:r>
          </w:p>
        </w:tc>
        <w:tc>
          <w:tcPr>
            <w:tcW w:w="3279" w:type="dxa"/>
          </w:tcPr>
          <w:p w:rsidR="00D35590" w:rsidRDefault="00D35590">
            <w:pPr>
              <w:pStyle w:val="TableParagraph"/>
              <w:spacing w:before="8"/>
              <w:ind w:left="0"/>
              <w:rPr>
                <w:sz w:val="35"/>
              </w:rPr>
            </w:pPr>
          </w:p>
          <w:p w:rsidR="00D35590" w:rsidRDefault="00D75DDE">
            <w:pPr>
              <w:pStyle w:val="TableParagraph"/>
              <w:spacing w:before="1"/>
              <w:rPr>
                <w:sz w:val="24"/>
              </w:rPr>
            </w:pPr>
            <w:r>
              <w:rPr>
                <w:sz w:val="24"/>
              </w:rPr>
              <w:t>Color</w:t>
            </w:r>
          </w:p>
        </w:tc>
        <w:tc>
          <w:tcPr>
            <w:tcW w:w="3101" w:type="dxa"/>
          </w:tcPr>
          <w:p w:rsidR="00D35590" w:rsidRDefault="00D35590">
            <w:pPr>
              <w:pStyle w:val="TableParagraph"/>
              <w:spacing w:before="8"/>
              <w:ind w:left="0"/>
              <w:rPr>
                <w:sz w:val="35"/>
              </w:rPr>
            </w:pPr>
          </w:p>
          <w:p w:rsidR="00D35590" w:rsidRDefault="00D75DDE">
            <w:pPr>
              <w:pStyle w:val="TableParagraph"/>
              <w:spacing w:before="1"/>
              <w:rPr>
                <w:sz w:val="24"/>
              </w:rPr>
            </w:pPr>
            <w:r>
              <w:rPr>
                <w:sz w:val="24"/>
              </w:rPr>
              <w:t>See Note 7</w:t>
            </w:r>
          </w:p>
        </w:tc>
      </w:tr>
      <w:tr w:rsidR="00D35590">
        <w:trPr>
          <w:trHeight w:val="1103"/>
        </w:trPr>
        <w:tc>
          <w:tcPr>
            <w:tcW w:w="3101" w:type="dxa"/>
          </w:tcPr>
          <w:p w:rsidR="00D35590" w:rsidRDefault="00D75DDE">
            <w:pPr>
              <w:pStyle w:val="TableParagraph"/>
              <w:spacing w:before="2" w:line="276" w:lineRule="exact"/>
              <w:ind w:right="530"/>
              <w:rPr>
                <w:sz w:val="24"/>
              </w:rPr>
            </w:pPr>
            <w:r>
              <w:rPr>
                <w:sz w:val="24"/>
              </w:rPr>
              <w:t>Minimum Number of Calibration Standards for Calibration Curve or Calibration Verification</w:t>
            </w:r>
          </w:p>
        </w:tc>
        <w:tc>
          <w:tcPr>
            <w:tcW w:w="3279" w:type="dxa"/>
          </w:tcPr>
          <w:p w:rsidR="00D35590" w:rsidRDefault="00D35590">
            <w:pPr>
              <w:pStyle w:val="TableParagraph"/>
              <w:spacing w:before="10"/>
              <w:ind w:left="0"/>
              <w:rPr>
                <w:sz w:val="23"/>
              </w:rPr>
            </w:pPr>
          </w:p>
          <w:p w:rsidR="00D35590" w:rsidRDefault="00D75DDE">
            <w:pPr>
              <w:pStyle w:val="TableParagraph"/>
              <w:ind w:right="562"/>
              <w:rPr>
                <w:sz w:val="24"/>
              </w:rPr>
            </w:pPr>
            <w:r>
              <w:rPr>
                <w:sz w:val="24"/>
              </w:rPr>
              <w:t>pH, Specific Conductance, Turbidity</w:t>
            </w:r>
          </w:p>
        </w:tc>
        <w:tc>
          <w:tcPr>
            <w:tcW w:w="3101" w:type="dxa"/>
          </w:tcPr>
          <w:p w:rsidR="00D35590" w:rsidRDefault="00D35590">
            <w:pPr>
              <w:pStyle w:val="TableParagraph"/>
              <w:ind w:left="0"/>
              <w:rPr>
                <w:sz w:val="36"/>
              </w:rPr>
            </w:pPr>
          </w:p>
          <w:p w:rsidR="00D35590" w:rsidRDefault="00D75DDE">
            <w:pPr>
              <w:pStyle w:val="TableParagraph"/>
              <w:rPr>
                <w:sz w:val="24"/>
              </w:rPr>
            </w:pPr>
            <w:r>
              <w:rPr>
                <w:sz w:val="24"/>
              </w:rPr>
              <w:t>See Note 15</w:t>
            </w:r>
          </w:p>
        </w:tc>
      </w:tr>
      <w:tr w:rsidR="00D35590">
        <w:trPr>
          <w:trHeight w:val="1101"/>
        </w:trPr>
        <w:tc>
          <w:tcPr>
            <w:tcW w:w="3101" w:type="dxa"/>
          </w:tcPr>
          <w:p w:rsidR="00D35590" w:rsidRDefault="00D75DDE">
            <w:pPr>
              <w:pStyle w:val="TableParagraph"/>
              <w:spacing w:line="276" w:lineRule="exact"/>
              <w:ind w:right="530"/>
              <w:rPr>
                <w:sz w:val="24"/>
              </w:rPr>
            </w:pPr>
            <w:r>
              <w:rPr>
                <w:sz w:val="24"/>
              </w:rPr>
              <w:t>Minimum Number of Calibration Standards for Calibration Curve or Calibration Verification</w:t>
            </w:r>
          </w:p>
        </w:tc>
        <w:tc>
          <w:tcPr>
            <w:tcW w:w="3279" w:type="dxa"/>
          </w:tcPr>
          <w:p w:rsidR="00D35590" w:rsidRDefault="00D35590">
            <w:pPr>
              <w:pStyle w:val="TableParagraph"/>
              <w:spacing w:before="8"/>
              <w:ind w:left="0"/>
              <w:rPr>
                <w:sz w:val="23"/>
              </w:rPr>
            </w:pPr>
          </w:p>
          <w:p w:rsidR="00D35590" w:rsidRDefault="00D75DDE">
            <w:pPr>
              <w:pStyle w:val="TableParagraph"/>
              <w:ind w:right="133"/>
              <w:rPr>
                <w:sz w:val="24"/>
              </w:rPr>
            </w:pPr>
            <w:r>
              <w:rPr>
                <w:sz w:val="24"/>
              </w:rPr>
              <w:t>Hardness (Ca + Mg calculation method)</w:t>
            </w:r>
          </w:p>
        </w:tc>
        <w:tc>
          <w:tcPr>
            <w:tcW w:w="3101" w:type="dxa"/>
          </w:tcPr>
          <w:p w:rsidR="00D35590" w:rsidRDefault="00D35590">
            <w:pPr>
              <w:pStyle w:val="TableParagraph"/>
              <w:spacing w:before="9"/>
              <w:ind w:left="0"/>
              <w:rPr>
                <w:sz w:val="35"/>
              </w:rPr>
            </w:pPr>
          </w:p>
          <w:p w:rsidR="00D35590" w:rsidRDefault="00D75DDE">
            <w:pPr>
              <w:pStyle w:val="TableParagraph"/>
              <w:rPr>
                <w:sz w:val="24"/>
              </w:rPr>
            </w:pPr>
            <w:r>
              <w:rPr>
                <w:sz w:val="24"/>
              </w:rPr>
              <w:t>Note 8</w:t>
            </w:r>
          </w:p>
        </w:tc>
      </w:tr>
      <w:tr w:rsidR="00D35590">
        <w:trPr>
          <w:trHeight w:val="1928"/>
        </w:trPr>
        <w:tc>
          <w:tcPr>
            <w:tcW w:w="3101" w:type="dxa"/>
          </w:tcPr>
          <w:p w:rsidR="00D35590" w:rsidRDefault="00D35590">
            <w:pPr>
              <w:pStyle w:val="TableParagraph"/>
              <w:spacing w:before="8"/>
              <w:ind w:left="0"/>
              <w:rPr>
                <w:sz w:val="35"/>
              </w:rPr>
            </w:pPr>
          </w:p>
          <w:p w:rsidR="00D35590" w:rsidRDefault="00D75DDE">
            <w:pPr>
              <w:pStyle w:val="TableParagraph"/>
              <w:spacing w:before="1"/>
              <w:ind w:right="530"/>
              <w:rPr>
                <w:sz w:val="24"/>
              </w:rPr>
            </w:pPr>
            <w:r>
              <w:rPr>
                <w:sz w:val="24"/>
              </w:rPr>
              <w:t>Minimum Number of Calibration Standards for Calibration Curve or Calibration Verification</w:t>
            </w:r>
          </w:p>
        </w:tc>
        <w:tc>
          <w:tcPr>
            <w:tcW w:w="3279" w:type="dxa"/>
          </w:tcPr>
          <w:p w:rsidR="00D35590" w:rsidRDefault="00D75DDE">
            <w:pPr>
              <w:pStyle w:val="TableParagraph"/>
              <w:ind w:right="130"/>
              <w:rPr>
                <w:sz w:val="24"/>
              </w:rPr>
            </w:pPr>
            <w:r>
              <w:rPr>
                <w:sz w:val="24"/>
              </w:rPr>
              <w:t>Semi-volatile (Extractable) Organic Compounds, including Pesticides, Herbicides, Phenolic Compounds, Chlorinated</w:t>
            </w:r>
            <w:r>
              <w:rPr>
                <w:spacing w:val="-1"/>
                <w:sz w:val="24"/>
              </w:rPr>
              <w:t xml:space="preserve"> </w:t>
            </w:r>
            <w:r>
              <w:rPr>
                <w:sz w:val="24"/>
              </w:rPr>
              <w:t>Phenols,</w:t>
            </w:r>
          </w:p>
          <w:p w:rsidR="00D35590" w:rsidRDefault="00D75DDE">
            <w:pPr>
              <w:pStyle w:val="TableParagraph"/>
              <w:spacing w:line="270" w:lineRule="atLeast"/>
              <w:ind w:right="468"/>
              <w:rPr>
                <w:sz w:val="24"/>
              </w:rPr>
            </w:pPr>
            <w:r>
              <w:rPr>
                <w:sz w:val="24"/>
              </w:rPr>
              <w:t>Chlorinated Cresols, PAHs, Phthalate Esters, PCBs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26"/>
              <w:rPr>
                <w:sz w:val="24"/>
              </w:rPr>
            </w:pPr>
            <w:r>
              <w:rPr>
                <w:sz w:val="24"/>
              </w:rPr>
              <w:t>Note 14</w:t>
            </w:r>
          </w:p>
        </w:tc>
      </w:tr>
      <w:tr w:rsidR="00D35590">
        <w:trPr>
          <w:trHeight w:val="3310"/>
        </w:trPr>
        <w:tc>
          <w:tcPr>
            <w:tcW w:w="3101" w:type="dxa"/>
          </w:tcPr>
          <w:p w:rsidR="00D35590" w:rsidRDefault="00D35590">
            <w:pPr>
              <w:pStyle w:val="TableParagraph"/>
              <w:ind w:left="0"/>
              <w:rPr>
                <w:sz w:val="26"/>
              </w:rPr>
            </w:pPr>
          </w:p>
          <w:p w:rsidR="00D35590" w:rsidRDefault="00D35590">
            <w:pPr>
              <w:pStyle w:val="TableParagraph"/>
              <w:spacing w:before="9"/>
              <w:ind w:left="0"/>
              <w:rPr>
                <w:sz w:val="21"/>
              </w:rPr>
            </w:pPr>
          </w:p>
          <w:p w:rsidR="00D35590" w:rsidRDefault="00D75DDE">
            <w:pPr>
              <w:pStyle w:val="TableParagraph"/>
              <w:spacing w:before="1"/>
              <w:ind w:right="144"/>
              <w:rPr>
                <w:sz w:val="24"/>
              </w:rPr>
            </w:pPr>
            <w:r>
              <w:rPr>
                <w:sz w:val="24"/>
              </w:rPr>
              <w:t>For the following analytes, at least one calibration verification standard is from a second source as indicated in the applicable NELAC Quality Systems standard for continuing calibration verification</w:t>
            </w:r>
          </w:p>
        </w:tc>
        <w:tc>
          <w:tcPr>
            <w:tcW w:w="3279" w:type="dxa"/>
          </w:tcPr>
          <w:p w:rsidR="00D35590" w:rsidRDefault="00D75DDE">
            <w:pPr>
              <w:pStyle w:val="TableParagraph"/>
              <w:ind w:right="139"/>
              <w:rPr>
                <w:sz w:val="24"/>
              </w:rPr>
            </w:pPr>
            <w:r>
              <w:rPr>
                <w:sz w:val="24"/>
              </w:rPr>
              <w:t xml:space="preserve">Ammonium, Hardness by Ca + Mg calculation method (see Note 8), Metals (including Ca, Mg), Nitrate, Nitrite, </w:t>
            </w:r>
            <w:proofErr w:type="spellStart"/>
            <w:r>
              <w:rPr>
                <w:sz w:val="24"/>
              </w:rPr>
              <w:t>Nitrate+Nitrite</w:t>
            </w:r>
            <w:proofErr w:type="spellEnd"/>
            <w:r>
              <w:rPr>
                <w:sz w:val="24"/>
              </w:rPr>
              <w:t>, Orthophosphate, TKN, TP, TOC, Semi-volatile or Extractable Organic Compounds (including Pesticides, Herbicides, Phenolic Compounds,</w:t>
            </w:r>
          </w:p>
          <w:p w:rsidR="00D35590" w:rsidRDefault="00D75DDE">
            <w:pPr>
              <w:pStyle w:val="TableParagraph"/>
              <w:spacing w:line="257" w:lineRule="exact"/>
              <w:rPr>
                <w:sz w:val="24"/>
              </w:rPr>
            </w:pPr>
            <w:r>
              <w:rPr>
                <w:sz w:val="24"/>
              </w:rPr>
              <w:t>Chlorinated Phenols,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8"/>
              <w:ind w:left="0"/>
              <w:rPr>
                <w:sz w:val="27"/>
              </w:rPr>
            </w:pPr>
          </w:p>
          <w:p w:rsidR="00D35590" w:rsidRDefault="00D75DDE">
            <w:pPr>
              <w:pStyle w:val="TableParagraph"/>
              <w:rPr>
                <w:sz w:val="24"/>
              </w:rPr>
            </w:pPr>
            <w:r>
              <w:rPr>
                <w:sz w:val="24"/>
              </w:rPr>
              <w:t>N/A</w:t>
            </w:r>
          </w:p>
        </w:tc>
      </w:tr>
    </w:tbl>
    <w:p w:rsidR="00D35590" w:rsidRDefault="00D35590">
      <w:pPr>
        <w:rPr>
          <w:sz w:val="24"/>
        </w:rPr>
        <w:sectPr w:rsidR="00D35590">
          <w:pgSz w:w="12240" w:h="15840"/>
          <w:pgMar w:top="1440" w:right="300" w:bottom="80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2793"/>
        </w:trPr>
        <w:tc>
          <w:tcPr>
            <w:tcW w:w="3101" w:type="dxa"/>
          </w:tcPr>
          <w:p w:rsidR="00D35590" w:rsidRDefault="00D35590">
            <w:pPr>
              <w:pStyle w:val="TableParagraph"/>
              <w:ind w:left="0"/>
            </w:pPr>
          </w:p>
        </w:tc>
        <w:tc>
          <w:tcPr>
            <w:tcW w:w="3279" w:type="dxa"/>
          </w:tcPr>
          <w:p w:rsidR="00D35590" w:rsidRDefault="00D75DDE">
            <w:pPr>
              <w:pStyle w:val="TableParagraph"/>
              <w:ind w:right="468"/>
              <w:rPr>
                <w:sz w:val="24"/>
              </w:rPr>
            </w:pPr>
            <w:r>
              <w:rPr>
                <w:sz w:val="24"/>
              </w:rPr>
              <w:t>Chlorinated Cresols, PAHs, Phthalate Esters, PCBs)</w:t>
            </w:r>
          </w:p>
        </w:tc>
        <w:tc>
          <w:tcPr>
            <w:tcW w:w="3101" w:type="dxa"/>
          </w:tcPr>
          <w:p w:rsidR="00D35590" w:rsidRDefault="00D35590">
            <w:pPr>
              <w:pStyle w:val="TableParagraph"/>
              <w:ind w:left="0"/>
            </w:pPr>
          </w:p>
        </w:tc>
      </w:tr>
      <w:tr w:rsidR="00D35590">
        <w:trPr>
          <w:trHeight w:val="1103"/>
        </w:trPr>
        <w:tc>
          <w:tcPr>
            <w:tcW w:w="3101" w:type="dxa"/>
          </w:tcPr>
          <w:p w:rsidR="00D35590" w:rsidRDefault="00D75DDE">
            <w:pPr>
              <w:pStyle w:val="TableParagraph"/>
              <w:spacing w:before="2" w:line="276" w:lineRule="exact"/>
              <w:ind w:right="257"/>
              <w:rPr>
                <w:sz w:val="24"/>
              </w:rPr>
            </w:pPr>
            <w:r>
              <w:rPr>
                <w:sz w:val="24"/>
              </w:rPr>
              <w:t>Calibration Verification Standard Recovery or Other Verification Acceptance Criteria</w:t>
            </w:r>
          </w:p>
        </w:tc>
        <w:tc>
          <w:tcPr>
            <w:tcW w:w="3279" w:type="dxa"/>
          </w:tcPr>
          <w:p w:rsidR="00D35590" w:rsidRDefault="00D75DDE">
            <w:pPr>
              <w:pStyle w:val="TableParagraph"/>
              <w:spacing w:before="2" w:line="276" w:lineRule="exact"/>
              <w:ind w:right="382"/>
              <w:rPr>
                <w:sz w:val="24"/>
              </w:rPr>
            </w:pPr>
            <w:r>
              <w:rPr>
                <w:sz w:val="24"/>
              </w:rPr>
              <w:t xml:space="preserve">Ammonium, Nitrate, Nitrite, </w:t>
            </w:r>
            <w:proofErr w:type="spellStart"/>
            <w:r>
              <w:rPr>
                <w:sz w:val="24"/>
              </w:rPr>
              <w:t>Nitrate+Nitrite</w:t>
            </w:r>
            <w:proofErr w:type="spellEnd"/>
            <w:r>
              <w:rPr>
                <w:sz w:val="24"/>
              </w:rPr>
              <w:t>, Oils &amp; Greases, Orthophosphate, TKN, TP, TOC</w:t>
            </w:r>
          </w:p>
        </w:tc>
        <w:tc>
          <w:tcPr>
            <w:tcW w:w="3101" w:type="dxa"/>
          </w:tcPr>
          <w:p w:rsidR="00D35590" w:rsidRDefault="00D35590">
            <w:pPr>
              <w:pStyle w:val="TableParagraph"/>
              <w:ind w:left="0"/>
              <w:rPr>
                <w:sz w:val="36"/>
              </w:rPr>
            </w:pPr>
          </w:p>
          <w:p w:rsidR="00D35590" w:rsidRDefault="00D75DDE">
            <w:pPr>
              <w:pStyle w:val="TableParagraph"/>
              <w:rPr>
                <w:sz w:val="24"/>
              </w:rPr>
            </w:pPr>
            <w:r>
              <w:rPr>
                <w:sz w:val="24"/>
              </w:rPr>
              <w:t>90% - 110%</w:t>
            </w:r>
          </w:p>
        </w:tc>
      </w:tr>
      <w:tr w:rsidR="00D35590">
        <w:trPr>
          <w:trHeight w:val="1101"/>
        </w:trPr>
        <w:tc>
          <w:tcPr>
            <w:tcW w:w="3101" w:type="dxa"/>
          </w:tcPr>
          <w:p w:rsidR="00D35590" w:rsidRDefault="00D75DDE">
            <w:pPr>
              <w:pStyle w:val="TableParagraph"/>
              <w:ind w:right="257"/>
              <w:rPr>
                <w:sz w:val="24"/>
              </w:rPr>
            </w:pPr>
            <w:r>
              <w:rPr>
                <w:sz w:val="24"/>
              </w:rPr>
              <w:t>Calibration Verification Standard Recovery or Other</w:t>
            </w:r>
          </w:p>
          <w:p w:rsidR="00D35590" w:rsidRDefault="00D75DDE">
            <w:pPr>
              <w:pStyle w:val="TableParagraph"/>
              <w:spacing w:line="270" w:lineRule="atLeast"/>
              <w:ind w:right="618"/>
              <w:rPr>
                <w:sz w:val="24"/>
              </w:rPr>
            </w:pPr>
            <w:r>
              <w:rPr>
                <w:sz w:val="24"/>
              </w:rPr>
              <w:t>Verification Acceptance Criteria</w:t>
            </w:r>
          </w:p>
        </w:tc>
        <w:tc>
          <w:tcPr>
            <w:tcW w:w="3279" w:type="dxa"/>
          </w:tcPr>
          <w:p w:rsidR="00D35590" w:rsidRDefault="00D35590">
            <w:pPr>
              <w:pStyle w:val="TableParagraph"/>
              <w:spacing w:before="9"/>
              <w:ind w:left="0"/>
              <w:rPr>
                <w:sz w:val="35"/>
              </w:rPr>
            </w:pPr>
          </w:p>
          <w:p w:rsidR="00D35590" w:rsidRDefault="00D75DDE">
            <w:pPr>
              <w:pStyle w:val="TableParagraph"/>
              <w:rPr>
                <w:sz w:val="24"/>
              </w:rPr>
            </w:pPr>
            <w:r>
              <w:rPr>
                <w:sz w:val="24"/>
              </w:rPr>
              <w:t>Metals (including Ca, Mg)</w:t>
            </w:r>
          </w:p>
        </w:tc>
        <w:tc>
          <w:tcPr>
            <w:tcW w:w="3101" w:type="dxa"/>
          </w:tcPr>
          <w:p w:rsidR="00D35590" w:rsidRDefault="00D35590">
            <w:pPr>
              <w:pStyle w:val="TableParagraph"/>
              <w:spacing w:before="9"/>
              <w:ind w:left="0"/>
              <w:rPr>
                <w:sz w:val="35"/>
              </w:rPr>
            </w:pPr>
          </w:p>
          <w:p w:rsidR="00D35590" w:rsidRDefault="00D75DDE">
            <w:pPr>
              <w:pStyle w:val="TableParagraph"/>
              <w:rPr>
                <w:sz w:val="24"/>
              </w:rPr>
            </w:pPr>
            <w:r>
              <w:rPr>
                <w:sz w:val="24"/>
              </w:rPr>
              <w:t>Note 10</w:t>
            </w:r>
          </w:p>
        </w:tc>
      </w:tr>
      <w:tr w:rsidR="00D35590">
        <w:trPr>
          <w:trHeight w:val="1100"/>
        </w:trPr>
        <w:tc>
          <w:tcPr>
            <w:tcW w:w="3101" w:type="dxa"/>
          </w:tcPr>
          <w:p w:rsidR="00D35590" w:rsidRDefault="00D75DDE">
            <w:pPr>
              <w:pStyle w:val="TableParagraph"/>
              <w:ind w:right="257"/>
              <w:rPr>
                <w:sz w:val="24"/>
              </w:rPr>
            </w:pPr>
            <w:r>
              <w:rPr>
                <w:sz w:val="24"/>
              </w:rPr>
              <w:t>Calibration Verification Standard Recovery or Other Verification Acceptance</w:t>
            </w:r>
          </w:p>
          <w:p w:rsidR="00D35590" w:rsidRDefault="00D75DDE">
            <w:pPr>
              <w:pStyle w:val="TableParagraph"/>
              <w:spacing w:line="257" w:lineRule="exact"/>
              <w:rPr>
                <w:sz w:val="24"/>
              </w:rPr>
            </w:pPr>
            <w:r>
              <w:rPr>
                <w:sz w:val="24"/>
              </w:rPr>
              <w:t>Criteria</w:t>
            </w:r>
          </w:p>
        </w:tc>
        <w:tc>
          <w:tcPr>
            <w:tcW w:w="3279" w:type="dxa"/>
          </w:tcPr>
          <w:p w:rsidR="00D35590" w:rsidRDefault="00D35590">
            <w:pPr>
              <w:pStyle w:val="TableParagraph"/>
              <w:spacing w:before="8"/>
              <w:ind w:left="0"/>
              <w:rPr>
                <w:sz w:val="35"/>
              </w:rPr>
            </w:pPr>
          </w:p>
          <w:p w:rsidR="00D35590" w:rsidRDefault="00D75DDE">
            <w:pPr>
              <w:pStyle w:val="TableParagraph"/>
              <w:spacing w:before="1"/>
              <w:rPr>
                <w:sz w:val="24"/>
              </w:rPr>
            </w:pPr>
            <w:r>
              <w:rPr>
                <w:sz w:val="24"/>
              </w:rPr>
              <w:t>Conductance, Specific</w:t>
            </w:r>
          </w:p>
        </w:tc>
        <w:tc>
          <w:tcPr>
            <w:tcW w:w="3101" w:type="dxa"/>
          </w:tcPr>
          <w:p w:rsidR="00D35590" w:rsidRDefault="00D35590">
            <w:pPr>
              <w:pStyle w:val="TableParagraph"/>
              <w:spacing w:before="8"/>
              <w:ind w:left="0"/>
              <w:rPr>
                <w:sz w:val="35"/>
              </w:rPr>
            </w:pPr>
          </w:p>
          <w:p w:rsidR="00D35590" w:rsidRDefault="00D75DDE">
            <w:pPr>
              <w:pStyle w:val="TableParagraph"/>
              <w:spacing w:before="1"/>
              <w:rPr>
                <w:sz w:val="24"/>
              </w:rPr>
            </w:pPr>
            <w:r>
              <w:rPr>
                <w:sz w:val="24"/>
              </w:rPr>
              <w:t>95% - 105%</w:t>
            </w:r>
          </w:p>
        </w:tc>
      </w:tr>
      <w:tr w:rsidR="00D35590">
        <w:trPr>
          <w:trHeight w:val="1103"/>
        </w:trPr>
        <w:tc>
          <w:tcPr>
            <w:tcW w:w="3101" w:type="dxa"/>
          </w:tcPr>
          <w:p w:rsidR="00D35590" w:rsidRDefault="00D75DDE">
            <w:pPr>
              <w:pStyle w:val="TableParagraph"/>
              <w:spacing w:before="2" w:line="276" w:lineRule="exact"/>
              <w:ind w:right="257"/>
              <w:rPr>
                <w:sz w:val="24"/>
              </w:rPr>
            </w:pPr>
            <w:r>
              <w:rPr>
                <w:sz w:val="24"/>
              </w:rPr>
              <w:t>Calibration Verification Standard Recovery or Other Verification Acceptance Criteria</w:t>
            </w:r>
          </w:p>
        </w:tc>
        <w:tc>
          <w:tcPr>
            <w:tcW w:w="3279" w:type="dxa"/>
          </w:tcPr>
          <w:p w:rsidR="00D35590" w:rsidRDefault="00D35590">
            <w:pPr>
              <w:pStyle w:val="TableParagraph"/>
              <w:ind w:left="0"/>
              <w:rPr>
                <w:sz w:val="36"/>
              </w:rPr>
            </w:pPr>
          </w:p>
          <w:p w:rsidR="00D35590" w:rsidRDefault="00D75DDE">
            <w:pPr>
              <w:pStyle w:val="TableParagraph"/>
              <w:rPr>
                <w:sz w:val="24"/>
              </w:rPr>
            </w:pPr>
            <w:r>
              <w:rPr>
                <w:sz w:val="24"/>
              </w:rPr>
              <w:t>Dissolved Oxygen</w:t>
            </w:r>
          </w:p>
        </w:tc>
        <w:tc>
          <w:tcPr>
            <w:tcW w:w="3101" w:type="dxa"/>
          </w:tcPr>
          <w:p w:rsidR="00D35590" w:rsidRDefault="00D35590">
            <w:pPr>
              <w:pStyle w:val="TableParagraph"/>
              <w:ind w:left="0"/>
              <w:rPr>
                <w:sz w:val="36"/>
              </w:rPr>
            </w:pPr>
          </w:p>
          <w:p w:rsidR="00D35590" w:rsidRDefault="00D75DDE">
            <w:pPr>
              <w:pStyle w:val="TableParagraph"/>
              <w:rPr>
                <w:sz w:val="24"/>
              </w:rPr>
            </w:pPr>
            <w:r>
              <w:rPr>
                <w:sz w:val="24"/>
              </w:rPr>
              <w:t>See Note 9</w:t>
            </w:r>
          </w:p>
        </w:tc>
      </w:tr>
      <w:tr w:rsidR="00D35590">
        <w:trPr>
          <w:trHeight w:val="1104"/>
        </w:trPr>
        <w:tc>
          <w:tcPr>
            <w:tcW w:w="3101" w:type="dxa"/>
          </w:tcPr>
          <w:p w:rsidR="00D35590" w:rsidRDefault="00D75DDE">
            <w:pPr>
              <w:pStyle w:val="TableParagraph"/>
              <w:spacing w:before="2" w:line="276" w:lineRule="exact"/>
              <w:ind w:right="257"/>
              <w:rPr>
                <w:sz w:val="24"/>
              </w:rPr>
            </w:pPr>
            <w:r>
              <w:rPr>
                <w:sz w:val="24"/>
              </w:rPr>
              <w:t>Calibration Verification Standard Recovery or Other Verification Acceptance Criteria</w:t>
            </w:r>
          </w:p>
        </w:tc>
        <w:tc>
          <w:tcPr>
            <w:tcW w:w="3279" w:type="dxa"/>
          </w:tcPr>
          <w:p w:rsidR="00D35590" w:rsidRDefault="00D35590">
            <w:pPr>
              <w:pStyle w:val="TableParagraph"/>
              <w:spacing w:before="10"/>
              <w:ind w:left="0"/>
              <w:rPr>
                <w:sz w:val="23"/>
              </w:rPr>
            </w:pPr>
          </w:p>
          <w:p w:rsidR="00D35590" w:rsidRDefault="00D75DDE">
            <w:pPr>
              <w:pStyle w:val="TableParagraph"/>
              <w:ind w:right="133"/>
              <w:rPr>
                <w:sz w:val="24"/>
              </w:rPr>
            </w:pPr>
            <w:r>
              <w:rPr>
                <w:sz w:val="24"/>
              </w:rPr>
              <w:t>Hardness (Ca + Mg calculation method)</w:t>
            </w:r>
          </w:p>
        </w:tc>
        <w:tc>
          <w:tcPr>
            <w:tcW w:w="3101" w:type="dxa"/>
          </w:tcPr>
          <w:p w:rsidR="00D35590" w:rsidRDefault="00D35590">
            <w:pPr>
              <w:pStyle w:val="TableParagraph"/>
              <w:spacing w:before="9"/>
              <w:ind w:left="0"/>
              <w:rPr>
                <w:sz w:val="35"/>
              </w:rPr>
            </w:pPr>
          </w:p>
          <w:p w:rsidR="00D35590" w:rsidRDefault="00D75DDE">
            <w:pPr>
              <w:pStyle w:val="TableParagraph"/>
              <w:rPr>
                <w:sz w:val="24"/>
              </w:rPr>
            </w:pPr>
            <w:r>
              <w:rPr>
                <w:sz w:val="24"/>
              </w:rPr>
              <w:t>See Note 8</w:t>
            </w:r>
          </w:p>
        </w:tc>
      </w:tr>
      <w:tr w:rsidR="00D35590">
        <w:trPr>
          <w:trHeight w:val="1101"/>
        </w:trPr>
        <w:tc>
          <w:tcPr>
            <w:tcW w:w="3101" w:type="dxa"/>
          </w:tcPr>
          <w:p w:rsidR="00D35590" w:rsidRDefault="00D75DDE">
            <w:pPr>
              <w:pStyle w:val="TableParagraph"/>
              <w:ind w:right="257"/>
              <w:rPr>
                <w:sz w:val="24"/>
              </w:rPr>
            </w:pPr>
            <w:r>
              <w:rPr>
                <w:sz w:val="24"/>
              </w:rPr>
              <w:t>Calibration Verification Standard Recovery or Other</w:t>
            </w:r>
          </w:p>
          <w:p w:rsidR="00D35590" w:rsidRDefault="00D75DDE">
            <w:pPr>
              <w:pStyle w:val="TableParagraph"/>
              <w:spacing w:line="270" w:lineRule="atLeast"/>
              <w:ind w:right="618"/>
              <w:rPr>
                <w:sz w:val="24"/>
              </w:rPr>
            </w:pPr>
            <w:r>
              <w:rPr>
                <w:sz w:val="24"/>
              </w:rPr>
              <w:t>Verification Acceptance Criteria</w:t>
            </w:r>
          </w:p>
        </w:tc>
        <w:tc>
          <w:tcPr>
            <w:tcW w:w="3279" w:type="dxa"/>
          </w:tcPr>
          <w:p w:rsidR="00D35590" w:rsidRDefault="00D35590">
            <w:pPr>
              <w:pStyle w:val="TableParagraph"/>
              <w:spacing w:before="6"/>
              <w:ind w:left="0"/>
              <w:rPr>
                <w:sz w:val="35"/>
              </w:rPr>
            </w:pPr>
          </w:p>
          <w:p w:rsidR="00D35590" w:rsidRDefault="00D75DDE">
            <w:pPr>
              <w:pStyle w:val="TableParagraph"/>
              <w:spacing w:before="1"/>
              <w:rPr>
                <w:sz w:val="24"/>
              </w:rPr>
            </w:pPr>
            <w:r>
              <w:rPr>
                <w:sz w:val="24"/>
              </w:rPr>
              <w:t>pH</w:t>
            </w:r>
          </w:p>
        </w:tc>
        <w:tc>
          <w:tcPr>
            <w:tcW w:w="3101" w:type="dxa"/>
          </w:tcPr>
          <w:p w:rsidR="00D35590" w:rsidRDefault="00D35590">
            <w:pPr>
              <w:pStyle w:val="TableParagraph"/>
              <w:spacing w:before="6"/>
              <w:ind w:left="0"/>
              <w:rPr>
                <w:sz w:val="35"/>
              </w:rPr>
            </w:pPr>
          </w:p>
          <w:p w:rsidR="00D35590" w:rsidRDefault="00D75DDE">
            <w:pPr>
              <w:pStyle w:val="TableParagraph"/>
              <w:spacing w:before="1"/>
              <w:rPr>
                <w:sz w:val="24"/>
              </w:rPr>
            </w:pPr>
            <w:r>
              <w:rPr>
                <w:sz w:val="24"/>
              </w:rPr>
              <w:t>See Note 11</w:t>
            </w:r>
          </w:p>
        </w:tc>
      </w:tr>
      <w:tr w:rsidR="00D35590">
        <w:trPr>
          <w:trHeight w:val="1100"/>
        </w:trPr>
        <w:tc>
          <w:tcPr>
            <w:tcW w:w="3101" w:type="dxa"/>
          </w:tcPr>
          <w:p w:rsidR="00D35590" w:rsidRDefault="00D75DDE">
            <w:pPr>
              <w:pStyle w:val="TableParagraph"/>
              <w:ind w:right="257"/>
              <w:rPr>
                <w:sz w:val="24"/>
              </w:rPr>
            </w:pPr>
            <w:r>
              <w:rPr>
                <w:sz w:val="24"/>
              </w:rPr>
              <w:t>Calibration Verification Standard Recovery or Other Verification Acceptance</w:t>
            </w:r>
          </w:p>
          <w:p w:rsidR="00D35590" w:rsidRDefault="00D75DDE">
            <w:pPr>
              <w:pStyle w:val="TableParagraph"/>
              <w:spacing w:line="257" w:lineRule="exact"/>
              <w:rPr>
                <w:sz w:val="24"/>
              </w:rPr>
            </w:pPr>
            <w:r>
              <w:rPr>
                <w:sz w:val="24"/>
              </w:rPr>
              <w:t>Criteria</w:t>
            </w:r>
          </w:p>
        </w:tc>
        <w:tc>
          <w:tcPr>
            <w:tcW w:w="3279" w:type="dxa"/>
          </w:tcPr>
          <w:p w:rsidR="00D35590" w:rsidRDefault="00D35590">
            <w:pPr>
              <w:pStyle w:val="TableParagraph"/>
              <w:spacing w:before="6"/>
              <w:ind w:left="0"/>
              <w:rPr>
                <w:sz w:val="35"/>
              </w:rPr>
            </w:pPr>
          </w:p>
          <w:p w:rsidR="00D35590" w:rsidRDefault="00D75DDE">
            <w:pPr>
              <w:pStyle w:val="TableParagraph"/>
              <w:rPr>
                <w:sz w:val="24"/>
              </w:rPr>
            </w:pPr>
            <w:r>
              <w:rPr>
                <w:sz w:val="24"/>
              </w:rPr>
              <w:t>Turbidity</w:t>
            </w:r>
          </w:p>
        </w:tc>
        <w:tc>
          <w:tcPr>
            <w:tcW w:w="3101" w:type="dxa"/>
          </w:tcPr>
          <w:p w:rsidR="00D35590" w:rsidRDefault="00D35590">
            <w:pPr>
              <w:pStyle w:val="TableParagraph"/>
              <w:spacing w:before="6"/>
              <w:ind w:left="0"/>
              <w:rPr>
                <w:sz w:val="35"/>
              </w:rPr>
            </w:pPr>
          </w:p>
          <w:p w:rsidR="00D35590" w:rsidRDefault="00D75DDE">
            <w:pPr>
              <w:pStyle w:val="TableParagraph"/>
              <w:rPr>
                <w:sz w:val="24"/>
              </w:rPr>
            </w:pPr>
            <w:r>
              <w:rPr>
                <w:sz w:val="24"/>
              </w:rPr>
              <w:t>See Note 12</w:t>
            </w:r>
          </w:p>
        </w:tc>
      </w:tr>
      <w:tr w:rsidR="00D35590">
        <w:trPr>
          <w:trHeight w:val="1655"/>
        </w:trPr>
        <w:tc>
          <w:tcPr>
            <w:tcW w:w="3101" w:type="dxa"/>
          </w:tcPr>
          <w:p w:rsidR="00D35590" w:rsidRDefault="00D35590">
            <w:pPr>
              <w:pStyle w:val="TableParagraph"/>
              <w:spacing w:before="10"/>
              <w:ind w:left="0"/>
              <w:rPr>
                <w:sz w:val="23"/>
              </w:rPr>
            </w:pPr>
          </w:p>
          <w:p w:rsidR="00D35590" w:rsidRDefault="00D75DDE">
            <w:pPr>
              <w:pStyle w:val="TableParagraph"/>
              <w:ind w:right="257"/>
              <w:rPr>
                <w:sz w:val="24"/>
              </w:rPr>
            </w:pPr>
            <w:r>
              <w:rPr>
                <w:sz w:val="24"/>
              </w:rPr>
              <w:t>Calibration Verification Standard Recovery or Other Verification Acceptance Criteria</w:t>
            </w:r>
          </w:p>
        </w:tc>
        <w:tc>
          <w:tcPr>
            <w:tcW w:w="3279" w:type="dxa"/>
          </w:tcPr>
          <w:p w:rsidR="00D35590" w:rsidRDefault="00D75DDE">
            <w:pPr>
              <w:pStyle w:val="TableParagraph"/>
              <w:spacing w:before="2" w:line="276" w:lineRule="exact"/>
              <w:ind w:right="130"/>
              <w:rPr>
                <w:sz w:val="24"/>
              </w:rPr>
            </w:pPr>
            <w:r>
              <w:rPr>
                <w:sz w:val="24"/>
              </w:rPr>
              <w:t>Semi-volatile (Extractable) Organic Compounds, including Pesticides, Herbicides, Phenolic Compounds, Chlorinated Phenols, Chlorinated Cresols,</w:t>
            </w:r>
            <w:r>
              <w:rPr>
                <w:spacing w:val="-2"/>
                <w:sz w:val="24"/>
              </w:rPr>
              <w:t xml:space="preserve"> </w:t>
            </w:r>
            <w:r>
              <w:rPr>
                <w:sz w:val="24"/>
              </w:rPr>
              <w:t>PAHs,</w:t>
            </w:r>
          </w:p>
        </w:tc>
        <w:tc>
          <w:tcPr>
            <w:tcW w:w="3101" w:type="dxa"/>
          </w:tcPr>
          <w:p w:rsidR="00D35590" w:rsidRDefault="00D35590">
            <w:pPr>
              <w:pStyle w:val="TableParagraph"/>
              <w:ind w:left="0"/>
              <w:rPr>
                <w:sz w:val="26"/>
              </w:rPr>
            </w:pPr>
          </w:p>
          <w:p w:rsidR="00D35590" w:rsidRDefault="00D35590">
            <w:pPr>
              <w:pStyle w:val="TableParagraph"/>
              <w:spacing w:before="9"/>
              <w:ind w:left="0"/>
              <w:rPr>
                <w:sz w:val="33"/>
              </w:rPr>
            </w:pPr>
          </w:p>
          <w:p w:rsidR="00D35590" w:rsidRDefault="00D75DDE">
            <w:pPr>
              <w:pStyle w:val="TableParagraph"/>
              <w:rPr>
                <w:sz w:val="24"/>
              </w:rPr>
            </w:pPr>
            <w:r>
              <w:rPr>
                <w:sz w:val="24"/>
              </w:rPr>
              <w:t>See Note 14</w:t>
            </w:r>
          </w:p>
        </w:tc>
      </w:tr>
    </w:tbl>
    <w:p w:rsidR="00D35590" w:rsidRDefault="00D35590">
      <w:pPr>
        <w:rPr>
          <w:sz w:val="24"/>
        </w:rPr>
        <w:sectPr w:rsidR="00D35590">
          <w:pgSz w:w="12240" w:h="15840"/>
          <w:pgMar w:top="1440" w:right="300" w:bottom="80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1519"/>
        </w:trPr>
        <w:tc>
          <w:tcPr>
            <w:tcW w:w="3101" w:type="dxa"/>
          </w:tcPr>
          <w:p w:rsidR="00D35590" w:rsidRDefault="00D35590">
            <w:pPr>
              <w:pStyle w:val="TableParagraph"/>
              <w:ind w:left="0"/>
            </w:pPr>
          </w:p>
        </w:tc>
        <w:tc>
          <w:tcPr>
            <w:tcW w:w="3279" w:type="dxa"/>
          </w:tcPr>
          <w:p w:rsidR="00D35590" w:rsidRDefault="00D75DDE">
            <w:pPr>
              <w:pStyle w:val="TableParagraph"/>
              <w:spacing w:line="263" w:lineRule="exact"/>
              <w:rPr>
                <w:sz w:val="24"/>
              </w:rPr>
            </w:pPr>
            <w:r>
              <w:rPr>
                <w:sz w:val="24"/>
              </w:rPr>
              <w:t>Phthalate Esters, PCBs</w:t>
            </w:r>
          </w:p>
        </w:tc>
        <w:tc>
          <w:tcPr>
            <w:tcW w:w="3101" w:type="dxa"/>
          </w:tcPr>
          <w:p w:rsidR="00D35590" w:rsidRDefault="00D35590">
            <w:pPr>
              <w:pStyle w:val="TableParagraph"/>
              <w:ind w:left="0"/>
            </w:pPr>
          </w:p>
        </w:tc>
      </w:tr>
      <w:tr w:rsidR="00D35590">
        <w:trPr>
          <w:trHeight w:val="4967"/>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160"/>
              <w:ind w:right="142"/>
              <w:rPr>
                <w:sz w:val="24"/>
              </w:rPr>
            </w:pPr>
            <w:r>
              <w:rPr>
                <w:sz w:val="24"/>
              </w:rPr>
              <w:t>Laboratory Method Blank or Other Analytical Blank Results shall be &lt; 10% of the associated sample results in the preparation batch or analytical sequence</w:t>
            </w:r>
          </w:p>
        </w:tc>
        <w:tc>
          <w:tcPr>
            <w:tcW w:w="3279" w:type="dxa"/>
          </w:tcPr>
          <w:p w:rsidR="00D35590" w:rsidRDefault="00D75DDE">
            <w:pPr>
              <w:pStyle w:val="TableParagraph"/>
              <w:spacing w:before="2" w:line="276" w:lineRule="exact"/>
              <w:ind w:right="122"/>
              <w:rPr>
                <w:sz w:val="24"/>
              </w:rPr>
            </w:pPr>
            <w:r>
              <w:rPr>
                <w:sz w:val="24"/>
              </w:rPr>
              <w:t xml:space="preserve">Ammonium, Chlorophyll, Color, Hardness by Ca + Mg calculation method (see Note 8), Hardness (titration </w:t>
            </w:r>
            <w:r>
              <w:rPr>
                <w:spacing w:val="-3"/>
                <w:sz w:val="24"/>
              </w:rPr>
              <w:t xml:space="preserve">method), </w:t>
            </w:r>
            <w:r>
              <w:rPr>
                <w:sz w:val="24"/>
              </w:rPr>
              <w:t xml:space="preserve">Metals (including Ca, Mg), Nitrate, Nitrite, </w:t>
            </w:r>
            <w:proofErr w:type="spellStart"/>
            <w:r>
              <w:rPr>
                <w:sz w:val="24"/>
              </w:rPr>
              <w:t>Nitrate+Nitrite</w:t>
            </w:r>
            <w:proofErr w:type="spellEnd"/>
            <w:r>
              <w:rPr>
                <w:sz w:val="24"/>
              </w:rPr>
              <w:t>, Orthophosphate, TDS (Total Dissolved Solids), TKN, TP, TOC, Semi-volatile or Extractable Organic Compounds (including Pesticides, Herbicides, Phenolic Compounds, Chlorinated Phenols, Chlorinated Cresols, PAHs, Phthalate Esters, PCBs), Oils &amp; Greases, TSS (Total Suspended</w:t>
            </w:r>
            <w:r>
              <w:rPr>
                <w:spacing w:val="-1"/>
                <w:sz w:val="24"/>
              </w:rPr>
              <w:t xml:space="preserve"> </w:t>
            </w:r>
            <w:r>
              <w:rPr>
                <w:sz w:val="24"/>
              </w:rPr>
              <w:t>Solids)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9"/>
              <w:ind w:left="0"/>
              <w:rPr>
                <w:sz w:val="21"/>
              </w:rPr>
            </w:pPr>
          </w:p>
          <w:p w:rsidR="00D35590" w:rsidRDefault="00D75DDE">
            <w:pPr>
              <w:pStyle w:val="TableParagraph"/>
              <w:rPr>
                <w:sz w:val="24"/>
              </w:rPr>
            </w:pPr>
            <w:r>
              <w:rPr>
                <w:sz w:val="24"/>
              </w:rPr>
              <w:t>N/A</w:t>
            </w:r>
          </w:p>
        </w:tc>
      </w:tr>
      <w:tr w:rsidR="00D35590">
        <w:trPr>
          <w:trHeight w:val="4137"/>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03"/>
              <w:ind w:right="170"/>
              <w:rPr>
                <w:sz w:val="24"/>
              </w:rPr>
            </w:pPr>
            <w:r>
              <w:rPr>
                <w:sz w:val="24"/>
              </w:rPr>
              <w:t>Field Quality Control Blank (Field Blank, Equipment Blank or Trip Blank) Results shall be &lt; 10% of the associated sample results associated with the sample set or sampling event</w:t>
            </w:r>
          </w:p>
        </w:tc>
        <w:tc>
          <w:tcPr>
            <w:tcW w:w="3279" w:type="dxa"/>
          </w:tcPr>
          <w:p w:rsidR="00D35590" w:rsidRDefault="00D75DDE">
            <w:pPr>
              <w:pStyle w:val="TableParagraph"/>
              <w:spacing w:line="276" w:lineRule="exact"/>
              <w:ind w:right="130"/>
              <w:rPr>
                <w:sz w:val="24"/>
              </w:rPr>
            </w:pPr>
            <w:r>
              <w:rPr>
                <w:sz w:val="24"/>
              </w:rPr>
              <w:t xml:space="preserve">Ammonium, Chlorophyll, Hardness by Ca + Mg calculation method (see Note 8), Metals (including Ca, Mg), Nitrate, Nitrite, </w:t>
            </w:r>
            <w:proofErr w:type="spellStart"/>
            <w:r>
              <w:rPr>
                <w:sz w:val="24"/>
              </w:rPr>
              <w:t>Nitrate+Nitrite</w:t>
            </w:r>
            <w:proofErr w:type="spellEnd"/>
            <w:r>
              <w:rPr>
                <w:sz w:val="24"/>
              </w:rPr>
              <w:t>, Orthophosphate, TKN, TP, TOC, Semi-volatile or Extractable Organic Compounds (including Pesticides, Herbicides, Phenolic Compounds, Chlorinated Phenols, Chlorinated Cresols, PAHs, Phthalate Esters, PCBs), Oils &amp;</w:t>
            </w:r>
            <w:r>
              <w:rPr>
                <w:spacing w:val="-1"/>
                <w:sz w:val="24"/>
              </w:rPr>
              <w:t xml:space="preserve"> </w:t>
            </w:r>
            <w:r>
              <w:rPr>
                <w:sz w:val="24"/>
              </w:rPr>
              <w:t>Greases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spacing w:before="8"/>
              <w:ind w:left="0"/>
              <w:rPr>
                <w:sz w:val="37"/>
              </w:rPr>
            </w:pPr>
          </w:p>
          <w:p w:rsidR="00D35590" w:rsidRDefault="00D75DDE">
            <w:pPr>
              <w:pStyle w:val="TableParagraph"/>
              <w:rPr>
                <w:sz w:val="24"/>
              </w:rPr>
            </w:pPr>
            <w:r>
              <w:rPr>
                <w:sz w:val="24"/>
              </w:rPr>
              <w:t>N/A</w:t>
            </w:r>
          </w:p>
        </w:tc>
      </w:tr>
      <w:tr w:rsidR="00D35590">
        <w:trPr>
          <w:trHeight w:val="548"/>
        </w:trPr>
        <w:tc>
          <w:tcPr>
            <w:tcW w:w="3101" w:type="dxa"/>
          </w:tcPr>
          <w:p w:rsidR="00D35590" w:rsidRDefault="00D75DDE">
            <w:pPr>
              <w:pStyle w:val="TableParagraph"/>
              <w:spacing w:line="272" w:lineRule="exact"/>
              <w:rPr>
                <w:sz w:val="24"/>
              </w:rPr>
            </w:pPr>
            <w:r>
              <w:rPr>
                <w:sz w:val="24"/>
              </w:rPr>
              <w:t>Target for Maximum</w:t>
            </w:r>
          </w:p>
          <w:p w:rsidR="00D35590" w:rsidRDefault="00D75DDE">
            <w:pPr>
              <w:pStyle w:val="TableParagraph"/>
              <w:spacing w:line="257" w:lineRule="exact"/>
              <w:rPr>
                <w:sz w:val="24"/>
              </w:rPr>
            </w:pPr>
            <w:r>
              <w:rPr>
                <w:sz w:val="24"/>
              </w:rPr>
              <w:t>Reported PQL</w:t>
            </w:r>
          </w:p>
        </w:tc>
        <w:tc>
          <w:tcPr>
            <w:tcW w:w="3279" w:type="dxa"/>
          </w:tcPr>
          <w:p w:rsidR="00D35590" w:rsidRDefault="00D75DDE">
            <w:pPr>
              <w:pStyle w:val="TableParagraph"/>
              <w:spacing w:before="133"/>
              <w:rPr>
                <w:sz w:val="24"/>
              </w:rPr>
            </w:pPr>
            <w:r>
              <w:rPr>
                <w:sz w:val="24"/>
              </w:rPr>
              <w:t>Ammonium</w:t>
            </w:r>
          </w:p>
        </w:tc>
        <w:tc>
          <w:tcPr>
            <w:tcW w:w="3101" w:type="dxa"/>
          </w:tcPr>
          <w:p w:rsidR="00D35590" w:rsidRDefault="00D75DDE">
            <w:pPr>
              <w:pStyle w:val="TableParagraph"/>
              <w:spacing w:before="133"/>
              <w:rPr>
                <w:sz w:val="24"/>
              </w:rPr>
            </w:pPr>
            <w:r>
              <w:rPr>
                <w:sz w:val="24"/>
              </w:rPr>
              <w:t xml:space="preserve">≤ 80 </w:t>
            </w:r>
            <w:proofErr w:type="spellStart"/>
            <w:r>
              <w:rPr>
                <w:sz w:val="24"/>
              </w:rPr>
              <w:t>μg</w:t>
            </w:r>
            <w:proofErr w:type="spellEnd"/>
            <w:r>
              <w:rPr>
                <w:sz w:val="24"/>
              </w:rPr>
              <w:t>/L</w:t>
            </w:r>
          </w:p>
        </w:tc>
      </w:tr>
      <w:tr w:rsidR="00D35590">
        <w:trPr>
          <w:trHeight w:val="551"/>
        </w:trPr>
        <w:tc>
          <w:tcPr>
            <w:tcW w:w="3101" w:type="dxa"/>
          </w:tcPr>
          <w:p w:rsidR="00D35590" w:rsidRDefault="00D75DDE">
            <w:pPr>
              <w:pStyle w:val="TableParagraph"/>
              <w:spacing w:before="2" w:line="276" w:lineRule="exact"/>
              <w:ind w:right="930"/>
              <w:rPr>
                <w:sz w:val="24"/>
              </w:rPr>
            </w:pPr>
            <w:r>
              <w:rPr>
                <w:sz w:val="24"/>
              </w:rPr>
              <w:t>Target for Maximum Reported PQL</w:t>
            </w:r>
          </w:p>
        </w:tc>
        <w:tc>
          <w:tcPr>
            <w:tcW w:w="3279" w:type="dxa"/>
          </w:tcPr>
          <w:p w:rsidR="00D35590" w:rsidRDefault="00D75DDE">
            <w:pPr>
              <w:pStyle w:val="TableParagraph"/>
              <w:spacing w:before="2" w:line="276" w:lineRule="exact"/>
              <w:ind w:right="229"/>
              <w:rPr>
                <w:sz w:val="24"/>
              </w:rPr>
            </w:pPr>
            <w:r>
              <w:rPr>
                <w:sz w:val="24"/>
              </w:rPr>
              <w:t>Bacteriological Quality (Fecal Coliform Bacteria)</w:t>
            </w:r>
          </w:p>
        </w:tc>
        <w:tc>
          <w:tcPr>
            <w:tcW w:w="3101" w:type="dxa"/>
          </w:tcPr>
          <w:p w:rsidR="00D35590" w:rsidRDefault="00D75DDE">
            <w:pPr>
              <w:pStyle w:val="TableParagraph"/>
              <w:spacing w:before="135"/>
              <w:rPr>
                <w:sz w:val="24"/>
              </w:rPr>
            </w:pPr>
            <w:r>
              <w:rPr>
                <w:sz w:val="24"/>
              </w:rPr>
              <w:t>≤ 2 CFU/100 mL</w:t>
            </w:r>
          </w:p>
        </w:tc>
      </w:tr>
      <w:tr w:rsidR="00D35590">
        <w:trPr>
          <w:trHeight w:val="549"/>
        </w:trPr>
        <w:tc>
          <w:tcPr>
            <w:tcW w:w="3101" w:type="dxa"/>
          </w:tcPr>
          <w:p w:rsidR="00D35590" w:rsidRDefault="00D75DDE">
            <w:pPr>
              <w:pStyle w:val="TableParagraph"/>
              <w:spacing w:line="276" w:lineRule="exact"/>
              <w:ind w:right="930"/>
              <w:rPr>
                <w:sz w:val="24"/>
              </w:rPr>
            </w:pPr>
            <w:r>
              <w:rPr>
                <w:sz w:val="24"/>
              </w:rPr>
              <w:t>Target for Maximum Reported PQL</w:t>
            </w:r>
          </w:p>
        </w:tc>
        <w:tc>
          <w:tcPr>
            <w:tcW w:w="3279" w:type="dxa"/>
          </w:tcPr>
          <w:p w:rsidR="00D35590" w:rsidRDefault="00D75DDE">
            <w:pPr>
              <w:pStyle w:val="TableParagraph"/>
              <w:spacing w:line="276" w:lineRule="exact"/>
              <w:ind w:right="455"/>
              <w:rPr>
                <w:sz w:val="24"/>
              </w:rPr>
            </w:pPr>
            <w:r>
              <w:rPr>
                <w:sz w:val="24"/>
              </w:rPr>
              <w:t>BOD (Biochemical Oxygen Demand)</w:t>
            </w:r>
          </w:p>
        </w:tc>
        <w:tc>
          <w:tcPr>
            <w:tcW w:w="3101" w:type="dxa"/>
          </w:tcPr>
          <w:p w:rsidR="00D35590" w:rsidRDefault="00D75DDE">
            <w:pPr>
              <w:pStyle w:val="TableParagraph"/>
              <w:spacing w:before="135"/>
              <w:rPr>
                <w:sz w:val="24"/>
              </w:rPr>
            </w:pPr>
            <w:r>
              <w:rPr>
                <w:sz w:val="24"/>
              </w:rPr>
              <w:t>≤ 2 mg/L</w:t>
            </w:r>
          </w:p>
        </w:tc>
      </w:tr>
    </w:tbl>
    <w:p w:rsidR="00D35590" w:rsidRDefault="00D35590">
      <w:pPr>
        <w:rPr>
          <w:sz w:val="24"/>
        </w:rPr>
        <w:sectPr w:rsidR="00D35590">
          <w:pgSz w:w="12240" w:h="15840"/>
          <w:pgMar w:top="1440" w:right="300" w:bottom="80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549"/>
        </w:trPr>
        <w:tc>
          <w:tcPr>
            <w:tcW w:w="3101" w:type="dxa"/>
          </w:tcPr>
          <w:p w:rsidR="00D35590" w:rsidRDefault="00D75DDE">
            <w:pPr>
              <w:pStyle w:val="TableParagraph"/>
              <w:spacing w:line="273" w:lineRule="exact"/>
              <w:rPr>
                <w:sz w:val="24"/>
              </w:rPr>
            </w:pPr>
            <w:r>
              <w:rPr>
                <w:sz w:val="24"/>
              </w:rPr>
              <w:t>Target for Maximum</w:t>
            </w:r>
          </w:p>
          <w:p w:rsidR="00D35590" w:rsidRDefault="00D75DDE">
            <w:pPr>
              <w:pStyle w:val="TableParagraph"/>
              <w:spacing w:line="257" w:lineRule="exact"/>
              <w:rPr>
                <w:sz w:val="24"/>
              </w:rPr>
            </w:pPr>
            <w:r>
              <w:rPr>
                <w:sz w:val="24"/>
              </w:rPr>
              <w:t>Reported PQL</w:t>
            </w:r>
          </w:p>
        </w:tc>
        <w:tc>
          <w:tcPr>
            <w:tcW w:w="3279" w:type="dxa"/>
          </w:tcPr>
          <w:p w:rsidR="00D35590" w:rsidRDefault="00D75DDE">
            <w:pPr>
              <w:pStyle w:val="TableParagraph"/>
              <w:spacing w:before="135"/>
              <w:rPr>
                <w:sz w:val="24"/>
              </w:rPr>
            </w:pPr>
            <w:r>
              <w:rPr>
                <w:sz w:val="24"/>
              </w:rPr>
              <w:t>Calcium</w:t>
            </w:r>
          </w:p>
        </w:tc>
        <w:tc>
          <w:tcPr>
            <w:tcW w:w="3101" w:type="dxa"/>
          </w:tcPr>
          <w:p w:rsidR="00D35590" w:rsidRDefault="00D75DDE">
            <w:pPr>
              <w:pStyle w:val="TableParagraph"/>
              <w:spacing w:before="135"/>
              <w:rPr>
                <w:sz w:val="24"/>
              </w:rPr>
            </w:pPr>
            <w:r>
              <w:rPr>
                <w:sz w:val="24"/>
              </w:rPr>
              <w:t>≤ 0.2 mg/L</w:t>
            </w:r>
          </w:p>
        </w:tc>
      </w:tr>
      <w:tr w:rsidR="00D35590">
        <w:trPr>
          <w:trHeight w:val="551"/>
        </w:trPr>
        <w:tc>
          <w:tcPr>
            <w:tcW w:w="3101" w:type="dxa"/>
          </w:tcPr>
          <w:p w:rsidR="00D35590" w:rsidRDefault="00D75DDE">
            <w:pPr>
              <w:pStyle w:val="TableParagraph"/>
              <w:spacing w:before="2" w:line="276" w:lineRule="exact"/>
              <w:ind w:right="930"/>
              <w:rPr>
                <w:sz w:val="24"/>
              </w:rPr>
            </w:pPr>
            <w:r>
              <w:rPr>
                <w:sz w:val="24"/>
              </w:rPr>
              <w:t>Target for Maximum Reported PQL</w:t>
            </w:r>
          </w:p>
        </w:tc>
        <w:tc>
          <w:tcPr>
            <w:tcW w:w="3279" w:type="dxa"/>
          </w:tcPr>
          <w:p w:rsidR="00D35590" w:rsidRDefault="00D75DDE">
            <w:pPr>
              <w:pStyle w:val="TableParagraph"/>
              <w:spacing w:before="138"/>
              <w:rPr>
                <w:sz w:val="24"/>
              </w:rPr>
            </w:pPr>
            <w:r>
              <w:rPr>
                <w:sz w:val="24"/>
              </w:rPr>
              <w:t>Chlorophyll</w:t>
            </w:r>
          </w:p>
        </w:tc>
        <w:tc>
          <w:tcPr>
            <w:tcW w:w="3101" w:type="dxa"/>
          </w:tcPr>
          <w:p w:rsidR="00D35590" w:rsidRDefault="00D75DDE">
            <w:pPr>
              <w:pStyle w:val="TableParagraph"/>
              <w:spacing w:before="138"/>
              <w:rPr>
                <w:sz w:val="24"/>
              </w:rPr>
            </w:pPr>
            <w:r>
              <w:rPr>
                <w:sz w:val="24"/>
              </w:rPr>
              <w:t xml:space="preserve">≤ 3 </w:t>
            </w:r>
            <w:proofErr w:type="spellStart"/>
            <w:r>
              <w:rPr>
                <w:sz w:val="24"/>
              </w:rPr>
              <w:t>μg</w:t>
            </w:r>
            <w:proofErr w:type="spellEnd"/>
            <w:r>
              <w:rPr>
                <w:sz w:val="24"/>
              </w:rPr>
              <w:t>/L</w:t>
            </w:r>
          </w:p>
        </w:tc>
      </w:tr>
      <w:tr w:rsidR="00D35590">
        <w:trPr>
          <w:trHeight w:val="551"/>
        </w:trPr>
        <w:tc>
          <w:tcPr>
            <w:tcW w:w="3101" w:type="dxa"/>
          </w:tcPr>
          <w:p w:rsidR="00D35590" w:rsidRDefault="00D75DDE">
            <w:pPr>
              <w:pStyle w:val="TableParagraph"/>
              <w:spacing w:before="2" w:line="276" w:lineRule="exact"/>
              <w:ind w:right="930"/>
              <w:rPr>
                <w:sz w:val="24"/>
              </w:rPr>
            </w:pPr>
            <w:r>
              <w:rPr>
                <w:sz w:val="24"/>
              </w:rPr>
              <w:t>Target for Maximum Reported PQL</w:t>
            </w:r>
          </w:p>
        </w:tc>
        <w:tc>
          <w:tcPr>
            <w:tcW w:w="3279" w:type="dxa"/>
          </w:tcPr>
          <w:p w:rsidR="00D35590" w:rsidRDefault="00D75DDE">
            <w:pPr>
              <w:pStyle w:val="TableParagraph"/>
              <w:spacing w:before="135"/>
              <w:rPr>
                <w:sz w:val="24"/>
              </w:rPr>
            </w:pPr>
            <w:r>
              <w:rPr>
                <w:sz w:val="24"/>
              </w:rPr>
              <w:t>Conductance, Specific</w:t>
            </w:r>
          </w:p>
        </w:tc>
        <w:tc>
          <w:tcPr>
            <w:tcW w:w="3101" w:type="dxa"/>
          </w:tcPr>
          <w:p w:rsidR="00D35590" w:rsidRDefault="00D75DDE">
            <w:pPr>
              <w:pStyle w:val="TableParagraph"/>
              <w:spacing w:before="135"/>
              <w:rPr>
                <w:sz w:val="24"/>
              </w:rPr>
            </w:pPr>
            <w:r>
              <w:rPr>
                <w:sz w:val="24"/>
              </w:rPr>
              <w:t xml:space="preserve">1 </w:t>
            </w:r>
            <w:proofErr w:type="spellStart"/>
            <w:r>
              <w:rPr>
                <w:sz w:val="24"/>
              </w:rPr>
              <w:t>μS</w:t>
            </w:r>
            <w:proofErr w:type="spellEnd"/>
            <w:r>
              <w:rPr>
                <w:sz w:val="24"/>
              </w:rPr>
              <w:t>/cm</w:t>
            </w:r>
          </w:p>
        </w:tc>
      </w:tr>
      <w:tr w:rsidR="00D35590">
        <w:trPr>
          <w:trHeight w:val="549"/>
        </w:trPr>
        <w:tc>
          <w:tcPr>
            <w:tcW w:w="3101" w:type="dxa"/>
          </w:tcPr>
          <w:p w:rsidR="00D35590" w:rsidRDefault="00D75DDE">
            <w:pPr>
              <w:pStyle w:val="TableParagraph"/>
              <w:spacing w:line="276" w:lineRule="exact"/>
              <w:ind w:right="930"/>
              <w:rPr>
                <w:sz w:val="24"/>
              </w:rPr>
            </w:pPr>
            <w:r>
              <w:rPr>
                <w:sz w:val="24"/>
              </w:rPr>
              <w:t>Target for Maximum Reported PQL</w:t>
            </w:r>
          </w:p>
        </w:tc>
        <w:tc>
          <w:tcPr>
            <w:tcW w:w="3279" w:type="dxa"/>
          </w:tcPr>
          <w:p w:rsidR="00D35590" w:rsidRDefault="00D75DDE">
            <w:pPr>
              <w:pStyle w:val="TableParagraph"/>
              <w:spacing w:before="133"/>
              <w:rPr>
                <w:sz w:val="24"/>
              </w:rPr>
            </w:pPr>
            <w:r>
              <w:rPr>
                <w:sz w:val="24"/>
              </w:rPr>
              <w:t>Dissolved Oxygen</w:t>
            </w:r>
          </w:p>
        </w:tc>
        <w:tc>
          <w:tcPr>
            <w:tcW w:w="3101" w:type="dxa"/>
          </w:tcPr>
          <w:p w:rsidR="00D35590" w:rsidRDefault="00D75DDE">
            <w:pPr>
              <w:pStyle w:val="TableParagraph"/>
              <w:spacing w:before="133"/>
              <w:rPr>
                <w:sz w:val="24"/>
              </w:rPr>
            </w:pPr>
            <w:r>
              <w:rPr>
                <w:sz w:val="24"/>
              </w:rPr>
              <w:t>0.1 mg/L</w:t>
            </w:r>
          </w:p>
        </w:tc>
      </w:tr>
      <w:tr w:rsidR="00D35590">
        <w:trPr>
          <w:trHeight w:val="548"/>
        </w:trPr>
        <w:tc>
          <w:tcPr>
            <w:tcW w:w="3101" w:type="dxa"/>
          </w:tcPr>
          <w:p w:rsidR="00D35590" w:rsidRDefault="00D75DDE">
            <w:pPr>
              <w:pStyle w:val="TableParagraph"/>
              <w:spacing w:line="272" w:lineRule="exact"/>
              <w:rPr>
                <w:sz w:val="24"/>
              </w:rPr>
            </w:pPr>
            <w:r>
              <w:rPr>
                <w:sz w:val="24"/>
              </w:rPr>
              <w:t>Target for Maximum</w:t>
            </w:r>
          </w:p>
          <w:p w:rsidR="00D35590" w:rsidRDefault="00D75DDE">
            <w:pPr>
              <w:pStyle w:val="TableParagraph"/>
              <w:spacing w:line="257" w:lineRule="exact"/>
              <w:rPr>
                <w:sz w:val="24"/>
              </w:rPr>
            </w:pPr>
            <w:r>
              <w:rPr>
                <w:sz w:val="24"/>
              </w:rPr>
              <w:t>Reported PQL</w:t>
            </w:r>
          </w:p>
        </w:tc>
        <w:tc>
          <w:tcPr>
            <w:tcW w:w="3279" w:type="dxa"/>
          </w:tcPr>
          <w:p w:rsidR="00D35590" w:rsidRDefault="00D75DDE">
            <w:pPr>
              <w:pStyle w:val="TableParagraph"/>
              <w:spacing w:before="133"/>
              <w:rPr>
                <w:sz w:val="24"/>
              </w:rPr>
            </w:pPr>
            <w:r>
              <w:rPr>
                <w:sz w:val="24"/>
              </w:rPr>
              <w:t>Hardness (titration method)</w:t>
            </w:r>
          </w:p>
        </w:tc>
        <w:tc>
          <w:tcPr>
            <w:tcW w:w="3101" w:type="dxa"/>
          </w:tcPr>
          <w:p w:rsidR="00D35590" w:rsidRDefault="00D75DDE">
            <w:pPr>
              <w:pStyle w:val="TableParagraph"/>
              <w:spacing w:before="133"/>
              <w:rPr>
                <w:sz w:val="24"/>
              </w:rPr>
            </w:pPr>
            <w:r>
              <w:rPr>
                <w:sz w:val="24"/>
              </w:rPr>
              <w:t>≤ 50 mg/L</w:t>
            </w:r>
          </w:p>
        </w:tc>
      </w:tr>
      <w:tr w:rsidR="00D35590">
        <w:trPr>
          <w:trHeight w:val="551"/>
        </w:trPr>
        <w:tc>
          <w:tcPr>
            <w:tcW w:w="3101" w:type="dxa"/>
          </w:tcPr>
          <w:p w:rsidR="00D35590" w:rsidRDefault="00D75DDE">
            <w:pPr>
              <w:pStyle w:val="TableParagraph"/>
              <w:spacing w:before="2" w:line="276" w:lineRule="exact"/>
              <w:ind w:right="930"/>
              <w:rPr>
                <w:sz w:val="24"/>
              </w:rPr>
            </w:pPr>
            <w:r>
              <w:rPr>
                <w:sz w:val="24"/>
              </w:rPr>
              <w:t>Target for Maximum Reported PQL</w:t>
            </w:r>
          </w:p>
        </w:tc>
        <w:tc>
          <w:tcPr>
            <w:tcW w:w="3279" w:type="dxa"/>
          </w:tcPr>
          <w:p w:rsidR="00D35590" w:rsidRDefault="00D75DDE">
            <w:pPr>
              <w:pStyle w:val="TableParagraph"/>
              <w:spacing w:before="2" w:line="276" w:lineRule="exact"/>
              <w:ind w:right="133"/>
              <w:rPr>
                <w:sz w:val="24"/>
              </w:rPr>
            </w:pPr>
            <w:r>
              <w:rPr>
                <w:sz w:val="24"/>
              </w:rPr>
              <w:t>Hardness (Ca + Mg calculation method)</w:t>
            </w:r>
          </w:p>
        </w:tc>
        <w:tc>
          <w:tcPr>
            <w:tcW w:w="3101" w:type="dxa"/>
          </w:tcPr>
          <w:p w:rsidR="00D35590" w:rsidRDefault="00D75DDE">
            <w:pPr>
              <w:pStyle w:val="TableParagraph"/>
              <w:spacing w:before="138"/>
              <w:rPr>
                <w:sz w:val="24"/>
              </w:rPr>
            </w:pPr>
            <w:r>
              <w:rPr>
                <w:sz w:val="24"/>
              </w:rPr>
              <w:t>≤ 50 mg/L</w:t>
            </w:r>
          </w:p>
        </w:tc>
      </w:tr>
      <w:tr w:rsidR="00D35590">
        <w:trPr>
          <w:trHeight w:val="549"/>
        </w:trPr>
        <w:tc>
          <w:tcPr>
            <w:tcW w:w="3101" w:type="dxa"/>
          </w:tcPr>
          <w:p w:rsidR="00D35590" w:rsidRDefault="00D75DDE">
            <w:pPr>
              <w:pStyle w:val="TableParagraph"/>
              <w:spacing w:line="276" w:lineRule="exact"/>
              <w:ind w:right="930"/>
              <w:rPr>
                <w:sz w:val="24"/>
              </w:rPr>
            </w:pPr>
            <w:r>
              <w:rPr>
                <w:sz w:val="24"/>
              </w:rPr>
              <w:t>Target for Maximum Reported PQL</w:t>
            </w:r>
          </w:p>
        </w:tc>
        <w:tc>
          <w:tcPr>
            <w:tcW w:w="3279" w:type="dxa"/>
          </w:tcPr>
          <w:p w:rsidR="00D35590" w:rsidRDefault="00D75DDE">
            <w:pPr>
              <w:pStyle w:val="TableParagraph"/>
              <w:spacing w:before="135"/>
              <w:rPr>
                <w:sz w:val="24"/>
              </w:rPr>
            </w:pPr>
            <w:r>
              <w:rPr>
                <w:sz w:val="24"/>
              </w:rPr>
              <w:t>Magnesium</w:t>
            </w:r>
          </w:p>
        </w:tc>
        <w:tc>
          <w:tcPr>
            <w:tcW w:w="3101" w:type="dxa"/>
          </w:tcPr>
          <w:p w:rsidR="00D35590" w:rsidRDefault="00D75DDE">
            <w:pPr>
              <w:pStyle w:val="TableParagraph"/>
              <w:spacing w:before="135"/>
              <w:rPr>
                <w:sz w:val="24"/>
              </w:rPr>
            </w:pPr>
            <w:r>
              <w:rPr>
                <w:sz w:val="24"/>
              </w:rPr>
              <w:t>≤ 0.08 mg/L</w:t>
            </w:r>
          </w:p>
        </w:tc>
      </w:tr>
      <w:tr w:rsidR="00D35590">
        <w:trPr>
          <w:trHeight w:val="548"/>
        </w:trPr>
        <w:tc>
          <w:tcPr>
            <w:tcW w:w="3101" w:type="dxa"/>
          </w:tcPr>
          <w:p w:rsidR="00D35590" w:rsidRDefault="00D75DDE">
            <w:pPr>
              <w:pStyle w:val="TableParagraph"/>
              <w:spacing w:line="272" w:lineRule="exact"/>
              <w:rPr>
                <w:sz w:val="24"/>
              </w:rPr>
            </w:pPr>
            <w:r>
              <w:rPr>
                <w:sz w:val="24"/>
              </w:rPr>
              <w:t>Target for Maximum</w:t>
            </w:r>
          </w:p>
          <w:p w:rsidR="00D35590" w:rsidRDefault="00D75DDE">
            <w:pPr>
              <w:pStyle w:val="TableParagraph"/>
              <w:spacing w:line="257" w:lineRule="exact"/>
              <w:rPr>
                <w:sz w:val="24"/>
              </w:rPr>
            </w:pPr>
            <w:r>
              <w:rPr>
                <w:sz w:val="24"/>
              </w:rPr>
              <w:t>Reported PQL</w:t>
            </w:r>
          </w:p>
        </w:tc>
        <w:tc>
          <w:tcPr>
            <w:tcW w:w="3279" w:type="dxa"/>
          </w:tcPr>
          <w:p w:rsidR="00D35590" w:rsidRDefault="00D75DDE">
            <w:pPr>
              <w:pStyle w:val="TableParagraph"/>
              <w:spacing w:before="135"/>
              <w:rPr>
                <w:sz w:val="24"/>
              </w:rPr>
            </w:pPr>
            <w:r>
              <w:rPr>
                <w:sz w:val="24"/>
              </w:rPr>
              <w:t>Metals</w:t>
            </w:r>
          </w:p>
        </w:tc>
        <w:tc>
          <w:tcPr>
            <w:tcW w:w="3101" w:type="dxa"/>
          </w:tcPr>
          <w:p w:rsidR="00D35590" w:rsidRDefault="00D75DDE">
            <w:pPr>
              <w:pStyle w:val="TableParagraph"/>
              <w:spacing w:before="135"/>
              <w:ind w:left="174"/>
              <w:rPr>
                <w:sz w:val="24"/>
              </w:rPr>
            </w:pPr>
            <w:r>
              <w:rPr>
                <w:sz w:val="24"/>
              </w:rPr>
              <w:t>Note 16</w:t>
            </w:r>
          </w:p>
        </w:tc>
      </w:tr>
      <w:tr w:rsidR="00D35590">
        <w:trPr>
          <w:trHeight w:val="1103"/>
        </w:trPr>
        <w:tc>
          <w:tcPr>
            <w:tcW w:w="3101" w:type="dxa"/>
          </w:tcPr>
          <w:p w:rsidR="00D35590" w:rsidRDefault="00D35590">
            <w:pPr>
              <w:pStyle w:val="TableParagraph"/>
              <w:spacing w:before="10"/>
              <w:ind w:left="0"/>
              <w:rPr>
                <w:sz w:val="23"/>
              </w:rPr>
            </w:pPr>
          </w:p>
          <w:p w:rsidR="00D35590" w:rsidRDefault="00D75DDE">
            <w:pPr>
              <w:pStyle w:val="TableParagraph"/>
              <w:ind w:right="930"/>
              <w:rPr>
                <w:sz w:val="24"/>
              </w:rPr>
            </w:pPr>
            <w:r>
              <w:rPr>
                <w:sz w:val="24"/>
              </w:rPr>
              <w:t>Target for Maximum Reported PQL</w:t>
            </w:r>
          </w:p>
        </w:tc>
        <w:tc>
          <w:tcPr>
            <w:tcW w:w="3279" w:type="dxa"/>
          </w:tcPr>
          <w:p w:rsidR="00D35590" w:rsidRDefault="00D75DDE">
            <w:pPr>
              <w:pStyle w:val="TableParagraph"/>
              <w:spacing w:before="2" w:line="276" w:lineRule="exact"/>
              <w:ind w:right="228"/>
              <w:rPr>
                <w:sz w:val="24"/>
              </w:rPr>
            </w:pPr>
            <w:r>
              <w:rPr>
                <w:sz w:val="24"/>
              </w:rPr>
              <w:t>Other Nutrients, including Nitrate, Nitrite, Nitrate + Nitrite, Orthophosphate, Total Phosphorus (TP)</w:t>
            </w:r>
          </w:p>
        </w:tc>
        <w:tc>
          <w:tcPr>
            <w:tcW w:w="3101" w:type="dxa"/>
          </w:tcPr>
          <w:p w:rsidR="00D35590" w:rsidRDefault="00D35590">
            <w:pPr>
              <w:pStyle w:val="TableParagraph"/>
              <w:ind w:left="0"/>
              <w:rPr>
                <w:sz w:val="36"/>
              </w:rPr>
            </w:pPr>
          </w:p>
          <w:p w:rsidR="00D35590" w:rsidRDefault="00D75DDE">
            <w:pPr>
              <w:pStyle w:val="TableParagraph"/>
              <w:ind w:left="174"/>
              <w:rPr>
                <w:sz w:val="24"/>
              </w:rPr>
            </w:pPr>
            <w:r>
              <w:rPr>
                <w:sz w:val="24"/>
              </w:rPr>
              <w:t xml:space="preserve">≤40 </w:t>
            </w:r>
            <w:proofErr w:type="spellStart"/>
            <w:r>
              <w:rPr>
                <w:sz w:val="24"/>
              </w:rPr>
              <w:t>μg</w:t>
            </w:r>
            <w:proofErr w:type="spellEnd"/>
            <w:r>
              <w:rPr>
                <w:sz w:val="24"/>
              </w:rPr>
              <w:t>/L</w:t>
            </w:r>
          </w:p>
        </w:tc>
      </w:tr>
      <w:tr w:rsidR="00D35590">
        <w:trPr>
          <w:trHeight w:val="551"/>
        </w:trPr>
        <w:tc>
          <w:tcPr>
            <w:tcW w:w="3101" w:type="dxa"/>
          </w:tcPr>
          <w:p w:rsidR="00D35590" w:rsidRDefault="00D75DDE">
            <w:pPr>
              <w:pStyle w:val="TableParagraph"/>
              <w:spacing w:before="2" w:line="276" w:lineRule="exact"/>
              <w:ind w:right="930"/>
              <w:rPr>
                <w:sz w:val="24"/>
              </w:rPr>
            </w:pPr>
            <w:r>
              <w:rPr>
                <w:sz w:val="24"/>
              </w:rPr>
              <w:t>Target for Maximum Reported PQL</w:t>
            </w:r>
          </w:p>
        </w:tc>
        <w:tc>
          <w:tcPr>
            <w:tcW w:w="3279" w:type="dxa"/>
          </w:tcPr>
          <w:p w:rsidR="00D35590" w:rsidRDefault="00D75DDE">
            <w:pPr>
              <w:pStyle w:val="TableParagraph"/>
              <w:spacing w:before="135"/>
              <w:rPr>
                <w:sz w:val="24"/>
              </w:rPr>
            </w:pPr>
            <w:r>
              <w:rPr>
                <w:sz w:val="24"/>
              </w:rPr>
              <w:t>pH</w:t>
            </w:r>
          </w:p>
        </w:tc>
        <w:tc>
          <w:tcPr>
            <w:tcW w:w="3101" w:type="dxa"/>
          </w:tcPr>
          <w:p w:rsidR="00D35590" w:rsidRDefault="00D75DDE">
            <w:pPr>
              <w:pStyle w:val="TableParagraph"/>
              <w:spacing w:before="135"/>
              <w:ind w:left="174"/>
              <w:rPr>
                <w:sz w:val="24"/>
              </w:rPr>
            </w:pPr>
            <w:r>
              <w:rPr>
                <w:sz w:val="24"/>
              </w:rPr>
              <w:t>0.1 Std pH Unit</w:t>
            </w:r>
          </w:p>
        </w:tc>
      </w:tr>
      <w:tr w:rsidR="00D35590">
        <w:trPr>
          <w:trHeight w:val="549"/>
        </w:trPr>
        <w:tc>
          <w:tcPr>
            <w:tcW w:w="3101" w:type="dxa"/>
          </w:tcPr>
          <w:p w:rsidR="00D35590" w:rsidRDefault="00D75DDE">
            <w:pPr>
              <w:pStyle w:val="TableParagraph"/>
              <w:spacing w:line="276" w:lineRule="exact"/>
              <w:ind w:right="930"/>
              <w:rPr>
                <w:sz w:val="24"/>
              </w:rPr>
            </w:pPr>
            <w:r>
              <w:rPr>
                <w:sz w:val="24"/>
              </w:rPr>
              <w:t>Target for Maximum Reported PQL</w:t>
            </w:r>
          </w:p>
        </w:tc>
        <w:tc>
          <w:tcPr>
            <w:tcW w:w="3279" w:type="dxa"/>
          </w:tcPr>
          <w:p w:rsidR="00D35590" w:rsidRDefault="00D75DDE">
            <w:pPr>
              <w:pStyle w:val="TableParagraph"/>
              <w:spacing w:before="133"/>
              <w:rPr>
                <w:sz w:val="24"/>
              </w:rPr>
            </w:pPr>
            <w:r>
              <w:rPr>
                <w:sz w:val="24"/>
              </w:rPr>
              <w:t xml:space="preserve">TKN (Total </w:t>
            </w:r>
            <w:proofErr w:type="spellStart"/>
            <w:r>
              <w:rPr>
                <w:sz w:val="24"/>
              </w:rPr>
              <w:t>Kjeldahl</w:t>
            </w:r>
            <w:proofErr w:type="spellEnd"/>
            <w:r>
              <w:rPr>
                <w:sz w:val="24"/>
              </w:rPr>
              <w:t xml:space="preserve"> Nitrogen)</w:t>
            </w:r>
          </w:p>
        </w:tc>
        <w:tc>
          <w:tcPr>
            <w:tcW w:w="3101" w:type="dxa"/>
          </w:tcPr>
          <w:p w:rsidR="00D35590" w:rsidRDefault="00D75DDE">
            <w:pPr>
              <w:pStyle w:val="TableParagraph"/>
              <w:spacing w:before="133"/>
              <w:ind w:left="174"/>
              <w:rPr>
                <w:sz w:val="24"/>
              </w:rPr>
            </w:pPr>
            <w:r>
              <w:rPr>
                <w:sz w:val="24"/>
              </w:rPr>
              <w:t xml:space="preserve">≤ 400 </w:t>
            </w:r>
            <w:proofErr w:type="spellStart"/>
            <w:r>
              <w:rPr>
                <w:sz w:val="24"/>
              </w:rPr>
              <w:t>μg</w:t>
            </w:r>
            <w:proofErr w:type="spellEnd"/>
            <w:r>
              <w:rPr>
                <w:sz w:val="24"/>
              </w:rPr>
              <w:t>/L</w:t>
            </w:r>
          </w:p>
        </w:tc>
      </w:tr>
      <w:tr w:rsidR="00D35590">
        <w:trPr>
          <w:trHeight w:val="548"/>
        </w:trPr>
        <w:tc>
          <w:tcPr>
            <w:tcW w:w="3101" w:type="dxa"/>
          </w:tcPr>
          <w:p w:rsidR="00D35590" w:rsidRDefault="00D75DDE">
            <w:pPr>
              <w:pStyle w:val="TableParagraph"/>
              <w:spacing w:line="272" w:lineRule="exact"/>
              <w:rPr>
                <w:sz w:val="24"/>
              </w:rPr>
            </w:pPr>
            <w:r>
              <w:rPr>
                <w:sz w:val="24"/>
              </w:rPr>
              <w:t>Target for Maximum</w:t>
            </w:r>
          </w:p>
          <w:p w:rsidR="00D35590" w:rsidRDefault="00D75DDE">
            <w:pPr>
              <w:pStyle w:val="TableParagraph"/>
              <w:spacing w:line="257" w:lineRule="exact"/>
              <w:rPr>
                <w:sz w:val="24"/>
              </w:rPr>
            </w:pPr>
            <w:r>
              <w:rPr>
                <w:sz w:val="24"/>
              </w:rPr>
              <w:t>Reported PQL</w:t>
            </w:r>
          </w:p>
        </w:tc>
        <w:tc>
          <w:tcPr>
            <w:tcW w:w="3279" w:type="dxa"/>
          </w:tcPr>
          <w:p w:rsidR="00D35590" w:rsidRDefault="00D75DDE">
            <w:pPr>
              <w:pStyle w:val="TableParagraph"/>
              <w:spacing w:before="133"/>
              <w:rPr>
                <w:sz w:val="24"/>
              </w:rPr>
            </w:pPr>
            <w:r>
              <w:rPr>
                <w:sz w:val="24"/>
              </w:rPr>
              <w:t>Turbidity</w:t>
            </w:r>
          </w:p>
        </w:tc>
        <w:tc>
          <w:tcPr>
            <w:tcW w:w="3101" w:type="dxa"/>
          </w:tcPr>
          <w:p w:rsidR="00D35590" w:rsidRDefault="00D75DDE">
            <w:pPr>
              <w:pStyle w:val="TableParagraph"/>
              <w:spacing w:before="133"/>
              <w:ind w:left="174"/>
              <w:rPr>
                <w:sz w:val="24"/>
              </w:rPr>
            </w:pPr>
            <w:r>
              <w:rPr>
                <w:sz w:val="24"/>
              </w:rPr>
              <w:t>1 NTU</w:t>
            </w:r>
          </w:p>
        </w:tc>
      </w:tr>
      <w:tr w:rsidR="00D35590">
        <w:trPr>
          <w:trHeight w:val="3705"/>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33"/>
              </w:rPr>
            </w:pPr>
          </w:p>
          <w:p w:rsidR="00D35590" w:rsidRDefault="00D75DDE">
            <w:pPr>
              <w:pStyle w:val="TableParagraph"/>
              <w:ind w:right="930"/>
              <w:rPr>
                <w:sz w:val="24"/>
              </w:rPr>
            </w:pPr>
            <w:r>
              <w:rPr>
                <w:sz w:val="24"/>
              </w:rPr>
              <w:t>Target for Maximum Reported PQL</w:t>
            </w:r>
          </w:p>
        </w:tc>
        <w:tc>
          <w:tcPr>
            <w:tcW w:w="3279" w:type="dxa"/>
          </w:tcPr>
          <w:p w:rsidR="00D35590" w:rsidRDefault="00D75DDE">
            <w:pPr>
              <w:pStyle w:val="TableParagraph"/>
              <w:spacing w:before="56"/>
              <w:ind w:right="105"/>
              <w:rPr>
                <w:sz w:val="24"/>
              </w:rPr>
            </w:pPr>
            <w:r>
              <w:rPr>
                <w:sz w:val="24"/>
              </w:rPr>
              <w:t>Semi-volatile (Extractable) Organic Compounds, including Pesticides, Herbicides, Phenolic Compounds, Chlorinated Phenols, Chlorinated Cresols, Polycyclic Aromatic Hydrocarbons (PAHs), Phthalate Esters, Polychlorinated Biphenyls (PCBs), Oils &amp; Greases, Color, Total Organic Carbon (TOC), TSS (Total Suspended Solids), TDS (Total Dissolved</w:t>
            </w:r>
            <w:r>
              <w:rPr>
                <w:spacing w:val="-4"/>
                <w:sz w:val="24"/>
              </w:rPr>
              <w:t xml:space="preserve"> </w:t>
            </w:r>
            <w:r>
              <w:rPr>
                <w:sz w:val="24"/>
              </w:rPr>
              <w:t>Solids)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17"/>
              <w:rPr>
                <w:sz w:val="24"/>
              </w:rPr>
            </w:pPr>
            <w:r>
              <w:rPr>
                <w:sz w:val="24"/>
              </w:rPr>
              <w:t>See Note 17</w:t>
            </w:r>
          </w:p>
        </w:tc>
      </w:tr>
    </w:tbl>
    <w:p w:rsidR="00D35590" w:rsidRDefault="00D35590">
      <w:pPr>
        <w:rPr>
          <w:sz w:val="24"/>
        </w:rPr>
        <w:sectPr w:rsidR="00D35590">
          <w:pgSz w:w="12240" w:h="15840"/>
          <w:pgMar w:top="1440" w:right="300" w:bottom="800" w:left="940" w:header="0" w:footer="619" w:gutter="0"/>
          <w:cols w:space="720"/>
        </w:sectPr>
      </w:pPr>
    </w:p>
    <w:tbl>
      <w:tblPr>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1"/>
        <w:gridCol w:w="3279"/>
        <w:gridCol w:w="3101"/>
      </w:tblGrid>
      <w:tr w:rsidR="00D35590">
        <w:trPr>
          <w:trHeight w:val="551"/>
        </w:trPr>
        <w:tc>
          <w:tcPr>
            <w:tcW w:w="3101" w:type="dxa"/>
            <w:shd w:val="clear" w:color="auto" w:fill="D9D9D9"/>
          </w:tcPr>
          <w:p w:rsidR="00D35590" w:rsidRDefault="00D75DDE">
            <w:pPr>
              <w:pStyle w:val="TableParagraph"/>
              <w:spacing w:before="138"/>
              <w:ind w:left="470"/>
              <w:rPr>
                <w:sz w:val="24"/>
              </w:rPr>
            </w:pPr>
            <w:r>
              <w:rPr>
                <w:sz w:val="24"/>
              </w:rPr>
              <w:lastRenderedPageBreak/>
              <w:t>Data Quality Indicator</w:t>
            </w:r>
          </w:p>
        </w:tc>
        <w:tc>
          <w:tcPr>
            <w:tcW w:w="3279" w:type="dxa"/>
            <w:shd w:val="clear" w:color="auto" w:fill="D9D9D9"/>
          </w:tcPr>
          <w:p w:rsidR="00D35590" w:rsidRDefault="00D75DDE">
            <w:pPr>
              <w:pStyle w:val="TableParagraph"/>
              <w:spacing w:before="2" w:line="276" w:lineRule="exact"/>
              <w:ind w:left="837" w:right="551" w:hanging="252"/>
              <w:rPr>
                <w:sz w:val="24"/>
              </w:rPr>
            </w:pPr>
            <w:r>
              <w:rPr>
                <w:sz w:val="24"/>
              </w:rPr>
              <w:t>Analyte, Parameter or Assessment Test</w:t>
            </w:r>
          </w:p>
        </w:tc>
        <w:tc>
          <w:tcPr>
            <w:tcW w:w="3101" w:type="dxa"/>
            <w:shd w:val="clear" w:color="auto" w:fill="D9D9D9"/>
          </w:tcPr>
          <w:p w:rsidR="00D35590" w:rsidRDefault="00D75DDE">
            <w:pPr>
              <w:pStyle w:val="TableParagraph"/>
              <w:spacing w:before="138"/>
              <w:ind w:left="435"/>
              <w:rPr>
                <w:sz w:val="24"/>
              </w:rPr>
            </w:pPr>
            <w:r>
              <w:rPr>
                <w:sz w:val="24"/>
              </w:rPr>
              <w:t>Data Quality Objective</w:t>
            </w:r>
          </w:p>
        </w:tc>
      </w:tr>
      <w:tr w:rsidR="00D35590">
        <w:trPr>
          <w:trHeight w:val="2481"/>
        </w:trPr>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03"/>
              <w:rPr>
                <w:sz w:val="24"/>
              </w:rPr>
            </w:pPr>
            <w:r>
              <w:rPr>
                <w:sz w:val="24"/>
              </w:rPr>
              <w:t>Biological Analyses</w:t>
            </w:r>
          </w:p>
        </w:tc>
        <w:tc>
          <w:tcPr>
            <w:tcW w:w="3279" w:type="dxa"/>
          </w:tcPr>
          <w:p w:rsidR="00D35590" w:rsidRDefault="00D75DDE">
            <w:pPr>
              <w:pStyle w:val="TableParagraph"/>
              <w:ind w:right="228"/>
              <w:rPr>
                <w:sz w:val="24"/>
              </w:rPr>
            </w:pPr>
            <w:r>
              <w:rPr>
                <w:sz w:val="24"/>
              </w:rPr>
              <w:t>Stream Condition Index, Lake Vegetation Index, Stream Periphyton sampling, Habitat Assessment, Biological Integrity Assessment, Lake Condition Index, Rapid Periphyton Survey and all</w:t>
            </w:r>
          </w:p>
          <w:p w:rsidR="00D35590" w:rsidRDefault="00D75DDE">
            <w:pPr>
              <w:pStyle w:val="TableParagraph"/>
              <w:spacing w:line="270" w:lineRule="atLeast"/>
              <w:ind w:right="722"/>
              <w:rPr>
                <w:sz w:val="24"/>
              </w:rPr>
            </w:pPr>
            <w:r>
              <w:rPr>
                <w:sz w:val="24"/>
              </w:rPr>
              <w:t>other biologically related assessments.</w:t>
            </w:r>
          </w:p>
        </w:tc>
        <w:tc>
          <w:tcPr>
            <w:tcW w:w="3101" w:type="dxa"/>
          </w:tcPr>
          <w:p w:rsidR="00D35590" w:rsidRDefault="00D35590">
            <w:pPr>
              <w:pStyle w:val="TableParagraph"/>
              <w:ind w:left="0"/>
              <w:rPr>
                <w:sz w:val="26"/>
              </w:rPr>
            </w:pPr>
          </w:p>
          <w:p w:rsidR="00D35590" w:rsidRDefault="00D35590">
            <w:pPr>
              <w:pStyle w:val="TableParagraph"/>
              <w:ind w:left="0"/>
              <w:rPr>
                <w:sz w:val="26"/>
              </w:rPr>
            </w:pPr>
          </w:p>
          <w:p w:rsidR="00D35590" w:rsidRDefault="00D35590">
            <w:pPr>
              <w:pStyle w:val="TableParagraph"/>
              <w:ind w:left="0"/>
              <w:rPr>
                <w:sz w:val="26"/>
              </w:rPr>
            </w:pPr>
          </w:p>
          <w:p w:rsidR="00D35590" w:rsidRDefault="00D75DDE">
            <w:pPr>
              <w:pStyle w:val="TableParagraph"/>
              <w:spacing w:before="203"/>
              <w:rPr>
                <w:sz w:val="24"/>
              </w:rPr>
            </w:pPr>
            <w:r>
              <w:rPr>
                <w:sz w:val="24"/>
              </w:rPr>
              <w:t>See Note 18</w:t>
            </w:r>
          </w:p>
        </w:tc>
      </w:tr>
    </w:tbl>
    <w:p w:rsidR="00D35590" w:rsidRDefault="00D35590">
      <w:pPr>
        <w:pStyle w:val="BodyText"/>
        <w:rPr>
          <w:sz w:val="20"/>
        </w:rPr>
      </w:pPr>
    </w:p>
    <w:p w:rsidR="00D35590" w:rsidRDefault="00D35590">
      <w:pPr>
        <w:pStyle w:val="BodyText"/>
        <w:spacing w:before="1"/>
        <w:rPr>
          <w:sz w:val="20"/>
        </w:rPr>
      </w:pPr>
    </w:p>
    <w:p w:rsidR="00D35590" w:rsidRDefault="00D75DDE">
      <w:pPr>
        <w:pStyle w:val="BodyText"/>
        <w:spacing w:before="90"/>
        <w:ind w:left="140"/>
      </w:pPr>
      <w:r>
        <w:t>Notes for Appendix A.</w:t>
      </w:r>
    </w:p>
    <w:p w:rsidR="00D35590" w:rsidRDefault="00D35590">
      <w:pPr>
        <w:pStyle w:val="BodyText"/>
      </w:pPr>
    </w:p>
    <w:p w:rsidR="00D35590" w:rsidRDefault="00D75DDE">
      <w:pPr>
        <w:pStyle w:val="BodyText"/>
        <w:ind w:left="140"/>
      </w:pPr>
      <w:r>
        <w:t>Note 1 – Laboratory-generated control limits apply.</w:t>
      </w:r>
    </w:p>
    <w:p w:rsidR="00D35590" w:rsidRDefault="00D35590">
      <w:pPr>
        <w:pStyle w:val="BodyText"/>
      </w:pPr>
    </w:p>
    <w:p w:rsidR="00D35590" w:rsidRDefault="00D75DDE">
      <w:pPr>
        <w:pStyle w:val="BodyText"/>
        <w:ind w:left="140" w:right="797"/>
      </w:pPr>
      <w:r>
        <w:t>Note 2 - The usability of the LCS or LFB concentration for fresh water metals shall be evaluated based on the relevant hardness value and applicable water quality standard in 62-302.530, or for marine waters, the LCS or LFB concentration shall be evaluated based on the applicable water quality standard in 62-302.530, except that the provisions for an alternative PQL per 62-4.246(4) shall be used as the basis of evaluation in considering the lowest achievable concentration factor for the LCS or LFB, if necessary because of analytical technology limitations, or where a numerical water quality standard</w:t>
      </w:r>
      <w:r>
        <w:rPr>
          <w:spacing w:val="-22"/>
        </w:rPr>
        <w:t xml:space="preserve"> </w:t>
      </w:r>
      <w:r>
        <w:t>does not apply. In any case, the LCS or LFB target concentration shall be ≤ 2X the relevant concentration derived from the above</w:t>
      </w:r>
      <w:r>
        <w:rPr>
          <w:spacing w:val="1"/>
        </w:rPr>
        <w:t xml:space="preserve"> </w:t>
      </w:r>
      <w:r>
        <w:t>criteria.</w:t>
      </w:r>
    </w:p>
    <w:p w:rsidR="00D35590" w:rsidRDefault="00D35590">
      <w:pPr>
        <w:pStyle w:val="BodyText"/>
      </w:pPr>
    </w:p>
    <w:p w:rsidR="00D35590" w:rsidRDefault="00D75DDE">
      <w:pPr>
        <w:pStyle w:val="BodyText"/>
        <w:ind w:left="140" w:right="889"/>
      </w:pPr>
      <w:r>
        <w:t>Note 3 - The usability of the LCS or LFB concentration for this analyte shall be evaluated based on the applicable water quality standard in 62-302.530, except that the provisions for an alternative PQL per 62-4.246(4) shall be used as the basis of evaluation in considering the lowest achievable concentration factor for the LCS or LFB, if necessary because of analytical technology limitations, or where a numerical water quality standard does not apply. In any case, the LCS or LFB target concentration shall be ≤ 2X the relevant concentration derived from the above criteria.</w:t>
      </w:r>
    </w:p>
    <w:p w:rsidR="00D35590" w:rsidRDefault="00D35590">
      <w:pPr>
        <w:pStyle w:val="BodyText"/>
      </w:pPr>
    </w:p>
    <w:p w:rsidR="00D35590" w:rsidRDefault="00D75DDE">
      <w:pPr>
        <w:pStyle w:val="BodyText"/>
        <w:ind w:left="140" w:right="849"/>
      </w:pPr>
      <w:r>
        <w:t>Note 4 - Laboratory-generated or method-specified control limits shall be used to evaluate the Data Quality Indicator, as applicable per any method instructions.</w:t>
      </w:r>
    </w:p>
    <w:p w:rsidR="00D35590" w:rsidRDefault="00D35590">
      <w:pPr>
        <w:pStyle w:val="BodyText"/>
        <w:rPr>
          <w:sz w:val="26"/>
        </w:rPr>
      </w:pPr>
    </w:p>
    <w:p w:rsidR="00D35590" w:rsidRDefault="00D35590">
      <w:pPr>
        <w:pStyle w:val="BodyText"/>
        <w:rPr>
          <w:sz w:val="22"/>
        </w:rPr>
      </w:pPr>
    </w:p>
    <w:p w:rsidR="00D35590" w:rsidRDefault="00D75DDE">
      <w:pPr>
        <w:pStyle w:val="BodyText"/>
        <w:ind w:left="140" w:right="1469"/>
      </w:pPr>
      <w:r>
        <w:t>Note 5 – The control limits generated by the laboratory using the procedure in Standard Methods, Method 9020B, shall be used to evaluate method precision.</w:t>
      </w:r>
    </w:p>
    <w:p w:rsidR="00D35590" w:rsidRDefault="00D35590">
      <w:pPr>
        <w:pStyle w:val="BodyText"/>
      </w:pPr>
    </w:p>
    <w:p w:rsidR="00D35590" w:rsidRDefault="00D75DDE">
      <w:pPr>
        <w:pStyle w:val="BodyText"/>
        <w:spacing w:before="1"/>
        <w:ind w:left="140" w:right="977"/>
      </w:pPr>
      <w:r>
        <w:t>Note 6 - The correlation coefficient for the linear regression of the calibration curve data must be ≥ 0.995. Non-linear regressions must have a coefficient of determination of ≥ 0.99, using the appropriate number of standards for the curve.</w:t>
      </w:r>
    </w:p>
    <w:p w:rsidR="00D35590" w:rsidRDefault="00D35590">
      <w:pPr>
        <w:pStyle w:val="BodyText"/>
        <w:spacing w:before="11"/>
        <w:rPr>
          <w:sz w:val="23"/>
        </w:rPr>
      </w:pPr>
    </w:p>
    <w:p w:rsidR="00D35590" w:rsidRDefault="00D75DDE">
      <w:pPr>
        <w:pStyle w:val="BodyText"/>
        <w:ind w:left="140" w:right="1030"/>
      </w:pPr>
      <w:r>
        <w:t>Note 7 - The approved method requires a series of 12 standards. Fewer standards may be acceptable if the sample results fall within the PCU range of the standards used for the visual comparison analysis.</w:t>
      </w:r>
    </w:p>
    <w:p w:rsidR="00D35590" w:rsidRDefault="00D35590">
      <w:pPr>
        <w:sectPr w:rsidR="00D35590">
          <w:pgSz w:w="12240" w:h="15840"/>
          <w:pgMar w:top="1440" w:right="300" w:bottom="800" w:left="940" w:header="0" w:footer="619" w:gutter="0"/>
          <w:cols w:space="720"/>
        </w:sectPr>
      </w:pPr>
    </w:p>
    <w:p w:rsidR="00D35590" w:rsidRDefault="00D35590">
      <w:pPr>
        <w:pStyle w:val="BodyText"/>
        <w:spacing w:before="10"/>
        <w:rPr>
          <w:sz w:val="10"/>
        </w:rPr>
      </w:pPr>
    </w:p>
    <w:p w:rsidR="00D35590" w:rsidRDefault="00D75DDE">
      <w:pPr>
        <w:pStyle w:val="BodyText"/>
        <w:spacing w:before="90"/>
        <w:ind w:left="140"/>
      </w:pPr>
      <w:r>
        <w:t>Note 8 - The DQIs and DQOs for the individual measurements of Ca and Mg apply.</w:t>
      </w:r>
    </w:p>
    <w:p w:rsidR="00D35590" w:rsidRDefault="00D35590">
      <w:pPr>
        <w:pStyle w:val="BodyText"/>
      </w:pPr>
    </w:p>
    <w:p w:rsidR="00D35590" w:rsidRDefault="00D75DDE">
      <w:pPr>
        <w:pStyle w:val="BodyText"/>
        <w:ind w:left="140" w:right="849"/>
      </w:pPr>
      <w:r>
        <w:t>Note 9 - Calibration verifications for dissolved oxygen must be within ± 0.3 mg/L of the standard saturation value for the measured temperature, as prescribed in DEP SOP FT 1500.</w:t>
      </w:r>
    </w:p>
    <w:p w:rsidR="00D35590" w:rsidRDefault="00D35590">
      <w:pPr>
        <w:pStyle w:val="BodyText"/>
      </w:pPr>
    </w:p>
    <w:p w:rsidR="00D35590" w:rsidRDefault="00D75DDE">
      <w:pPr>
        <w:pStyle w:val="BodyText"/>
        <w:ind w:left="140" w:right="849"/>
      </w:pPr>
      <w:r>
        <w:t>Note 10 - Calibration verifications for ICP analyses must be with 95% - 105%. Analyses by other techniques must be within 90% - 110%.</w:t>
      </w:r>
    </w:p>
    <w:p w:rsidR="00D35590" w:rsidRDefault="00D35590">
      <w:pPr>
        <w:pStyle w:val="BodyText"/>
      </w:pPr>
    </w:p>
    <w:p w:rsidR="00D35590" w:rsidRDefault="00D75DDE">
      <w:pPr>
        <w:pStyle w:val="BodyText"/>
        <w:ind w:left="140" w:right="830"/>
      </w:pPr>
      <w:r>
        <w:t>Note11 – Calibration verifications for pH must be within ± 0.2 standard pH units of the measured buffer value.</w:t>
      </w:r>
    </w:p>
    <w:p w:rsidR="00D35590" w:rsidRDefault="00D35590">
      <w:pPr>
        <w:pStyle w:val="BodyText"/>
      </w:pPr>
    </w:p>
    <w:p w:rsidR="00D35590" w:rsidRDefault="00D75DDE">
      <w:pPr>
        <w:pStyle w:val="BodyText"/>
        <w:ind w:left="139" w:right="883"/>
      </w:pPr>
      <w:r>
        <w:t>Note 12 - Calibration verifications for turbidity must be within the limits for the applicable NTU ranges as prescribed in DEP SOP FT 1600.</w:t>
      </w:r>
    </w:p>
    <w:p w:rsidR="00D35590" w:rsidRDefault="00D35590">
      <w:pPr>
        <w:pStyle w:val="BodyText"/>
      </w:pPr>
    </w:p>
    <w:p w:rsidR="00D35590" w:rsidRDefault="00D75DDE">
      <w:pPr>
        <w:pStyle w:val="BodyText"/>
        <w:ind w:left="139" w:right="936"/>
      </w:pPr>
      <w:r>
        <w:t>Note 13 - Flame or furnace: 4 standards; ICP-ES or ICP-MS: calibration blank and high standard; Cold vapor AA or Fluorescence (Hg): 5 standards and blank.</w:t>
      </w:r>
    </w:p>
    <w:p w:rsidR="00D35590" w:rsidRDefault="00D35590">
      <w:pPr>
        <w:pStyle w:val="BodyText"/>
      </w:pPr>
    </w:p>
    <w:p w:rsidR="00D35590" w:rsidRDefault="00D75DDE">
      <w:pPr>
        <w:pStyle w:val="BodyText"/>
        <w:ind w:left="139" w:right="817"/>
      </w:pPr>
      <w:r>
        <w:t>Note 14 - Method requirements and options for evaluation of the calibration curve shall apply. The number of standards used for the curve shall be as specified in the approved method. If the method does not specify the number of standards to use to construct the calibration curve, a minimum of 2 calibration standards and a calibration blank shall be used. The method requirements and options shall be used for all calibration verifications.</w:t>
      </w:r>
    </w:p>
    <w:p w:rsidR="00D35590" w:rsidRDefault="00D35590">
      <w:pPr>
        <w:pStyle w:val="BodyText"/>
      </w:pPr>
    </w:p>
    <w:p w:rsidR="00D35590" w:rsidRDefault="00D75DDE">
      <w:pPr>
        <w:pStyle w:val="BodyText"/>
        <w:ind w:left="139" w:right="849"/>
      </w:pPr>
      <w:r>
        <w:t>Note 15 - A minimum of 2 calibration standards shall be used to calibrate or verify the instrument per the applicable DEP SOP for the test, such that the associated sample results are quantitatively bracketed by the concentrations of the calibration standards.</w:t>
      </w:r>
    </w:p>
    <w:p w:rsidR="00D35590" w:rsidRDefault="00D35590">
      <w:pPr>
        <w:pStyle w:val="BodyText"/>
      </w:pPr>
    </w:p>
    <w:p w:rsidR="00D35590" w:rsidRDefault="00D75DDE">
      <w:pPr>
        <w:pStyle w:val="BodyText"/>
        <w:ind w:left="139" w:right="797"/>
      </w:pPr>
      <w:r>
        <w:t>Note 16 - The usability of the reported PQL concentration for fresh water metals shall be evaluated based on the relevant hardness value and applicable water quality standard in 62-302.530, or for marine waters, the reported PQL concentration shall be evaluated based on the applicable water quality standard in 62-302.530, except that the provisions for an alternative PQL per 62-4.246(4) shall be used as the basis of evaluation in considering the lowest achievable PQL, if necessary because of analytical technology limitations, or where a numerical water quality standard does not apply.</w:t>
      </w:r>
    </w:p>
    <w:p w:rsidR="00D35590" w:rsidRDefault="00D35590">
      <w:pPr>
        <w:pStyle w:val="BodyText"/>
      </w:pPr>
    </w:p>
    <w:p w:rsidR="00D35590" w:rsidRDefault="00D75DDE">
      <w:pPr>
        <w:pStyle w:val="BodyText"/>
        <w:spacing w:before="1"/>
        <w:ind w:left="139" w:right="943"/>
      </w:pPr>
      <w:r>
        <w:t>Note 17 - The usability of the reported PQL concentration shall be evaluated based on the applicable water quality standard in 62-302.530, except that the provisions for an alternative PQL per 62-4.246(4) shall be used as the basis of evaluation in considering the lowest achievable PQL, if necessary because of analytical technology limitations, or where a numerical water quality standard does not apply.</w:t>
      </w:r>
    </w:p>
    <w:p w:rsidR="00D35590" w:rsidRDefault="00D35590">
      <w:pPr>
        <w:pStyle w:val="BodyText"/>
      </w:pPr>
    </w:p>
    <w:p w:rsidR="00D35590" w:rsidRDefault="00D75DDE">
      <w:pPr>
        <w:pStyle w:val="BodyText"/>
        <w:ind w:left="139" w:right="967"/>
      </w:pPr>
      <w:r>
        <w:t>Note 18 - All biology lab and field procedures, including quality assurance requirements, are found in DEP SOPs FA 1000, FS 7000, FT 3000, LQ 1000, and LT 7000, BRN 1000, SCI 1000, and LVI 1000.</w:t>
      </w:r>
    </w:p>
    <w:p w:rsidR="00D35590" w:rsidRDefault="00D6082D">
      <w:pPr>
        <w:pStyle w:val="BodyText"/>
        <w:ind w:left="139"/>
      </w:pPr>
      <w:hyperlink r:id="rId71">
        <w:r w:rsidR="00D75DDE">
          <w:rPr>
            <w:color w:val="0000FF"/>
            <w:u w:val="single" w:color="0000FF"/>
          </w:rPr>
          <w:t>https://floridadep.gov/dear/quality-assurance/content/dep-sops</w:t>
        </w:r>
      </w:hyperlink>
    </w:p>
    <w:sectPr w:rsidR="00D35590">
      <w:pgSz w:w="12240" w:h="15840"/>
      <w:pgMar w:top="1500" w:right="300" w:bottom="880" w:left="940" w:header="0" w:footer="6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5DDE" w:rsidRDefault="00D75DDE">
      <w:r>
        <w:separator/>
      </w:r>
    </w:p>
  </w:endnote>
  <w:endnote w:type="continuationSeparator" w:id="0">
    <w:p w:rsidR="00D75DDE" w:rsidRDefault="00D75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5590" w:rsidRDefault="00257E93">
    <w:pPr>
      <w:pStyle w:val="BodyText"/>
      <w:spacing w:line="14" w:lineRule="auto"/>
      <w:rPr>
        <w:sz w:val="12"/>
      </w:rPr>
    </w:pPr>
    <w:r>
      <w:rPr>
        <w:noProof/>
      </w:rPr>
      <mc:AlternateContent>
        <mc:Choice Requires="wps">
          <w:drawing>
            <wp:anchor distT="0" distB="0" distL="114300" distR="114300" simplePos="0" relativeHeight="486598656" behindDoc="1" locked="0" layoutInCell="1" allowOverlap="1">
              <wp:simplePos x="0" y="0"/>
              <wp:positionH relativeFrom="page">
                <wp:posOffset>673100</wp:posOffset>
              </wp:positionH>
              <wp:positionV relativeFrom="page">
                <wp:posOffset>9474835</wp:posOffset>
              </wp:positionV>
              <wp:extent cx="914400" cy="139700"/>
              <wp:effectExtent l="0" t="0" r="0" b="0"/>
              <wp:wrapNone/>
              <wp:docPr id="5"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before="15"/>
                            <w:ind w:left="20"/>
                            <w:rPr>
                              <w:rFonts w:ascii="Arial"/>
                              <w:sz w:val="16"/>
                            </w:rPr>
                          </w:pPr>
                          <w:r>
                            <w:rPr>
                              <w:rFonts w:ascii="Arial"/>
                              <w:sz w:val="16"/>
                            </w:rPr>
                            <w:t>WQSP Quality 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53pt;margin-top:746.05pt;width:1in;height:11pt;z-index:-1671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" filled="f" stroked="f">
              <v:textbox inset="0,0,0,0">
                <w:txbxContent>
                  <w:p w:rsidR="00D35590" w:rsidRDefault="00D75DDE">
                    <w:pPr>
                      <w:spacing w:before="15"/>
                      <w:ind w:left="20"/>
                      <w:rPr>
                        <w:rFonts w:ascii="Arial"/>
                        <w:sz w:val="16"/>
                      </w:rPr>
                    </w:pPr>
                    <w:r>
                      <w:rPr>
                        <w:rFonts w:ascii="Arial"/>
                        <w:sz w:val="16"/>
                      </w:rPr>
                      <w:t>WQSP Quality Plan</w:t>
                    </w:r>
                  </w:p>
                </w:txbxContent>
              </v:textbox>
              <w10:wrap anchorx="page" anchory="page"/>
            </v:shape>
          </w:pict>
        </mc:Fallback>
      </mc:AlternateContent>
    </w:r>
    <w:r>
      <w:rPr>
        <w:noProof/>
      </w:rPr>
      <mc:AlternateContent>
        <mc:Choice Requires="wps">
          <w:drawing>
            <wp:anchor distT="0" distB="0" distL="114300" distR="114300" simplePos="0" relativeHeight="486599168" behindDoc="1" locked="0" layoutInCell="1" allowOverlap="1">
              <wp:simplePos x="0" y="0"/>
              <wp:positionH relativeFrom="page">
                <wp:posOffset>3100705</wp:posOffset>
              </wp:positionH>
              <wp:positionV relativeFrom="page">
                <wp:posOffset>9474835</wp:posOffset>
              </wp:positionV>
              <wp:extent cx="697865" cy="139700"/>
              <wp:effectExtent l="0" t="0" r="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86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39</w:t>
                          </w:r>
                          <w:r>
                            <w:fldChar w:fldCharType="end"/>
                          </w:r>
                          <w:r>
                            <w:rPr>
                              <w:rFonts w:ascii="Arial"/>
                              <w:sz w:val="16"/>
                            </w:rPr>
                            <w:t xml:space="preserve"> of 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244.15pt;margin-top:746.05pt;width:54.95pt;height:11pt;z-index:-167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" filled="f" stroked="f">
              <v:textbox inset="0,0,0,0">
                <w:txbxContent>
                  <w:p w:rsidR="00D35590" w:rsidRDefault="00D75DDE">
                    <w:pPr>
                      <w:spacing w:before="15"/>
                      <w:ind w:left="20"/>
                      <w:rPr>
                        <w:rFonts w:ascii="Arial"/>
                        <w:sz w:val="16"/>
                      </w:rPr>
                    </w:pPr>
                    <w:r>
                      <w:rPr>
                        <w:rFonts w:ascii="Arial"/>
                        <w:sz w:val="16"/>
                      </w:rPr>
                      <w:t xml:space="preserve">Page </w:t>
                    </w:r>
                    <w:r>
                      <w:fldChar w:fldCharType="begin"/>
                    </w:r>
                    <w:r>
                      <w:rPr>
                        <w:rFonts w:ascii="Arial"/>
                        <w:sz w:val="16"/>
                      </w:rPr>
                      <w:instrText xml:space="preserve"> PAGE </w:instrText>
                    </w:r>
                    <w:r>
                      <w:fldChar w:fldCharType="separate"/>
                    </w:r>
                    <w:r>
                      <w:t>39</w:t>
                    </w:r>
                    <w:r>
                      <w:fldChar w:fldCharType="end"/>
                    </w:r>
                    <w:r>
                      <w:rPr>
                        <w:rFonts w:ascii="Arial"/>
                        <w:sz w:val="16"/>
                      </w:rPr>
                      <w:t xml:space="preserve"> of 45</w:t>
                    </w:r>
                  </w:p>
                </w:txbxContent>
              </v:textbox>
              <w10:wrap anchorx="page" anchory="page"/>
            </v:shape>
          </w:pict>
        </mc:Fallback>
      </mc:AlternateContent>
    </w:r>
    <w:r>
      <w:rPr>
        <w:noProof/>
      </w:rPr>
      <mc:AlternateContent>
        <mc:Choice Requires="wps">
          <w:drawing>
            <wp:anchor distT="0" distB="0" distL="114300" distR="114300" simplePos="0" relativeHeight="486599680" behindDoc="1" locked="0" layoutInCell="1" allowOverlap="1">
              <wp:simplePos x="0" y="0"/>
              <wp:positionH relativeFrom="page">
                <wp:posOffset>5401945</wp:posOffset>
              </wp:positionH>
              <wp:positionV relativeFrom="page">
                <wp:posOffset>9474835</wp:posOffset>
              </wp:positionV>
              <wp:extent cx="782955" cy="139700"/>
              <wp:effectExtent l="0" t="0" r="0" b="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9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590" w:rsidRDefault="00D75DDE">
                          <w:pPr>
                            <w:spacing w:before="15"/>
                            <w:ind w:left="20"/>
                            <w:rPr>
                              <w:rFonts w:ascii="Arial"/>
                              <w:sz w:val="16"/>
                            </w:rPr>
                          </w:pPr>
                          <w:r>
                            <w:rPr>
                              <w:rFonts w:ascii="Arial"/>
                              <w:sz w:val="16"/>
                            </w:rPr>
                            <w:t>Rev. 11-09-2020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2" type="#_x0000_t202" style="position:absolute;margin-left:425.35pt;margin-top:746.05pt;width:61.65pt;height:11pt;z-index:-1671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" filled="f" stroked="f">
              <v:textbox inset="0,0,0,0">
                <w:txbxContent>
                  <w:p w:rsidR="00D35590" w:rsidRDefault="00D75DDE">
                    <w:pPr>
                      <w:spacing w:before="15"/>
                      <w:ind w:left="20"/>
                      <w:rPr>
                        <w:rFonts w:ascii="Arial"/>
                        <w:sz w:val="16"/>
                      </w:rPr>
                    </w:pPr>
                    <w:r>
                      <w:rPr>
                        <w:rFonts w:ascii="Arial"/>
                        <w:sz w:val="16"/>
                      </w:rPr>
                      <w:t>Rev. 11-09-2020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5DDE" w:rsidRDefault="00D75DDE">
      <w:r>
        <w:separator/>
      </w:r>
    </w:p>
  </w:footnote>
  <w:footnote w:type="continuationSeparator" w:id="0">
    <w:p w:rsidR="00D75DDE" w:rsidRDefault="00D75D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6BEA"/>
    <w:multiLevelType w:val="hybridMultilevel"/>
    <w:tmpl w:val="66089716"/>
    <w:lvl w:ilvl="0" w:tplc="9B48B13A">
      <w:numFmt w:val="bullet"/>
      <w:lvlText w:val=""/>
      <w:lvlJc w:val="left"/>
      <w:pPr>
        <w:ind w:left="1220" w:hanging="360"/>
      </w:pPr>
      <w:rPr>
        <w:rFonts w:ascii="Symbol" w:eastAsia="Symbol" w:hAnsi="Symbol" w:cs="Symbol" w:hint="default"/>
        <w:w w:val="100"/>
        <w:sz w:val="24"/>
        <w:szCs w:val="24"/>
        <w:lang w:val="en-US" w:eastAsia="en-US" w:bidi="ar-SA"/>
      </w:rPr>
    </w:lvl>
    <w:lvl w:ilvl="1" w:tplc="896A4DEA">
      <w:numFmt w:val="bullet"/>
      <w:lvlText w:val="•"/>
      <w:lvlJc w:val="left"/>
      <w:pPr>
        <w:ind w:left="2198" w:hanging="360"/>
      </w:pPr>
      <w:rPr>
        <w:rFonts w:hint="default"/>
        <w:lang w:val="en-US" w:eastAsia="en-US" w:bidi="ar-SA"/>
      </w:rPr>
    </w:lvl>
    <w:lvl w:ilvl="2" w:tplc="96886126">
      <w:numFmt w:val="bullet"/>
      <w:lvlText w:val="•"/>
      <w:lvlJc w:val="left"/>
      <w:pPr>
        <w:ind w:left="3176" w:hanging="360"/>
      </w:pPr>
      <w:rPr>
        <w:rFonts w:hint="default"/>
        <w:lang w:val="en-US" w:eastAsia="en-US" w:bidi="ar-SA"/>
      </w:rPr>
    </w:lvl>
    <w:lvl w:ilvl="3" w:tplc="777419C2">
      <w:numFmt w:val="bullet"/>
      <w:lvlText w:val="•"/>
      <w:lvlJc w:val="left"/>
      <w:pPr>
        <w:ind w:left="4154" w:hanging="360"/>
      </w:pPr>
      <w:rPr>
        <w:rFonts w:hint="default"/>
        <w:lang w:val="en-US" w:eastAsia="en-US" w:bidi="ar-SA"/>
      </w:rPr>
    </w:lvl>
    <w:lvl w:ilvl="4" w:tplc="ACFA7518">
      <w:numFmt w:val="bullet"/>
      <w:lvlText w:val="•"/>
      <w:lvlJc w:val="left"/>
      <w:pPr>
        <w:ind w:left="5132" w:hanging="360"/>
      </w:pPr>
      <w:rPr>
        <w:rFonts w:hint="default"/>
        <w:lang w:val="en-US" w:eastAsia="en-US" w:bidi="ar-SA"/>
      </w:rPr>
    </w:lvl>
    <w:lvl w:ilvl="5" w:tplc="AE7AF030">
      <w:numFmt w:val="bullet"/>
      <w:lvlText w:val="•"/>
      <w:lvlJc w:val="left"/>
      <w:pPr>
        <w:ind w:left="6110" w:hanging="360"/>
      </w:pPr>
      <w:rPr>
        <w:rFonts w:hint="default"/>
        <w:lang w:val="en-US" w:eastAsia="en-US" w:bidi="ar-SA"/>
      </w:rPr>
    </w:lvl>
    <w:lvl w:ilvl="6" w:tplc="0964AC2A">
      <w:numFmt w:val="bullet"/>
      <w:lvlText w:val="•"/>
      <w:lvlJc w:val="left"/>
      <w:pPr>
        <w:ind w:left="7088" w:hanging="360"/>
      </w:pPr>
      <w:rPr>
        <w:rFonts w:hint="default"/>
        <w:lang w:val="en-US" w:eastAsia="en-US" w:bidi="ar-SA"/>
      </w:rPr>
    </w:lvl>
    <w:lvl w:ilvl="7" w:tplc="79D0BDD4">
      <w:numFmt w:val="bullet"/>
      <w:lvlText w:val="•"/>
      <w:lvlJc w:val="left"/>
      <w:pPr>
        <w:ind w:left="8066" w:hanging="360"/>
      </w:pPr>
      <w:rPr>
        <w:rFonts w:hint="default"/>
        <w:lang w:val="en-US" w:eastAsia="en-US" w:bidi="ar-SA"/>
      </w:rPr>
    </w:lvl>
    <w:lvl w:ilvl="8" w:tplc="E2625B4C">
      <w:numFmt w:val="bullet"/>
      <w:lvlText w:val="•"/>
      <w:lvlJc w:val="left"/>
      <w:pPr>
        <w:ind w:left="9044" w:hanging="360"/>
      </w:pPr>
      <w:rPr>
        <w:rFonts w:hint="default"/>
        <w:lang w:val="en-US" w:eastAsia="en-US" w:bidi="ar-SA"/>
      </w:rPr>
    </w:lvl>
  </w:abstractNum>
  <w:abstractNum w:abstractNumId="1" w15:restartNumberingAfterBreak="0">
    <w:nsid w:val="11884AE2"/>
    <w:multiLevelType w:val="multilevel"/>
    <w:tmpl w:val="A9AA6FB4"/>
    <w:lvl w:ilvl="0">
      <w:start w:val="1"/>
      <w:numFmt w:val="decimal"/>
      <w:lvlText w:val="%1."/>
      <w:lvlJc w:val="left"/>
      <w:pPr>
        <w:ind w:left="680" w:hanging="540"/>
        <w:jc w:val="left"/>
      </w:pPr>
      <w:rPr>
        <w:rFonts w:ascii="Cambria" w:eastAsia="Cambria" w:hAnsi="Cambria" w:cs="Cambria" w:hint="default"/>
        <w:b/>
        <w:bCs/>
        <w:spacing w:val="-1"/>
        <w:w w:val="100"/>
        <w:sz w:val="24"/>
        <w:szCs w:val="24"/>
        <w:lang w:val="en-US" w:eastAsia="en-US" w:bidi="ar-SA"/>
      </w:rPr>
    </w:lvl>
    <w:lvl w:ilvl="1">
      <w:start w:val="1"/>
      <w:numFmt w:val="decimal"/>
      <w:lvlText w:val="%1.%2"/>
      <w:lvlJc w:val="left"/>
      <w:pPr>
        <w:ind w:left="680" w:hanging="540"/>
        <w:jc w:val="left"/>
      </w:pPr>
      <w:rPr>
        <w:rFonts w:ascii="Calibri" w:eastAsia="Calibri" w:hAnsi="Calibri" w:cs="Calibri" w:hint="default"/>
        <w:b/>
        <w:bCs/>
        <w:spacing w:val="-1"/>
        <w:w w:val="99"/>
        <w:sz w:val="20"/>
        <w:szCs w:val="20"/>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113" w:hanging="720"/>
      </w:pPr>
      <w:rPr>
        <w:rFonts w:hint="default"/>
        <w:lang w:val="en-US" w:eastAsia="en-US" w:bidi="ar-SA"/>
      </w:rPr>
    </w:lvl>
    <w:lvl w:ilvl="4">
      <w:numFmt w:val="bullet"/>
      <w:lvlText w:val="•"/>
      <w:lvlJc w:val="left"/>
      <w:pPr>
        <w:ind w:left="4240" w:hanging="720"/>
      </w:pPr>
      <w:rPr>
        <w:rFonts w:hint="default"/>
        <w:lang w:val="en-US" w:eastAsia="en-US" w:bidi="ar-SA"/>
      </w:rPr>
    </w:lvl>
    <w:lvl w:ilvl="5">
      <w:numFmt w:val="bullet"/>
      <w:lvlText w:val="•"/>
      <w:lvlJc w:val="left"/>
      <w:pPr>
        <w:ind w:left="5366" w:hanging="720"/>
      </w:pPr>
      <w:rPr>
        <w:rFonts w:hint="default"/>
        <w:lang w:val="en-US" w:eastAsia="en-US" w:bidi="ar-SA"/>
      </w:rPr>
    </w:lvl>
    <w:lvl w:ilvl="6">
      <w:numFmt w:val="bullet"/>
      <w:lvlText w:val="•"/>
      <w:lvlJc w:val="left"/>
      <w:pPr>
        <w:ind w:left="6493" w:hanging="720"/>
      </w:pPr>
      <w:rPr>
        <w:rFonts w:hint="default"/>
        <w:lang w:val="en-US" w:eastAsia="en-US" w:bidi="ar-SA"/>
      </w:rPr>
    </w:lvl>
    <w:lvl w:ilvl="7">
      <w:numFmt w:val="bullet"/>
      <w:lvlText w:val="•"/>
      <w:lvlJc w:val="left"/>
      <w:pPr>
        <w:ind w:left="7620" w:hanging="720"/>
      </w:pPr>
      <w:rPr>
        <w:rFonts w:hint="default"/>
        <w:lang w:val="en-US" w:eastAsia="en-US" w:bidi="ar-SA"/>
      </w:rPr>
    </w:lvl>
    <w:lvl w:ilvl="8">
      <w:numFmt w:val="bullet"/>
      <w:lvlText w:val="•"/>
      <w:lvlJc w:val="left"/>
      <w:pPr>
        <w:ind w:left="8746" w:hanging="720"/>
      </w:pPr>
      <w:rPr>
        <w:rFonts w:hint="default"/>
        <w:lang w:val="en-US" w:eastAsia="en-US" w:bidi="ar-SA"/>
      </w:rPr>
    </w:lvl>
  </w:abstractNum>
  <w:abstractNum w:abstractNumId="2" w15:restartNumberingAfterBreak="0">
    <w:nsid w:val="15453278"/>
    <w:multiLevelType w:val="multilevel"/>
    <w:tmpl w:val="DF569848"/>
    <w:lvl w:ilvl="0">
      <w:start w:val="6"/>
      <w:numFmt w:val="decimal"/>
      <w:lvlText w:val="%1"/>
      <w:lvlJc w:val="left"/>
      <w:pPr>
        <w:ind w:left="860" w:hanging="720"/>
        <w:jc w:val="left"/>
      </w:pPr>
      <w:rPr>
        <w:rFonts w:hint="default"/>
        <w:lang w:val="en-US" w:eastAsia="en-US" w:bidi="ar-SA"/>
      </w:rPr>
    </w:lvl>
    <w:lvl w:ilvl="1">
      <w:start w:val="2"/>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3" w15:restartNumberingAfterBreak="0">
    <w:nsid w:val="15A20EE1"/>
    <w:multiLevelType w:val="hybridMultilevel"/>
    <w:tmpl w:val="02C6E72A"/>
    <w:lvl w:ilvl="0" w:tplc="F8C094F0">
      <w:numFmt w:val="bullet"/>
      <w:lvlText w:val=""/>
      <w:lvlJc w:val="left"/>
      <w:pPr>
        <w:ind w:left="1220" w:hanging="360"/>
      </w:pPr>
      <w:rPr>
        <w:rFonts w:ascii="Symbol" w:eastAsia="Symbol" w:hAnsi="Symbol" w:cs="Symbol" w:hint="default"/>
        <w:w w:val="100"/>
        <w:sz w:val="24"/>
        <w:szCs w:val="24"/>
        <w:lang w:val="en-US" w:eastAsia="en-US" w:bidi="ar-SA"/>
      </w:rPr>
    </w:lvl>
    <w:lvl w:ilvl="1" w:tplc="33EA1A58">
      <w:numFmt w:val="bullet"/>
      <w:lvlText w:val="•"/>
      <w:lvlJc w:val="left"/>
      <w:pPr>
        <w:ind w:left="2198" w:hanging="360"/>
      </w:pPr>
      <w:rPr>
        <w:rFonts w:hint="default"/>
        <w:lang w:val="en-US" w:eastAsia="en-US" w:bidi="ar-SA"/>
      </w:rPr>
    </w:lvl>
    <w:lvl w:ilvl="2" w:tplc="06DA561E">
      <w:numFmt w:val="bullet"/>
      <w:lvlText w:val="•"/>
      <w:lvlJc w:val="left"/>
      <w:pPr>
        <w:ind w:left="3176" w:hanging="360"/>
      </w:pPr>
      <w:rPr>
        <w:rFonts w:hint="default"/>
        <w:lang w:val="en-US" w:eastAsia="en-US" w:bidi="ar-SA"/>
      </w:rPr>
    </w:lvl>
    <w:lvl w:ilvl="3" w:tplc="1A1AD73E">
      <w:numFmt w:val="bullet"/>
      <w:lvlText w:val="•"/>
      <w:lvlJc w:val="left"/>
      <w:pPr>
        <w:ind w:left="4154" w:hanging="360"/>
      </w:pPr>
      <w:rPr>
        <w:rFonts w:hint="default"/>
        <w:lang w:val="en-US" w:eastAsia="en-US" w:bidi="ar-SA"/>
      </w:rPr>
    </w:lvl>
    <w:lvl w:ilvl="4" w:tplc="DCB6B1DA">
      <w:numFmt w:val="bullet"/>
      <w:lvlText w:val="•"/>
      <w:lvlJc w:val="left"/>
      <w:pPr>
        <w:ind w:left="5132" w:hanging="360"/>
      </w:pPr>
      <w:rPr>
        <w:rFonts w:hint="default"/>
        <w:lang w:val="en-US" w:eastAsia="en-US" w:bidi="ar-SA"/>
      </w:rPr>
    </w:lvl>
    <w:lvl w:ilvl="5" w:tplc="7662227E">
      <w:numFmt w:val="bullet"/>
      <w:lvlText w:val="•"/>
      <w:lvlJc w:val="left"/>
      <w:pPr>
        <w:ind w:left="6110" w:hanging="360"/>
      </w:pPr>
      <w:rPr>
        <w:rFonts w:hint="default"/>
        <w:lang w:val="en-US" w:eastAsia="en-US" w:bidi="ar-SA"/>
      </w:rPr>
    </w:lvl>
    <w:lvl w:ilvl="6" w:tplc="BC6AC916">
      <w:numFmt w:val="bullet"/>
      <w:lvlText w:val="•"/>
      <w:lvlJc w:val="left"/>
      <w:pPr>
        <w:ind w:left="7088" w:hanging="360"/>
      </w:pPr>
      <w:rPr>
        <w:rFonts w:hint="default"/>
        <w:lang w:val="en-US" w:eastAsia="en-US" w:bidi="ar-SA"/>
      </w:rPr>
    </w:lvl>
    <w:lvl w:ilvl="7" w:tplc="043CC658">
      <w:numFmt w:val="bullet"/>
      <w:lvlText w:val="•"/>
      <w:lvlJc w:val="left"/>
      <w:pPr>
        <w:ind w:left="8066" w:hanging="360"/>
      </w:pPr>
      <w:rPr>
        <w:rFonts w:hint="default"/>
        <w:lang w:val="en-US" w:eastAsia="en-US" w:bidi="ar-SA"/>
      </w:rPr>
    </w:lvl>
    <w:lvl w:ilvl="8" w:tplc="D55470D8">
      <w:numFmt w:val="bullet"/>
      <w:lvlText w:val="•"/>
      <w:lvlJc w:val="left"/>
      <w:pPr>
        <w:ind w:left="9044" w:hanging="360"/>
      </w:pPr>
      <w:rPr>
        <w:rFonts w:hint="default"/>
        <w:lang w:val="en-US" w:eastAsia="en-US" w:bidi="ar-SA"/>
      </w:rPr>
    </w:lvl>
  </w:abstractNum>
  <w:abstractNum w:abstractNumId="4" w15:restartNumberingAfterBreak="0">
    <w:nsid w:val="1BFC37DD"/>
    <w:multiLevelType w:val="multilevel"/>
    <w:tmpl w:val="6F9AE444"/>
    <w:lvl w:ilvl="0">
      <w:start w:val="10"/>
      <w:numFmt w:val="decimal"/>
      <w:lvlText w:val="%1"/>
      <w:lvlJc w:val="left"/>
      <w:pPr>
        <w:ind w:left="860" w:hanging="720"/>
        <w:jc w:val="left"/>
      </w:pPr>
      <w:rPr>
        <w:rFonts w:hint="default"/>
        <w:lang w:val="en-US" w:eastAsia="en-US" w:bidi="ar-SA"/>
      </w:rPr>
    </w:lvl>
    <w:lvl w:ilvl="1">
      <w:start w:val="3"/>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5" w15:restartNumberingAfterBreak="0">
    <w:nsid w:val="27A76F12"/>
    <w:multiLevelType w:val="multilevel"/>
    <w:tmpl w:val="9F4A60D8"/>
    <w:lvl w:ilvl="0">
      <w:start w:val="8"/>
      <w:numFmt w:val="decimal"/>
      <w:lvlText w:val="%1"/>
      <w:lvlJc w:val="left"/>
      <w:pPr>
        <w:ind w:left="860" w:hanging="720"/>
        <w:jc w:val="left"/>
      </w:pPr>
      <w:rPr>
        <w:rFonts w:hint="default"/>
        <w:lang w:val="en-US" w:eastAsia="en-US" w:bidi="ar-SA"/>
      </w:rPr>
    </w:lvl>
    <w:lvl w:ilvl="1">
      <w:start w:val="4"/>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6" w15:restartNumberingAfterBreak="0">
    <w:nsid w:val="2B4E13EF"/>
    <w:multiLevelType w:val="multilevel"/>
    <w:tmpl w:val="C4882C5C"/>
    <w:lvl w:ilvl="0">
      <w:start w:val="5"/>
      <w:numFmt w:val="decimal"/>
      <w:lvlText w:val="%1"/>
      <w:lvlJc w:val="left"/>
      <w:pPr>
        <w:ind w:left="860" w:hanging="720"/>
        <w:jc w:val="left"/>
      </w:pPr>
      <w:rPr>
        <w:rFonts w:hint="default"/>
        <w:lang w:val="en-US" w:eastAsia="en-US" w:bidi="ar-SA"/>
      </w:rPr>
    </w:lvl>
    <w:lvl w:ilvl="1">
      <w:start w:val="3"/>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7" w15:restartNumberingAfterBreak="0">
    <w:nsid w:val="340E45E5"/>
    <w:multiLevelType w:val="multilevel"/>
    <w:tmpl w:val="4802F5E0"/>
    <w:lvl w:ilvl="0">
      <w:start w:val="10"/>
      <w:numFmt w:val="decimal"/>
      <w:lvlText w:val="%1"/>
      <w:lvlJc w:val="left"/>
      <w:pPr>
        <w:ind w:left="860" w:hanging="720"/>
        <w:jc w:val="left"/>
      </w:pPr>
      <w:rPr>
        <w:rFonts w:hint="default"/>
        <w:lang w:val="en-US" w:eastAsia="en-US" w:bidi="ar-SA"/>
      </w:rPr>
    </w:lvl>
    <w:lvl w:ilvl="1">
      <w:start w:val="2"/>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8" w15:restartNumberingAfterBreak="0">
    <w:nsid w:val="3DEF4360"/>
    <w:multiLevelType w:val="multilevel"/>
    <w:tmpl w:val="2CA04EAA"/>
    <w:lvl w:ilvl="0">
      <w:start w:val="1"/>
      <w:numFmt w:val="decimal"/>
      <w:lvlText w:val="%1."/>
      <w:lvlJc w:val="left"/>
      <w:pPr>
        <w:ind w:left="679" w:hanging="360"/>
        <w:jc w:val="left"/>
      </w:pPr>
      <w:rPr>
        <w:rFonts w:ascii="Times New Roman" w:eastAsia="Times New Roman" w:hAnsi="Times New Roman" w:cs="Times New Roman" w:hint="default"/>
        <w:b/>
        <w:bCs/>
        <w:spacing w:val="0"/>
        <w:w w:val="100"/>
        <w:sz w:val="28"/>
        <w:szCs w:val="28"/>
        <w:lang w:val="en-US" w:eastAsia="en-US" w:bidi="ar-SA"/>
      </w:rPr>
    </w:lvl>
    <w:lvl w:ilvl="1">
      <w:start w:val="1"/>
      <w:numFmt w:val="decimal"/>
      <w:lvlText w:val="%1.%2"/>
      <w:lvlJc w:val="left"/>
      <w:pPr>
        <w:ind w:left="1167" w:hanging="576"/>
        <w:jc w:val="lef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220" w:hanging="576"/>
      </w:pPr>
      <w:rPr>
        <w:rFonts w:hint="default"/>
        <w:lang w:val="en-US" w:eastAsia="en-US" w:bidi="ar-SA"/>
      </w:rPr>
    </w:lvl>
    <w:lvl w:ilvl="3">
      <w:numFmt w:val="bullet"/>
      <w:lvlText w:val="•"/>
      <w:lvlJc w:val="left"/>
      <w:pPr>
        <w:ind w:left="2442" w:hanging="576"/>
      </w:pPr>
      <w:rPr>
        <w:rFonts w:hint="default"/>
        <w:lang w:val="en-US" w:eastAsia="en-US" w:bidi="ar-SA"/>
      </w:rPr>
    </w:lvl>
    <w:lvl w:ilvl="4">
      <w:numFmt w:val="bullet"/>
      <w:lvlText w:val="•"/>
      <w:lvlJc w:val="left"/>
      <w:pPr>
        <w:ind w:left="3665" w:hanging="576"/>
      </w:pPr>
      <w:rPr>
        <w:rFonts w:hint="default"/>
        <w:lang w:val="en-US" w:eastAsia="en-US" w:bidi="ar-SA"/>
      </w:rPr>
    </w:lvl>
    <w:lvl w:ilvl="5">
      <w:numFmt w:val="bullet"/>
      <w:lvlText w:val="•"/>
      <w:lvlJc w:val="left"/>
      <w:pPr>
        <w:ind w:left="4887" w:hanging="576"/>
      </w:pPr>
      <w:rPr>
        <w:rFonts w:hint="default"/>
        <w:lang w:val="en-US" w:eastAsia="en-US" w:bidi="ar-SA"/>
      </w:rPr>
    </w:lvl>
    <w:lvl w:ilvl="6">
      <w:numFmt w:val="bullet"/>
      <w:lvlText w:val="•"/>
      <w:lvlJc w:val="left"/>
      <w:pPr>
        <w:ind w:left="6110" w:hanging="576"/>
      </w:pPr>
      <w:rPr>
        <w:rFonts w:hint="default"/>
        <w:lang w:val="en-US" w:eastAsia="en-US" w:bidi="ar-SA"/>
      </w:rPr>
    </w:lvl>
    <w:lvl w:ilvl="7">
      <w:numFmt w:val="bullet"/>
      <w:lvlText w:val="•"/>
      <w:lvlJc w:val="left"/>
      <w:pPr>
        <w:ind w:left="7332" w:hanging="576"/>
      </w:pPr>
      <w:rPr>
        <w:rFonts w:hint="default"/>
        <w:lang w:val="en-US" w:eastAsia="en-US" w:bidi="ar-SA"/>
      </w:rPr>
    </w:lvl>
    <w:lvl w:ilvl="8">
      <w:numFmt w:val="bullet"/>
      <w:lvlText w:val="•"/>
      <w:lvlJc w:val="left"/>
      <w:pPr>
        <w:ind w:left="8555" w:hanging="576"/>
      </w:pPr>
      <w:rPr>
        <w:rFonts w:hint="default"/>
        <w:lang w:val="en-US" w:eastAsia="en-US" w:bidi="ar-SA"/>
      </w:rPr>
    </w:lvl>
  </w:abstractNum>
  <w:abstractNum w:abstractNumId="9" w15:restartNumberingAfterBreak="0">
    <w:nsid w:val="3F921552"/>
    <w:multiLevelType w:val="multilevel"/>
    <w:tmpl w:val="4D307928"/>
    <w:lvl w:ilvl="0">
      <w:start w:val="8"/>
      <w:numFmt w:val="decimal"/>
      <w:lvlText w:val="%1"/>
      <w:lvlJc w:val="left"/>
      <w:pPr>
        <w:ind w:left="860" w:hanging="720"/>
        <w:jc w:val="left"/>
      </w:pPr>
      <w:rPr>
        <w:rFonts w:hint="default"/>
        <w:lang w:val="en-US" w:eastAsia="en-US" w:bidi="ar-SA"/>
      </w:rPr>
    </w:lvl>
    <w:lvl w:ilvl="1">
      <w:start w:val="5"/>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1220" w:hanging="360"/>
      </w:pPr>
      <w:rPr>
        <w:rFonts w:ascii="Symbol" w:eastAsia="Symbol" w:hAnsi="Symbol" w:cs="Symbol" w:hint="default"/>
        <w:w w:val="100"/>
        <w:sz w:val="24"/>
        <w:szCs w:val="24"/>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566" w:hanging="360"/>
      </w:pPr>
      <w:rPr>
        <w:rFonts w:hint="default"/>
        <w:lang w:val="en-US" w:eastAsia="en-US" w:bidi="ar-SA"/>
      </w:rPr>
    </w:lvl>
    <w:lvl w:ilvl="6">
      <w:numFmt w:val="bullet"/>
      <w:lvlText w:val="•"/>
      <w:lvlJc w:val="left"/>
      <w:pPr>
        <w:ind w:left="6653" w:hanging="360"/>
      </w:pPr>
      <w:rPr>
        <w:rFonts w:hint="default"/>
        <w:lang w:val="en-US" w:eastAsia="en-US" w:bidi="ar-SA"/>
      </w:rPr>
    </w:lvl>
    <w:lvl w:ilvl="7">
      <w:numFmt w:val="bullet"/>
      <w:lvlText w:val="•"/>
      <w:lvlJc w:val="left"/>
      <w:pPr>
        <w:ind w:left="7740" w:hanging="360"/>
      </w:pPr>
      <w:rPr>
        <w:rFonts w:hint="default"/>
        <w:lang w:val="en-US" w:eastAsia="en-US" w:bidi="ar-SA"/>
      </w:rPr>
    </w:lvl>
    <w:lvl w:ilvl="8">
      <w:numFmt w:val="bullet"/>
      <w:lvlText w:val="•"/>
      <w:lvlJc w:val="left"/>
      <w:pPr>
        <w:ind w:left="8826" w:hanging="360"/>
      </w:pPr>
      <w:rPr>
        <w:rFonts w:hint="default"/>
        <w:lang w:val="en-US" w:eastAsia="en-US" w:bidi="ar-SA"/>
      </w:rPr>
    </w:lvl>
  </w:abstractNum>
  <w:abstractNum w:abstractNumId="10" w15:restartNumberingAfterBreak="0">
    <w:nsid w:val="43135F3F"/>
    <w:multiLevelType w:val="multilevel"/>
    <w:tmpl w:val="6A98BBF0"/>
    <w:lvl w:ilvl="0">
      <w:start w:val="9"/>
      <w:numFmt w:val="decimal"/>
      <w:lvlText w:val="%1"/>
      <w:lvlJc w:val="left"/>
      <w:pPr>
        <w:ind w:left="860" w:hanging="720"/>
        <w:jc w:val="left"/>
      </w:pPr>
      <w:rPr>
        <w:rFonts w:hint="default"/>
        <w:lang w:val="en-US" w:eastAsia="en-US" w:bidi="ar-SA"/>
      </w:rPr>
    </w:lvl>
    <w:lvl w:ilvl="1">
      <w:start w:val="1"/>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11" w15:restartNumberingAfterBreak="0">
    <w:nsid w:val="45F86B3A"/>
    <w:multiLevelType w:val="multilevel"/>
    <w:tmpl w:val="8D4C2506"/>
    <w:lvl w:ilvl="0">
      <w:start w:val="5"/>
      <w:numFmt w:val="decimal"/>
      <w:lvlText w:val="%1"/>
      <w:lvlJc w:val="left"/>
      <w:pPr>
        <w:ind w:left="860" w:hanging="720"/>
        <w:jc w:val="left"/>
      </w:pPr>
      <w:rPr>
        <w:rFonts w:hint="default"/>
        <w:lang w:val="en-US" w:eastAsia="en-US" w:bidi="ar-SA"/>
      </w:rPr>
    </w:lvl>
    <w:lvl w:ilvl="1">
      <w:start w:val="1"/>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start w:val="1"/>
      <w:numFmt w:val="decimal"/>
      <w:lvlText w:val="%1.%2.%3.%4"/>
      <w:lvlJc w:val="left"/>
      <w:pPr>
        <w:ind w:left="1580" w:hanging="720"/>
        <w:jc w:val="left"/>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4720" w:hanging="720"/>
      </w:pPr>
      <w:rPr>
        <w:rFonts w:hint="default"/>
        <w:lang w:val="en-US" w:eastAsia="en-US" w:bidi="ar-SA"/>
      </w:rPr>
    </w:lvl>
    <w:lvl w:ilvl="5">
      <w:numFmt w:val="bullet"/>
      <w:lvlText w:val="•"/>
      <w:lvlJc w:val="left"/>
      <w:pPr>
        <w:ind w:left="5766" w:hanging="720"/>
      </w:pPr>
      <w:rPr>
        <w:rFonts w:hint="default"/>
        <w:lang w:val="en-US" w:eastAsia="en-US" w:bidi="ar-SA"/>
      </w:rPr>
    </w:lvl>
    <w:lvl w:ilvl="6">
      <w:numFmt w:val="bullet"/>
      <w:lvlText w:val="•"/>
      <w:lvlJc w:val="left"/>
      <w:pPr>
        <w:ind w:left="6813" w:hanging="720"/>
      </w:pPr>
      <w:rPr>
        <w:rFonts w:hint="default"/>
        <w:lang w:val="en-US" w:eastAsia="en-US" w:bidi="ar-SA"/>
      </w:rPr>
    </w:lvl>
    <w:lvl w:ilvl="7">
      <w:numFmt w:val="bullet"/>
      <w:lvlText w:val="•"/>
      <w:lvlJc w:val="left"/>
      <w:pPr>
        <w:ind w:left="7860" w:hanging="720"/>
      </w:pPr>
      <w:rPr>
        <w:rFonts w:hint="default"/>
        <w:lang w:val="en-US" w:eastAsia="en-US" w:bidi="ar-SA"/>
      </w:rPr>
    </w:lvl>
    <w:lvl w:ilvl="8">
      <w:numFmt w:val="bullet"/>
      <w:lvlText w:val="•"/>
      <w:lvlJc w:val="left"/>
      <w:pPr>
        <w:ind w:left="8906" w:hanging="720"/>
      </w:pPr>
      <w:rPr>
        <w:rFonts w:hint="default"/>
        <w:lang w:val="en-US" w:eastAsia="en-US" w:bidi="ar-SA"/>
      </w:rPr>
    </w:lvl>
  </w:abstractNum>
  <w:abstractNum w:abstractNumId="12" w15:restartNumberingAfterBreak="0">
    <w:nsid w:val="4A491519"/>
    <w:multiLevelType w:val="hybridMultilevel"/>
    <w:tmpl w:val="46164424"/>
    <w:lvl w:ilvl="0" w:tplc="9A3442F8">
      <w:numFmt w:val="bullet"/>
      <w:lvlText w:val=""/>
      <w:lvlJc w:val="left"/>
      <w:pPr>
        <w:ind w:left="1220" w:hanging="360"/>
      </w:pPr>
      <w:rPr>
        <w:rFonts w:ascii="Symbol" w:eastAsia="Symbol" w:hAnsi="Symbol" w:cs="Symbol" w:hint="default"/>
        <w:w w:val="100"/>
        <w:sz w:val="24"/>
        <w:szCs w:val="24"/>
        <w:lang w:val="en-US" w:eastAsia="en-US" w:bidi="ar-SA"/>
      </w:rPr>
    </w:lvl>
    <w:lvl w:ilvl="1" w:tplc="86BE947C">
      <w:numFmt w:val="bullet"/>
      <w:lvlText w:val="•"/>
      <w:lvlJc w:val="left"/>
      <w:pPr>
        <w:ind w:left="2198" w:hanging="360"/>
      </w:pPr>
      <w:rPr>
        <w:rFonts w:hint="default"/>
        <w:lang w:val="en-US" w:eastAsia="en-US" w:bidi="ar-SA"/>
      </w:rPr>
    </w:lvl>
    <w:lvl w:ilvl="2" w:tplc="DB421266">
      <w:numFmt w:val="bullet"/>
      <w:lvlText w:val="•"/>
      <w:lvlJc w:val="left"/>
      <w:pPr>
        <w:ind w:left="3176" w:hanging="360"/>
      </w:pPr>
      <w:rPr>
        <w:rFonts w:hint="default"/>
        <w:lang w:val="en-US" w:eastAsia="en-US" w:bidi="ar-SA"/>
      </w:rPr>
    </w:lvl>
    <w:lvl w:ilvl="3" w:tplc="36F84FE4">
      <w:numFmt w:val="bullet"/>
      <w:lvlText w:val="•"/>
      <w:lvlJc w:val="left"/>
      <w:pPr>
        <w:ind w:left="4154" w:hanging="360"/>
      </w:pPr>
      <w:rPr>
        <w:rFonts w:hint="default"/>
        <w:lang w:val="en-US" w:eastAsia="en-US" w:bidi="ar-SA"/>
      </w:rPr>
    </w:lvl>
    <w:lvl w:ilvl="4" w:tplc="6398515A">
      <w:numFmt w:val="bullet"/>
      <w:lvlText w:val="•"/>
      <w:lvlJc w:val="left"/>
      <w:pPr>
        <w:ind w:left="5132" w:hanging="360"/>
      </w:pPr>
      <w:rPr>
        <w:rFonts w:hint="default"/>
        <w:lang w:val="en-US" w:eastAsia="en-US" w:bidi="ar-SA"/>
      </w:rPr>
    </w:lvl>
    <w:lvl w:ilvl="5" w:tplc="5CD84A64">
      <w:numFmt w:val="bullet"/>
      <w:lvlText w:val="•"/>
      <w:lvlJc w:val="left"/>
      <w:pPr>
        <w:ind w:left="6110" w:hanging="360"/>
      </w:pPr>
      <w:rPr>
        <w:rFonts w:hint="default"/>
        <w:lang w:val="en-US" w:eastAsia="en-US" w:bidi="ar-SA"/>
      </w:rPr>
    </w:lvl>
    <w:lvl w:ilvl="6" w:tplc="630C22DA">
      <w:numFmt w:val="bullet"/>
      <w:lvlText w:val="•"/>
      <w:lvlJc w:val="left"/>
      <w:pPr>
        <w:ind w:left="7088" w:hanging="360"/>
      </w:pPr>
      <w:rPr>
        <w:rFonts w:hint="default"/>
        <w:lang w:val="en-US" w:eastAsia="en-US" w:bidi="ar-SA"/>
      </w:rPr>
    </w:lvl>
    <w:lvl w:ilvl="7" w:tplc="74209012">
      <w:numFmt w:val="bullet"/>
      <w:lvlText w:val="•"/>
      <w:lvlJc w:val="left"/>
      <w:pPr>
        <w:ind w:left="8066" w:hanging="360"/>
      </w:pPr>
      <w:rPr>
        <w:rFonts w:hint="default"/>
        <w:lang w:val="en-US" w:eastAsia="en-US" w:bidi="ar-SA"/>
      </w:rPr>
    </w:lvl>
    <w:lvl w:ilvl="8" w:tplc="785CE88A">
      <w:numFmt w:val="bullet"/>
      <w:lvlText w:val="•"/>
      <w:lvlJc w:val="left"/>
      <w:pPr>
        <w:ind w:left="9044" w:hanging="360"/>
      </w:pPr>
      <w:rPr>
        <w:rFonts w:hint="default"/>
        <w:lang w:val="en-US" w:eastAsia="en-US" w:bidi="ar-SA"/>
      </w:rPr>
    </w:lvl>
  </w:abstractNum>
  <w:abstractNum w:abstractNumId="13" w15:restartNumberingAfterBreak="0">
    <w:nsid w:val="4C650AC9"/>
    <w:multiLevelType w:val="hybridMultilevel"/>
    <w:tmpl w:val="E278AE9C"/>
    <w:lvl w:ilvl="0" w:tplc="1EDE6F4C">
      <w:numFmt w:val="bullet"/>
      <w:lvlText w:val=""/>
      <w:lvlJc w:val="left"/>
      <w:pPr>
        <w:ind w:left="1220" w:hanging="360"/>
      </w:pPr>
      <w:rPr>
        <w:rFonts w:ascii="Symbol" w:eastAsia="Symbol" w:hAnsi="Symbol" w:cs="Symbol" w:hint="default"/>
        <w:w w:val="100"/>
        <w:sz w:val="24"/>
        <w:szCs w:val="24"/>
        <w:lang w:val="en-US" w:eastAsia="en-US" w:bidi="ar-SA"/>
      </w:rPr>
    </w:lvl>
    <w:lvl w:ilvl="1" w:tplc="4EA80468">
      <w:numFmt w:val="bullet"/>
      <w:lvlText w:val="•"/>
      <w:lvlJc w:val="left"/>
      <w:pPr>
        <w:ind w:left="2198" w:hanging="360"/>
      </w:pPr>
      <w:rPr>
        <w:rFonts w:hint="default"/>
        <w:lang w:val="en-US" w:eastAsia="en-US" w:bidi="ar-SA"/>
      </w:rPr>
    </w:lvl>
    <w:lvl w:ilvl="2" w:tplc="6F28BE0E">
      <w:numFmt w:val="bullet"/>
      <w:lvlText w:val="•"/>
      <w:lvlJc w:val="left"/>
      <w:pPr>
        <w:ind w:left="3176" w:hanging="360"/>
      </w:pPr>
      <w:rPr>
        <w:rFonts w:hint="default"/>
        <w:lang w:val="en-US" w:eastAsia="en-US" w:bidi="ar-SA"/>
      </w:rPr>
    </w:lvl>
    <w:lvl w:ilvl="3" w:tplc="D310B31E">
      <w:numFmt w:val="bullet"/>
      <w:lvlText w:val="•"/>
      <w:lvlJc w:val="left"/>
      <w:pPr>
        <w:ind w:left="4154" w:hanging="360"/>
      </w:pPr>
      <w:rPr>
        <w:rFonts w:hint="default"/>
        <w:lang w:val="en-US" w:eastAsia="en-US" w:bidi="ar-SA"/>
      </w:rPr>
    </w:lvl>
    <w:lvl w:ilvl="4" w:tplc="2D522AE4">
      <w:numFmt w:val="bullet"/>
      <w:lvlText w:val="•"/>
      <w:lvlJc w:val="left"/>
      <w:pPr>
        <w:ind w:left="5132" w:hanging="360"/>
      </w:pPr>
      <w:rPr>
        <w:rFonts w:hint="default"/>
        <w:lang w:val="en-US" w:eastAsia="en-US" w:bidi="ar-SA"/>
      </w:rPr>
    </w:lvl>
    <w:lvl w:ilvl="5" w:tplc="CF8235E4">
      <w:numFmt w:val="bullet"/>
      <w:lvlText w:val="•"/>
      <w:lvlJc w:val="left"/>
      <w:pPr>
        <w:ind w:left="6110" w:hanging="360"/>
      </w:pPr>
      <w:rPr>
        <w:rFonts w:hint="default"/>
        <w:lang w:val="en-US" w:eastAsia="en-US" w:bidi="ar-SA"/>
      </w:rPr>
    </w:lvl>
    <w:lvl w:ilvl="6" w:tplc="BE9A8F78">
      <w:numFmt w:val="bullet"/>
      <w:lvlText w:val="•"/>
      <w:lvlJc w:val="left"/>
      <w:pPr>
        <w:ind w:left="7088" w:hanging="360"/>
      </w:pPr>
      <w:rPr>
        <w:rFonts w:hint="default"/>
        <w:lang w:val="en-US" w:eastAsia="en-US" w:bidi="ar-SA"/>
      </w:rPr>
    </w:lvl>
    <w:lvl w:ilvl="7" w:tplc="5732903A">
      <w:numFmt w:val="bullet"/>
      <w:lvlText w:val="•"/>
      <w:lvlJc w:val="left"/>
      <w:pPr>
        <w:ind w:left="8066" w:hanging="360"/>
      </w:pPr>
      <w:rPr>
        <w:rFonts w:hint="default"/>
        <w:lang w:val="en-US" w:eastAsia="en-US" w:bidi="ar-SA"/>
      </w:rPr>
    </w:lvl>
    <w:lvl w:ilvl="8" w:tplc="7F7E8E1A">
      <w:numFmt w:val="bullet"/>
      <w:lvlText w:val="•"/>
      <w:lvlJc w:val="left"/>
      <w:pPr>
        <w:ind w:left="9044" w:hanging="360"/>
      </w:pPr>
      <w:rPr>
        <w:rFonts w:hint="default"/>
        <w:lang w:val="en-US" w:eastAsia="en-US" w:bidi="ar-SA"/>
      </w:rPr>
    </w:lvl>
  </w:abstractNum>
  <w:abstractNum w:abstractNumId="14" w15:restartNumberingAfterBreak="0">
    <w:nsid w:val="53035133"/>
    <w:multiLevelType w:val="hybridMultilevel"/>
    <w:tmpl w:val="D5E2C096"/>
    <w:lvl w:ilvl="0" w:tplc="BF5CD2B6">
      <w:numFmt w:val="bullet"/>
      <w:lvlText w:val=""/>
      <w:lvlJc w:val="left"/>
      <w:pPr>
        <w:ind w:left="1220" w:hanging="360"/>
      </w:pPr>
      <w:rPr>
        <w:rFonts w:hint="default"/>
        <w:w w:val="100"/>
        <w:lang w:val="en-US" w:eastAsia="en-US" w:bidi="ar-SA"/>
      </w:rPr>
    </w:lvl>
    <w:lvl w:ilvl="1" w:tplc="07C20ADE">
      <w:numFmt w:val="bullet"/>
      <w:lvlText w:val="•"/>
      <w:lvlJc w:val="left"/>
      <w:pPr>
        <w:ind w:left="2198" w:hanging="360"/>
      </w:pPr>
      <w:rPr>
        <w:rFonts w:hint="default"/>
        <w:lang w:val="en-US" w:eastAsia="en-US" w:bidi="ar-SA"/>
      </w:rPr>
    </w:lvl>
    <w:lvl w:ilvl="2" w:tplc="6908C018">
      <w:numFmt w:val="bullet"/>
      <w:lvlText w:val="•"/>
      <w:lvlJc w:val="left"/>
      <w:pPr>
        <w:ind w:left="3176" w:hanging="360"/>
      </w:pPr>
      <w:rPr>
        <w:rFonts w:hint="default"/>
        <w:lang w:val="en-US" w:eastAsia="en-US" w:bidi="ar-SA"/>
      </w:rPr>
    </w:lvl>
    <w:lvl w:ilvl="3" w:tplc="0AEEC2FE">
      <w:numFmt w:val="bullet"/>
      <w:lvlText w:val="•"/>
      <w:lvlJc w:val="left"/>
      <w:pPr>
        <w:ind w:left="4154" w:hanging="360"/>
      </w:pPr>
      <w:rPr>
        <w:rFonts w:hint="default"/>
        <w:lang w:val="en-US" w:eastAsia="en-US" w:bidi="ar-SA"/>
      </w:rPr>
    </w:lvl>
    <w:lvl w:ilvl="4" w:tplc="339679C6">
      <w:numFmt w:val="bullet"/>
      <w:lvlText w:val="•"/>
      <w:lvlJc w:val="left"/>
      <w:pPr>
        <w:ind w:left="5132" w:hanging="360"/>
      </w:pPr>
      <w:rPr>
        <w:rFonts w:hint="default"/>
        <w:lang w:val="en-US" w:eastAsia="en-US" w:bidi="ar-SA"/>
      </w:rPr>
    </w:lvl>
    <w:lvl w:ilvl="5" w:tplc="2D0A4058">
      <w:numFmt w:val="bullet"/>
      <w:lvlText w:val="•"/>
      <w:lvlJc w:val="left"/>
      <w:pPr>
        <w:ind w:left="6110" w:hanging="360"/>
      </w:pPr>
      <w:rPr>
        <w:rFonts w:hint="default"/>
        <w:lang w:val="en-US" w:eastAsia="en-US" w:bidi="ar-SA"/>
      </w:rPr>
    </w:lvl>
    <w:lvl w:ilvl="6" w:tplc="F3E2C7EA">
      <w:numFmt w:val="bullet"/>
      <w:lvlText w:val="•"/>
      <w:lvlJc w:val="left"/>
      <w:pPr>
        <w:ind w:left="7088" w:hanging="360"/>
      </w:pPr>
      <w:rPr>
        <w:rFonts w:hint="default"/>
        <w:lang w:val="en-US" w:eastAsia="en-US" w:bidi="ar-SA"/>
      </w:rPr>
    </w:lvl>
    <w:lvl w:ilvl="7" w:tplc="DF2053C8">
      <w:numFmt w:val="bullet"/>
      <w:lvlText w:val="•"/>
      <w:lvlJc w:val="left"/>
      <w:pPr>
        <w:ind w:left="8066" w:hanging="360"/>
      </w:pPr>
      <w:rPr>
        <w:rFonts w:hint="default"/>
        <w:lang w:val="en-US" w:eastAsia="en-US" w:bidi="ar-SA"/>
      </w:rPr>
    </w:lvl>
    <w:lvl w:ilvl="8" w:tplc="7A044DC0">
      <w:numFmt w:val="bullet"/>
      <w:lvlText w:val="•"/>
      <w:lvlJc w:val="left"/>
      <w:pPr>
        <w:ind w:left="9044" w:hanging="360"/>
      </w:pPr>
      <w:rPr>
        <w:rFonts w:hint="default"/>
        <w:lang w:val="en-US" w:eastAsia="en-US" w:bidi="ar-SA"/>
      </w:rPr>
    </w:lvl>
  </w:abstractNum>
  <w:abstractNum w:abstractNumId="15" w15:restartNumberingAfterBreak="0">
    <w:nsid w:val="575D5FF7"/>
    <w:multiLevelType w:val="multilevel"/>
    <w:tmpl w:val="CF8CECEE"/>
    <w:lvl w:ilvl="0">
      <w:start w:val="6"/>
      <w:numFmt w:val="decimal"/>
      <w:lvlText w:val="%1"/>
      <w:lvlJc w:val="left"/>
      <w:pPr>
        <w:ind w:left="860" w:hanging="720"/>
        <w:jc w:val="left"/>
      </w:pPr>
      <w:rPr>
        <w:rFonts w:hint="default"/>
        <w:lang w:val="en-US" w:eastAsia="en-US" w:bidi="ar-SA"/>
      </w:rPr>
    </w:lvl>
    <w:lvl w:ilvl="1">
      <w:start w:val="3"/>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16" w15:restartNumberingAfterBreak="0">
    <w:nsid w:val="5C060AD0"/>
    <w:multiLevelType w:val="hybridMultilevel"/>
    <w:tmpl w:val="13F878F8"/>
    <w:lvl w:ilvl="0" w:tplc="66AC5C02">
      <w:numFmt w:val="bullet"/>
      <w:lvlText w:val=""/>
      <w:lvlJc w:val="left"/>
      <w:pPr>
        <w:ind w:left="1220" w:hanging="360"/>
      </w:pPr>
      <w:rPr>
        <w:rFonts w:ascii="Symbol" w:eastAsia="Symbol" w:hAnsi="Symbol" w:cs="Symbol" w:hint="default"/>
        <w:w w:val="100"/>
        <w:sz w:val="24"/>
        <w:szCs w:val="24"/>
        <w:lang w:val="en-US" w:eastAsia="en-US" w:bidi="ar-SA"/>
      </w:rPr>
    </w:lvl>
    <w:lvl w:ilvl="1" w:tplc="56E29AFE">
      <w:numFmt w:val="bullet"/>
      <w:lvlText w:val="•"/>
      <w:lvlJc w:val="left"/>
      <w:pPr>
        <w:ind w:left="2198" w:hanging="360"/>
      </w:pPr>
      <w:rPr>
        <w:rFonts w:hint="default"/>
        <w:lang w:val="en-US" w:eastAsia="en-US" w:bidi="ar-SA"/>
      </w:rPr>
    </w:lvl>
    <w:lvl w:ilvl="2" w:tplc="8A5C8E78">
      <w:numFmt w:val="bullet"/>
      <w:lvlText w:val="•"/>
      <w:lvlJc w:val="left"/>
      <w:pPr>
        <w:ind w:left="3176" w:hanging="360"/>
      </w:pPr>
      <w:rPr>
        <w:rFonts w:hint="default"/>
        <w:lang w:val="en-US" w:eastAsia="en-US" w:bidi="ar-SA"/>
      </w:rPr>
    </w:lvl>
    <w:lvl w:ilvl="3" w:tplc="0FFA44E8">
      <w:numFmt w:val="bullet"/>
      <w:lvlText w:val="•"/>
      <w:lvlJc w:val="left"/>
      <w:pPr>
        <w:ind w:left="4154" w:hanging="360"/>
      </w:pPr>
      <w:rPr>
        <w:rFonts w:hint="default"/>
        <w:lang w:val="en-US" w:eastAsia="en-US" w:bidi="ar-SA"/>
      </w:rPr>
    </w:lvl>
    <w:lvl w:ilvl="4" w:tplc="FAE0FBB0">
      <w:numFmt w:val="bullet"/>
      <w:lvlText w:val="•"/>
      <w:lvlJc w:val="left"/>
      <w:pPr>
        <w:ind w:left="5132" w:hanging="360"/>
      </w:pPr>
      <w:rPr>
        <w:rFonts w:hint="default"/>
        <w:lang w:val="en-US" w:eastAsia="en-US" w:bidi="ar-SA"/>
      </w:rPr>
    </w:lvl>
    <w:lvl w:ilvl="5" w:tplc="163C48E0">
      <w:numFmt w:val="bullet"/>
      <w:lvlText w:val="•"/>
      <w:lvlJc w:val="left"/>
      <w:pPr>
        <w:ind w:left="6110" w:hanging="360"/>
      </w:pPr>
      <w:rPr>
        <w:rFonts w:hint="default"/>
        <w:lang w:val="en-US" w:eastAsia="en-US" w:bidi="ar-SA"/>
      </w:rPr>
    </w:lvl>
    <w:lvl w:ilvl="6" w:tplc="088EAA74">
      <w:numFmt w:val="bullet"/>
      <w:lvlText w:val="•"/>
      <w:lvlJc w:val="left"/>
      <w:pPr>
        <w:ind w:left="7088" w:hanging="360"/>
      </w:pPr>
      <w:rPr>
        <w:rFonts w:hint="default"/>
        <w:lang w:val="en-US" w:eastAsia="en-US" w:bidi="ar-SA"/>
      </w:rPr>
    </w:lvl>
    <w:lvl w:ilvl="7" w:tplc="B9D23042">
      <w:numFmt w:val="bullet"/>
      <w:lvlText w:val="•"/>
      <w:lvlJc w:val="left"/>
      <w:pPr>
        <w:ind w:left="8066" w:hanging="360"/>
      </w:pPr>
      <w:rPr>
        <w:rFonts w:hint="default"/>
        <w:lang w:val="en-US" w:eastAsia="en-US" w:bidi="ar-SA"/>
      </w:rPr>
    </w:lvl>
    <w:lvl w:ilvl="8" w:tplc="AB36D068">
      <w:numFmt w:val="bullet"/>
      <w:lvlText w:val="•"/>
      <w:lvlJc w:val="left"/>
      <w:pPr>
        <w:ind w:left="9044" w:hanging="360"/>
      </w:pPr>
      <w:rPr>
        <w:rFonts w:hint="default"/>
        <w:lang w:val="en-US" w:eastAsia="en-US" w:bidi="ar-SA"/>
      </w:rPr>
    </w:lvl>
  </w:abstractNum>
  <w:abstractNum w:abstractNumId="17" w15:restartNumberingAfterBreak="0">
    <w:nsid w:val="68D90C2B"/>
    <w:multiLevelType w:val="multilevel"/>
    <w:tmpl w:val="EA60F7FC"/>
    <w:lvl w:ilvl="0">
      <w:start w:val="5"/>
      <w:numFmt w:val="decimal"/>
      <w:lvlText w:val="%1"/>
      <w:lvlJc w:val="left"/>
      <w:pPr>
        <w:ind w:left="860" w:hanging="720"/>
        <w:jc w:val="left"/>
      </w:pPr>
      <w:rPr>
        <w:rFonts w:hint="default"/>
        <w:lang w:val="en-US" w:eastAsia="en-US" w:bidi="ar-SA"/>
      </w:rPr>
    </w:lvl>
    <w:lvl w:ilvl="1">
      <w:start w:val="2"/>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18" w15:restartNumberingAfterBreak="0">
    <w:nsid w:val="695C4299"/>
    <w:multiLevelType w:val="multilevel"/>
    <w:tmpl w:val="39944A9E"/>
    <w:lvl w:ilvl="0">
      <w:start w:val="7"/>
      <w:numFmt w:val="decimal"/>
      <w:lvlText w:val="%1"/>
      <w:lvlJc w:val="left"/>
      <w:pPr>
        <w:ind w:left="1580" w:hanging="720"/>
        <w:jc w:val="left"/>
      </w:pPr>
      <w:rPr>
        <w:rFonts w:hint="default"/>
        <w:lang w:val="en-US" w:eastAsia="en-US" w:bidi="ar-SA"/>
      </w:rPr>
    </w:lvl>
    <w:lvl w:ilvl="1">
      <w:start w:val="2"/>
      <w:numFmt w:val="decimal"/>
      <w:lvlText w:val="%1.%2"/>
      <w:lvlJc w:val="left"/>
      <w:pPr>
        <w:ind w:left="1580" w:hanging="720"/>
        <w:jc w:val="left"/>
      </w:pPr>
      <w:rPr>
        <w:rFonts w:hint="default"/>
        <w:lang w:val="en-US" w:eastAsia="en-US" w:bidi="ar-SA"/>
      </w:rPr>
    </w:lvl>
    <w:lvl w:ilvl="2">
      <w:start w:val="2"/>
      <w:numFmt w:val="decimal"/>
      <w:lvlText w:val="%1.%2.%3"/>
      <w:lvlJc w:val="left"/>
      <w:pPr>
        <w:ind w:left="1580" w:hanging="720"/>
        <w:jc w:val="left"/>
      </w:pPr>
      <w:rPr>
        <w:rFonts w:hint="default"/>
        <w:lang w:val="en-US" w:eastAsia="en-US" w:bidi="ar-SA"/>
      </w:rPr>
    </w:lvl>
    <w:lvl w:ilvl="3">
      <w:start w:val="2"/>
      <w:numFmt w:val="decimal"/>
      <w:lvlText w:val="%1.%2.%3.%4"/>
      <w:lvlJc w:val="left"/>
      <w:pPr>
        <w:ind w:left="1580" w:hanging="720"/>
        <w:jc w:val="left"/>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5348" w:hanging="720"/>
      </w:pPr>
      <w:rPr>
        <w:rFonts w:hint="default"/>
        <w:lang w:val="en-US" w:eastAsia="en-US" w:bidi="ar-SA"/>
      </w:rPr>
    </w:lvl>
    <w:lvl w:ilvl="5">
      <w:numFmt w:val="bullet"/>
      <w:lvlText w:val="•"/>
      <w:lvlJc w:val="left"/>
      <w:pPr>
        <w:ind w:left="6290" w:hanging="720"/>
      </w:pPr>
      <w:rPr>
        <w:rFonts w:hint="default"/>
        <w:lang w:val="en-US" w:eastAsia="en-US" w:bidi="ar-SA"/>
      </w:rPr>
    </w:lvl>
    <w:lvl w:ilvl="6">
      <w:numFmt w:val="bullet"/>
      <w:lvlText w:val="•"/>
      <w:lvlJc w:val="left"/>
      <w:pPr>
        <w:ind w:left="7232" w:hanging="720"/>
      </w:pPr>
      <w:rPr>
        <w:rFonts w:hint="default"/>
        <w:lang w:val="en-US" w:eastAsia="en-US" w:bidi="ar-SA"/>
      </w:rPr>
    </w:lvl>
    <w:lvl w:ilvl="7">
      <w:numFmt w:val="bullet"/>
      <w:lvlText w:val="•"/>
      <w:lvlJc w:val="left"/>
      <w:pPr>
        <w:ind w:left="8174" w:hanging="720"/>
      </w:pPr>
      <w:rPr>
        <w:rFonts w:hint="default"/>
        <w:lang w:val="en-US" w:eastAsia="en-US" w:bidi="ar-SA"/>
      </w:rPr>
    </w:lvl>
    <w:lvl w:ilvl="8">
      <w:numFmt w:val="bullet"/>
      <w:lvlText w:val="•"/>
      <w:lvlJc w:val="left"/>
      <w:pPr>
        <w:ind w:left="9116" w:hanging="720"/>
      </w:pPr>
      <w:rPr>
        <w:rFonts w:hint="default"/>
        <w:lang w:val="en-US" w:eastAsia="en-US" w:bidi="ar-SA"/>
      </w:rPr>
    </w:lvl>
  </w:abstractNum>
  <w:abstractNum w:abstractNumId="19" w15:restartNumberingAfterBreak="0">
    <w:nsid w:val="6B515A9B"/>
    <w:multiLevelType w:val="multilevel"/>
    <w:tmpl w:val="204EA792"/>
    <w:lvl w:ilvl="0">
      <w:start w:val="7"/>
      <w:numFmt w:val="decimal"/>
      <w:lvlText w:val="%1"/>
      <w:lvlJc w:val="left"/>
      <w:pPr>
        <w:ind w:left="860" w:hanging="720"/>
        <w:jc w:val="left"/>
      </w:pPr>
      <w:rPr>
        <w:rFonts w:hint="default"/>
        <w:lang w:val="en-US" w:eastAsia="en-US" w:bidi="ar-SA"/>
      </w:rPr>
    </w:lvl>
    <w:lvl w:ilvl="1">
      <w:start w:val="2"/>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start w:val="1"/>
      <w:numFmt w:val="decimal"/>
      <w:lvlText w:val="%1.%2.%3.%4"/>
      <w:lvlJc w:val="left"/>
      <w:pPr>
        <w:ind w:left="1580" w:hanging="720"/>
        <w:jc w:val="left"/>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4720" w:hanging="720"/>
      </w:pPr>
      <w:rPr>
        <w:rFonts w:hint="default"/>
        <w:lang w:val="en-US" w:eastAsia="en-US" w:bidi="ar-SA"/>
      </w:rPr>
    </w:lvl>
    <w:lvl w:ilvl="5">
      <w:numFmt w:val="bullet"/>
      <w:lvlText w:val="•"/>
      <w:lvlJc w:val="left"/>
      <w:pPr>
        <w:ind w:left="5766" w:hanging="720"/>
      </w:pPr>
      <w:rPr>
        <w:rFonts w:hint="default"/>
        <w:lang w:val="en-US" w:eastAsia="en-US" w:bidi="ar-SA"/>
      </w:rPr>
    </w:lvl>
    <w:lvl w:ilvl="6">
      <w:numFmt w:val="bullet"/>
      <w:lvlText w:val="•"/>
      <w:lvlJc w:val="left"/>
      <w:pPr>
        <w:ind w:left="6813" w:hanging="720"/>
      </w:pPr>
      <w:rPr>
        <w:rFonts w:hint="default"/>
        <w:lang w:val="en-US" w:eastAsia="en-US" w:bidi="ar-SA"/>
      </w:rPr>
    </w:lvl>
    <w:lvl w:ilvl="7">
      <w:numFmt w:val="bullet"/>
      <w:lvlText w:val="•"/>
      <w:lvlJc w:val="left"/>
      <w:pPr>
        <w:ind w:left="7860" w:hanging="720"/>
      </w:pPr>
      <w:rPr>
        <w:rFonts w:hint="default"/>
        <w:lang w:val="en-US" w:eastAsia="en-US" w:bidi="ar-SA"/>
      </w:rPr>
    </w:lvl>
    <w:lvl w:ilvl="8">
      <w:numFmt w:val="bullet"/>
      <w:lvlText w:val="•"/>
      <w:lvlJc w:val="left"/>
      <w:pPr>
        <w:ind w:left="8906" w:hanging="720"/>
      </w:pPr>
      <w:rPr>
        <w:rFonts w:hint="default"/>
        <w:lang w:val="en-US" w:eastAsia="en-US" w:bidi="ar-SA"/>
      </w:rPr>
    </w:lvl>
  </w:abstractNum>
  <w:abstractNum w:abstractNumId="20" w15:restartNumberingAfterBreak="0">
    <w:nsid w:val="6EE758BE"/>
    <w:multiLevelType w:val="hybridMultilevel"/>
    <w:tmpl w:val="6C2431AE"/>
    <w:lvl w:ilvl="0" w:tplc="6EA2C522">
      <w:numFmt w:val="bullet"/>
      <w:lvlText w:val=""/>
      <w:lvlJc w:val="left"/>
      <w:pPr>
        <w:ind w:left="1220" w:hanging="360"/>
      </w:pPr>
      <w:rPr>
        <w:rFonts w:ascii="Symbol" w:eastAsia="Symbol" w:hAnsi="Symbol" w:cs="Symbol" w:hint="default"/>
        <w:w w:val="100"/>
        <w:sz w:val="24"/>
        <w:szCs w:val="24"/>
        <w:lang w:val="en-US" w:eastAsia="en-US" w:bidi="ar-SA"/>
      </w:rPr>
    </w:lvl>
    <w:lvl w:ilvl="1" w:tplc="23828BC8">
      <w:numFmt w:val="bullet"/>
      <w:lvlText w:val="•"/>
      <w:lvlJc w:val="left"/>
      <w:pPr>
        <w:ind w:left="2198" w:hanging="360"/>
      </w:pPr>
      <w:rPr>
        <w:rFonts w:hint="default"/>
        <w:lang w:val="en-US" w:eastAsia="en-US" w:bidi="ar-SA"/>
      </w:rPr>
    </w:lvl>
    <w:lvl w:ilvl="2" w:tplc="F45623A2">
      <w:numFmt w:val="bullet"/>
      <w:lvlText w:val="•"/>
      <w:lvlJc w:val="left"/>
      <w:pPr>
        <w:ind w:left="3176" w:hanging="360"/>
      </w:pPr>
      <w:rPr>
        <w:rFonts w:hint="default"/>
        <w:lang w:val="en-US" w:eastAsia="en-US" w:bidi="ar-SA"/>
      </w:rPr>
    </w:lvl>
    <w:lvl w:ilvl="3" w:tplc="675C9A7E">
      <w:numFmt w:val="bullet"/>
      <w:lvlText w:val="•"/>
      <w:lvlJc w:val="left"/>
      <w:pPr>
        <w:ind w:left="4154" w:hanging="360"/>
      </w:pPr>
      <w:rPr>
        <w:rFonts w:hint="default"/>
        <w:lang w:val="en-US" w:eastAsia="en-US" w:bidi="ar-SA"/>
      </w:rPr>
    </w:lvl>
    <w:lvl w:ilvl="4" w:tplc="5568CDAC">
      <w:numFmt w:val="bullet"/>
      <w:lvlText w:val="•"/>
      <w:lvlJc w:val="left"/>
      <w:pPr>
        <w:ind w:left="5132" w:hanging="360"/>
      </w:pPr>
      <w:rPr>
        <w:rFonts w:hint="default"/>
        <w:lang w:val="en-US" w:eastAsia="en-US" w:bidi="ar-SA"/>
      </w:rPr>
    </w:lvl>
    <w:lvl w:ilvl="5" w:tplc="D1D45452">
      <w:numFmt w:val="bullet"/>
      <w:lvlText w:val="•"/>
      <w:lvlJc w:val="left"/>
      <w:pPr>
        <w:ind w:left="6110" w:hanging="360"/>
      </w:pPr>
      <w:rPr>
        <w:rFonts w:hint="default"/>
        <w:lang w:val="en-US" w:eastAsia="en-US" w:bidi="ar-SA"/>
      </w:rPr>
    </w:lvl>
    <w:lvl w:ilvl="6" w:tplc="1EE6C14E">
      <w:numFmt w:val="bullet"/>
      <w:lvlText w:val="•"/>
      <w:lvlJc w:val="left"/>
      <w:pPr>
        <w:ind w:left="7088" w:hanging="360"/>
      </w:pPr>
      <w:rPr>
        <w:rFonts w:hint="default"/>
        <w:lang w:val="en-US" w:eastAsia="en-US" w:bidi="ar-SA"/>
      </w:rPr>
    </w:lvl>
    <w:lvl w:ilvl="7" w:tplc="7BE225FE">
      <w:numFmt w:val="bullet"/>
      <w:lvlText w:val="•"/>
      <w:lvlJc w:val="left"/>
      <w:pPr>
        <w:ind w:left="8066" w:hanging="360"/>
      </w:pPr>
      <w:rPr>
        <w:rFonts w:hint="default"/>
        <w:lang w:val="en-US" w:eastAsia="en-US" w:bidi="ar-SA"/>
      </w:rPr>
    </w:lvl>
    <w:lvl w:ilvl="8" w:tplc="C84EE65C">
      <w:numFmt w:val="bullet"/>
      <w:lvlText w:val="•"/>
      <w:lvlJc w:val="left"/>
      <w:pPr>
        <w:ind w:left="9044" w:hanging="360"/>
      </w:pPr>
      <w:rPr>
        <w:rFonts w:hint="default"/>
        <w:lang w:val="en-US" w:eastAsia="en-US" w:bidi="ar-SA"/>
      </w:rPr>
    </w:lvl>
  </w:abstractNum>
  <w:abstractNum w:abstractNumId="21" w15:restartNumberingAfterBreak="0">
    <w:nsid w:val="6FCC29DF"/>
    <w:multiLevelType w:val="multilevel"/>
    <w:tmpl w:val="21F4D7CA"/>
    <w:lvl w:ilvl="0">
      <w:start w:val="5"/>
      <w:numFmt w:val="decimal"/>
      <w:lvlText w:val="%1"/>
      <w:lvlJc w:val="left"/>
      <w:pPr>
        <w:ind w:left="1167" w:hanging="576"/>
        <w:jc w:val="left"/>
      </w:pPr>
      <w:rPr>
        <w:rFonts w:hint="default"/>
        <w:lang w:val="en-US" w:eastAsia="en-US" w:bidi="ar-SA"/>
      </w:rPr>
    </w:lvl>
    <w:lvl w:ilvl="1">
      <w:start w:val="2"/>
      <w:numFmt w:val="decimal"/>
      <w:lvlText w:val="%1.%2"/>
      <w:lvlJc w:val="left"/>
      <w:pPr>
        <w:ind w:left="1167" w:hanging="576"/>
        <w:jc w:val="lef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3128" w:hanging="576"/>
      </w:pPr>
      <w:rPr>
        <w:rFonts w:hint="default"/>
        <w:lang w:val="en-US" w:eastAsia="en-US" w:bidi="ar-SA"/>
      </w:rPr>
    </w:lvl>
    <w:lvl w:ilvl="3">
      <w:numFmt w:val="bullet"/>
      <w:lvlText w:val="•"/>
      <w:lvlJc w:val="left"/>
      <w:pPr>
        <w:ind w:left="4112" w:hanging="576"/>
      </w:pPr>
      <w:rPr>
        <w:rFonts w:hint="default"/>
        <w:lang w:val="en-US" w:eastAsia="en-US" w:bidi="ar-SA"/>
      </w:rPr>
    </w:lvl>
    <w:lvl w:ilvl="4">
      <w:numFmt w:val="bullet"/>
      <w:lvlText w:val="•"/>
      <w:lvlJc w:val="left"/>
      <w:pPr>
        <w:ind w:left="5096" w:hanging="576"/>
      </w:pPr>
      <w:rPr>
        <w:rFonts w:hint="default"/>
        <w:lang w:val="en-US" w:eastAsia="en-US" w:bidi="ar-SA"/>
      </w:rPr>
    </w:lvl>
    <w:lvl w:ilvl="5">
      <w:numFmt w:val="bullet"/>
      <w:lvlText w:val="•"/>
      <w:lvlJc w:val="left"/>
      <w:pPr>
        <w:ind w:left="6080" w:hanging="576"/>
      </w:pPr>
      <w:rPr>
        <w:rFonts w:hint="default"/>
        <w:lang w:val="en-US" w:eastAsia="en-US" w:bidi="ar-SA"/>
      </w:rPr>
    </w:lvl>
    <w:lvl w:ilvl="6">
      <w:numFmt w:val="bullet"/>
      <w:lvlText w:val="•"/>
      <w:lvlJc w:val="left"/>
      <w:pPr>
        <w:ind w:left="7064" w:hanging="576"/>
      </w:pPr>
      <w:rPr>
        <w:rFonts w:hint="default"/>
        <w:lang w:val="en-US" w:eastAsia="en-US" w:bidi="ar-SA"/>
      </w:rPr>
    </w:lvl>
    <w:lvl w:ilvl="7">
      <w:numFmt w:val="bullet"/>
      <w:lvlText w:val="•"/>
      <w:lvlJc w:val="left"/>
      <w:pPr>
        <w:ind w:left="8048" w:hanging="576"/>
      </w:pPr>
      <w:rPr>
        <w:rFonts w:hint="default"/>
        <w:lang w:val="en-US" w:eastAsia="en-US" w:bidi="ar-SA"/>
      </w:rPr>
    </w:lvl>
    <w:lvl w:ilvl="8">
      <w:numFmt w:val="bullet"/>
      <w:lvlText w:val="•"/>
      <w:lvlJc w:val="left"/>
      <w:pPr>
        <w:ind w:left="9032" w:hanging="576"/>
      </w:pPr>
      <w:rPr>
        <w:rFonts w:hint="default"/>
        <w:lang w:val="en-US" w:eastAsia="en-US" w:bidi="ar-SA"/>
      </w:rPr>
    </w:lvl>
  </w:abstractNum>
  <w:abstractNum w:abstractNumId="22" w15:restartNumberingAfterBreak="0">
    <w:nsid w:val="70EB32B6"/>
    <w:multiLevelType w:val="hybridMultilevel"/>
    <w:tmpl w:val="602CED3E"/>
    <w:lvl w:ilvl="0" w:tplc="FE245698">
      <w:numFmt w:val="bullet"/>
      <w:lvlText w:val=""/>
      <w:lvlJc w:val="left"/>
      <w:pPr>
        <w:ind w:left="1220" w:hanging="360"/>
      </w:pPr>
      <w:rPr>
        <w:rFonts w:hint="default"/>
        <w:w w:val="100"/>
        <w:lang w:val="en-US" w:eastAsia="en-US" w:bidi="ar-SA"/>
      </w:rPr>
    </w:lvl>
    <w:lvl w:ilvl="1" w:tplc="66C028BC">
      <w:numFmt w:val="bullet"/>
      <w:lvlText w:val="•"/>
      <w:lvlJc w:val="left"/>
      <w:pPr>
        <w:ind w:left="2198" w:hanging="360"/>
      </w:pPr>
      <w:rPr>
        <w:rFonts w:hint="default"/>
        <w:lang w:val="en-US" w:eastAsia="en-US" w:bidi="ar-SA"/>
      </w:rPr>
    </w:lvl>
    <w:lvl w:ilvl="2" w:tplc="06069786">
      <w:numFmt w:val="bullet"/>
      <w:lvlText w:val="•"/>
      <w:lvlJc w:val="left"/>
      <w:pPr>
        <w:ind w:left="3176" w:hanging="360"/>
      </w:pPr>
      <w:rPr>
        <w:rFonts w:hint="default"/>
        <w:lang w:val="en-US" w:eastAsia="en-US" w:bidi="ar-SA"/>
      </w:rPr>
    </w:lvl>
    <w:lvl w:ilvl="3" w:tplc="5FC219AA">
      <w:numFmt w:val="bullet"/>
      <w:lvlText w:val="•"/>
      <w:lvlJc w:val="left"/>
      <w:pPr>
        <w:ind w:left="4154" w:hanging="360"/>
      </w:pPr>
      <w:rPr>
        <w:rFonts w:hint="default"/>
        <w:lang w:val="en-US" w:eastAsia="en-US" w:bidi="ar-SA"/>
      </w:rPr>
    </w:lvl>
    <w:lvl w:ilvl="4" w:tplc="18165A1E">
      <w:numFmt w:val="bullet"/>
      <w:lvlText w:val="•"/>
      <w:lvlJc w:val="left"/>
      <w:pPr>
        <w:ind w:left="5132" w:hanging="360"/>
      </w:pPr>
      <w:rPr>
        <w:rFonts w:hint="default"/>
        <w:lang w:val="en-US" w:eastAsia="en-US" w:bidi="ar-SA"/>
      </w:rPr>
    </w:lvl>
    <w:lvl w:ilvl="5" w:tplc="8C8AF322">
      <w:numFmt w:val="bullet"/>
      <w:lvlText w:val="•"/>
      <w:lvlJc w:val="left"/>
      <w:pPr>
        <w:ind w:left="6110" w:hanging="360"/>
      </w:pPr>
      <w:rPr>
        <w:rFonts w:hint="default"/>
        <w:lang w:val="en-US" w:eastAsia="en-US" w:bidi="ar-SA"/>
      </w:rPr>
    </w:lvl>
    <w:lvl w:ilvl="6" w:tplc="03901CFA">
      <w:numFmt w:val="bullet"/>
      <w:lvlText w:val="•"/>
      <w:lvlJc w:val="left"/>
      <w:pPr>
        <w:ind w:left="7088" w:hanging="360"/>
      </w:pPr>
      <w:rPr>
        <w:rFonts w:hint="default"/>
        <w:lang w:val="en-US" w:eastAsia="en-US" w:bidi="ar-SA"/>
      </w:rPr>
    </w:lvl>
    <w:lvl w:ilvl="7" w:tplc="E9D64C48">
      <w:numFmt w:val="bullet"/>
      <w:lvlText w:val="•"/>
      <w:lvlJc w:val="left"/>
      <w:pPr>
        <w:ind w:left="8066" w:hanging="360"/>
      </w:pPr>
      <w:rPr>
        <w:rFonts w:hint="default"/>
        <w:lang w:val="en-US" w:eastAsia="en-US" w:bidi="ar-SA"/>
      </w:rPr>
    </w:lvl>
    <w:lvl w:ilvl="8" w:tplc="BB02E7C2">
      <w:numFmt w:val="bullet"/>
      <w:lvlText w:val="•"/>
      <w:lvlJc w:val="left"/>
      <w:pPr>
        <w:ind w:left="9044" w:hanging="360"/>
      </w:pPr>
      <w:rPr>
        <w:rFonts w:hint="default"/>
        <w:lang w:val="en-US" w:eastAsia="en-US" w:bidi="ar-SA"/>
      </w:rPr>
    </w:lvl>
  </w:abstractNum>
  <w:abstractNum w:abstractNumId="23" w15:restartNumberingAfterBreak="0">
    <w:nsid w:val="73F552A2"/>
    <w:multiLevelType w:val="multilevel"/>
    <w:tmpl w:val="DDD85896"/>
    <w:lvl w:ilvl="0">
      <w:start w:val="6"/>
      <w:numFmt w:val="decimal"/>
      <w:lvlText w:val="%1"/>
      <w:lvlJc w:val="left"/>
      <w:pPr>
        <w:ind w:left="860" w:hanging="720"/>
        <w:jc w:val="left"/>
      </w:pPr>
      <w:rPr>
        <w:rFonts w:hint="default"/>
        <w:lang w:val="en-US" w:eastAsia="en-US" w:bidi="ar-SA"/>
      </w:rPr>
    </w:lvl>
    <w:lvl w:ilvl="1">
      <w:start w:val="1"/>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3902" w:hanging="720"/>
      </w:pPr>
      <w:rPr>
        <w:rFonts w:hint="default"/>
        <w:lang w:val="en-US" w:eastAsia="en-US" w:bidi="ar-SA"/>
      </w:rPr>
    </w:lvl>
    <w:lvl w:ilvl="4">
      <w:numFmt w:val="bullet"/>
      <w:lvlText w:val="•"/>
      <w:lvlJc w:val="left"/>
      <w:pPr>
        <w:ind w:left="4916" w:hanging="720"/>
      </w:pPr>
      <w:rPr>
        <w:rFonts w:hint="default"/>
        <w:lang w:val="en-US" w:eastAsia="en-US" w:bidi="ar-SA"/>
      </w:rPr>
    </w:lvl>
    <w:lvl w:ilvl="5">
      <w:numFmt w:val="bullet"/>
      <w:lvlText w:val="•"/>
      <w:lvlJc w:val="left"/>
      <w:pPr>
        <w:ind w:left="5930" w:hanging="720"/>
      </w:pPr>
      <w:rPr>
        <w:rFonts w:hint="default"/>
        <w:lang w:val="en-US" w:eastAsia="en-US" w:bidi="ar-SA"/>
      </w:rPr>
    </w:lvl>
    <w:lvl w:ilvl="6">
      <w:numFmt w:val="bullet"/>
      <w:lvlText w:val="•"/>
      <w:lvlJc w:val="left"/>
      <w:pPr>
        <w:ind w:left="6944" w:hanging="720"/>
      </w:pPr>
      <w:rPr>
        <w:rFonts w:hint="default"/>
        <w:lang w:val="en-US" w:eastAsia="en-US" w:bidi="ar-SA"/>
      </w:rPr>
    </w:lvl>
    <w:lvl w:ilvl="7">
      <w:numFmt w:val="bullet"/>
      <w:lvlText w:val="•"/>
      <w:lvlJc w:val="left"/>
      <w:pPr>
        <w:ind w:left="7958" w:hanging="720"/>
      </w:pPr>
      <w:rPr>
        <w:rFonts w:hint="default"/>
        <w:lang w:val="en-US" w:eastAsia="en-US" w:bidi="ar-SA"/>
      </w:rPr>
    </w:lvl>
    <w:lvl w:ilvl="8">
      <w:numFmt w:val="bullet"/>
      <w:lvlText w:val="•"/>
      <w:lvlJc w:val="left"/>
      <w:pPr>
        <w:ind w:left="8972" w:hanging="720"/>
      </w:pPr>
      <w:rPr>
        <w:rFonts w:hint="default"/>
        <w:lang w:val="en-US" w:eastAsia="en-US" w:bidi="ar-SA"/>
      </w:rPr>
    </w:lvl>
  </w:abstractNum>
  <w:abstractNum w:abstractNumId="24" w15:restartNumberingAfterBreak="0">
    <w:nsid w:val="798A78FC"/>
    <w:multiLevelType w:val="hybridMultilevel"/>
    <w:tmpl w:val="6F242098"/>
    <w:lvl w:ilvl="0" w:tplc="C39819AC">
      <w:numFmt w:val="bullet"/>
      <w:lvlText w:val=""/>
      <w:lvlJc w:val="left"/>
      <w:pPr>
        <w:ind w:left="1220" w:hanging="360"/>
      </w:pPr>
      <w:rPr>
        <w:rFonts w:ascii="Symbol" w:eastAsia="Symbol" w:hAnsi="Symbol" w:cs="Symbol" w:hint="default"/>
        <w:w w:val="100"/>
        <w:sz w:val="24"/>
        <w:szCs w:val="24"/>
        <w:lang w:val="en-US" w:eastAsia="en-US" w:bidi="ar-SA"/>
      </w:rPr>
    </w:lvl>
    <w:lvl w:ilvl="1" w:tplc="60588D78">
      <w:numFmt w:val="bullet"/>
      <w:lvlText w:val="•"/>
      <w:lvlJc w:val="left"/>
      <w:pPr>
        <w:ind w:left="2198" w:hanging="360"/>
      </w:pPr>
      <w:rPr>
        <w:rFonts w:hint="default"/>
        <w:lang w:val="en-US" w:eastAsia="en-US" w:bidi="ar-SA"/>
      </w:rPr>
    </w:lvl>
    <w:lvl w:ilvl="2" w:tplc="9A7AC9EC">
      <w:numFmt w:val="bullet"/>
      <w:lvlText w:val="•"/>
      <w:lvlJc w:val="left"/>
      <w:pPr>
        <w:ind w:left="3176" w:hanging="360"/>
      </w:pPr>
      <w:rPr>
        <w:rFonts w:hint="default"/>
        <w:lang w:val="en-US" w:eastAsia="en-US" w:bidi="ar-SA"/>
      </w:rPr>
    </w:lvl>
    <w:lvl w:ilvl="3" w:tplc="0EC26E84">
      <w:numFmt w:val="bullet"/>
      <w:lvlText w:val="•"/>
      <w:lvlJc w:val="left"/>
      <w:pPr>
        <w:ind w:left="4154" w:hanging="360"/>
      </w:pPr>
      <w:rPr>
        <w:rFonts w:hint="default"/>
        <w:lang w:val="en-US" w:eastAsia="en-US" w:bidi="ar-SA"/>
      </w:rPr>
    </w:lvl>
    <w:lvl w:ilvl="4" w:tplc="3D64A2FA">
      <w:numFmt w:val="bullet"/>
      <w:lvlText w:val="•"/>
      <w:lvlJc w:val="left"/>
      <w:pPr>
        <w:ind w:left="5132" w:hanging="360"/>
      </w:pPr>
      <w:rPr>
        <w:rFonts w:hint="default"/>
        <w:lang w:val="en-US" w:eastAsia="en-US" w:bidi="ar-SA"/>
      </w:rPr>
    </w:lvl>
    <w:lvl w:ilvl="5" w:tplc="BD68E5CE">
      <w:numFmt w:val="bullet"/>
      <w:lvlText w:val="•"/>
      <w:lvlJc w:val="left"/>
      <w:pPr>
        <w:ind w:left="6110" w:hanging="360"/>
      </w:pPr>
      <w:rPr>
        <w:rFonts w:hint="default"/>
        <w:lang w:val="en-US" w:eastAsia="en-US" w:bidi="ar-SA"/>
      </w:rPr>
    </w:lvl>
    <w:lvl w:ilvl="6" w:tplc="ADFAE4BE">
      <w:numFmt w:val="bullet"/>
      <w:lvlText w:val="•"/>
      <w:lvlJc w:val="left"/>
      <w:pPr>
        <w:ind w:left="7088" w:hanging="360"/>
      </w:pPr>
      <w:rPr>
        <w:rFonts w:hint="default"/>
        <w:lang w:val="en-US" w:eastAsia="en-US" w:bidi="ar-SA"/>
      </w:rPr>
    </w:lvl>
    <w:lvl w:ilvl="7" w:tplc="F82A122C">
      <w:numFmt w:val="bullet"/>
      <w:lvlText w:val="•"/>
      <w:lvlJc w:val="left"/>
      <w:pPr>
        <w:ind w:left="8066" w:hanging="360"/>
      </w:pPr>
      <w:rPr>
        <w:rFonts w:hint="default"/>
        <w:lang w:val="en-US" w:eastAsia="en-US" w:bidi="ar-SA"/>
      </w:rPr>
    </w:lvl>
    <w:lvl w:ilvl="8" w:tplc="759C4A34">
      <w:numFmt w:val="bullet"/>
      <w:lvlText w:val="•"/>
      <w:lvlJc w:val="left"/>
      <w:pPr>
        <w:ind w:left="9044" w:hanging="360"/>
      </w:pPr>
      <w:rPr>
        <w:rFonts w:hint="default"/>
        <w:lang w:val="en-US" w:eastAsia="en-US" w:bidi="ar-SA"/>
      </w:rPr>
    </w:lvl>
  </w:abstractNum>
  <w:abstractNum w:abstractNumId="25" w15:restartNumberingAfterBreak="0">
    <w:nsid w:val="7D6D00F2"/>
    <w:multiLevelType w:val="multilevel"/>
    <w:tmpl w:val="E094505E"/>
    <w:lvl w:ilvl="0">
      <w:start w:val="9"/>
      <w:numFmt w:val="decimal"/>
      <w:lvlText w:val="%1"/>
      <w:lvlJc w:val="left"/>
      <w:pPr>
        <w:ind w:left="860" w:hanging="720"/>
        <w:jc w:val="left"/>
      </w:pPr>
      <w:rPr>
        <w:rFonts w:hint="default"/>
        <w:lang w:val="en-US" w:eastAsia="en-US" w:bidi="ar-SA"/>
      </w:rPr>
    </w:lvl>
    <w:lvl w:ilvl="1">
      <w:start w:val="2"/>
      <w:numFmt w:val="decimal"/>
      <w:lvlText w:val="%1.%2"/>
      <w:lvlJc w:val="left"/>
      <w:pPr>
        <w:ind w:left="860" w:hanging="720"/>
        <w:jc w:val="left"/>
      </w:pPr>
      <w:rPr>
        <w:rFonts w:hint="default"/>
        <w:lang w:val="en-US" w:eastAsia="en-US" w:bidi="ar-SA"/>
      </w:rPr>
    </w:lvl>
    <w:lvl w:ilvl="2">
      <w:start w:val="1"/>
      <w:numFmt w:val="decimal"/>
      <w:lvlText w:val="%1.%2.%3"/>
      <w:lvlJc w:val="left"/>
      <w:pPr>
        <w:ind w:left="860" w:hanging="720"/>
        <w:jc w:val="left"/>
      </w:pPr>
      <w:rPr>
        <w:rFonts w:ascii="Times New Roman" w:eastAsia="Times New Roman" w:hAnsi="Times New Roman" w:cs="Times New Roman" w:hint="default"/>
        <w:w w:val="100"/>
        <w:sz w:val="24"/>
        <w:szCs w:val="24"/>
        <w:lang w:val="en-US" w:eastAsia="en-US" w:bidi="ar-SA"/>
      </w:rPr>
    </w:lvl>
    <w:lvl w:ilvl="3">
      <w:start w:val="1"/>
      <w:numFmt w:val="decimal"/>
      <w:lvlText w:val="%1.%2.%3.%4"/>
      <w:lvlJc w:val="left"/>
      <w:pPr>
        <w:ind w:left="1580" w:hanging="720"/>
        <w:jc w:val="left"/>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1940" w:hanging="360"/>
      </w:pPr>
      <w:rPr>
        <w:rFonts w:ascii="Symbol" w:eastAsia="Symbol" w:hAnsi="Symbol" w:cs="Symbol" w:hint="default"/>
        <w:w w:val="100"/>
        <w:sz w:val="24"/>
        <w:szCs w:val="24"/>
        <w:lang w:val="en-US" w:eastAsia="en-US" w:bidi="ar-SA"/>
      </w:rPr>
    </w:lvl>
    <w:lvl w:ilvl="5">
      <w:numFmt w:val="bullet"/>
      <w:lvlText w:val="•"/>
      <w:lvlJc w:val="left"/>
      <w:pPr>
        <w:ind w:left="5337" w:hanging="360"/>
      </w:pPr>
      <w:rPr>
        <w:rFonts w:hint="default"/>
        <w:lang w:val="en-US" w:eastAsia="en-US" w:bidi="ar-SA"/>
      </w:rPr>
    </w:lvl>
    <w:lvl w:ilvl="6">
      <w:numFmt w:val="bullet"/>
      <w:lvlText w:val="•"/>
      <w:lvlJc w:val="left"/>
      <w:pPr>
        <w:ind w:left="6470" w:hanging="360"/>
      </w:pPr>
      <w:rPr>
        <w:rFonts w:hint="default"/>
        <w:lang w:val="en-US" w:eastAsia="en-US" w:bidi="ar-SA"/>
      </w:rPr>
    </w:lvl>
    <w:lvl w:ilvl="7">
      <w:numFmt w:val="bullet"/>
      <w:lvlText w:val="•"/>
      <w:lvlJc w:val="left"/>
      <w:pPr>
        <w:ind w:left="7602" w:hanging="360"/>
      </w:pPr>
      <w:rPr>
        <w:rFonts w:hint="default"/>
        <w:lang w:val="en-US" w:eastAsia="en-US" w:bidi="ar-SA"/>
      </w:rPr>
    </w:lvl>
    <w:lvl w:ilvl="8">
      <w:numFmt w:val="bullet"/>
      <w:lvlText w:val="•"/>
      <w:lvlJc w:val="left"/>
      <w:pPr>
        <w:ind w:left="8735" w:hanging="360"/>
      </w:pPr>
      <w:rPr>
        <w:rFonts w:hint="default"/>
        <w:lang w:val="en-US" w:eastAsia="en-US" w:bidi="ar-SA"/>
      </w:rPr>
    </w:lvl>
  </w:abstractNum>
  <w:num w:numId="1">
    <w:abstractNumId w:val="4"/>
  </w:num>
  <w:num w:numId="2">
    <w:abstractNumId w:val="7"/>
  </w:num>
  <w:num w:numId="3">
    <w:abstractNumId w:val="25"/>
  </w:num>
  <w:num w:numId="4">
    <w:abstractNumId w:val="10"/>
  </w:num>
  <w:num w:numId="5">
    <w:abstractNumId w:val="9"/>
  </w:num>
  <w:num w:numId="6">
    <w:abstractNumId w:val="5"/>
  </w:num>
  <w:num w:numId="7">
    <w:abstractNumId w:val="12"/>
  </w:num>
  <w:num w:numId="8">
    <w:abstractNumId w:val="16"/>
  </w:num>
  <w:num w:numId="9">
    <w:abstractNumId w:val="18"/>
  </w:num>
  <w:num w:numId="10">
    <w:abstractNumId w:val="19"/>
  </w:num>
  <w:num w:numId="11">
    <w:abstractNumId w:val="15"/>
  </w:num>
  <w:num w:numId="12">
    <w:abstractNumId w:val="2"/>
  </w:num>
  <w:num w:numId="13">
    <w:abstractNumId w:val="23"/>
  </w:num>
  <w:num w:numId="14">
    <w:abstractNumId w:val="14"/>
  </w:num>
  <w:num w:numId="15">
    <w:abstractNumId w:val="6"/>
  </w:num>
  <w:num w:numId="16">
    <w:abstractNumId w:val="17"/>
  </w:num>
  <w:num w:numId="17">
    <w:abstractNumId w:val="21"/>
  </w:num>
  <w:num w:numId="18">
    <w:abstractNumId w:val="11"/>
  </w:num>
  <w:num w:numId="19">
    <w:abstractNumId w:val="24"/>
  </w:num>
  <w:num w:numId="20">
    <w:abstractNumId w:val="3"/>
  </w:num>
  <w:num w:numId="21">
    <w:abstractNumId w:val="13"/>
  </w:num>
  <w:num w:numId="22">
    <w:abstractNumId w:val="20"/>
  </w:num>
  <w:num w:numId="23">
    <w:abstractNumId w:val="0"/>
  </w:num>
  <w:num w:numId="24">
    <w:abstractNumId w:val="22"/>
  </w:num>
  <w:num w:numId="25">
    <w:abstractNumId w:val="8"/>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90"/>
    <w:rsid w:val="00257E93"/>
    <w:rsid w:val="00501FF4"/>
    <w:rsid w:val="005D6C71"/>
    <w:rsid w:val="00D35590"/>
    <w:rsid w:val="00D7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08373DC-76B5-418B-A78A-EF73F5AF6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79" w:hanging="360"/>
      <w:outlineLvl w:val="0"/>
    </w:pPr>
    <w:rPr>
      <w:b/>
      <w:bCs/>
      <w:sz w:val="28"/>
      <w:szCs w:val="28"/>
    </w:rPr>
  </w:style>
  <w:style w:type="paragraph" w:styleId="Heading2">
    <w:name w:val="heading 2"/>
    <w:basedOn w:val="Normal"/>
    <w:uiPriority w:val="9"/>
    <w:unhideWhenUsed/>
    <w:qFormat/>
    <w:pPr>
      <w:ind w:left="1167" w:hanging="577"/>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59"/>
      <w:ind w:left="680" w:hanging="540"/>
    </w:pPr>
    <w:rPr>
      <w:rFonts w:ascii="Cambria" w:eastAsia="Cambria" w:hAnsi="Cambria" w:cs="Cambria"/>
      <w:b/>
      <w:bCs/>
      <w:sz w:val="24"/>
      <w:szCs w:val="24"/>
    </w:rPr>
  </w:style>
  <w:style w:type="paragraph" w:styleId="TOC2">
    <w:name w:val="toc 2"/>
    <w:basedOn w:val="Normal"/>
    <w:uiPriority w:val="1"/>
    <w:qFormat/>
    <w:pPr>
      <w:spacing w:before="241"/>
      <w:ind w:left="680" w:hanging="540"/>
    </w:pPr>
    <w:rPr>
      <w:rFonts w:ascii="Calibri" w:eastAsia="Calibri" w:hAnsi="Calibri" w:cs="Calibri"/>
      <w:b/>
      <w:bCs/>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847" w:right="1488"/>
      <w:jc w:val="center"/>
    </w:pPr>
    <w:rPr>
      <w:rFonts w:ascii="Cambria" w:eastAsia="Cambria" w:hAnsi="Cambria" w:cs="Cambria"/>
      <w:sz w:val="56"/>
      <w:szCs w:val="56"/>
    </w:rPr>
  </w:style>
  <w:style w:type="paragraph" w:styleId="ListParagraph">
    <w:name w:val="List Paragraph"/>
    <w:basedOn w:val="Normal"/>
    <w:uiPriority w:val="1"/>
    <w:qFormat/>
    <w:pPr>
      <w:ind w:left="1220" w:hanging="360"/>
    </w:pPr>
  </w:style>
  <w:style w:type="paragraph" w:customStyle="1" w:styleId="TableParagraph">
    <w:name w:val="Table Paragraph"/>
    <w:basedOn w:val="Normal"/>
    <w:uiPriority w:val="1"/>
    <w:qFormat/>
    <w:pPr>
      <w:ind w:left="11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floridadep.gov/sites/default/files/DEP-Directive-972.pdf" TargetMode="External"/><Relationship Id="rId18" Type="http://schemas.openxmlformats.org/officeDocument/2006/relationships/hyperlink" Target="https://www.flrules.org/gateway/ChapterHome.asp?Chapter=62-303" TargetMode="External"/><Relationship Id="rId26" Type="http://schemas.openxmlformats.org/officeDocument/2006/relationships/hyperlink" Target="https://floridadep.gov/dear/quality-assurance/content/quality-assurance-resources" TargetMode="External"/><Relationship Id="rId39" Type="http://schemas.openxmlformats.org/officeDocument/2006/relationships/hyperlink" Target="file://publicfiles/pubfds/DEAR/WQAPmonitoring" TargetMode="External"/><Relationship Id="rId21" Type="http://schemas.openxmlformats.org/officeDocument/2006/relationships/hyperlink" Target="http://www.dep.state.fl.us/water/sas/sop/sops.htm" TargetMode="External"/><Relationship Id="rId34" Type="http://schemas.openxmlformats.org/officeDocument/2006/relationships/hyperlink" Target="https://floridadep.gov/dear/water-quality-standards/documents/development-type-iii-site-specific-alternative-criteria" TargetMode="External"/><Relationship Id="rId42" Type="http://schemas.openxmlformats.org/officeDocument/2006/relationships/hyperlink" Target="https://floridadep.gov/dear/quality-assurance/content/dep-alternative-method-approvals" TargetMode="External"/><Relationship Id="rId47" Type="http://schemas.openxmlformats.org/officeDocument/2006/relationships/hyperlink" Target="http://publicfiles.dep.state.fl.us/DEAR/DEARweb/BioAssess/Bioassessment_Links/SCI%20Stressor%20ID%20Process_3-31-2020.pdf" TargetMode="External"/><Relationship Id="rId50" Type="http://schemas.openxmlformats.org/officeDocument/2006/relationships/hyperlink" Target="https://fldeploc.dep.state.fl.us/reports/search.asp" TargetMode="External"/><Relationship Id="rId55" Type="http://schemas.openxmlformats.org/officeDocument/2006/relationships/hyperlink" Target="https://fldeploc.dep.state.fl.us/reports/search.asp" TargetMode="External"/><Relationship Id="rId63" Type="http://schemas.openxmlformats.org/officeDocument/2006/relationships/hyperlink" Target="http://publicfiles.dep.state.fl.us/dear/DEARweb/QA/QA%20resources/QA_Process_MFMP_10-17-18.pdf" TargetMode="External"/><Relationship Id="rId68" Type="http://schemas.openxmlformats.org/officeDocument/2006/relationships/hyperlink" Target="http://publicfiles.dep.state.fl.us/dear/DEARweb/QA/QA%20resources/QA_Process_MFMP_10-17-18.pdf" TargetMode="External"/><Relationship Id="rId7" Type="http://schemas.openxmlformats.org/officeDocument/2006/relationships/image" Target="media/image1.jpeg"/><Relationship Id="rId71" Type="http://schemas.openxmlformats.org/officeDocument/2006/relationships/hyperlink" Target="https://floridadep.gov/dear/quality-assurance/content/dep-sops"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hyperlink" Target="http://fldeploc.dep.state.fl.us/sci/query.asp" TargetMode="External"/><Relationship Id="rId11" Type="http://schemas.openxmlformats.org/officeDocument/2006/relationships/hyperlink" Target="https://floridadep.gov/sites/default/files/DEP-Directive-972.pdf" TargetMode="External"/><Relationship Id="rId24" Type="http://schemas.openxmlformats.org/officeDocument/2006/relationships/hyperlink" Target="https://floridadep.sharepoint.com/dear/wqst/SitePages/Home.aspx" TargetMode="External"/><Relationship Id="rId32" Type="http://schemas.openxmlformats.org/officeDocument/2006/relationships/hyperlink" Target="https://www.flrules.org/gateway/reference.asp?No=Ref-04342" TargetMode="External"/><Relationship Id="rId37" Type="http://schemas.openxmlformats.org/officeDocument/2006/relationships/hyperlink" Target="https://floridadep.gov/dear/water-quality-standards-program/documents/data-quality-screening-protocol" TargetMode="External"/><Relationship Id="rId40" Type="http://schemas.openxmlformats.org/officeDocument/2006/relationships/hyperlink" Target="https://www.flrules.org/gateway/ChapterHome.asp?Chapter=62-160" TargetMode="External"/><Relationship Id="rId45" Type="http://schemas.openxmlformats.org/officeDocument/2006/relationships/hyperlink" Target="http://publicfiles.dep.state.fl.us/dear/sas/sopdoc/2008sops/usability_doc.pdf" TargetMode="External"/><Relationship Id="rId53" Type="http://schemas.openxmlformats.org/officeDocument/2006/relationships/hyperlink" Target="https://fldeploc.dep.state.fl.us/reports/search.asp" TargetMode="External"/><Relationship Id="rId58" Type="http://schemas.openxmlformats.org/officeDocument/2006/relationships/hyperlink" Target="http://fldeploc.dep.state.fl.us/sci/query.asp" TargetMode="External"/><Relationship Id="rId66" Type="http://schemas.openxmlformats.org/officeDocument/2006/relationships/hyperlink" Target="http://appprod.dep.state.fl.us/labs/cgi-bin/aams/index.asp" TargetMode="External"/><Relationship Id="rId5" Type="http://schemas.openxmlformats.org/officeDocument/2006/relationships/footnotes" Target="footnotes.xml"/><Relationship Id="rId15" Type="http://schemas.openxmlformats.org/officeDocument/2006/relationships/hyperlink" Target="https://www.fldepnet.org/publications/directive" TargetMode="External"/><Relationship Id="rId23" Type="http://schemas.openxmlformats.org/officeDocument/2006/relationships/hyperlink" Target="https://floridadep.sharepoint.com/dear/wqst/SitePages/Home.aspx" TargetMode="External"/><Relationship Id="rId28" Type="http://schemas.openxmlformats.org/officeDocument/2006/relationships/hyperlink" Target="https://floridadep.gov/dear/bioassessment/content/bioassessment-training-evaluation-and-quality-assurance" TargetMode="External"/><Relationship Id="rId36" Type="http://schemas.openxmlformats.org/officeDocument/2006/relationships/hyperlink" Target="https://floridadep.gov/dear/water-quality-standards/documents/nnc-implementation" TargetMode="External"/><Relationship Id="rId49" Type="http://schemas.openxmlformats.org/officeDocument/2006/relationships/hyperlink" Target="https://floridadep.gov/dear/quality-assurance/content/data-review-and-audits" TargetMode="External"/><Relationship Id="rId57" Type="http://schemas.openxmlformats.org/officeDocument/2006/relationships/hyperlink" Target="http://fldeploc.dep.state.fl.us/sci/query.asp" TargetMode="External"/><Relationship Id="rId61" Type="http://schemas.openxmlformats.org/officeDocument/2006/relationships/hyperlink" Target="http://publicfiles.dep.state.fl.us/DEAR/DEARweb/QA/QA%20resources/QA_Process_Procured_Lab_%20Field_Services_Contracts.pdf" TargetMode="External"/><Relationship Id="rId10" Type="http://schemas.openxmlformats.org/officeDocument/2006/relationships/hyperlink" Target="http://publicfiles.dep.state.fl.us/DEAR/DEARweb/QA/QA%20resources/DEP_QMP_R9_05182020_FINAL.pdf" TargetMode="External"/><Relationship Id="rId19" Type="http://schemas.openxmlformats.org/officeDocument/2006/relationships/hyperlink" Target="https://www.flrules.org/gateway/ChapterHome.asp?Chapter=62-4" TargetMode="External"/><Relationship Id="rId31" Type="http://schemas.openxmlformats.org/officeDocument/2006/relationships/hyperlink" Target="https://floridadep.gov/dear/water-quality-standards-program/documents/stream-condition-index-primer" TargetMode="External"/><Relationship Id="rId44" Type="http://schemas.openxmlformats.org/officeDocument/2006/relationships/hyperlink" Target="file://Fldep1/dear/Labs/Lab5/EAS/Common/AEQA/AEQAS_tracking_spreadsheets/QA_Questions_tracker.xlsx" TargetMode="External"/><Relationship Id="rId52" Type="http://schemas.openxmlformats.org/officeDocument/2006/relationships/hyperlink" Target="https://www.flrules.org/gateway/RuleNo.asp?title=QUALITY%20ASSURANCE&amp;ID=62-160.650" TargetMode="External"/><Relationship Id="rId60" Type="http://schemas.openxmlformats.org/officeDocument/2006/relationships/hyperlink" Target="https://floridadep.gov/dear/quality-assurance/content/quality-assurance-resources" TargetMode="External"/><Relationship Id="rId65" Type="http://schemas.openxmlformats.org/officeDocument/2006/relationships/hyperlink" Target="http://publicfiles.dep.state.fl.us/dear/sas/qa/qa00202.doc"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flrules.org/gateway/ChapterHome.asp?Chapter=62-160" TargetMode="External"/><Relationship Id="rId22" Type="http://schemas.openxmlformats.org/officeDocument/2006/relationships/hyperlink" Target="http://www.dep.state.fl.us/water/sas/sop/sops.htm" TargetMode="External"/><Relationship Id="rId27" Type="http://schemas.openxmlformats.org/officeDocument/2006/relationships/hyperlink" Target="https://floridadep.gov/dear/quality-assurance/content/training-presentations" TargetMode="External"/><Relationship Id="rId30" Type="http://schemas.openxmlformats.org/officeDocument/2006/relationships/hyperlink" Target="http://fldeploc.dep.state.fl.us/sci/query.asp" TargetMode="External"/><Relationship Id="rId35" Type="http://schemas.openxmlformats.org/officeDocument/2006/relationships/hyperlink" Target="https://floridadep.gov/dear/water-quality-standards/documents/process-document-reclassifying-surface-waters" TargetMode="External"/><Relationship Id="rId43" Type="http://schemas.openxmlformats.org/officeDocument/2006/relationships/hyperlink" Target="mailto:Quality_Assurance@FloridaDEP.gov" TargetMode="External"/><Relationship Id="rId48" Type="http://schemas.openxmlformats.org/officeDocument/2006/relationships/hyperlink" Target="http://publicfiles.dep.state.fl.us/DEAR/DEARweb/BioAssess/Bioassessment_Links/SCI%20Stressor%20ID%20Process_3-31-2020.pdf" TargetMode="External"/><Relationship Id="rId56" Type="http://schemas.openxmlformats.org/officeDocument/2006/relationships/hyperlink" Target="https://fldeploc.dep.state.fl.us/reports/search.asp" TargetMode="External"/><Relationship Id="rId64" Type="http://schemas.openxmlformats.org/officeDocument/2006/relationships/hyperlink" Target="https://www.epa.gov/quality/epa-qar-5-epa-requirements-quality-assurance-project-plans" TargetMode="External"/><Relationship Id="rId69" Type="http://schemas.openxmlformats.org/officeDocument/2006/relationships/hyperlink" Target="http://www.dep.state.fl.us/water/sas/sop/sops.htm" TargetMode="External"/><Relationship Id="rId8" Type="http://schemas.openxmlformats.org/officeDocument/2006/relationships/hyperlink" Target="http://www.FloridaDEP.gov/" TargetMode="External"/><Relationship Id="rId51" Type="http://schemas.openxmlformats.org/officeDocument/2006/relationships/hyperlink" Target="https://fldeploc.dep.state.fl.us/reports/search.asp"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publicfiles.dep.state.fl.us/DEAR/DEARweb/QA/QA%20resources/DEP_QMP_R9_05182020_FINAL.pdf" TargetMode="External"/><Relationship Id="rId17" Type="http://schemas.openxmlformats.org/officeDocument/2006/relationships/hyperlink" Target="https://www.flrules.org/gateway/ChapterHome.asp?Chapter=62-302" TargetMode="External"/><Relationship Id="rId25" Type="http://schemas.openxmlformats.org/officeDocument/2006/relationships/hyperlink" Target="http://publicfiles.dep.state.fl.us/DEAR/Intranet/Field%20Safety%20Manual_FINAL2.pdf" TargetMode="External"/><Relationship Id="rId33" Type="http://schemas.openxmlformats.org/officeDocument/2006/relationships/hyperlink" Target="https://www.flrules.org/gateway/reference.asp?No=Ref-04342" TargetMode="External"/><Relationship Id="rId38" Type="http://schemas.openxmlformats.org/officeDocument/2006/relationships/hyperlink" Target="https://floridadep.gov/dear/florida-dep-laboratory/content/dep-laboratory-quality-assurance-manual-and-sops" TargetMode="External"/><Relationship Id="rId46" Type="http://schemas.openxmlformats.org/officeDocument/2006/relationships/hyperlink" Target="http://publicfiles.dep.state.fl.us/dear/sas/sopdoc/2008sops/usability_doc.pdf" TargetMode="External"/><Relationship Id="rId59" Type="http://schemas.openxmlformats.org/officeDocument/2006/relationships/hyperlink" Target="https://floridadep.gov/dear/quality-assurance/content/quality-assurance-resources" TargetMode="External"/><Relationship Id="rId67" Type="http://schemas.openxmlformats.org/officeDocument/2006/relationships/hyperlink" Target="http://publicfiles.dep.state.fl.us/dear/DEARweb/QA/QA%20resources/QA_Process_MFMP_10-17-18.pdf" TargetMode="External"/><Relationship Id="rId20" Type="http://schemas.openxmlformats.org/officeDocument/2006/relationships/hyperlink" Target="https://www.flrules.org/gateway/ChapterHome.asp?Chapter=62-160" TargetMode="External"/><Relationship Id="rId41" Type="http://schemas.openxmlformats.org/officeDocument/2006/relationships/hyperlink" Target="http://www.dep.state.fl.us/water/sas/sop/sops.htm" TargetMode="External"/><Relationship Id="rId54" Type="http://schemas.openxmlformats.org/officeDocument/2006/relationships/hyperlink" Target="https://fldeploc.dep.state.fl.us/reports/search.asp" TargetMode="External"/><Relationship Id="rId62" Type="http://schemas.openxmlformats.org/officeDocument/2006/relationships/hyperlink" Target="http://publicfiles.dep.state.fl.us/dear/DEARweb/QA/QA%20resources/QA_Process_Procured_Lab_Field_Srvcs_Grants_06-12-18.pdf" TargetMode="External"/><Relationship Id="rId70" Type="http://schemas.openxmlformats.org/officeDocument/2006/relationships/hyperlink" Target="http://www.dep.state.fl.us/water/sas/sop/sops.htm"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17877</Words>
  <Characters>101904</Characters>
  <Application>Microsoft Office Word</Application>
  <DocSecurity>2</DocSecurity>
  <Lines>849</Lines>
  <Paragraphs>239</Paragraphs>
  <ScaleCrop>false</ScaleCrop>
  <HeadingPairs>
    <vt:vector size="2" baseType="variant">
      <vt:variant>
        <vt:lpstr>Title</vt:lpstr>
      </vt:variant>
      <vt:variant>
        <vt:i4>1</vt:i4>
      </vt:variant>
    </vt:vector>
  </HeadingPairs>
  <TitlesOfParts>
    <vt:vector size="1" baseType="lpstr">
      <vt:lpstr>DRAFT</vt:lpstr>
    </vt:vector>
  </TitlesOfParts>
  <Company/>
  <LinksUpToDate>false</LinksUpToDate>
  <CharactersWithSpaces>119542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MWB</dc:creator>
  <cp:lastModifiedBy>Piacente, Jennifer</cp:lastModifiedBy>
  <cp:revision>2</cp:revision>
  <dcterms:created xsi:type="dcterms:W3CDTF">2020-11-20T15:37:00Z</dcterms:created>
  <dcterms:modified xsi:type="dcterms:W3CDTF">2020-11-20T15:37:00Z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2020-11-09T00:00:00Z</vt:filetime>
  </property>
  <property fmtid="{D5CDD505-2E9C-101B-9397-08002B2CF9AE}" pid="3" name="Creator">
    <vt:lpwstr>Acrobat PDFMaker 20 for Word</vt:lpwstr>
  </property>
  <property fmtid="{D5CDD505-2E9C-101B-9397-08002B2CF9AE}" pid="4" name="LastSaved">
    <vt:filetime>2020-11-19T00:00:00Z</vt:filetime>
  </property>
</Properties>
</file>