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8C380" w14:textId="77777777" w:rsidR="00816D27" w:rsidRPr="00816D27" w:rsidRDefault="00816D27" w:rsidP="00816D27">
      <w:pPr>
        <w:rPr>
          <w:sz w:val="40"/>
          <w:szCs w:val="40"/>
        </w:rPr>
      </w:pPr>
      <w:r>
        <w:rPr>
          <w:sz w:val="40"/>
          <w:szCs w:val="40"/>
        </w:rPr>
        <w:t>Revisions to the MDL/PQL List for Rule 62-4.246, F.A.C.</w:t>
      </w:r>
    </w:p>
    <w:p w14:paraId="2110C9C3" w14:textId="77777777" w:rsidR="00816D27" w:rsidRPr="00816D27" w:rsidRDefault="00816D27" w:rsidP="00816D27">
      <w:pPr>
        <w:rPr>
          <w:sz w:val="24"/>
          <w:szCs w:val="24"/>
        </w:rPr>
      </w:pPr>
      <w:r w:rsidRPr="00816D27">
        <w:rPr>
          <w:sz w:val="24"/>
          <w:szCs w:val="24"/>
        </w:rPr>
        <w:t xml:space="preserve">DEP has drafted a revised list of MDL and PQL targets for selected analytes and methods, as required by rule </w:t>
      </w:r>
      <w:hyperlink r:id="rId4" w:history="1">
        <w:r w:rsidRPr="00816D27">
          <w:rPr>
            <w:rStyle w:val="Hyperlink"/>
            <w:sz w:val="24"/>
            <w:szCs w:val="24"/>
          </w:rPr>
          <w:t>62-4.246, F.A.C.</w:t>
        </w:r>
      </w:hyperlink>
      <w:r w:rsidRPr="00816D27">
        <w:rPr>
          <w:sz w:val="24"/>
          <w:szCs w:val="24"/>
        </w:rPr>
        <w:t xml:space="preserve"> (Sampling, Testing Methods, and Method Detection Limits for Water Pollution Sources). Specifically, the Department is required to publish a method detection limit (MDL) and practical quantitation limit (PQL) for each approved analytical method applicable to permit applications, permits, monitoring reports and other sources of data relating to discharges to surface waters. See subsection 62-4.246(4), F.A.C. for further details.</w:t>
      </w:r>
    </w:p>
    <w:p w14:paraId="1C190387" w14:textId="77777777" w:rsidR="00816D27" w:rsidRPr="00816D27" w:rsidRDefault="00816D27" w:rsidP="00816D27">
      <w:pPr>
        <w:rPr>
          <w:sz w:val="24"/>
          <w:szCs w:val="24"/>
        </w:rPr>
      </w:pPr>
      <w:r w:rsidRPr="00816D27">
        <w:rPr>
          <w:sz w:val="24"/>
          <w:szCs w:val="24"/>
        </w:rPr>
        <w:t>The list has been updated to conform with the current 40 CFR Section 136.3 approved method lists (Identification of Test Procedures, Tables IA - IE, IH), and the list of analytes in rule 62-302.530, F.A.C. (Surface Water Quality Criteria).</w:t>
      </w:r>
    </w:p>
    <w:p w14:paraId="06A902AD" w14:textId="77777777" w:rsidR="00816D27" w:rsidRPr="00816D27" w:rsidRDefault="00816D27" w:rsidP="00816D27">
      <w:pPr>
        <w:rPr>
          <w:sz w:val="24"/>
          <w:szCs w:val="24"/>
        </w:rPr>
      </w:pPr>
      <w:r w:rsidRPr="00816D27">
        <w:rPr>
          <w:sz w:val="24"/>
          <w:szCs w:val="24"/>
        </w:rPr>
        <w:t>New information for the listings also includes: 1) groupings of analytes by categories; and, 2) designation of those analytical techniques that may not be amenable to determining MDLs using the EPA procedure published at 40 CFR, Part 136, Appendix B (Definition and Procedure for Determination of the Method Detection Limit - Revision 2).</w:t>
      </w:r>
    </w:p>
    <w:p w14:paraId="1CD855E8" w14:textId="77777777" w:rsidR="00816D27" w:rsidRDefault="00816D27" w:rsidP="00816D27">
      <w:pPr>
        <w:rPr>
          <w:sz w:val="24"/>
          <w:szCs w:val="24"/>
        </w:rPr>
      </w:pPr>
    </w:p>
    <w:p w14:paraId="32645B75" w14:textId="77777777" w:rsidR="00816D27" w:rsidRDefault="00816D27" w:rsidP="00816D27">
      <w:pPr>
        <w:rPr>
          <w:sz w:val="24"/>
          <w:szCs w:val="24"/>
        </w:rPr>
      </w:pPr>
      <w:r w:rsidRPr="00816D27">
        <w:rPr>
          <w:sz w:val="24"/>
          <w:szCs w:val="24"/>
        </w:rPr>
        <w:t xml:space="preserve">Interested stakeholders can view the draft MDL/PQL list and accompanying guidance document </w:t>
      </w:r>
      <w:r>
        <w:rPr>
          <w:sz w:val="24"/>
          <w:szCs w:val="24"/>
        </w:rPr>
        <w:t>here:</w:t>
      </w:r>
    </w:p>
    <w:p w14:paraId="4F15577E" w14:textId="77777777" w:rsidR="00816D27" w:rsidRPr="00816D27" w:rsidRDefault="00816D27" w:rsidP="00816D27">
      <w:pPr>
        <w:rPr>
          <w:sz w:val="24"/>
          <w:szCs w:val="24"/>
        </w:rPr>
      </w:pPr>
      <w:r w:rsidRPr="00816D27">
        <w:rPr>
          <w:b/>
          <w:sz w:val="28"/>
          <w:szCs w:val="28"/>
          <w:u w:val="single"/>
        </w:rPr>
        <w:t>Draft 62-4.246(4), F.A.C. MDL/PQL List</w:t>
      </w:r>
      <w:r>
        <w:rPr>
          <w:b/>
          <w:sz w:val="28"/>
          <w:szCs w:val="28"/>
          <w:u w:val="single"/>
        </w:rPr>
        <w:t xml:space="preserve"> </w:t>
      </w:r>
    </w:p>
    <w:p w14:paraId="00CA5B43" w14:textId="77777777" w:rsidR="00095EF5" w:rsidRPr="00816D27" w:rsidRDefault="00095EF5" w:rsidP="00095EF5">
      <w:pPr>
        <w:rPr>
          <w:b/>
          <w:sz w:val="24"/>
          <w:szCs w:val="24"/>
        </w:rPr>
      </w:pPr>
      <w:r w:rsidRPr="00816D27">
        <w:rPr>
          <w:b/>
          <w:sz w:val="24"/>
          <w:szCs w:val="24"/>
        </w:rPr>
        <w:t>A note about techniques where MDL may not be appropriate:</w:t>
      </w:r>
    </w:p>
    <w:p w14:paraId="6E1BCEB0" w14:textId="3D60C0BA" w:rsidR="00095EF5" w:rsidRDefault="74656E8E" w:rsidP="74656E8E">
      <w:pPr>
        <w:rPr>
          <w:sz w:val="24"/>
          <w:szCs w:val="24"/>
        </w:rPr>
      </w:pPr>
      <w:r w:rsidRPr="74656E8E">
        <w:rPr>
          <w:sz w:val="24"/>
          <w:szCs w:val="24"/>
        </w:rPr>
        <w:t xml:space="preserve">An asterisk (*) in the </w:t>
      </w:r>
      <w:proofErr w:type="spellStart"/>
      <w:r w:rsidRPr="74656E8E">
        <w:rPr>
          <w:sz w:val="24"/>
          <w:szCs w:val="24"/>
        </w:rPr>
        <w:t>TechniqueID</w:t>
      </w:r>
      <w:proofErr w:type="spellEnd"/>
      <w:r w:rsidRPr="74656E8E">
        <w:rPr>
          <w:sz w:val="24"/>
          <w:szCs w:val="24"/>
        </w:rPr>
        <w:t xml:space="preserve"> column of the list indicates an analytical technique for which the EPA procedure for MDL determination may not be appropriate (see </w:t>
      </w:r>
      <w:r w:rsidR="00A3171D">
        <w:rPr>
          <w:sz w:val="24"/>
          <w:szCs w:val="24"/>
        </w:rPr>
        <w:t xml:space="preserve">MDL procedure at </w:t>
      </w:r>
      <w:r w:rsidRPr="74656E8E">
        <w:rPr>
          <w:sz w:val="24"/>
          <w:szCs w:val="24"/>
        </w:rPr>
        <w:t xml:space="preserve">40 CFR, Part 136, Appendix B). </w:t>
      </w:r>
      <w:r w:rsidR="002A43E1">
        <w:rPr>
          <w:sz w:val="24"/>
          <w:szCs w:val="24"/>
        </w:rPr>
        <w:t>These techniques include</w:t>
      </w:r>
      <w:r w:rsidR="002D7958">
        <w:rPr>
          <w:sz w:val="24"/>
          <w:szCs w:val="24"/>
        </w:rPr>
        <w:t>:</w:t>
      </w:r>
      <w:r w:rsidR="002A43E1">
        <w:rPr>
          <w:sz w:val="24"/>
          <w:szCs w:val="24"/>
        </w:rPr>
        <w:t xml:space="preserve"> titrimetric, radiological, bacteriological, and chlorophyll methods</w:t>
      </w:r>
      <w:r w:rsidR="002D7958">
        <w:rPr>
          <w:sz w:val="24"/>
          <w:szCs w:val="24"/>
        </w:rPr>
        <w:t>;</w:t>
      </w:r>
      <w:r w:rsidR="002A43E1">
        <w:rPr>
          <w:sz w:val="24"/>
          <w:szCs w:val="24"/>
        </w:rPr>
        <w:t xml:space="preserve"> residues, color</w:t>
      </w:r>
      <w:r w:rsidR="002D7958">
        <w:rPr>
          <w:sz w:val="24"/>
          <w:szCs w:val="24"/>
        </w:rPr>
        <w:t>; calculated results;</w:t>
      </w:r>
      <w:r w:rsidR="002A43E1">
        <w:rPr>
          <w:sz w:val="24"/>
          <w:szCs w:val="24"/>
        </w:rPr>
        <w:t xml:space="preserve"> and methods that use field probes. </w:t>
      </w:r>
      <w:r w:rsidRPr="74656E8E">
        <w:rPr>
          <w:sz w:val="24"/>
          <w:szCs w:val="24"/>
        </w:rPr>
        <w:t xml:space="preserve">The laboratory may instead indicate the PQL or laboratory Reporting Limit as an equivalent detection level for a specified analyte, as determined by alternative procedures. Field organizations may report field test results as a minimum increment based on the field sensor specifications. Per 62-160.340(3)(c), F.A.C., analytical results below the laboratory </w:t>
      </w:r>
      <w:r w:rsidRPr="001707A3">
        <w:rPr>
          <w:sz w:val="24"/>
          <w:szCs w:val="24"/>
        </w:rPr>
        <w:t>reporting limit shall</w:t>
      </w:r>
      <w:r w:rsidRPr="74656E8E">
        <w:rPr>
          <w:sz w:val="24"/>
          <w:szCs w:val="24"/>
        </w:rPr>
        <w:t xml:space="preserve"> be indicated as the reporting limit value followed by the data qualifier code "U" (see Table 1, rule 62-160.700, F.A.C.).</w:t>
      </w:r>
    </w:p>
    <w:p w14:paraId="3BD51C5E" w14:textId="77777777" w:rsidR="00816D27" w:rsidRPr="00816D27" w:rsidRDefault="00816D27" w:rsidP="00816D27">
      <w:pPr>
        <w:rPr>
          <w:sz w:val="24"/>
          <w:szCs w:val="24"/>
        </w:rPr>
      </w:pPr>
      <w:r w:rsidRPr="00816D27">
        <w:rPr>
          <w:b/>
          <w:sz w:val="28"/>
          <w:szCs w:val="28"/>
          <w:u w:val="single"/>
        </w:rPr>
        <w:t xml:space="preserve">Draft </w:t>
      </w:r>
      <w:r>
        <w:rPr>
          <w:b/>
          <w:sz w:val="28"/>
          <w:szCs w:val="28"/>
          <w:u w:val="single"/>
        </w:rPr>
        <w:t xml:space="preserve">Guidance Document for the </w:t>
      </w:r>
      <w:r w:rsidRPr="00816D27">
        <w:rPr>
          <w:b/>
          <w:sz w:val="28"/>
          <w:szCs w:val="28"/>
          <w:u w:val="single"/>
        </w:rPr>
        <w:t>62-4.246(4), F.A.C. MDL/PQL List</w:t>
      </w:r>
      <w:r>
        <w:rPr>
          <w:b/>
          <w:sz w:val="28"/>
          <w:szCs w:val="28"/>
          <w:u w:val="single"/>
        </w:rPr>
        <w:t xml:space="preserve"> </w:t>
      </w:r>
    </w:p>
    <w:p w14:paraId="79AE0CD9" w14:textId="77777777" w:rsidR="00816D27" w:rsidRDefault="00816D27" w:rsidP="00816D27">
      <w:pPr>
        <w:rPr>
          <w:sz w:val="24"/>
          <w:szCs w:val="24"/>
        </w:rPr>
      </w:pPr>
    </w:p>
    <w:p w14:paraId="252FE4B5" w14:textId="12BA5476" w:rsidR="00816D27" w:rsidRDefault="00816D27" w:rsidP="00816D27">
      <w:pPr>
        <w:rPr>
          <w:sz w:val="24"/>
          <w:szCs w:val="24"/>
        </w:rPr>
      </w:pPr>
      <w:r w:rsidRPr="00095EF5">
        <w:rPr>
          <w:b/>
          <w:sz w:val="24"/>
          <w:szCs w:val="24"/>
        </w:rPr>
        <w:t>DEP invites your comments</w:t>
      </w:r>
      <w:r w:rsidRPr="00816D27">
        <w:rPr>
          <w:sz w:val="24"/>
          <w:szCs w:val="24"/>
        </w:rPr>
        <w:t xml:space="preserve"> concerning the </w:t>
      </w:r>
      <w:r w:rsidR="00095EF5">
        <w:rPr>
          <w:sz w:val="24"/>
          <w:szCs w:val="24"/>
        </w:rPr>
        <w:t xml:space="preserve">draft </w:t>
      </w:r>
      <w:r w:rsidRPr="00816D27">
        <w:rPr>
          <w:sz w:val="24"/>
          <w:szCs w:val="24"/>
        </w:rPr>
        <w:t xml:space="preserve">guidance document and any item on the draft MDL/PQL list. </w:t>
      </w:r>
      <w:r w:rsidR="00095EF5">
        <w:rPr>
          <w:sz w:val="24"/>
          <w:szCs w:val="24"/>
        </w:rPr>
        <w:t xml:space="preserve"> </w:t>
      </w:r>
      <w:r w:rsidR="00095EF5" w:rsidRPr="00095EF5">
        <w:rPr>
          <w:b/>
          <w:sz w:val="24"/>
          <w:szCs w:val="24"/>
        </w:rPr>
        <w:t xml:space="preserve">The deadline for comments is </w:t>
      </w:r>
      <w:r w:rsidR="004829F6" w:rsidRPr="004829F6">
        <w:rPr>
          <w:b/>
          <w:sz w:val="24"/>
          <w:szCs w:val="24"/>
        </w:rPr>
        <w:t>April 22, 2019.</w:t>
      </w:r>
      <w:bookmarkStart w:id="0" w:name="_GoBack"/>
      <w:bookmarkEnd w:id="0"/>
    </w:p>
    <w:p w14:paraId="3965C19B" w14:textId="7AAB86D9" w:rsidR="00C35FBF" w:rsidRPr="00095EF5" w:rsidRDefault="00816D27">
      <w:pPr>
        <w:rPr>
          <w:sz w:val="24"/>
          <w:szCs w:val="24"/>
        </w:rPr>
      </w:pPr>
      <w:r w:rsidRPr="00816D27">
        <w:rPr>
          <w:sz w:val="24"/>
          <w:szCs w:val="24"/>
        </w:rPr>
        <w:t xml:space="preserve">Please direct comments and questions to </w:t>
      </w:r>
      <w:r w:rsidR="001707A3">
        <w:rPr>
          <w:sz w:val="24"/>
          <w:szCs w:val="24"/>
        </w:rPr>
        <w:t>Jennifer Claypool</w:t>
      </w:r>
      <w:r w:rsidRPr="00816D27">
        <w:rPr>
          <w:sz w:val="24"/>
          <w:szCs w:val="24"/>
        </w:rPr>
        <w:t xml:space="preserve"> at </w:t>
      </w:r>
      <w:r w:rsidR="001707A3">
        <w:rPr>
          <w:sz w:val="24"/>
          <w:szCs w:val="24"/>
        </w:rPr>
        <w:t>Jennifer.claypool@floridadep.gov</w:t>
      </w:r>
      <w:r w:rsidRPr="00816D27">
        <w:rPr>
          <w:sz w:val="24"/>
          <w:szCs w:val="24"/>
        </w:rPr>
        <w:t xml:space="preserve"> or </w:t>
      </w:r>
      <w:r w:rsidR="001707A3">
        <w:rPr>
          <w:sz w:val="24"/>
          <w:szCs w:val="24"/>
        </w:rPr>
        <w:t>850-245-8473</w:t>
      </w:r>
      <w:r w:rsidRPr="00816D27">
        <w:rPr>
          <w:sz w:val="24"/>
          <w:szCs w:val="24"/>
        </w:rPr>
        <w:t xml:space="preserve"> </w:t>
      </w:r>
    </w:p>
    <w:sectPr w:rsidR="00C35FBF" w:rsidRPr="00095EF5" w:rsidSect="00302AD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D8"/>
    <w:rsid w:val="00095EF5"/>
    <w:rsid w:val="001707A3"/>
    <w:rsid w:val="001872D8"/>
    <w:rsid w:val="001E459C"/>
    <w:rsid w:val="002A43E1"/>
    <w:rsid w:val="002D7958"/>
    <w:rsid w:val="00302AD3"/>
    <w:rsid w:val="00355DEA"/>
    <w:rsid w:val="004829F6"/>
    <w:rsid w:val="00572F74"/>
    <w:rsid w:val="006E4839"/>
    <w:rsid w:val="00816D27"/>
    <w:rsid w:val="008F7E4D"/>
    <w:rsid w:val="00A3171D"/>
    <w:rsid w:val="00AB18CF"/>
    <w:rsid w:val="00C35FBF"/>
    <w:rsid w:val="00C90FDA"/>
    <w:rsid w:val="00CC41C4"/>
    <w:rsid w:val="00D5012B"/>
    <w:rsid w:val="00D663F9"/>
    <w:rsid w:val="00E307AF"/>
    <w:rsid w:val="74656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BF42"/>
  <w15:chartTrackingRefBased/>
  <w15:docId w15:val="{96174F2C-3F2B-4DE4-A513-528C79D0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6D27"/>
    <w:rPr>
      <w:sz w:val="16"/>
      <w:szCs w:val="16"/>
    </w:rPr>
  </w:style>
  <w:style w:type="paragraph" w:styleId="CommentText">
    <w:name w:val="annotation text"/>
    <w:basedOn w:val="Normal"/>
    <w:link w:val="CommentTextChar"/>
    <w:uiPriority w:val="99"/>
    <w:semiHidden/>
    <w:unhideWhenUsed/>
    <w:rsid w:val="00816D27"/>
    <w:pPr>
      <w:spacing w:line="240" w:lineRule="auto"/>
    </w:pPr>
    <w:rPr>
      <w:sz w:val="20"/>
      <w:szCs w:val="20"/>
    </w:rPr>
  </w:style>
  <w:style w:type="character" w:customStyle="1" w:styleId="CommentTextChar">
    <w:name w:val="Comment Text Char"/>
    <w:basedOn w:val="DefaultParagraphFont"/>
    <w:link w:val="CommentText"/>
    <w:uiPriority w:val="99"/>
    <w:semiHidden/>
    <w:rsid w:val="00816D27"/>
    <w:rPr>
      <w:sz w:val="20"/>
      <w:szCs w:val="20"/>
    </w:rPr>
  </w:style>
  <w:style w:type="paragraph" w:styleId="CommentSubject">
    <w:name w:val="annotation subject"/>
    <w:basedOn w:val="CommentText"/>
    <w:next w:val="CommentText"/>
    <w:link w:val="CommentSubjectChar"/>
    <w:uiPriority w:val="99"/>
    <w:semiHidden/>
    <w:unhideWhenUsed/>
    <w:rsid w:val="00816D27"/>
    <w:rPr>
      <w:b/>
      <w:bCs/>
    </w:rPr>
  </w:style>
  <w:style w:type="character" w:customStyle="1" w:styleId="CommentSubjectChar">
    <w:name w:val="Comment Subject Char"/>
    <w:basedOn w:val="CommentTextChar"/>
    <w:link w:val="CommentSubject"/>
    <w:uiPriority w:val="99"/>
    <w:semiHidden/>
    <w:rsid w:val="00816D27"/>
    <w:rPr>
      <w:b/>
      <w:bCs/>
      <w:sz w:val="20"/>
      <w:szCs w:val="20"/>
    </w:rPr>
  </w:style>
  <w:style w:type="paragraph" w:styleId="BalloonText">
    <w:name w:val="Balloon Text"/>
    <w:basedOn w:val="Normal"/>
    <w:link w:val="BalloonTextChar"/>
    <w:uiPriority w:val="99"/>
    <w:semiHidden/>
    <w:unhideWhenUsed/>
    <w:rsid w:val="00816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D27"/>
    <w:rPr>
      <w:rFonts w:ascii="Segoe UI" w:hAnsi="Segoe UI" w:cs="Segoe UI"/>
      <w:sz w:val="18"/>
      <w:szCs w:val="18"/>
    </w:rPr>
  </w:style>
  <w:style w:type="character" w:styleId="Hyperlink">
    <w:name w:val="Hyperlink"/>
    <w:basedOn w:val="DefaultParagraphFont"/>
    <w:uiPriority w:val="99"/>
    <w:unhideWhenUsed/>
    <w:rsid w:val="00816D27"/>
    <w:rPr>
      <w:color w:val="0563C1" w:themeColor="hyperlink"/>
      <w:u w:val="single"/>
    </w:rPr>
  </w:style>
  <w:style w:type="character" w:styleId="UnresolvedMention">
    <w:name w:val="Unresolved Mention"/>
    <w:basedOn w:val="DefaultParagraphFont"/>
    <w:uiPriority w:val="99"/>
    <w:semiHidden/>
    <w:unhideWhenUsed/>
    <w:rsid w:val="00816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lrules.org/gateway/RuleNo.asp?title=PERMITS&amp;ID=62-4.2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Claypool, Jennifer</cp:lastModifiedBy>
  <cp:revision>2</cp:revision>
  <dcterms:created xsi:type="dcterms:W3CDTF">2019-03-07T18:43:00Z</dcterms:created>
  <dcterms:modified xsi:type="dcterms:W3CDTF">2019-03-07T18:43:00Z</dcterms:modified>
</cp:coreProperties>
</file>