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C27" w:rsidRDefault="001947D1">
      <w:pPr>
        <w:spacing w:before="20" w:line="276" w:lineRule="auto"/>
        <w:ind w:left="4442" w:right="2245" w:hanging="2208"/>
        <w:rPr>
          <w:rFonts w:ascii="Calibri" w:eastAsia="Calibri" w:hAnsi="Calibri" w:cs="Calibri"/>
          <w:sz w:val="32"/>
          <w:szCs w:val="32"/>
        </w:rPr>
      </w:pPr>
      <w:bookmarkStart w:id="0" w:name="Florida_DEP_Laboratory_QAPP_Elements_201"/>
      <w:bookmarkEnd w:id="0"/>
      <w:r>
        <w:rPr>
          <w:rFonts w:ascii="Calibri"/>
          <w:sz w:val="32"/>
        </w:rPr>
        <w:t>Florida DEP Laboratory QAPP Elements 201</w:t>
      </w:r>
      <w:r w:rsidR="009A1875">
        <w:rPr>
          <w:rFonts w:ascii="Calibri"/>
          <w:sz w:val="32"/>
        </w:rPr>
        <w:t>9</w:t>
      </w:r>
    </w:p>
    <w:p w:rsidR="00E70C27" w:rsidRDefault="00E70C27">
      <w:pPr>
        <w:spacing w:before="2"/>
        <w:rPr>
          <w:rFonts w:ascii="Calibri" w:eastAsia="Calibri" w:hAnsi="Calibri" w:cs="Calibri"/>
          <w:sz w:val="45"/>
          <w:szCs w:val="45"/>
        </w:rPr>
      </w:pPr>
    </w:p>
    <w:p w:rsidR="00E70C27" w:rsidRDefault="001947D1">
      <w:pPr>
        <w:pStyle w:val="Heading1"/>
        <w:numPr>
          <w:ilvl w:val="0"/>
          <w:numId w:val="1"/>
        </w:numPr>
        <w:tabs>
          <w:tab w:val="left" w:pos="495"/>
        </w:tabs>
        <w:ind w:hanging="374"/>
        <w:rPr>
          <w:b w:val="0"/>
          <w:bCs w:val="0"/>
        </w:rPr>
      </w:pPr>
      <w:bookmarkStart w:id="1" w:name="A.___PROJECT_MANAGEMENT"/>
      <w:bookmarkEnd w:id="1"/>
      <w:r>
        <w:t>PROJECT</w:t>
      </w:r>
      <w:r>
        <w:rPr>
          <w:spacing w:val="-8"/>
        </w:rPr>
        <w:t xml:space="preserve"> </w:t>
      </w:r>
      <w:r>
        <w:t>MANAGEMENT</w:t>
      </w:r>
    </w:p>
    <w:p w:rsidR="00E70C27" w:rsidRDefault="00E70C27">
      <w:pPr>
        <w:spacing w:before="2"/>
        <w:rPr>
          <w:rFonts w:ascii="Calibri" w:eastAsia="Calibri" w:hAnsi="Calibri" w:cs="Calibri"/>
          <w:b/>
          <w:bCs/>
          <w:sz w:val="23"/>
          <w:szCs w:val="23"/>
        </w:rPr>
      </w:pPr>
    </w:p>
    <w:p w:rsidR="00E70C27" w:rsidRDefault="001947D1">
      <w:pPr>
        <w:pStyle w:val="BodyText"/>
        <w:spacing w:line="276" w:lineRule="auto"/>
        <w:ind w:right="137"/>
      </w:pPr>
      <w:r>
        <w:t xml:space="preserve">The Florida DEP </w:t>
      </w:r>
      <w:r>
        <w:rPr>
          <w:spacing w:val="-5"/>
        </w:rPr>
        <w:t xml:space="preserve">Central </w:t>
      </w:r>
      <w:r>
        <w:t>Laboratory supports Department activities throughout the state and assists other</w:t>
      </w:r>
      <w:r>
        <w:rPr>
          <w:spacing w:val="-7"/>
        </w:rPr>
        <w:t xml:space="preserve"> </w:t>
      </w:r>
      <w:r>
        <w:t>local,</w:t>
      </w:r>
      <w:r>
        <w:rPr>
          <w:spacing w:val="-4"/>
        </w:rPr>
        <w:t xml:space="preserve"> </w:t>
      </w:r>
      <w:r>
        <w:t>state</w:t>
      </w:r>
      <w:r>
        <w:rPr>
          <w:spacing w:val="-6"/>
        </w:rPr>
        <w:t xml:space="preserve"> </w:t>
      </w:r>
      <w:r>
        <w:t>and</w:t>
      </w:r>
      <w:r>
        <w:rPr>
          <w:spacing w:val="-5"/>
        </w:rPr>
        <w:t xml:space="preserve"> </w:t>
      </w:r>
      <w:r>
        <w:t>federal</w:t>
      </w:r>
      <w:r>
        <w:rPr>
          <w:spacing w:val="-7"/>
        </w:rPr>
        <w:t xml:space="preserve"> </w:t>
      </w:r>
      <w:r>
        <w:t>agencies</w:t>
      </w:r>
      <w:r>
        <w:rPr>
          <w:spacing w:val="-6"/>
        </w:rPr>
        <w:t xml:space="preserve"> </w:t>
      </w:r>
      <w:r>
        <w:t>in</w:t>
      </w:r>
      <w:r>
        <w:rPr>
          <w:spacing w:val="-7"/>
        </w:rPr>
        <w:t xml:space="preserve"> </w:t>
      </w:r>
      <w:r>
        <w:t>environmental</w:t>
      </w:r>
      <w:r>
        <w:rPr>
          <w:spacing w:val="-4"/>
        </w:rPr>
        <w:t xml:space="preserve"> </w:t>
      </w:r>
      <w:r>
        <w:t>activities.</w:t>
      </w:r>
      <w:r>
        <w:rPr>
          <w:spacing w:val="-7"/>
        </w:rPr>
        <w:t xml:space="preserve"> </w:t>
      </w:r>
      <w:r>
        <w:t>In</w:t>
      </w:r>
      <w:r>
        <w:rPr>
          <w:spacing w:val="-7"/>
        </w:rPr>
        <w:t xml:space="preserve"> </w:t>
      </w:r>
      <w:r>
        <w:t>addition</w:t>
      </w:r>
      <w:r>
        <w:rPr>
          <w:spacing w:val="-7"/>
        </w:rPr>
        <w:t xml:space="preserve"> </w:t>
      </w:r>
      <w:r>
        <w:t>to</w:t>
      </w:r>
      <w:r>
        <w:rPr>
          <w:spacing w:val="-3"/>
        </w:rPr>
        <w:t xml:space="preserve"> </w:t>
      </w:r>
      <w:r>
        <w:t>laboratory</w:t>
      </w:r>
      <w:r>
        <w:rPr>
          <w:spacing w:val="-6"/>
        </w:rPr>
        <w:t xml:space="preserve"> </w:t>
      </w:r>
      <w:r>
        <w:t>analyses</w:t>
      </w:r>
      <w:r>
        <w:rPr>
          <w:spacing w:val="-4"/>
        </w:rPr>
        <w:t xml:space="preserve"> </w:t>
      </w:r>
      <w:r>
        <w:t>and technical consulting, the Bureau provides field sampling services to many Department programs. The Central Laboratory is in the Division of Environmental Assessment</w:t>
      </w:r>
      <w:r w:rsidR="009A1875">
        <w:t xml:space="preserve"> </w:t>
      </w:r>
      <w:r>
        <w:t>and Restoration. The laboratory is comprised of Chemistry and Biology laboratories and a Laboratory Support Section. Each section is managed</w:t>
      </w:r>
      <w:r>
        <w:rPr>
          <w:spacing w:val="-4"/>
        </w:rPr>
        <w:t xml:space="preserve"> </w:t>
      </w:r>
      <w:r>
        <w:t>by</w:t>
      </w:r>
      <w:r>
        <w:rPr>
          <w:spacing w:val="-4"/>
        </w:rPr>
        <w:t xml:space="preserve"> </w:t>
      </w:r>
      <w:r>
        <w:t>a</w:t>
      </w:r>
      <w:r>
        <w:rPr>
          <w:spacing w:val="-5"/>
        </w:rPr>
        <w:t xml:space="preserve"> </w:t>
      </w:r>
      <w:r>
        <w:t>Program</w:t>
      </w:r>
      <w:r>
        <w:rPr>
          <w:spacing w:val="-2"/>
        </w:rPr>
        <w:t xml:space="preserve"> </w:t>
      </w:r>
      <w:r>
        <w:t>Administrator</w:t>
      </w:r>
      <w:r>
        <w:rPr>
          <w:spacing w:val="-5"/>
        </w:rPr>
        <w:t xml:space="preserve"> </w:t>
      </w:r>
      <w:r>
        <w:t>who</w:t>
      </w:r>
      <w:r>
        <w:rPr>
          <w:spacing w:val="-4"/>
        </w:rPr>
        <w:t xml:space="preserve"> </w:t>
      </w:r>
      <w:r>
        <w:t>reports</w:t>
      </w:r>
      <w:r>
        <w:rPr>
          <w:spacing w:val="-3"/>
        </w:rPr>
        <w:t xml:space="preserve"> </w:t>
      </w:r>
      <w:r>
        <w:t>directly</w:t>
      </w:r>
      <w:r>
        <w:rPr>
          <w:spacing w:val="-4"/>
        </w:rPr>
        <w:t xml:space="preserve"> </w:t>
      </w:r>
      <w:r>
        <w:t>to</w:t>
      </w:r>
      <w:r>
        <w:rPr>
          <w:spacing w:val="-24"/>
        </w:rPr>
        <w:t xml:space="preserve"> </w:t>
      </w:r>
      <w:r>
        <w:t>the</w:t>
      </w:r>
      <w:r>
        <w:rPr>
          <w:spacing w:val="-2"/>
        </w:rPr>
        <w:t xml:space="preserve"> </w:t>
      </w:r>
      <w:r>
        <w:t>Bureau</w:t>
      </w:r>
      <w:r>
        <w:rPr>
          <w:spacing w:val="-7"/>
        </w:rPr>
        <w:t xml:space="preserve"> </w:t>
      </w:r>
      <w:r>
        <w:t>Chief.</w:t>
      </w:r>
      <w:r>
        <w:rPr>
          <w:spacing w:val="-7"/>
        </w:rPr>
        <w:t xml:space="preserve"> </w:t>
      </w:r>
      <w:r>
        <w:t>Organizational</w:t>
      </w:r>
      <w:r>
        <w:rPr>
          <w:spacing w:val="-5"/>
        </w:rPr>
        <w:t xml:space="preserve"> </w:t>
      </w:r>
      <w:r>
        <w:t>charts</w:t>
      </w:r>
      <w:r>
        <w:rPr>
          <w:spacing w:val="-5"/>
        </w:rPr>
        <w:t xml:space="preserve"> </w:t>
      </w:r>
      <w:r>
        <w:t>for the chemistry, biology and lab support sections are displayed in Figures 4.1, 4.2 and 4.3 in the Laboratory Quality Manual. The roles and responsibilities of key management personnel in the central laboratory who</w:t>
      </w:r>
      <w:r w:rsidR="009A1875">
        <w:t xml:space="preserve"> </w:t>
      </w:r>
      <w:r>
        <w:t xml:space="preserve">administer projects are outlined in section 4.2 of the Quality Manual. This document shall henceforth be referred to as the </w:t>
      </w:r>
      <w:hyperlink r:id="rId7">
        <w:r>
          <w:rPr>
            <w:color w:val="0000FF"/>
            <w:u w:val="single" w:color="0000FF"/>
          </w:rPr>
          <w:t>Lab QM</w:t>
        </w:r>
        <w:r>
          <w:t>.</w:t>
        </w:r>
      </w:hyperlink>
      <w:r>
        <w:t xml:space="preserve"> The Lab QM can be accessed at </w:t>
      </w:r>
      <w:hyperlink r:id="rId8" w:history="1">
        <w:r w:rsidR="009A1875" w:rsidRPr="008C138C">
          <w:rPr>
            <w:rStyle w:val="Hyperlink"/>
          </w:rPr>
          <w:t>http://publicfiles.dep.state.fl.us/dear/labs/lab_qualitymanual_19.pdf</w:t>
        </w:r>
      </w:hyperlink>
      <w:r w:rsidR="009A1875">
        <w:t xml:space="preserve"> </w:t>
      </w:r>
    </w:p>
    <w:p w:rsidR="00E70C27" w:rsidRDefault="00E70C27">
      <w:pPr>
        <w:spacing w:before="11"/>
        <w:rPr>
          <w:rFonts w:ascii="Calibri" w:eastAsia="Calibri" w:hAnsi="Calibri" w:cs="Calibri"/>
          <w:sz w:val="14"/>
          <w:szCs w:val="14"/>
        </w:rPr>
      </w:pPr>
    </w:p>
    <w:p w:rsidR="00E70C27" w:rsidRDefault="001947D1">
      <w:pPr>
        <w:pStyle w:val="BodyText"/>
        <w:spacing w:before="56" w:line="276" w:lineRule="auto"/>
        <w:ind w:left="120" w:right="157"/>
      </w:pPr>
      <w:r>
        <w:t xml:space="preserve">Procedures describing the review and acceptance of laboratory projects are documented in section 4.4 of the Lab QM. All contracts/projects are reviewed and accepted only if the requirements are clear and understood, and the laboratory has the capability and capacity to meet full customer expectations. The criteria used to review and accept projects are described in </w:t>
      </w:r>
      <w:hyperlink r:id="rId9">
        <w:r>
          <w:rPr>
            <w:color w:val="0000FF"/>
            <w:u w:val="single" w:color="0000FF"/>
          </w:rPr>
          <w:t>SOP LB-033</w:t>
        </w:r>
        <w:r>
          <w:t>,</w:t>
        </w:r>
      </w:hyperlink>
      <w:r>
        <w:t xml:space="preserve"> </w:t>
      </w:r>
      <w:r>
        <w:rPr>
          <w:i/>
        </w:rPr>
        <w:t>Re</w:t>
      </w:r>
      <w:r w:rsidR="00EF0462">
        <w:rPr>
          <w:i/>
        </w:rPr>
        <w:t>viewing</w:t>
      </w:r>
      <w:r>
        <w:rPr>
          <w:i/>
        </w:rPr>
        <w:t xml:space="preserve"> and Accepting Laboratory Projects</w:t>
      </w:r>
      <w:r>
        <w:t xml:space="preserve">.  Upon receiving a request from a </w:t>
      </w:r>
      <w:proofErr w:type="gramStart"/>
      <w:r>
        <w:t>client</w:t>
      </w:r>
      <w:proofErr w:type="gramEnd"/>
      <w:r>
        <w:t xml:space="preserve"> the FDEP Project Manager obtains specific project information. The information includes but is not limited to the project description (and purpose if needed), the analyses requested, data quality objectives, sample matrices, number/frequency of the samples and turnaround</w:t>
      </w:r>
      <w:r>
        <w:rPr>
          <w:spacing w:val="-38"/>
        </w:rPr>
        <w:t xml:space="preserve"> </w:t>
      </w:r>
      <w:r>
        <w:t>times.</w:t>
      </w:r>
    </w:p>
    <w:p w:rsidR="00E70C27" w:rsidRDefault="00E70C27">
      <w:pPr>
        <w:spacing w:before="9"/>
        <w:rPr>
          <w:rFonts w:ascii="Calibri" w:eastAsia="Calibri" w:hAnsi="Calibri" w:cs="Calibri"/>
          <w:sz w:val="19"/>
          <w:szCs w:val="19"/>
        </w:rPr>
      </w:pPr>
    </w:p>
    <w:p w:rsidR="00E70C27" w:rsidRDefault="001947D1">
      <w:pPr>
        <w:pStyle w:val="BodyText"/>
        <w:spacing w:line="276" w:lineRule="auto"/>
      </w:pPr>
      <w:r>
        <w:t xml:space="preserve">If the FDEP Laboratory </w:t>
      </w:r>
      <w:proofErr w:type="gramStart"/>
      <w:r>
        <w:t>is able to</w:t>
      </w:r>
      <w:proofErr w:type="gramEnd"/>
      <w:r>
        <w:t xml:space="preserve"> accept the work then the FDEP Project Manager provides information</w:t>
      </w:r>
      <w:r w:rsidR="003937B8">
        <w:t xml:space="preserve"> </w:t>
      </w:r>
      <w:r>
        <w:t>in writing to the client, including a list of the analytical methods the FDEP Lab uses, NELAC</w:t>
      </w:r>
      <w:r w:rsidR="003937B8">
        <w:t xml:space="preserve"> </w:t>
      </w:r>
      <w:r>
        <w:t>certification, detection and quantitation limits and cost of analyses. A comprehensive list of methods, and</w:t>
      </w:r>
      <w:r w:rsidR="00EF0462">
        <w:t xml:space="preserve"> </w:t>
      </w:r>
      <w:r>
        <w:t xml:space="preserve">their detection and quantitation limits can be found in </w:t>
      </w:r>
      <w:hyperlink r:id="rId10">
        <w:r>
          <w:rPr>
            <w:color w:val="0000FF"/>
            <w:u w:val="single" w:color="0000FF"/>
          </w:rPr>
          <w:t xml:space="preserve">Table 5.1 </w:t>
        </w:r>
      </w:hyperlink>
      <w:r>
        <w:t xml:space="preserve">and </w:t>
      </w:r>
      <w:hyperlink r:id="rId11">
        <w:r>
          <w:rPr>
            <w:color w:val="0000FF"/>
            <w:u w:val="single" w:color="0000FF"/>
          </w:rPr>
          <w:t xml:space="preserve">Table 5.2 </w:t>
        </w:r>
        <w:r>
          <w:t>i</w:t>
        </w:r>
      </w:hyperlink>
      <w:r>
        <w:t>n the Lab QM. Sample preservation and hold times for analyzed in the lab are in accordance with 40 CFR, Part 136, Table II. Preservation</w:t>
      </w:r>
      <w:r>
        <w:rPr>
          <w:spacing w:val="-8"/>
        </w:rPr>
        <w:t xml:space="preserve"> </w:t>
      </w:r>
      <w:r>
        <w:t>techniques</w:t>
      </w:r>
      <w:r>
        <w:rPr>
          <w:spacing w:val="-7"/>
        </w:rPr>
        <w:t xml:space="preserve"> </w:t>
      </w:r>
      <w:r>
        <w:t>and</w:t>
      </w:r>
      <w:r>
        <w:rPr>
          <w:spacing w:val="-6"/>
        </w:rPr>
        <w:t xml:space="preserve"> </w:t>
      </w:r>
      <w:r>
        <w:t>holding</w:t>
      </w:r>
      <w:r>
        <w:rPr>
          <w:spacing w:val="-8"/>
        </w:rPr>
        <w:t xml:space="preserve"> </w:t>
      </w:r>
      <w:r>
        <w:t>times</w:t>
      </w:r>
      <w:r>
        <w:rPr>
          <w:spacing w:val="-7"/>
        </w:rPr>
        <w:t xml:space="preserve"> </w:t>
      </w:r>
      <w:r>
        <w:t>are</w:t>
      </w:r>
      <w:r>
        <w:rPr>
          <w:spacing w:val="-7"/>
        </w:rPr>
        <w:t xml:space="preserve"> </w:t>
      </w:r>
      <w:r>
        <w:t>also</w:t>
      </w:r>
      <w:r>
        <w:rPr>
          <w:spacing w:val="-4"/>
        </w:rPr>
        <w:t xml:space="preserve"> </w:t>
      </w:r>
      <w:r>
        <w:t>listed</w:t>
      </w:r>
      <w:r>
        <w:rPr>
          <w:spacing w:val="-8"/>
        </w:rPr>
        <w:t xml:space="preserve"> </w:t>
      </w:r>
      <w:r>
        <w:t>in</w:t>
      </w:r>
      <w:r>
        <w:rPr>
          <w:spacing w:val="-7"/>
        </w:rPr>
        <w:t xml:space="preserve"> </w:t>
      </w:r>
      <w:hyperlink r:id="rId12">
        <w:r>
          <w:rPr>
            <w:color w:val="0000FF"/>
            <w:u w:val="single" w:color="0000FF"/>
          </w:rPr>
          <w:t>Table</w:t>
        </w:r>
        <w:r>
          <w:rPr>
            <w:color w:val="0000FF"/>
            <w:spacing w:val="-11"/>
            <w:u w:val="single" w:color="0000FF"/>
          </w:rPr>
          <w:t xml:space="preserve"> </w:t>
        </w:r>
        <w:r>
          <w:rPr>
            <w:color w:val="0000FF"/>
            <w:u w:val="single" w:color="0000FF"/>
          </w:rPr>
          <w:t>5.6</w:t>
        </w:r>
        <w:r>
          <w:rPr>
            <w:color w:val="0000FF"/>
            <w:spacing w:val="-6"/>
            <w:u w:val="single" w:color="0000FF"/>
          </w:rPr>
          <w:t xml:space="preserve"> </w:t>
        </w:r>
      </w:hyperlink>
      <w:r>
        <w:t>in</w:t>
      </w:r>
      <w:r>
        <w:rPr>
          <w:spacing w:val="-10"/>
        </w:rPr>
        <w:t xml:space="preserve"> </w:t>
      </w:r>
      <w:r>
        <w:t>the</w:t>
      </w:r>
      <w:r>
        <w:rPr>
          <w:spacing w:val="-11"/>
        </w:rPr>
        <w:t xml:space="preserve"> </w:t>
      </w:r>
      <w:r>
        <w:t>Lab</w:t>
      </w:r>
      <w:r>
        <w:rPr>
          <w:spacing w:val="-10"/>
        </w:rPr>
        <w:t xml:space="preserve"> </w:t>
      </w:r>
      <w:r>
        <w:t>QM.</w:t>
      </w:r>
    </w:p>
    <w:p w:rsidR="00E70C27" w:rsidRDefault="00E70C27">
      <w:pPr>
        <w:spacing w:before="2"/>
        <w:rPr>
          <w:rFonts w:ascii="Calibri" w:eastAsia="Calibri" w:hAnsi="Calibri" w:cs="Calibri"/>
          <w:sz w:val="15"/>
          <w:szCs w:val="15"/>
        </w:rPr>
      </w:pPr>
    </w:p>
    <w:p w:rsidR="00E70C27" w:rsidRDefault="001947D1">
      <w:pPr>
        <w:spacing w:before="56" w:line="276" w:lineRule="auto"/>
        <w:ind w:left="119" w:right="137"/>
        <w:rPr>
          <w:rFonts w:ascii="Calibri" w:eastAsia="Calibri" w:hAnsi="Calibri" w:cs="Calibri"/>
        </w:rPr>
      </w:pPr>
      <w:r>
        <w:rPr>
          <w:rFonts w:ascii="Calibri"/>
        </w:rPr>
        <w:t xml:space="preserve">Documentation control requirements include protocols for preparing Standard Operating Procedures and the archiving and retrieval of documents. </w:t>
      </w:r>
      <w:hyperlink r:id="rId13">
        <w:r>
          <w:rPr>
            <w:rFonts w:ascii="Calibri"/>
            <w:color w:val="0000FF"/>
            <w:u w:val="single" w:color="0000FF"/>
          </w:rPr>
          <w:t>SOP LB-001</w:t>
        </w:r>
        <w:r>
          <w:rPr>
            <w:rFonts w:ascii="Calibri"/>
          </w:rPr>
          <w:t>,</w:t>
        </w:r>
      </w:hyperlink>
      <w:r>
        <w:rPr>
          <w:rFonts w:ascii="Calibri"/>
        </w:rPr>
        <w:t xml:space="preserve"> </w:t>
      </w:r>
      <w:r>
        <w:rPr>
          <w:rFonts w:ascii="Calibri"/>
          <w:i/>
        </w:rPr>
        <w:t xml:space="preserve">Protocol for </w:t>
      </w:r>
      <w:r w:rsidR="00FF3724">
        <w:rPr>
          <w:rFonts w:ascii="Calibri"/>
          <w:i/>
        </w:rPr>
        <w:t xml:space="preserve">the </w:t>
      </w:r>
      <w:r>
        <w:rPr>
          <w:rFonts w:ascii="Calibri"/>
          <w:i/>
        </w:rPr>
        <w:t>Prepar</w:t>
      </w:r>
      <w:r w:rsidR="00EF0462">
        <w:rPr>
          <w:rFonts w:ascii="Calibri"/>
          <w:i/>
        </w:rPr>
        <w:t xml:space="preserve">ation and Document Control of </w:t>
      </w:r>
      <w:r>
        <w:rPr>
          <w:rFonts w:ascii="Calibri"/>
          <w:i/>
        </w:rPr>
        <w:t>Standard</w:t>
      </w:r>
      <w:r w:rsidR="003937B8">
        <w:rPr>
          <w:rFonts w:ascii="Calibri"/>
          <w:i/>
        </w:rPr>
        <w:t xml:space="preserve"> </w:t>
      </w:r>
      <w:r>
        <w:rPr>
          <w:rFonts w:ascii="Calibri"/>
          <w:i/>
        </w:rPr>
        <w:t xml:space="preserve">Operating </w:t>
      </w:r>
      <w:r w:rsidR="00EF0462">
        <w:rPr>
          <w:rFonts w:ascii="Calibri"/>
          <w:i/>
        </w:rPr>
        <w:t>P</w:t>
      </w:r>
      <w:r>
        <w:rPr>
          <w:rFonts w:ascii="Calibri"/>
          <w:i/>
        </w:rPr>
        <w:t>rocedures (SOPs)</w:t>
      </w:r>
      <w:r w:rsidRPr="00EF0462">
        <w:rPr>
          <w:rFonts w:ascii="Calibri"/>
          <w:i/>
        </w:rPr>
        <w:t>,</w:t>
      </w:r>
      <w:r w:rsidR="00EF0462" w:rsidRPr="00EF0462">
        <w:rPr>
          <w:rFonts w:ascii="Calibri"/>
          <w:i/>
        </w:rPr>
        <w:t xml:space="preserve"> Forms, and External Documents</w:t>
      </w:r>
      <w:r w:rsidRPr="00EF0462">
        <w:rPr>
          <w:rFonts w:ascii="Calibri"/>
          <w:i/>
        </w:rPr>
        <w:t xml:space="preserve"> </w:t>
      </w:r>
      <w:r>
        <w:rPr>
          <w:rFonts w:ascii="Calibri"/>
        </w:rPr>
        <w:t xml:space="preserve">describes how SOPs </w:t>
      </w:r>
      <w:r w:rsidR="00EF0462">
        <w:rPr>
          <w:rFonts w:ascii="Calibri"/>
        </w:rPr>
        <w:t xml:space="preserve">and forms </w:t>
      </w:r>
      <w:r>
        <w:rPr>
          <w:rFonts w:ascii="Calibri"/>
        </w:rPr>
        <w:t>are created, revised, approved and archived. Record</w:t>
      </w:r>
      <w:r w:rsidR="003937B8">
        <w:rPr>
          <w:rFonts w:ascii="Calibri"/>
        </w:rPr>
        <w:t xml:space="preserve"> </w:t>
      </w:r>
      <w:r>
        <w:rPr>
          <w:rFonts w:ascii="Calibri"/>
        </w:rPr>
        <w:t>archiving procedures</w:t>
      </w:r>
      <w:r>
        <w:rPr>
          <w:rFonts w:ascii="Calibri"/>
          <w:spacing w:val="-5"/>
        </w:rPr>
        <w:t xml:space="preserve"> </w:t>
      </w:r>
      <w:r>
        <w:rPr>
          <w:rFonts w:ascii="Calibri"/>
        </w:rPr>
        <w:t>are</w:t>
      </w:r>
      <w:r>
        <w:rPr>
          <w:rFonts w:ascii="Calibri"/>
          <w:spacing w:val="-2"/>
        </w:rPr>
        <w:t xml:space="preserve"> </w:t>
      </w:r>
      <w:r>
        <w:rPr>
          <w:rFonts w:ascii="Calibri"/>
        </w:rPr>
        <w:t>found</w:t>
      </w:r>
      <w:r>
        <w:rPr>
          <w:rFonts w:ascii="Calibri"/>
          <w:spacing w:val="-4"/>
        </w:rPr>
        <w:t xml:space="preserve"> </w:t>
      </w:r>
      <w:r>
        <w:rPr>
          <w:rFonts w:ascii="Calibri"/>
        </w:rPr>
        <w:t>in</w:t>
      </w:r>
      <w:r>
        <w:rPr>
          <w:rFonts w:ascii="Calibri"/>
          <w:spacing w:val="-3"/>
        </w:rPr>
        <w:t xml:space="preserve"> </w:t>
      </w:r>
      <w:hyperlink r:id="rId14">
        <w:r>
          <w:rPr>
            <w:rFonts w:ascii="Calibri"/>
            <w:color w:val="0000FF"/>
            <w:spacing w:val="-4"/>
            <w:u w:val="single" w:color="0000FF"/>
          </w:rPr>
          <w:t>SOP</w:t>
        </w:r>
        <w:r>
          <w:rPr>
            <w:rFonts w:ascii="Calibri"/>
            <w:color w:val="0000FF"/>
            <w:spacing w:val="-8"/>
            <w:u w:val="single" w:color="0000FF"/>
          </w:rPr>
          <w:t xml:space="preserve"> </w:t>
        </w:r>
        <w:r>
          <w:rPr>
            <w:rFonts w:ascii="Calibri"/>
            <w:color w:val="0000FF"/>
            <w:u w:val="single" w:color="0000FF"/>
          </w:rPr>
          <w:t>LB-013</w:t>
        </w:r>
        <w:r>
          <w:rPr>
            <w:rFonts w:ascii="Calibri"/>
          </w:rPr>
          <w:t>,</w:t>
        </w:r>
      </w:hyperlink>
      <w:r>
        <w:rPr>
          <w:rFonts w:ascii="Calibri"/>
          <w:spacing w:val="-5"/>
        </w:rPr>
        <w:t xml:space="preserve"> </w:t>
      </w:r>
      <w:r>
        <w:rPr>
          <w:rFonts w:ascii="Calibri"/>
          <w:i/>
        </w:rPr>
        <w:t>Archiving</w:t>
      </w:r>
      <w:r w:rsidR="00FF3724">
        <w:rPr>
          <w:rFonts w:ascii="Calibri"/>
          <w:i/>
        </w:rPr>
        <w:t xml:space="preserve"> and </w:t>
      </w:r>
      <w:r>
        <w:rPr>
          <w:rFonts w:ascii="Calibri"/>
          <w:i/>
        </w:rPr>
        <w:t>Retrieving</w:t>
      </w:r>
      <w:r w:rsidR="00FF3724">
        <w:rPr>
          <w:rFonts w:ascii="Calibri"/>
          <w:i/>
          <w:spacing w:val="-22"/>
        </w:rPr>
        <w:t xml:space="preserve"> </w:t>
      </w:r>
      <w:r w:rsidR="00FF3724">
        <w:rPr>
          <w:rFonts w:ascii="Calibri"/>
          <w:i/>
        </w:rPr>
        <w:t xml:space="preserve">Laboratory </w:t>
      </w:r>
      <w:r>
        <w:rPr>
          <w:rFonts w:ascii="Calibri"/>
          <w:i/>
        </w:rPr>
        <w:t>Documents</w:t>
      </w:r>
      <w:r w:rsidR="00FF3724">
        <w:rPr>
          <w:rFonts w:ascii="Calibri"/>
          <w:i/>
        </w:rPr>
        <w:t>.</w:t>
      </w:r>
      <w:r>
        <w:rPr>
          <w:rFonts w:ascii="Calibri"/>
          <w:i/>
        </w:rPr>
        <w:t xml:space="preserve"> </w:t>
      </w:r>
      <w:r>
        <w:rPr>
          <w:rFonts w:ascii="Calibri"/>
        </w:rPr>
        <w:t>Archived records include raw laboratory data, laboratory notebooks, final reports, administrative files, personnel records, purchase requisitions and purchase orders.</w:t>
      </w:r>
      <w:r>
        <w:rPr>
          <w:rFonts w:ascii="Calibri"/>
          <w:spacing w:val="-2"/>
        </w:rPr>
        <w:t xml:space="preserve"> </w:t>
      </w:r>
      <w:r>
        <w:rPr>
          <w:rFonts w:ascii="Calibri"/>
        </w:rPr>
        <w:t>All</w:t>
      </w:r>
      <w:r>
        <w:rPr>
          <w:rFonts w:ascii="Calibri"/>
          <w:spacing w:val="-2"/>
        </w:rPr>
        <w:t xml:space="preserve"> </w:t>
      </w:r>
      <w:r>
        <w:rPr>
          <w:rFonts w:ascii="Calibri"/>
        </w:rPr>
        <w:t>lab</w:t>
      </w:r>
      <w:r>
        <w:rPr>
          <w:rFonts w:ascii="Calibri"/>
          <w:spacing w:val="-5"/>
        </w:rPr>
        <w:t xml:space="preserve"> </w:t>
      </w:r>
      <w:r>
        <w:rPr>
          <w:rFonts w:ascii="Calibri"/>
        </w:rPr>
        <w:t>records</w:t>
      </w:r>
      <w:r>
        <w:rPr>
          <w:rFonts w:ascii="Calibri"/>
          <w:spacing w:val="-2"/>
        </w:rPr>
        <w:t xml:space="preserve"> </w:t>
      </w:r>
      <w:r>
        <w:rPr>
          <w:rFonts w:ascii="Calibri"/>
        </w:rPr>
        <w:t>are</w:t>
      </w:r>
      <w:r>
        <w:rPr>
          <w:rFonts w:ascii="Calibri"/>
          <w:spacing w:val="-1"/>
        </w:rPr>
        <w:t xml:space="preserve"> </w:t>
      </w:r>
      <w:r>
        <w:rPr>
          <w:rFonts w:ascii="Calibri"/>
        </w:rPr>
        <w:t>archived</w:t>
      </w:r>
      <w:r>
        <w:rPr>
          <w:rFonts w:ascii="Calibri"/>
          <w:spacing w:val="-3"/>
        </w:rPr>
        <w:t xml:space="preserve"> </w:t>
      </w:r>
      <w:r>
        <w:rPr>
          <w:rFonts w:ascii="Calibri"/>
        </w:rPr>
        <w:t>for</w:t>
      </w:r>
      <w:r>
        <w:rPr>
          <w:rFonts w:ascii="Calibri"/>
          <w:spacing w:val="-2"/>
        </w:rPr>
        <w:t xml:space="preserve"> </w:t>
      </w:r>
      <w:r>
        <w:rPr>
          <w:rFonts w:ascii="Calibri"/>
        </w:rPr>
        <w:t>a</w:t>
      </w:r>
      <w:r>
        <w:rPr>
          <w:rFonts w:ascii="Calibri"/>
          <w:spacing w:val="-4"/>
        </w:rPr>
        <w:t xml:space="preserve"> </w:t>
      </w:r>
      <w:r>
        <w:rPr>
          <w:rFonts w:ascii="Calibri"/>
        </w:rPr>
        <w:t>minimum</w:t>
      </w:r>
      <w:r>
        <w:rPr>
          <w:rFonts w:ascii="Calibri"/>
          <w:spacing w:val="-3"/>
        </w:rPr>
        <w:t xml:space="preserve"> </w:t>
      </w:r>
      <w:r>
        <w:rPr>
          <w:rFonts w:ascii="Calibri"/>
        </w:rPr>
        <w:t>of</w:t>
      </w:r>
      <w:r>
        <w:rPr>
          <w:rFonts w:ascii="Calibri"/>
          <w:spacing w:val="-4"/>
        </w:rPr>
        <w:t xml:space="preserve"> </w:t>
      </w:r>
      <w:r>
        <w:rPr>
          <w:rFonts w:ascii="Calibri"/>
        </w:rPr>
        <w:t>five</w:t>
      </w:r>
      <w:r>
        <w:rPr>
          <w:rFonts w:ascii="Calibri"/>
          <w:spacing w:val="-26"/>
        </w:rPr>
        <w:t xml:space="preserve"> </w:t>
      </w:r>
      <w:r>
        <w:rPr>
          <w:rFonts w:ascii="Calibri"/>
        </w:rPr>
        <w:t>years.</w:t>
      </w:r>
    </w:p>
    <w:p w:rsidR="00E70C27" w:rsidRDefault="00E70C27">
      <w:pPr>
        <w:spacing w:line="276" w:lineRule="auto"/>
        <w:rPr>
          <w:rFonts w:ascii="Calibri" w:eastAsia="Calibri" w:hAnsi="Calibri" w:cs="Calibri"/>
        </w:rPr>
        <w:sectPr w:rsidR="00E70C27">
          <w:footerReference w:type="default" r:id="rId15"/>
          <w:type w:val="continuous"/>
          <w:pgSz w:w="12240" w:h="15840"/>
          <w:pgMar w:top="1420" w:right="1360" w:bottom="780" w:left="1320" w:header="720" w:footer="581" w:gutter="0"/>
          <w:pgNumType w:start="1"/>
          <w:cols w:space="720"/>
        </w:sectPr>
      </w:pPr>
    </w:p>
    <w:p w:rsidR="00E70C27" w:rsidRDefault="00E70C27">
      <w:pPr>
        <w:rPr>
          <w:rFonts w:ascii="Calibri" w:eastAsia="Calibri" w:hAnsi="Calibri" w:cs="Calibri"/>
          <w:sz w:val="20"/>
          <w:szCs w:val="20"/>
        </w:rPr>
      </w:pPr>
      <w:bookmarkStart w:id="2" w:name="_GoBack"/>
      <w:bookmarkEnd w:id="2"/>
    </w:p>
    <w:p w:rsidR="00E70C27" w:rsidRDefault="00E70C27">
      <w:pPr>
        <w:spacing w:before="10"/>
        <w:rPr>
          <w:rFonts w:ascii="Calibri" w:eastAsia="Calibri" w:hAnsi="Calibri" w:cs="Calibri"/>
          <w:sz w:val="15"/>
          <w:szCs w:val="15"/>
        </w:rPr>
      </w:pPr>
    </w:p>
    <w:p w:rsidR="00E70C27" w:rsidRDefault="001947D1">
      <w:pPr>
        <w:pStyle w:val="Heading1"/>
        <w:numPr>
          <w:ilvl w:val="0"/>
          <w:numId w:val="1"/>
        </w:numPr>
        <w:tabs>
          <w:tab w:val="left" w:pos="485"/>
        </w:tabs>
        <w:spacing w:before="51"/>
        <w:ind w:left="484" w:hanging="364"/>
        <w:rPr>
          <w:b w:val="0"/>
          <w:bCs w:val="0"/>
        </w:rPr>
      </w:pPr>
      <w:bookmarkStart w:id="3" w:name="B.___DATA_GENERATION_AND_ACQUISITION"/>
      <w:bookmarkEnd w:id="3"/>
      <w:r>
        <w:t>DATA GENERATION AND</w:t>
      </w:r>
      <w:r>
        <w:rPr>
          <w:spacing w:val="-25"/>
        </w:rPr>
        <w:t xml:space="preserve"> </w:t>
      </w:r>
      <w:r>
        <w:t>ACQUISITION</w:t>
      </w:r>
    </w:p>
    <w:p w:rsidR="00E70C27" w:rsidRDefault="00E70C27">
      <w:pPr>
        <w:spacing w:before="12"/>
        <w:rPr>
          <w:rFonts w:ascii="Calibri" w:eastAsia="Calibri" w:hAnsi="Calibri" w:cs="Calibri"/>
          <w:b/>
          <w:bCs/>
        </w:rPr>
      </w:pPr>
    </w:p>
    <w:p w:rsidR="00E70C27" w:rsidRDefault="001947D1">
      <w:pPr>
        <w:pStyle w:val="BodyText"/>
        <w:spacing w:line="276" w:lineRule="auto"/>
        <w:ind w:right="245"/>
      </w:pPr>
      <w:r>
        <w:t>The FDEP Chemistry Laboratory does not provide field sampling services. The laboratory does provide sample containers (sampling kits) to its customers on request. However, the FDEP Biology Laboratory provides field sampling services. They include the sampling of algae and benthic</w:t>
      </w:r>
      <w:r w:rsidR="00680CA1">
        <w:t xml:space="preserve"> </w:t>
      </w:r>
      <w:r>
        <w:t>macro-invertebrates from</w:t>
      </w:r>
      <w:r>
        <w:rPr>
          <w:spacing w:val="-8"/>
        </w:rPr>
        <w:t xml:space="preserve"> </w:t>
      </w:r>
      <w:r>
        <w:t>surface</w:t>
      </w:r>
      <w:r>
        <w:rPr>
          <w:spacing w:val="-6"/>
        </w:rPr>
        <w:t xml:space="preserve"> </w:t>
      </w:r>
      <w:r>
        <w:t>waters</w:t>
      </w:r>
      <w:r>
        <w:rPr>
          <w:spacing w:val="-9"/>
        </w:rPr>
        <w:t xml:space="preserve"> </w:t>
      </w:r>
      <w:r>
        <w:t>and</w:t>
      </w:r>
      <w:r>
        <w:rPr>
          <w:spacing w:val="-7"/>
        </w:rPr>
        <w:t xml:space="preserve"> </w:t>
      </w:r>
      <w:r>
        <w:t>sediments,</w:t>
      </w:r>
      <w:r>
        <w:rPr>
          <w:spacing w:val="-9"/>
        </w:rPr>
        <w:t xml:space="preserve"> </w:t>
      </w:r>
      <w:r>
        <w:t>microbiology</w:t>
      </w:r>
      <w:r>
        <w:rPr>
          <w:spacing w:val="-3"/>
        </w:rPr>
        <w:t xml:space="preserve"> </w:t>
      </w:r>
      <w:r>
        <w:t>and</w:t>
      </w:r>
      <w:r>
        <w:rPr>
          <w:spacing w:val="-10"/>
        </w:rPr>
        <w:t xml:space="preserve"> </w:t>
      </w:r>
      <w:r>
        <w:t>toxicity</w:t>
      </w:r>
      <w:r>
        <w:rPr>
          <w:spacing w:val="-6"/>
        </w:rPr>
        <w:t xml:space="preserve"> </w:t>
      </w:r>
      <w:r>
        <w:t>bioassays</w:t>
      </w:r>
      <w:r>
        <w:rPr>
          <w:spacing w:val="-6"/>
        </w:rPr>
        <w:t xml:space="preserve"> </w:t>
      </w:r>
      <w:r>
        <w:t>from</w:t>
      </w:r>
      <w:r>
        <w:rPr>
          <w:spacing w:val="-6"/>
        </w:rPr>
        <w:t xml:space="preserve"> </w:t>
      </w:r>
      <w:r>
        <w:t>surface</w:t>
      </w:r>
      <w:r>
        <w:rPr>
          <w:spacing w:val="-6"/>
        </w:rPr>
        <w:t xml:space="preserve"> </w:t>
      </w:r>
      <w:r>
        <w:t>waters,</w:t>
      </w:r>
      <w:r>
        <w:rPr>
          <w:spacing w:val="-6"/>
        </w:rPr>
        <w:t xml:space="preserve"> </w:t>
      </w:r>
      <w:r>
        <w:t>effluents, leachates and sediments, and physical parameters of surface waters, effluents and leachates. The Biology Section follows the protocols described in the Department’s Statewide SOP for Field</w:t>
      </w:r>
      <w:r w:rsidR="00680CA1">
        <w:t xml:space="preserve"> </w:t>
      </w:r>
      <w:r>
        <w:t>Activities (DEP-SOP-001/01). All FDEP SOPs referenced in this document are available on the Department’s Internet</w:t>
      </w:r>
      <w:r>
        <w:rPr>
          <w:spacing w:val="-14"/>
        </w:rPr>
        <w:t xml:space="preserve"> </w:t>
      </w:r>
      <w:r>
        <w:t>site,</w:t>
      </w:r>
      <w:r w:rsidR="00680CA1">
        <w:t xml:space="preserve"> </w:t>
      </w:r>
      <w:hyperlink r:id="rId16" w:history="1">
        <w:r w:rsidR="00390203" w:rsidRPr="008C138C">
          <w:rPr>
            <w:rStyle w:val="Hyperlink"/>
          </w:rPr>
          <w:t>https://floridadep.gov/dear/quality-assurance/content/dep-sops</w:t>
        </w:r>
      </w:hyperlink>
      <w:r>
        <w:t>.</w:t>
      </w:r>
    </w:p>
    <w:p w:rsidR="00E70C27" w:rsidRDefault="00E70C27">
      <w:pPr>
        <w:spacing w:before="2"/>
        <w:rPr>
          <w:rFonts w:ascii="Calibri" w:eastAsia="Calibri" w:hAnsi="Calibri" w:cs="Calibri"/>
          <w:sz w:val="15"/>
          <w:szCs w:val="15"/>
        </w:rPr>
      </w:pPr>
    </w:p>
    <w:p w:rsidR="00E70C27" w:rsidRDefault="001947D1">
      <w:pPr>
        <w:pStyle w:val="BodyText"/>
        <w:spacing w:before="56" w:line="276" w:lineRule="auto"/>
        <w:ind w:left="120" w:right="152"/>
      </w:pPr>
      <w:r>
        <w:t xml:space="preserve">Sampling equipment used by the biology section is listed in </w:t>
      </w:r>
      <w:hyperlink r:id="rId17">
        <w:r>
          <w:rPr>
            <w:color w:val="0000FF"/>
            <w:u w:val="single" w:color="0000FF"/>
          </w:rPr>
          <w:t>Table 5.5</w:t>
        </w:r>
        <w:r w:rsidR="00390203" w:rsidRPr="00390203">
          <w:rPr>
            <w:color w:val="0000FF"/>
          </w:rPr>
          <w:t xml:space="preserve"> </w:t>
        </w:r>
        <w:r>
          <w:t>i</w:t>
        </w:r>
      </w:hyperlink>
      <w:r>
        <w:t xml:space="preserve">n the Lab QM. Laboratory instrumentation utilized by the chemistry and biology sections are described in the lab’s </w:t>
      </w:r>
      <w:hyperlink r:id="rId18">
        <w:r>
          <w:rPr>
            <w:color w:val="0000FF"/>
            <w:u w:val="single" w:color="0000FF"/>
          </w:rPr>
          <w:t>Internal SOPs</w:t>
        </w:r>
        <w:r>
          <w:t>.</w:t>
        </w:r>
      </w:hyperlink>
      <w:r>
        <w:t xml:space="preserve"> The handling of test samples received by the laboratory is documented in section 5.8 of the </w:t>
      </w:r>
      <w:hyperlink r:id="rId19" w:history="1">
        <w:r w:rsidRPr="006078AB">
          <w:rPr>
            <w:rStyle w:val="Hyperlink"/>
            <w:spacing w:val="2"/>
          </w:rPr>
          <w:t>Lab</w:t>
        </w:r>
        <w:r w:rsidR="006078AB" w:rsidRPr="006078AB">
          <w:rPr>
            <w:rStyle w:val="Hyperlink"/>
            <w:spacing w:val="2"/>
          </w:rPr>
          <w:t xml:space="preserve"> </w:t>
        </w:r>
        <w:r w:rsidRPr="006078AB">
          <w:rPr>
            <w:rStyle w:val="Hyperlink"/>
            <w:spacing w:val="2"/>
          </w:rPr>
          <w:t>QM</w:t>
        </w:r>
      </w:hyperlink>
      <w:r>
        <w:rPr>
          <w:spacing w:val="2"/>
        </w:rPr>
        <w:t xml:space="preserve">. </w:t>
      </w:r>
      <w:r>
        <w:t xml:space="preserve">Further details are provided in </w:t>
      </w:r>
      <w:hyperlink r:id="rId20">
        <w:r>
          <w:rPr>
            <w:color w:val="0000FF"/>
            <w:u w:val="single" w:color="0000FF"/>
          </w:rPr>
          <w:t>SOP LB-016</w:t>
        </w:r>
        <w:r>
          <w:t>,</w:t>
        </w:r>
      </w:hyperlink>
      <w:r>
        <w:t xml:space="preserve"> </w:t>
      </w:r>
      <w:r w:rsidR="00FF3724" w:rsidRPr="00FF3724">
        <w:rPr>
          <w:i/>
        </w:rPr>
        <w:t>Sample Receipt and Entry into the DEP Laboratory Information Management System (LIMS)</w:t>
      </w:r>
      <w:r>
        <w:t>. The SOP describes the bureau’s sample acceptance policy, documenting the evidentiary chain of custody for samples received by the lab, and the storage and disposal of samples received by the lab. Quality assurance requirements for the testing of environmental samples are described in section 5.9 and Appendix</w:t>
      </w:r>
      <w:r>
        <w:rPr>
          <w:spacing w:val="-5"/>
        </w:rPr>
        <w:t xml:space="preserve"> </w:t>
      </w:r>
      <w:r>
        <w:t>B.</w:t>
      </w:r>
      <w:r>
        <w:rPr>
          <w:spacing w:val="-6"/>
        </w:rPr>
        <w:t xml:space="preserve"> </w:t>
      </w:r>
      <w:r>
        <w:t>These</w:t>
      </w:r>
      <w:r>
        <w:rPr>
          <w:spacing w:val="-5"/>
        </w:rPr>
        <w:t xml:space="preserve"> </w:t>
      </w:r>
      <w:r>
        <w:t>lab’s</w:t>
      </w:r>
      <w:r>
        <w:rPr>
          <w:spacing w:val="-5"/>
        </w:rPr>
        <w:t xml:space="preserve"> </w:t>
      </w:r>
      <w:r>
        <w:t>quality</w:t>
      </w:r>
      <w:r>
        <w:rPr>
          <w:spacing w:val="-4"/>
        </w:rPr>
        <w:t xml:space="preserve"> </w:t>
      </w:r>
      <w:r>
        <w:t>systems</w:t>
      </w:r>
      <w:r>
        <w:rPr>
          <w:spacing w:val="-10"/>
        </w:rPr>
        <w:t xml:space="preserve"> </w:t>
      </w:r>
      <w:r>
        <w:t>requirements</w:t>
      </w:r>
      <w:r>
        <w:rPr>
          <w:spacing w:val="-10"/>
        </w:rPr>
        <w:t xml:space="preserve"> </w:t>
      </w:r>
      <w:r>
        <w:t>are</w:t>
      </w:r>
      <w:r>
        <w:rPr>
          <w:spacing w:val="-5"/>
        </w:rPr>
        <w:t xml:space="preserve"> </w:t>
      </w:r>
      <w:r>
        <w:t>derived</w:t>
      </w:r>
      <w:r>
        <w:rPr>
          <w:spacing w:val="-8"/>
        </w:rPr>
        <w:t xml:space="preserve"> </w:t>
      </w:r>
      <w:r>
        <w:t>from</w:t>
      </w:r>
      <w:r>
        <w:rPr>
          <w:spacing w:val="-4"/>
        </w:rPr>
        <w:t xml:space="preserve"> </w:t>
      </w:r>
      <w:r>
        <w:t>the</w:t>
      </w:r>
      <w:r>
        <w:rPr>
          <w:spacing w:val="-5"/>
        </w:rPr>
        <w:t xml:space="preserve"> </w:t>
      </w:r>
      <w:hyperlink r:id="rId21">
        <w:r>
          <w:rPr>
            <w:color w:val="0000FF"/>
            <w:u w:val="single" w:color="0000FF"/>
          </w:rPr>
          <w:t>20</w:t>
        </w:r>
        <w:r w:rsidR="00445D44">
          <w:rPr>
            <w:color w:val="0000FF"/>
            <w:u w:val="single" w:color="0000FF"/>
          </w:rPr>
          <w:t>16</w:t>
        </w:r>
        <w:r>
          <w:rPr>
            <w:color w:val="0000FF"/>
            <w:spacing w:val="-9"/>
            <w:u w:val="single" w:color="0000FF"/>
          </w:rPr>
          <w:t xml:space="preserve"> </w:t>
        </w:r>
        <w:r>
          <w:rPr>
            <w:color w:val="0000FF"/>
            <w:u w:val="single" w:color="0000FF"/>
          </w:rPr>
          <w:t>TNI</w:t>
        </w:r>
        <w:r>
          <w:rPr>
            <w:color w:val="0000FF"/>
            <w:spacing w:val="-6"/>
            <w:u w:val="single" w:color="0000FF"/>
          </w:rPr>
          <w:t xml:space="preserve"> </w:t>
        </w:r>
        <w:r>
          <w:rPr>
            <w:color w:val="0000FF"/>
            <w:u w:val="single" w:color="0000FF"/>
          </w:rPr>
          <w:t>Standard,</w:t>
        </w:r>
        <w:r>
          <w:rPr>
            <w:color w:val="0000FF"/>
            <w:spacing w:val="-5"/>
            <w:u w:val="single" w:color="0000FF"/>
          </w:rPr>
          <w:t xml:space="preserve"> </w:t>
        </w:r>
        <w:r>
          <w:rPr>
            <w:color w:val="0000FF"/>
            <w:u w:val="single" w:color="0000FF"/>
          </w:rPr>
          <w:t xml:space="preserve">Volume </w:t>
        </w:r>
      </w:hyperlink>
      <w:hyperlink r:id="rId22">
        <w:r>
          <w:rPr>
            <w:color w:val="0000FF"/>
            <w:u w:val="single" w:color="0000FF"/>
          </w:rPr>
          <w:t>1, Module 4</w:t>
        </w:r>
        <w:r>
          <w:t>.</w:t>
        </w:r>
      </w:hyperlink>
      <w:r>
        <w:t xml:space="preserve"> Quality system requirements for microbiological testing are derived from the </w:t>
      </w:r>
      <w:hyperlink r:id="rId23">
        <w:r>
          <w:rPr>
            <w:color w:val="0000FF"/>
            <w:u w:val="single" w:color="0000FF"/>
          </w:rPr>
          <w:t>20</w:t>
        </w:r>
        <w:r w:rsidR="00445D44">
          <w:rPr>
            <w:color w:val="0000FF"/>
            <w:u w:val="single" w:color="0000FF"/>
          </w:rPr>
          <w:t>16</w:t>
        </w:r>
        <w:r>
          <w:rPr>
            <w:color w:val="0000FF"/>
            <w:u w:val="single" w:color="0000FF"/>
          </w:rPr>
          <w:t xml:space="preserve"> TNI </w:t>
        </w:r>
      </w:hyperlink>
      <w:hyperlink r:id="rId24">
        <w:r>
          <w:rPr>
            <w:color w:val="0000FF"/>
            <w:u w:val="single" w:color="0000FF"/>
          </w:rPr>
          <w:t>Standard,</w:t>
        </w:r>
        <w:r>
          <w:rPr>
            <w:color w:val="0000FF"/>
            <w:spacing w:val="-4"/>
            <w:u w:val="single" w:color="0000FF"/>
          </w:rPr>
          <w:t xml:space="preserve"> </w:t>
        </w:r>
        <w:r>
          <w:rPr>
            <w:color w:val="0000FF"/>
            <w:u w:val="single" w:color="0000FF"/>
          </w:rPr>
          <w:t>Volume</w:t>
        </w:r>
        <w:r>
          <w:rPr>
            <w:color w:val="0000FF"/>
            <w:spacing w:val="-6"/>
            <w:u w:val="single" w:color="0000FF"/>
          </w:rPr>
          <w:t xml:space="preserve"> </w:t>
        </w:r>
        <w:r>
          <w:rPr>
            <w:color w:val="0000FF"/>
            <w:u w:val="single" w:color="0000FF"/>
          </w:rPr>
          <w:t>1,</w:t>
        </w:r>
        <w:r>
          <w:rPr>
            <w:color w:val="0000FF"/>
            <w:spacing w:val="-9"/>
            <w:u w:val="single" w:color="0000FF"/>
          </w:rPr>
          <w:t xml:space="preserve"> </w:t>
        </w:r>
        <w:r>
          <w:rPr>
            <w:color w:val="0000FF"/>
            <w:u w:val="single" w:color="0000FF"/>
          </w:rPr>
          <w:t>Module</w:t>
        </w:r>
        <w:r>
          <w:rPr>
            <w:color w:val="0000FF"/>
            <w:spacing w:val="-4"/>
            <w:u w:val="single" w:color="0000FF"/>
          </w:rPr>
          <w:t xml:space="preserve"> </w:t>
        </w:r>
        <w:r>
          <w:rPr>
            <w:color w:val="0000FF"/>
            <w:u w:val="single" w:color="0000FF"/>
          </w:rPr>
          <w:t>5</w:t>
        </w:r>
        <w:r>
          <w:t>,</w:t>
        </w:r>
      </w:hyperlink>
      <w:r>
        <w:rPr>
          <w:spacing w:val="-6"/>
        </w:rPr>
        <w:t xml:space="preserve"> </w:t>
      </w:r>
      <w:r>
        <w:t>while</w:t>
      </w:r>
      <w:r>
        <w:rPr>
          <w:spacing w:val="-8"/>
        </w:rPr>
        <w:t xml:space="preserve"> </w:t>
      </w:r>
      <w:r>
        <w:t>those</w:t>
      </w:r>
      <w:r>
        <w:rPr>
          <w:spacing w:val="-1"/>
        </w:rPr>
        <w:t xml:space="preserve"> </w:t>
      </w:r>
      <w:r>
        <w:t>for</w:t>
      </w:r>
      <w:r>
        <w:rPr>
          <w:spacing w:val="-4"/>
        </w:rPr>
        <w:t xml:space="preserve"> </w:t>
      </w:r>
      <w:r>
        <w:t>toxicity</w:t>
      </w:r>
      <w:r>
        <w:rPr>
          <w:spacing w:val="-3"/>
        </w:rPr>
        <w:t xml:space="preserve"> </w:t>
      </w:r>
      <w:r>
        <w:t>testing</w:t>
      </w:r>
      <w:r>
        <w:rPr>
          <w:spacing w:val="-5"/>
        </w:rPr>
        <w:t xml:space="preserve"> </w:t>
      </w:r>
      <w:r>
        <w:t>are</w:t>
      </w:r>
      <w:r>
        <w:rPr>
          <w:spacing w:val="-6"/>
        </w:rPr>
        <w:t xml:space="preserve"> </w:t>
      </w:r>
      <w:r>
        <w:t>from</w:t>
      </w:r>
      <w:r>
        <w:rPr>
          <w:spacing w:val="-5"/>
        </w:rPr>
        <w:t xml:space="preserve"> </w:t>
      </w:r>
      <w:r>
        <w:t>the</w:t>
      </w:r>
      <w:r>
        <w:rPr>
          <w:spacing w:val="-6"/>
        </w:rPr>
        <w:t xml:space="preserve"> </w:t>
      </w:r>
      <w:hyperlink r:id="rId25">
        <w:r>
          <w:rPr>
            <w:color w:val="0000FF"/>
            <w:u w:val="single" w:color="0000FF"/>
          </w:rPr>
          <w:t>20</w:t>
        </w:r>
        <w:r w:rsidR="00445D44">
          <w:rPr>
            <w:color w:val="0000FF"/>
            <w:u w:val="single" w:color="0000FF"/>
          </w:rPr>
          <w:t>16</w:t>
        </w:r>
        <w:r>
          <w:rPr>
            <w:color w:val="0000FF"/>
            <w:spacing w:val="-8"/>
            <w:u w:val="single" w:color="0000FF"/>
          </w:rPr>
          <w:t xml:space="preserve"> </w:t>
        </w:r>
        <w:r>
          <w:rPr>
            <w:color w:val="0000FF"/>
            <w:u w:val="single" w:color="0000FF"/>
          </w:rPr>
          <w:t>TNI</w:t>
        </w:r>
        <w:r>
          <w:rPr>
            <w:color w:val="0000FF"/>
            <w:spacing w:val="-5"/>
            <w:u w:val="single" w:color="0000FF"/>
          </w:rPr>
          <w:t xml:space="preserve"> </w:t>
        </w:r>
        <w:r>
          <w:rPr>
            <w:color w:val="0000FF"/>
            <w:u w:val="single" w:color="0000FF"/>
          </w:rPr>
          <w:t>Standard,</w:t>
        </w:r>
        <w:r>
          <w:rPr>
            <w:color w:val="0000FF"/>
            <w:spacing w:val="-4"/>
            <w:u w:val="single" w:color="0000FF"/>
          </w:rPr>
          <w:t xml:space="preserve"> </w:t>
        </w:r>
        <w:r>
          <w:rPr>
            <w:color w:val="0000FF"/>
            <w:u w:val="single" w:color="0000FF"/>
          </w:rPr>
          <w:t xml:space="preserve">Volume </w:t>
        </w:r>
      </w:hyperlink>
      <w:hyperlink r:id="rId26">
        <w:r>
          <w:rPr>
            <w:color w:val="0000FF"/>
            <w:u w:val="single" w:color="0000FF"/>
          </w:rPr>
          <w:t>1, Module</w:t>
        </w:r>
        <w:r>
          <w:rPr>
            <w:color w:val="0000FF"/>
            <w:spacing w:val="-5"/>
            <w:u w:val="single" w:color="0000FF"/>
          </w:rPr>
          <w:t xml:space="preserve"> </w:t>
        </w:r>
        <w:r>
          <w:rPr>
            <w:color w:val="0000FF"/>
            <w:u w:val="single" w:color="0000FF"/>
          </w:rPr>
          <w:t>7</w:t>
        </w:r>
        <w:r>
          <w:t>.</w:t>
        </w:r>
      </w:hyperlink>
    </w:p>
    <w:p w:rsidR="00E70C27" w:rsidRDefault="00E70C27">
      <w:pPr>
        <w:spacing w:before="2"/>
        <w:rPr>
          <w:rFonts w:ascii="Calibri" w:eastAsia="Calibri" w:hAnsi="Calibri" w:cs="Calibri"/>
          <w:sz w:val="15"/>
          <w:szCs w:val="15"/>
        </w:rPr>
      </w:pPr>
    </w:p>
    <w:p w:rsidR="00E70C27" w:rsidRDefault="001947D1">
      <w:pPr>
        <w:spacing w:before="56" w:line="276" w:lineRule="auto"/>
        <w:ind w:left="120" w:right="152"/>
        <w:rPr>
          <w:rFonts w:ascii="Calibri" w:eastAsia="Calibri" w:hAnsi="Calibri" w:cs="Calibri"/>
        </w:rPr>
      </w:pPr>
      <w:r>
        <w:rPr>
          <w:rFonts w:ascii="Calibri"/>
        </w:rPr>
        <w:t xml:space="preserve">Quality control requirements for the preparation and identification of invertebrate samples </w:t>
      </w:r>
      <w:r>
        <w:rPr>
          <w:rFonts w:ascii="Calibri"/>
          <w:spacing w:val="-3"/>
        </w:rPr>
        <w:t xml:space="preserve">are </w:t>
      </w:r>
      <w:r>
        <w:rPr>
          <w:rFonts w:ascii="Calibri"/>
        </w:rPr>
        <w:t>documented</w:t>
      </w:r>
      <w:r>
        <w:rPr>
          <w:rFonts w:ascii="Calibri"/>
          <w:spacing w:val="-4"/>
        </w:rPr>
        <w:t xml:space="preserve"> </w:t>
      </w:r>
      <w:r>
        <w:rPr>
          <w:rFonts w:ascii="Calibri"/>
        </w:rPr>
        <w:t>in</w:t>
      </w:r>
      <w:r>
        <w:rPr>
          <w:rFonts w:ascii="Calibri"/>
          <w:spacing w:val="-6"/>
        </w:rPr>
        <w:t xml:space="preserve"> </w:t>
      </w:r>
      <w:hyperlink r:id="rId27">
        <w:r>
          <w:rPr>
            <w:rFonts w:ascii="Calibri"/>
            <w:color w:val="0000FF"/>
            <w:spacing w:val="-3"/>
            <w:u w:val="single" w:color="0000FF"/>
          </w:rPr>
          <w:t>SOP</w:t>
        </w:r>
        <w:r>
          <w:rPr>
            <w:rFonts w:ascii="Calibri"/>
            <w:color w:val="0000FF"/>
            <w:spacing w:val="-9"/>
            <w:u w:val="single" w:color="0000FF"/>
          </w:rPr>
          <w:t xml:space="preserve"> </w:t>
        </w:r>
        <w:r>
          <w:rPr>
            <w:rFonts w:ascii="Calibri"/>
            <w:color w:val="0000FF"/>
            <w:u w:val="single" w:color="0000FF"/>
          </w:rPr>
          <w:t>IZ-13</w:t>
        </w:r>
        <w:r>
          <w:rPr>
            <w:rFonts w:ascii="Calibri"/>
          </w:rPr>
          <w:t>,</w:t>
        </w:r>
      </w:hyperlink>
      <w:r>
        <w:rPr>
          <w:rFonts w:ascii="Calibri"/>
          <w:spacing w:val="-3"/>
        </w:rPr>
        <w:t xml:space="preserve"> </w:t>
      </w:r>
      <w:r>
        <w:rPr>
          <w:rFonts w:ascii="Calibri"/>
          <w:i/>
        </w:rPr>
        <w:t>Invertebrate</w:t>
      </w:r>
      <w:r>
        <w:rPr>
          <w:rFonts w:ascii="Calibri"/>
          <w:i/>
          <w:spacing w:val="-23"/>
        </w:rPr>
        <w:t xml:space="preserve"> </w:t>
      </w:r>
      <w:r>
        <w:rPr>
          <w:rFonts w:ascii="Calibri"/>
          <w:i/>
        </w:rPr>
        <w:t>Taxonomic</w:t>
      </w:r>
      <w:r>
        <w:rPr>
          <w:rFonts w:ascii="Calibri"/>
          <w:i/>
          <w:spacing w:val="-4"/>
        </w:rPr>
        <w:t xml:space="preserve"> </w:t>
      </w:r>
      <w:r>
        <w:rPr>
          <w:rFonts w:ascii="Calibri"/>
          <w:i/>
        </w:rPr>
        <w:t>Identification</w:t>
      </w:r>
      <w:r>
        <w:rPr>
          <w:rFonts w:ascii="Calibri"/>
          <w:i/>
          <w:spacing w:val="-4"/>
        </w:rPr>
        <w:t xml:space="preserve"> </w:t>
      </w:r>
      <w:r>
        <w:rPr>
          <w:rFonts w:ascii="Calibri"/>
          <w:i/>
        </w:rPr>
        <w:t>Quality</w:t>
      </w:r>
      <w:r>
        <w:rPr>
          <w:rFonts w:ascii="Calibri"/>
          <w:i/>
          <w:spacing w:val="-3"/>
        </w:rPr>
        <w:t xml:space="preserve"> </w:t>
      </w:r>
      <w:r>
        <w:rPr>
          <w:rFonts w:ascii="Calibri"/>
          <w:i/>
        </w:rPr>
        <w:t>Control</w:t>
      </w:r>
      <w:r>
        <w:rPr>
          <w:rFonts w:ascii="Calibri"/>
        </w:rPr>
        <w:t>.</w:t>
      </w:r>
      <w:r>
        <w:rPr>
          <w:rFonts w:ascii="Calibri"/>
          <w:spacing w:val="-6"/>
        </w:rPr>
        <w:t xml:space="preserve"> </w:t>
      </w:r>
      <w:r>
        <w:rPr>
          <w:rFonts w:ascii="Calibri"/>
        </w:rPr>
        <w:t>Algal</w:t>
      </w:r>
      <w:r>
        <w:rPr>
          <w:rFonts w:ascii="Calibri"/>
          <w:spacing w:val="-3"/>
        </w:rPr>
        <w:t xml:space="preserve"> </w:t>
      </w:r>
      <w:r>
        <w:rPr>
          <w:rFonts w:ascii="Calibri"/>
        </w:rPr>
        <w:t>QC</w:t>
      </w:r>
      <w:r>
        <w:rPr>
          <w:rFonts w:ascii="Calibri"/>
          <w:spacing w:val="-3"/>
        </w:rPr>
        <w:t xml:space="preserve"> </w:t>
      </w:r>
      <w:r>
        <w:rPr>
          <w:rFonts w:ascii="Calibri"/>
        </w:rPr>
        <w:t>requirements are</w:t>
      </w:r>
      <w:r>
        <w:rPr>
          <w:rFonts w:ascii="Calibri"/>
          <w:spacing w:val="-2"/>
        </w:rPr>
        <w:t xml:space="preserve"> </w:t>
      </w:r>
      <w:r>
        <w:rPr>
          <w:rFonts w:ascii="Calibri"/>
        </w:rPr>
        <w:t>documented</w:t>
      </w:r>
      <w:r>
        <w:rPr>
          <w:rFonts w:ascii="Calibri"/>
          <w:spacing w:val="-4"/>
        </w:rPr>
        <w:t xml:space="preserve"> </w:t>
      </w:r>
      <w:r>
        <w:rPr>
          <w:rFonts w:ascii="Calibri"/>
        </w:rPr>
        <w:t>in</w:t>
      </w:r>
      <w:r>
        <w:rPr>
          <w:rFonts w:ascii="Calibri"/>
          <w:spacing w:val="-4"/>
        </w:rPr>
        <w:t xml:space="preserve"> </w:t>
      </w:r>
      <w:hyperlink r:id="rId28">
        <w:r>
          <w:rPr>
            <w:rFonts w:ascii="Calibri"/>
            <w:color w:val="0000FF"/>
            <w:spacing w:val="-4"/>
            <w:u w:val="single" w:color="0000FF"/>
          </w:rPr>
          <w:t>SOP</w:t>
        </w:r>
        <w:r>
          <w:rPr>
            <w:rFonts w:ascii="Calibri"/>
            <w:color w:val="0000FF"/>
            <w:spacing w:val="-7"/>
            <w:u w:val="single" w:color="0000FF"/>
          </w:rPr>
          <w:t xml:space="preserve"> </w:t>
        </w:r>
        <w:r>
          <w:rPr>
            <w:rFonts w:ascii="Calibri"/>
            <w:color w:val="0000FF"/>
            <w:u w:val="single" w:color="0000FF"/>
          </w:rPr>
          <w:t>AB-14</w:t>
        </w:r>
        <w:r>
          <w:rPr>
            <w:rFonts w:ascii="Calibri"/>
          </w:rPr>
          <w:t>,</w:t>
        </w:r>
      </w:hyperlink>
      <w:r>
        <w:rPr>
          <w:rFonts w:ascii="Calibri"/>
          <w:spacing w:val="-3"/>
        </w:rPr>
        <w:t xml:space="preserve"> </w:t>
      </w:r>
      <w:r>
        <w:rPr>
          <w:rFonts w:ascii="Calibri"/>
          <w:i/>
        </w:rPr>
        <w:t>Algal</w:t>
      </w:r>
      <w:r>
        <w:rPr>
          <w:rFonts w:ascii="Calibri"/>
          <w:i/>
          <w:spacing w:val="-29"/>
        </w:rPr>
        <w:t xml:space="preserve"> </w:t>
      </w:r>
      <w:r>
        <w:rPr>
          <w:rFonts w:ascii="Calibri"/>
          <w:i/>
        </w:rPr>
        <w:t>Identification</w:t>
      </w:r>
      <w:r>
        <w:rPr>
          <w:rFonts w:ascii="Calibri"/>
          <w:i/>
          <w:spacing w:val="-4"/>
        </w:rPr>
        <w:t xml:space="preserve"> </w:t>
      </w:r>
      <w:r>
        <w:rPr>
          <w:rFonts w:ascii="Calibri"/>
          <w:i/>
        </w:rPr>
        <w:t>Quality</w:t>
      </w:r>
      <w:r>
        <w:rPr>
          <w:rFonts w:ascii="Calibri"/>
          <w:i/>
          <w:spacing w:val="-3"/>
        </w:rPr>
        <w:t xml:space="preserve"> </w:t>
      </w:r>
      <w:r>
        <w:rPr>
          <w:rFonts w:ascii="Calibri"/>
          <w:i/>
        </w:rPr>
        <w:t>Control</w:t>
      </w:r>
      <w:r>
        <w:rPr>
          <w:rFonts w:ascii="Calibri"/>
          <w:i/>
          <w:spacing w:val="-10"/>
        </w:rPr>
        <w:t xml:space="preserve"> </w:t>
      </w:r>
      <w:r>
        <w:rPr>
          <w:rFonts w:ascii="Calibri"/>
          <w:i/>
        </w:rPr>
        <w:t>Procedures</w:t>
      </w:r>
      <w:r>
        <w:rPr>
          <w:rFonts w:ascii="Calibri"/>
        </w:rPr>
        <w:t>.</w:t>
      </w:r>
    </w:p>
    <w:p w:rsidR="00E70C27" w:rsidRDefault="00E70C27">
      <w:pPr>
        <w:spacing w:before="2"/>
        <w:rPr>
          <w:rFonts w:ascii="Calibri" w:eastAsia="Calibri" w:hAnsi="Calibri" w:cs="Calibri"/>
          <w:sz w:val="15"/>
          <w:szCs w:val="15"/>
        </w:rPr>
      </w:pPr>
    </w:p>
    <w:p w:rsidR="00E70C27" w:rsidRDefault="001947D1">
      <w:pPr>
        <w:pStyle w:val="BodyText"/>
        <w:spacing w:before="56" w:line="276" w:lineRule="auto"/>
        <w:ind w:right="152"/>
      </w:pPr>
      <w:r>
        <w:t>A list of test methods and their sources is described in section 5.4 of the Lab QM. Protocols used</w:t>
      </w:r>
      <w:r w:rsidR="00390203">
        <w:t xml:space="preserve"> </w:t>
      </w:r>
      <w:r>
        <w:t>for establishing Method Detection Limits (MDL) and Practical Quantitation Limits (PQL) for laboratory methods</w:t>
      </w:r>
      <w:r>
        <w:rPr>
          <w:spacing w:val="-5"/>
        </w:rPr>
        <w:t xml:space="preserve"> </w:t>
      </w:r>
      <w:r>
        <w:t>are</w:t>
      </w:r>
      <w:r>
        <w:rPr>
          <w:spacing w:val="-2"/>
        </w:rPr>
        <w:t xml:space="preserve"> </w:t>
      </w:r>
      <w:r>
        <w:t>also</w:t>
      </w:r>
      <w:r>
        <w:rPr>
          <w:spacing w:val="-4"/>
        </w:rPr>
        <w:t xml:space="preserve"> </w:t>
      </w:r>
      <w:r>
        <w:t>described</w:t>
      </w:r>
      <w:r>
        <w:rPr>
          <w:spacing w:val="-6"/>
        </w:rPr>
        <w:t xml:space="preserve"> </w:t>
      </w:r>
      <w:r>
        <w:t>in</w:t>
      </w:r>
      <w:r>
        <w:rPr>
          <w:spacing w:val="-6"/>
        </w:rPr>
        <w:t xml:space="preserve"> </w:t>
      </w:r>
      <w:r>
        <w:t>section</w:t>
      </w:r>
      <w:r>
        <w:rPr>
          <w:spacing w:val="-10"/>
        </w:rPr>
        <w:t xml:space="preserve"> </w:t>
      </w:r>
      <w:r>
        <w:t>5.9.</w:t>
      </w:r>
      <w:r>
        <w:rPr>
          <w:spacing w:val="-6"/>
        </w:rPr>
        <w:t xml:space="preserve"> </w:t>
      </w:r>
      <w:r>
        <w:t>Section</w:t>
      </w:r>
      <w:r>
        <w:rPr>
          <w:spacing w:val="-10"/>
        </w:rPr>
        <w:t xml:space="preserve"> </w:t>
      </w:r>
      <w:r>
        <w:t>5.5</w:t>
      </w:r>
      <w:r>
        <w:rPr>
          <w:spacing w:val="-6"/>
        </w:rPr>
        <w:t xml:space="preserve"> </w:t>
      </w:r>
      <w:r w:rsidR="000A6F72">
        <w:rPr>
          <w:spacing w:val="-6"/>
        </w:rPr>
        <w:t xml:space="preserve">and Appendix B </w:t>
      </w:r>
      <w:r>
        <w:t>of</w:t>
      </w:r>
      <w:r>
        <w:rPr>
          <w:spacing w:val="-9"/>
        </w:rPr>
        <w:t xml:space="preserve"> </w:t>
      </w:r>
      <w:r>
        <w:t>the</w:t>
      </w:r>
      <w:r>
        <w:rPr>
          <w:spacing w:val="-5"/>
        </w:rPr>
        <w:t xml:space="preserve"> </w:t>
      </w:r>
      <w:hyperlink r:id="rId29" w:history="1">
        <w:r w:rsidRPr="00C3400C">
          <w:rPr>
            <w:rStyle w:val="Hyperlink"/>
            <w:color w:val="0000FF"/>
          </w:rPr>
          <w:t>Lab</w:t>
        </w:r>
        <w:r w:rsidRPr="00C3400C">
          <w:rPr>
            <w:rStyle w:val="Hyperlink"/>
            <w:color w:val="0000FF"/>
            <w:spacing w:val="-7"/>
          </w:rPr>
          <w:t xml:space="preserve"> </w:t>
        </w:r>
        <w:r w:rsidRPr="00C3400C">
          <w:rPr>
            <w:rStyle w:val="Hyperlink"/>
            <w:color w:val="0000FF"/>
          </w:rPr>
          <w:t>QM</w:t>
        </w:r>
      </w:hyperlink>
      <w:r>
        <w:rPr>
          <w:spacing w:val="-2"/>
        </w:rPr>
        <w:t xml:space="preserve"> </w:t>
      </w:r>
      <w:r>
        <w:t>describes</w:t>
      </w:r>
      <w:r>
        <w:rPr>
          <w:spacing w:val="-5"/>
        </w:rPr>
        <w:t xml:space="preserve"> </w:t>
      </w:r>
      <w:r>
        <w:t>calibration</w:t>
      </w:r>
      <w:r>
        <w:rPr>
          <w:spacing w:val="-6"/>
        </w:rPr>
        <w:t xml:space="preserve"> </w:t>
      </w:r>
      <w:r>
        <w:t xml:space="preserve">requirements for methods employed by the lab. Test results are reported accurately, clearly and objectively and contain all method required information, reporting requirements of the TNI standards and the requirements of the State of Florida </w:t>
      </w:r>
      <w:hyperlink r:id="rId30">
        <w:r>
          <w:rPr>
            <w:color w:val="0000FF"/>
            <w:u w:val="single" w:color="0000FF"/>
          </w:rPr>
          <w:t>QA Rule</w:t>
        </w:r>
        <w:r>
          <w:t>,</w:t>
        </w:r>
      </w:hyperlink>
      <w:r>
        <w:t xml:space="preserve"> Chapter 62-160,</w:t>
      </w:r>
      <w:r>
        <w:rPr>
          <w:spacing w:val="-21"/>
        </w:rPr>
        <w:t xml:space="preserve"> </w:t>
      </w:r>
      <w:r>
        <w:t>FAC.</w:t>
      </w:r>
    </w:p>
    <w:p w:rsidR="00E70C27" w:rsidRDefault="00E70C27">
      <w:pPr>
        <w:spacing w:before="2"/>
        <w:rPr>
          <w:rFonts w:ascii="Calibri" w:eastAsia="Calibri" w:hAnsi="Calibri" w:cs="Calibri"/>
          <w:sz w:val="15"/>
          <w:szCs w:val="15"/>
        </w:rPr>
      </w:pPr>
    </w:p>
    <w:p w:rsidR="00E70C27" w:rsidRDefault="001947D1">
      <w:pPr>
        <w:pStyle w:val="BodyText"/>
        <w:spacing w:before="56" w:line="276" w:lineRule="auto"/>
        <w:ind w:right="76"/>
      </w:pPr>
      <w:r>
        <w:t>Sample turnaround times are specified by the sample priority assigned to samples in the Laboratory Information Management System (LIMS) scheduler. The LIMS software system for scheduling</w:t>
      </w:r>
      <w:r w:rsidR="006D0654">
        <w:t xml:space="preserve"> </w:t>
      </w:r>
      <w:r>
        <w:t>samples assesses the capacity and previously scheduled workload of the laboratory and warns the user whenever laboratory capacity for any work group may be exceeded. Additional details on using the</w:t>
      </w:r>
      <w:r w:rsidR="006D0654">
        <w:t xml:space="preserve"> </w:t>
      </w:r>
      <w:r>
        <w:t xml:space="preserve">LIMS scheduler can be found in </w:t>
      </w:r>
      <w:hyperlink r:id="rId31">
        <w:r>
          <w:rPr>
            <w:color w:val="0000FF"/>
            <w:u w:val="single" w:color="0000FF"/>
          </w:rPr>
          <w:t>SOP LB-018</w:t>
        </w:r>
      </w:hyperlink>
      <w:r>
        <w:t xml:space="preserve">, </w:t>
      </w:r>
      <w:r>
        <w:rPr>
          <w:i/>
        </w:rPr>
        <w:t>Using the</w:t>
      </w:r>
      <w:r>
        <w:rPr>
          <w:i/>
          <w:spacing w:val="-15"/>
        </w:rPr>
        <w:t xml:space="preserve"> </w:t>
      </w:r>
      <w:r>
        <w:rPr>
          <w:i/>
        </w:rPr>
        <w:t>LIMS</w:t>
      </w:r>
      <w:r w:rsidR="006D0654">
        <w:rPr>
          <w:i/>
        </w:rPr>
        <w:t xml:space="preserve"> </w:t>
      </w:r>
      <w:r>
        <w:rPr>
          <w:i/>
        </w:rPr>
        <w:t>Scheduler</w:t>
      </w:r>
      <w:r>
        <w:t>.</w:t>
      </w:r>
    </w:p>
    <w:p w:rsidR="00E70C27" w:rsidRDefault="00E70C27">
      <w:pPr>
        <w:spacing w:line="276" w:lineRule="auto"/>
        <w:sectPr w:rsidR="00E70C27">
          <w:pgSz w:w="12240" w:h="15840"/>
          <w:pgMar w:top="1500" w:right="1380" w:bottom="780" w:left="1320" w:header="0" w:footer="581" w:gutter="0"/>
          <w:cols w:space="720"/>
        </w:sectPr>
      </w:pPr>
    </w:p>
    <w:p w:rsidR="00E70C27" w:rsidRDefault="001947D1">
      <w:pPr>
        <w:pStyle w:val="BodyText"/>
        <w:spacing w:before="37" w:line="276" w:lineRule="auto"/>
        <w:ind w:left="120" w:right="266"/>
      </w:pPr>
      <w:r>
        <w:lastRenderedPageBreak/>
        <w:t>Corrective actions for the chemistry section are described in the method SOPs. The requirements</w:t>
      </w:r>
      <w:r w:rsidR="00C3400C">
        <w:t xml:space="preserve"> </w:t>
      </w:r>
      <w:r>
        <w:t xml:space="preserve">for equipment maintenance and testing are also described in the method SOPs. A list of method SOPs sorted by subsection or category can be found at the </w:t>
      </w:r>
      <w:hyperlink r:id="rId32">
        <w:r w:rsidRPr="006D0654">
          <w:rPr>
            <w:color w:val="0000FF"/>
            <w:u w:val="single" w:color="0563C1"/>
          </w:rPr>
          <w:t>lab’s website</w:t>
        </w:r>
        <w:r w:rsidRPr="006D0654">
          <w:rPr>
            <w:color w:val="0000FF"/>
          </w:rPr>
          <w:t>.</w:t>
        </w:r>
      </w:hyperlink>
      <w:r>
        <w:t xml:space="preserve"> Corrective actions and notification protocols</w:t>
      </w:r>
      <w:r>
        <w:rPr>
          <w:spacing w:val="-6"/>
        </w:rPr>
        <w:t xml:space="preserve"> </w:t>
      </w:r>
      <w:r>
        <w:t>for</w:t>
      </w:r>
      <w:r>
        <w:rPr>
          <w:spacing w:val="-6"/>
        </w:rPr>
        <w:t xml:space="preserve"> </w:t>
      </w:r>
      <w:r>
        <w:t>the</w:t>
      </w:r>
      <w:r>
        <w:rPr>
          <w:spacing w:val="-3"/>
        </w:rPr>
        <w:t xml:space="preserve"> </w:t>
      </w:r>
      <w:r>
        <w:t>biology</w:t>
      </w:r>
      <w:r>
        <w:rPr>
          <w:spacing w:val="-5"/>
        </w:rPr>
        <w:t xml:space="preserve"> </w:t>
      </w:r>
      <w:r>
        <w:t>section</w:t>
      </w:r>
      <w:r>
        <w:rPr>
          <w:spacing w:val="-6"/>
        </w:rPr>
        <w:t xml:space="preserve"> </w:t>
      </w:r>
      <w:r>
        <w:t>are</w:t>
      </w:r>
      <w:r>
        <w:rPr>
          <w:spacing w:val="-5"/>
        </w:rPr>
        <w:t xml:space="preserve"> </w:t>
      </w:r>
      <w:r>
        <w:t>listed</w:t>
      </w:r>
      <w:r>
        <w:rPr>
          <w:spacing w:val="-6"/>
        </w:rPr>
        <w:t xml:space="preserve"> </w:t>
      </w:r>
      <w:r>
        <w:t>in</w:t>
      </w:r>
      <w:r>
        <w:rPr>
          <w:spacing w:val="-9"/>
        </w:rPr>
        <w:t xml:space="preserve"> </w:t>
      </w:r>
      <w:hyperlink r:id="rId33">
        <w:r>
          <w:rPr>
            <w:color w:val="0000FF"/>
            <w:u w:val="single" w:color="0000FF"/>
          </w:rPr>
          <w:t>Table</w:t>
        </w:r>
        <w:r>
          <w:rPr>
            <w:color w:val="0000FF"/>
            <w:spacing w:val="-3"/>
            <w:u w:val="single" w:color="0000FF"/>
          </w:rPr>
          <w:t xml:space="preserve"> </w:t>
        </w:r>
        <w:r>
          <w:rPr>
            <w:color w:val="0000FF"/>
            <w:u w:val="single" w:color="0000FF"/>
          </w:rPr>
          <w:t>4.1</w:t>
        </w:r>
        <w:r>
          <w:t>.</w:t>
        </w:r>
      </w:hyperlink>
      <w:r>
        <w:rPr>
          <w:spacing w:val="-11"/>
        </w:rPr>
        <w:t xml:space="preserve"> </w:t>
      </w:r>
      <w:r>
        <w:t>Corrective</w:t>
      </w:r>
      <w:r>
        <w:rPr>
          <w:spacing w:val="-3"/>
        </w:rPr>
        <w:t xml:space="preserve"> </w:t>
      </w:r>
      <w:r>
        <w:t>actions</w:t>
      </w:r>
      <w:r>
        <w:rPr>
          <w:spacing w:val="-1"/>
        </w:rPr>
        <w:t xml:space="preserve"> </w:t>
      </w:r>
      <w:r>
        <w:t>are initiated</w:t>
      </w:r>
      <w:r>
        <w:rPr>
          <w:spacing w:val="-2"/>
        </w:rPr>
        <w:t xml:space="preserve"> </w:t>
      </w:r>
      <w:r>
        <w:t>based</w:t>
      </w:r>
      <w:r>
        <w:rPr>
          <w:spacing w:val="-4"/>
        </w:rPr>
        <w:t xml:space="preserve"> </w:t>
      </w:r>
      <w:r>
        <w:t>on</w:t>
      </w:r>
      <w:r>
        <w:rPr>
          <w:spacing w:val="-4"/>
        </w:rPr>
        <w:t xml:space="preserve"> </w:t>
      </w:r>
      <w:r>
        <w:t>either internal QC checks, data validation by a reviewing authority</w:t>
      </w:r>
      <w:r w:rsidR="00CD3BA2">
        <w:t xml:space="preserve"> </w:t>
      </w:r>
      <w:r>
        <w:t xml:space="preserve">or performance audits. Outside sources such as performance evaluation studies, split samples as well as recommendations by the FDEP QA Officer may initiate corrective actions. See FDEP </w:t>
      </w:r>
      <w:hyperlink r:id="rId34">
        <w:r>
          <w:rPr>
            <w:color w:val="0000FF"/>
            <w:spacing w:val="-4"/>
            <w:u w:val="single" w:color="0000FF"/>
          </w:rPr>
          <w:t xml:space="preserve">SOP </w:t>
        </w:r>
        <w:r>
          <w:rPr>
            <w:color w:val="0000FF"/>
            <w:u w:val="single" w:color="0000FF"/>
          </w:rPr>
          <w:t>LB-002</w:t>
        </w:r>
        <w:r>
          <w:t>,</w:t>
        </w:r>
      </w:hyperlink>
      <w:r>
        <w:t xml:space="preserve"> </w:t>
      </w:r>
      <w:r>
        <w:rPr>
          <w:rFonts w:cs="Calibri"/>
          <w:i/>
        </w:rPr>
        <w:t>Non- Conformance Reporting System</w:t>
      </w:r>
      <w:r>
        <w:t>, for additional</w:t>
      </w:r>
      <w:r>
        <w:rPr>
          <w:spacing w:val="-5"/>
        </w:rPr>
        <w:t xml:space="preserve"> </w:t>
      </w:r>
      <w:r>
        <w:t>information</w:t>
      </w:r>
      <w:r>
        <w:rPr>
          <w:spacing w:val="-13"/>
        </w:rPr>
        <w:t xml:space="preserve"> </w:t>
      </w:r>
      <w:r>
        <w:t>on</w:t>
      </w:r>
      <w:r>
        <w:rPr>
          <w:spacing w:val="-8"/>
        </w:rPr>
        <w:t xml:space="preserve"> </w:t>
      </w:r>
      <w:r>
        <w:t>initiating</w:t>
      </w:r>
      <w:r>
        <w:rPr>
          <w:spacing w:val="-8"/>
        </w:rPr>
        <w:t xml:space="preserve"> </w:t>
      </w:r>
      <w:r>
        <w:t>corrective</w:t>
      </w:r>
      <w:r>
        <w:rPr>
          <w:spacing w:val="-7"/>
        </w:rPr>
        <w:t xml:space="preserve"> </w:t>
      </w:r>
      <w:r>
        <w:t>actions.</w:t>
      </w:r>
    </w:p>
    <w:p w:rsidR="00E70C27" w:rsidRDefault="00E70C27">
      <w:pPr>
        <w:spacing w:before="6"/>
        <w:rPr>
          <w:rFonts w:ascii="Calibri" w:eastAsia="Calibri" w:hAnsi="Calibri" w:cs="Calibri"/>
          <w:sz w:val="19"/>
          <w:szCs w:val="19"/>
        </w:rPr>
      </w:pPr>
    </w:p>
    <w:p w:rsidR="00E70C27" w:rsidRDefault="001947D1">
      <w:pPr>
        <w:pStyle w:val="BodyText"/>
        <w:spacing w:line="276" w:lineRule="auto"/>
        <w:ind w:left="120" w:right="93" w:hanging="1"/>
      </w:pPr>
      <w:r>
        <w:t>Laboratory</w:t>
      </w:r>
      <w:r>
        <w:rPr>
          <w:spacing w:val="-3"/>
        </w:rPr>
        <w:t xml:space="preserve"> </w:t>
      </w:r>
      <w:r>
        <w:t>supplies</w:t>
      </w:r>
      <w:r>
        <w:rPr>
          <w:spacing w:val="-4"/>
        </w:rPr>
        <w:t xml:space="preserve"> </w:t>
      </w:r>
      <w:r>
        <w:t>are</w:t>
      </w:r>
      <w:r>
        <w:rPr>
          <w:spacing w:val="-4"/>
        </w:rPr>
        <w:t xml:space="preserve"> </w:t>
      </w:r>
      <w:r>
        <w:t>procured</w:t>
      </w:r>
      <w:r>
        <w:rPr>
          <w:spacing w:val="-7"/>
        </w:rPr>
        <w:t xml:space="preserve"> </w:t>
      </w:r>
      <w:r>
        <w:t>from</w:t>
      </w:r>
      <w:r>
        <w:rPr>
          <w:spacing w:val="-5"/>
        </w:rPr>
        <w:t xml:space="preserve"> </w:t>
      </w:r>
      <w:r>
        <w:t>state</w:t>
      </w:r>
      <w:r>
        <w:rPr>
          <w:spacing w:val="-4"/>
        </w:rPr>
        <w:t xml:space="preserve"> </w:t>
      </w:r>
      <w:r>
        <w:t>approved</w:t>
      </w:r>
      <w:r>
        <w:rPr>
          <w:spacing w:val="-12"/>
        </w:rPr>
        <w:t xml:space="preserve"> </w:t>
      </w:r>
      <w:r>
        <w:t>vendors.</w:t>
      </w:r>
      <w:r>
        <w:rPr>
          <w:spacing w:val="-9"/>
        </w:rPr>
        <w:t xml:space="preserve"> </w:t>
      </w:r>
      <w:r>
        <w:t>A</w:t>
      </w:r>
      <w:r>
        <w:rPr>
          <w:spacing w:val="-7"/>
        </w:rPr>
        <w:t xml:space="preserve"> </w:t>
      </w:r>
      <w:r>
        <w:t>list</w:t>
      </w:r>
      <w:r>
        <w:rPr>
          <w:spacing w:val="-8"/>
        </w:rPr>
        <w:t xml:space="preserve"> </w:t>
      </w:r>
      <w:r>
        <w:t>of</w:t>
      </w:r>
      <w:r>
        <w:rPr>
          <w:spacing w:val="-9"/>
        </w:rPr>
        <w:t xml:space="preserve"> </w:t>
      </w:r>
      <w:r>
        <w:t>state</w:t>
      </w:r>
      <w:r>
        <w:rPr>
          <w:spacing w:val="-4"/>
        </w:rPr>
        <w:t xml:space="preserve"> </w:t>
      </w:r>
      <w:r>
        <w:t>approved</w:t>
      </w:r>
      <w:r>
        <w:rPr>
          <w:spacing w:val="-7"/>
        </w:rPr>
        <w:t xml:space="preserve"> </w:t>
      </w:r>
      <w:r>
        <w:t>suppliers</w:t>
      </w:r>
      <w:r>
        <w:rPr>
          <w:spacing w:val="-4"/>
        </w:rPr>
        <w:t xml:space="preserve"> </w:t>
      </w:r>
      <w:r>
        <w:t>for</w:t>
      </w:r>
      <w:r>
        <w:rPr>
          <w:spacing w:val="-7"/>
        </w:rPr>
        <w:t xml:space="preserve"> </w:t>
      </w:r>
      <w:r>
        <w:t xml:space="preserve">the purchase of supplies and services is maintained by the Florida Department of Management Services </w:t>
      </w:r>
      <w:r>
        <w:rPr>
          <w:spacing w:val="-2"/>
        </w:rPr>
        <w:t>(DMS)</w:t>
      </w:r>
      <w:r>
        <w:t xml:space="preserve"> </w:t>
      </w:r>
      <w:r>
        <w:rPr>
          <w:spacing w:val="-2"/>
        </w:rPr>
        <w:t>a</w:t>
      </w:r>
      <w:r w:rsidR="00CD208D">
        <w:rPr>
          <w:spacing w:val="-2"/>
        </w:rPr>
        <w:t>t</w:t>
      </w:r>
      <w:r w:rsidR="00CD208D" w:rsidRPr="00CD208D">
        <w:t xml:space="preserve"> </w:t>
      </w:r>
      <w:hyperlink r:id="rId35" w:history="1">
        <w:r w:rsidR="00CD208D" w:rsidRPr="008E2C4E">
          <w:rPr>
            <w:rStyle w:val="Hyperlink"/>
            <w:spacing w:val="-2"/>
          </w:rPr>
          <w:t>https://www.dms.myflorida.com/business_operations/state_purchasing/vendor_resources</w:t>
        </w:r>
      </w:hyperlink>
      <w:r w:rsidR="00CD208D">
        <w:rPr>
          <w:spacing w:val="-2"/>
        </w:rPr>
        <w:t xml:space="preserve">. </w:t>
      </w:r>
    </w:p>
    <w:p w:rsidR="00E70C27" w:rsidRDefault="00E70C27">
      <w:pPr>
        <w:spacing w:before="2"/>
        <w:rPr>
          <w:rFonts w:ascii="Calibri" w:eastAsia="Calibri" w:hAnsi="Calibri" w:cs="Calibri"/>
          <w:sz w:val="15"/>
          <w:szCs w:val="15"/>
        </w:rPr>
      </w:pPr>
    </w:p>
    <w:p w:rsidR="00E70C27" w:rsidRDefault="001947D1">
      <w:pPr>
        <w:spacing w:before="56" w:line="276" w:lineRule="auto"/>
        <w:ind w:left="119" w:right="93"/>
        <w:rPr>
          <w:rFonts w:ascii="Calibri" w:eastAsia="Calibri" w:hAnsi="Calibri" w:cs="Calibri"/>
        </w:rPr>
      </w:pPr>
      <w:r>
        <w:rPr>
          <w:rFonts w:ascii="Calibri"/>
        </w:rPr>
        <w:t xml:space="preserve">The laboratory maintains an inventory list of chemicals and supplies commonly used for analyses performed in the laboratory. See </w:t>
      </w:r>
      <w:hyperlink r:id="rId36">
        <w:r>
          <w:rPr>
            <w:rFonts w:ascii="Calibri"/>
            <w:color w:val="0000FF"/>
            <w:spacing w:val="-3"/>
            <w:u w:val="single" w:color="0000FF"/>
          </w:rPr>
          <w:t xml:space="preserve">SOP </w:t>
        </w:r>
        <w:r>
          <w:rPr>
            <w:rFonts w:ascii="Calibri"/>
            <w:color w:val="0000FF"/>
            <w:u w:val="single" w:color="0000FF"/>
          </w:rPr>
          <w:t>LB-030</w:t>
        </w:r>
        <w:r>
          <w:rPr>
            <w:rFonts w:ascii="Calibri"/>
            <w:i/>
          </w:rPr>
          <w:t>,</w:t>
        </w:r>
      </w:hyperlink>
      <w:r>
        <w:rPr>
          <w:rFonts w:ascii="Calibri"/>
          <w:i/>
        </w:rPr>
        <w:t xml:space="preserve"> Purchasing and Receiving Laboratory Chemicals and Supplies</w:t>
      </w:r>
      <w:r>
        <w:rPr>
          <w:rFonts w:ascii="Calibri"/>
        </w:rPr>
        <w:t>. This SOP includes procedures ensuring the necessary quality</w:t>
      </w:r>
      <w:r>
        <w:rPr>
          <w:rFonts w:ascii="Calibri"/>
          <w:spacing w:val="-3"/>
        </w:rPr>
        <w:t xml:space="preserve"> </w:t>
      </w:r>
      <w:r>
        <w:rPr>
          <w:rFonts w:ascii="Calibri"/>
        </w:rPr>
        <w:t>of</w:t>
      </w:r>
      <w:r>
        <w:rPr>
          <w:rFonts w:ascii="Calibri"/>
          <w:spacing w:val="-9"/>
        </w:rPr>
        <w:t xml:space="preserve"> </w:t>
      </w:r>
      <w:r>
        <w:rPr>
          <w:rFonts w:ascii="Calibri"/>
        </w:rPr>
        <w:t>the</w:t>
      </w:r>
      <w:r>
        <w:rPr>
          <w:rFonts w:ascii="Calibri"/>
          <w:spacing w:val="-1"/>
        </w:rPr>
        <w:t xml:space="preserve"> </w:t>
      </w:r>
      <w:r>
        <w:rPr>
          <w:rFonts w:ascii="Calibri"/>
        </w:rPr>
        <w:t>purchase,</w:t>
      </w:r>
      <w:r>
        <w:rPr>
          <w:rFonts w:ascii="Calibri"/>
          <w:spacing w:val="-6"/>
        </w:rPr>
        <w:t xml:space="preserve"> </w:t>
      </w:r>
      <w:r>
        <w:rPr>
          <w:rFonts w:ascii="Calibri"/>
        </w:rPr>
        <w:t>checking</w:t>
      </w:r>
      <w:r>
        <w:rPr>
          <w:rFonts w:ascii="Calibri"/>
          <w:spacing w:val="-5"/>
        </w:rPr>
        <w:t xml:space="preserve"> </w:t>
      </w:r>
      <w:r>
        <w:rPr>
          <w:rFonts w:ascii="Calibri"/>
        </w:rPr>
        <w:t>that</w:t>
      </w:r>
      <w:r>
        <w:rPr>
          <w:rFonts w:ascii="Calibri"/>
          <w:spacing w:val="-6"/>
        </w:rPr>
        <w:t xml:space="preserve"> </w:t>
      </w:r>
      <w:r>
        <w:rPr>
          <w:rFonts w:ascii="Calibri"/>
        </w:rPr>
        <w:t>the</w:t>
      </w:r>
      <w:r>
        <w:rPr>
          <w:rFonts w:ascii="Calibri"/>
          <w:spacing w:val="-4"/>
        </w:rPr>
        <w:t xml:space="preserve"> </w:t>
      </w:r>
      <w:r>
        <w:rPr>
          <w:rFonts w:ascii="Calibri"/>
        </w:rPr>
        <w:t>proper</w:t>
      </w:r>
      <w:r>
        <w:rPr>
          <w:rFonts w:ascii="Calibri"/>
          <w:spacing w:val="-7"/>
        </w:rPr>
        <w:t xml:space="preserve"> </w:t>
      </w:r>
      <w:r>
        <w:rPr>
          <w:rFonts w:ascii="Calibri"/>
        </w:rPr>
        <w:t>quality</w:t>
      </w:r>
      <w:r>
        <w:rPr>
          <w:rFonts w:ascii="Calibri"/>
          <w:spacing w:val="-5"/>
        </w:rPr>
        <w:t xml:space="preserve"> </w:t>
      </w:r>
      <w:r>
        <w:rPr>
          <w:rFonts w:ascii="Calibri"/>
        </w:rPr>
        <w:t>was</w:t>
      </w:r>
      <w:r>
        <w:rPr>
          <w:rFonts w:ascii="Calibri"/>
          <w:spacing w:val="-7"/>
        </w:rPr>
        <w:t xml:space="preserve"> </w:t>
      </w:r>
      <w:r>
        <w:rPr>
          <w:rFonts w:ascii="Calibri"/>
        </w:rPr>
        <w:t>received</w:t>
      </w:r>
      <w:r>
        <w:rPr>
          <w:rFonts w:ascii="Calibri"/>
          <w:spacing w:val="-5"/>
        </w:rPr>
        <w:t xml:space="preserve"> </w:t>
      </w:r>
      <w:r>
        <w:rPr>
          <w:rFonts w:ascii="Calibri"/>
        </w:rPr>
        <w:t>and</w:t>
      </w:r>
      <w:r>
        <w:rPr>
          <w:rFonts w:ascii="Calibri"/>
          <w:spacing w:val="-5"/>
        </w:rPr>
        <w:t xml:space="preserve"> </w:t>
      </w:r>
      <w:r>
        <w:rPr>
          <w:rFonts w:ascii="Calibri"/>
        </w:rPr>
        <w:t>how</w:t>
      </w:r>
      <w:r>
        <w:rPr>
          <w:rFonts w:ascii="Calibri"/>
          <w:spacing w:val="-6"/>
        </w:rPr>
        <w:t xml:space="preserve"> </w:t>
      </w:r>
      <w:r>
        <w:rPr>
          <w:rFonts w:ascii="Calibri"/>
        </w:rPr>
        <w:t>the</w:t>
      </w:r>
      <w:r>
        <w:rPr>
          <w:rFonts w:ascii="Calibri"/>
          <w:spacing w:val="-1"/>
        </w:rPr>
        <w:t xml:space="preserve"> </w:t>
      </w:r>
      <w:r>
        <w:rPr>
          <w:rFonts w:ascii="Calibri"/>
        </w:rPr>
        <w:t>supplies</w:t>
      </w:r>
      <w:r>
        <w:rPr>
          <w:rFonts w:ascii="Calibri"/>
          <w:spacing w:val="-4"/>
        </w:rPr>
        <w:t xml:space="preserve"> </w:t>
      </w:r>
      <w:r>
        <w:rPr>
          <w:rFonts w:ascii="Calibri"/>
        </w:rPr>
        <w:t>are</w:t>
      </w:r>
      <w:r>
        <w:rPr>
          <w:rFonts w:ascii="Calibri"/>
          <w:spacing w:val="-6"/>
        </w:rPr>
        <w:t xml:space="preserve"> </w:t>
      </w:r>
      <w:r>
        <w:rPr>
          <w:rFonts w:ascii="Calibri"/>
        </w:rPr>
        <w:t>stored</w:t>
      </w:r>
      <w:r>
        <w:rPr>
          <w:rFonts w:ascii="Calibri"/>
          <w:spacing w:val="-5"/>
        </w:rPr>
        <w:t xml:space="preserve"> </w:t>
      </w:r>
      <w:r>
        <w:rPr>
          <w:rFonts w:ascii="Calibri"/>
        </w:rPr>
        <w:t>if needed to maintain their</w:t>
      </w:r>
      <w:r>
        <w:rPr>
          <w:rFonts w:ascii="Calibri"/>
          <w:spacing w:val="-25"/>
        </w:rPr>
        <w:t xml:space="preserve"> </w:t>
      </w:r>
      <w:r>
        <w:rPr>
          <w:rFonts w:ascii="Calibri"/>
        </w:rPr>
        <w:t>quality.</w:t>
      </w:r>
    </w:p>
    <w:p w:rsidR="00E70C27" w:rsidRDefault="00E70C27">
      <w:pPr>
        <w:spacing w:before="9"/>
        <w:rPr>
          <w:rFonts w:ascii="Calibri" w:eastAsia="Calibri" w:hAnsi="Calibri" w:cs="Calibri"/>
          <w:sz w:val="19"/>
          <w:szCs w:val="19"/>
        </w:rPr>
      </w:pPr>
    </w:p>
    <w:p w:rsidR="00E70C27" w:rsidRDefault="001947D1">
      <w:pPr>
        <w:pStyle w:val="BodyText"/>
        <w:spacing w:line="276" w:lineRule="auto"/>
        <w:ind w:right="93"/>
      </w:pPr>
      <w:r>
        <w:t xml:space="preserve">Sample results generated in the lab are imported into the LIMS as text files. Analytical instruments typically export text files which are then imported by the LIMS for processing. Analysts then perform QC calculations in the LIMS, after which the data is reviewed by analysts and their supervisors. </w:t>
      </w:r>
      <w:r>
        <w:rPr>
          <w:spacing w:val="2"/>
        </w:rPr>
        <w:t>The</w:t>
      </w:r>
      <w:r w:rsidR="006D0654">
        <w:rPr>
          <w:spacing w:val="2"/>
        </w:rPr>
        <w:t xml:space="preserve"> </w:t>
      </w:r>
      <w:r>
        <w:rPr>
          <w:spacing w:val="2"/>
        </w:rPr>
        <w:t xml:space="preserve">data </w:t>
      </w:r>
      <w:r>
        <w:t xml:space="preserve">review process is described in </w:t>
      </w:r>
      <w:hyperlink r:id="rId37">
        <w:r>
          <w:rPr>
            <w:color w:val="0000FF"/>
            <w:u w:val="single" w:color="0000FF"/>
          </w:rPr>
          <w:t>SOP LB-026</w:t>
        </w:r>
        <w:r>
          <w:t>,</w:t>
        </w:r>
      </w:hyperlink>
      <w:r>
        <w:t xml:space="preserve"> </w:t>
      </w:r>
      <w:r>
        <w:rPr>
          <w:i/>
        </w:rPr>
        <w:t xml:space="preserve">Job Level Authorization Checklist </w:t>
      </w:r>
      <w:r>
        <w:t>and</w:t>
      </w:r>
      <w:r w:rsidR="00CD208D">
        <w:t xml:space="preserve"> </w:t>
      </w:r>
      <w:hyperlink r:id="rId38">
        <w:r>
          <w:rPr>
            <w:color w:val="0000FF"/>
            <w:u w:val="single" w:color="0000FF"/>
          </w:rPr>
          <w:t>SOP LB-025</w:t>
        </w:r>
        <w:r>
          <w:t>,</w:t>
        </w:r>
      </w:hyperlink>
      <w:r w:rsidR="00CD208D">
        <w:t xml:space="preserve"> </w:t>
      </w:r>
      <w:r>
        <w:rPr>
          <w:i/>
        </w:rPr>
        <w:t>Event</w:t>
      </w:r>
      <w:r w:rsidR="006D0654">
        <w:rPr>
          <w:i/>
        </w:rPr>
        <w:t xml:space="preserve"> </w:t>
      </w:r>
      <w:r>
        <w:rPr>
          <w:i/>
        </w:rPr>
        <w:t>Level Authorization</w:t>
      </w:r>
      <w:r w:rsidR="002066A3">
        <w:rPr>
          <w:i/>
        </w:rPr>
        <w:t xml:space="preserve"> Process and</w:t>
      </w:r>
      <w:r>
        <w:rPr>
          <w:i/>
        </w:rPr>
        <w:t xml:space="preserve"> Checklist</w:t>
      </w:r>
      <w:r>
        <w:t xml:space="preserve">.  After all the samples in an event are authorized, the LIMS generates a PDF of the final report that is mailed to clients. The LIMS also generates an Electronic Data Deliverable (EDD) that is reviewed by lab managers using the Florida Automated Data Processing Tool (FL </w:t>
      </w:r>
      <w:proofErr w:type="spellStart"/>
      <w:r>
        <w:t>ADaPT</w:t>
      </w:r>
      <w:proofErr w:type="spellEnd"/>
      <w:r>
        <w:t>). A final EDD is then generated and posted at an FTP site accessible to lab clients. Procedures for</w:t>
      </w:r>
      <w:r w:rsidR="006D0654">
        <w:t xml:space="preserve"> </w:t>
      </w:r>
      <w:r>
        <w:t>transferring taxonomic</w:t>
      </w:r>
      <w:r>
        <w:rPr>
          <w:spacing w:val="-2"/>
        </w:rPr>
        <w:t xml:space="preserve"> </w:t>
      </w:r>
      <w:r>
        <w:t>data</w:t>
      </w:r>
      <w:r>
        <w:rPr>
          <w:spacing w:val="-4"/>
        </w:rPr>
        <w:t xml:space="preserve"> </w:t>
      </w:r>
      <w:r>
        <w:t>to</w:t>
      </w:r>
      <w:r>
        <w:rPr>
          <w:spacing w:val="-1"/>
        </w:rPr>
        <w:t xml:space="preserve"> </w:t>
      </w:r>
      <w:r>
        <w:t>the</w:t>
      </w:r>
      <w:r>
        <w:rPr>
          <w:spacing w:val="-4"/>
        </w:rPr>
        <w:t xml:space="preserve"> </w:t>
      </w:r>
      <w:r>
        <w:t>LIMS</w:t>
      </w:r>
      <w:r>
        <w:rPr>
          <w:spacing w:val="-3"/>
        </w:rPr>
        <w:t xml:space="preserve"> </w:t>
      </w:r>
      <w:r>
        <w:t>and</w:t>
      </w:r>
      <w:r>
        <w:rPr>
          <w:spacing w:val="-3"/>
        </w:rPr>
        <w:t xml:space="preserve"> </w:t>
      </w:r>
      <w:r>
        <w:t>the</w:t>
      </w:r>
      <w:r>
        <w:rPr>
          <w:spacing w:val="-1"/>
        </w:rPr>
        <w:t xml:space="preserve"> </w:t>
      </w:r>
      <w:r>
        <w:t>FDEP</w:t>
      </w:r>
      <w:r>
        <w:rPr>
          <w:spacing w:val="-3"/>
        </w:rPr>
        <w:t xml:space="preserve"> </w:t>
      </w:r>
      <w:r>
        <w:t>Statewide</w:t>
      </w:r>
      <w:r>
        <w:rPr>
          <w:spacing w:val="-4"/>
        </w:rPr>
        <w:t xml:space="preserve"> </w:t>
      </w:r>
      <w:r>
        <w:t>Biological</w:t>
      </w:r>
      <w:r>
        <w:rPr>
          <w:spacing w:val="-2"/>
        </w:rPr>
        <w:t xml:space="preserve"> </w:t>
      </w:r>
      <w:r>
        <w:t>Database</w:t>
      </w:r>
      <w:r>
        <w:rPr>
          <w:spacing w:val="-4"/>
        </w:rPr>
        <w:t xml:space="preserve"> </w:t>
      </w:r>
      <w:r>
        <w:t>(SBIO)</w:t>
      </w:r>
      <w:r>
        <w:rPr>
          <w:spacing w:val="-4"/>
        </w:rPr>
        <w:t xml:space="preserve"> </w:t>
      </w:r>
      <w:r>
        <w:t>are</w:t>
      </w:r>
      <w:r>
        <w:rPr>
          <w:spacing w:val="-1"/>
        </w:rPr>
        <w:t xml:space="preserve"> </w:t>
      </w:r>
      <w:r>
        <w:t>described</w:t>
      </w:r>
      <w:r>
        <w:rPr>
          <w:spacing w:val="-3"/>
        </w:rPr>
        <w:t xml:space="preserve"> </w:t>
      </w:r>
      <w:r>
        <w:t>in</w:t>
      </w:r>
      <w:r>
        <w:rPr>
          <w:spacing w:val="-1"/>
        </w:rPr>
        <w:t xml:space="preserve"> </w:t>
      </w:r>
      <w:hyperlink r:id="rId39">
        <w:r>
          <w:rPr>
            <w:color w:val="0000FF"/>
            <w:spacing w:val="-3"/>
            <w:u w:val="single" w:color="0000FF"/>
          </w:rPr>
          <w:t>SOP</w:t>
        </w:r>
        <w:r>
          <w:rPr>
            <w:color w:val="0000FF"/>
            <w:spacing w:val="-31"/>
            <w:u w:val="single" w:color="0000FF"/>
          </w:rPr>
          <w:t xml:space="preserve"> </w:t>
        </w:r>
        <w:r>
          <w:rPr>
            <w:color w:val="0000FF"/>
            <w:u w:val="single" w:color="0000FF"/>
          </w:rPr>
          <w:t xml:space="preserve">BG- </w:t>
        </w:r>
      </w:hyperlink>
      <w:hyperlink r:id="rId40">
        <w:r>
          <w:rPr>
            <w:color w:val="0000FF"/>
            <w:u w:val="single" w:color="0000FF"/>
          </w:rPr>
          <w:t>03</w:t>
        </w:r>
        <w:r>
          <w:t>,</w:t>
        </w:r>
      </w:hyperlink>
      <w:r>
        <w:t xml:space="preserve"> </w:t>
      </w:r>
      <w:r>
        <w:rPr>
          <w:i/>
        </w:rPr>
        <w:t>Taxonomic Results and Data</w:t>
      </w:r>
      <w:r>
        <w:rPr>
          <w:i/>
          <w:spacing w:val="-21"/>
        </w:rPr>
        <w:t xml:space="preserve"> </w:t>
      </w:r>
      <w:r>
        <w:rPr>
          <w:i/>
        </w:rPr>
        <w:t>Entry</w:t>
      </w:r>
      <w:r>
        <w:t>.</w:t>
      </w:r>
    </w:p>
    <w:p w:rsidR="00E70C27" w:rsidRDefault="00E70C27">
      <w:pPr>
        <w:rPr>
          <w:rFonts w:ascii="Calibri" w:eastAsia="Calibri" w:hAnsi="Calibri" w:cs="Calibri"/>
          <w:sz w:val="20"/>
          <w:szCs w:val="20"/>
        </w:rPr>
      </w:pPr>
    </w:p>
    <w:p w:rsidR="00E70C27" w:rsidRDefault="00E70C27">
      <w:pPr>
        <w:rPr>
          <w:rFonts w:ascii="Calibri" w:eastAsia="Calibri" w:hAnsi="Calibri" w:cs="Calibri"/>
          <w:sz w:val="20"/>
          <w:szCs w:val="20"/>
        </w:rPr>
      </w:pPr>
    </w:p>
    <w:p w:rsidR="00E70C27" w:rsidRDefault="00E70C27">
      <w:pPr>
        <w:spacing w:before="7"/>
        <w:rPr>
          <w:rFonts w:ascii="Calibri" w:eastAsia="Calibri" w:hAnsi="Calibri" w:cs="Calibri"/>
          <w:sz w:val="20"/>
          <w:szCs w:val="20"/>
        </w:rPr>
      </w:pPr>
    </w:p>
    <w:p w:rsidR="00E70C27" w:rsidRDefault="001947D1">
      <w:pPr>
        <w:pStyle w:val="Heading1"/>
        <w:numPr>
          <w:ilvl w:val="0"/>
          <w:numId w:val="1"/>
        </w:numPr>
        <w:tabs>
          <w:tab w:val="left" w:pos="476"/>
        </w:tabs>
        <w:spacing w:before="51"/>
        <w:ind w:left="475" w:hanging="355"/>
        <w:rPr>
          <w:b w:val="0"/>
          <w:bCs w:val="0"/>
        </w:rPr>
      </w:pPr>
      <w:bookmarkStart w:id="4" w:name="C.___ASSESSMENT_AND_OVERSIGHT"/>
      <w:bookmarkEnd w:id="4"/>
      <w:r>
        <w:t>ASSESSMENT AND</w:t>
      </w:r>
      <w:r>
        <w:rPr>
          <w:spacing w:val="-16"/>
        </w:rPr>
        <w:t xml:space="preserve"> </w:t>
      </w:r>
      <w:r>
        <w:t>OVERSIGHT</w:t>
      </w:r>
    </w:p>
    <w:p w:rsidR="00E70C27" w:rsidRDefault="00E70C27">
      <w:pPr>
        <w:spacing w:before="2"/>
        <w:rPr>
          <w:rFonts w:ascii="Calibri" w:eastAsia="Calibri" w:hAnsi="Calibri" w:cs="Calibri"/>
          <w:b/>
          <w:bCs/>
          <w:sz w:val="23"/>
          <w:szCs w:val="23"/>
        </w:rPr>
      </w:pPr>
    </w:p>
    <w:p w:rsidR="00E70C27" w:rsidRDefault="001947D1">
      <w:pPr>
        <w:pStyle w:val="BodyText"/>
        <w:spacing w:line="276" w:lineRule="auto"/>
        <w:ind w:left="120" w:right="93"/>
      </w:pPr>
      <w:r>
        <w:t>The Bureau of Laboratories participates in numerous external assessments on a periodic basis. Among them</w:t>
      </w:r>
      <w:r>
        <w:rPr>
          <w:spacing w:val="-6"/>
        </w:rPr>
        <w:t xml:space="preserve"> </w:t>
      </w:r>
      <w:r>
        <w:t>is</w:t>
      </w:r>
      <w:r>
        <w:rPr>
          <w:spacing w:val="-4"/>
        </w:rPr>
        <w:t xml:space="preserve"> </w:t>
      </w:r>
      <w:r>
        <w:t>a</w:t>
      </w:r>
      <w:r>
        <w:rPr>
          <w:spacing w:val="-5"/>
        </w:rPr>
        <w:t xml:space="preserve"> </w:t>
      </w:r>
      <w:r>
        <w:t>biennial</w:t>
      </w:r>
      <w:r>
        <w:rPr>
          <w:spacing w:val="-9"/>
        </w:rPr>
        <w:t xml:space="preserve"> </w:t>
      </w:r>
      <w:r>
        <w:t>assessment</w:t>
      </w:r>
      <w:r>
        <w:rPr>
          <w:spacing w:val="-4"/>
        </w:rPr>
        <w:t xml:space="preserve"> </w:t>
      </w:r>
      <w:r>
        <w:t>of</w:t>
      </w:r>
      <w:r>
        <w:rPr>
          <w:spacing w:val="-9"/>
        </w:rPr>
        <w:t xml:space="preserve"> </w:t>
      </w:r>
      <w:r>
        <w:t>the</w:t>
      </w:r>
      <w:r>
        <w:rPr>
          <w:spacing w:val="-6"/>
        </w:rPr>
        <w:t xml:space="preserve"> </w:t>
      </w:r>
      <w:r>
        <w:t>lab</w:t>
      </w:r>
      <w:r>
        <w:rPr>
          <w:spacing w:val="-5"/>
        </w:rPr>
        <w:t xml:space="preserve"> </w:t>
      </w:r>
      <w:r>
        <w:t>conducted</w:t>
      </w:r>
      <w:r>
        <w:rPr>
          <w:spacing w:val="-7"/>
        </w:rPr>
        <w:t xml:space="preserve"> </w:t>
      </w:r>
      <w:r>
        <w:t>by</w:t>
      </w:r>
      <w:r>
        <w:rPr>
          <w:spacing w:val="-3"/>
        </w:rPr>
        <w:t xml:space="preserve"> </w:t>
      </w:r>
      <w:r>
        <w:t>the</w:t>
      </w:r>
      <w:r>
        <w:rPr>
          <w:spacing w:val="-6"/>
        </w:rPr>
        <w:t xml:space="preserve"> </w:t>
      </w:r>
      <w:r>
        <w:t>Florida</w:t>
      </w:r>
      <w:r>
        <w:rPr>
          <w:spacing w:val="-7"/>
        </w:rPr>
        <w:t xml:space="preserve"> </w:t>
      </w:r>
      <w:r>
        <w:t>Department</w:t>
      </w:r>
      <w:r>
        <w:rPr>
          <w:spacing w:val="-6"/>
        </w:rPr>
        <w:t xml:space="preserve"> </w:t>
      </w:r>
      <w:r>
        <w:t>of</w:t>
      </w:r>
      <w:r>
        <w:rPr>
          <w:spacing w:val="-7"/>
        </w:rPr>
        <w:t xml:space="preserve"> </w:t>
      </w:r>
      <w:r>
        <w:t>Health</w:t>
      </w:r>
      <w:r>
        <w:rPr>
          <w:spacing w:val="-5"/>
        </w:rPr>
        <w:t xml:space="preserve"> </w:t>
      </w:r>
      <w:r>
        <w:t>(DOH),</w:t>
      </w:r>
      <w:r>
        <w:rPr>
          <w:spacing w:val="-6"/>
        </w:rPr>
        <w:t xml:space="preserve"> </w:t>
      </w:r>
      <w:r>
        <w:t>a</w:t>
      </w:r>
      <w:r>
        <w:rPr>
          <w:spacing w:val="-5"/>
        </w:rPr>
        <w:t xml:space="preserve"> </w:t>
      </w:r>
      <w:r>
        <w:t>NELAC Institute (TNI) accreditation body to maintain NELAC certification. In addition</w:t>
      </w:r>
      <w:r w:rsidR="006D0654">
        <w:t>,</w:t>
      </w:r>
      <w:r>
        <w:t xml:space="preserve"> audits are also conducted by the South Florida Water Management District (SFWMD) and the U.S. Army Corps of Engineers (USACE) every two years for samples analyzed by the lab and associated with the Comprehensive Everglades Restoration Plan</w:t>
      </w:r>
      <w:r>
        <w:rPr>
          <w:spacing w:val="-18"/>
        </w:rPr>
        <w:t xml:space="preserve"> </w:t>
      </w:r>
      <w:r>
        <w:t>(CERP).</w:t>
      </w:r>
    </w:p>
    <w:p w:rsidR="00E70C27" w:rsidRDefault="00E70C27">
      <w:pPr>
        <w:spacing w:before="9"/>
        <w:rPr>
          <w:rFonts w:ascii="Calibri" w:eastAsia="Calibri" w:hAnsi="Calibri" w:cs="Calibri"/>
          <w:sz w:val="19"/>
          <w:szCs w:val="19"/>
        </w:rPr>
      </w:pPr>
    </w:p>
    <w:p w:rsidR="00E70C27" w:rsidRDefault="001947D1">
      <w:pPr>
        <w:pStyle w:val="BodyText"/>
        <w:spacing w:line="276" w:lineRule="auto"/>
        <w:ind w:left="120" w:right="266"/>
      </w:pPr>
      <w:r>
        <w:t>The lab’s QA officer also conducts an annual internal audit for all NELAC certified parameters in chemistry and biology. The QA officer uses NELAP audit checklists in conducting internal audits.</w:t>
      </w:r>
      <w:r>
        <w:rPr>
          <w:spacing w:val="-14"/>
        </w:rPr>
        <w:t xml:space="preserve"> </w:t>
      </w:r>
      <w:r>
        <w:t>The</w:t>
      </w:r>
    </w:p>
    <w:p w:rsidR="00E70C27" w:rsidRDefault="00E70C27">
      <w:pPr>
        <w:spacing w:line="276" w:lineRule="auto"/>
        <w:sectPr w:rsidR="00E70C27">
          <w:pgSz w:w="12240" w:h="15840"/>
          <w:pgMar w:top="1400" w:right="1400" w:bottom="780" w:left="1320" w:header="0" w:footer="581" w:gutter="0"/>
          <w:cols w:space="720"/>
        </w:sectPr>
      </w:pPr>
    </w:p>
    <w:p w:rsidR="00E70C27" w:rsidRDefault="001947D1">
      <w:pPr>
        <w:pStyle w:val="BodyText"/>
        <w:spacing w:before="37" w:line="276" w:lineRule="auto"/>
        <w:ind w:left="120" w:right="93"/>
      </w:pPr>
      <w:r>
        <w:lastRenderedPageBreak/>
        <w:t>checklists</w:t>
      </w:r>
      <w:r>
        <w:rPr>
          <w:spacing w:val="-5"/>
        </w:rPr>
        <w:t xml:space="preserve"> </w:t>
      </w:r>
      <w:r>
        <w:t>for</w:t>
      </w:r>
      <w:r>
        <w:rPr>
          <w:spacing w:val="-5"/>
        </w:rPr>
        <w:t xml:space="preserve"> </w:t>
      </w:r>
      <w:r>
        <w:t>quality</w:t>
      </w:r>
      <w:r>
        <w:rPr>
          <w:spacing w:val="-6"/>
        </w:rPr>
        <w:t xml:space="preserve"> </w:t>
      </w:r>
      <w:r>
        <w:t>systems,</w:t>
      </w:r>
      <w:r>
        <w:rPr>
          <w:spacing w:val="-10"/>
        </w:rPr>
        <w:t xml:space="preserve"> </w:t>
      </w:r>
      <w:r>
        <w:t>microbiology,</w:t>
      </w:r>
      <w:r>
        <w:rPr>
          <w:spacing w:val="-5"/>
        </w:rPr>
        <w:t xml:space="preserve"> </w:t>
      </w:r>
      <w:r>
        <w:t>toxicity</w:t>
      </w:r>
      <w:r>
        <w:rPr>
          <w:spacing w:val="-9"/>
        </w:rPr>
        <w:t xml:space="preserve"> </w:t>
      </w:r>
      <w:r>
        <w:t>testing,</w:t>
      </w:r>
      <w:r>
        <w:rPr>
          <w:spacing w:val="-5"/>
        </w:rPr>
        <w:t xml:space="preserve"> </w:t>
      </w:r>
      <w:r>
        <w:t>chemistry</w:t>
      </w:r>
      <w:r>
        <w:rPr>
          <w:spacing w:val="-4"/>
        </w:rPr>
        <w:t xml:space="preserve"> </w:t>
      </w:r>
      <w:r>
        <w:t>and</w:t>
      </w:r>
      <w:r>
        <w:rPr>
          <w:spacing w:val="-11"/>
        </w:rPr>
        <w:t xml:space="preserve"> </w:t>
      </w:r>
      <w:r>
        <w:t>chemistry</w:t>
      </w:r>
      <w:r>
        <w:rPr>
          <w:spacing w:val="-9"/>
        </w:rPr>
        <w:t xml:space="preserve"> </w:t>
      </w:r>
      <w:r>
        <w:t>technology</w:t>
      </w:r>
      <w:r>
        <w:rPr>
          <w:spacing w:val="-7"/>
        </w:rPr>
        <w:t xml:space="preserve"> </w:t>
      </w:r>
      <w:r>
        <w:t>can</w:t>
      </w:r>
      <w:r>
        <w:rPr>
          <w:spacing w:val="-8"/>
        </w:rPr>
        <w:t xml:space="preserve"> </w:t>
      </w:r>
      <w:r>
        <w:t xml:space="preserve">be accessed at the </w:t>
      </w:r>
      <w:hyperlink r:id="rId41">
        <w:r>
          <w:rPr>
            <w:color w:val="0563C1"/>
            <w:spacing w:val="-3"/>
            <w:u w:val="single" w:color="0563C1"/>
          </w:rPr>
          <w:t>Florida DOH website</w:t>
        </w:r>
        <w:r>
          <w:rPr>
            <w:spacing w:val="-3"/>
          </w:rPr>
          <w:t>.</w:t>
        </w:r>
      </w:hyperlink>
      <w:r>
        <w:rPr>
          <w:spacing w:val="-3"/>
        </w:rPr>
        <w:t xml:space="preserve"> </w:t>
      </w:r>
      <w:r>
        <w:t xml:space="preserve">Additional details on internal audits and audit checklists are provided in section 4.14 of the </w:t>
      </w:r>
      <w:hyperlink r:id="rId42">
        <w:r>
          <w:rPr>
            <w:color w:val="0000FF"/>
            <w:u w:val="single" w:color="0000FF"/>
          </w:rPr>
          <w:t>Lab</w:t>
        </w:r>
        <w:r>
          <w:rPr>
            <w:color w:val="0000FF"/>
            <w:spacing w:val="-24"/>
            <w:u w:val="single" w:color="0000FF"/>
          </w:rPr>
          <w:t xml:space="preserve"> </w:t>
        </w:r>
        <w:r>
          <w:rPr>
            <w:color w:val="0000FF"/>
            <w:u w:val="single" w:color="0000FF"/>
          </w:rPr>
          <w:t>QM</w:t>
        </w:r>
        <w:r>
          <w:t>.</w:t>
        </w:r>
      </w:hyperlink>
    </w:p>
    <w:p w:rsidR="00E70C27" w:rsidRDefault="00E70C27">
      <w:pPr>
        <w:spacing w:before="2"/>
        <w:rPr>
          <w:rFonts w:ascii="Calibri" w:eastAsia="Calibri" w:hAnsi="Calibri" w:cs="Calibri"/>
          <w:sz w:val="15"/>
          <w:szCs w:val="15"/>
        </w:rPr>
      </w:pPr>
    </w:p>
    <w:p w:rsidR="00E70C27" w:rsidRDefault="001947D1">
      <w:pPr>
        <w:pStyle w:val="BodyText"/>
        <w:spacing w:before="56" w:line="276" w:lineRule="auto"/>
        <w:ind w:right="128"/>
      </w:pPr>
      <w:r>
        <w:t>Deficiencies found in the course of internal or external audits are addressed by lab supervisors who issue corrective action reports to the lab QA officer. Deficiencies are generally expected to be addressed within 30-60 days from the receipt of the audit report. The laboratory QA officer verifies that the corrective actions have been implemented as described in the corrective</w:t>
      </w:r>
      <w:r>
        <w:rPr>
          <w:spacing w:val="-16"/>
        </w:rPr>
        <w:t xml:space="preserve"> </w:t>
      </w:r>
      <w:r>
        <w:t>actions</w:t>
      </w:r>
      <w:r w:rsidR="006D0654">
        <w:t xml:space="preserve"> </w:t>
      </w:r>
      <w:r>
        <w:t>report.</w:t>
      </w:r>
    </w:p>
    <w:p w:rsidR="00E70C27" w:rsidRDefault="00E70C27">
      <w:pPr>
        <w:spacing w:before="9"/>
        <w:rPr>
          <w:rFonts w:ascii="Calibri" w:eastAsia="Calibri" w:hAnsi="Calibri" w:cs="Calibri"/>
          <w:sz w:val="19"/>
          <w:szCs w:val="19"/>
        </w:rPr>
      </w:pPr>
    </w:p>
    <w:p w:rsidR="00E70C27" w:rsidRDefault="001947D1">
      <w:pPr>
        <w:pStyle w:val="BodyText"/>
        <w:spacing w:line="276" w:lineRule="auto"/>
        <w:ind w:right="128"/>
      </w:pPr>
      <w:r>
        <w:t>The lab’s Biology section also performs external audits of contract laboratories that report</w:t>
      </w:r>
      <w:r w:rsidR="006D0654">
        <w:t xml:space="preserve"> </w:t>
      </w:r>
      <w:r>
        <w:t xml:space="preserve">microbiology data to DEP. The audits generally involve labs performing Fecal Coliform and Enterococci </w:t>
      </w:r>
      <w:r>
        <w:rPr>
          <w:spacing w:val="3"/>
        </w:rPr>
        <w:t>tests</w:t>
      </w:r>
      <w:r w:rsidR="006D0654">
        <w:rPr>
          <w:spacing w:val="3"/>
        </w:rPr>
        <w:t xml:space="preserve"> </w:t>
      </w:r>
      <w:r>
        <w:rPr>
          <w:spacing w:val="3"/>
        </w:rPr>
        <w:t xml:space="preserve">by </w:t>
      </w:r>
      <w:r w:rsidR="002A45F5">
        <w:rPr>
          <w:spacing w:val="3"/>
        </w:rPr>
        <w:t xml:space="preserve">approved </w:t>
      </w:r>
      <w:proofErr w:type="spellStart"/>
      <w:r w:rsidR="002A45F5">
        <w:rPr>
          <w:spacing w:val="3"/>
        </w:rPr>
        <w:t>Quanti</w:t>
      </w:r>
      <w:proofErr w:type="spellEnd"/>
      <w:r w:rsidR="002A45F5">
        <w:rPr>
          <w:spacing w:val="3"/>
        </w:rPr>
        <w:t xml:space="preserve">-Tray and </w:t>
      </w:r>
      <w:r>
        <w:t>membrane filtration</w:t>
      </w:r>
      <w:r w:rsidR="002A45F5">
        <w:t xml:space="preserve"> methods</w:t>
      </w:r>
      <w:r>
        <w:t>.</w:t>
      </w:r>
      <w:bookmarkStart w:id="5" w:name="_Hlk17709746"/>
      <w:r>
        <w:t xml:space="preserve"> </w:t>
      </w:r>
    </w:p>
    <w:bookmarkEnd w:id="5"/>
    <w:p w:rsidR="00E70C27" w:rsidRDefault="00E70C27">
      <w:pPr>
        <w:spacing w:before="2"/>
        <w:rPr>
          <w:rFonts w:ascii="Calibri" w:eastAsia="Calibri" w:hAnsi="Calibri" w:cs="Calibri"/>
          <w:sz w:val="15"/>
          <w:szCs w:val="15"/>
        </w:rPr>
      </w:pPr>
    </w:p>
    <w:p w:rsidR="00E70C27" w:rsidRDefault="001947D1">
      <w:pPr>
        <w:pStyle w:val="BodyText"/>
        <w:spacing w:before="56" w:line="276" w:lineRule="auto"/>
        <w:ind w:left="120" w:right="109"/>
      </w:pPr>
      <w:r>
        <w:t>The lab’s Chemistry and Biology sections participate in numerous Performance Testing (PT) studies every year to maintain</w:t>
      </w:r>
      <w:r w:rsidR="006D0654">
        <w:t xml:space="preserve"> </w:t>
      </w:r>
      <w:r>
        <w:t>NELAC certification. They include biannual NELAC PT studies for parameters in non-potable water and</w:t>
      </w:r>
      <w:r w:rsidR="006D0654">
        <w:t xml:space="preserve"> </w:t>
      </w:r>
      <w:r>
        <w:t xml:space="preserve">solids, microbiology and toxicity testing.  In addition, the lab participates in USGS round robins for nutrients and metals in water. The lab QA officer conducts an annual management quality review at the end of each calendar year. Details are provided in section 4.15 of the </w:t>
      </w:r>
      <w:hyperlink r:id="rId43">
        <w:r>
          <w:rPr>
            <w:color w:val="0563C1"/>
            <w:u w:val="single" w:color="0563C1"/>
          </w:rPr>
          <w:t>Lab QM</w:t>
        </w:r>
        <w:r>
          <w:t>.</w:t>
        </w:r>
      </w:hyperlink>
      <w:r>
        <w:t xml:space="preserve"> The QA officer also prepares an annual QA report for the DEP secretary that details all QA activities</w:t>
      </w:r>
      <w:r>
        <w:rPr>
          <w:spacing w:val="-1"/>
        </w:rPr>
        <w:t xml:space="preserve"> </w:t>
      </w:r>
      <w:r>
        <w:t>conducted</w:t>
      </w:r>
      <w:r>
        <w:rPr>
          <w:spacing w:val="-2"/>
        </w:rPr>
        <w:t xml:space="preserve"> </w:t>
      </w:r>
      <w:r>
        <w:rPr>
          <w:spacing w:val="3"/>
        </w:rPr>
        <w:t>by</w:t>
      </w:r>
      <w:r w:rsidR="00A0131D">
        <w:rPr>
          <w:spacing w:val="3"/>
        </w:rPr>
        <w:t xml:space="preserve"> </w:t>
      </w:r>
      <w:r>
        <w:rPr>
          <w:spacing w:val="3"/>
        </w:rPr>
        <w:t>the</w:t>
      </w:r>
      <w:r>
        <w:rPr>
          <w:spacing w:val="-5"/>
        </w:rPr>
        <w:t xml:space="preserve"> </w:t>
      </w:r>
      <w:r>
        <w:t>chemistry</w:t>
      </w:r>
      <w:r>
        <w:rPr>
          <w:spacing w:val="-2"/>
        </w:rPr>
        <w:t xml:space="preserve"> </w:t>
      </w:r>
      <w:r>
        <w:t>and</w:t>
      </w:r>
      <w:r>
        <w:rPr>
          <w:spacing w:val="-2"/>
        </w:rPr>
        <w:t xml:space="preserve"> </w:t>
      </w:r>
      <w:r>
        <w:t>biology labs</w:t>
      </w:r>
      <w:r>
        <w:rPr>
          <w:spacing w:val="-3"/>
        </w:rPr>
        <w:t xml:space="preserve"> </w:t>
      </w:r>
      <w:r>
        <w:t>in</w:t>
      </w:r>
      <w:r>
        <w:rPr>
          <w:spacing w:val="-2"/>
        </w:rPr>
        <w:t xml:space="preserve"> </w:t>
      </w:r>
      <w:r>
        <w:t>the course</w:t>
      </w:r>
      <w:r>
        <w:rPr>
          <w:spacing w:val="-3"/>
        </w:rPr>
        <w:t xml:space="preserve"> </w:t>
      </w:r>
      <w:r>
        <w:t>of</w:t>
      </w:r>
      <w:r>
        <w:rPr>
          <w:spacing w:val="-3"/>
        </w:rPr>
        <w:t xml:space="preserve"> </w:t>
      </w:r>
      <w:r>
        <w:t>the</w:t>
      </w:r>
      <w:r>
        <w:rPr>
          <w:spacing w:val="-19"/>
        </w:rPr>
        <w:t xml:space="preserve"> </w:t>
      </w:r>
      <w:r>
        <w:t>year.</w:t>
      </w:r>
    </w:p>
    <w:p w:rsidR="00E70C27" w:rsidRDefault="00E70C27">
      <w:pPr>
        <w:rPr>
          <w:rFonts w:ascii="Calibri" w:eastAsia="Calibri" w:hAnsi="Calibri" w:cs="Calibri"/>
        </w:rPr>
      </w:pPr>
    </w:p>
    <w:p w:rsidR="00E70C27" w:rsidRDefault="00E70C27">
      <w:pPr>
        <w:rPr>
          <w:rFonts w:ascii="Calibri" w:eastAsia="Calibri" w:hAnsi="Calibri" w:cs="Calibri"/>
        </w:rPr>
      </w:pPr>
    </w:p>
    <w:p w:rsidR="00E70C27" w:rsidRDefault="00E70C27">
      <w:pPr>
        <w:spacing w:before="9"/>
        <w:rPr>
          <w:rFonts w:ascii="Calibri" w:eastAsia="Calibri" w:hAnsi="Calibri" w:cs="Calibri"/>
          <w:sz w:val="20"/>
          <w:szCs w:val="20"/>
        </w:rPr>
      </w:pPr>
    </w:p>
    <w:p w:rsidR="00E70C27" w:rsidRDefault="001947D1">
      <w:pPr>
        <w:pStyle w:val="Heading1"/>
        <w:numPr>
          <w:ilvl w:val="0"/>
          <w:numId w:val="1"/>
        </w:numPr>
        <w:tabs>
          <w:tab w:val="left" w:pos="502"/>
        </w:tabs>
        <w:ind w:left="501" w:hanging="381"/>
        <w:rPr>
          <w:b w:val="0"/>
          <w:bCs w:val="0"/>
        </w:rPr>
      </w:pPr>
      <w:bookmarkStart w:id="6" w:name="D.___DATA_VALIDATION_AND_USABILITY"/>
      <w:bookmarkEnd w:id="6"/>
      <w:r>
        <w:t>DATA VALIDATION AND</w:t>
      </w:r>
      <w:r>
        <w:rPr>
          <w:spacing w:val="-19"/>
        </w:rPr>
        <w:t xml:space="preserve"> </w:t>
      </w:r>
      <w:r>
        <w:t>USABILITY</w:t>
      </w:r>
    </w:p>
    <w:p w:rsidR="00E70C27" w:rsidRDefault="00E70C27">
      <w:pPr>
        <w:spacing w:before="2"/>
        <w:rPr>
          <w:rFonts w:ascii="Calibri" w:eastAsia="Calibri" w:hAnsi="Calibri" w:cs="Calibri"/>
          <w:b/>
          <w:bCs/>
          <w:sz w:val="23"/>
          <w:szCs w:val="23"/>
        </w:rPr>
      </w:pPr>
    </w:p>
    <w:p w:rsidR="00E70C27" w:rsidRDefault="001947D1">
      <w:pPr>
        <w:pStyle w:val="BodyText"/>
        <w:spacing w:line="276" w:lineRule="auto"/>
        <w:ind w:right="110"/>
      </w:pPr>
      <w:r>
        <w:t xml:space="preserve">Data usability guidelines used by the labs are consistent with the department’s guidelines for assessing data quality and usability.  These are documented in </w:t>
      </w:r>
      <w:hyperlink r:id="rId44">
        <w:r>
          <w:rPr>
            <w:color w:val="0000FF"/>
            <w:u w:val="single" w:color="0000FF"/>
          </w:rPr>
          <w:t>SOP DEP-EA 001/07</w:t>
        </w:r>
      </w:hyperlink>
      <w:r>
        <w:t xml:space="preserve">. Additional details are provided in Appendix B of the </w:t>
      </w:r>
      <w:hyperlink r:id="rId45">
        <w:r>
          <w:rPr>
            <w:color w:val="0000FF"/>
            <w:u w:val="single" w:color="0000FF"/>
          </w:rPr>
          <w:t>Lab QM</w:t>
        </w:r>
      </w:hyperlink>
      <w:r>
        <w:t>. Data qualifiers used in reporting data conform to the department’s</w:t>
      </w:r>
      <w:r>
        <w:rPr>
          <w:spacing w:val="-3"/>
        </w:rPr>
        <w:t xml:space="preserve"> </w:t>
      </w:r>
      <w:hyperlink r:id="rId46">
        <w:r>
          <w:rPr>
            <w:color w:val="0000FF"/>
            <w:u w:val="single" w:color="0000FF"/>
          </w:rPr>
          <w:t>QA</w:t>
        </w:r>
        <w:r>
          <w:rPr>
            <w:color w:val="0000FF"/>
            <w:spacing w:val="-1"/>
            <w:u w:val="single" w:color="0000FF"/>
          </w:rPr>
          <w:t xml:space="preserve"> </w:t>
        </w:r>
        <w:r>
          <w:rPr>
            <w:color w:val="0000FF"/>
            <w:u w:val="single" w:color="0000FF"/>
          </w:rPr>
          <w:t>Rule</w:t>
        </w:r>
        <w:r>
          <w:rPr>
            <w:color w:val="0000FF"/>
            <w:spacing w:val="-3"/>
            <w:u w:val="single" w:color="0000FF"/>
          </w:rPr>
          <w:t xml:space="preserve"> </w:t>
        </w:r>
      </w:hyperlink>
      <w:r>
        <w:t>[FAC</w:t>
      </w:r>
      <w:r>
        <w:rPr>
          <w:spacing w:val="-1"/>
        </w:rPr>
        <w:t xml:space="preserve"> </w:t>
      </w:r>
      <w:r>
        <w:t>62-160].</w:t>
      </w:r>
      <w:r>
        <w:rPr>
          <w:spacing w:val="-4"/>
        </w:rPr>
        <w:t xml:space="preserve"> </w:t>
      </w:r>
      <w:r>
        <w:t>Data</w:t>
      </w:r>
      <w:r>
        <w:rPr>
          <w:spacing w:val="-1"/>
        </w:rPr>
        <w:t xml:space="preserve"> </w:t>
      </w:r>
      <w:r>
        <w:t>qualifier</w:t>
      </w:r>
      <w:r>
        <w:rPr>
          <w:spacing w:val="-3"/>
        </w:rPr>
        <w:t xml:space="preserve"> </w:t>
      </w:r>
      <w:r>
        <w:t>codes</w:t>
      </w:r>
      <w:r>
        <w:rPr>
          <w:spacing w:val="-1"/>
        </w:rPr>
        <w:t xml:space="preserve"> </w:t>
      </w:r>
      <w:r>
        <w:t>are</w:t>
      </w:r>
      <w:r>
        <w:rPr>
          <w:spacing w:val="-3"/>
        </w:rPr>
        <w:t xml:space="preserve"> </w:t>
      </w:r>
      <w:r>
        <w:t>listed</w:t>
      </w:r>
      <w:r>
        <w:rPr>
          <w:spacing w:val="-2"/>
        </w:rPr>
        <w:t xml:space="preserve"> </w:t>
      </w:r>
      <w:r>
        <w:t>in</w:t>
      </w:r>
      <w:r>
        <w:rPr>
          <w:spacing w:val="-4"/>
        </w:rPr>
        <w:t xml:space="preserve"> </w:t>
      </w:r>
      <w:r>
        <w:t>section</w:t>
      </w:r>
      <w:r>
        <w:rPr>
          <w:spacing w:val="-28"/>
        </w:rPr>
        <w:t xml:space="preserve"> </w:t>
      </w:r>
      <w:r>
        <w:t>62-</w:t>
      </w:r>
      <w:r>
        <w:rPr>
          <w:spacing w:val="-6"/>
        </w:rPr>
        <w:t xml:space="preserve"> </w:t>
      </w:r>
      <w:r>
        <w:t>160.700,</w:t>
      </w:r>
      <w:r>
        <w:rPr>
          <w:spacing w:val="-3"/>
        </w:rPr>
        <w:t xml:space="preserve"> </w:t>
      </w:r>
      <w:r>
        <w:t>Table</w:t>
      </w:r>
      <w:r>
        <w:rPr>
          <w:spacing w:val="-3"/>
        </w:rPr>
        <w:t xml:space="preserve"> </w:t>
      </w:r>
      <w:r>
        <w:t>1</w:t>
      </w:r>
      <w:r>
        <w:rPr>
          <w:spacing w:val="-2"/>
        </w:rPr>
        <w:t xml:space="preserve"> </w:t>
      </w:r>
      <w:r>
        <w:t>of</w:t>
      </w:r>
      <w:r>
        <w:rPr>
          <w:spacing w:val="-1"/>
        </w:rPr>
        <w:t xml:space="preserve"> </w:t>
      </w:r>
      <w:r>
        <w:t xml:space="preserve">the </w:t>
      </w:r>
      <w:hyperlink r:id="rId47">
        <w:r>
          <w:rPr>
            <w:color w:val="0000FF"/>
            <w:u w:val="single" w:color="0000FF"/>
          </w:rPr>
          <w:t>QA Rule</w:t>
        </w:r>
        <w:r>
          <w:t>.</w:t>
        </w:r>
      </w:hyperlink>
      <w:r>
        <w:t xml:space="preserve"> Procedures used for the validation of environmental test methods are described in section 5.4 and Appendix B of the Lab</w:t>
      </w:r>
      <w:r>
        <w:rPr>
          <w:spacing w:val="-26"/>
        </w:rPr>
        <w:t xml:space="preserve"> </w:t>
      </w:r>
      <w:r>
        <w:t>QM.</w:t>
      </w:r>
    </w:p>
    <w:p w:rsidR="00E70C27" w:rsidRDefault="00E70C27">
      <w:pPr>
        <w:spacing w:before="9"/>
        <w:rPr>
          <w:rFonts w:ascii="Calibri" w:eastAsia="Calibri" w:hAnsi="Calibri" w:cs="Calibri"/>
          <w:sz w:val="19"/>
          <w:szCs w:val="19"/>
        </w:rPr>
      </w:pPr>
    </w:p>
    <w:p w:rsidR="00E70C27" w:rsidRDefault="001947D1">
      <w:pPr>
        <w:pStyle w:val="BodyText"/>
        <w:spacing w:line="276" w:lineRule="auto"/>
        <w:ind w:right="93"/>
      </w:pPr>
      <w:r>
        <w:t xml:space="preserve">The labs utilizes an automated data processing tool, </w:t>
      </w:r>
      <w:hyperlink r:id="rId48">
        <w:r>
          <w:rPr>
            <w:color w:val="0000FF"/>
            <w:u w:val="single" w:color="0000FF"/>
          </w:rPr>
          <w:t xml:space="preserve">Florida </w:t>
        </w:r>
        <w:proofErr w:type="spellStart"/>
        <w:r>
          <w:rPr>
            <w:color w:val="0000FF"/>
            <w:u w:val="single" w:color="0000FF"/>
          </w:rPr>
          <w:t>ADaPT</w:t>
        </w:r>
        <w:proofErr w:type="spellEnd"/>
        <w:r>
          <w:rPr>
            <w:color w:val="0000FF"/>
            <w:u w:val="single" w:color="0000FF"/>
          </w:rPr>
          <w:t xml:space="preserve"> </w:t>
        </w:r>
      </w:hyperlink>
      <w:r>
        <w:t>to check the usability and quality of data generated by the lab for internal and external customers. The tool generates</w:t>
      </w:r>
      <w:r w:rsidR="00A0131D">
        <w:t xml:space="preserve"> </w:t>
      </w:r>
      <w:r>
        <w:t>Electronic Data Deliverables (EDD) that can be emailed to or downloaded by the lab’s customers. The laboratory QA officer</w:t>
      </w:r>
      <w:r>
        <w:rPr>
          <w:spacing w:val="-9"/>
        </w:rPr>
        <w:t xml:space="preserve"> </w:t>
      </w:r>
      <w:r>
        <w:t>maintains</w:t>
      </w:r>
      <w:r>
        <w:rPr>
          <w:spacing w:val="-6"/>
        </w:rPr>
        <w:t xml:space="preserve"> </w:t>
      </w:r>
      <w:r>
        <w:t>the</w:t>
      </w:r>
      <w:r>
        <w:rPr>
          <w:spacing w:val="-1"/>
        </w:rPr>
        <w:t xml:space="preserve"> </w:t>
      </w:r>
      <w:r>
        <w:t>lab’s</w:t>
      </w:r>
      <w:r>
        <w:rPr>
          <w:spacing w:val="-7"/>
        </w:rPr>
        <w:t xml:space="preserve"> </w:t>
      </w:r>
      <w:r>
        <w:t>method</w:t>
      </w:r>
      <w:r>
        <w:rPr>
          <w:spacing w:val="-5"/>
        </w:rPr>
        <w:t xml:space="preserve"> </w:t>
      </w:r>
      <w:r>
        <w:t>library</w:t>
      </w:r>
      <w:r>
        <w:rPr>
          <w:spacing w:val="-3"/>
        </w:rPr>
        <w:t xml:space="preserve"> </w:t>
      </w:r>
      <w:r>
        <w:t>used</w:t>
      </w:r>
      <w:r>
        <w:rPr>
          <w:spacing w:val="-5"/>
        </w:rPr>
        <w:t xml:space="preserve"> </w:t>
      </w:r>
      <w:r>
        <w:t>for</w:t>
      </w:r>
      <w:r>
        <w:rPr>
          <w:spacing w:val="-4"/>
        </w:rPr>
        <w:t xml:space="preserve"> </w:t>
      </w:r>
      <w:r>
        <w:t>checking</w:t>
      </w:r>
      <w:r>
        <w:rPr>
          <w:spacing w:val="-7"/>
        </w:rPr>
        <w:t xml:space="preserve"> </w:t>
      </w:r>
      <w:r>
        <w:t>the</w:t>
      </w:r>
      <w:r>
        <w:rPr>
          <w:spacing w:val="-1"/>
        </w:rPr>
        <w:t xml:space="preserve"> </w:t>
      </w:r>
      <w:r>
        <w:t>data</w:t>
      </w:r>
      <w:r>
        <w:rPr>
          <w:spacing w:val="-7"/>
        </w:rPr>
        <w:t xml:space="preserve"> </w:t>
      </w:r>
      <w:r>
        <w:t>prior</w:t>
      </w:r>
      <w:r>
        <w:rPr>
          <w:spacing w:val="-7"/>
        </w:rPr>
        <w:t xml:space="preserve"> </w:t>
      </w:r>
      <w:r>
        <w:t>to</w:t>
      </w:r>
      <w:r>
        <w:rPr>
          <w:spacing w:val="-5"/>
        </w:rPr>
        <w:t xml:space="preserve"> </w:t>
      </w:r>
      <w:r>
        <w:t>the</w:t>
      </w:r>
      <w:r>
        <w:rPr>
          <w:spacing w:val="-4"/>
        </w:rPr>
        <w:t xml:space="preserve"> </w:t>
      </w:r>
      <w:r>
        <w:t>generation</w:t>
      </w:r>
      <w:r>
        <w:rPr>
          <w:spacing w:val="-7"/>
        </w:rPr>
        <w:t xml:space="preserve"> </w:t>
      </w:r>
      <w:r>
        <w:t>of</w:t>
      </w:r>
      <w:r>
        <w:rPr>
          <w:spacing w:val="-7"/>
        </w:rPr>
        <w:t xml:space="preserve"> </w:t>
      </w:r>
      <w:r>
        <w:t>EDDs.</w:t>
      </w:r>
    </w:p>
    <w:sectPr w:rsidR="00E70C27">
      <w:pgSz w:w="12240" w:h="15840"/>
      <w:pgMar w:top="1400" w:right="1400" w:bottom="780" w:left="1320" w:header="0" w:footer="5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7D1" w:rsidRDefault="001947D1">
      <w:r>
        <w:separator/>
      </w:r>
    </w:p>
  </w:endnote>
  <w:endnote w:type="continuationSeparator" w:id="0">
    <w:p w:rsidR="001947D1" w:rsidRDefault="0019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C27" w:rsidRDefault="003A0C7F">
    <w:pPr>
      <w:spacing w:line="14" w:lineRule="auto"/>
      <w:rPr>
        <w:sz w:val="20"/>
        <w:szCs w:val="20"/>
      </w:rPr>
    </w:pPr>
    <w:r>
      <w:rPr>
        <w:noProof/>
      </w:rPr>
      <mc:AlternateContent>
        <mc:Choice Requires="wps">
          <w:drawing>
            <wp:inline distT="0" distB="0" distL="0" distR="0">
              <wp:extent cx="594360" cy="152400"/>
              <wp:effectExtent l="0" t="0" r="1524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C27" w:rsidRDefault="001947D1">
                          <w:pPr>
                            <w:spacing w:line="223" w:lineRule="exact"/>
                            <w:ind w:left="20"/>
                            <w:rPr>
                              <w:rFonts w:ascii="Calibri" w:eastAsia="Calibri" w:hAnsi="Calibri" w:cs="Calibri"/>
                              <w:sz w:val="20"/>
                              <w:szCs w:val="20"/>
                            </w:rPr>
                          </w:pPr>
                          <w:r>
                            <w:rPr>
                              <w:rFonts w:ascii="Calibri"/>
                              <w:sz w:val="20"/>
                            </w:rPr>
                            <w:t xml:space="preserve">Page </w:t>
                          </w:r>
                          <w:r>
                            <w:fldChar w:fldCharType="begin"/>
                          </w:r>
                          <w:r>
                            <w:rPr>
                              <w:rFonts w:ascii="Calibri"/>
                              <w:sz w:val="20"/>
                            </w:rPr>
                            <w:instrText xml:space="preserve"> PAGE </w:instrText>
                          </w:r>
                          <w:r>
                            <w:fldChar w:fldCharType="separate"/>
                          </w:r>
                          <w:r>
                            <w:t>1</w:t>
                          </w:r>
                          <w:r>
                            <w:fldChar w:fldCharType="end"/>
                          </w:r>
                          <w:r>
                            <w:rPr>
                              <w:rFonts w:ascii="Calibri"/>
                              <w:sz w:val="20"/>
                            </w:rPr>
                            <w:t xml:space="preserve"> of</w:t>
                          </w:r>
                          <w:r>
                            <w:rPr>
                              <w:rFonts w:ascii="Calibri"/>
                              <w:spacing w:val="-7"/>
                              <w:sz w:val="20"/>
                            </w:rPr>
                            <w:t xml:space="preserve"> </w:t>
                          </w:r>
                          <w:r>
                            <w:rPr>
                              <w:rFonts w:ascii="Calibri"/>
                              <w:sz w:val="20"/>
                            </w:rPr>
                            <w:t>4</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6.8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" filled="f" stroked="f">
              <v:textbox inset="0,0,0,0">
                <w:txbxContent>
                  <w:p w:rsidR="00E70C27" w:rsidRDefault="001947D1">
                    <w:pPr>
                      <w:spacing w:line="223" w:lineRule="exact"/>
                      <w:ind w:left="20"/>
                      <w:rPr>
                        <w:rFonts w:ascii="Calibri" w:eastAsia="Calibri" w:hAnsi="Calibri" w:cs="Calibri"/>
                        <w:sz w:val="20"/>
                        <w:szCs w:val="20"/>
                      </w:rPr>
                    </w:pPr>
                    <w:r>
                      <w:rPr>
                        <w:rFonts w:ascii="Calibri"/>
                        <w:sz w:val="20"/>
                      </w:rPr>
                      <w:t xml:space="preserve">Page </w:t>
                    </w:r>
                    <w:r>
                      <w:fldChar w:fldCharType="begin"/>
                    </w:r>
                    <w:r>
                      <w:rPr>
                        <w:rFonts w:ascii="Calibri"/>
                        <w:sz w:val="20"/>
                      </w:rPr>
                      <w:instrText xml:space="preserve"> PAGE </w:instrText>
                    </w:r>
                    <w:r>
                      <w:fldChar w:fldCharType="separate"/>
                    </w:r>
                    <w:r>
                      <w:t>1</w:t>
                    </w:r>
                    <w:r>
                      <w:fldChar w:fldCharType="end"/>
                    </w:r>
                    <w:r>
                      <w:rPr>
                        <w:rFonts w:ascii="Calibri"/>
                        <w:sz w:val="20"/>
                      </w:rPr>
                      <w:t xml:space="preserve"> of</w:t>
                    </w:r>
                    <w:r>
                      <w:rPr>
                        <w:rFonts w:ascii="Calibri"/>
                        <w:spacing w:val="-7"/>
                        <w:sz w:val="20"/>
                      </w:rPr>
                      <w:t xml:space="preserve"> </w:t>
                    </w:r>
                    <w:r>
                      <w:rPr>
                        <w:rFonts w:ascii="Calibri"/>
                        <w:sz w:val="20"/>
                      </w:rPr>
                      <w:t>4</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7D1" w:rsidRDefault="001947D1">
      <w:r>
        <w:separator/>
      </w:r>
    </w:p>
  </w:footnote>
  <w:footnote w:type="continuationSeparator" w:id="0">
    <w:p w:rsidR="001947D1" w:rsidRDefault="0019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425"/>
    <w:multiLevelType w:val="hybridMultilevel"/>
    <w:tmpl w:val="0AE8DAA6"/>
    <w:lvl w:ilvl="0" w:tplc="981E443A">
      <w:start w:val="1"/>
      <w:numFmt w:val="upperLetter"/>
      <w:lvlText w:val="%1."/>
      <w:lvlJc w:val="left"/>
      <w:pPr>
        <w:ind w:left="494" w:hanging="375"/>
        <w:jc w:val="left"/>
      </w:pPr>
      <w:rPr>
        <w:rFonts w:ascii="Calibri" w:eastAsia="Calibri" w:hAnsi="Calibri" w:hint="default"/>
        <w:b/>
        <w:bCs/>
        <w:spacing w:val="-2"/>
        <w:w w:val="100"/>
        <w:sz w:val="24"/>
        <w:szCs w:val="24"/>
      </w:rPr>
    </w:lvl>
    <w:lvl w:ilvl="1" w:tplc="BD62E382">
      <w:start w:val="1"/>
      <w:numFmt w:val="bullet"/>
      <w:lvlText w:val="•"/>
      <w:lvlJc w:val="left"/>
      <w:pPr>
        <w:ind w:left="1406" w:hanging="375"/>
      </w:pPr>
      <w:rPr>
        <w:rFonts w:hint="default"/>
      </w:rPr>
    </w:lvl>
    <w:lvl w:ilvl="2" w:tplc="84202530">
      <w:start w:val="1"/>
      <w:numFmt w:val="bullet"/>
      <w:lvlText w:val="•"/>
      <w:lvlJc w:val="left"/>
      <w:pPr>
        <w:ind w:left="2312" w:hanging="375"/>
      </w:pPr>
      <w:rPr>
        <w:rFonts w:hint="default"/>
      </w:rPr>
    </w:lvl>
    <w:lvl w:ilvl="3" w:tplc="FCFC1536">
      <w:start w:val="1"/>
      <w:numFmt w:val="bullet"/>
      <w:lvlText w:val="•"/>
      <w:lvlJc w:val="left"/>
      <w:pPr>
        <w:ind w:left="3218" w:hanging="375"/>
      </w:pPr>
      <w:rPr>
        <w:rFonts w:hint="default"/>
      </w:rPr>
    </w:lvl>
    <w:lvl w:ilvl="4" w:tplc="2780C4FA">
      <w:start w:val="1"/>
      <w:numFmt w:val="bullet"/>
      <w:lvlText w:val="•"/>
      <w:lvlJc w:val="left"/>
      <w:pPr>
        <w:ind w:left="4124" w:hanging="375"/>
      </w:pPr>
      <w:rPr>
        <w:rFonts w:hint="default"/>
      </w:rPr>
    </w:lvl>
    <w:lvl w:ilvl="5" w:tplc="5DD2D1C4">
      <w:start w:val="1"/>
      <w:numFmt w:val="bullet"/>
      <w:lvlText w:val="•"/>
      <w:lvlJc w:val="left"/>
      <w:pPr>
        <w:ind w:left="5030" w:hanging="375"/>
      </w:pPr>
      <w:rPr>
        <w:rFonts w:hint="default"/>
      </w:rPr>
    </w:lvl>
    <w:lvl w:ilvl="6" w:tplc="FC7A8AF8">
      <w:start w:val="1"/>
      <w:numFmt w:val="bullet"/>
      <w:lvlText w:val="•"/>
      <w:lvlJc w:val="left"/>
      <w:pPr>
        <w:ind w:left="5936" w:hanging="375"/>
      </w:pPr>
      <w:rPr>
        <w:rFonts w:hint="default"/>
      </w:rPr>
    </w:lvl>
    <w:lvl w:ilvl="7" w:tplc="C3E25CFC">
      <w:start w:val="1"/>
      <w:numFmt w:val="bullet"/>
      <w:lvlText w:val="•"/>
      <w:lvlJc w:val="left"/>
      <w:pPr>
        <w:ind w:left="6842" w:hanging="375"/>
      </w:pPr>
      <w:rPr>
        <w:rFonts w:hint="default"/>
      </w:rPr>
    </w:lvl>
    <w:lvl w:ilvl="8" w:tplc="A9827B3E">
      <w:start w:val="1"/>
      <w:numFmt w:val="bullet"/>
      <w:lvlText w:val="•"/>
      <w:lvlJc w:val="left"/>
      <w:pPr>
        <w:ind w:left="7748" w:hanging="37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27"/>
    <w:rsid w:val="000A6F72"/>
    <w:rsid w:val="000D0F1A"/>
    <w:rsid w:val="001947D1"/>
    <w:rsid w:val="002066A3"/>
    <w:rsid w:val="002A45F5"/>
    <w:rsid w:val="00390203"/>
    <w:rsid w:val="003937B8"/>
    <w:rsid w:val="003A0C7F"/>
    <w:rsid w:val="00445D44"/>
    <w:rsid w:val="005A1A1E"/>
    <w:rsid w:val="006078AB"/>
    <w:rsid w:val="00680CA1"/>
    <w:rsid w:val="006D0654"/>
    <w:rsid w:val="007657E4"/>
    <w:rsid w:val="007C015D"/>
    <w:rsid w:val="008968C4"/>
    <w:rsid w:val="009A1875"/>
    <w:rsid w:val="009A5FC6"/>
    <w:rsid w:val="00A0131D"/>
    <w:rsid w:val="00B26093"/>
    <w:rsid w:val="00C26824"/>
    <w:rsid w:val="00C3400C"/>
    <w:rsid w:val="00C870B4"/>
    <w:rsid w:val="00CD208D"/>
    <w:rsid w:val="00CD3BA2"/>
    <w:rsid w:val="00E70C27"/>
    <w:rsid w:val="00EF0462"/>
    <w:rsid w:val="00F73464"/>
    <w:rsid w:val="00FF3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D744F34-0920-4215-91CA-ED45A206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ind w:left="475" w:hanging="381"/>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A1875"/>
    <w:rPr>
      <w:color w:val="0000FF" w:themeColor="hyperlink"/>
      <w:u w:val="single"/>
    </w:rPr>
  </w:style>
  <w:style w:type="character" w:styleId="UnresolvedMention">
    <w:name w:val="Unresolved Mention"/>
    <w:basedOn w:val="DefaultParagraphFont"/>
    <w:uiPriority w:val="99"/>
    <w:semiHidden/>
    <w:unhideWhenUsed/>
    <w:rsid w:val="009A1875"/>
    <w:rPr>
      <w:color w:val="605E5C"/>
      <w:shd w:val="clear" w:color="auto" w:fill="E1DFDD"/>
    </w:rPr>
  </w:style>
  <w:style w:type="character" w:styleId="FollowedHyperlink">
    <w:name w:val="FollowedHyperlink"/>
    <w:basedOn w:val="DefaultParagraphFont"/>
    <w:uiPriority w:val="99"/>
    <w:semiHidden/>
    <w:unhideWhenUsed/>
    <w:rsid w:val="00FF37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publicfiles.dep.state.fl.us/dear/labs/lds/QA_Manual/LB-001.pdf" TargetMode="External"/><Relationship Id="rId18" Type="http://schemas.openxmlformats.org/officeDocument/2006/relationships/hyperlink" Target="https://floridadep.gov/dear/florida-dep-laboratory/content/dep-laboratory-quality-assurance-manual-and-sops" TargetMode="External"/><Relationship Id="rId26" Type="http://schemas.openxmlformats.org/officeDocument/2006/relationships/hyperlink" Target="http://www.nelac-institute.org/content/CSDP/standards.php" TargetMode="External"/><Relationship Id="rId39" Type="http://schemas.openxmlformats.org/officeDocument/2006/relationships/hyperlink" Target="http://publicfiles.dep.state.fl.us/dear/labs/lds/QA_Manual/BG-03.pdf" TargetMode="External"/><Relationship Id="rId3" Type="http://schemas.openxmlformats.org/officeDocument/2006/relationships/settings" Target="settings.xml"/><Relationship Id="rId21" Type="http://schemas.openxmlformats.org/officeDocument/2006/relationships/hyperlink" Target="http://www.nelac-institute.org/content/CSDP/standards.php" TargetMode="External"/><Relationship Id="rId34" Type="http://schemas.openxmlformats.org/officeDocument/2006/relationships/hyperlink" Target="http://publicfiles.dep.state.fl.us/dear/labs/lds/QA_Manual/LB-002.pdf" TargetMode="External"/><Relationship Id="rId42" Type="http://schemas.openxmlformats.org/officeDocument/2006/relationships/hyperlink" Target="http://publicfiles.dep.state.fl.us/dear/labs/lab_qualitymanual_19.pdf" TargetMode="External"/><Relationship Id="rId47" Type="http://schemas.openxmlformats.org/officeDocument/2006/relationships/hyperlink" Target="https://www.flrules.org/gateway/ChapterHome.asp?Chapter=62-160" TargetMode="External"/><Relationship Id="rId50" Type="http://schemas.openxmlformats.org/officeDocument/2006/relationships/theme" Target="theme/theme1.xml"/><Relationship Id="rId7" Type="http://schemas.openxmlformats.org/officeDocument/2006/relationships/hyperlink" Target="http://publicfiles.dep.state.fl.us/dear/labs/lab_qualitymanual_19.pdf" TargetMode="External"/><Relationship Id="rId12" Type="http://schemas.openxmlformats.org/officeDocument/2006/relationships/hyperlink" Target="http://publicfiles.dep.state.fl.us/dear/labs/lds/QA_Manual/Table%205.6.pdf" TargetMode="External"/><Relationship Id="rId17" Type="http://schemas.openxmlformats.org/officeDocument/2006/relationships/hyperlink" Target="http://publicfiles.dep.state.fl.us/dear/labs/lds/QA_Manual/Table%205.5.pdf" TargetMode="External"/><Relationship Id="rId25" Type="http://schemas.openxmlformats.org/officeDocument/2006/relationships/hyperlink" Target="http://www.nelac-institute.org/content/CSDP/standards.php" TargetMode="External"/><Relationship Id="rId33" Type="http://schemas.openxmlformats.org/officeDocument/2006/relationships/hyperlink" Target="http://publicfiles.dep.state.fl.us/dear/labs/lds/QA_Manual/Table%204.1.pdf" TargetMode="External"/><Relationship Id="rId38" Type="http://schemas.openxmlformats.org/officeDocument/2006/relationships/hyperlink" Target="http://publicfiles.dep.state.fl.us/dear/labs/lds/QA_Manual/LB-025.pdf" TargetMode="External"/><Relationship Id="rId46" Type="http://schemas.openxmlformats.org/officeDocument/2006/relationships/hyperlink" Target="https://www.flrules.org/gateway/ChapterHome.asp?Chapter=62-160" TargetMode="External"/><Relationship Id="rId2" Type="http://schemas.openxmlformats.org/officeDocument/2006/relationships/styles" Target="styles.xml"/><Relationship Id="rId16" Type="http://schemas.openxmlformats.org/officeDocument/2006/relationships/hyperlink" Target="https://floridadep.gov/dear/quality-assurance/content/dep-sops" TargetMode="External"/><Relationship Id="rId20" Type="http://schemas.openxmlformats.org/officeDocument/2006/relationships/hyperlink" Target="http://publicfiles.dep.state.fl.us/dear/labs/lds/QA_Manual/LB-016.pdf" TargetMode="External"/><Relationship Id="rId29" Type="http://schemas.openxmlformats.org/officeDocument/2006/relationships/hyperlink" Target="http://publicfiles.dep.state.fl.us/dear/labs/lab_qualitymanual_19.pdf" TargetMode="External"/><Relationship Id="rId41" Type="http://schemas.openxmlformats.org/officeDocument/2006/relationships/hyperlink" Target="http://www.floridahealth.gov/licensing-and-regulation/environmental-laboratories/environmental-laboratory-certification/checklists.htm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cfiles.dep.state.fl.us/dear/labs/lds/QA_Manual/Table%205.2.pdf" TargetMode="External"/><Relationship Id="rId24" Type="http://schemas.openxmlformats.org/officeDocument/2006/relationships/hyperlink" Target="http://www.nelac-institute.org/content/CSDP/standards.php" TargetMode="External"/><Relationship Id="rId32" Type="http://schemas.openxmlformats.org/officeDocument/2006/relationships/hyperlink" Target="https://floridadep.gov/dear/florida-dep-laboratory/content/dep-laboratory-quality-assurance-manual-and-sops" TargetMode="External"/><Relationship Id="rId37" Type="http://schemas.openxmlformats.org/officeDocument/2006/relationships/hyperlink" Target="http://publicfiles.dep.state.fl.us/dear/labs/lds/QA_Manual/LB-026.pdf" TargetMode="External"/><Relationship Id="rId40" Type="http://schemas.openxmlformats.org/officeDocument/2006/relationships/hyperlink" Target="http://publicfiles.dep.state.fl.us/dear/labs/lds/QA_Manual/BG-03.pdf" TargetMode="External"/><Relationship Id="rId45" Type="http://schemas.openxmlformats.org/officeDocument/2006/relationships/hyperlink" Target="http://publicfiles.dep.state.fl.us/dear/labs/lab_qualitymanual_19.pdf"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nelac-institute.org/content/CSDP/standards.php" TargetMode="External"/><Relationship Id="rId28" Type="http://schemas.openxmlformats.org/officeDocument/2006/relationships/hyperlink" Target="http://publicfiles.dep.state.fl.us/dear/labs/lds/QA_Manual/AB-14.pdf" TargetMode="External"/><Relationship Id="rId36" Type="http://schemas.openxmlformats.org/officeDocument/2006/relationships/hyperlink" Target="http://publicfiles.dep.state.fl.us/dear/labs/lds/QA_Manual/LB-030.pdf" TargetMode="External"/><Relationship Id="rId49" Type="http://schemas.openxmlformats.org/officeDocument/2006/relationships/fontTable" Target="fontTable.xml"/><Relationship Id="rId10" Type="http://schemas.openxmlformats.org/officeDocument/2006/relationships/hyperlink" Target="http://publicfiles.dep.state.fl.us/dear/labs/lds/QA_Manual/Table%205.1.pdf" TargetMode="External"/><Relationship Id="rId19" Type="http://schemas.openxmlformats.org/officeDocument/2006/relationships/hyperlink" Target="http://publicfiles.dep.state.fl.us/dear/labs/lab_qualitymanual_19.pdf" TargetMode="External"/><Relationship Id="rId31" Type="http://schemas.openxmlformats.org/officeDocument/2006/relationships/hyperlink" Target="http://publicfiles.dep.state.fl.us/dear/labs/lds/QA_Manual/LB-018.pdf" TargetMode="External"/><Relationship Id="rId44" Type="http://schemas.openxmlformats.org/officeDocument/2006/relationships/hyperlink" Target="http://publicfiles.dep.state.fl.us/dear/sas/sopdoc/2008sops/usability_doc.pdf" TargetMode="External"/><Relationship Id="rId4" Type="http://schemas.openxmlformats.org/officeDocument/2006/relationships/webSettings" Target="webSettings.xml"/><Relationship Id="rId9" Type="http://schemas.openxmlformats.org/officeDocument/2006/relationships/hyperlink" Target="http://publicfiles.dep.state.fl.us/dear/labs/lds/QA_Manual/LB-033.pdf" TargetMode="External"/><Relationship Id="rId14" Type="http://schemas.openxmlformats.org/officeDocument/2006/relationships/hyperlink" Target="http://publicfiles.dep.state.fl.us/dear/labs/lds/QA_Manual/LB-013.pdf" TargetMode="External"/><Relationship Id="rId22" Type="http://schemas.openxmlformats.org/officeDocument/2006/relationships/hyperlink" Target="http://www.nelac-institute.org/content/CSDP/standards.php" TargetMode="External"/><Relationship Id="rId27" Type="http://schemas.openxmlformats.org/officeDocument/2006/relationships/hyperlink" Target="http://publicfiles.dep.state.fl.us/dear/labs/lds/QA_Manual/IZ-13.pdf" TargetMode="External"/><Relationship Id="rId30" Type="http://schemas.openxmlformats.org/officeDocument/2006/relationships/hyperlink" Target="https://www.flrules.org/gateway/ChapterHome.asp?Chapter=62-160" TargetMode="External"/><Relationship Id="rId35" Type="http://schemas.openxmlformats.org/officeDocument/2006/relationships/hyperlink" Target="https://www.dms.myflorida.com/business_operations/state_purchasing/vendor_resources" TargetMode="External"/><Relationship Id="rId43" Type="http://schemas.openxmlformats.org/officeDocument/2006/relationships/hyperlink" Target="http://publicfiles.dep.state.fl.us/dear/labs/lab_qualitymanual_19.pdf" TargetMode="External"/><Relationship Id="rId48" Type="http://schemas.openxmlformats.org/officeDocument/2006/relationships/hyperlink" Target="https://floridadep.gov/waste/waste/content/adapt" TargetMode="External"/><Relationship Id="rId8" Type="http://schemas.openxmlformats.org/officeDocument/2006/relationships/hyperlink" Target="http://publicfiles.dep.state.fl.us/dear/labs/lab_qualitymanual_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Claypool, Jennifer</cp:lastModifiedBy>
  <cp:revision>3</cp:revision>
  <dcterms:created xsi:type="dcterms:W3CDTF">2019-08-26T18:28:00Z</dcterms:created>
  <dcterms:modified xsi:type="dcterms:W3CDTF">2019-09-18T17:37:00Z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2015-08-20T00:00:00Z</vt:filetime>
  </property>
  <property fmtid="{D5CDD505-2E9C-101B-9397-08002B2CF9AE}" pid="3" name="Creator">
    <vt:lpwstr>Acrobat PDFMaker 15 for Word</vt:lpwstr>
  </property>
  <property fmtid="{D5CDD505-2E9C-101B-9397-08002B2CF9AE}" pid="4" name="LastSaved">
    <vt:filetime>2019-08-26T00:00:00Z</vt:filetime>
  </property>
</Properties>
</file>