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7ABF1" w14:textId="77777777" w:rsidR="002549F1" w:rsidRDefault="002549F1" w:rsidP="000C3B75">
      <w:pPr>
        <w:pStyle w:val="Title"/>
        <w:jc w:val="both"/>
      </w:pPr>
    </w:p>
    <w:p w14:paraId="70CBFE56" w14:textId="77777777" w:rsidR="002549F1" w:rsidRPr="002549F1" w:rsidRDefault="002549F1" w:rsidP="000C3B75">
      <w:pPr>
        <w:jc w:val="both"/>
      </w:pPr>
    </w:p>
    <w:p w14:paraId="1D2AB6CA" w14:textId="77777777" w:rsidR="003878EB" w:rsidRDefault="003878EB" w:rsidP="000C3B75">
      <w:pPr>
        <w:pStyle w:val="Title"/>
        <w:jc w:val="both"/>
      </w:pPr>
      <w:r>
        <w:t>Comments on FDEP Proposed Revisions to Water Quality Standards, Including 62-302, 62-303, and Associated Documents</w:t>
      </w:r>
    </w:p>
    <w:p w14:paraId="74EB2E8F" w14:textId="77777777" w:rsidR="00355379" w:rsidRDefault="00355379" w:rsidP="000C3B75">
      <w:pPr>
        <w:jc w:val="both"/>
      </w:pPr>
    </w:p>
    <w:p w14:paraId="7D661A55" w14:textId="77777777" w:rsidR="00196B20" w:rsidRPr="000E1995" w:rsidRDefault="00196B20" w:rsidP="000C3B75">
      <w:pPr>
        <w:jc w:val="both"/>
        <w:rPr>
          <w:sz w:val="14"/>
        </w:rPr>
      </w:pPr>
    </w:p>
    <w:p w14:paraId="510D2EC8" w14:textId="77777777" w:rsidR="00196B20" w:rsidRDefault="00196B20" w:rsidP="000C3B75">
      <w:pPr>
        <w:jc w:val="both"/>
      </w:pPr>
    </w:p>
    <w:p w14:paraId="01C88AE6" w14:textId="77777777" w:rsidR="00196B20" w:rsidRDefault="00196B20" w:rsidP="000C3B75">
      <w:pPr>
        <w:jc w:val="both"/>
      </w:pPr>
    </w:p>
    <w:p w14:paraId="05853DAD" w14:textId="77777777" w:rsidR="00F32650" w:rsidRDefault="00F32650" w:rsidP="000C3B75">
      <w:pPr>
        <w:jc w:val="both"/>
      </w:pPr>
    </w:p>
    <w:p w14:paraId="639BB817" w14:textId="77777777" w:rsidR="00355379" w:rsidRDefault="00355379" w:rsidP="000C3B75">
      <w:pPr>
        <w:jc w:val="both"/>
      </w:pPr>
    </w:p>
    <w:p w14:paraId="67F23B90" w14:textId="77777777" w:rsidR="002549F1" w:rsidRPr="002549F1" w:rsidRDefault="002549F1" w:rsidP="000C3B75">
      <w:pPr>
        <w:jc w:val="both"/>
      </w:pPr>
    </w:p>
    <w:p w14:paraId="42A2CE1B" w14:textId="77777777" w:rsidR="000E1995" w:rsidRPr="000E1995" w:rsidRDefault="002549F1" w:rsidP="000C3B75">
      <w:pPr>
        <w:jc w:val="both"/>
        <w:rPr>
          <w:b/>
          <w:color w:val="3A6331" w:themeColor="accent4" w:themeShade="BF"/>
        </w:rPr>
      </w:pPr>
      <w:r w:rsidRPr="000E1995">
        <w:rPr>
          <w:b/>
          <w:color w:val="3A6331" w:themeColor="accent4" w:themeShade="BF"/>
        </w:rPr>
        <w:t>Prepared by:</w:t>
      </w:r>
      <w:r w:rsidR="003109B7" w:rsidRPr="000E1995">
        <w:rPr>
          <w:b/>
          <w:color w:val="3A6331" w:themeColor="accent4" w:themeShade="BF"/>
        </w:rPr>
        <w:tab/>
      </w:r>
    </w:p>
    <w:p w14:paraId="2830A0FA" w14:textId="152195D5" w:rsidR="003109B7" w:rsidRDefault="002549F1" w:rsidP="000C3B75">
      <w:pPr>
        <w:jc w:val="both"/>
        <w:rPr>
          <w:b/>
        </w:rPr>
      </w:pPr>
      <w:r w:rsidRPr="00074AD1">
        <w:rPr>
          <w:b/>
        </w:rPr>
        <w:t>Frydenborg EcoLogic, L.L.C.</w:t>
      </w:r>
    </w:p>
    <w:p w14:paraId="447DCF37" w14:textId="3286BC55" w:rsidR="003878EB" w:rsidRDefault="003878EB" w:rsidP="000C3B75">
      <w:pPr>
        <w:jc w:val="both"/>
        <w:rPr>
          <w:b/>
        </w:rPr>
      </w:pPr>
      <w:r>
        <w:rPr>
          <w:b/>
        </w:rPr>
        <w:t>Applied Technology and Management</w:t>
      </w:r>
      <w:r w:rsidR="00AF73ED">
        <w:rPr>
          <w:b/>
        </w:rPr>
        <w:t>, Inc.</w:t>
      </w:r>
    </w:p>
    <w:p w14:paraId="6C9C705B" w14:textId="77777777" w:rsidR="00F32650" w:rsidRPr="00074AD1" w:rsidRDefault="00F32650" w:rsidP="000C3B75">
      <w:pPr>
        <w:jc w:val="both"/>
        <w:rPr>
          <w:b/>
        </w:rPr>
      </w:pPr>
    </w:p>
    <w:p w14:paraId="488F5595" w14:textId="31C12463" w:rsidR="00196B20" w:rsidRDefault="001E6A8D" w:rsidP="000C3B75">
      <w:pPr>
        <w:jc w:val="both"/>
        <w:rPr>
          <w:b/>
        </w:rPr>
      </w:pPr>
      <w:r>
        <w:rPr>
          <w:b/>
        </w:rPr>
        <w:t>November</w:t>
      </w:r>
      <w:r w:rsidR="003878EB">
        <w:rPr>
          <w:b/>
        </w:rPr>
        <w:t xml:space="preserve"> 2019</w:t>
      </w:r>
    </w:p>
    <w:p w14:paraId="77D5E501" w14:textId="77777777" w:rsidR="0086725F" w:rsidRDefault="0086725F" w:rsidP="000C3B75">
      <w:pPr>
        <w:jc w:val="both"/>
        <w:rPr>
          <w:b/>
        </w:rPr>
      </w:pPr>
    </w:p>
    <w:p w14:paraId="3DD31F27" w14:textId="3C0B892C" w:rsidR="000E1995" w:rsidRDefault="00532ADD" w:rsidP="000C3B75">
      <w:pPr>
        <w:jc w:val="both"/>
        <w:rPr>
          <w:b/>
        </w:rPr>
      </w:pPr>
      <w:r>
        <w:rPr>
          <w:b/>
          <w:noProof/>
        </w:rPr>
        <w:drawing>
          <wp:inline distT="0" distB="0" distL="0" distR="0" wp14:anchorId="11591F67" wp14:editId="23165F87">
            <wp:extent cx="865471" cy="790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ry-Eco-Logo-Large-Colo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0775" cy="795420"/>
                    </a:xfrm>
                    <a:prstGeom prst="rect">
                      <a:avLst/>
                    </a:prstGeom>
                  </pic:spPr>
                </pic:pic>
              </a:graphicData>
            </a:graphic>
          </wp:inline>
        </w:drawing>
      </w:r>
      <w:r w:rsidR="00AF73ED" w:rsidRPr="00AF73ED">
        <w:rPr>
          <w:noProof/>
        </w:rPr>
        <w:t xml:space="preserve"> </w:t>
      </w:r>
      <w:r w:rsidR="00AF73ED">
        <w:rPr>
          <w:noProof/>
        </w:rPr>
        <w:drawing>
          <wp:inline distT="0" distB="0" distL="0" distR="0" wp14:anchorId="77BCF103" wp14:editId="5AD72826">
            <wp:extent cx="2069617" cy="738960"/>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26829" cy="759388"/>
                    </a:xfrm>
                    <a:prstGeom prst="rect">
                      <a:avLst/>
                    </a:prstGeom>
                  </pic:spPr>
                </pic:pic>
              </a:graphicData>
            </a:graphic>
          </wp:inline>
        </w:drawing>
      </w:r>
    </w:p>
    <w:p w14:paraId="675EF5D4" w14:textId="77777777" w:rsidR="000E1995" w:rsidRDefault="000E1995" w:rsidP="000C3B75">
      <w:pPr>
        <w:jc w:val="both"/>
        <w:rPr>
          <w:b/>
        </w:rPr>
      </w:pPr>
      <w:r>
        <w:rPr>
          <w:b/>
        </w:rPr>
        <w:br w:type="page"/>
      </w:r>
    </w:p>
    <w:sdt>
      <w:sdtPr>
        <w:rPr>
          <w:rFonts w:asciiTheme="minorHAnsi" w:eastAsiaTheme="minorEastAsia" w:hAnsiTheme="minorHAnsi" w:cstheme="minorBidi"/>
          <w:b w:val="0"/>
          <w:bCs w:val="0"/>
          <w:smallCaps w:val="0"/>
          <w:color w:val="auto"/>
          <w:sz w:val="22"/>
          <w:szCs w:val="22"/>
        </w:rPr>
        <w:id w:val="-512915776"/>
        <w:docPartObj>
          <w:docPartGallery w:val="Table of Contents"/>
          <w:docPartUnique/>
        </w:docPartObj>
      </w:sdtPr>
      <w:sdtEndPr>
        <w:rPr>
          <w:noProof/>
        </w:rPr>
      </w:sdtEndPr>
      <w:sdtContent>
        <w:p w14:paraId="4109BDFA" w14:textId="77777777" w:rsidR="00E77C0D" w:rsidRDefault="00E77C0D" w:rsidP="000C3B75">
          <w:pPr>
            <w:pStyle w:val="TOCHeading"/>
            <w:numPr>
              <w:ilvl w:val="0"/>
              <w:numId w:val="0"/>
            </w:numPr>
            <w:ind w:left="432"/>
            <w:jc w:val="both"/>
          </w:pPr>
          <w:r>
            <w:t>Contents</w:t>
          </w:r>
        </w:p>
        <w:p w14:paraId="4A556720" w14:textId="13D53AFB" w:rsidR="007F3F3F" w:rsidRDefault="00E77C0D">
          <w:pPr>
            <w:pStyle w:val="TOC1"/>
            <w:tabs>
              <w:tab w:val="left" w:pos="440"/>
              <w:tab w:val="right" w:leader="dot" w:pos="9350"/>
            </w:tabs>
            <w:rPr>
              <w:noProof/>
            </w:rPr>
          </w:pPr>
          <w:r>
            <w:fldChar w:fldCharType="begin"/>
          </w:r>
          <w:r>
            <w:instrText xml:space="preserve"> TOC \o "1-3" \h \z \u </w:instrText>
          </w:r>
          <w:r>
            <w:fldChar w:fldCharType="separate"/>
          </w:r>
          <w:hyperlink w:anchor="_Toc24974515" w:history="1">
            <w:r w:rsidR="007F3F3F" w:rsidRPr="003C14D4">
              <w:rPr>
                <w:rStyle w:val="Hyperlink"/>
                <w:noProof/>
              </w:rPr>
              <w:t>1</w:t>
            </w:r>
            <w:r w:rsidR="007F3F3F">
              <w:rPr>
                <w:noProof/>
              </w:rPr>
              <w:tab/>
            </w:r>
            <w:r w:rsidR="007F3F3F" w:rsidRPr="003C14D4">
              <w:rPr>
                <w:rStyle w:val="Hyperlink"/>
                <w:noProof/>
              </w:rPr>
              <w:t>Clarification of listing thresholds in Chapter 62-303, F.A.C., for listings based on fish consumption advisories</w:t>
            </w:r>
            <w:r w:rsidR="007F3F3F">
              <w:rPr>
                <w:noProof/>
                <w:webHidden/>
              </w:rPr>
              <w:tab/>
            </w:r>
            <w:r w:rsidR="007F3F3F">
              <w:rPr>
                <w:noProof/>
                <w:webHidden/>
              </w:rPr>
              <w:fldChar w:fldCharType="begin"/>
            </w:r>
            <w:r w:rsidR="007F3F3F">
              <w:rPr>
                <w:noProof/>
                <w:webHidden/>
              </w:rPr>
              <w:instrText xml:space="preserve"> PAGEREF _Toc24974515 \h </w:instrText>
            </w:r>
            <w:r w:rsidR="007F3F3F">
              <w:rPr>
                <w:noProof/>
                <w:webHidden/>
              </w:rPr>
            </w:r>
            <w:r w:rsidR="007F3F3F">
              <w:rPr>
                <w:noProof/>
                <w:webHidden/>
              </w:rPr>
              <w:fldChar w:fldCharType="separate"/>
            </w:r>
            <w:r w:rsidR="007F3F3F">
              <w:rPr>
                <w:noProof/>
                <w:webHidden/>
              </w:rPr>
              <w:t>4</w:t>
            </w:r>
            <w:r w:rsidR="007F3F3F">
              <w:rPr>
                <w:noProof/>
                <w:webHidden/>
              </w:rPr>
              <w:fldChar w:fldCharType="end"/>
            </w:r>
          </w:hyperlink>
        </w:p>
        <w:p w14:paraId="49621988" w14:textId="47F22059" w:rsidR="007F3F3F" w:rsidRDefault="00292A90">
          <w:pPr>
            <w:pStyle w:val="TOC2"/>
            <w:tabs>
              <w:tab w:val="left" w:pos="880"/>
              <w:tab w:val="right" w:leader="dot" w:pos="9350"/>
            </w:tabs>
            <w:rPr>
              <w:noProof/>
            </w:rPr>
          </w:pPr>
          <w:hyperlink w:anchor="_Toc24974516" w:history="1">
            <w:r w:rsidR="007F3F3F" w:rsidRPr="003C14D4">
              <w:rPr>
                <w:rStyle w:val="Hyperlink"/>
                <w:noProof/>
              </w:rPr>
              <w:t>1.1</w:t>
            </w:r>
            <w:r w:rsidR="007F3F3F">
              <w:rPr>
                <w:noProof/>
              </w:rPr>
              <w:tab/>
            </w:r>
            <w:r w:rsidR="007F3F3F" w:rsidRPr="003C14D4">
              <w:rPr>
                <w:rStyle w:val="Hyperlink"/>
                <w:noProof/>
              </w:rPr>
              <w:t>Conclusions</w:t>
            </w:r>
            <w:r w:rsidR="007F3F3F">
              <w:rPr>
                <w:noProof/>
                <w:webHidden/>
              </w:rPr>
              <w:tab/>
            </w:r>
            <w:r w:rsidR="007F3F3F">
              <w:rPr>
                <w:noProof/>
                <w:webHidden/>
              </w:rPr>
              <w:fldChar w:fldCharType="begin"/>
            </w:r>
            <w:r w:rsidR="007F3F3F">
              <w:rPr>
                <w:noProof/>
                <w:webHidden/>
              </w:rPr>
              <w:instrText xml:space="preserve"> PAGEREF _Toc24974516 \h </w:instrText>
            </w:r>
            <w:r w:rsidR="007F3F3F">
              <w:rPr>
                <w:noProof/>
                <w:webHidden/>
              </w:rPr>
            </w:r>
            <w:r w:rsidR="007F3F3F">
              <w:rPr>
                <w:noProof/>
                <w:webHidden/>
              </w:rPr>
              <w:fldChar w:fldCharType="separate"/>
            </w:r>
            <w:r w:rsidR="007F3F3F">
              <w:rPr>
                <w:noProof/>
                <w:webHidden/>
              </w:rPr>
              <w:t>4</w:t>
            </w:r>
            <w:r w:rsidR="007F3F3F">
              <w:rPr>
                <w:noProof/>
                <w:webHidden/>
              </w:rPr>
              <w:fldChar w:fldCharType="end"/>
            </w:r>
          </w:hyperlink>
        </w:p>
        <w:p w14:paraId="537A4741" w14:textId="4993E6E9" w:rsidR="007F3F3F" w:rsidRDefault="00292A90">
          <w:pPr>
            <w:pStyle w:val="TOC1"/>
            <w:tabs>
              <w:tab w:val="left" w:pos="440"/>
              <w:tab w:val="right" w:leader="dot" w:pos="9350"/>
            </w:tabs>
            <w:rPr>
              <w:noProof/>
            </w:rPr>
          </w:pPr>
          <w:hyperlink w:anchor="_Toc24974517" w:history="1">
            <w:r w:rsidR="007F3F3F" w:rsidRPr="003C14D4">
              <w:rPr>
                <w:rStyle w:val="Hyperlink"/>
                <w:noProof/>
              </w:rPr>
              <w:t>2</w:t>
            </w:r>
            <w:r w:rsidR="007F3F3F">
              <w:rPr>
                <w:noProof/>
              </w:rPr>
              <w:tab/>
            </w:r>
            <w:r w:rsidR="007F3F3F" w:rsidRPr="003C14D4">
              <w:rPr>
                <w:rStyle w:val="Hyperlink"/>
                <w:noProof/>
              </w:rPr>
              <w:t>WBID Differentiation and Revisions</w:t>
            </w:r>
            <w:r w:rsidR="007F3F3F">
              <w:rPr>
                <w:noProof/>
                <w:webHidden/>
              </w:rPr>
              <w:tab/>
            </w:r>
            <w:r w:rsidR="007F3F3F">
              <w:rPr>
                <w:noProof/>
                <w:webHidden/>
              </w:rPr>
              <w:fldChar w:fldCharType="begin"/>
            </w:r>
            <w:r w:rsidR="007F3F3F">
              <w:rPr>
                <w:noProof/>
                <w:webHidden/>
              </w:rPr>
              <w:instrText xml:space="preserve"> PAGEREF _Toc24974517 \h </w:instrText>
            </w:r>
            <w:r w:rsidR="007F3F3F">
              <w:rPr>
                <w:noProof/>
                <w:webHidden/>
              </w:rPr>
            </w:r>
            <w:r w:rsidR="007F3F3F">
              <w:rPr>
                <w:noProof/>
                <w:webHidden/>
              </w:rPr>
              <w:fldChar w:fldCharType="separate"/>
            </w:r>
            <w:r w:rsidR="007F3F3F">
              <w:rPr>
                <w:noProof/>
                <w:webHidden/>
              </w:rPr>
              <w:t>4</w:t>
            </w:r>
            <w:r w:rsidR="007F3F3F">
              <w:rPr>
                <w:noProof/>
                <w:webHidden/>
              </w:rPr>
              <w:fldChar w:fldCharType="end"/>
            </w:r>
          </w:hyperlink>
        </w:p>
        <w:p w14:paraId="150C6215" w14:textId="446D203E" w:rsidR="007F3F3F" w:rsidRDefault="00292A90">
          <w:pPr>
            <w:pStyle w:val="TOC1"/>
            <w:tabs>
              <w:tab w:val="left" w:pos="440"/>
              <w:tab w:val="right" w:leader="dot" w:pos="9350"/>
            </w:tabs>
            <w:rPr>
              <w:noProof/>
            </w:rPr>
          </w:pPr>
          <w:hyperlink w:anchor="_Toc24974518" w:history="1">
            <w:r w:rsidR="007F3F3F" w:rsidRPr="003C14D4">
              <w:rPr>
                <w:rStyle w:val="Hyperlink"/>
                <w:noProof/>
              </w:rPr>
              <w:t>3</w:t>
            </w:r>
            <w:r w:rsidR="007F3F3F">
              <w:rPr>
                <w:noProof/>
              </w:rPr>
              <w:tab/>
            </w:r>
            <w:r w:rsidR="007F3F3F" w:rsidRPr="003C14D4">
              <w:rPr>
                <w:rStyle w:val="Hyperlink"/>
                <w:noProof/>
              </w:rPr>
              <w:t>Addition of TMDL Provision to Natural Background Determination in Chapter 62-302.200 Definitions</w:t>
            </w:r>
            <w:r w:rsidR="007F3F3F">
              <w:rPr>
                <w:noProof/>
                <w:webHidden/>
              </w:rPr>
              <w:tab/>
            </w:r>
            <w:r w:rsidR="007F3F3F">
              <w:rPr>
                <w:noProof/>
                <w:webHidden/>
              </w:rPr>
              <w:fldChar w:fldCharType="begin"/>
            </w:r>
            <w:r w:rsidR="007F3F3F">
              <w:rPr>
                <w:noProof/>
                <w:webHidden/>
              </w:rPr>
              <w:instrText xml:space="preserve"> PAGEREF _Toc24974518 \h </w:instrText>
            </w:r>
            <w:r w:rsidR="007F3F3F">
              <w:rPr>
                <w:noProof/>
                <w:webHidden/>
              </w:rPr>
            </w:r>
            <w:r w:rsidR="007F3F3F">
              <w:rPr>
                <w:noProof/>
                <w:webHidden/>
              </w:rPr>
              <w:fldChar w:fldCharType="separate"/>
            </w:r>
            <w:r w:rsidR="007F3F3F">
              <w:rPr>
                <w:noProof/>
                <w:webHidden/>
              </w:rPr>
              <w:t>5</w:t>
            </w:r>
            <w:r w:rsidR="007F3F3F">
              <w:rPr>
                <w:noProof/>
                <w:webHidden/>
              </w:rPr>
              <w:fldChar w:fldCharType="end"/>
            </w:r>
          </w:hyperlink>
        </w:p>
        <w:p w14:paraId="171B6E76" w14:textId="75D43E77" w:rsidR="007F3F3F" w:rsidRDefault="00292A90">
          <w:pPr>
            <w:pStyle w:val="TOC1"/>
            <w:tabs>
              <w:tab w:val="left" w:pos="440"/>
              <w:tab w:val="right" w:leader="dot" w:pos="9350"/>
            </w:tabs>
            <w:rPr>
              <w:noProof/>
            </w:rPr>
          </w:pPr>
          <w:hyperlink w:anchor="_Toc24974519" w:history="1">
            <w:r w:rsidR="007F3F3F" w:rsidRPr="003C14D4">
              <w:rPr>
                <w:rStyle w:val="Hyperlink"/>
                <w:noProof/>
              </w:rPr>
              <w:t>4</w:t>
            </w:r>
            <w:r w:rsidR="007F3F3F">
              <w:rPr>
                <w:noProof/>
              </w:rPr>
              <w:tab/>
            </w:r>
            <w:r w:rsidR="007F3F3F" w:rsidRPr="003C14D4">
              <w:rPr>
                <w:rStyle w:val="Hyperlink"/>
                <w:noProof/>
              </w:rPr>
              <w:t>Sample Number for Bacteria Monthly Averages  62-302.530 Water Quality Criteria</w:t>
            </w:r>
            <w:r w:rsidR="007F3F3F">
              <w:rPr>
                <w:noProof/>
                <w:webHidden/>
              </w:rPr>
              <w:tab/>
            </w:r>
            <w:r w:rsidR="007F3F3F">
              <w:rPr>
                <w:noProof/>
                <w:webHidden/>
              </w:rPr>
              <w:fldChar w:fldCharType="begin"/>
            </w:r>
            <w:r w:rsidR="007F3F3F">
              <w:rPr>
                <w:noProof/>
                <w:webHidden/>
              </w:rPr>
              <w:instrText xml:space="preserve"> PAGEREF _Toc24974519 \h </w:instrText>
            </w:r>
            <w:r w:rsidR="007F3F3F">
              <w:rPr>
                <w:noProof/>
                <w:webHidden/>
              </w:rPr>
            </w:r>
            <w:r w:rsidR="007F3F3F">
              <w:rPr>
                <w:noProof/>
                <w:webHidden/>
              </w:rPr>
              <w:fldChar w:fldCharType="separate"/>
            </w:r>
            <w:r w:rsidR="007F3F3F">
              <w:rPr>
                <w:noProof/>
                <w:webHidden/>
              </w:rPr>
              <w:t>5</w:t>
            </w:r>
            <w:r w:rsidR="007F3F3F">
              <w:rPr>
                <w:noProof/>
                <w:webHidden/>
              </w:rPr>
              <w:fldChar w:fldCharType="end"/>
            </w:r>
          </w:hyperlink>
        </w:p>
        <w:p w14:paraId="12696C80" w14:textId="74FDCA4D" w:rsidR="007F3F3F" w:rsidRDefault="00292A90">
          <w:pPr>
            <w:pStyle w:val="TOC2"/>
            <w:tabs>
              <w:tab w:val="left" w:pos="880"/>
              <w:tab w:val="right" w:leader="dot" w:pos="9350"/>
            </w:tabs>
            <w:rPr>
              <w:noProof/>
            </w:rPr>
          </w:pPr>
          <w:hyperlink w:anchor="_Toc24974520" w:history="1">
            <w:r w:rsidR="007F3F3F" w:rsidRPr="003C14D4">
              <w:rPr>
                <w:rStyle w:val="Hyperlink"/>
                <w:noProof/>
              </w:rPr>
              <w:t>4.1</w:t>
            </w:r>
            <w:r w:rsidR="007F3F3F">
              <w:rPr>
                <w:noProof/>
              </w:rPr>
              <w:tab/>
            </w:r>
            <w:r w:rsidR="007F3F3F" w:rsidRPr="003C14D4">
              <w:rPr>
                <w:rStyle w:val="Hyperlink"/>
                <w:noProof/>
              </w:rPr>
              <w:t>Conclusion</w:t>
            </w:r>
            <w:r w:rsidR="007F3F3F">
              <w:rPr>
                <w:noProof/>
                <w:webHidden/>
              </w:rPr>
              <w:tab/>
            </w:r>
            <w:r w:rsidR="007F3F3F">
              <w:rPr>
                <w:noProof/>
                <w:webHidden/>
              </w:rPr>
              <w:fldChar w:fldCharType="begin"/>
            </w:r>
            <w:r w:rsidR="007F3F3F">
              <w:rPr>
                <w:noProof/>
                <w:webHidden/>
              </w:rPr>
              <w:instrText xml:space="preserve"> PAGEREF _Toc24974520 \h </w:instrText>
            </w:r>
            <w:r w:rsidR="007F3F3F">
              <w:rPr>
                <w:noProof/>
                <w:webHidden/>
              </w:rPr>
            </w:r>
            <w:r w:rsidR="007F3F3F">
              <w:rPr>
                <w:noProof/>
                <w:webHidden/>
              </w:rPr>
              <w:fldChar w:fldCharType="separate"/>
            </w:r>
            <w:r w:rsidR="007F3F3F">
              <w:rPr>
                <w:noProof/>
                <w:webHidden/>
              </w:rPr>
              <w:t>5</w:t>
            </w:r>
            <w:r w:rsidR="007F3F3F">
              <w:rPr>
                <w:noProof/>
                <w:webHidden/>
              </w:rPr>
              <w:fldChar w:fldCharType="end"/>
            </w:r>
          </w:hyperlink>
        </w:p>
        <w:p w14:paraId="717436D9" w14:textId="03947D71" w:rsidR="007F3F3F" w:rsidRDefault="00292A90">
          <w:pPr>
            <w:pStyle w:val="TOC1"/>
            <w:tabs>
              <w:tab w:val="left" w:pos="440"/>
              <w:tab w:val="right" w:leader="dot" w:pos="9350"/>
            </w:tabs>
            <w:rPr>
              <w:noProof/>
            </w:rPr>
          </w:pPr>
          <w:hyperlink w:anchor="_Toc24974521" w:history="1">
            <w:r w:rsidR="007F3F3F" w:rsidRPr="003C14D4">
              <w:rPr>
                <w:rStyle w:val="Hyperlink"/>
                <w:noProof/>
              </w:rPr>
              <w:t>5</w:t>
            </w:r>
            <w:r w:rsidR="007F3F3F">
              <w:rPr>
                <w:noProof/>
              </w:rPr>
              <w:tab/>
            </w:r>
            <w:r w:rsidR="007F3F3F" w:rsidRPr="003C14D4">
              <w:rPr>
                <w:rStyle w:val="Hyperlink"/>
                <w:noProof/>
              </w:rPr>
              <w:t>62-303.350 Assessments of Numeric Interpretations of Narrative Nutrient Criterion</w:t>
            </w:r>
            <w:r w:rsidR="007F3F3F">
              <w:rPr>
                <w:noProof/>
                <w:webHidden/>
              </w:rPr>
              <w:tab/>
            </w:r>
            <w:r w:rsidR="007F3F3F">
              <w:rPr>
                <w:noProof/>
                <w:webHidden/>
              </w:rPr>
              <w:fldChar w:fldCharType="begin"/>
            </w:r>
            <w:r w:rsidR="007F3F3F">
              <w:rPr>
                <w:noProof/>
                <w:webHidden/>
              </w:rPr>
              <w:instrText xml:space="preserve"> PAGEREF _Toc24974521 \h </w:instrText>
            </w:r>
            <w:r w:rsidR="007F3F3F">
              <w:rPr>
                <w:noProof/>
                <w:webHidden/>
              </w:rPr>
            </w:r>
            <w:r w:rsidR="007F3F3F">
              <w:rPr>
                <w:noProof/>
                <w:webHidden/>
              </w:rPr>
              <w:fldChar w:fldCharType="separate"/>
            </w:r>
            <w:r w:rsidR="007F3F3F">
              <w:rPr>
                <w:noProof/>
                <w:webHidden/>
              </w:rPr>
              <w:t>5</w:t>
            </w:r>
            <w:r w:rsidR="007F3F3F">
              <w:rPr>
                <w:noProof/>
                <w:webHidden/>
              </w:rPr>
              <w:fldChar w:fldCharType="end"/>
            </w:r>
          </w:hyperlink>
        </w:p>
        <w:p w14:paraId="1269268F" w14:textId="598231CA" w:rsidR="007F3F3F" w:rsidRDefault="00292A90">
          <w:pPr>
            <w:pStyle w:val="TOC1"/>
            <w:tabs>
              <w:tab w:val="left" w:pos="440"/>
              <w:tab w:val="right" w:leader="dot" w:pos="9350"/>
            </w:tabs>
            <w:rPr>
              <w:noProof/>
            </w:rPr>
          </w:pPr>
          <w:hyperlink w:anchor="_Toc24974522" w:history="1">
            <w:r w:rsidR="007F3F3F" w:rsidRPr="003C14D4">
              <w:rPr>
                <w:rStyle w:val="Hyperlink"/>
                <w:noProof/>
              </w:rPr>
              <w:t>6</w:t>
            </w:r>
            <w:r w:rsidR="007F3F3F">
              <w:rPr>
                <w:noProof/>
              </w:rPr>
              <w:tab/>
            </w:r>
            <w:r w:rsidR="007F3F3F" w:rsidRPr="003C14D4">
              <w:rPr>
                <w:rStyle w:val="Hyperlink"/>
                <w:noProof/>
              </w:rPr>
              <w:t>Nutrients in Freshwater Lakes 62-303.352</w:t>
            </w:r>
            <w:r w:rsidR="007F3F3F">
              <w:rPr>
                <w:noProof/>
                <w:webHidden/>
              </w:rPr>
              <w:tab/>
            </w:r>
            <w:r w:rsidR="007F3F3F">
              <w:rPr>
                <w:noProof/>
                <w:webHidden/>
              </w:rPr>
              <w:fldChar w:fldCharType="begin"/>
            </w:r>
            <w:r w:rsidR="007F3F3F">
              <w:rPr>
                <w:noProof/>
                <w:webHidden/>
              </w:rPr>
              <w:instrText xml:space="preserve"> PAGEREF _Toc24974522 \h </w:instrText>
            </w:r>
            <w:r w:rsidR="007F3F3F">
              <w:rPr>
                <w:noProof/>
                <w:webHidden/>
              </w:rPr>
            </w:r>
            <w:r w:rsidR="007F3F3F">
              <w:rPr>
                <w:noProof/>
                <w:webHidden/>
              </w:rPr>
              <w:fldChar w:fldCharType="separate"/>
            </w:r>
            <w:r w:rsidR="007F3F3F">
              <w:rPr>
                <w:noProof/>
                <w:webHidden/>
              </w:rPr>
              <w:t>5</w:t>
            </w:r>
            <w:r w:rsidR="007F3F3F">
              <w:rPr>
                <w:noProof/>
                <w:webHidden/>
              </w:rPr>
              <w:fldChar w:fldCharType="end"/>
            </w:r>
          </w:hyperlink>
        </w:p>
        <w:p w14:paraId="66F8FC03" w14:textId="34340CF6" w:rsidR="007F3F3F" w:rsidRDefault="00292A90">
          <w:pPr>
            <w:pStyle w:val="TOC1"/>
            <w:tabs>
              <w:tab w:val="left" w:pos="440"/>
              <w:tab w:val="right" w:leader="dot" w:pos="9350"/>
            </w:tabs>
            <w:rPr>
              <w:noProof/>
            </w:rPr>
          </w:pPr>
          <w:hyperlink w:anchor="_Toc24974523" w:history="1">
            <w:r w:rsidR="007F3F3F" w:rsidRPr="003C14D4">
              <w:rPr>
                <w:rStyle w:val="Hyperlink"/>
                <w:noProof/>
              </w:rPr>
              <w:t>7</w:t>
            </w:r>
            <w:r w:rsidR="007F3F3F">
              <w:rPr>
                <w:noProof/>
              </w:rPr>
              <w:tab/>
            </w:r>
            <w:r w:rsidR="007F3F3F" w:rsidRPr="003C14D4">
              <w:rPr>
                <w:rStyle w:val="Hyperlink"/>
                <w:noProof/>
              </w:rPr>
              <w:t>Addition of new language to Chapter 62-303, F.A.C., to discuss assessment of trends using the Mann-Kendall Trend Test</w:t>
            </w:r>
            <w:r w:rsidR="007F3F3F">
              <w:rPr>
                <w:noProof/>
                <w:webHidden/>
              </w:rPr>
              <w:tab/>
            </w:r>
            <w:r w:rsidR="007F3F3F">
              <w:rPr>
                <w:noProof/>
                <w:webHidden/>
              </w:rPr>
              <w:fldChar w:fldCharType="begin"/>
            </w:r>
            <w:r w:rsidR="007F3F3F">
              <w:rPr>
                <w:noProof/>
                <w:webHidden/>
              </w:rPr>
              <w:instrText xml:space="preserve"> PAGEREF _Toc24974523 \h </w:instrText>
            </w:r>
            <w:r w:rsidR="007F3F3F">
              <w:rPr>
                <w:noProof/>
                <w:webHidden/>
              </w:rPr>
            </w:r>
            <w:r w:rsidR="007F3F3F">
              <w:rPr>
                <w:noProof/>
                <w:webHidden/>
              </w:rPr>
              <w:fldChar w:fldCharType="separate"/>
            </w:r>
            <w:r w:rsidR="007F3F3F">
              <w:rPr>
                <w:noProof/>
                <w:webHidden/>
              </w:rPr>
              <w:t>6</w:t>
            </w:r>
            <w:r w:rsidR="007F3F3F">
              <w:rPr>
                <w:noProof/>
                <w:webHidden/>
              </w:rPr>
              <w:fldChar w:fldCharType="end"/>
            </w:r>
          </w:hyperlink>
        </w:p>
        <w:p w14:paraId="78E8E48A" w14:textId="696B5FAD" w:rsidR="007F3F3F" w:rsidRDefault="00292A90">
          <w:pPr>
            <w:pStyle w:val="TOC1"/>
            <w:tabs>
              <w:tab w:val="left" w:pos="440"/>
              <w:tab w:val="right" w:leader="dot" w:pos="9350"/>
            </w:tabs>
            <w:rPr>
              <w:noProof/>
            </w:rPr>
          </w:pPr>
          <w:hyperlink w:anchor="_Toc24974524" w:history="1">
            <w:r w:rsidR="007F3F3F" w:rsidRPr="003C14D4">
              <w:rPr>
                <w:rStyle w:val="Hyperlink"/>
                <w:noProof/>
              </w:rPr>
              <w:t>8</w:t>
            </w:r>
            <w:r w:rsidR="007F3F3F">
              <w:rPr>
                <w:noProof/>
              </w:rPr>
              <w:tab/>
            </w:r>
            <w:r w:rsidR="007F3F3F" w:rsidRPr="003C14D4">
              <w:rPr>
                <w:rStyle w:val="Hyperlink"/>
                <w:noProof/>
              </w:rPr>
              <w:t>TMDLs as Hierarchy 1 Site-Specific Interpretations of the Narrative Criteria</w:t>
            </w:r>
            <w:r w:rsidR="007F3F3F">
              <w:rPr>
                <w:noProof/>
                <w:webHidden/>
              </w:rPr>
              <w:tab/>
            </w:r>
            <w:r w:rsidR="007F3F3F">
              <w:rPr>
                <w:noProof/>
                <w:webHidden/>
              </w:rPr>
              <w:fldChar w:fldCharType="begin"/>
            </w:r>
            <w:r w:rsidR="007F3F3F">
              <w:rPr>
                <w:noProof/>
                <w:webHidden/>
              </w:rPr>
              <w:instrText xml:space="preserve"> PAGEREF _Toc24974524 \h </w:instrText>
            </w:r>
            <w:r w:rsidR="007F3F3F">
              <w:rPr>
                <w:noProof/>
                <w:webHidden/>
              </w:rPr>
            </w:r>
            <w:r w:rsidR="007F3F3F">
              <w:rPr>
                <w:noProof/>
                <w:webHidden/>
              </w:rPr>
              <w:fldChar w:fldCharType="separate"/>
            </w:r>
            <w:r w:rsidR="007F3F3F">
              <w:rPr>
                <w:noProof/>
                <w:webHidden/>
              </w:rPr>
              <w:t>7</w:t>
            </w:r>
            <w:r w:rsidR="007F3F3F">
              <w:rPr>
                <w:noProof/>
                <w:webHidden/>
              </w:rPr>
              <w:fldChar w:fldCharType="end"/>
            </w:r>
          </w:hyperlink>
        </w:p>
        <w:p w14:paraId="19948017" w14:textId="0698277A" w:rsidR="007F3F3F" w:rsidRDefault="00292A90">
          <w:pPr>
            <w:pStyle w:val="TOC1"/>
            <w:tabs>
              <w:tab w:val="left" w:pos="440"/>
              <w:tab w:val="right" w:leader="dot" w:pos="9350"/>
            </w:tabs>
            <w:rPr>
              <w:noProof/>
            </w:rPr>
          </w:pPr>
          <w:hyperlink w:anchor="_Toc24974525" w:history="1">
            <w:r w:rsidR="007F3F3F" w:rsidRPr="003C14D4">
              <w:rPr>
                <w:rStyle w:val="Hyperlink"/>
                <w:noProof/>
              </w:rPr>
              <w:t>9</w:t>
            </w:r>
            <w:r w:rsidR="007F3F3F">
              <w:rPr>
                <w:noProof/>
              </w:rPr>
              <w:tab/>
            </w:r>
            <w:r w:rsidR="007F3F3F" w:rsidRPr="003C14D4">
              <w:rPr>
                <w:rStyle w:val="Hyperlink"/>
                <w:noProof/>
              </w:rPr>
              <w:t>IWR Coliform Evaluations</w:t>
            </w:r>
            <w:r w:rsidR="007F3F3F">
              <w:rPr>
                <w:noProof/>
                <w:webHidden/>
              </w:rPr>
              <w:tab/>
            </w:r>
            <w:r w:rsidR="007F3F3F">
              <w:rPr>
                <w:noProof/>
                <w:webHidden/>
              </w:rPr>
              <w:fldChar w:fldCharType="begin"/>
            </w:r>
            <w:r w:rsidR="007F3F3F">
              <w:rPr>
                <w:noProof/>
                <w:webHidden/>
              </w:rPr>
              <w:instrText xml:space="preserve"> PAGEREF _Toc24974525 \h </w:instrText>
            </w:r>
            <w:r w:rsidR="007F3F3F">
              <w:rPr>
                <w:noProof/>
                <w:webHidden/>
              </w:rPr>
            </w:r>
            <w:r w:rsidR="007F3F3F">
              <w:rPr>
                <w:noProof/>
                <w:webHidden/>
              </w:rPr>
              <w:fldChar w:fldCharType="separate"/>
            </w:r>
            <w:r w:rsidR="007F3F3F">
              <w:rPr>
                <w:noProof/>
                <w:webHidden/>
              </w:rPr>
              <w:t>7</w:t>
            </w:r>
            <w:r w:rsidR="007F3F3F">
              <w:rPr>
                <w:noProof/>
                <w:webHidden/>
              </w:rPr>
              <w:fldChar w:fldCharType="end"/>
            </w:r>
          </w:hyperlink>
        </w:p>
        <w:p w14:paraId="7102B2DE" w14:textId="0E4E37E1" w:rsidR="007F3F3F" w:rsidRDefault="00292A90">
          <w:pPr>
            <w:pStyle w:val="TOC1"/>
            <w:tabs>
              <w:tab w:val="left" w:pos="660"/>
              <w:tab w:val="right" w:leader="dot" w:pos="9350"/>
            </w:tabs>
            <w:rPr>
              <w:noProof/>
            </w:rPr>
          </w:pPr>
          <w:hyperlink w:anchor="_Toc24974526" w:history="1">
            <w:r w:rsidR="007F3F3F" w:rsidRPr="003C14D4">
              <w:rPr>
                <w:rStyle w:val="Hyperlink"/>
                <w:noProof/>
              </w:rPr>
              <w:t>10</w:t>
            </w:r>
            <w:r w:rsidR="007F3F3F">
              <w:rPr>
                <w:noProof/>
              </w:rPr>
              <w:tab/>
            </w:r>
            <w:r w:rsidR="007F3F3F" w:rsidRPr="003C14D4">
              <w:rPr>
                <w:rStyle w:val="Hyperlink"/>
                <w:noProof/>
              </w:rPr>
              <w:t>Linear Vegetation Survey (LVS) and Rapid Periphyton Survey (RPS) Certification</w:t>
            </w:r>
            <w:r w:rsidR="007F3F3F">
              <w:rPr>
                <w:noProof/>
                <w:webHidden/>
              </w:rPr>
              <w:tab/>
            </w:r>
            <w:r w:rsidR="007F3F3F">
              <w:rPr>
                <w:noProof/>
                <w:webHidden/>
              </w:rPr>
              <w:fldChar w:fldCharType="begin"/>
            </w:r>
            <w:r w:rsidR="007F3F3F">
              <w:rPr>
                <w:noProof/>
                <w:webHidden/>
              </w:rPr>
              <w:instrText xml:space="preserve"> PAGEREF _Toc24974526 \h </w:instrText>
            </w:r>
            <w:r w:rsidR="007F3F3F">
              <w:rPr>
                <w:noProof/>
                <w:webHidden/>
              </w:rPr>
            </w:r>
            <w:r w:rsidR="007F3F3F">
              <w:rPr>
                <w:noProof/>
                <w:webHidden/>
              </w:rPr>
              <w:fldChar w:fldCharType="separate"/>
            </w:r>
            <w:r w:rsidR="007F3F3F">
              <w:rPr>
                <w:noProof/>
                <w:webHidden/>
              </w:rPr>
              <w:t>8</w:t>
            </w:r>
            <w:r w:rsidR="007F3F3F">
              <w:rPr>
                <w:noProof/>
                <w:webHidden/>
              </w:rPr>
              <w:fldChar w:fldCharType="end"/>
            </w:r>
          </w:hyperlink>
        </w:p>
        <w:p w14:paraId="0F94D78D" w14:textId="0E1599F7" w:rsidR="007F3F3F" w:rsidRDefault="00292A90">
          <w:pPr>
            <w:pStyle w:val="TOC1"/>
            <w:tabs>
              <w:tab w:val="left" w:pos="660"/>
              <w:tab w:val="right" w:leader="dot" w:pos="9350"/>
            </w:tabs>
            <w:rPr>
              <w:noProof/>
            </w:rPr>
          </w:pPr>
          <w:hyperlink w:anchor="_Toc24974527" w:history="1">
            <w:r w:rsidR="007F3F3F" w:rsidRPr="003C14D4">
              <w:rPr>
                <w:rStyle w:val="Hyperlink"/>
                <w:noProof/>
              </w:rPr>
              <w:t>11</w:t>
            </w:r>
            <w:r w:rsidR="007F3F3F">
              <w:rPr>
                <w:noProof/>
              </w:rPr>
              <w:tab/>
            </w:r>
            <w:r w:rsidR="007F3F3F" w:rsidRPr="003C14D4">
              <w:rPr>
                <w:rStyle w:val="Hyperlink"/>
                <w:noProof/>
              </w:rPr>
              <w:t>Revisions to the document titled “Implementation of Florida’s Numeric Nutrient Standards”</w:t>
            </w:r>
            <w:r w:rsidR="007F3F3F">
              <w:rPr>
                <w:noProof/>
                <w:webHidden/>
              </w:rPr>
              <w:tab/>
            </w:r>
            <w:r w:rsidR="007F3F3F">
              <w:rPr>
                <w:noProof/>
                <w:webHidden/>
              </w:rPr>
              <w:fldChar w:fldCharType="begin"/>
            </w:r>
            <w:r w:rsidR="007F3F3F">
              <w:rPr>
                <w:noProof/>
                <w:webHidden/>
              </w:rPr>
              <w:instrText xml:space="preserve"> PAGEREF _Toc24974527 \h </w:instrText>
            </w:r>
            <w:r w:rsidR="007F3F3F">
              <w:rPr>
                <w:noProof/>
                <w:webHidden/>
              </w:rPr>
            </w:r>
            <w:r w:rsidR="007F3F3F">
              <w:rPr>
                <w:noProof/>
                <w:webHidden/>
              </w:rPr>
              <w:fldChar w:fldCharType="separate"/>
            </w:r>
            <w:r w:rsidR="007F3F3F">
              <w:rPr>
                <w:noProof/>
                <w:webHidden/>
              </w:rPr>
              <w:t>8</w:t>
            </w:r>
            <w:r w:rsidR="007F3F3F">
              <w:rPr>
                <w:noProof/>
                <w:webHidden/>
              </w:rPr>
              <w:fldChar w:fldCharType="end"/>
            </w:r>
          </w:hyperlink>
        </w:p>
        <w:p w14:paraId="5C1DFB16" w14:textId="25B0CF07" w:rsidR="007F3F3F" w:rsidRDefault="00292A90">
          <w:pPr>
            <w:pStyle w:val="TOC1"/>
            <w:tabs>
              <w:tab w:val="left" w:pos="660"/>
              <w:tab w:val="right" w:leader="dot" w:pos="9350"/>
            </w:tabs>
            <w:rPr>
              <w:noProof/>
            </w:rPr>
          </w:pPr>
          <w:hyperlink w:anchor="_Toc24974528" w:history="1">
            <w:r w:rsidR="007F3F3F" w:rsidRPr="003C14D4">
              <w:rPr>
                <w:rStyle w:val="Hyperlink"/>
                <w:noProof/>
              </w:rPr>
              <w:t>12</w:t>
            </w:r>
            <w:r w:rsidR="007F3F3F">
              <w:rPr>
                <w:noProof/>
              </w:rPr>
              <w:tab/>
            </w:r>
            <w:r w:rsidR="007F3F3F" w:rsidRPr="003C14D4">
              <w:rPr>
                <w:rStyle w:val="Hyperlink"/>
                <w:noProof/>
              </w:rPr>
              <w:t>Floral and Faunal Metrics in NNC Implementation</w:t>
            </w:r>
            <w:r w:rsidR="007F3F3F">
              <w:rPr>
                <w:noProof/>
                <w:webHidden/>
              </w:rPr>
              <w:tab/>
            </w:r>
            <w:r w:rsidR="007F3F3F">
              <w:rPr>
                <w:noProof/>
                <w:webHidden/>
              </w:rPr>
              <w:fldChar w:fldCharType="begin"/>
            </w:r>
            <w:r w:rsidR="007F3F3F">
              <w:rPr>
                <w:noProof/>
                <w:webHidden/>
              </w:rPr>
              <w:instrText xml:space="preserve"> PAGEREF _Toc24974528 \h </w:instrText>
            </w:r>
            <w:r w:rsidR="007F3F3F">
              <w:rPr>
                <w:noProof/>
                <w:webHidden/>
              </w:rPr>
            </w:r>
            <w:r w:rsidR="007F3F3F">
              <w:rPr>
                <w:noProof/>
                <w:webHidden/>
              </w:rPr>
              <w:fldChar w:fldCharType="separate"/>
            </w:r>
            <w:r w:rsidR="007F3F3F">
              <w:rPr>
                <w:noProof/>
                <w:webHidden/>
              </w:rPr>
              <w:t>18</w:t>
            </w:r>
            <w:r w:rsidR="007F3F3F">
              <w:rPr>
                <w:noProof/>
                <w:webHidden/>
              </w:rPr>
              <w:fldChar w:fldCharType="end"/>
            </w:r>
          </w:hyperlink>
        </w:p>
        <w:p w14:paraId="0536640C" w14:textId="0F72BD83" w:rsidR="007F3F3F" w:rsidRDefault="00292A90">
          <w:pPr>
            <w:pStyle w:val="TOC1"/>
            <w:tabs>
              <w:tab w:val="left" w:pos="660"/>
              <w:tab w:val="right" w:leader="dot" w:pos="9350"/>
            </w:tabs>
            <w:rPr>
              <w:noProof/>
            </w:rPr>
          </w:pPr>
          <w:hyperlink w:anchor="_Toc24974529" w:history="1">
            <w:r w:rsidR="007F3F3F" w:rsidRPr="003C14D4">
              <w:rPr>
                <w:rStyle w:val="Hyperlink"/>
                <w:noProof/>
              </w:rPr>
              <w:t>13</w:t>
            </w:r>
            <w:r w:rsidR="007F3F3F">
              <w:rPr>
                <w:noProof/>
              </w:rPr>
              <w:tab/>
            </w:r>
            <w:r w:rsidR="007F3F3F" w:rsidRPr="003C14D4">
              <w:rPr>
                <w:rStyle w:val="Hyperlink"/>
                <w:noProof/>
              </w:rPr>
              <w:t>Addition of language to Chapter 62-303, F.A.C., to incorporate portions of the document titled “Implementation of Florida’s Numeric Nutrient Standards” by reference</w:t>
            </w:r>
            <w:r w:rsidR="007F3F3F">
              <w:rPr>
                <w:noProof/>
                <w:webHidden/>
              </w:rPr>
              <w:tab/>
            </w:r>
            <w:r w:rsidR="007F3F3F">
              <w:rPr>
                <w:noProof/>
                <w:webHidden/>
              </w:rPr>
              <w:fldChar w:fldCharType="begin"/>
            </w:r>
            <w:r w:rsidR="007F3F3F">
              <w:rPr>
                <w:noProof/>
                <w:webHidden/>
              </w:rPr>
              <w:instrText xml:space="preserve"> PAGEREF _Toc24974529 \h </w:instrText>
            </w:r>
            <w:r w:rsidR="007F3F3F">
              <w:rPr>
                <w:noProof/>
                <w:webHidden/>
              </w:rPr>
            </w:r>
            <w:r w:rsidR="007F3F3F">
              <w:rPr>
                <w:noProof/>
                <w:webHidden/>
              </w:rPr>
              <w:fldChar w:fldCharType="separate"/>
            </w:r>
            <w:r w:rsidR="007F3F3F">
              <w:rPr>
                <w:noProof/>
                <w:webHidden/>
              </w:rPr>
              <w:t>19</w:t>
            </w:r>
            <w:r w:rsidR="007F3F3F">
              <w:rPr>
                <w:noProof/>
                <w:webHidden/>
              </w:rPr>
              <w:fldChar w:fldCharType="end"/>
            </w:r>
          </w:hyperlink>
        </w:p>
        <w:p w14:paraId="12A8C6CD" w14:textId="70C6BEEF" w:rsidR="007F3F3F" w:rsidRDefault="00292A90">
          <w:pPr>
            <w:pStyle w:val="TOC1"/>
            <w:tabs>
              <w:tab w:val="left" w:pos="660"/>
              <w:tab w:val="right" w:leader="dot" w:pos="9350"/>
            </w:tabs>
            <w:rPr>
              <w:noProof/>
            </w:rPr>
          </w:pPr>
          <w:hyperlink w:anchor="_Toc24974530" w:history="1">
            <w:r w:rsidR="007F3F3F" w:rsidRPr="003C14D4">
              <w:rPr>
                <w:rStyle w:val="Hyperlink"/>
                <w:noProof/>
              </w:rPr>
              <w:t>14</w:t>
            </w:r>
            <w:r w:rsidR="007F3F3F">
              <w:rPr>
                <w:noProof/>
              </w:rPr>
              <w:tab/>
            </w:r>
            <w:r w:rsidR="007F3F3F" w:rsidRPr="003C14D4">
              <w:rPr>
                <w:rStyle w:val="Hyperlink"/>
                <w:noProof/>
              </w:rPr>
              <w:t>Cyanotoxin criteria (Microcystins and Cylindrospermopsin)</w:t>
            </w:r>
            <w:r w:rsidR="007F3F3F">
              <w:rPr>
                <w:noProof/>
                <w:webHidden/>
              </w:rPr>
              <w:tab/>
            </w:r>
            <w:r w:rsidR="007F3F3F">
              <w:rPr>
                <w:noProof/>
                <w:webHidden/>
              </w:rPr>
              <w:fldChar w:fldCharType="begin"/>
            </w:r>
            <w:r w:rsidR="007F3F3F">
              <w:rPr>
                <w:noProof/>
                <w:webHidden/>
              </w:rPr>
              <w:instrText xml:space="preserve"> PAGEREF _Toc24974530 \h </w:instrText>
            </w:r>
            <w:r w:rsidR="007F3F3F">
              <w:rPr>
                <w:noProof/>
                <w:webHidden/>
              </w:rPr>
            </w:r>
            <w:r w:rsidR="007F3F3F">
              <w:rPr>
                <w:noProof/>
                <w:webHidden/>
              </w:rPr>
              <w:fldChar w:fldCharType="separate"/>
            </w:r>
            <w:r w:rsidR="007F3F3F">
              <w:rPr>
                <w:noProof/>
                <w:webHidden/>
              </w:rPr>
              <w:t>19</w:t>
            </w:r>
            <w:r w:rsidR="007F3F3F">
              <w:rPr>
                <w:noProof/>
                <w:webHidden/>
              </w:rPr>
              <w:fldChar w:fldCharType="end"/>
            </w:r>
          </w:hyperlink>
        </w:p>
        <w:p w14:paraId="6FDF60EA" w14:textId="03C1C787" w:rsidR="007F3F3F" w:rsidRDefault="00292A90">
          <w:pPr>
            <w:pStyle w:val="TOC2"/>
            <w:tabs>
              <w:tab w:val="left" w:pos="880"/>
              <w:tab w:val="right" w:leader="dot" w:pos="9350"/>
            </w:tabs>
            <w:rPr>
              <w:noProof/>
            </w:rPr>
          </w:pPr>
          <w:hyperlink w:anchor="_Toc24974531" w:history="1">
            <w:r w:rsidR="007F3F3F" w:rsidRPr="003C14D4">
              <w:rPr>
                <w:rStyle w:val="Hyperlink"/>
                <w:noProof/>
              </w:rPr>
              <w:t>14.1</w:t>
            </w:r>
            <w:r w:rsidR="007F3F3F">
              <w:rPr>
                <w:noProof/>
              </w:rPr>
              <w:tab/>
            </w:r>
            <w:r w:rsidR="007F3F3F" w:rsidRPr="003C14D4">
              <w:rPr>
                <w:rStyle w:val="Hyperlink"/>
                <w:noProof/>
              </w:rPr>
              <w:t>Conclusions</w:t>
            </w:r>
            <w:r w:rsidR="007F3F3F">
              <w:rPr>
                <w:noProof/>
                <w:webHidden/>
              </w:rPr>
              <w:tab/>
            </w:r>
            <w:r w:rsidR="007F3F3F">
              <w:rPr>
                <w:noProof/>
                <w:webHidden/>
              </w:rPr>
              <w:fldChar w:fldCharType="begin"/>
            </w:r>
            <w:r w:rsidR="007F3F3F">
              <w:rPr>
                <w:noProof/>
                <w:webHidden/>
              </w:rPr>
              <w:instrText xml:space="preserve"> PAGEREF _Toc24974531 \h </w:instrText>
            </w:r>
            <w:r w:rsidR="007F3F3F">
              <w:rPr>
                <w:noProof/>
                <w:webHidden/>
              </w:rPr>
            </w:r>
            <w:r w:rsidR="007F3F3F">
              <w:rPr>
                <w:noProof/>
                <w:webHidden/>
              </w:rPr>
              <w:fldChar w:fldCharType="separate"/>
            </w:r>
            <w:r w:rsidR="007F3F3F">
              <w:rPr>
                <w:noProof/>
                <w:webHidden/>
              </w:rPr>
              <w:t>20</w:t>
            </w:r>
            <w:r w:rsidR="007F3F3F">
              <w:rPr>
                <w:noProof/>
                <w:webHidden/>
              </w:rPr>
              <w:fldChar w:fldCharType="end"/>
            </w:r>
          </w:hyperlink>
        </w:p>
        <w:p w14:paraId="6795E4EB" w14:textId="0A761091" w:rsidR="007F3F3F" w:rsidRDefault="00292A90">
          <w:pPr>
            <w:pStyle w:val="TOC1"/>
            <w:tabs>
              <w:tab w:val="left" w:pos="660"/>
              <w:tab w:val="right" w:leader="dot" w:pos="9350"/>
            </w:tabs>
            <w:rPr>
              <w:noProof/>
            </w:rPr>
          </w:pPr>
          <w:hyperlink w:anchor="_Toc24974532" w:history="1">
            <w:r w:rsidR="007F3F3F" w:rsidRPr="003C14D4">
              <w:rPr>
                <w:rStyle w:val="Hyperlink"/>
                <w:noProof/>
              </w:rPr>
              <w:t>15</w:t>
            </w:r>
            <w:r w:rsidR="007F3F3F">
              <w:rPr>
                <w:noProof/>
              </w:rPr>
              <w:tab/>
            </w:r>
            <w:r w:rsidR="007F3F3F" w:rsidRPr="003C14D4">
              <w:rPr>
                <w:rStyle w:val="Hyperlink"/>
                <w:noProof/>
              </w:rPr>
              <w:t>Adoption of Type II site specific alternative criteria (SSACs) for dissolved oxygen for 11 freshwater streams</w:t>
            </w:r>
            <w:r w:rsidR="007F3F3F">
              <w:rPr>
                <w:noProof/>
                <w:webHidden/>
              </w:rPr>
              <w:tab/>
            </w:r>
            <w:r w:rsidR="007F3F3F">
              <w:rPr>
                <w:noProof/>
                <w:webHidden/>
              </w:rPr>
              <w:fldChar w:fldCharType="begin"/>
            </w:r>
            <w:r w:rsidR="007F3F3F">
              <w:rPr>
                <w:noProof/>
                <w:webHidden/>
              </w:rPr>
              <w:instrText xml:space="preserve"> PAGEREF _Toc24974532 \h </w:instrText>
            </w:r>
            <w:r w:rsidR="007F3F3F">
              <w:rPr>
                <w:noProof/>
                <w:webHidden/>
              </w:rPr>
            </w:r>
            <w:r w:rsidR="007F3F3F">
              <w:rPr>
                <w:noProof/>
                <w:webHidden/>
              </w:rPr>
              <w:fldChar w:fldCharType="separate"/>
            </w:r>
            <w:r w:rsidR="007F3F3F">
              <w:rPr>
                <w:noProof/>
                <w:webHidden/>
              </w:rPr>
              <w:t>20</w:t>
            </w:r>
            <w:r w:rsidR="007F3F3F">
              <w:rPr>
                <w:noProof/>
                <w:webHidden/>
              </w:rPr>
              <w:fldChar w:fldCharType="end"/>
            </w:r>
          </w:hyperlink>
        </w:p>
        <w:p w14:paraId="7C7C0B92" w14:textId="56D78D9F" w:rsidR="007F3F3F" w:rsidRDefault="00292A90">
          <w:pPr>
            <w:pStyle w:val="TOC2"/>
            <w:tabs>
              <w:tab w:val="left" w:pos="880"/>
              <w:tab w:val="right" w:leader="dot" w:pos="9350"/>
            </w:tabs>
            <w:rPr>
              <w:noProof/>
            </w:rPr>
          </w:pPr>
          <w:hyperlink w:anchor="_Toc24974533" w:history="1">
            <w:r w:rsidR="007F3F3F" w:rsidRPr="003C14D4">
              <w:rPr>
                <w:rStyle w:val="Hyperlink"/>
                <w:noProof/>
              </w:rPr>
              <w:t>15.1</w:t>
            </w:r>
            <w:r w:rsidR="007F3F3F">
              <w:rPr>
                <w:noProof/>
              </w:rPr>
              <w:tab/>
            </w:r>
            <w:r w:rsidR="007F3F3F" w:rsidRPr="003C14D4">
              <w:rPr>
                <w:rStyle w:val="Hyperlink"/>
                <w:noProof/>
              </w:rPr>
              <w:t>Conclusions</w:t>
            </w:r>
            <w:r w:rsidR="007F3F3F">
              <w:rPr>
                <w:noProof/>
                <w:webHidden/>
              </w:rPr>
              <w:tab/>
            </w:r>
            <w:r w:rsidR="007F3F3F">
              <w:rPr>
                <w:noProof/>
                <w:webHidden/>
              </w:rPr>
              <w:fldChar w:fldCharType="begin"/>
            </w:r>
            <w:r w:rsidR="007F3F3F">
              <w:rPr>
                <w:noProof/>
                <w:webHidden/>
              </w:rPr>
              <w:instrText xml:space="preserve"> PAGEREF _Toc24974533 \h </w:instrText>
            </w:r>
            <w:r w:rsidR="007F3F3F">
              <w:rPr>
                <w:noProof/>
                <w:webHidden/>
              </w:rPr>
            </w:r>
            <w:r w:rsidR="007F3F3F">
              <w:rPr>
                <w:noProof/>
                <w:webHidden/>
              </w:rPr>
              <w:fldChar w:fldCharType="separate"/>
            </w:r>
            <w:r w:rsidR="007F3F3F">
              <w:rPr>
                <w:noProof/>
                <w:webHidden/>
              </w:rPr>
              <w:t>21</w:t>
            </w:r>
            <w:r w:rsidR="007F3F3F">
              <w:rPr>
                <w:noProof/>
                <w:webHidden/>
              </w:rPr>
              <w:fldChar w:fldCharType="end"/>
            </w:r>
          </w:hyperlink>
        </w:p>
        <w:p w14:paraId="3DD4D813" w14:textId="4AA707A5" w:rsidR="007F3F3F" w:rsidRDefault="00292A90">
          <w:pPr>
            <w:pStyle w:val="TOC1"/>
            <w:tabs>
              <w:tab w:val="left" w:pos="660"/>
              <w:tab w:val="right" w:leader="dot" w:pos="9350"/>
            </w:tabs>
            <w:rPr>
              <w:noProof/>
            </w:rPr>
          </w:pPr>
          <w:hyperlink w:anchor="_Toc24974534" w:history="1">
            <w:r w:rsidR="007F3F3F" w:rsidRPr="003C14D4">
              <w:rPr>
                <w:rStyle w:val="Hyperlink"/>
                <w:noProof/>
              </w:rPr>
              <w:t>16</w:t>
            </w:r>
            <w:r w:rsidR="007F3F3F">
              <w:rPr>
                <w:noProof/>
              </w:rPr>
              <w:tab/>
            </w:r>
            <w:r w:rsidR="007F3F3F" w:rsidRPr="003C14D4">
              <w:rPr>
                <w:rStyle w:val="Hyperlink"/>
                <w:noProof/>
              </w:rPr>
              <w:t>Incorporation of compliance schedule authorization language into Chapter 62-302, F.A.C.</w:t>
            </w:r>
            <w:r w:rsidR="007F3F3F">
              <w:rPr>
                <w:noProof/>
                <w:webHidden/>
              </w:rPr>
              <w:tab/>
            </w:r>
            <w:r w:rsidR="007F3F3F">
              <w:rPr>
                <w:noProof/>
                <w:webHidden/>
              </w:rPr>
              <w:fldChar w:fldCharType="begin"/>
            </w:r>
            <w:r w:rsidR="007F3F3F">
              <w:rPr>
                <w:noProof/>
                <w:webHidden/>
              </w:rPr>
              <w:instrText xml:space="preserve"> PAGEREF _Toc24974534 \h </w:instrText>
            </w:r>
            <w:r w:rsidR="007F3F3F">
              <w:rPr>
                <w:noProof/>
                <w:webHidden/>
              </w:rPr>
            </w:r>
            <w:r w:rsidR="007F3F3F">
              <w:rPr>
                <w:noProof/>
                <w:webHidden/>
              </w:rPr>
              <w:fldChar w:fldCharType="separate"/>
            </w:r>
            <w:r w:rsidR="007F3F3F">
              <w:rPr>
                <w:noProof/>
                <w:webHidden/>
              </w:rPr>
              <w:t>21</w:t>
            </w:r>
            <w:r w:rsidR="007F3F3F">
              <w:rPr>
                <w:noProof/>
                <w:webHidden/>
              </w:rPr>
              <w:fldChar w:fldCharType="end"/>
            </w:r>
          </w:hyperlink>
        </w:p>
        <w:p w14:paraId="29722A71" w14:textId="711A51EA" w:rsidR="007F3F3F" w:rsidRDefault="00292A90">
          <w:pPr>
            <w:pStyle w:val="TOC2"/>
            <w:tabs>
              <w:tab w:val="left" w:pos="880"/>
              <w:tab w:val="right" w:leader="dot" w:pos="9350"/>
            </w:tabs>
            <w:rPr>
              <w:noProof/>
            </w:rPr>
          </w:pPr>
          <w:hyperlink w:anchor="_Toc24974535" w:history="1">
            <w:r w:rsidR="007F3F3F" w:rsidRPr="003C14D4">
              <w:rPr>
                <w:rStyle w:val="Hyperlink"/>
                <w:noProof/>
              </w:rPr>
              <w:t>16.1</w:t>
            </w:r>
            <w:r w:rsidR="007F3F3F">
              <w:rPr>
                <w:noProof/>
              </w:rPr>
              <w:tab/>
            </w:r>
            <w:r w:rsidR="007F3F3F" w:rsidRPr="003C14D4">
              <w:rPr>
                <w:rStyle w:val="Hyperlink"/>
                <w:noProof/>
              </w:rPr>
              <w:t>Conclusions</w:t>
            </w:r>
            <w:r w:rsidR="007F3F3F">
              <w:rPr>
                <w:noProof/>
                <w:webHidden/>
              </w:rPr>
              <w:tab/>
            </w:r>
            <w:r w:rsidR="007F3F3F">
              <w:rPr>
                <w:noProof/>
                <w:webHidden/>
              </w:rPr>
              <w:fldChar w:fldCharType="begin"/>
            </w:r>
            <w:r w:rsidR="007F3F3F">
              <w:rPr>
                <w:noProof/>
                <w:webHidden/>
              </w:rPr>
              <w:instrText xml:space="preserve"> PAGEREF _Toc24974535 \h </w:instrText>
            </w:r>
            <w:r w:rsidR="007F3F3F">
              <w:rPr>
                <w:noProof/>
                <w:webHidden/>
              </w:rPr>
            </w:r>
            <w:r w:rsidR="007F3F3F">
              <w:rPr>
                <w:noProof/>
                <w:webHidden/>
              </w:rPr>
              <w:fldChar w:fldCharType="separate"/>
            </w:r>
            <w:r w:rsidR="007F3F3F">
              <w:rPr>
                <w:noProof/>
                <w:webHidden/>
              </w:rPr>
              <w:t>21</w:t>
            </w:r>
            <w:r w:rsidR="007F3F3F">
              <w:rPr>
                <w:noProof/>
                <w:webHidden/>
              </w:rPr>
              <w:fldChar w:fldCharType="end"/>
            </w:r>
          </w:hyperlink>
        </w:p>
        <w:p w14:paraId="1BD30D37" w14:textId="05EEBB3E" w:rsidR="007F3F3F" w:rsidRDefault="00292A90">
          <w:pPr>
            <w:pStyle w:val="TOC1"/>
            <w:tabs>
              <w:tab w:val="left" w:pos="660"/>
              <w:tab w:val="right" w:leader="dot" w:pos="9350"/>
            </w:tabs>
            <w:rPr>
              <w:noProof/>
            </w:rPr>
          </w:pPr>
          <w:hyperlink w:anchor="_Toc24974536" w:history="1">
            <w:r w:rsidR="007F3F3F" w:rsidRPr="003C14D4">
              <w:rPr>
                <w:rStyle w:val="Hyperlink"/>
                <w:noProof/>
              </w:rPr>
              <w:t>17</w:t>
            </w:r>
            <w:r w:rsidR="007F3F3F">
              <w:rPr>
                <w:noProof/>
              </w:rPr>
              <w:tab/>
            </w:r>
            <w:r w:rsidR="007F3F3F" w:rsidRPr="003C14D4">
              <w:rPr>
                <w:rStyle w:val="Hyperlink"/>
                <w:noProof/>
              </w:rPr>
              <w:t>Creation of new maps showing Class II (Shellfish Propagation or Harvesting) waters in select counties</w:t>
            </w:r>
            <w:r w:rsidR="007F3F3F">
              <w:rPr>
                <w:noProof/>
                <w:webHidden/>
              </w:rPr>
              <w:tab/>
            </w:r>
            <w:r w:rsidR="007F3F3F">
              <w:rPr>
                <w:noProof/>
                <w:webHidden/>
              </w:rPr>
              <w:fldChar w:fldCharType="begin"/>
            </w:r>
            <w:r w:rsidR="007F3F3F">
              <w:rPr>
                <w:noProof/>
                <w:webHidden/>
              </w:rPr>
              <w:instrText xml:space="preserve"> PAGEREF _Toc24974536 \h </w:instrText>
            </w:r>
            <w:r w:rsidR="007F3F3F">
              <w:rPr>
                <w:noProof/>
                <w:webHidden/>
              </w:rPr>
            </w:r>
            <w:r w:rsidR="007F3F3F">
              <w:rPr>
                <w:noProof/>
                <w:webHidden/>
              </w:rPr>
              <w:fldChar w:fldCharType="separate"/>
            </w:r>
            <w:r w:rsidR="007F3F3F">
              <w:rPr>
                <w:noProof/>
                <w:webHidden/>
              </w:rPr>
              <w:t>22</w:t>
            </w:r>
            <w:r w:rsidR="007F3F3F">
              <w:rPr>
                <w:noProof/>
                <w:webHidden/>
              </w:rPr>
              <w:fldChar w:fldCharType="end"/>
            </w:r>
          </w:hyperlink>
        </w:p>
        <w:p w14:paraId="0AAEBA7F" w14:textId="52F6B005" w:rsidR="007F3F3F" w:rsidRDefault="00292A90">
          <w:pPr>
            <w:pStyle w:val="TOC1"/>
            <w:tabs>
              <w:tab w:val="left" w:pos="660"/>
              <w:tab w:val="right" w:leader="dot" w:pos="9350"/>
            </w:tabs>
            <w:rPr>
              <w:noProof/>
            </w:rPr>
          </w:pPr>
          <w:hyperlink w:anchor="_Toc24974537" w:history="1">
            <w:r w:rsidR="007F3F3F" w:rsidRPr="003C14D4">
              <w:rPr>
                <w:rStyle w:val="Hyperlink"/>
                <w:noProof/>
              </w:rPr>
              <w:t>18</w:t>
            </w:r>
            <w:r w:rsidR="007F3F3F">
              <w:rPr>
                <w:noProof/>
              </w:rPr>
              <w:tab/>
            </w:r>
            <w:r w:rsidR="007F3F3F" w:rsidRPr="003C14D4">
              <w:rPr>
                <w:rStyle w:val="Hyperlink"/>
                <w:noProof/>
              </w:rPr>
              <w:t>Revision of the Florida Coastal Segment Numeric Nutrient Criteria (NNC) map</w:t>
            </w:r>
            <w:r w:rsidR="007F3F3F">
              <w:rPr>
                <w:noProof/>
                <w:webHidden/>
              </w:rPr>
              <w:tab/>
            </w:r>
            <w:r w:rsidR="007F3F3F">
              <w:rPr>
                <w:noProof/>
                <w:webHidden/>
              </w:rPr>
              <w:fldChar w:fldCharType="begin"/>
            </w:r>
            <w:r w:rsidR="007F3F3F">
              <w:rPr>
                <w:noProof/>
                <w:webHidden/>
              </w:rPr>
              <w:instrText xml:space="preserve"> PAGEREF _Toc24974537 \h </w:instrText>
            </w:r>
            <w:r w:rsidR="007F3F3F">
              <w:rPr>
                <w:noProof/>
                <w:webHidden/>
              </w:rPr>
            </w:r>
            <w:r w:rsidR="007F3F3F">
              <w:rPr>
                <w:noProof/>
                <w:webHidden/>
              </w:rPr>
              <w:fldChar w:fldCharType="separate"/>
            </w:r>
            <w:r w:rsidR="007F3F3F">
              <w:rPr>
                <w:noProof/>
                <w:webHidden/>
              </w:rPr>
              <w:t>22</w:t>
            </w:r>
            <w:r w:rsidR="007F3F3F">
              <w:rPr>
                <w:noProof/>
                <w:webHidden/>
              </w:rPr>
              <w:fldChar w:fldCharType="end"/>
            </w:r>
          </w:hyperlink>
        </w:p>
        <w:p w14:paraId="6C35407F" w14:textId="675F9ADB" w:rsidR="007F3F3F" w:rsidRDefault="00292A90">
          <w:pPr>
            <w:pStyle w:val="TOC1"/>
            <w:tabs>
              <w:tab w:val="left" w:pos="660"/>
              <w:tab w:val="right" w:leader="dot" w:pos="9350"/>
            </w:tabs>
            <w:rPr>
              <w:noProof/>
            </w:rPr>
          </w:pPr>
          <w:hyperlink w:anchor="_Toc24974538" w:history="1">
            <w:r w:rsidR="007F3F3F" w:rsidRPr="003C14D4">
              <w:rPr>
                <w:rStyle w:val="Hyperlink"/>
                <w:noProof/>
              </w:rPr>
              <w:t>19</w:t>
            </w:r>
            <w:r w:rsidR="007F3F3F">
              <w:rPr>
                <w:noProof/>
              </w:rPr>
              <w:tab/>
            </w:r>
            <w:r w:rsidR="007F3F3F" w:rsidRPr="003C14D4">
              <w:rPr>
                <w:rStyle w:val="Hyperlink"/>
                <w:noProof/>
              </w:rPr>
              <w:t>Revisions to a number of estuary nutrient region (ENR) maps</w:t>
            </w:r>
            <w:r w:rsidR="007F3F3F">
              <w:rPr>
                <w:noProof/>
                <w:webHidden/>
              </w:rPr>
              <w:tab/>
            </w:r>
            <w:r w:rsidR="007F3F3F">
              <w:rPr>
                <w:noProof/>
                <w:webHidden/>
              </w:rPr>
              <w:fldChar w:fldCharType="begin"/>
            </w:r>
            <w:r w:rsidR="007F3F3F">
              <w:rPr>
                <w:noProof/>
                <w:webHidden/>
              </w:rPr>
              <w:instrText xml:space="preserve"> PAGEREF _Toc24974538 \h </w:instrText>
            </w:r>
            <w:r w:rsidR="007F3F3F">
              <w:rPr>
                <w:noProof/>
                <w:webHidden/>
              </w:rPr>
            </w:r>
            <w:r w:rsidR="007F3F3F">
              <w:rPr>
                <w:noProof/>
                <w:webHidden/>
              </w:rPr>
              <w:fldChar w:fldCharType="separate"/>
            </w:r>
            <w:r w:rsidR="007F3F3F">
              <w:rPr>
                <w:noProof/>
                <w:webHidden/>
              </w:rPr>
              <w:t>22</w:t>
            </w:r>
            <w:r w:rsidR="007F3F3F">
              <w:rPr>
                <w:noProof/>
                <w:webHidden/>
              </w:rPr>
              <w:fldChar w:fldCharType="end"/>
            </w:r>
          </w:hyperlink>
        </w:p>
        <w:p w14:paraId="51F84857" w14:textId="4F5BC5C4" w:rsidR="007F3F3F" w:rsidRDefault="00292A90">
          <w:pPr>
            <w:pStyle w:val="TOC1"/>
            <w:tabs>
              <w:tab w:val="left" w:pos="660"/>
              <w:tab w:val="right" w:leader="dot" w:pos="9350"/>
            </w:tabs>
            <w:rPr>
              <w:noProof/>
            </w:rPr>
          </w:pPr>
          <w:hyperlink w:anchor="_Toc24974539" w:history="1">
            <w:r w:rsidR="007F3F3F" w:rsidRPr="003C14D4">
              <w:rPr>
                <w:rStyle w:val="Hyperlink"/>
                <w:noProof/>
              </w:rPr>
              <w:t>20</w:t>
            </w:r>
            <w:r w:rsidR="007F3F3F">
              <w:rPr>
                <w:noProof/>
              </w:rPr>
              <w:tab/>
            </w:r>
            <w:r w:rsidR="007F3F3F" w:rsidRPr="003C14D4">
              <w:rPr>
                <w:rStyle w:val="Hyperlink"/>
                <w:noProof/>
              </w:rPr>
              <w:t>Addition of text to Chapter 62-303, F.A.C., to assess more expressions of NNC</w:t>
            </w:r>
            <w:r w:rsidR="007F3F3F">
              <w:rPr>
                <w:noProof/>
                <w:webHidden/>
              </w:rPr>
              <w:tab/>
            </w:r>
            <w:r w:rsidR="007F3F3F">
              <w:rPr>
                <w:noProof/>
                <w:webHidden/>
              </w:rPr>
              <w:fldChar w:fldCharType="begin"/>
            </w:r>
            <w:r w:rsidR="007F3F3F">
              <w:rPr>
                <w:noProof/>
                <w:webHidden/>
              </w:rPr>
              <w:instrText xml:space="preserve"> PAGEREF _Toc24974539 \h </w:instrText>
            </w:r>
            <w:r w:rsidR="007F3F3F">
              <w:rPr>
                <w:noProof/>
                <w:webHidden/>
              </w:rPr>
            </w:r>
            <w:r w:rsidR="007F3F3F">
              <w:rPr>
                <w:noProof/>
                <w:webHidden/>
              </w:rPr>
              <w:fldChar w:fldCharType="separate"/>
            </w:r>
            <w:r w:rsidR="007F3F3F">
              <w:rPr>
                <w:noProof/>
                <w:webHidden/>
              </w:rPr>
              <w:t>22</w:t>
            </w:r>
            <w:r w:rsidR="007F3F3F">
              <w:rPr>
                <w:noProof/>
                <w:webHidden/>
              </w:rPr>
              <w:fldChar w:fldCharType="end"/>
            </w:r>
          </w:hyperlink>
        </w:p>
        <w:p w14:paraId="3CFC035A" w14:textId="0E4C9680" w:rsidR="007F3F3F" w:rsidRDefault="00292A90">
          <w:pPr>
            <w:pStyle w:val="TOC2"/>
            <w:tabs>
              <w:tab w:val="left" w:pos="880"/>
              <w:tab w:val="right" w:leader="dot" w:pos="9350"/>
            </w:tabs>
            <w:rPr>
              <w:noProof/>
            </w:rPr>
          </w:pPr>
          <w:hyperlink w:anchor="_Toc24974540" w:history="1">
            <w:r w:rsidR="007F3F3F" w:rsidRPr="003C14D4">
              <w:rPr>
                <w:rStyle w:val="Hyperlink"/>
                <w:noProof/>
              </w:rPr>
              <w:t>20.1</w:t>
            </w:r>
            <w:r w:rsidR="007F3F3F">
              <w:rPr>
                <w:noProof/>
              </w:rPr>
              <w:tab/>
            </w:r>
            <w:r w:rsidR="007F3F3F" w:rsidRPr="003C14D4">
              <w:rPr>
                <w:rStyle w:val="Hyperlink"/>
                <w:noProof/>
              </w:rPr>
              <w:t>Conclusion</w:t>
            </w:r>
            <w:r w:rsidR="007F3F3F">
              <w:rPr>
                <w:noProof/>
                <w:webHidden/>
              </w:rPr>
              <w:tab/>
            </w:r>
            <w:r w:rsidR="007F3F3F">
              <w:rPr>
                <w:noProof/>
                <w:webHidden/>
              </w:rPr>
              <w:fldChar w:fldCharType="begin"/>
            </w:r>
            <w:r w:rsidR="007F3F3F">
              <w:rPr>
                <w:noProof/>
                <w:webHidden/>
              </w:rPr>
              <w:instrText xml:space="preserve"> PAGEREF _Toc24974540 \h </w:instrText>
            </w:r>
            <w:r w:rsidR="007F3F3F">
              <w:rPr>
                <w:noProof/>
                <w:webHidden/>
              </w:rPr>
            </w:r>
            <w:r w:rsidR="007F3F3F">
              <w:rPr>
                <w:noProof/>
                <w:webHidden/>
              </w:rPr>
              <w:fldChar w:fldCharType="separate"/>
            </w:r>
            <w:r w:rsidR="007F3F3F">
              <w:rPr>
                <w:noProof/>
                <w:webHidden/>
              </w:rPr>
              <w:t>23</w:t>
            </w:r>
            <w:r w:rsidR="007F3F3F">
              <w:rPr>
                <w:noProof/>
                <w:webHidden/>
              </w:rPr>
              <w:fldChar w:fldCharType="end"/>
            </w:r>
          </w:hyperlink>
        </w:p>
        <w:p w14:paraId="2B19740E" w14:textId="77C0404A" w:rsidR="007F3F3F" w:rsidRDefault="00292A90">
          <w:pPr>
            <w:pStyle w:val="TOC1"/>
            <w:tabs>
              <w:tab w:val="left" w:pos="660"/>
              <w:tab w:val="right" w:leader="dot" w:pos="9350"/>
            </w:tabs>
            <w:rPr>
              <w:noProof/>
            </w:rPr>
          </w:pPr>
          <w:hyperlink w:anchor="_Toc24974541" w:history="1">
            <w:r w:rsidR="007F3F3F" w:rsidRPr="003C14D4">
              <w:rPr>
                <w:rStyle w:val="Hyperlink"/>
                <w:noProof/>
              </w:rPr>
              <w:t>21</w:t>
            </w:r>
            <w:r w:rsidR="007F3F3F">
              <w:rPr>
                <w:noProof/>
              </w:rPr>
              <w:tab/>
            </w:r>
            <w:r w:rsidR="007F3F3F" w:rsidRPr="003C14D4">
              <w:rPr>
                <w:rStyle w:val="Hyperlink"/>
                <w:noProof/>
              </w:rPr>
              <w:t>Marine and freshwater cadmium criteria</w:t>
            </w:r>
            <w:r w:rsidR="007F3F3F">
              <w:rPr>
                <w:noProof/>
                <w:webHidden/>
              </w:rPr>
              <w:tab/>
            </w:r>
            <w:r w:rsidR="007F3F3F">
              <w:rPr>
                <w:noProof/>
                <w:webHidden/>
              </w:rPr>
              <w:fldChar w:fldCharType="begin"/>
            </w:r>
            <w:r w:rsidR="007F3F3F">
              <w:rPr>
                <w:noProof/>
                <w:webHidden/>
              </w:rPr>
              <w:instrText xml:space="preserve"> PAGEREF _Toc24974541 \h </w:instrText>
            </w:r>
            <w:r w:rsidR="007F3F3F">
              <w:rPr>
                <w:noProof/>
                <w:webHidden/>
              </w:rPr>
            </w:r>
            <w:r w:rsidR="007F3F3F">
              <w:rPr>
                <w:noProof/>
                <w:webHidden/>
              </w:rPr>
              <w:fldChar w:fldCharType="separate"/>
            </w:r>
            <w:r w:rsidR="007F3F3F">
              <w:rPr>
                <w:noProof/>
                <w:webHidden/>
              </w:rPr>
              <w:t>23</w:t>
            </w:r>
            <w:r w:rsidR="007F3F3F">
              <w:rPr>
                <w:noProof/>
                <w:webHidden/>
              </w:rPr>
              <w:fldChar w:fldCharType="end"/>
            </w:r>
          </w:hyperlink>
        </w:p>
        <w:p w14:paraId="0A860732" w14:textId="7C1445A5" w:rsidR="007F3F3F" w:rsidRDefault="00292A90">
          <w:pPr>
            <w:pStyle w:val="TOC2"/>
            <w:tabs>
              <w:tab w:val="left" w:pos="880"/>
              <w:tab w:val="right" w:leader="dot" w:pos="9350"/>
            </w:tabs>
            <w:rPr>
              <w:noProof/>
            </w:rPr>
          </w:pPr>
          <w:hyperlink w:anchor="_Toc24974542" w:history="1">
            <w:r w:rsidR="007F3F3F" w:rsidRPr="003C14D4">
              <w:rPr>
                <w:rStyle w:val="Hyperlink"/>
                <w:noProof/>
              </w:rPr>
              <w:t>21.1</w:t>
            </w:r>
            <w:r w:rsidR="007F3F3F">
              <w:rPr>
                <w:noProof/>
              </w:rPr>
              <w:tab/>
            </w:r>
            <w:r w:rsidR="007F3F3F" w:rsidRPr="003C14D4">
              <w:rPr>
                <w:rStyle w:val="Hyperlink"/>
                <w:noProof/>
              </w:rPr>
              <w:t>Conclusions</w:t>
            </w:r>
            <w:r w:rsidR="007F3F3F">
              <w:rPr>
                <w:noProof/>
                <w:webHidden/>
              </w:rPr>
              <w:tab/>
            </w:r>
            <w:r w:rsidR="007F3F3F">
              <w:rPr>
                <w:noProof/>
                <w:webHidden/>
              </w:rPr>
              <w:fldChar w:fldCharType="begin"/>
            </w:r>
            <w:r w:rsidR="007F3F3F">
              <w:rPr>
                <w:noProof/>
                <w:webHidden/>
              </w:rPr>
              <w:instrText xml:space="preserve"> PAGEREF _Toc24974542 \h </w:instrText>
            </w:r>
            <w:r w:rsidR="007F3F3F">
              <w:rPr>
                <w:noProof/>
                <w:webHidden/>
              </w:rPr>
            </w:r>
            <w:r w:rsidR="007F3F3F">
              <w:rPr>
                <w:noProof/>
                <w:webHidden/>
              </w:rPr>
              <w:fldChar w:fldCharType="separate"/>
            </w:r>
            <w:r w:rsidR="007F3F3F">
              <w:rPr>
                <w:noProof/>
                <w:webHidden/>
              </w:rPr>
              <w:t>23</w:t>
            </w:r>
            <w:r w:rsidR="007F3F3F">
              <w:rPr>
                <w:noProof/>
                <w:webHidden/>
              </w:rPr>
              <w:fldChar w:fldCharType="end"/>
            </w:r>
          </w:hyperlink>
        </w:p>
        <w:p w14:paraId="52CEAEED" w14:textId="5FA4CD54" w:rsidR="007F3F3F" w:rsidRDefault="00292A90">
          <w:pPr>
            <w:pStyle w:val="TOC1"/>
            <w:tabs>
              <w:tab w:val="left" w:pos="660"/>
              <w:tab w:val="right" w:leader="dot" w:pos="9350"/>
            </w:tabs>
            <w:rPr>
              <w:noProof/>
            </w:rPr>
          </w:pPr>
          <w:hyperlink w:anchor="_Toc24974543" w:history="1">
            <w:r w:rsidR="007F3F3F" w:rsidRPr="003C14D4">
              <w:rPr>
                <w:rStyle w:val="Hyperlink"/>
                <w:noProof/>
              </w:rPr>
              <w:t>22</w:t>
            </w:r>
            <w:r w:rsidR="007F3F3F">
              <w:rPr>
                <w:noProof/>
              </w:rPr>
              <w:tab/>
            </w:r>
            <w:r w:rsidR="007F3F3F" w:rsidRPr="003C14D4">
              <w:rPr>
                <w:rStyle w:val="Hyperlink"/>
                <w:noProof/>
              </w:rPr>
              <w:t>Total Ammonia Nitrogen (TAN)</w:t>
            </w:r>
            <w:r w:rsidR="007F3F3F">
              <w:rPr>
                <w:noProof/>
                <w:webHidden/>
              </w:rPr>
              <w:tab/>
            </w:r>
            <w:r w:rsidR="007F3F3F">
              <w:rPr>
                <w:noProof/>
                <w:webHidden/>
              </w:rPr>
              <w:fldChar w:fldCharType="begin"/>
            </w:r>
            <w:r w:rsidR="007F3F3F">
              <w:rPr>
                <w:noProof/>
                <w:webHidden/>
              </w:rPr>
              <w:instrText xml:space="preserve"> PAGEREF _Toc24974543 \h </w:instrText>
            </w:r>
            <w:r w:rsidR="007F3F3F">
              <w:rPr>
                <w:noProof/>
                <w:webHidden/>
              </w:rPr>
            </w:r>
            <w:r w:rsidR="007F3F3F">
              <w:rPr>
                <w:noProof/>
                <w:webHidden/>
              </w:rPr>
              <w:fldChar w:fldCharType="separate"/>
            </w:r>
            <w:r w:rsidR="007F3F3F">
              <w:rPr>
                <w:noProof/>
                <w:webHidden/>
              </w:rPr>
              <w:t>23</w:t>
            </w:r>
            <w:r w:rsidR="007F3F3F">
              <w:rPr>
                <w:noProof/>
                <w:webHidden/>
              </w:rPr>
              <w:fldChar w:fldCharType="end"/>
            </w:r>
          </w:hyperlink>
        </w:p>
        <w:p w14:paraId="5E19A8EA" w14:textId="2F518C6D" w:rsidR="007F3F3F" w:rsidRDefault="00292A90">
          <w:pPr>
            <w:pStyle w:val="TOC2"/>
            <w:tabs>
              <w:tab w:val="left" w:pos="880"/>
              <w:tab w:val="right" w:leader="dot" w:pos="9350"/>
            </w:tabs>
            <w:rPr>
              <w:noProof/>
            </w:rPr>
          </w:pPr>
          <w:hyperlink w:anchor="_Toc24974544" w:history="1">
            <w:r w:rsidR="007F3F3F" w:rsidRPr="003C14D4">
              <w:rPr>
                <w:rStyle w:val="Hyperlink"/>
                <w:noProof/>
              </w:rPr>
              <w:t>22.1</w:t>
            </w:r>
            <w:r w:rsidR="007F3F3F">
              <w:rPr>
                <w:noProof/>
              </w:rPr>
              <w:tab/>
            </w:r>
            <w:r w:rsidR="007F3F3F" w:rsidRPr="003C14D4">
              <w:rPr>
                <w:rStyle w:val="Hyperlink"/>
                <w:noProof/>
              </w:rPr>
              <w:t>Conclusions</w:t>
            </w:r>
            <w:r w:rsidR="007F3F3F">
              <w:rPr>
                <w:noProof/>
                <w:webHidden/>
              </w:rPr>
              <w:tab/>
            </w:r>
            <w:r w:rsidR="007F3F3F">
              <w:rPr>
                <w:noProof/>
                <w:webHidden/>
              </w:rPr>
              <w:fldChar w:fldCharType="begin"/>
            </w:r>
            <w:r w:rsidR="007F3F3F">
              <w:rPr>
                <w:noProof/>
                <w:webHidden/>
              </w:rPr>
              <w:instrText xml:space="preserve"> PAGEREF _Toc24974544 \h </w:instrText>
            </w:r>
            <w:r w:rsidR="007F3F3F">
              <w:rPr>
                <w:noProof/>
                <w:webHidden/>
              </w:rPr>
            </w:r>
            <w:r w:rsidR="007F3F3F">
              <w:rPr>
                <w:noProof/>
                <w:webHidden/>
              </w:rPr>
              <w:fldChar w:fldCharType="separate"/>
            </w:r>
            <w:r w:rsidR="007F3F3F">
              <w:rPr>
                <w:noProof/>
                <w:webHidden/>
              </w:rPr>
              <w:t>23</w:t>
            </w:r>
            <w:r w:rsidR="007F3F3F">
              <w:rPr>
                <w:noProof/>
                <w:webHidden/>
              </w:rPr>
              <w:fldChar w:fldCharType="end"/>
            </w:r>
          </w:hyperlink>
        </w:p>
        <w:p w14:paraId="19720BA7" w14:textId="159DA86E" w:rsidR="007F3F3F" w:rsidRDefault="00292A90">
          <w:pPr>
            <w:pStyle w:val="TOC1"/>
            <w:tabs>
              <w:tab w:val="left" w:pos="660"/>
              <w:tab w:val="right" w:leader="dot" w:pos="9350"/>
            </w:tabs>
            <w:rPr>
              <w:noProof/>
            </w:rPr>
          </w:pPr>
          <w:hyperlink w:anchor="_Toc24974545" w:history="1">
            <w:r w:rsidR="007F3F3F" w:rsidRPr="003C14D4">
              <w:rPr>
                <w:rStyle w:val="Hyperlink"/>
                <w:noProof/>
              </w:rPr>
              <w:t>23</w:t>
            </w:r>
            <w:r w:rsidR="007F3F3F">
              <w:rPr>
                <w:noProof/>
              </w:rPr>
              <w:tab/>
            </w:r>
            <w:r w:rsidR="007F3F3F" w:rsidRPr="003C14D4">
              <w:rPr>
                <w:rStyle w:val="Hyperlink"/>
                <w:noProof/>
              </w:rPr>
              <w:t>Turbidity criterion, including a criterion to protect corals and hardbottom communities</w:t>
            </w:r>
            <w:r w:rsidR="007F3F3F">
              <w:rPr>
                <w:noProof/>
                <w:webHidden/>
              </w:rPr>
              <w:tab/>
            </w:r>
            <w:r w:rsidR="007F3F3F">
              <w:rPr>
                <w:noProof/>
                <w:webHidden/>
              </w:rPr>
              <w:fldChar w:fldCharType="begin"/>
            </w:r>
            <w:r w:rsidR="007F3F3F">
              <w:rPr>
                <w:noProof/>
                <w:webHidden/>
              </w:rPr>
              <w:instrText xml:space="preserve"> PAGEREF _Toc24974545 \h </w:instrText>
            </w:r>
            <w:r w:rsidR="007F3F3F">
              <w:rPr>
                <w:noProof/>
                <w:webHidden/>
              </w:rPr>
            </w:r>
            <w:r w:rsidR="007F3F3F">
              <w:rPr>
                <w:noProof/>
                <w:webHidden/>
              </w:rPr>
              <w:fldChar w:fldCharType="separate"/>
            </w:r>
            <w:r w:rsidR="007F3F3F">
              <w:rPr>
                <w:noProof/>
                <w:webHidden/>
              </w:rPr>
              <w:t>23</w:t>
            </w:r>
            <w:r w:rsidR="007F3F3F">
              <w:rPr>
                <w:noProof/>
                <w:webHidden/>
              </w:rPr>
              <w:fldChar w:fldCharType="end"/>
            </w:r>
          </w:hyperlink>
        </w:p>
        <w:p w14:paraId="4735B5B2" w14:textId="405A129D" w:rsidR="007F3F3F" w:rsidRDefault="00292A90">
          <w:pPr>
            <w:pStyle w:val="TOC2"/>
            <w:tabs>
              <w:tab w:val="left" w:pos="880"/>
              <w:tab w:val="right" w:leader="dot" w:pos="9350"/>
            </w:tabs>
            <w:rPr>
              <w:noProof/>
            </w:rPr>
          </w:pPr>
          <w:hyperlink w:anchor="_Toc24974546" w:history="1">
            <w:r w:rsidR="007F3F3F" w:rsidRPr="003C14D4">
              <w:rPr>
                <w:rStyle w:val="Hyperlink"/>
                <w:noProof/>
              </w:rPr>
              <w:t>23.1</w:t>
            </w:r>
            <w:r w:rsidR="007F3F3F">
              <w:rPr>
                <w:noProof/>
              </w:rPr>
              <w:tab/>
            </w:r>
            <w:r w:rsidR="007F3F3F" w:rsidRPr="003C14D4">
              <w:rPr>
                <w:rStyle w:val="Hyperlink"/>
                <w:noProof/>
              </w:rPr>
              <w:t>Conclusions</w:t>
            </w:r>
            <w:r w:rsidR="007F3F3F">
              <w:rPr>
                <w:noProof/>
                <w:webHidden/>
              </w:rPr>
              <w:tab/>
            </w:r>
            <w:r w:rsidR="007F3F3F">
              <w:rPr>
                <w:noProof/>
                <w:webHidden/>
              </w:rPr>
              <w:fldChar w:fldCharType="begin"/>
            </w:r>
            <w:r w:rsidR="007F3F3F">
              <w:rPr>
                <w:noProof/>
                <w:webHidden/>
              </w:rPr>
              <w:instrText xml:space="preserve"> PAGEREF _Toc24974546 \h </w:instrText>
            </w:r>
            <w:r w:rsidR="007F3F3F">
              <w:rPr>
                <w:noProof/>
                <w:webHidden/>
              </w:rPr>
            </w:r>
            <w:r w:rsidR="007F3F3F">
              <w:rPr>
                <w:noProof/>
                <w:webHidden/>
              </w:rPr>
              <w:fldChar w:fldCharType="separate"/>
            </w:r>
            <w:r w:rsidR="007F3F3F">
              <w:rPr>
                <w:noProof/>
                <w:webHidden/>
              </w:rPr>
              <w:t>24</w:t>
            </w:r>
            <w:r w:rsidR="007F3F3F">
              <w:rPr>
                <w:noProof/>
                <w:webHidden/>
              </w:rPr>
              <w:fldChar w:fldCharType="end"/>
            </w:r>
          </w:hyperlink>
        </w:p>
        <w:p w14:paraId="7288580F" w14:textId="6939C960" w:rsidR="007F3F3F" w:rsidRDefault="00292A90">
          <w:pPr>
            <w:pStyle w:val="TOC1"/>
            <w:tabs>
              <w:tab w:val="left" w:pos="660"/>
              <w:tab w:val="right" w:leader="dot" w:pos="9350"/>
            </w:tabs>
            <w:rPr>
              <w:noProof/>
            </w:rPr>
          </w:pPr>
          <w:hyperlink w:anchor="_Toc24974547" w:history="1">
            <w:r w:rsidR="007F3F3F" w:rsidRPr="003C14D4">
              <w:rPr>
                <w:rStyle w:val="Hyperlink"/>
                <w:noProof/>
              </w:rPr>
              <w:t>24</w:t>
            </w:r>
            <w:r w:rsidR="007F3F3F">
              <w:rPr>
                <w:noProof/>
              </w:rPr>
              <w:tab/>
            </w:r>
            <w:r w:rsidR="007F3F3F" w:rsidRPr="003C14D4">
              <w:rPr>
                <w:rStyle w:val="Hyperlink"/>
                <w:noProof/>
              </w:rPr>
              <w:t>Incorporation by reference of a document titled “Implementation of the Turbidity Criterion for the Protection of Coral Reef and Hardbottom Communities”</w:t>
            </w:r>
            <w:r w:rsidR="007F3F3F">
              <w:rPr>
                <w:noProof/>
                <w:webHidden/>
              </w:rPr>
              <w:tab/>
            </w:r>
            <w:r w:rsidR="007F3F3F">
              <w:rPr>
                <w:noProof/>
                <w:webHidden/>
              </w:rPr>
              <w:fldChar w:fldCharType="begin"/>
            </w:r>
            <w:r w:rsidR="007F3F3F">
              <w:rPr>
                <w:noProof/>
                <w:webHidden/>
              </w:rPr>
              <w:instrText xml:space="preserve"> PAGEREF _Toc24974547 \h </w:instrText>
            </w:r>
            <w:r w:rsidR="007F3F3F">
              <w:rPr>
                <w:noProof/>
                <w:webHidden/>
              </w:rPr>
            </w:r>
            <w:r w:rsidR="007F3F3F">
              <w:rPr>
                <w:noProof/>
                <w:webHidden/>
              </w:rPr>
              <w:fldChar w:fldCharType="separate"/>
            </w:r>
            <w:r w:rsidR="007F3F3F">
              <w:rPr>
                <w:noProof/>
                <w:webHidden/>
              </w:rPr>
              <w:t>25</w:t>
            </w:r>
            <w:r w:rsidR="007F3F3F">
              <w:rPr>
                <w:noProof/>
                <w:webHidden/>
              </w:rPr>
              <w:fldChar w:fldCharType="end"/>
            </w:r>
          </w:hyperlink>
        </w:p>
        <w:p w14:paraId="73A734F4" w14:textId="17F9365D" w:rsidR="007F3F3F" w:rsidRDefault="00292A90">
          <w:pPr>
            <w:pStyle w:val="TOC2"/>
            <w:tabs>
              <w:tab w:val="left" w:pos="880"/>
              <w:tab w:val="right" w:leader="dot" w:pos="9350"/>
            </w:tabs>
            <w:rPr>
              <w:noProof/>
            </w:rPr>
          </w:pPr>
          <w:hyperlink w:anchor="_Toc24974548" w:history="1">
            <w:r w:rsidR="007F3F3F" w:rsidRPr="003C14D4">
              <w:rPr>
                <w:rStyle w:val="Hyperlink"/>
                <w:noProof/>
              </w:rPr>
              <w:t>24.1</w:t>
            </w:r>
            <w:r w:rsidR="007F3F3F">
              <w:rPr>
                <w:noProof/>
              </w:rPr>
              <w:tab/>
            </w:r>
            <w:r w:rsidR="007F3F3F" w:rsidRPr="003C14D4">
              <w:rPr>
                <w:rStyle w:val="Hyperlink"/>
                <w:noProof/>
              </w:rPr>
              <w:t>IWR Assessment</w:t>
            </w:r>
            <w:r w:rsidR="007F3F3F">
              <w:rPr>
                <w:noProof/>
                <w:webHidden/>
              </w:rPr>
              <w:tab/>
            </w:r>
            <w:r w:rsidR="007F3F3F">
              <w:rPr>
                <w:noProof/>
                <w:webHidden/>
              </w:rPr>
              <w:fldChar w:fldCharType="begin"/>
            </w:r>
            <w:r w:rsidR="007F3F3F">
              <w:rPr>
                <w:noProof/>
                <w:webHidden/>
              </w:rPr>
              <w:instrText xml:space="preserve"> PAGEREF _Toc24974548 \h </w:instrText>
            </w:r>
            <w:r w:rsidR="007F3F3F">
              <w:rPr>
                <w:noProof/>
                <w:webHidden/>
              </w:rPr>
            </w:r>
            <w:r w:rsidR="007F3F3F">
              <w:rPr>
                <w:noProof/>
                <w:webHidden/>
              </w:rPr>
              <w:fldChar w:fldCharType="separate"/>
            </w:r>
            <w:r w:rsidR="007F3F3F">
              <w:rPr>
                <w:noProof/>
                <w:webHidden/>
              </w:rPr>
              <w:t>25</w:t>
            </w:r>
            <w:r w:rsidR="007F3F3F">
              <w:rPr>
                <w:noProof/>
                <w:webHidden/>
              </w:rPr>
              <w:fldChar w:fldCharType="end"/>
            </w:r>
          </w:hyperlink>
        </w:p>
        <w:p w14:paraId="70A75811" w14:textId="3B382330" w:rsidR="007F3F3F" w:rsidRDefault="00292A90">
          <w:pPr>
            <w:pStyle w:val="TOC2"/>
            <w:tabs>
              <w:tab w:val="left" w:pos="880"/>
              <w:tab w:val="right" w:leader="dot" w:pos="9350"/>
            </w:tabs>
            <w:rPr>
              <w:noProof/>
            </w:rPr>
          </w:pPr>
          <w:hyperlink w:anchor="_Toc24974549" w:history="1">
            <w:r w:rsidR="007F3F3F" w:rsidRPr="003C14D4">
              <w:rPr>
                <w:rStyle w:val="Hyperlink"/>
                <w:noProof/>
              </w:rPr>
              <w:t>24.2</w:t>
            </w:r>
            <w:r w:rsidR="007F3F3F">
              <w:rPr>
                <w:noProof/>
              </w:rPr>
              <w:tab/>
            </w:r>
            <w:r w:rsidR="007F3F3F" w:rsidRPr="003C14D4">
              <w:rPr>
                <w:rStyle w:val="Hyperlink"/>
                <w:noProof/>
              </w:rPr>
              <w:t>Conclusions</w:t>
            </w:r>
            <w:r w:rsidR="007F3F3F">
              <w:rPr>
                <w:noProof/>
                <w:webHidden/>
              </w:rPr>
              <w:tab/>
            </w:r>
            <w:r w:rsidR="007F3F3F">
              <w:rPr>
                <w:noProof/>
                <w:webHidden/>
              </w:rPr>
              <w:fldChar w:fldCharType="begin"/>
            </w:r>
            <w:r w:rsidR="007F3F3F">
              <w:rPr>
                <w:noProof/>
                <w:webHidden/>
              </w:rPr>
              <w:instrText xml:space="preserve"> PAGEREF _Toc24974549 \h </w:instrText>
            </w:r>
            <w:r w:rsidR="007F3F3F">
              <w:rPr>
                <w:noProof/>
                <w:webHidden/>
              </w:rPr>
            </w:r>
            <w:r w:rsidR="007F3F3F">
              <w:rPr>
                <w:noProof/>
                <w:webHidden/>
              </w:rPr>
              <w:fldChar w:fldCharType="separate"/>
            </w:r>
            <w:r w:rsidR="007F3F3F">
              <w:rPr>
                <w:noProof/>
                <w:webHidden/>
              </w:rPr>
              <w:t>26</w:t>
            </w:r>
            <w:r w:rsidR="007F3F3F">
              <w:rPr>
                <w:noProof/>
                <w:webHidden/>
              </w:rPr>
              <w:fldChar w:fldCharType="end"/>
            </w:r>
          </w:hyperlink>
        </w:p>
        <w:p w14:paraId="5EEA85E0" w14:textId="09E9331B" w:rsidR="007F3F3F" w:rsidRDefault="00292A90">
          <w:pPr>
            <w:pStyle w:val="TOC1"/>
            <w:tabs>
              <w:tab w:val="left" w:pos="660"/>
              <w:tab w:val="right" w:leader="dot" w:pos="9350"/>
            </w:tabs>
            <w:rPr>
              <w:noProof/>
            </w:rPr>
          </w:pPr>
          <w:hyperlink w:anchor="_Toc24974550" w:history="1">
            <w:r w:rsidR="007F3F3F" w:rsidRPr="003C14D4">
              <w:rPr>
                <w:rStyle w:val="Hyperlink"/>
                <w:noProof/>
              </w:rPr>
              <w:t>25</w:t>
            </w:r>
            <w:r w:rsidR="007F3F3F">
              <w:rPr>
                <w:noProof/>
              </w:rPr>
              <w:tab/>
            </w:r>
            <w:r w:rsidR="007F3F3F" w:rsidRPr="003C14D4">
              <w:rPr>
                <w:rStyle w:val="Hyperlink"/>
                <w:noProof/>
              </w:rPr>
              <w:t>Lack of Scientific Support for the Shannon-Weaver Biological Integrity Criterion, Chapter 62-302.530(10), F.A.C.</w:t>
            </w:r>
            <w:r w:rsidR="007F3F3F">
              <w:rPr>
                <w:noProof/>
                <w:webHidden/>
              </w:rPr>
              <w:tab/>
            </w:r>
            <w:r w:rsidR="007F3F3F">
              <w:rPr>
                <w:noProof/>
                <w:webHidden/>
              </w:rPr>
              <w:fldChar w:fldCharType="begin"/>
            </w:r>
            <w:r w:rsidR="007F3F3F">
              <w:rPr>
                <w:noProof/>
                <w:webHidden/>
              </w:rPr>
              <w:instrText xml:space="preserve"> PAGEREF _Toc24974550 \h </w:instrText>
            </w:r>
            <w:r w:rsidR="007F3F3F">
              <w:rPr>
                <w:noProof/>
                <w:webHidden/>
              </w:rPr>
            </w:r>
            <w:r w:rsidR="007F3F3F">
              <w:rPr>
                <w:noProof/>
                <w:webHidden/>
              </w:rPr>
              <w:fldChar w:fldCharType="separate"/>
            </w:r>
            <w:r w:rsidR="007F3F3F">
              <w:rPr>
                <w:noProof/>
                <w:webHidden/>
              </w:rPr>
              <w:t>26</w:t>
            </w:r>
            <w:r w:rsidR="007F3F3F">
              <w:rPr>
                <w:noProof/>
                <w:webHidden/>
              </w:rPr>
              <w:fldChar w:fldCharType="end"/>
            </w:r>
          </w:hyperlink>
        </w:p>
        <w:p w14:paraId="661ECC66" w14:textId="6C937603" w:rsidR="007F3F3F" w:rsidRDefault="00292A90">
          <w:pPr>
            <w:pStyle w:val="TOC1"/>
            <w:tabs>
              <w:tab w:val="left" w:pos="660"/>
              <w:tab w:val="right" w:leader="dot" w:pos="9350"/>
            </w:tabs>
            <w:rPr>
              <w:noProof/>
            </w:rPr>
          </w:pPr>
          <w:hyperlink w:anchor="_Toc24974551" w:history="1">
            <w:r w:rsidR="007F3F3F" w:rsidRPr="003C14D4">
              <w:rPr>
                <w:rStyle w:val="Hyperlink"/>
                <w:noProof/>
              </w:rPr>
              <w:t>26</w:t>
            </w:r>
            <w:r w:rsidR="007F3F3F">
              <w:rPr>
                <w:noProof/>
              </w:rPr>
              <w:tab/>
            </w:r>
            <w:r w:rsidR="007F3F3F" w:rsidRPr="003C14D4">
              <w:rPr>
                <w:rStyle w:val="Hyperlink"/>
                <w:noProof/>
              </w:rPr>
              <w:t>Literature Cited</w:t>
            </w:r>
            <w:r w:rsidR="007F3F3F">
              <w:rPr>
                <w:noProof/>
                <w:webHidden/>
              </w:rPr>
              <w:tab/>
            </w:r>
            <w:r w:rsidR="007F3F3F">
              <w:rPr>
                <w:noProof/>
                <w:webHidden/>
              </w:rPr>
              <w:fldChar w:fldCharType="begin"/>
            </w:r>
            <w:r w:rsidR="007F3F3F">
              <w:rPr>
                <w:noProof/>
                <w:webHidden/>
              </w:rPr>
              <w:instrText xml:space="preserve"> PAGEREF _Toc24974551 \h </w:instrText>
            </w:r>
            <w:r w:rsidR="007F3F3F">
              <w:rPr>
                <w:noProof/>
                <w:webHidden/>
              </w:rPr>
            </w:r>
            <w:r w:rsidR="007F3F3F">
              <w:rPr>
                <w:noProof/>
                <w:webHidden/>
              </w:rPr>
              <w:fldChar w:fldCharType="separate"/>
            </w:r>
            <w:r w:rsidR="007F3F3F">
              <w:rPr>
                <w:noProof/>
                <w:webHidden/>
              </w:rPr>
              <w:t>29</w:t>
            </w:r>
            <w:r w:rsidR="007F3F3F">
              <w:rPr>
                <w:noProof/>
                <w:webHidden/>
              </w:rPr>
              <w:fldChar w:fldCharType="end"/>
            </w:r>
          </w:hyperlink>
        </w:p>
        <w:p w14:paraId="4F0A8788" w14:textId="46943FB8" w:rsidR="008E4E63" w:rsidRPr="00FD7081" w:rsidRDefault="00E77C0D" w:rsidP="000C3B75">
          <w:pPr>
            <w:jc w:val="both"/>
          </w:pPr>
          <w:r>
            <w:rPr>
              <w:b/>
              <w:bCs/>
              <w:noProof/>
            </w:rPr>
            <w:fldChar w:fldCharType="end"/>
          </w:r>
        </w:p>
      </w:sdtContent>
    </w:sdt>
    <w:p w14:paraId="18DF1F1E" w14:textId="22893089" w:rsidR="003F612B" w:rsidRPr="000043C0" w:rsidRDefault="00DE3B9A" w:rsidP="000C3B75">
      <w:pPr>
        <w:jc w:val="both"/>
        <w:rPr>
          <w:rFonts w:asciiTheme="majorHAnsi" w:eastAsiaTheme="majorEastAsia" w:hAnsiTheme="majorHAnsi" w:cstheme="majorBidi"/>
          <w:b/>
          <w:bCs/>
          <w:smallCaps/>
          <w:color w:val="000000" w:themeColor="text1"/>
          <w:sz w:val="36"/>
          <w:szCs w:val="36"/>
        </w:rPr>
      </w:pPr>
      <w:r>
        <w:br w:type="page"/>
      </w:r>
    </w:p>
    <w:p w14:paraId="2F54C541" w14:textId="77777777" w:rsidR="007E5E7C" w:rsidRDefault="007E5E7C" w:rsidP="007E5E7C">
      <w:pPr>
        <w:pStyle w:val="Heading1"/>
        <w:jc w:val="both"/>
      </w:pPr>
      <w:bookmarkStart w:id="0" w:name="_Toc24974515"/>
      <w:r w:rsidRPr="003878EB">
        <w:lastRenderedPageBreak/>
        <w:t>Clarification of listing thresholds in Chapter 62-303, F.A.C., for listings based on fish consumption advisories</w:t>
      </w:r>
      <w:bookmarkEnd w:id="0"/>
    </w:p>
    <w:p w14:paraId="62202468" w14:textId="77777777" w:rsidR="007E5E7C" w:rsidRDefault="007E5E7C" w:rsidP="007E5E7C">
      <w:pPr>
        <w:jc w:val="both"/>
      </w:pPr>
      <w:r w:rsidRPr="00EC035B">
        <w:t xml:space="preserve">Proposed language in Chapter </w:t>
      </w:r>
      <w:r>
        <w:t xml:space="preserve">62-303.370 </w:t>
      </w:r>
      <w:r w:rsidRPr="00EC035B">
        <w:t>FAC, includes the following in yellow highlight,</w:t>
      </w:r>
      <w:r>
        <w:t xml:space="preserve"> “ A Class I, II, III or III-Limited water shall be placed on the Planning List for fish consumption </w:t>
      </w:r>
      <w:r w:rsidRPr="00EC035B">
        <w:rPr>
          <w:highlight w:val="yellow"/>
        </w:rPr>
        <w:t>if DOH has issued an advisory to limit consumption of any fish species from that water to one meal per week or less frequent consumption.</w:t>
      </w:r>
      <w:r>
        <w:t xml:space="preserve">” </w:t>
      </w:r>
    </w:p>
    <w:p w14:paraId="062182CD" w14:textId="750C664B" w:rsidR="007E5E7C" w:rsidRDefault="007E5E7C" w:rsidP="007E5E7C">
      <w:pPr>
        <w:jc w:val="both"/>
      </w:pPr>
      <w:r>
        <w:t xml:space="preserve">FDEP has also proposed changing from a minimum of </w:t>
      </w:r>
      <w:r w:rsidRPr="00721A80">
        <w:rPr>
          <w:b/>
          <w:bCs/>
          <w:highlight w:val="yellow"/>
        </w:rPr>
        <w:t>twelve fish</w:t>
      </w:r>
      <w:r w:rsidRPr="00721A80">
        <w:rPr>
          <w:highlight w:val="yellow"/>
        </w:rPr>
        <w:t xml:space="preserve"> to a minimum of </w:t>
      </w:r>
      <w:r w:rsidRPr="00721A80">
        <w:rPr>
          <w:b/>
          <w:bCs/>
          <w:highlight w:val="yellow"/>
        </w:rPr>
        <w:t>eight fish</w:t>
      </w:r>
      <w:r>
        <w:t xml:space="preserve"> for tissue sampling for compliance with fish consumption. FDEP provided no documentation of a scientific basis for this change. The original minimum of twelve was determined via a statistical analysis that demonstrated that analyzing a minimum of 12 fish produced an acceptably accurate value for proper regulatory action, and therefore, was adopted into FDEP SOPs for fish tissue sampling (FDEP SOP FS 6000). Additionally, the minimum of 12 fish is part of interagency agreements between FWCC, FDEP, and DoH</w:t>
      </w:r>
      <w:r w:rsidR="001D65C2">
        <w:t>. Further,</w:t>
      </w:r>
      <w:r>
        <w:t xml:space="preserve"> the FDEP SOP has not changed</w:t>
      </w:r>
      <w:r w:rsidR="00482453">
        <w:t xml:space="preserve"> (still requiring 12 fish)</w:t>
      </w:r>
      <w:r>
        <w:t xml:space="preserve">. Unless FDEP has conducted a statistical re-analysis that demonstrates a sample size of eight is now sufficient, </w:t>
      </w:r>
      <w:r w:rsidRPr="00721A80">
        <w:rPr>
          <w:b/>
          <w:bCs/>
        </w:rPr>
        <w:t>this decision appears arbitrary</w:t>
      </w:r>
      <w:r>
        <w:t>.</w:t>
      </w:r>
    </w:p>
    <w:p w14:paraId="4EA39DDB" w14:textId="77777777" w:rsidR="007E5E7C" w:rsidRPr="00EC035B" w:rsidRDefault="007E5E7C" w:rsidP="007E5E7C">
      <w:pPr>
        <w:pStyle w:val="Heading2"/>
        <w:jc w:val="both"/>
      </w:pPr>
      <w:bookmarkStart w:id="1" w:name="_Toc24974516"/>
      <w:r w:rsidRPr="00EC035B">
        <w:t>Conclusions</w:t>
      </w:r>
      <w:bookmarkEnd w:id="1"/>
    </w:p>
    <w:p w14:paraId="75EBBAEA" w14:textId="77777777" w:rsidR="007E5E7C" w:rsidRPr="00EC035B" w:rsidRDefault="007E5E7C" w:rsidP="007E5E7C">
      <w:pPr>
        <w:jc w:val="both"/>
      </w:pPr>
      <w:r>
        <w:t xml:space="preserve">The first change represents a clarification of how the FDEP uses DoH fish consumption information for listing purposes.  However, FDEP provided no scientific basis to justify the change in the minimum fish sampling size (from 12 to 8).  Without providing a scientific basis for this reduction in the number of fish needed to achieve a statistical reliable values, </w:t>
      </w:r>
      <w:r w:rsidRPr="007E5E7C">
        <w:rPr>
          <w:b/>
          <w:bCs/>
        </w:rPr>
        <w:t>this decision appears to be arbitrary</w:t>
      </w:r>
      <w:r>
        <w:t>.</w:t>
      </w:r>
    </w:p>
    <w:p w14:paraId="6F6E9379" w14:textId="77777777" w:rsidR="007E5E7C" w:rsidRDefault="007E5E7C" w:rsidP="007E5E7C">
      <w:pPr>
        <w:pStyle w:val="Heading1"/>
        <w:jc w:val="both"/>
      </w:pPr>
      <w:bookmarkStart w:id="2" w:name="_Toc24974517"/>
      <w:r>
        <w:t>WBID Differentiation and Revisions</w:t>
      </w:r>
      <w:bookmarkEnd w:id="2"/>
    </w:p>
    <w:p w14:paraId="001C7B87" w14:textId="6448D09B" w:rsidR="007E5E7C" w:rsidRDefault="007E5E7C" w:rsidP="007E5E7C">
      <w:pPr>
        <w:jc w:val="both"/>
      </w:pPr>
      <w:r>
        <w:t>The process for establishing, subdividing, and altering WBID boundaries should follow vetted, standardized procedures.</w:t>
      </w:r>
      <w:r w:rsidR="00D90F0B">
        <w:t xml:space="preserve"> </w:t>
      </w:r>
      <w:r>
        <w:t xml:space="preserve"> A WBID should be designed such that sampling locations within it are relatively homogenous. An obvious example is that no WBID should contain fresh and marine waters, which make the waters subject to different criteria. However, the differentiation becomes more difficult at finer scales. In particular, WBIDs tend to be effective for ambient water quality monitoring where the assumption is made that a water sample represents a synthesis of factors influencing the WBID. FDEP often relies on multiple sampling sites throughout a WBID to ensure that that sampling is representative of the WBID, however, sampling locations within a WBID should be hydraulically connected to one another. Similarly, waters and areas within the WBID that are not connected to the water quality monitoring network should be assigned to new WBIDs or excluded from the assessment determinations for the existing WBID. </w:t>
      </w:r>
    </w:p>
    <w:p w14:paraId="5FBB932D" w14:textId="77777777" w:rsidR="007E5E7C" w:rsidRDefault="007E5E7C" w:rsidP="007E5E7C">
      <w:pPr>
        <w:jc w:val="both"/>
      </w:pPr>
      <w:r>
        <w:t xml:space="preserve">FDEP periodically revises WBID boundaries, yet FDEP has no standard operating procedure for how they decide to change a WBID and no criteria that demonstrate why the new WBID boundaries are more appropriate for assessment purposes.  FDEP must implement a written, transparent procedure for this purpose.  A WBID Revision SOP should include a sound scientific and statistical basis.  For example, statistical methods described in “Statistical Procedures for Testing Homogeneity of Water Quality Parameters” </w:t>
      </w:r>
      <w:r>
        <w:fldChar w:fldCharType="begin"/>
      </w:r>
      <w:r>
        <w:instrText xml:space="preserve"> ADDIN ZOTERO_ITEM CSL_CITATION {"citationID":"hYw00cX7","properties":{"formattedCitation":"(Niu, 2005)","plainCitation":"(Niu, 2005)","noteIndex":0},"citationItems":[{"id":1912,"uris":["http://zotero.org/users/2392341/items/AS2W338A"],"uri":["http://zotero.org/users/2392341/items/AS2W338A"],"itemData":{"id":1912,"type":"article","title":"Statistical procedures for Testing Homogeneity of Water Quality Parameters","publisher":"FSU","author":[{"family":"Niu","given":"X"}],"issued":{"date-parts":[["2005"]]}}}],"schema":"https://github.com/citation-style-language/schema/raw/master/csl-citation.json"} </w:instrText>
      </w:r>
      <w:r>
        <w:fldChar w:fldCharType="separate"/>
      </w:r>
      <w:r w:rsidRPr="0093589C">
        <w:rPr>
          <w:rFonts w:ascii="Calibri" w:hAnsi="Calibri" w:cs="Calibri"/>
        </w:rPr>
        <w:t>(Niu, 2005)</w:t>
      </w:r>
      <w:r>
        <w:fldChar w:fldCharType="end"/>
      </w:r>
      <w:r>
        <w:t xml:space="preserve"> would be a good starting point. The WBID Revision SOP should be incorporated into Chapter 62-160 and in Chapter 62-303 by reference. </w:t>
      </w:r>
    </w:p>
    <w:p w14:paraId="3A0A1AD6" w14:textId="77777777" w:rsidR="007E5E7C" w:rsidRDefault="007E5E7C" w:rsidP="007E5E7C">
      <w:pPr>
        <w:jc w:val="both"/>
      </w:pPr>
      <w:r w:rsidRPr="001E6A8D">
        <w:rPr>
          <w:b/>
          <w:bCs/>
        </w:rPr>
        <w:lastRenderedPageBreak/>
        <w:t xml:space="preserve">Suggested Rule Language: </w:t>
      </w:r>
      <w:r>
        <w:t xml:space="preserve"> WBIDs should be defined such that they are representative of distinct and hydraulically connected waterbodies with similar physical and/or water quality characteristics and be of sufficient size to warrant individual assessment.  Where existing WBID boundaries enclose multiple waterbodies meeting the criteria listed above, these will be sub-divided into separate WBIDs containing each of the multiple waterbodies. FDEP Standard Operating Procedure </w:t>
      </w:r>
      <w:r w:rsidRPr="00D90F0B">
        <w:rPr>
          <w:highlight w:val="yellow"/>
        </w:rPr>
        <w:t>FDEP SOP #XX</w:t>
      </w:r>
      <w:r>
        <w:t xml:space="preserve"> describes the scientifically defensible process for WBID revisions.  </w:t>
      </w:r>
    </w:p>
    <w:p w14:paraId="30B464C7" w14:textId="77777777" w:rsidR="007E5E7C" w:rsidRDefault="007E5E7C" w:rsidP="007E5E7C">
      <w:pPr>
        <w:pStyle w:val="Heading1"/>
        <w:jc w:val="both"/>
      </w:pPr>
      <w:bookmarkStart w:id="3" w:name="_Toc24974518"/>
      <w:r w:rsidRPr="003878EB">
        <w:t>Addition of</w:t>
      </w:r>
      <w:r>
        <w:t xml:space="preserve"> TMDL Provision to Natural Background Determination in Chapter 62-302.200 Definitions</w:t>
      </w:r>
      <w:bookmarkEnd w:id="3"/>
      <w:r>
        <w:t xml:space="preserve"> </w:t>
      </w:r>
    </w:p>
    <w:p w14:paraId="138AE263" w14:textId="1A71A645" w:rsidR="007E5E7C" w:rsidRDefault="007E5E7C" w:rsidP="007E5E7C">
      <w:pPr>
        <w:jc w:val="both"/>
      </w:pPr>
      <w:r w:rsidRPr="00F5075B">
        <w:t xml:space="preserve">In 62-302.200 Definitions </w:t>
      </w:r>
      <w:r>
        <w:t>FDEP</w:t>
      </w:r>
      <w:r w:rsidRPr="00F5075B">
        <w:t xml:space="preserve"> define</w:t>
      </w:r>
      <w:r>
        <w:t>s</w:t>
      </w:r>
      <w:r w:rsidRPr="00F5075B">
        <w:t xml:space="preserve"> “natural </w:t>
      </w:r>
      <w:r>
        <w:t>background</w:t>
      </w:r>
      <w:r w:rsidRPr="00F5075B">
        <w:t xml:space="preserve">”.  </w:t>
      </w:r>
      <w:r>
        <w:t>T</w:t>
      </w:r>
      <w:r w:rsidRPr="00F5075B">
        <w:t xml:space="preserve">hey </w:t>
      </w:r>
      <w:proofErr w:type="gramStart"/>
      <w:r w:rsidRPr="00F5075B">
        <w:t>state</w:t>
      </w:r>
      <w:proofErr w:type="gramEnd"/>
      <w:r w:rsidRPr="00F5075B">
        <w:t xml:space="preserve"> “The establishment of natural background for an altered waterbody may be based upon a similar unaltered waterbody, historical pre-alteration data, paleolimnological examination of sediment cores, or examination of geology and soils.”  </w:t>
      </w:r>
      <w:r>
        <w:t xml:space="preserve">This provision does not </w:t>
      </w:r>
      <w:r w:rsidRPr="00F5075B">
        <w:t>provide for</w:t>
      </w:r>
      <w:r>
        <w:t xml:space="preserve"> the</w:t>
      </w:r>
      <w:r w:rsidRPr="00F5075B">
        <w:t xml:space="preserve"> establish</w:t>
      </w:r>
      <w:r>
        <w:t>ment of</w:t>
      </w:r>
      <w:r w:rsidRPr="00F5075B">
        <w:t xml:space="preserve"> “natural </w:t>
      </w:r>
      <w:r>
        <w:t>background</w:t>
      </w:r>
      <w:r w:rsidRPr="00F5075B">
        <w:t>” using models.</w:t>
      </w:r>
      <w:r>
        <w:t xml:space="preserve">  Presently, the </w:t>
      </w:r>
      <w:r w:rsidRPr="00F5075B">
        <w:t xml:space="preserve">TMDL </w:t>
      </w:r>
      <w:r>
        <w:t>staff</w:t>
      </w:r>
      <w:r w:rsidRPr="00F5075B">
        <w:t xml:space="preserve"> </w:t>
      </w:r>
      <w:r>
        <w:t xml:space="preserve">routinely </w:t>
      </w:r>
      <w:r w:rsidRPr="00F5075B">
        <w:t>use models to establish “natural background” conditions.</w:t>
      </w:r>
      <w:r>
        <w:t xml:space="preserve">  FDEP needs to amend this language if they wish to continue using models for the establishment of natural </w:t>
      </w:r>
      <w:r w:rsidR="00D90F0B">
        <w:t xml:space="preserve">background </w:t>
      </w:r>
      <w:r>
        <w:t>conditions for their TMDLs.</w:t>
      </w:r>
    </w:p>
    <w:p w14:paraId="521BBD5D" w14:textId="77777777" w:rsidR="007E5E7C" w:rsidRDefault="007E5E7C" w:rsidP="007E5E7C">
      <w:pPr>
        <w:pStyle w:val="Heading1"/>
        <w:jc w:val="both"/>
      </w:pPr>
      <w:bookmarkStart w:id="4" w:name="_Toc24974519"/>
      <w:r>
        <w:t>Sample Number for Bacteria Monthly Averages  62-302.530 Water Quality Criteria</w:t>
      </w:r>
      <w:bookmarkEnd w:id="4"/>
      <w:r>
        <w:t xml:space="preserve"> </w:t>
      </w:r>
    </w:p>
    <w:p w14:paraId="0D3C8AFB" w14:textId="77777777" w:rsidR="007E5E7C" w:rsidRDefault="007E5E7C" w:rsidP="007E5E7C">
      <w:pPr>
        <w:jc w:val="both"/>
      </w:pPr>
      <w:r>
        <w:t xml:space="preserve">FDEP identifies that when insufficient samples are available for monthly averages, a </w:t>
      </w:r>
      <w:r w:rsidRPr="00FF6EDD">
        <w:rPr>
          <w:highlight w:val="yellow"/>
        </w:rPr>
        <w:t>single sample maximum may be utilized for the TPTV</w:t>
      </w:r>
      <w:r>
        <w:t xml:space="preserve">.  </w:t>
      </w:r>
    </w:p>
    <w:p w14:paraId="66AC6BC4" w14:textId="77777777" w:rsidR="007E5E7C" w:rsidRDefault="007E5E7C" w:rsidP="007E5E7C">
      <w:pPr>
        <w:pStyle w:val="Heading2"/>
      </w:pPr>
      <w:bookmarkStart w:id="5" w:name="_Toc24974520"/>
      <w:r>
        <w:t>Conclusion</w:t>
      </w:r>
      <w:bookmarkEnd w:id="5"/>
    </w:p>
    <w:p w14:paraId="7FAF1AF6" w14:textId="77777777" w:rsidR="007E5E7C" w:rsidRDefault="007E5E7C" w:rsidP="007E5E7C">
      <w:pPr>
        <w:jc w:val="both"/>
      </w:pPr>
      <w:r>
        <w:t xml:space="preserve">This language should be rescinded, as this provision was not statistically derived and therefore, appears arbitrary.  </w:t>
      </w:r>
    </w:p>
    <w:p w14:paraId="7BAA4A9F" w14:textId="77777777" w:rsidR="007E5E7C" w:rsidRDefault="007E5E7C" w:rsidP="007E5E7C">
      <w:pPr>
        <w:pStyle w:val="Heading1"/>
        <w:jc w:val="both"/>
      </w:pPr>
      <w:bookmarkStart w:id="6" w:name="_Toc24974521"/>
      <w:r>
        <w:t xml:space="preserve">62-303.350 </w:t>
      </w:r>
      <w:r w:rsidRPr="00E41D3B">
        <w:t>Assessments of Numeric Interpretations of Narrative Nutrient Criterion</w:t>
      </w:r>
      <w:bookmarkEnd w:id="6"/>
      <w:r>
        <w:t xml:space="preserve"> </w:t>
      </w:r>
    </w:p>
    <w:p w14:paraId="4EFDAE52" w14:textId="6E274388" w:rsidR="007E5E7C" w:rsidRDefault="007E5E7C" w:rsidP="007E5E7C">
      <w:pPr>
        <w:jc w:val="both"/>
      </w:pPr>
      <w:r>
        <w:t xml:space="preserve">FDEP added the 7-year average to the language on long-term averages.  FDEP allows samples from a </w:t>
      </w:r>
      <w:proofErr w:type="gramStart"/>
      <w:r>
        <w:t>3 year</w:t>
      </w:r>
      <w:proofErr w:type="gramEnd"/>
      <w:r>
        <w:t xml:space="preserve"> period to be utilized for the long-term or 7 year average.  FDEP should remove the 7-year average and keep the long-term or not allow only 3 years of data to be sufficient to represent a 7-year average.</w:t>
      </w:r>
      <w:r w:rsidR="001E6A8D">
        <w:t xml:space="preserve">  There is no apparent statistical basis for this change.</w:t>
      </w:r>
      <w:r>
        <w:t xml:space="preserve">  </w:t>
      </w:r>
    </w:p>
    <w:p w14:paraId="751563AA" w14:textId="77777777" w:rsidR="007E5E7C" w:rsidRDefault="007E5E7C" w:rsidP="007E5E7C">
      <w:pPr>
        <w:pStyle w:val="Heading1"/>
        <w:jc w:val="both"/>
      </w:pPr>
      <w:bookmarkStart w:id="7" w:name="_Toc24974522"/>
      <w:r w:rsidRPr="00E41D3B">
        <w:t>Nutrients in Freshwater Lakes</w:t>
      </w:r>
      <w:r>
        <w:t xml:space="preserve"> 62-303.352</w:t>
      </w:r>
      <w:bookmarkEnd w:id="7"/>
      <w:r>
        <w:t xml:space="preserve"> </w:t>
      </w:r>
    </w:p>
    <w:p w14:paraId="43BE36A2" w14:textId="4F4BAF52" w:rsidR="007E5E7C" w:rsidRDefault="007E5E7C" w:rsidP="007E5E7C">
      <w:pPr>
        <w:jc w:val="both"/>
      </w:pPr>
      <w:r>
        <w:t xml:space="preserve">FDEP lowered the threshold for placing lakes with insufficient color and alkalinity data on the planning </w:t>
      </w:r>
      <w:proofErr w:type="gramStart"/>
      <w:r>
        <w:t>list, and</w:t>
      </w:r>
      <w:proofErr w:type="gramEnd"/>
      <w:r>
        <w:t xml:space="preserve"> proposes to use the 6 ug/L chlorophyll value as the default target.  This will place an inordinate </w:t>
      </w:r>
      <w:r>
        <w:lastRenderedPageBreak/>
        <w:t xml:space="preserve">number of lakes on the planning list.  FDEP should explore another approach, such as screening nearby lakes or lake regions for color and alkalinity to estimate a lake’s category where there </w:t>
      </w:r>
      <w:r w:rsidR="007B7336">
        <w:t>are</w:t>
      </w:r>
      <w:r>
        <w:t xml:space="preserve"> insufficient data.  </w:t>
      </w:r>
    </w:p>
    <w:p w14:paraId="7342BEEA" w14:textId="77777777" w:rsidR="007E5E7C" w:rsidRDefault="007E5E7C" w:rsidP="007E5E7C">
      <w:pPr>
        <w:pStyle w:val="Heading1"/>
        <w:jc w:val="both"/>
      </w:pPr>
      <w:bookmarkStart w:id="8" w:name="_Toc24974523"/>
      <w:r w:rsidRPr="003878EB">
        <w:t>Addition of new language to Chapter 62-303, F.A.C., to discuss assessment of trends using the Mann-Kendall Trend Test</w:t>
      </w:r>
      <w:bookmarkEnd w:id="8"/>
    </w:p>
    <w:p w14:paraId="62A2FD95" w14:textId="77777777" w:rsidR="007E5E7C" w:rsidRDefault="007E5E7C" w:rsidP="007E5E7C">
      <w:pPr>
        <w:jc w:val="both"/>
      </w:pPr>
      <w:r>
        <w:t>FDEP is proposing to add WBIDs to the planning list for adverse (increasing) trends in nutrients/nutrient response variables if there is a statistically significant increasing trend in the AGMs at the 95</w:t>
      </w:r>
      <w:r w:rsidRPr="00BD0B01">
        <w:rPr>
          <w:vertAlign w:val="superscript"/>
        </w:rPr>
        <w:t>th</w:t>
      </w:r>
      <w:r>
        <w:t xml:space="preserve"> percent Confidence Interval using the Mann-Kendall trend test.</w:t>
      </w:r>
    </w:p>
    <w:p w14:paraId="21E73098" w14:textId="77777777" w:rsidR="007E5E7C" w:rsidRDefault="007E5E7C" w:rsidP="007E5E7C">
      <w:pPr>
        <w:jc w:val="both"/>
      </w:pPr>
      <w:r>
        <w:t>FDEP proposes that WBIDs be placed on the verified list if a statistically significant increasing trend exists over the period of record as well as the most recent 7.5 years, and that the slope of this increase is greater than 10% of the relevant threshold. AGMs are used for this ranking test, of which FDEP has a minimum data requirement of 4 samples, which must be representative of both winter and summer seasons. FDEP makes exceptions for the inclusion of AGMs calculated from fewer than 4 data points.</w:t>
      </w:r>
    </w:p>
    <w:p w14:paraId="3D400D89" w14:textId="77777777" w:rsidR="007E5E7C" w:rsidRDefault="007E5E7C" w:rsidP="007E5E7C">
      <w:pPr>
        <w:jc w:val="both"/>
      </w:pPr>
      <w:r>
        <w:t>The Mann-Kendall trend test, which is proposed to be used for this, is an acceptable way to examine trends given the assumptions that:</w:t>
      </w:r>
    </w:p>
    <w:p w14:paraId="5D542433" w14:textId="77777777" w:rsidR="007E5E7C" w:rsidRDefault="007E5E7C" w:rsidP="007E5E7C">
      <w:pPr>
        <w:pStyle w:val="ListParagraph"/>
        <w:numPr>
          <w:ilvl w:val="0"/>
          <w:numId w:val="16"/>
        </w:numPr>
        <w:jc w:val="both"/>
      </w:pPr>
      <w:r>
        <w:t>Data are not collected seasonally (</w:t>
      </w:r>
      <w:r w:rsidRPr="007B2583">
        <w:rPr>
          <w:i/>
          <w:iCs/>
        </w:rPr>
        <w:t>i.e</w:t>
      </w:r>
      <w:r>
        <w:t>., only during summer OR winter months);</w:t>
      </w:r>
    </w:p>
    <w:p w14:paraId="7FFD93C9" w14:textId="77777777" w:rsidR="007E5E7C" w:rsidRDefault="007E5E7C" w:rsidP="007E5E7C">
      <w:pPr>
        <w:pStyle w:val="ListParagraph"/>
        <w:numPr>
          <w:ilvl w:val="0"/>
          <w:numId w:val="16"/>
        </w:numPr>
        <w:jc w:val="both"/>
      </w:pPr>
      <w:r>
        <w:t>Trends are not cyclic;</w:t>
      </w:r>
    </w:p>
    <w:p w14:paraId="3E1B8F5D" w14:textId="77777777" w:rsidR="007E5E7C" w:rsidRDefault="007E5E7C" w:rsidP="007E5E7C">
      <w:pPr>
        <w:pStyle w:val="ListParagraph"/>
        <w:numPr>
          <w:ilvl w:val="0"/>
          <w:numId w:val="16"/>
        </w:numPr>
        <w:jc w:val="both"/>
      </w:pPr>
      <w:r>
        <w:t>Data do not have covariates; and</w:t>
      </w:r>
    </w:p>
    <w:p w14:paraId="4257BAAD" w14:textId="77777777" w:rsidR="007E5E7C" w:rsidRDefault="007E5E7C" w:rsidP="007E5E7C">
      <w:pPr>
        <w:pStyle w:val="ListParagraph"/>
        <w:numPr>
          <w:ilvl w:val="0"/>
          <w:numId w:val="16"/>
        </w:numPr>
        <w:jc w:val="both"/>
      </w:pPr>
      <w:r>
        <w:t>Only one data point per time period is used (</w:t>
      </w:r>
      <w:r w:rsidRPr="007B2583">
        <w:rPr>
          <w:i/>
          <w:iCs/>
        </w:rPr>
        <w:t>i.e</w:t>
      </w:r>
      <w:r>
        <w:t>., for multiple points, use a median).</w:t>
      </w:r>
    </w:p>
    <w:p w14:paraId="3AA15B29" w14:textId="77777777" w:rsidR="007E5E7C" w:rsidRDefault="007E5E7C" w:rsidP="007E5E7C">
      <w:pPr>
        <w:jc w:val="both"/>
      </w:pPr>
      <w:r>
        <w:t>Traditionally, the Mann-Kendall trend test has been used in the environmental field to assess contaminant concentrations. Nutrients and nutrient response variables, notably, do not behave in the same way as a traditional chemical contaminant (</w:t>
      </w:r>
      <w:r w:rsidRPr="007B2583">
        <w:rPr>
          <w:i/>
          <w:iCs/>
        </w:rPr>
        <w:t>e.g</w:t>
      </w:r>
      <w:r>
        <w:t>., chlorophyll concentration is likely seasonal). A potential problem of eliminating the minimum data requirement of 4 samples for the inclusion of a year, is that seasonally collected data could influence the trend. For instance, a system previously sampled once per year during the winter for several years, which is now sampled 3 times during the summer and once in the winter, might give a trend that is actually an artifact of how the data were collected. FDEP should be aware of the possibility of both type I and II errors that might cause a system to fail (or not fail) the trend test, particularly when relaxing the required assumption of no seasonality in the data. If FDEP has examined the acceptable error as part of arriving at the proposed data requirements, that information should be available for review.</w:t>
      </w:r>
    </w:p>
    <w:p w14:paraId="5B330557" w14:textId="77777777" w:rsidR="007E5E7C" w:rsidRDefault="007E5E7C" w:rsidP="007E5E7C">
      <w:pPr>
        <w:jc w:val="both"/>
      </w:pPr>
      <w:r>
        <w:t xml:space="preserve">A notable weakness of this test is that it is difficult to accurately apply it to data sets containing mixed detection limits and to estimated values between the reporting limit and the detection limit. It is highly likely that the Impaired Waters Rule Database has variable detection and quantitation limits for chlorophyll </w:t>
      </w:r>
      <w:r w:rsidRPr="00361B16">
        <w:rPr>
          <w:i/>
          <w:iCs/>
        </w:rPr>
        <w:t>a</w:t>
      </w:r>
      <w:r>
        <w:t xml:space="preserve"> data, and FDEP must take steps to assure that these types of data artifacts will not lead to erroneous listings.  This should be added to the rule.</w:t>
      </w:r>
    </w:p>
    <w:p w14:paraId="4F60C574" w14:textId="77777777" w:rsidR="007E5E7C" w:rsidRPr="00E509D8" w:rsidRDefault="007E5E7C" w:rsidP="007E5E7C">
      <w:pPr>
        <w:jc w:val="both"/>
      </w:pPr>
      <w:r>
        <w:t xml:space="preserve">Additionally, </w:t>
      </w:r>
      <w:r w:rsidRPr="00CE2B31">
        <w:rPr>
          <w:b/>
          <w:bCs/>
        </w:rPr>
        <w:t>it is unclear how the 10% slope metric was derived. FDEP should provide data and/or literature to justify this approach</w:t>
      </w:r>
      <w:r>
        <w:t>.</w:t>
      </w:r>
    </w:p>
    <w:p w14:paraId="31784990" w14:textId="553127A8" w:rsidR="007E5E7C" w:rsidRDefault="007E5E7C" w:rsidP="007E5E7C">
      <w:pPr>
        <w:jc w:val="both"/>
      </w:pPr>
      <w:r>
        <w:t>.</w:t>
      </w:r>
    </w:p>
    <w:p w14:paraId="6EAAEFDA" w14:textId="77777777" w:rsidR="007E5E7C" w:rsidRDefault="007E5E7C" w:rsidP="007E5E7C">
      <w:pPr>
        <w:pStyle w:val="Heading1"/>
      </w:pPr>
      <w:bookmarkStart w:id="9" w:name="_Toc24974524"/>
      <w:r>
        <w:lastRenderedPageBreak/>
        <w:t>TMDLs as Hierarchy 1 Site-Specific Interpretations of the Narrative Criteria</w:t>
      </w:r>
      <w:bookmarkEnd w:id="9"/>
    </w:p>
    <w:p w14:paraId="2EC07688" w14:textId="77777777" w:rsidR="007E5E7C" w:rsidRPr="007E5E7C" w:rsidRDefault="007E5E7C" w:rsidP="007E5E7C">
      <w:pPr>
        <w:jc w:val="both"/>
        <w:rPr>
          <w:rFonts w:cstheme="minorHAnsi"/>
        </w:rPr>
      </w:pPr>
      <w:r w:rsidRPr="007E5E7C">
        <w:rPr>
          <w:rFonts w:cstheme="minorHAnsi"/>
        </w:rPr>
        <w:t>DEP’s current approach for adopting TMDLs as Hierarchy 1, site-specific criteria does not provide for adequate review and oversight to ensure that sound science and appropriate methodologies are used to develop these new water quality criteria.  DEP spent years developing numeric nutrient criteria (NNC), yet TMDL criteria to displace NNC are developed and approved without the same rigor.  These Site</w:t>
      </w:r>
      <w:r>
        <w:rPr>
          <w:rFonts w:cstheme="minorHAnsi"/>
        </w:rPr>
        <w:t>-</w:t>
      </w:r>
      <w:r w:rsidRPr="007E5E7C">
        <w:rPr>
          <w:rFonts w:cstheme="minorHAnsi"/>
        </w:rPr>
        <w:t xml:space="preserve">Specific Criteria, which are placed in rule, should be required to go through a formal, external peer review process by independent scientists. Currently, the level of evaluation of proposed TMDLs depends on the resources available to affected stakeholders to hire experts. Every proposed TMDL should receive the same level of scrutiny, commiserate with the intent to adopt them as water quality criteria. The peer review approach is consistent with EPA’s own process for developing new criteria and with the procedures used by water management districts to adopt minimum flows and levels.  </w:t>
      </w:r>
    </w:p>
    <w:p w14:paraId="28900E75" w14:textId="77777777" w:rsidR="007E5E7C" w:rsidRPr="007E5E7C" w:rsidRDefault="007E5E7C" w:rsidP="007E5E7C">
      <w:pPr>
        <w:jc w:val="both"/>
        <w:rPr>
          <w:rFonts w:cstheme="minorHAnsi"/>
        </w:rPr>
      </w:pPr>
      <w:r w:rsidRPr="007E5E7C">
        <w:rPr>
          <w:rFonts w:cstheme="minorHAnsi"/>
        </w:rPr>
        <w:t xml:space="preserve">Additionally, DEP should also consider that if a TMDL targets the presently adopted NNC (say for example the 20 ug/L </w:t>
      </w:r>
      <w:r>
        <w:rPr>
          <w:rFonts w:cstheme="minorHAnsi"/>
        </w:rPr>
        <w:t>c</w:t>
      </w:r>
      <w:r w:rsidRPr="007E5E7C">
        <w:rPr>
          <w:rFonts w:cstheme="minorHAnsi"/>
        </w:rPr>
        <w:t xml:space="preserve">hlorophyll </w:t>
      </w:r>
      <w:r w:rsidRPr="007E5E7C">
        <w:rPr>
          <w:rFonts w:cstheme="minorHAnsi"/>
          <w:i/>
        </w:rPr>
        <w:t>a</w:t>
      </w:r>
      <w:r w:rsidRPr="007E5E7C">
        <w:rPr>
          <w:rFonts w:cstheme="minorHAnsi"/>
        </w:rPr>
        <w:t xml:space="preserve"> criteria) the TMDL should not be identified as a </w:t>
      </w:r>
      <w:r w:rsidRPr="007F1B69">
        <w:rPr>
          <w:rFonts w:cstheme="minorHAnsi"/>
        </w:rPr>
        <w:t>Site-Specific</w:t>
      </w:r>
      <w:r w:rsidRPr="007E5E7C">
        <w:rPr>
          <w:rFonts w:cstheme="minorHAnsi"/>
        </w:rPr>
        <w:t xml:space="preserve"> Criteria.  Rather, the NNC should remain as the TMDL target along with the applicable TN and TP range of values as defined in 62-302.531, F.A.C.  Finally, the adoption of running 6-year average loads, which are based upon a specific time-period, should not be defined as Site</w:t>
      </w:r>
      <w:r>
        <w:rPr>
          <w:rFonts w:cstheme="minorHAnsi"/>
        </w:rPr>
        <w:t>-</w:t>
      </w:r>
      <w:r w:rsidRPr="007E5E7C">
        <w:rPr>
          <w:rFonts w:cstheme="minorHAnsi"/>
        </w:rPr>
        <w:t xml:space="preserve">Specific Criteria as they only truly apply for that period of time.  </w:t>
      </w:r>
    </w:p>
    <w:p w14:paraId="39876A2F" w14:textId="77777777" w:rsidR="007E5E7C" w:rsidRDefault="007E5E7C" w:rsidP="007E5E7C">
      <w:pPr>
        <w:pStyle w:val="Heading1"/>
      </w:pPr>
      <w:bookmarkStart w:id="10" w:name="_Toc24974525"/>
      <w:r>
        <w:t>IWR Coliform Evaluations</w:t>
      </w:r>
      <w:bookmarkEnd w:id="10"/>
    </w:p>
    <w:p w14:paraId="1B015216" w14:textId="77777777" w:rsidR="007E5E7C" w:rsidRPr="007E5E7C" w:rsidRDefault="007E5E7C" w:rsidP="007E5E7C">
      <w:pPr>
        <w:jc w:val="both"/>
        <w:rPr>
          <w:rFonts w:cstheme="minorHAnsi"/>
        </w:rPr>
      </w:pPr>
      <w:r w:rsidRPr="007E5E7C">
        <w:rPr>
          <w:rFonts w:cstheme="minorHAnsi"/>
        </w:rPr>
        <w:t>There are several aspects presently within 62-303 that should be evaluated under this Triennial Review process and discussed with primary stakeholders.</w:t>
      </w:r>
    </w:p>
    <w:p w14:paraId="1CB6D4A2" w14:textId="77777777" w:rsidR="007E5E7C" w:rsidRPr="007E5E7C" w:rsidRDefault="007E5E7C" w:rsidP="007E5E7C">
      <w:pPr>
        <w:pStyle w:val="ListParagraph"/>
        <w:numPr>
          <w:ilvl w:val="0"/>
          <w:numId w:val="17"/>
        </w:numPr>
        <w:jc w:val="both"/>
        <w:rPr>
          <w:rFonts w:cstheme="minorHAnsi"/>
        </w:rPr>
      </w:pPr>
      <w:r w:rsidRPr="007E5E7C">
        <w:rPr>
          <w:rFonts w:cstheme="minorHAnsi"/>
        </w:rPr>
        <w:t xml:space="preserve">62-303.460 (2) discusses that in order to place a waterbody on the verified list it needs to be demonstrated that the sources are anthropogenic in nature.  As part of this section it states, </w:t>
      </w:r>
      <w:r w:rsidRPr="007E5E7C">
        <w:rPr>
          <w:rFonts w:cstheme="minorHAnsi"/>
          <w:i/>
        </w:rPr>
        <w:t>“For water segments that contain municipal stormwater outfalls, the impairment documented for the segment shall be presumed to be due, at least in part, to chronic discharges of bacteriological pollutants”.</w:t>
      </w:r>
      <w:r w:rsidRPr="007E5E7C">
        <w:rPr>
          <w:rFonts w:cstheme="minorHAnsi"/>
        </w:rPr>
        <w:t xml:space="preserve">  This statement should be removed as there is no reason to assume because a segment contains municipal stormwater outfalls, the bacteria are anthropogenic in origin.</w:t>
      </w:r>
    </w:p>
    <w:p w14:paraId="2D081EFF" w14:textId="77777777" w:rsidR="007E5E7C" w:rsidRPr="007E5E7C" w:rsidRDefault="007E5E7C" w:rsidP="007E5E7C">
      <w:pPr>
        <w:pStyle w:val="ListParagraph"/>
        <w:numPr>
          <w:ilvl w:val="0"/>
          <w:numId w:val="17"/>
        </w:numPr>
        <w:jc w:val="both"/>
        <w:rPr>
          <w:rFonts w:cstheme="minorHAnsi"/>
        </w:rPr>
      </w:pPr>
      <w:r w:rsidRPr="007E5E7C">
        <w:rPr>
          <w:rFonts w:cstheme="minorHAnsi"/>
        </w:rPr>
        <w:t>DEP currently utilizes tracer data to support the determination discussed in (1) above.  Specific to urban and suburban areas, a more definitive discussion of how tracers are to be utilized is necessary.  Preferably, a guidance document</w:t>
      </w:r>
      <w:r>
        <w:rPr>
          <w:rFonts w:cstheme="minorHAnsi"/>
        </w:rPr>
        <w:t xml:space="preserve"> (SOP)</w:t>
      </w:r>
      <w:r w:rsidRPr="007E5E7C">
        <w:rPr>
          <w:rFonts w:cstheme="minorHAnsi"/>
        </w:rPr>
        <w:t xml:space="preserve"> based on the latest science should be developed that identifies the available tracers, the pros and cons of the individual tracers and the levels or range of levels that should draw concern.  The mere presence of a chemical tracer doesn’t necessarily indicate a domestic wastewater issue.  </w:t>
      </w:r>
    </w:p>
    <w:p w14:paraId="2B99F5CE" w14:textId="77777777" w:rsidR="007E5E7C" w:rsidRDefault="007E5E7C" w:rsidP="007E5E7C">
      <w:pPr>
        <w:pStyle w:val="ListParagraph"/>
        <w:numPr>
          <w:ilvl w:val="0"/>
          <w:numId w:val="17"/>
        </w:numPr>
        <w:jc w:val="both"/>
      </w:pPr>
      <w:r>
        <w:t xml:space="preserve">FDEP identifies that when insufficient samples are available for monthly averages, a </w:t>
      </w:r>
      <w:r w:rsidRPr="00C6102B">
        <w:rPr>
          <w:highlight w:val="yellow"/>
        </w:rPr>
        <w:t>single sample maximum may be utilized for the TPTV</w:t>
      </w:r>
      <w:r>
        <w:t xml:space="preserve">.  This language should be rescinded, as this provision was not statistically derived and therefore, appears arbitrary.  </w:t>
      </w:r>
    </w:p>
    <w:p w14:paraId="4C779928" w14:textId="77777777" w:rsidR="007E5E7C" w:rsidRDefault="007E5E7C" w:rsidP="007E5E7C">
      <w:pPr>
        <w:pStyle w:val="Heading1"/>
      </w:pPr>
      <w:bookmarkStart w:id="11" w:name="_Toc24974526"/>
      <w:r>
        <w:lastRenderedPageBreak/>
        <w:t>Linear Vegetation Survey (LVS) and Rapid Periphyton Survey (RPS) Certification</w:t>
      </w:r>
      <w:bookmarkEnd w:id="11"/>
    </w:p>
    <w:p w14:paraId="233B6BA6" w14:textId="77777777" w:rsidR="007E5E7C" w:rsidRPr="007E5E7C" w:rsidRDefault="007E5E7C" w:rsidP="007E5E7C">
      <w:pPr>
        <w:jc w:val="both"/>
        <w:rPr>
          <w:rFonts w:cstheme="minorHAnsi"/>
        </w:rPr>
      </w:pPr>
      <w:r w:rsidRPr="007E5E7C">
        <w:rPr>
          <w:rFonts w:cstheme="minorHAnsi"/>
        </w:rPr>
        <w:t>In reference to biological health assessment procedures it is stated in 62-303.330 “</w:t>
      </w:r>
      <w:r w:rsidRPr="007E5E7C">
        <w:rPr>
          <w:rFonts w:cstheme="minorHAnsi"/>
          <w:i/>
        </w:rPr>
        <w:t>Because these Biological Health Assessment procedures require specific training and expertise, persons conducting a BioRecon, SCI or LVI must comply with the quality assurance requirements of Chapter 62-160, F.A.C., attend at least eight hours of Department field training and pass a Department audit that verifies the sampler follows the applicable SOPs, as set forth in Chapter 62-160, F.A.C., before their Biological Health Assessment data will be considered valid for use under this rule</w:t>
      </w:r>
      <w:r w:rsidRPr="007E5E7C">
        <w:rPr>
          <w:rFonts w:cstheme="minorHAnsi"/>
        </w:rPr>
        <w:t>”.  At present DEP does not require similar certification for performing LVS and RPS evaluations.  While these assessments are not outlined in 62-303 their use is outlined in the NNC Implementation document.  The document states “</w:t>
      </w:r>
      <w:r w:rsidRPr="007E5E7C">
        <w:rPr>
          <w:rFonts w:cstheme="minorHAnsi"/>
          <w:i/>
        </w:rPr>
        <w:t>if any one of these floral measures indicates an imbalance, then the Department would conclude that the stream does not attain the NNC. Floral measures alone can provide evidence that the nutrient standard at Rule 62-302.531(2)(c) is not achieved, leading to the waterbody being placed on the Florida Verified List and Clean Water Act 303(d) list</w:t>
      </w:r>
      <w:r w:rsidRPr="007E5E7C">
        <w:rPr>
          <w:rFonts w:cstheme="minorHAnsi"/>
        </w:rPr>
        <w:t xml:space="preserve">”.   Given that these assessments have the power of rule to place waterbodies on the verified list, similar certification requirements must be developed.  </w:t>
      </w:r>
    </w:p>
    <w:p w14:paraId="17111BA4" w14:textId="1DF4FA12" w:rsidR="003878EB" w:rsidRDefault="003878EB" w:rsidP="000C3B75">
      <w:pPr>
        <w:pStyle w:val="Heading1"/>
        <w:jc w:val="both"/>
      </w:pPr>
      <w:bookmarkStart w:id="12" w:name="_Toc24974527"/>
      <w:r w:rsidRPr="003878EB">
        <w:t>Revisions to the document titled “Implementation of Florida’s Numeric Nutrient Standards”</w:t>
      </w:r>
      <w:bookmarkEnd w:id="12"/>
    </w:p>
    <w:p w14:paraId="3F9801B8" w14:textId="6F3A5CAD" w:rsidR="00EC154D" w:rsidRDefault="00EC154D" w:rsidP="000C3B75">
      <w:pPr>
        <w:jc w:val="both"/>
        <w:rPr>
          <w:b/>
          <w:bCs/>
        </w:rPr>
      </w:pPr>
      <w:r>
        <w:t xml:space="preserve">There were voluminous comments on this document, and these are presented </w:t>
      </w:r>
      <w:r w:rsidR="00D776B8">
        <w:t>below in a manner that</w:t>
      </w:r>
      <w:r>
        <w:t xml:space="preserve"> refer</w:t>
      </w:r>
      <w:r w:rsidR="00D776B8">
        <w:t>s</w:t>
      </w:r>
      <w:r>
        <w:t xml:space="preserve"> back to </w:t>
      </w:r>
      <w:r w:rsidR="00D776B8">
        <w:t xml:space="preserve">specific parts of </w:t>
      </w:r>
      <w:r>
        <w:t>the document</w:t>
      </w:r>
      <w:r w:rsidRPr="00EC154D">
        <w:rPr>
          <w:b/>
          <w:bCs/>
        </w:rPr>
        <w:t>.  Comments are in bold.</w:t>
      </w:r>
    </w:p>
    <w:p w14:paraId="70317BBD" w14:textId="29D08556" w:rsidR="00EC154D" w:rsidRDefault="00EC154D" w:rsidP="000C3B75">
      <w:pPr>
        <w:jc w:val="both"/>
      </w:pPr>
      <w:r>
        <w:t>Section 3.0</w:t>
      </w:r>
    </w:p>
    <w:p w14:paraId="7AB29EE5" w14:textId="7DE36560" w:rsidR="00EC154D" w:rsidRDefault="00EC154D" w:rsidP="000C3B75">
      <w:pPr>
        <w:jc w:val="both"/>
      </w:pPr>
      <w:r>
        <w:t xml:space="preserve">As part of Type III SSAC development, aquatic life use support must be demonstrated. The phytoplankton, periphyton, vascular plant community, and benthic macroinvertebrate responses are used as primary evidence to demonstrate systems are meeting their designated use. Streams that do not exhibit excess algal growth or abundant nuisance aquatic plants and where the average of </w:t>
      </w:r>
      <w:r w:rsidRPr="00EC154D">
        <w:rPr>
          <w:highlight w:val="yellow"/>
        </w:rPr>
        <w:t>two consecutive</w:t>
      </w:r>
      <w:r>
        <w:t xml:space="preserve"> temporally independent SCI results is greater than 40 and neither score is less than 35 are biologically healthy, and the associated nutrient regime is demonstrated to be protective. </w:t>
      </w:r>
    </w:p>
    <w:p w14:paraId="3186AC3B" w14:textId="18A3AED9" w:rsidR="00EC154D" w:rsidRPr="00EC154D" w:rsidRDefault="00EC154D" w:rsidP="000C3B75">
      <w:pPr>
        <w:jc w:val="both"/>
        <w:rPr>
          <w:b/>
          <w:bCs/>
        </w:rPr>
      </w:pPr>
      <w:r w:rsidRPr="00EC154D">
        <w:rPr>
          <w:b/>
          <w:bCs/>
        </w:rPr>
        <w:t xml:space="preserve">The highlighted language would appear to neglect long term SCI </w:t>
      </w:r>
      <w:proofErr w:type="gramStart"/>
      <w:r w:rsidRPr="00EC154D">
        <w:rPr>
          <w:b/>
          <w:bCs/>
        </w:rPr>
        <w:t>data, and</w:t>
      </w:r>
      <w:proofErr w:type="gramEnd"/>
      <w:r w:rsidRPr="00EC154D">
        <w:rPr>
          <w:b/>
          <w:bCs/>
        </w:rPr>
        <w:t xml:space="preserve"> should be revised to include </w:t>
      </w:r>
      <w:r w:rsidR="009D765B">
        <w:rPr>
          <w:b/>
          <w:bCs/>
        </w:rPr>
        <w:t xml:space="preserve">averaging </w:t>
      </w:r>
      <w:r w:rsidRPr="00EC154D">
        <w:rPr>
          <w:b/>
          <w:bCs/>
        </w:rPr>
        <w:t>all valid SCI data</w:t>
      </w:r>
      <w:r w:rsidR="001D65C2">
        <w:rPr>
          <w:b/>
          <w:bCs/>
        </w:rPr>
        <w:t xml:space="preserve"> within the verified period</w:t>
      </w:r>
      <w:r w:rsidRPr="00EC154D">
        <w:rPr>
          <w:b/>
          <w:bCs/>
        </w:rPr>
        <w:t>.</w:t>
      </w:r>
    </w:p>
    <w:p w14:paraId="168A22C9" w14:textId="77777777" w:rsidR="00EC154D" w:rsidRDefault="00EC154D" w:rsidP="000C3B75">
      <w:pPr>
        <w:jc w:val="both"/>
      </w:pPr>
      <w:r>
        <w:t>Section 4.0</w:t>
      </w:r>
    </w:p>
    <w:p w14:paraId="4C653A35" w14:textId="77777777" w:rsidR="00EC154D" w:rsidRDefault="00EC154D" w:rsidP="000C3B75">
      <w:pPr>
        <w:jc w:val="both"/>
      </w:pPr>
      <w:r>
        <w:t>While the magnitude of the applicable TN and TP NNC vary depending on the chlorophyll a level in the lake, all three criteria are applied independently (exceedance of any of the three applicable criteria more than once in a three-year period constitutes non-attainment).</w:t>
      </w:r>
    </w:p>
    <w:p w14:paraId="6276DE24" w14:textId="44B8C27F" w:rsidR="00EC154D" w:rsidRDefault="007F1B69" w:rsidP="000C3B75">
      <w:pPr>
        <w:jc w:val="both"/>
      </w:pPr>
      <w:r>
        <w:t>I</w:t>
      </w:r>
      <w:r w:rsidR="00EC154D">
        <w:t>f the AGMs for TN and/or TP are above the maximum value, then the lake does not attain the nutrient criterion for that year regardless of the fact that the lake attained the chlorophyll a criterion.</w:t>
      </w:r>
    </w:p>
    <w:p w14:paraId="58739140" w14:textId="49DF29DB" w:rsidR="007F1B69" w:rsidRPr="00EC154D" w:rsidRDefault="0022126D" w:rsidP="000C3B75">
      <w:pPr>
        <w:jc w:val="both"/>
        <w:rPr>
          <w:b/>
          <w:bCs/>
        </w:rPr>
      </w:pPr>
      <w:r>
        <w:rPr>
          <w:b/>
          <w:bCs/>
        </w:rPr>
        <w:lastRenderedPageBreak/>
        <w:t>The purpose of the lakes criteria is to protect against excessive phytoplankton</w:t>
      </w:r>
      <w:r w:rsidR="007F1B69">
        <w:rPr>
          <w:b/>
          <w:bCs/>
        </w:rPr>
        <w:t xml:space="preserve"> growth</w:t>
      </w:r>
      <w:r>
        <w:rPr>
          <w:b/>
          <w:bCs/>
        </w:rPr>
        <w:t xml:space="preserve">, as measured by chlorophyll a (6 ug/L for clear </w:t>
      </w:r>
      <w:proofErr w:type="spellStart"/>
      <w:r>
        <w:rPr>
          <w:b/>
          <w:bCs/>
        </w:rPr>
        <w:t>softwater</w:t>
      </w:r>
      <w:proofErr w:type="spellEnd"/>
      <w:r>
        <w:rPr>
          <w:b/>
          <w:bCs/>
        </w:rPr>
        <w:t xml:space="preserve"> lakes, and 20 ug/L for the remaining two classes). As part of TMDL development, FDEP has</w:t>
      </w:r>
      <w:r w:rsidRPr="00FF6EDD">
        <w:rPr>
          <w:b/>
          <w:bCs/>
        </w:rPr>
        <w:t xml:space="preserve"> in the past </w:t>
      </w:r>
      <w:r>
        <w:rPr>
          <w:b/>
          <w:bCs/>
        </w:rPr>
        <w:t>established</w:t>
      </w:r>
      <w:r w:rsidRPr="00FF6EDD">
        <w:rPr>
          <w:b/>
          <w:bCs/>
        </w:rPr>
        <w:t xml:space="preserve"> </w:t>
      </w:r>
      <w:r>
        <w:rPr>
          <w:b/>
          <w:bCs/>
        </w:rPr>
        <w:t>chlorophyll a targets</w:t>
      </w:r>
      <w:r w:rsidRPr="00FF6EDD">
        <w:rPr>
          <w:b/>
          <w:bCs/>
        </w:rPr>
        <w:t xml:space="preserve"> lower than the</w:t>
      </w:r>
      <w:r>
        <w:rPr>
          <w:b/>
          <w:bCs/>
        </w:rPr>
        <w:t>se</w:t>
      </w:r>
      <w:r w:rsidRPr="00FF6EDD">
        <w:rPr>
          <w:b/>
          <w:bCs/>
        </w:rPr>
        <w:t xml:space="preserve"> </w:t>
      </w:r>
      <w:r>
        <w:rPr>
          <w:b/>
          <w:bCs/>
        </w:rPr>
        <w:t xml:space="preserve">protective chlorophyll </w:t>
      </w:r>
      <w:r w:rsidRPr="00FF6EDD">
        <w:rPr>
          <w:b/>
          <w:bCs/>
        </w:rPr>
        <w:t xml:space="preserve">criteria </w:t>
      </w:r>
      <w:r>
        <w:rPr>
          <w:b/>
          <w:bCs/>
        </w:rPr>
        <w:t>based on modeling calculations</w:t>
      </w:r>
      <w:r w:rsidRPr="00FF6EDD">
        <w:rPr>
          <w:b/>
          <w:bCs/>
        </w:rPr>
        <w:t xml:space="preserve"> </w:t>
      </w:r>
      <w:r>
        <w:rPr>
          <w:b/>
          <w:bCs/>
        </w:rPr>
        <w:t xml:space="preserve">associated with </w:t>
      </w:r>
      <w:r w:rsidRPr="00FF6EDD">
        <w:rPr>
          <w:b/>
          <w:bCs/>
        </w:rPr>
        <w:t>reduc</w:t>
      </w:r>
      <w:r>
        <w:rPr>
          <w:b/>
          <w:bCs/>
        </w:rPr>
        <w:t>ing</w:t>
      </w:r>
      <w:r w:rsidRPr="00FF6EDD">
        <w:rPr>
          <w:b/>
          <w:bCs/>
        </w:rPr>
        <w:t xml:space="preserve"> the TN or TP to the minimum values</w:t>
      </w:r>
      <w:r w:rsidR="007F1B69">
        <w:rPr>
          <w:b/>
          <w:bCs/>
        </w:rPr>
        <w:t xml:space="preserve"> in the table</w:t>
      </w:r>
      <w:r>
        <w:rPr>
          <w:b/>
          <w:bCs/>
        </w:rPr>
        <w:t>.  That is, FDEP incorrectly</w:t>
      </w:r>
      <w:r w:rsidRPr="00FF6EDD">
        <w:rPr>
          <w:b/>
          <w:bCs/>
        </w:rPr>
        <w:t xml:space="preserve"> targeted TN and TP </w:t>
      </w:r>
      <w:r>
        <w:rPr>
          <w:b/>
          <w:bCs/>
        </w:rPr>
        <w:t>for mitigation rather than basing the TMDL on the response variable (chlorophyll)</w:t>
      </w:r>
      <w:r w:rsidRPr="00FF6EDD">
        <w:rPr>
          <w:b/>
          <w:bCs/>
        </w:rPr>
        <w:t xml:space="preserve">.  </w:t>
      </w:r>
      <w:r>
        <w:rPr>
          <w:b/>
          <w:bCs/>
        </w:rPr>
        <w:t xml:space="preserve">This is inconsistent with the manner in which the lakes criteria were established, which used a pre-determined chlorophyll target (6 ug/L for clear </w:t>
      </w:r>
      <w:proofErr w:type="spellStart"/>
      <w:r>
        <w:rPr>
          <w:b/>
          <w:bCs/>
        </w:rPr>
        <w:t>softwater</w:t>
      </w:r>
      <w:proofErr w:type="spellEnd"/>
      <w:r>
        <w:rPr>
          <w:b/>
          <w:bCs/>
        </w:rPr>
        <w:t xml:space="preserve"> lakes, and 20 ug/L for the remaining two classes), which relied on regression analysis to determine the (secondary) </w:t>
      </w:r>
      <w:r w:rsidRPr="00FF6EDD">
        <w:rPr>
          <w:b/>
          <w:bCs/>
        </w:rPr>
        <w:t xml:space="preserve">TN and TP </w:t>
      </w:r>
      <w:r>
        <w:rPr>
          <w:b/>
          <w:bCs/>
        </w:rPr>
        <w:t>levels</w:t>
      </w:r>
      <w:r w:rsidRPr="00FF6EDD">
        <w:rPr>
          <w:b/>
          <w:bCs/>
        </w:rPr>
        <w:t xml:space="preserve">. </w:t>
      </w:r>
      <w:r>
        <w:rPr>
          <w:b/>
          <w:bCs/>
        </w:rPr>
        <w:t xml:space="preserve">When modelling for </w:t>
      </w:r>
      <w:proofErr w:type="gramStart"/>
      <w:r>
        <w:rPr>
          <w:b/>
          <w:bCs/>
        </w:rPr>
        <w:t xml:space="preserve">TMDLs, </w:t>
      </w:r>
      <w:r w:rsidRPr="00FF6EDD">
        <w:rPr>
          <w:b/>
          <w:bCs/>
        </w:rPr>
        <w:t xml:space="preserve"> </w:t>
      </w:r>
      <w:r>
        <w:rPr>
          <w:b/>
          <w:bCs/>
        </w:rPr>
        <w:t>FDEP</w:t>
      </w:r>
      <w:proofErr w:type="gramEnd"/>
      <w:r>
        <w:rPr>
          <w:b/>
          <w:bCs/>
        </w:rPr>
        <w:t xml:space="preserve"> must focus on achieving the biological response variable as the primary  goal, and set the TN and TP appropriately, not vice versa</w:t>
      </w:r>
      <w:r w:rsidRPr="00FF6EDD">
        <w:rPr>
          <w:b/>
          <w:bCs/>
        </w:rPr>
        <w:t>.</w:t>
      </w:r>
    </w:p>
    <w:p w14:paraId="5B24A72F" w14:textId="77777777" w:rsidR="00EC154D" w:rsidRDefault="00EC154D" w:rsidP="000C3B75">
      <w:pPr>
        <w:jc w:val="both"/>
      </w:pPr>
      <w:r>
        <w:t>Section 5.0</w:t>
      </w:r>
    </w:p>
    <w:p w14:paraId="282EAFE9" w14:textId="0DFBD973" w:rsidR="00EC154D" w:rsidRDefault="00EC154D" w:rsidP="000C3B75">
      <w:pPr>
        <w:jc w:val="both"/>
      </w:pPr>
      <w:r>
        <w:t>No c</w:t>
      </w:r>
      <w:r w:rsidR="009D765B">
        <w:t>omments.</w:t>
      </w:r>
    </w:p>
    <w:p w14:paraId="221F3E76" w14:textId="77777777" w:rsidR="00EC154D" w:rsidRDefault="00EC154D" w:rsidP="000C3B75">
      <w:pPr>
        <w:jc w:val="both"/>
      </w:pPr>
      <w:r>
        <w:t>Section 6.0</w:t>
      </w:r>
    </w:p>
    <w:p w14:paraId="23ABECEA" w14:textId="77777777" w:rsidR="00EC154D" w:rsidRDefault="00EC154D" w:rsidP="000C3B75">
      <w:pPr>
        <w:jc w:val="both"/>
      </w:pPr>
      <w:r>
        <w:t>6.1 Stream Definition</w:t>
      </w:r>
    </w:p>
    <w:p w14:paraId="15ACA1C1" w14:textId="77777777" w:rsidR="00EC154D" w:rsidRDefault="00EC154D" w:rsidP="000C3B75">
      <w:pPr>
        <w:jc w:val="both"/>
      </w:pPr>
      <w:r>
        <w:t xml:space="preserve">Streams do not include: (a) non-perennial water segments where fluctuating hydrologic conditions, including periods of desiccation, typically result in the dominance of wetland and/or terrestrial taxa (and corresponding reduction in obligate fluvial or lotic taxa), wetlands, or portions of streams that exhibit lake characteristics (e.g., long water residence time, increased width, or predominance of biological taxa typically found in non-flowing conditions), or tidally influenced segments that fluctuate between predominantly marine and predominantly fresh waters during typical climatic and hydrologic conditions; or (b) ditches, canals and other conveyances, or segments of conveyances, that are man-made, or predominantly channelized or predominantly physically altered; and 1) are primarily used for water management purposes, such as flood protection, stormwater management, irrigation, or water supply; and 2) </w:t>
      </w:r>
      <w:r w:rsidRPr="003F0609">
        <w:rPr>
          <w:highlight w:val="yellow"/>
        </w:rPr>
        <w:t>have marginal or poor stream habitat or habitat components, such as a lack of habitat or substrate that is biologically limited</w:t>
      </w:r>
      <w:r>
        <w:t>, because the conveyance has cross sections that are predominantly trapezoidal, has armored banks, or is maintained primarily for water conveyance.”</w:t>
      </w:r>
    </w:p>
    <w:p w14:paraId="1AC62D4D" w14:textId="46332407" w:rsidR="00EC154D" w:rsidRPr="003F0609" w:rsidRDefault="00EC154D" w:rsidP="000C3B75">
      <w:pPr>
        <w:jc w:val="both"/>
        <w:rPr>
          <w:b/>
          <w:bCs/>
        </w:rPr>
      </w:pPr>
      <w:r w:rsidRPr="003F0609">
        <w:rPr>
          <w:b/>
          <w:bCs/>
        </w:rPr>
        <w:t xml:space="preserve">As FDEP is aware, the SCI and BioRecon results are more influenced by factors other than nutrients in habitat-limited </w:t>
      </w:r>
      <w:proofErr w:type="gramStart"/>
      <w:r w:rsidRPr="003F0609">
        <w:rPr>
          <w:b/>
          <w:bCs/>
        </w:rPr>
        <w:t>ditches, yet</w:t>
      </w:r>
      <w:proofErr w:type="gramEnd"/>
      <w:r w:rsidRPr="003F0609">
        <w:rPr>
          <w:b/>
          <w:bCs/>
        </w:rPr>
        <w:t xml:space="preserve"> is </w:t>
      </w:r>
      <w:r w:rsidR="00CE2B31">
        <w:rPr>
          <w:b/>
          <w:bCs/>
        </w:rPr>
        <w:t xml:space="preserve">often </w:t>
      </w:r>
      <w:r w:rsidRPr="003F0609">
        <w:rPr>
          <w:b/>
          <w:bCs/>
        </w:rPr>
        <w:t xml:space="preserve">difficult </w:t>
      </w:r>
      <w:r w:rsidR="009D765B">
        <w:rPr>
          <w:b/>
          <w:bCs/>
        </w:rPr>
        <w:t>to secure</w:t>
      </w:r>
      <w:r w:rsidRPr="003F0609">
        <w:rPr>
          <w:b/>
          <w:bCs/>
        </w:rPr>
        <w:t xml:space="preserve"> FDEP </w:t>
      </w:r>
      <w:r w:rsidR="009D765B">
        <w:rPr>
          <w:b/>
          <w:bCs/>
        </w:rPr>
        <w:t>approval</w:t>
      </w:r>
      <w:r w:rsidRPr="003F0609">
        <w:rPr>
          <w:b/>
          <w:bCs/>
        </w:rPr>
        <w:t xml:space="preserve"> on where the ditch exception </w:t>
      </w:r>
      <w:r w:rsidR="003F0609">
        <w:rPr>
          <w:b/>
          <w:bCs/>
        </w:rPr>
        <w:t xml:space="preserve">may be </w:t>
      </w:r>
      <w:r w:rsidRPr="003F0609">
        <w:rPr>
          <w:b/>
          <w:bCs/>
        </w:rPr>
        <w:t xml:space="preserve">implemented. </w:t>
      </w:r>
      <w:r w:rsidR="003F0609" w:rsidRPr="003F0609">
        <w:rPr>
          <w:b/>
          <w:bCs/>
        </w:rPr>
        <w:t>If a</w:t>
      </w:r>
      <w:r w:rsidRPr="003F0609">
        <w:rPr>
          <w:b/>
          <w:bCs/>
        </w:rPr>
        <w:t xml:space="preserve"> ditch </w:t>
      </w:r>
      <w:r w:rsidR="003F0609" w:rsidRPr="003F0609">
        <w:rPr>
          <w:b/>
          <w:bCs/>
        </w:rPr>
        <w:t>has</w:t>
      </w:r>
      <w:r w:rsidRPr="003F0609">
        <w:rPr>
          <w:b/>
          <w:bCs/>
        </w:rPr>
        <w:t xml:space="preserve"> 10% </w:t>
      </w:r>
      <w:r w:rsidR="003F0609" w:rsidRPr="003F0609">
        <w:rPr>
          <w:b/>
          <w:bCs/>
        </w:rPr>
        <w:t>invasive</w:t>
      </w:r>
      <w:r w:rsidRPr="003F0609">
        <w:rPr>
          <w:b/>
          <w:bCs/>
        </w:rPr>
        <w:t xml:space="preserve"> exotic plant</w:t>
      </w:r>
      <w:r w:rsidR="003F0609" w:rsidRPr="003F0609">
        <w:rPr>
          <w:b/>
          <w:bCs/>
        </w:rPr>
        <w:t xml:space="preserve"> coverage, the substrate availability</w:t>
      </w:r>
      <w:r w:rsidRPr="003F0609">
        <w:rPr>
          <w:b/>
          <w:bCs/>
        </w:rPr>
        <w:t xml:space="preserve"> </w:t>
      </w:r>
      <w:r w:rsidR="003F0609" w:rsidRPr="003F0609">
        <w:rPr>
          <w:b/>
          <w:bCs/>
        </w:rPr>
        <w:t xml:space="preserve">would </w:t>
      </w:r>
      <w:r w:rsidRPr="003F0609">
        <w:rPr>
          <w:b/>
          <w:bCs/>
        </w:rPr>
        <w:t>score above 5</w:t>
      </w:r>
      <w:r w:rsidR="003F0609" w:rsidRPr="003F0609">
        <w:rPr>
          <w:b/>
          <w:bCs/>
        </w:rPr>
        <w:t xml:space="preserve">.  </w:t>
      </w:r>
      <w:r w:rsidR="003F0609">
        <w:rPr>
          <w:b/>
          <w:bCs/>
        </w:rPr>
        <w:t xml:space="preserve">For this reason, </w:t>
      </w:r>
      <w:r w:rsidR="003F0609" w:rsidRPr="003F0609">
        <w:rPr>
          <w:b/>
          <w:bCs/>
        </w:rPr>
        <w:t xml:space="preserve">FDEP should allow </w:t>
      </w:r>
      <w:r w:rsidR="009D765B">
        <w:rPr>
          <w:b/>
          <w:bCs/>
        </w:rPr>
        <w:t xml:space="preserve">a waterbody to receive </w:t>
      </w:r>
      <w:r w:rsidR="003F0609" w:rsidRPr="003F0609">
        <w:rPr>
          <w:b/>
          <w:bCs/>
        </w:rPr>
        <w:t>the ditch exception if invasive exotic plant coverage is higher than 5%</w:t>
      </w:r>
      <w:r w:rsidR="009D765B">
        <w:rPr>
          <w:b/>
          <w:bCs/>
        </w:rPr>
        <w:t xml:space="preserve">, but </w:t>
      </w:r>
      <w:r w:rsidR="003F0609">
        <w:rPr>
          <w:b/>
          <w:bCs/>
        </w:rPr>
        <w:t>where all other indicator</w:t>
      </w:r>
      <w:r w:rsidR="009D765B">
        <w:rPr>
          <w:b/>
          <w:bCs/>
        </w:rPr>
        <w:t xml:space="preserve">s (geomorphology habitat score, substrate diversity </w:t>
      </w:r>
      <w:proofErr w:type="gramStart"/>
      <w:r w:rsidR="009D765B">
        <w:rPr>
          <w:b/>
          <w:bCs/>
        </w:rPr>
        <w:t xml:space="preserve">score) </w:t>
      </w:r>
      <w:r w:rsidR="003F0609">
        <w:rPr>
          <w:b/>
          <w:bCs/>
        </w:rPr>
        <w:t xml:space="preserve"> show</w:t>
      </w:r>
      <w:proofErr w:type="gramEnd"/>
      <w:r w:rsidR="003F0609">
        <w:rPr>
          <w:b/>
          <w:bCs/>
        </w:rPr>
        <w:t xml:space="preserve"> the system is a ditch.</w:t>
      </w:r>
    </w:p>
    <w:p w14:paraId="3FC4A1B0" w14:textId="7B81586D" w:rsidR="00EC154D" w:rsidRPr="003F0609" w:rsidRDefault="003F0609" w:rsidP="000C3B75">
      <w:pPr>
        <w:jc w:val="both"/>
        <w:rPr>
          <w:b/>
          <w:bCs/>
        </w:rPr>
      </w:pPr>
      <w:r w:rsidRPr="003F0609">
        <w:rPr>
          <w:b/>
          <w:bCs/>
        </w:rPr>
        <w:t>Also</w:t>
      </w:r>
      <w:r w:rsidR="009D765B">
        <w:rPr>
          <w:b/>
          <w:bCs/>
        </w:rPr>
        <w:t>,</w:t>
      </w:r>
      <w:r w:rsidRPr="003F0609">
        <w:rPr>
          <w:b/>
          <w:bCs/>
        </w:rPr>
        <w:t xml:space="preserve"> tidal fresh</w:t>
      </w:r>
      <w:r w:rsidR="00EC154D" w:rsidRPr="003F0609">
        <w:rPr>
          <w:b/>
          <w:bCs/>
        </w:rPr>
        <w:t xml:space="preserve"> areas where SCI is inappropriate</w:t>
      </w:r>
      <w:r w:rsidRPr="003F0609">
        <w:rPr>
          <w:b/>
          <w:bCs/>
        </w:rPr>
        <w:t xml:space="preserve"> (areas not used for SCI calibration purposes) should also receive the narrative</w:t>
      </w:r>
      <w:r w:rsidR="009749C6">
        <w:rPr>
          <w:b/>
          <w:bCs/>
        </w:rPr>
        <w:t xml:space="preserve"> nutrient</w:t>
      </w:r>
      <w:r w:rsidRPr="003F0609">
        <w:rPr>
          <w:b/>
          <w:bCs/>
        </w:rPr>
        <w:t xml:space="preserve"> criterion, because the SCI would not </w:t>
      </w:r>
      <w:r w:rsidR="009D765B">
        <w:rPr>
          <w:b/>
          <w:bCs/>
        </w:rPr>
        <w:t xml:space="preserve">be expected to </w:t>
      </w:r>
      <w:r w:rsidRPr="003F0609">
        <w:rPr>
          <w:b/>
          <w:bCs/>
        </w:rPr>
        <w:t>pass in such areas</w:t>
      </w:r>
      <w:r w:rsidR="009D765B">
        <w:rPr>
          <w:b/>
          <w:bCs/>
        </w:rPr>
        <w:t xml:space="preserve"> due to the tidal effects alone</w:t>
      </w:r>
      <w:r w:rsidRPr="003F0609">
        <w:rPr>
          <w:b/>
          <w:bCs/>
        </w:rPr>
        <w:t>.</w:t>
      </w:r>
      <w:r w:rsidR="009749C6">
        <w:rPr>
          <w:b/>
          <w:bCs/>
        </w:rPr>
        <w:t xml:space="preserve">  Currently, a site must fluctuate between fresh and salt conditions to achieve the tidal exception, however, SCI would not </w:t>
      </w:r>
      <w:r w:rsidR="009D765B">
        <w:rPr>
          <w:b/>
          <w:bCs/>
        </w:rPr>
        <w:t xml:space="preserve">be expected to </w:t>
      </w:r>
      <w:r w:rsidR="009749C6">
        <w:rPr>
          <w:b/>
          <w:bCs/>
        </w:rPr>
        <w:t xml:space="preserve">pass </w:t>
      </w:r>
      <w:r w:rsidR="009D765B">
        <w:rPr>
          <w:b/>
          <w:bCs/>
        </w:rPr>
        <w:t xml:space="preserve">in </w:t>
      </w:r>
      <w:r w:rsidR="009749C6">
        <w:rPr>
          <w:b/>
          <w:bCs/>
        </w:rPr>
        <w:t>these tidal fresh areas</w:t>
      </w:r>
      <w:r w:rsidR="009D765B">
        <w:rPr>
          <w:b/>
          <w:bCs/>
        </w:rPr>
        <w:t>.</w:t>
      </w:r>
      <w:r w:rsidR="009749C6">
        <w:rPr>
          <w:b/>
          <w:bCs/>
        </w:rPr>
        <w:t xml:space="preserve"> FDEP should state that such </w:t>
      </w:r>
      <w:r w:rsidR="009D765B">
        <w:rPr>
          <w:b/>
          <w:bCs/>
        </w:rPr>
        <w:t xml:space="preserve">tidal </w:t>
      </w:r>
      <w:r w:rsidR="009749C6">
        <w:rPr>
          <w:b/>
          <w:bCs/>
        </w:rPr>
        <w:t xml:space="preserve">areas where SCI sampling </w:t>
      </w:r>
      <w:r w:rsidR="009D765B">
        <w:rPr>
          <w:b/>
          <w:bCs/>
        </w:rPr>
        <w:t>wa</w:t>
      </w:r>
      <w:r w:rsidR="009749C6">
        <w:rPr>
          <w:b/>
          <w:bCs/>
        </w:rPr>
        <w:t xml:space="preserve">s inappropriate </w:t>
      </w:r>
      <w:r w:rsidR="009D765B">
        <w:rPr>
          <w:b/>
          <w:bCs/>
        </w:rPr>
        <w:t xml:space="preserve">for SCI development </w:t>
      </w:r>
      <w:r w:rsidR="009749C6">
        <w:rPr>
          <w:b/>
          <w:bCs/>
        </w:rPr>
        <w:t>would receive the tidal exception.</w:t>
      </w:r>
    </w:p>
    <w:p w14:paraId="757BB80C" w14:textId="77777777" w:rsidR="00EC154D" w:rsidRDefault="00EC154D" w:rsidP="000C3B75">
      <w:pPr>
        <w:jc w:val="both"/>
      </w:pPr>
      <w:r>
        <w:t>6.2 Implementation of NNC in Streams</w:t>
      </w:r>
    </w:p>
    <w:p w14:paraId="26509FC5" w14:textId="4A7B6B2B" w:rsidR="00EC154D" w:rsidRDefault="00EC154D" w:rsidP="000C3B75">
      <w:pPr>
        <w:jc w:val="both"/>
      </w:pPr>
      <w:r>
        <w:lastRenderedPageBreak/>
        <w:t>No changes</w:t>
      </w:r>
      <w:r w:rsidR="003F0609">
        <w:t>.</w:t>
      </w:r>
    </w:p>
    <w:p w14:paraId="7E0E0255" w14:textId="77777777" w:rsidR="00EC154D" w:rsidRDefault="00EC154D" w:rsidP="000C3B75">
      <w:pPr>
        <w:jc w:val="both"/>
      </w:pPr>
      <w:r>
        <w:t>6.3 Floral Evaluation for Determining Achievement of NNC</w:t>
      </w:r>
    </w:p>
    <w:p w14:paraId="7A7C78CD" w14:textId="77777777" w:rsidR="00EC154D" w:rsidRDefault="00EC154D" w:rsidP="000C3B75">
      <w:pPr>
        <w:jc w:val="both"/>
      </w:pPr>
      <w:r>
        <w:t>Floral measures alone can provide evidence that the nutrient standard in paragraph 62¬302.531(2)(c), F.A.C., is not achieved, potentially leading to the waterbody being placed on the Florida Verified List of impaired waters and Clean Water Act Section 303(d) list. However, because invasive exotic or tolerant species can occur even in the absence of anthropogenic nutrient enrichment</w:t>
      </w:r>
      <w:r w:rsidRPr="003F0609">
        <w:rPr>
          <w:highlight w:val="yellow"/>
        </w:rPr>
        <w:t>, streams that fail the LVS will be placed on the Study List of potentially impaired waters to evaluate whether nutrients are contributing to the LVS failure</w:t>
      </w:r>
      <w:r>
        <w:t xml:space="preserve"> (if the stream is also impaired for another floral metric, it will be placed on the Verified List).</w:t>
      </w:r>
    </w:p>
    <w:p w14:paraId="14334F7B" w14:textId="6B0037D6" w:rsidR="00EC154D" w:rsidRPr="003F0609" w:rsidRDefault="003F0609" w:rsidP="000C3B75">
      <w:pPr>
        <w:jc w:val="both"/>
        <w:rPr>
          <w:b/>
          <w:bCs/>
        </w:rPr>
      </w:pPr>
      <w:r w:rsidRPr="003F0609">
        <w:rPr>
          <w:b/>
          <w:bCs/>
        </w:rPr>
        <w:t xml:space="preserve">Because there is no relationship between nutrients in the LVS (physical </w:t>
      </w:r>
      <w:r w:rsidR="00764444" w:rsidRPr="003F0609">
        <w:rPr>
          <w:b/>
          <w:bCs/>
        </w:rPr>
        <w:t>disturbance</w:t>
      </w:r>
      <w:r w:rsidRPr="003F0609">
        <w:rPr>
          <w:b/>
          <w:bCs/>
        </w:rPr>
        <w:t xml:space="preserve"> and seed source</w:t>
      </w:r>
      <w:r w:rsidR="00764444">
        <w:rPr>
          <w:b/>
          <w:bCs/>
        </w:rPr>
        <w:t>s</w:t>
      </w:r>
      <w:r w:rsidRPr="003F0609">
        <w:rPr>
          <w:b/>
          <w:bCs/>
        </w:rPr>
        <w:t xml:space="preserve"> </w:t>
      </w:r>
      <w:r w:rsidR="00764444">
        <w:rPr>
          <w:b/>
          <w:bCs/>
        </w:rPr>
        <w:t>appear to be more important</w:t>
      </w:r>
      <w:r w:rsidRPr="003F0609">
        <w:rPr>
          <w:b/>
          <w:bCs/>
        </w:rPr>
        <w:t xml:space="preserve">) we agree that the </w:t>
      </w:r>
      <w:r w:rsidR="00EC154D" w:rsidRPr="003F0609">
        <w:rPr>
          <w:b/>
          <w:bCs/>
        </w:rPr>
        <w:t>LVS can place a system on Study List only</w:t>
      </w:r>
      <w:r w:rsidRPr="003F0609">
        <w:rPr>
          <w:b/>
          <w:bCs/>
        </w:rPr>
        <w:t xml:space="preserve">, and that additional study would be needed to demonstrate that </w:t>
      </w:r>
      <w:r w:rsidR="00764444" w:rsidRPr="003F0609">
        <w:rPr>
          <w:b/>
          <w:bCs/>
        </w:rPr>
        <w:t>vascular</w:t>
      </w:r>
      <w:r w:rsidRPr="003F0609">
        <w:rPr>
          <w:b/>
          <w:bCs/>
        </w:rPr>
        <w:t xml:space="preserve"> plants are indeed responding to nutrients at a given waterbody</w:t>
      </w:r>
      <w:r w:rsidR="00EC154D" w:rsidRPr="003F0609">
        <w:rPr>
          <w:b/>
          <w:bCs/>
        </w:rPr>
        <w:t>.</w:t>
      </w:r>
      <w:r w:rsidR="00133622">
        <w:rPr>
          <w:b/>
          <w:bCs/>
        </w:rPr>
        <w:t xml:space="preserve">  FDEP should adopt this approach for the RPS, which was only shown to respond to nitrate in springs, not to TN or TP.</w:t>
      </w:r>
    </w:p>
    <w:p w14:paraId="0F7CD0AB" w14:textId="620FB555" w:rsidR="00EC154D" w:rsidRDefault="003F0609" w:rsidP="000C3B75">
      <w:pPr>
        <w:jc w:val="both"/>
      </w:pPr>
      <w:r>
        <w:t>A</w:t>
      </w:r>
      <w:r w:rsidR="00EC154D">
        <w:t xml:space="preserve">t least two temporally independent (collected &gt; 3 months apart) bioassessment evaluations, collected </w:t>
      </w:r>
      <w:r w:rsidR="00EC154D" w:rsidRPr="003F0609">
        <w:rPr>
          <w:highlight w:val="yellow"/>
        </w:rPr>
        <w:t>during different hydrologic seasons (May-September and October-April)</w:t>
      </w:r>
      <w:r w:rsidR="00EC154D">
        <w:t xml:space="preserve">, are required to </w:t>
      </w:r>
      <w:proofErr w:type="gramStart"/>
      <w:r w:rsidR="00EC154D">
        <w:t>make a decision</w:t>
      </w:r>
      <w:proofErr w:type="gramEnd"/>
      <w:r w:rsidR="00EC154D">
        <w:t xml:space="preserve"> about floral health for a site.</w:t>
      </w:r>
    </w:p>
    <w:p w14:paraId="425DDF53" w14:textId="42FB8115" w:rsidR="00EC154D" w:rsidRDefault="00EC154D" w:rsidP="000C3B75">
      <w:pPr>
        <w:jc w:val="both"/>
        <w:rPr>
          <w:b/>
          <w:bCs/>
        </w:rPr>
      </w:pPr>
      <w:r w:rsidRPr="00764444">
        <w:rPr>
          <w:b/>
          <w:bCs/>
        </w:rPr>
        <w:t>Th</w:t>
      </w:r>
      <w:r w:rsidR="003F0609" w:rsidRPr="00764444">
        <w:rPr>
          <w:b/>
          <w:bCs/>
        </w:rPr>
        <w:t>e</w:t>
      </w:r>
      <w:r w:rsidRPr="00764444">
        <w:rPr>
          <w:b/>
          <w:bCs/>
        </w:rPr>
        <w:t xml:space="preserve"> requirement </w:t>
      </w:r>
      <w:r w:rsidR="00764444">
        <w:rPr>
          <w:b/>
          <w:bCs/>
        </w:rPr>
        <w:t>for</w:t>
      </w:r>
      <w:r w:rsidR="003F0609" w:rsidRPr="00764444">
        <w:rPr>
          <w:b/>
          <w:bCs/>
        </w:rPr>
        <w:t xml:space="preserve"> this seasonal component is directly in conflict with the manner in which the data were collected f</w:t>
      </w:r>
      <w:r w:rsidR="00764444">
        <w:rPr>
          <w:b/>
          <w:bCs/>
        </w:rPr>
        <w:t>or</w:t>
      </w:r>
      <w:r w:rsidR="003F0609" w:rsidRPr="00764444">
        <w:rPr>
          <w:b/>
          <w:bCs/>
        </w:rPr>
        <w:t xml:space="preserve"> the benchmark </w:t>
      </w:r>
      <w:proofErr w:type="gramStart"/>
      <w:r w:rsidR="003F0609" w:rsidRPr="00764444">
        <w:rPr>
          <w:b/>
          <w:bCs/>
        </w:rPr>
        <w:t>streams, and</w:t>
      </w:r>
      <w:proofErr w:type="gramEnd"/>
      <w:r w:rsidR="003F0609" w:rsidRPr="00764444">
        <w:rPr>
          <w:b/>
          <w:bCs/>
        </w:rPr>
        <w:t xml:space="preserve"> should be rescinded</w:t>
      </w:r>
      <w:r w:rsidR="00764444">
        <w:rPr>
          <w:b/>
          <w:bCs/>
        </w:rPr>
        <w:t xml:space="preserve"> from all areas where it occurs</w:t>
      </w:r>
      <w:r w:rsidR="003F0609" w:rsidRPr="00764444">
        <w:rPr>
          <w:b/>
          <w:bCs/>
        </w:rPr>
        <w:t>.</w:t>
      </w:r>
      <w:r w:rsidR="00764444" w:rsidRPr="00764444">
        <w:rPr>
          <w:b/>
          <w:bCs/>
        </w:rPr>
        <w:t xml:space="preserve"> The strategy used to collect the HA, RPS, LVS, and SCI data for </w:t>
      </w:r>
      <w:r w:rsidR="00764444">
        <w:rPr>
          <w:b/>
          <w:bCs/>
        </w:rPr>
        <w:t xml:space="preserve">~120 </w:t>
      </w:r>
      <w:r w:rsidR="00764444" w:rsidRPr="00764444">
        <w:rPr>
          <w:b/>
          <w:bCs/>
        </w:rPr>
        <w:t>benchmark streams closely followed the SCI Primer Document</w:t>
      </w:r>
      <w:r w:rsidR="00764444">
        <w:rPr>
          <w:b/>
          <w:bCs/>
        </w:rPr>
        <w:t xml:space="preserve">.  Sampling criteria for benchmark sites (from which all the floral metrics were derived) included 0.05 m/sec or greater velocity for the previous month, declining or stable hydrograph, and no desiccation for </w:t>
      </w:r>
      <w:r w:rsidR="00937CFE">
        <w:rPr>
          <w:b/>
          <w:bCs/>
        </w:rPr>
        <w:t>6</w:t>
      </w:r>
      <w:r w:rsidR="00764444">
        <w:rPr>
          <w:b/>
          <w:bCs/>
        </w:rPr>
        <w:t xml:space="preserve"> months (SCI Primer criteria).  There was no required </w:t>
      </w:r>
      <w:r w:rsidR="009D765B">
        <w:rPr>
          <w:b/>
          <w:bCs/>
        </w:rPr>
        <w:t xml:space="preserve">spatial or </w:t>
      </w:r>
      <w:r w:rsidR="00764444">
        <w:rPr>
          <w:b/>
          <w:bCs/>
        </w:rPr>
        <w:t>seasonal component</w:t>
      </w:r>
      <w:r w:rsidR="009D765B">
        <w:rPr>
          <w:b/>
          <w:bCs/>
        </w:rPr>
        <w:t>s</w:t>
      </w:r>
      <w:r w:rsidR="00764444">
        <w:rPr>
          <w:b/>
          <w:bCs/>
        </w:rPr>
        <w:t xml:space="preserve"> associated with </w:t>
      </w:r>
      <w:r w:rsidR="009D765B">
        <w:rPr>
          <w:b/>
          <w:bCs/>
        </w:rPr>
        <w:t xml:space="preserve">derivation of the floral </w:t>
      </w:r>
      <w:r w:rsidR="00764444">
        <w:rPr>
          <w:b/>
          <w:bCs/>
        </w:rPr>
        <w:t>90</w:t>
      </w:r>
      <w:r w:rsidR="00764444" w:rsidRPr="00764444">
        <w:rPr>
          <w:b/>
          <w:bCs/>
          <w:vertAlign w:val="superscript"/>
        </w:rPr>
        <w:t>th</w:t>
      </w:r>
      <w:r w:rsidR="00764444">
        <w:rPr>
          <w:b/>
          <w:bCs/>
        </w:rPr>
        <w:t xml:space="preserve"> percentile values </w:t>
      </w:r>
      <w:r w:rsidR="009D765B">
        <w:rPr>
          <w:b/>
          <w:bCs/>
        </w:rPr>
        <w:t>for RPS, LVS, and chlorophyll</w:t>
      </w:r>
      <w:r w:rsidR="0033176A">
        <w:rPr>
          <w:b/>
          <w:bCs/>
        </w:rPr>
        <w:t>. If</w:t>
      </w:r>
      <w:r w:rsidR="00764444">
        <w:rPr>
          <w:b/>
          <w:bCs/>
        </w:rPr>
        <w:t xml:space="preserve"> </w:t>
      </w:r>
      <w:r w:rsidR="009D765B">
        <w:rPr>
          <w:b/>
          <w:bCs/>
        </w:rPr>
        <w:t>seasonality</w:t>
      </w:r>
      <w:r w:rsidR="00764444">
        <w:rPr>
          <w:b/>
          <w:bCs/>
        </w:rPr>
        <w:t xml:space="preserve"> in the benchmark dat</w:t>
      </w:r>
      <w:r w:rsidR="009D765B">
        <w:rPr>
          <w:b/>
          <w:bCs/>
        </w:rPr>
        <w:t>a</w:t>
      </w:r>
      <w:r w:rsidR="00764444">
        <w:rPr>
          <w:b/>
          <w:bCs/>
        </w:rPr>
        <w:t xml:space="preserve"> were o</w:t>
      </w:r>
      <w:r w:rsidR="00937CFE">
        <w:rPr>
          <w:b/>
          <w:bCs/>
        </w:rPr>
        <w:t>b</w:t>
      </w:r>
      <w:r w:rsidR="00764444">
        <w:rPr>
          <w:b/>
          <w:bCs/>
        </w:rPr>
        <w:t xml:space="preserve">served, FDEP would have established different thresholds for the seasons. </w:t>
      </w:r>
      <w:r w:rsidR="00764444" w:rsidRPr="00764444">
        <w:rPr>
          <w:b/>
          <w:bCs/>
        </w:rPr>
        <w:t xml:space="preserve"> </w:t>
      </w:r>
      <w:r w:rsidR="009D765B">
        <w:rPr>
          <w:b/>
          <w:bCs/>
        </w:rPr>
        <w:t>The criteria in the</w:t>
      </w:r>
      <w:r w:rsidRPr="00764444">
        <w:rPr>
          <w:b/>
          <w:bCs/>
        </w:rPr>
        <w:t xml:space="preserve"> SCI Primer Document (Chapter 1.6 Water level and the SCI)</w:t>
      </w:r>
      <w:r w:rsidR="009D765B">
        <w:rPr>
          <w:b/>
          <w:bCs/>
        </w:rPr>
        <w:t xml:space="preserve"> should take </w:t>
      </w:r>
      <w:r w:rsidR="002B0CA8">
        <w:rPr>
          <w:b/>
          <w:bCs/>
        </w:rPr>
        <w:t>precedence over these proposed arbitrary “hydrologic seasons”, because attempting to sample in these seasons could be in conflict with the SCI Primer criteria, resulting</w:t>
      </w:r>
      <w:r w:rsidRPr="00764444">
        <w:rPr>
          <w:b/>
          <w:bCs/>
        </w:rPr>
        <w:t xml:space="preserve"> </w:t>
      </w:r>
      <w:r w:rsidR="002B0CA8">
        <w:rPr>
          <w:b/>
          <w:bCs/>
        </w:rPr>
        <w:t>in SCI failures</w:t>
      </w:r>
      <w:r w:rsidRPr="00764444">
        <w:rPr>
          <w:b/>
          <w:bCs/>
        </w:rPr>
        <w:t xml:space="preserve"> due to high water levels preventing colonized substrates from being reached.  This </w:t>
      </w:r>
      <w:r w:rsidR="002B0CA8">
        <w:rPr>
          <w:b/>
          <w:bCs/>
        </w:rPr>
        <w:t xml:space="preserve">“hydrologic season” component in the NNC Implementation </w:t>
      </w:r>
      <w:r w:rsidR="00937CFE">
        <w:rPr>
          <w:b/>
          <w:bCs/>
        </w:rPr>
        <w:t>Document</w:t>
      </w:r>
      <w:r w:rsidR="002B0CA8">
        <w:rPr>
          <w:b/>
          <w:bCs/>
        </w:rPr>
        <w:t xml:space="preserve"> </w:t>
      </w:r>
      <w:r w:rsidRPr="00764444">
        <w:rPr>
          <w:b/>
          <w:bCs/>
        </w:rPr>
        <w:t>needs to be rescinded</w:t>
      </w:r>
      <w:r w:rsidR="002B0CA8">
        <w:rPr>
          <w:b/>
          <w:bCs/>
        </w:rPr>
        <w:t xml:space="preserve"> wherever it occurs</w:t>
      </w:r>
      <w:r w:rsidRPr="00764444">
        <w:rPr>
          <w:b/>
          <w:bCs/>
        </w:rPr>
        <w:t>.</w:t>
      </w:r>
    </w:p>
    <w:p w14:paraId="51759C2F" w14:textId="0832AD64" w:rsidR="0033176A" w:rsidRPr="002B0CA8" w:rsidRDefault="0033176A" w:rsidP="0033176A">
      <w:pPr>
        <w:jc w:val="both"/>
        <w:rPr>
          <w:b/>
          <w:bCs/>
        </w:rPr>
      </w:pPr>
      <w:r w:rsidRPr="002B0CA8">
        <w:rPr>
          <w:b/>
          <w:bCs/>
        </w:rPr>
        <w:t>The requirement for different hydrological seasons, which is referenced throughout the document, adds additional restrictions on sampling without evidence of improving assessment. It appears arbitrary. Seasonality for these tools has never been established by FDEP, and in fact, there was no seasonal component found for the SCI. FDEP</w:t>
      </w:r>
      <w:r w:rsidR="00CE2B31">
        <w:rPr>
          <w:b/>
          <w:bCs/>
        </w:rPr>
        <w:t xml:space="preserve"> has provided NO</w:t>
      </w:r>
      <w:r w:rsidRPr="002B0CA8">
        <w:rPr>
          <w:b/>
          <w:bCs/>
        </w:rPr>
        <w:t xml:space="preserve"> scientific basis for establishing </w:t>
      </w:r>
      <w:r>
        <w:rPr>
          <w:b/>
          <w:bCs/>
        </w:rPr>
        <w:t>these two</w:t>
      </w:r>
      <w:r w:rsidRPr="002B0CA8">
        <w:rPr>
          <w:b/>
          <w:bCs/>
        </w:rPr>
        <w:t xml:space="preserve"> hydrologic seasons</w:t>
      </w:r>
      <w:r w:rsidR="00CE2B31">
        <w:rPr>
          <w:b/>
          <w:bCs/>
        </w:rPr>
        <w:t xml:space="preserve">. </w:t>
      </w:r>
      <w:r>
        <w:rPr>
          <w:b/>
          <w:bCs/>
        </w:rPr>
        <w:t xml:space="preserve"> They are not consistent with the manner in which the benchmark streams were originally sampled to derive the floral metrics (the original </w:t>
      </w:r>
      <w:r w:rsidRPr="002B0CA8">
        <w:rPr>
          <w:b/>
          <w:bCs/>
        </w:rPr>
        <w:t>data set was not sampled or subdivided in this manner for analysis</w:t>
      </w:r>
      <w:r>
        <w:rPr>
          <w:b/>
          <w:bCs/>
        </w:rPr>
        <w:t>)</w:t>
      </w:r>
      <w:r w:rsidRPr="002B0CA8">
        <w:rPr>
          <w:b/>
          <w:bCs/>
        </w:rPr>
        <w:t xml:space="preserve">. Seasonality was </w:t>
      </w:r>
      <w:r>
        <w:rPr>
          <w:b/>
          <w:bCs/>
        </w:rPr>
        <w:t>assessed for the SCI</w:t>
      </w:r>
      <w:r w:rsidRPr="002B0CA8">
        <w:rPr>
          <w:b/>
          <w:bCs/>
        </w:rPr>
        <w:t xml:space="preserve"> and found to not be important</w:t>
      </w:r>
      <w:r>
        <w:rPr>
          <w:b/>
          <w:bCs/>
        </w:rPr>
        <w:t xml:space="preserve">, so FDEP </w:t>
      </w:r>
      <w:proofErr w:type="spellStart"/>
      <w:proofErr w:type="gramStart"/>
      <w:r w:rsidR="00CE2B31">
        <w:rPr>
          <w:b/>
          <w:bCs/>
        </w:rPr>
        <w:t>dhou;d</w:t>
      </w:r>
      <w:proofErr w:type="spellEnd"/>
      <w:proofErr w:type="gramEnd"/>
      <w:r w:rsidR="00CE2B31">
        <w:rPr>
          <w:b/>
          <w:bCs/>
        </w:rPr>
        <w:t xml:space="preserve"> not </w:t>
      </w:r>
      <w:r>
        <w:rPr>
          <w:b/>
          <w:bCs/>
        </w:rPr>
        <w:t>requir</w:t>
      </w:r>
      <w:r w:rsidR="00CE2B31">
        <w:rPr>
          <w:b/>
          <w:bCs/>
        </w:rPr>
        <w:t>e these</w:t>
      </w:r>
      <w:r>
        <w:rPr>
          <w:b/>
          <w:bCs/>
        </w:rPr>
        <w:t xml:space="preserve"> artificial time constraints</w:t>
      </w:r>
      <w:r w:rsidRPr="002B0CA8">
        <w:rPr>
          <w:b/>
          <w:bCs/>
        </w:rPr>
        <w:t xml:space="preserve"> that make gathering data more difficult without justification</w:t>
      </w:r>
      <w:r w:rsidR="00CE2B31">
        <w:rPr>
          <w:b/>
          <w:bCs/>
        </w:rPr>
        <w:t>.</w:t>
      </w:r>
    </w:p>
    <w:p w14:paraId="264D5DA1" w14:textId="0530026E" w:rsidR="00EC154D" w:rsidRPr="002B0CA8" w:rsidRDefault="00EC154D" w:rsidP="000C3B75">
      <w:pPr>
        <w:jc w:val="both"/>
      </w:pPr>
      <w:r w:rsidRPr="002B0CA8">
        <w:lastRenderedPageBreak/>
        <w:t>If one "pass" and one "fail" comprise the two most recent samples, then the next most recent assessment</w:t>
      </w:r>
      <w:r w:rsidR="002B0CA8" w:rsidRPr="002B0CA8">
        <w:t xml:space="preserve"> </w:t>
      </w:r>
      <w:r w:rsidRPr="002B0CA8">
        <w:t xml:space="preserve">conducted during the season when the failure occurred should be considered and the assessment determination will be based on the results of this third assessment. </w:t>
      </w:r>
    </w:p>
    <w:p w14:paraId="010DA13D" w14:textId="63090C50" w:rsidR="00EC154D" w:rsidRPr="00764444" w:rsidRDefault="0033176A" w:rsidP="000C3B75">
      <w:pPr>
        <w:jc w:val="both"/>
        <w:rPr>
          <w:b/>
          <w:bCs/>
        </w:rPr>
      </w:pPr>
      <w:r>
        <w:rPr>
          <w:b/>
          <w:bCs/>
        </w:rPr>
        <w:t>FDEP has seemingly failed to consider a scenario in which</w:t>
      </w:r>
      <w:r w:rsidR="00EC154D" w:rsidRPr="00764444">
        <w:rPr>
          <w:b/>
          <w:bCs/>
        </w:rPr>
        <w:t xml:space="preserve"> </w:t>
      </w:r>
      <w:r>
        <w:rPr>
          <w:b/>
          <w:bCs/>
        </w:rPr>
        <w:t xml:space="preserve">SCI </w:t>
      </w:r>
      <w:r w:rsidR="00EC154D" w:rsidRPr="00764444">
        <w:rPr>
          <w:b/>
          <w:bCs/>
        </w:rPr>
        <w:t xml:space="preserve">failure occurs only during drought and </w:t>
      </w:r>
      <w:r w:rsidR="002B0CA8">
        <w:rPr>
          <w:b/>
          <w:bCs/>
        </w:rPr>
        <w:t xml:space="preserve">subsequent </w:t>
      </w:r>
      <w:r w:rsidR="00EC154D" w:rsidRPr="00764444">
        <w:rPr>
          <w:b/>
          <w:bCs/>
        </w:rPr>
        <w:t>rewetting conditions</w:t>
      </w:r>
      <w:r>
        <w:rPr>
          <w:b/>
          <w:bCs/>
        </w:rPr>
        <w:t>.</w:t>
      </w:r>
      <w:r w:rsidR="00EC154D" w:rsidRPr="00764444">
        <w:rPr>
          <w:b/>
          <w:bCs/>
        </w:rPr>
        <w:t xml:space="preserve"> The reference site data that comprise the expectations were not constrained to the above restrictions, </w:t>
      </w:r>
      <w:r>
        <w:rPr>
          <w:b/>
          <w:bCs/>
        </w:rPr>
        <w:t>and FDEP has presented no reasoning or evidence for imposing these restrictions now.</w:t>
      </w:r>
      <w:r w:rsidR="00EC154D" w:rsidRPr="00764444">
        <w:rPr>
          <w:b/>
          <w:bCs/>
        </w:rPr>
        <w:t xml:space="preserve"> The date range</w:t>
      </w:r>
      <w:r>
        <w:rPr>
          <w:b/>
          <w:bCs/>
        </w:rPr>
        <w:t xml:space="preserve"> of the proposed seasons also</w:t>
      </w:r>
      <w:r w:rsidR="00EC154D" w:rsidRPr="00764444">
        <w:rPr>
          <w:b/>
          <w:bCs/>
        </w:rPr>
        <w:t xml:space="preserve"> does not reflect varying hydrology throughout the state</w:t>
      </w:r>
      <w:r w:rsidR="002B0CA8">
        <w:rPr>
          <w:b/>
          <w:bCs/>
        </w:rPr>
        <w:t xml:space="preserve">, which </w:t>
      </w:r>
      <w:r w:rsidR="00EC5571">
        <w:rPr>
          <w:b/>
          <w:bCs/>
        </w:rPr>
        <w:t>FDEP</w:t>
      </w:r>
      <w:r w:rsidR="002B0CA8">
        <w:rPr>
          <w:b/>
          <w:bCs/>
        </w:rPr>
        <w:t xml:space="preserve"> clear</w:t>
      </w:r>
      <w:r w:rsidR="00EC5571">
        <w:rPr>
          <w:b/>
          <w:bCs/>
        </w:rPr>
        <w:t>ly shows</w:t>
      </w:r>
      <w:r w:rsidR="002B0CA8">
        <w:rPr>
          <w:b/>
          <w:bCs/>
        </w:rPr>
        <w:t xml:space="preserve"> later in the Implementation Document when the Kieffer methods are discussed</w:t>
      </w:r>
      <w:r w:rsidR="00EC154D" w:rsidRPr="00764444">
        <w:rPr>
          <w:b/>
          <w:bCs/>
        </w:rPr>
        <w:t>.</w:t>
      </w:r>
    </w:p>
    <w:p w14:paraId="02EF5A09" w14:textId="77777777" w:rsidR="00EC154D" w:rsidRDefault="00EC154D" w:rsidP="000C3B75">
      <w:pPr>
        <w:jc w:val="both"/>
      </w:pPr>
      <w:r>
        <w:t>6.4 Evaluating Algal Mats</w:t>
      </w:r>
    </w:p>
    <w:p w14:paraId="335DB994" w14:textId="77777777" w:rsidR="00EC154D" w:rsidRDefault="00EC154D" w:rsidP="000C3B75">
      <w:pPr>
        <w:jc w:val="both"/>
      </w:pPr>
      <w:r>
        <w:t xml:space="preserve">If a stream site exhibits a percent coverage of periphyton ranks 4-6 of 25% or less for two consecutive, temporally independent samples collected &gt;3 months apart and during different hydrologic seasons the RPS results indicate evidence of a balanced periphyton community If a stream site exceeds an RPS 4-6 coverage of 25% for two consecutive, temporally independent samples (&gt;3 months apart) from </w:t>
      </w:r>
      <w:r w:rsidRPr="002B0CA8">
        <w:rPr>
          <w:highlight w:val="yellow"/>
        </w:rPr>
        <w:t>different hydrologic seasons</w:t>
      </w:r>
      <w:r>
        <w:t>, the Department considers this as evidence that the numeric nutrient standard for streams is not achieved.</w:t>
      </w:r>
    </w:p>
    <w:p w14:paraId="2DA52B7C" w14:textId="27F5909E" w:rsidR="00EC154D" w:rsidRDefault="00EC154D" w:rsidP="000C3B75">
      <w:pPr>
        <w:jc w:val="both"/>
      </w:pPr>
      <w:r>
        <w:t xml:space="preserve">If the two most recent surveys have differing results in relation to the evidentiary threshold, the third most recent survey from the failing season. </w:t>
      </w:r>
    </w:p>
    <w:p w14:paraId="12B9B333" w14:textId="4BB2B93B" w:rsidR="0033176A" w:rsidRPr="0033176A" w:rsidRDefault="0033176A" w:rsidP="000C3B75">
      <w:pPr>
        <w:jc w:val="both"/>
        <w:rPr>
          <w:b/>
          <w:bCs/>
        </w:rPr>
      </w:pPr>
      <w:r w:rsidRPr="0033176A">
        <w:rPr>
          <w:b/>
          <w:bCs/>
        </w:rPr>
        <w:t>See discussion of hydrologic seasons addressed in 6.3</w:t>
      </w:r>
    </w:p>
    <w:p w14:paraId="77A89542" w14:textId="77777777" w:rsidR="00EC154D" w:rsidRDefault="00EC154D" w:rsidP="000C3B75">
      <w:pPr>
        <w:jc w:val="both"/>
      </w:pPr>
      <w:r>
        <w:t>6.5 Evaluating Dominant Algal Species Composition</w:t>
      </w:r>
    </w:p>
    <w:p w14:paraId="1972EFDD" w14:textId="4EBCF332" w:rsidR="00EC154D" w:rsidRDefault="00EC154D" w:rsidP="000C3B75">
      <w:pPr>
        <w:jc w:val="both"/>
      </w:pPr>
      <w:r>
        <w:t>Although the Department conducted a comprehensive study of stream periphyton in Florida in an attempt to formulate a multi-metric index for assessing human disturbance (including nutrient</w:t>
      </w:r>
      <w:r w:rsidR="004351F6">
        <w:t xml:space="preserve"> </w:t>
      </w:r>
      <w:r>
        <w:t xml:space="preserve">effects), the statewide data indicated that the periphyton community composition was </w:t>
      </w:r>
      <w:r w:rsidRPr="004351F6">
        <w:rPr>
          <w:highlight w:val="yellow"/>
        </w:rPr>
        <w:t>more highly correlated with pH and conductivity than with nutrients</w:t>
      </w:r>
      <w:r>
        <w:t xml:space="preserve"> or measures of human disturbance.</w:t>
      </w:r>
    </w:p>
    <w:p w14:paraId="6968BC49" w14:textId="171FE0B6" w:rsidR="00EC154D" w:rsidRPr="004351F6" w:rsidRDefault="00EC154D" w:rsidP="000C3B75">
      <w:pPr>
        <w:jc w:val="both"/>
        <w:rPr>
          <w:b/>
          <w:bCs/>
        </w:rPr>
      </w:pPr>
      <w:r w:rsidRPr="004351F6">
        <w:rPr>
          <w:b/>
          <w:bCs/>
        </w:rPr>
        <w:t xml:space="preserve">This </w:t>
      </w:r>
      <w:r w:rsidR="004351F6" w:rsidRPr="004351F6">
        <w:rPr>
          <w:b/>
          <w:bCs/>
        </w:rPr>
        <w:t xml:space="preserve">above statement in the Implementation Document </w:t>
      </w:r>
      <w:r w:rsidRPr="004351F6">
        <w:rPr>
          <w:b/>
          <w:bCs/>
        </w:rPr>
        <w:t xml:space="preserve">is true, </w:t>
      </w:r>
      <w:r w:rsidR="004351F6" w:rsidRPr="004351F6">
        <w:rPr>
          <w:b/>
          <w:bCs/>
        </w:rPr>
        <w:t>so</w:t>
      </w:r>
      <w:r w:rsidRPr="004351F6">
        <w:rPr>
          <w:b/>
          <w:bCs/>
        </w:rPr>
        <w:t xml:space="preserve"> </w:t>
      </w:r>
      <w:r w:rsidR="004351F6" w:rsidRPr="004351F6">
        <w:rPr>
          <w:b/>
          <w:bCs/>
        </w:rPr>
        <w:t xml:space="preserve">FDEP </w:t>
      </w:r>
      <w:r w:rsidR="000530DA">
        <w:rPr>
          <w:b/>
          <w:bCs/>
        </w:rPr>
        <w:t>CANNOT</w:t>
      </w:r>
      <w:r w:rsidR="00CE2B31">
        <w:rPr>
          <w:b/>
          <w:bCs/>
        </w:rPr>
        <w:t xml:space="preserve"> </w:t>
      </w:r>
      <w:r w:rsidR="004351F6" w:rsidRPr="004351F6">
        <w:rPr>
          <w:b/>
          <w:bCs/>
        </w:rPr>
        <w:t>justify</w:t>
      </w:r>
      <w:r w:rsidRPr="004351F6">
        <w:rPr>
          <w:b/>
          <w:bCs/>
        </w:rPr>
        <w:t xml:space="preserve"> using a species list of </w:t>
      </w:r>
      <w:r w:rsidR="004351F6" w:rsidRPr="004351F6">
        <w:rPr>
          <w:b/>
          <w:bCs/>
        </w:rPr>
        <w:t>pollution</w:t>
      </w:r>
      <w:r w:rsidRPr="004351F6">
        <w:rPr>
          <w:b/>
          <w:bCs/>
        </w:rPr>
        <w:t xml:space="preserve"> indicator taxa if the science did not </w:t>
      </w:r>
      <w:r w:rsidR="004351F6" w:rsidRPr="004351F6">
        <w:rPr>
          <w:b/>
          <w:bCs/>
        </w:rPr>
        <w:t xml:space="preserve">demonstrate </w:t>
      </w:r>
      <w:r w:rsidRPr="004351F6">
        <w:rPr>
          <w:b/>
          <w:bCs/>
        </w:rPr>
        <w:t>statistically significant relationships to nutrients</w:t>
      </w:r>
      <w:r w:rsidR="00CE2B31">
        <w:rPr>
          <w:b/>
          <w:bCs/>
        </w:rPr>
        <w:t>.</w:t>
      </w:r>
    </w:p>
    <w:p w14:paraId="720C35E7" w14:textId="77777777" w:rsidR="00EC154D" w:rsidRDefault="00EC154D" w:rsidP="000C3B75">
      <w:pPr>
        <w:jc w:val="both"/>
      </w:pPr>
      <w:r>
        <w:t xml:space="preserve">Nutrient enriched Florida springs typically characterized by an abundance of one or more of the following taxa: </w:t>
      </w:r>
      <w:proofErr w:type="spellStart"/>
      <w:r>
        <w:t>Plectonema</w:t>
      </w:r>
      <w:proofErr w:type="spellEnd"/>
      <w:r>
        <w:t xml:space="preserve"> </w:t>
      </w:r>
      <w:proofErr w:type="spellStart"/>
      <w:r>
        <w:t>wollei</w:t>
      </w:r>
      <w:proofErr w:type="spellEnd"/>
      <w:r>
        <w:t xml:space="preserve">, Oscillatoria sp., </w:t>
      </w:r>
      <w:proofErr w:type="spellStart"/>
      <w:r>
        <w:t>Aphanothece</w:t>
      </w:r>
      <w:proofErr w:type="spellEnd"/>
      <w:r>
        <w:t xml:space="preserve"> sp., Phormidium sp., </w:t>
      </w:r>
      <w:proofErr w:type="spellStart"/>
      <w:r>
        <w:t>Vaucheria</w:t>
      </w:r>
      <w:proofErr w:type="spellEnd"/>
      <w:r>
        <w:t xml:space="preserve"> sp., Spirogyra sp., Cladophora sp., </w:t>
      </w:r>
      <w:proofErr w:type="spellStart"/>
      <w:r>
        <w:t>Rhizoclonium</w:t>
      </w:r>
      <w:proofErr w:type="spellEnd"/>
      <w:r>
        <w:t xml:space="preserve"> sp., </w:t>
      </w:r>
      <w:proofErr w:type="spellStart"/>
      <w:r>
        <w:t>Dichotomosiphon</w:t>
      </w:r>
      <w:proofErr w:type="spellEnd"/>
      <w:r>
        <w:t xml:space="preserve"> sp., </w:t>
      </w:r>
      <w:proofErr w:type="spellStart"/>
      <w:r>
        <w:t>Hydrodiction</w:t>
      </w:r>
      <w:proofErr w:type="spellEnd"/>
      <w:r>
        <w:t xml:space="preserve"> sp., Enteromorpha sp., and </w:t>
      </w:r>
      <w:proofErr w:type="spellStart"/>
      <w:r>
        <w:t>Chaetomorpha</w:t>
      </w:r>
      <w:proofErr w:type="spellEnd"/>
      <w:r>
        <w:t xml:space="preserve"> sp. Potential toxin-producing taxa include: </w:t>
      </w:r>
      <w:proofErr w:type="spellStart"/>
      <w:r>
        <w:t>Geitlerinema</w:t>
      </w:r>
      <w:proofErr w:type="spellEnd"/>
      <w:r>
        <w:t xml:space="preserve"> </w:t>
      </w:r>
      <w:proofErr w:type="spellStart"/>
      <w:r>
        <w:t>acutissimum</w:t>
      </w:r>
      <w:proofErr w:type="spellEnd"/>
      <w:r>
        <w:t xml:space="preserve">, </w:t>
      </w:r>
      <w:proofErr w:type="spellStart"/>
      <w:r>
        <w:t>Lyngbya</w:t>
      </w:r>
      <w:proofErr w:type="spellEnd"/>
      <w:r>
        <w:t xml:space="preserve"> </w:t>
      </w:r>
      <w:proofErr w:type="spellStart"/>
      <w:r>
        <w:t>aestuarii</w:t>
      </w:r>
      <w:proofErr w:type="spellEnd"/>
      <w:r>
        <w:t xml:space="preserve">, </w:t>
      </w:r>
      <w:proofErr w:type="spellStart"/>
      <w:r>
        <w:t>Lyngbya</w:t>
      </w:r>
      <w:proofErr w:type="spellEnd"/>
      <w:r>
        <w:t xml:space="preserve"> </w:t>
      </w:r>
      <w:proofErr w:type="spellStart"/>
      <w:r>
        <w:t>majuscula</w:t>
      </w:r>
      <w:proofErr w:type="spellEnd"/>
      <w:r>
        <w:t xml:space="preserve">, Oscillatoria </w:t>
      </w:r>
      <w:proofErr w:type="spellStart"/>
      <w:r>
        <w:t>limosa</w:t>
      </w:r>
      <w:proofErr w:type="spellEnd"/>
      <w:r>
        <w:t xml:space="preserve">, Oscillatoria tenuis, </w:t>
      </w:r>
      <w:proofErr w:type="spellStart"/>
      <w:r>
        <w:t>Phormidium</w:t>
      </w:r>
      <w:proofErr w:type="spellEnd"/>
      <w:r>
        <w:t xml:space="preserve"> </w:t>
      </w:r>
      <w:proofErr w:type="spellStart"/>
      <w:r>
        <w:t>aerugineo-caeruleum</w:t>
      </w:r>
      <w:proofErr w:type="spellEnd"/>
      <w:r>
        <w:t xml:space="preserve">, and </w:t>
      </w:r>
      <w:proofErr w:type="spellStart"/>
      <w:r>
        <w:t>Plectonema</w:t>
      </w:r>
      <w:proofErr w:type="spellEnd"/>
      <w:r>
        <w:t xml:space="preserve"> </w:t>
      </w:r>
      <w:proofErr w:type="spellStart"/>
      <w:r>
        <w:t>wollei</w:t>
      </w:r>
      <w:proofErr w:type="spellEnd"/>
      <w:r>
        <w:t xml:space="preserve">. Dominance of such taxa at a stream site where the RPS rank 4-6 &gt; 20% would be evidence that the numeric nutrient standard is not achieved. </w:t>
      </w:r>
    </w:p>
    <w:p w14:paraId="22442B28" w14:textId="12C2367E" w:rsidR="00EC154D" w:rsidRPr="004351F6" w:rsidRDefault="004351F6" w:rsidP="000C3B75">
      <w:pPr>
        <w:jc w:val="both"/>
        <w:rPr>
          <w:b/>
          <w:bCs/>
        </w:rPr>
      </w:pPr>
      <w:r w:rsidRPr="004351F6">
        <w:rPr>
          <w:b/>
          <w:bCs/>
        </w:rPr>
        <w:t>FDEP described that</w:t>
      </w:r>
      <w:r w:rsidR="00EC154D" w:rsidRPr="004351F6">
        <w:rPr>
          <w:b/>
          <w:bCs/>
        </w:rPr>
        <w:t xml:space="preserve"> factors</w:t>
      </w:r>
      <w:r w:rsidRPr="004351F6">
        <w:rPr>
          <w:b/>
          <w:bCs/>
        </w:rPr>
        <w:t xml:space="preserve"> other than nutrients</w:t>
      </w:r>
      <w:r w:rsidR="00EC154D" w:rsidRPr="004351F6">
        <w:rPr>
          <w:b/>
          <w:bCs/>
        </w:rPr>
        <w:t>, such as specific conductance, are more responsible for occurrence of these taxa</w:t>
      </w:r>
      <w:r w:rsidRPr="004351F6">
        <w:rPr>
          <w:b/>
          <w:bCs/>
        </w:rPr>
        <w:t xml:space="preserve">, and </w:t>
      </w:r>
      <w:r w:rsidR="00293235">
        <w:rPr>
          <w:b/>
          <w:bCs/>
        </w:rPr>
        <w:t>that</w:t>
      </w:r>
      <w:r w:rsidRPr="004351F6">
        <w:rPr>
          <w:b/>
          <w:bCs/>
        </w:rPr>
        <w:t xml:space="preserve"> their presence was not </w:t>
      </w:r>
      <w:r w:rsidR="00293235">
        <w:rPr>
          <w:b/>
          <w:bCs/>
        </w:rPr>
        <w:t>solely</w:t>
      </w:r>
      <w:r w:rsidRPr="004351F6">
        <w:rPr>
          <w:b/>
          <w:bCs/>
        </w:rPr>
        <w:t xml:space="preserve"> associated with </w:t>
      </w:r>
      <w:r w:rsidR="00EC154D" w:rsidRPr="004351F6">
        <w:rPr>
          <w:b/>
          <w:bCs/>
        </w:rPr>
        <w:t>nutrients</w:t>
      </w:r>
      <w:r w:rsidRPr="004351F6">
        <w:rPr>
          <w:b/>
          <w:bCs/>
        </w:rPr>
        <w:t xml:space="preserve">.  </w:t>
      </w:r>
      <w:r w:rsidR="00B466A5">
        <w:rPr>
          <w:b/>
          <w:bCs/>
        </w:rPr>
        <w:t xml:space="preserve">FDEP </w:t>
      </w:r>
      <w:r w:rsidR="000530DA">
        <w:rPr>
          <w:b/>
          <w:bCs/>
        </w:rPr>
        <w:t>must</w:t>
      </w:r>
      <w:r w:rsidR="00B466A5">
        <w:rPr>
          <w:b/>
          <w:bCs/>
        </w:rPr>
        <w:t xml:space="preserve"> offer</w:t>
      </w:r>
      <w:r w:rsidRPr="004351F6">
        <w:rPr>
          <w:b/>
          <w:bCs/>
        </w:rPr>
        <w:t xml:space="preserve"> justification </w:t>
      </w:r>
      <w:r w:rsidR="000479E3">
        <w:rPr>
          <w:b/>
          <w:bCs/>
        </w:rPr>
        <w:t xml:space="preserve">(literature, or their own empirical studies) </w:t>
      </w:r>
      <w:r w:rsidRPr="004351F6">
        <w:rPr>
          <w:b/>
          <w:bCs/>
        </w:rPr>
        <w:t xml:space="preserve">that nutrients are responsible for </w:t>
      </w:r>
      <w:r w:rsidR="00B466A5">
        <w:rPr>
          <w:b/>
          <w:bCs/>
        </w:rPr>
        <w:t>the taxa</w:t>
      </w:r>
      <w:r w:rsidRPr="004351F6">
        <w:rPr>
          <w:b/>
          <w:bCs/>
        </w:rPr>
        <w:t xml:space="preserve"> </w:t>
      </w:r>
      <w:proofErr w:type="gramStart"/>
      <w:r w:rsidRPr="004351F6">
        <w:rPr>
          <w:b/>
          <w:bCs/>
        </w:rPr>
        <w:t>occurrence</w:t>
      </w:r>
      <w:r w:rsidR="000479E3">
        <w:rPr>
          <w:b/>
          <w:bCs/>
        </w:rPr>
        <w:t>, and</w:t>
      </w:r>
      <w:proofErr w:type="gramEnd"/>
      <w:r w:rsidR="000479E3">
        <w:rPr>
          <w:b/>
          <w:bCs/>
        </w:rPr>
        <w:t xml:space="preserve"> demonstrate that </w:t>
      </w:r>
      <w:r w:rsidR="00EC154D" w:rsidRPr="004351F6">
        <w:rPr>
          <w:b/>
          <w:bCs/>
        </w:rPr>
        <w:t xml:space="preserve">taxa from </w:t>
      </w:r>
      <w:r w:rsidRPr="004351F6">
        <w:rPr>
          <w:b/>
          <w:bCs/>
        </w:rPr>
        <w:t xml:space="preserve">relatively high specific conductance </w:t>
      </w:r>
      <w:r w:rsidR="00EC154D" w:rsidRPr="004351F6">
        <w:rPr>
          <w:b/>
          <w:bCs/>
        </w:rPr>
        <w:t>springs</w:t>
      </w:r>
      <w:r w:rsidR="000479E3">
        <w:rPr>
          <w:b/>
          <w:bCs/>
        </w:rPr>
        <w:t xml:space="preserve"> are </w:t>
      </w:r>
      <w:r w:rsidR="000479E3">
        <w:rPr>
          <w:b/>
          <w:bCs/>
        </w:rPr>
        <w:lastRenderedPageBreak/>
        <w:t>appropriate to use for</w:t>
      </w:r>
      <w:r w:rsidR="00EC154D" w:rsidRPr="004351F6">
        <w:rPr>
          <w:b/>
          <w:bCs/>
        </w:rPr>
        <w:t xml:space="preserve"> </w:t>
      </w:r>
      <w:r w:rsidRPr="004351F6">
        <w:rPr>
          <w:b/>
          <w:bCs/>
        </w:rPr>
        <w:t xml:space="preserve">all </w:t>
      </w:r>
      <w:r w:rsidR="00EC154D" w:rsidRPr="004351F6">
        <w:rPr>
          <w:b/>
          <w:bCs/>
        </w:rPr>
        <w:t>stream</w:t>
      </w:r>
      <w:r w:rsidRPr="004351F6">
        <w:rPr>
          <w:b/>
          <w:bCs/>
        </w:rPr>
        <w:t>s, including low pH and low conductivity systems</w:t>
      </w:r>
      <w:r w:rsidR="000479E3">
        <w:rPr>
          <w:b/>
          <w:bCs/>
        </w:rPr>
        <w:t>.</w:t>
      </w:r>
      <w:r w:rsidRPr="004351F6">
        <w:rPr>
          <w:b/>
          <w:bCs/>
        </w:rPr>
        <w:t xml:space="preserve"> </w:t>
      </w:r>
      <w:r w:rsidR="000479E3">
        <w:rPr>
          <w:b/>
          <w:bCs/>
        </w:rPr>
        <w:t>FDEP needs to demonstrate that</w:t>
      </w:r>
      <w:r w:rsidR="00EC154D" w:rsidRPr="004351F6">
        <w:rPr>
          <w:b/>
          <w:bCs/>
        </w:rPr>
        <w:t xml:space="preserve"> these algal taxa respond to nutrients rather than other factors</w:t>
      </w:r>
      <w:r w:rsidR="000479E3">
        <w:rPr>
          <w:b/>
          <w:bCs/>
        </w:rPr>
        <w:t>.</w:t>
      </w:r>
    </w:p>
    <w:p w14:paraId="2C3850A2" w14:textId="38D0C45E" w:rsidR="00EC154D" w:rsidRPr="004351F6" w:rsidRDefault="00EC154D" w:rsidP="000C3B75">
      <w:pPr>
        <w:jc w:val="both"/>
        <w:rPr>
          <w:b/>
          <w:bCs/>
        </w:rPr>
      </w:pPr>
      <w:r w:rsidRPr="004351F6">
        <w:rPr>
          <w:b/>
          <w:bCs/>
        </w:rPr>
        <w:t xml:space="preserve">In the absence of direct relationships between nutrients and response variables, which FDEP </w:t>
      </w:r>
      <w:r w:rsidR="000479E3">
        <w:rPr>
          <w:b/>
          <w:bCs/>
        </w:rPr>
        <w:t>previously stated</w:t>
      </w:r>
      <w:r w:rsidRPr="004351F6">
        <w:rPr>
          <w:b/>
          <w:bCs/>
        </w:rPr>
        <w:t xml:space="preserve"> </w:t>
      </w:r>
      <w:r w:rsidR="004351F6">
        <w:rPr>
          <w:b/>
          <w:bCs/>
        </w:rPr>
        <w:t>they could not establish</w:t>
      </w:r>
      <w:r w:rsidRPr="004351F6">
        <w:rPr>
          <w:b/>
          <w:bCs/>
        </w:rPr>
        <w:t>, this appears to be an arbitrary decision on FDEP’s part.</w:t>
      </w:r>
    </w:p>
    <w:p w14:paraId="077A2C0C" w14:textId="7DE83127" w:rsidR="00EC154D" w:rsidRDefault="00EC154D" w:rsidP="000C3B75">
      <w:pPr>
        <w:jc w:val="both"/>
      </w:pPr>
      <w:r>
        <w:t xml:space="preserve">A stream is considered to have a balanced periphyton community if two consecutive temporally independent samples collected during </w:t>
      </w:r>
      <w:r w:rsidRPr="004351F6">
        <w:rPr>
          <w:highlight w:val="yellow"/>
        </w:rPr>
        <w:t>different hydrologic seasons</w:t>
      </w:r>
      <w:r>
        <w:t xml:space="preserve"> do not include dominance by taxa known to be </w:t>
      </w:r>
      <w:r w:rsidRPr="004351F6">
        <w:rPr>
          <w:highlight w:val="yellow"/>
        </w:rPr>
        <w:t>nutrient enrichment indicators or to produce toxins</w:t>
      </w:r>
      <w:r w:rsidR="004351F6">
        <w:t>.</w:t>
      </w:r>
      <w:r>
        <w:t xml:space="preserve"> </w:t>
      </w:r>
    </w:p>
    <w:p w14:paraId="74F88FFD" w14:textId="21A4FD35" w:rsidR="00EC154D" w:rsidRPr="00D049C1" w:rsidRDefault="004351F6" w:rsidP="000C3B75">
      <w:pPr>
        <w:jc w:val="both"/>
        <w:rPr>
          <w:b/>
          <w:bCs/>
        </w:rPr>
      </w:pPr>
      <w:r w:rsidRPr="00D049C1">
        <w:rPr>
          <w:b/>
          <w:bCs/>
        </w:rPr>
        <w:t>As stated above there is n</w:t>
      </w:r>
      <w:r w:rsidR="00EC154D" w:rsidRPr="00D049C1">
        <w:rPr>
          <w:b/>
          <w:bCs/>
        </w:rPr>
        <w:t>o basis for hydrological seasons</w:t>
      </w:r>
      <w:r w:rsidRPr="00D049C1">
        <w:rPr>
          <w:b/>
          <w:bCs/>
        </w:rPr>
        <w:t xml:space="preserve"> and</w:t>
      </w:r>
      <w:r w:rsidR="00EC154D" w:rsidRPr="00D049C1">
        <w:rPr>
          <w:b/>
          <w:bCs/>
        </w:rPr>
        <w:t xml:space="preserve"> no scientific basis that pollution indicators or toxin producers </w:t>
      </w:r>
      <w:r w:rsidR="00D049C1" w:rsidRPr="00D049C1">
        <w:rPr>
          <w:b/>
          <w:bCs/>
        </w:rPr>
        <w:t>occur only in direct response to nutrients</w:t>
      </w:r>
      <w:r w:rsidR="00EC154D" w:rsidRPr="00D049C1">
        <w:rPr>
          <w:b/>
          <w:bCs/>
        </w:rPr>
        <w:t>.</w:t>
      </w:r>
    </w:p>
    <w:p w14:paraId="7EB8CF9F" w14:textId="77777777" w:rsidR="00EC154D" w:rsidRDefault="00EC154D" w:rsidP="000C3B75">
      <w:pPr>
        <w:jc w:val="both"/>
      </w:pPr>
      <w:r>
        <w:t>6.5.1 RPS and algal species composition decision key</w:t>
      </w:r>
    </w:p>
    <w:p w14:paraId="13020A90" w14:textId="77777777" w:rsidR="00EC154D" w:rsidRDefault="00EC154D" w:rsidP="000C3B75">
      <w:pPr>
        <w:jc w:val="both"/>
      </w:pPr>
      <w:r>
        <w:t xml:space="preserve">Were the two most recent RPS assessments collected during different hydrologic seasons, at least 3 months apart (temporally independent) and under representative conditions (e.g., flow between 10th and </w:t>
      </w:r>
      <w:r w:rsidRPr="00D049C1">
        <w:rPr>
          <w:highlight w:val="yellow"/>
        </w:rPr>
        <w:t>90th percentile of long-term discharge</w:t>
      </w:r>
      <w:r>
        <w:t>?, light penetration/canopy cover characteristic of system, sampling location representative of waterbody segment) for the system?</w:t>
      </w:r>
    </w:p>
    <w:p w14:paraId="505BFD45" w14:textId="139E0636" w:rsidR="00EC154D" w:rsidRPr="00D049C1" w:rsidRDefault="00D049C1" w:rsidP="000C3B75">
      <w:pPr>
        <w:jc w:val="both"/>
        <w:rPr>
          <w:b/>
          <w:bCs/>
        </w:rPr>
      </w:pPr>
      <w:r w:rsidRPr="00D049C1">
        <w:rPr>
          <w:b/>
          <w:bCs/>
        </w:rPr>
        <w:t xml:space="preserve">As stated in the SCI primer Document, stream sites should not be </w:t>
      </w:r>
      <w:r w:rsidR="00EC154D" w:rsidRPr="00D049C1">
        <w:rPr>
          <w:b/>
          <w:bCs/>
        </w:rPr>
        <w:t>sampled during high water conditions</w:t>
      </w:r>
      <w:r w:rsidRPr="00D049C1">
        <w:rPr>
          <w:b/>
          <w:bCs/>
        </w:rPr>
        <w:t xml:space="preserve">. </w:t>
      </w:r>
      <w:r w:rsidR="00694092">
        <w:rPr>
          <w:b/>
          <w:bCs/>
        </w:rPr>
        <w:t xml:space="preserve">RPS and LVS thresholds were determined following the SCI primer guidelines. </w:t>
      </w:r>
      <w:r w:rsidR="000479E3">
        <w:rPr>
          <w:b/>
          <w:bCs/>
        </w:rPr>
        <w:t>In the absence of</w:t>
      </w:r>
      <w:r w:rsidRPr="00D049C1">
        <w:rPr>
          <w:b/>
          <w:bCs/>
        </w:rPr>
        <w:t xml:space="preserve"> justification for sampling </w:t>
      </w:r>
      <w:r w:rsidR="000479E3">
        <w:rPr>
          <w:b/>
          <w:bCs/>
        </w:rPr>
        <w:t xml:space="preserve">RPS </w:t>
      </w:r>
      <w:r w:rsidRPr="00D049C1">
        <w:rPr>
          <w:b/>
          <w:bCs/>
        </w:rPr>
        <w:t>during high flow conditions</w:t>
      </w:r>
      <w:r w:rsidR="000479E3">
        <w:rPr>
          <w:b/>
          <w:bCs/>
        </w:rPr>
        <w:t xml:space="preserve">, FDEP should change the document language so as to not recommend sampling during a flow period in conflict to how the SCI is </w:t>
      </w:r>
      <w:r w:rsidR="00694092">
        <w:rPr>
          <w:b/>
          <w:bCs/>
        </w:rPr>
        <w:t xml:space="preserve">required to be </w:t>
      </w:r>
      <w:r w:rsidR="000479E3">
        <w:rPr>
          <w:b/>
          <w:bCs/>
        </w:rPr>
        <w:t>conducted</w:t>
      </w:r>
      <w:r w:rsidR="00694092">
        <w:rPr>
          <w:b/>
          <w:bCs/>
        </w:rPr>
        <w:t xml:space="preserve"> and to how these threshold were derived for reference systems</w:t>
      </w:r>
      <w:r w:rsidR="00293235">
        <w:rPr>
          <w:b/>
          <w:bCs/>
        </w:rPr>
        <w:t>. FDEP should require that streams are sampled on declining or stable hydroperiods, and not arbitrarily sampled over a distribution of flow conditions.</w:t>
      </w:r>
    </w:p>
    <w:p w14:paraId="74101A6D" w14:textId="4E1314E7" w:rsidR="00EC154D" w:rsidRDefault="00EC154D" w:rsidP="000C3B75">
      <w:pPr>
        <w:jc w:val="both"/>
      </w:pPr>
      <w:r>
        <w:t xml:space="preserve">6.6 </w:t>
      </w:r>
      <w:r w:rsidR="00D049C1">
        <w:t>E</w:t>
      </w:r>
      <w:r>
        <w:t xml:space="preserve">valuating the presence or </w:t>
      </w:r>
      <w:r w:rsidR="00293235">
        <w:t>absence</w:t>
      </w:r>
      <w:r>
        <w:t xml:space="preserve"> of nuisance macrophyte growth</w:t>
      </w:r>
    </w:p>
    <w:p w14:paraId="28D2CA0D" w14:textId="77777777" w:rsidR="00EC154D" w:rsidRDefault="00EC154D" w:rsidP="000C3B75">
      <w:pPr>
        <w:jc w:val="both"/>
      </w:pPr>
      <w:r>
        <w:t xml:space="preserve">The Department also analyzed the frequency of occurrence of Florida Exotic Plant Pest Council (FLEPPC) exotics in the Benchmark </w:t>
      </w:r>
      <w:proofErr w:type="gramStart"/>
      <w:r>
        <w:t>streams, and</w:t>
      </w:r>
      <w:proofErr w:type="gramEnd"/>
      <w:r>
        <w:t xml:space="preserve"> found that FLEPPC exotics made up approximately 40% of the total plant occurrences at the 90th percentile. Considering the somewhat limited number of reference streams with &gt;2 m2 of vascular plants (nineteen) and the variability in the data, </w:t>
      </w:r>
      <w:r w:rsidRPr="00D049C1">
        <w:rPr>
          <w:highlight w:val="yellow"/>
        </w:rPr>
        <w:t>the Department decided to set the FLEPPC threshold at the 80th percentile of the distribution (25%) to be more protective of aquatic life</w:t>
      </w:r>
      <w:r>
        <w:t xml:space="preserve">. Therefore, if the frequency of occurrence of FLEPPC exotics at a site is less than or equal to 25% of the total plant occurrences, the site may be considered part of the reference site distribution. </w:t>
      </w:r>
    </w:p>
    <w:p w14:paraId="399E1157" w14:textId="57748044" w:rsidR="00EC154D" w:rsidRPr="00D049C1" w:rsidRDefault="00EC154D" w:rsidP="000C3B75">
      <w:pPr>
        <w:jc w:val="both"/>
        <w:rPr>
          <w:b/>
          <w:bCs/>
        </w:rPr>
      </w:pPr>
      <w:r w:rsidRPr="00D049C1">
        <w:rPr>
          <w:b/>
          <w:bCs/>
        </w:rPr>
        <w:t xml:space="preserve">FDEP </w:t>
      </w:r>
      <w:r w:rsidR="00D049C1" w:rsidRPr="00D049C1">
        <w:rPr>
          <w:b/>
          <w:bCs/>
        </w:rPr>
        <w:t>acknowledges they changed the percentile to produce a more stringent threshold, even when they also admitted that the LVS did not respond to nutrients.  FDEP s</w:t>
      </w:r>
      <w:r w:rsidRPr="00D049C1">
        <w:rPr>
          <w:b/>
          <w:bCs/>
        </w:rPr>
        <w:t>hould share the results of the statistical analysis conducted by FDEP that failed to show relationship between nutrients in LVS</w:t>
      </w:r>
      <w:r w:rsidR="00D049C1" w:rsidRPr="00D049C1">
        <w:rPr>
          <w:b/>
          <w:bCs/>
        </w:rPr>
        <w:t xml:space="preserve"> and revise the document to include more defensible LVS thresholds than currently proposed.</w:t>
      </w:r>
    </w:p>
    <w:p w14:paraId="000C0E6D" w14:textId="77777777" w:rsidR="00EC154D" w:rsidRDefault="00EC154D" w:rsidP="000C3B75">
      <w:pPr>
        <w:jc w:val="both"/>
      </w:pPr>
      <w:r w:rsidRPr="00D049C1">
        <w:rPr>
          <w:highlight w:val="yellow"/>
        </w:rPr>
        <w:t>Because invasive exotic or tolerant species can occur even in the absence of anthropogenic nutrient enrichment, streams with failing LVS scores shall be placed on the Study List for further evaluation to determine if LVS results can be linked to anthropogenic nutrient enrichment.</w:t>
      </w:r>
      <w:r>
        <w:t xml:space="preserve"> </w:t>
      </w:r>
      <w:r w:rsidRPr="00D049C1">
        <w:rPr>
          <w:highlight w:val="yellow"/>
        </w:rPr>
        <w:t>If a stressor identification study is conducted and it is determined that nutrients are not the causative factor contributing to the LVS failure, the waterbody will be removed from the Study List.</w:t>
      </w:r>
      <w:r>
        <w:t xml:space="preserve"> </w:t>
      </w:r>
    </w:p>
    <w:p w14:paraId="69921A93" w14:textId="55472E63" w:rsidR="00EC154D" w:rsidRPr="00D049C1" w:rsidRDefault="00EC154D" w:rsidP="000C3B75">
      <w:pPr>
        <w:jc w:val="both"/>
        <w:rPr>
          <w:b/>
          <w:bCs/>
        </w:rPr>
      </w:pPr>
      <w:r w:rsidRPr="00D049C1">
        <w:rPr>
          <w:b/>
          <w:bCs/>
        </w:rPr>
        <w:lastRenderedPageBreak/>
        <w:t xml:space="preserve">This is </w:t>
      </w:r>
      <w:r w:rsidR="00D049C1" w:rsidRPr="00D049C1">
        <w:rPr>
          <w:b/>
          <w:bCs/>
        </w:rPr>
        <w:t xml:space="preserve">a </w:t>
      </w:r>
      <w:r w:rsidRPr="00D049C1">
        <w:rPr>
          <w:b/>
          <w:bCs/>
        </w:rPr>
        <w:t xml:space="preserve">scientifically </w:t>
      </w:r>
      <w:r w:rsidR="000530DA">
        <w:rPr>
          <w:b/>
          <w:bCs/>
        </w:rPr>
        <w:t>defensible</w:t>
      </w:r>
      <w:r w:rsidRPr="00D049C1">
        <w:rPr>
          <w:b/>
          <w:bCs/>
        </w:rPr>
        <w:t xml:space="preserve"> approach</w:t>
      </w:r>
      <w:r w:rsidR="00D049C1" w:rsidRPr="00D049C1">
        <w:rPr>
          <w:b/>
          <w:bCs/>
        </w:rPr>
        <w:t>, which should also be adopted for the RPS thresholds</w:t>
      </w:r>
      <w:r w:rsidRPr="00D049C1">
        <w:rPr>
          <w:b/>
          <w:bCs/>
        </w:rPr>
        <w:t>.</w:t>
      </w:r>
    </w:p>
    <w:p w14:paraId="25127556" w14:textId="77777777" w:rsidR="00EC154D" w:rsidRPr="00D049C1" w:rsidRDefault="00EC154D" w:rsidP="000C3B75">
      <w:pPr>
        <w:jc w:val="both"/>
        <w:rPr>
          <w:highlight w:val="yellow"/>
        </w:rPr>
      </w:pPr>
      <w:r w:rsidRPr="00D049C1">
        <w:rPr>
          <w:highlight w:val="yellow"/>
        </w:rPr>
        <w:t>5) Is there evidence the LVS results can be linked to anthropogenic nutrient inputs?</w:t>
      </w:r>
    </w:p>
    <w:p w14:paraId="502C35FD" w14:textId="77777777" w:rsidR="00EC154D" w:rsidRPr="00D049C1" w:rsidRDefault="00EC154D" w:rsidP="000C3B75">
      <w:pPr>
        <w:jc w:val="both"/>
        <w:rPr>
          <w:highlight w:val="yellow"/>
        </w:rPr>
      </w:pPr>
      <w:r w:rsidRPr="00D049C1">
        <w:rPr>
          <w:highlight w:val="yellow"/>
        </w:rPr>
        <w:t>Yes. There is evidence that the waterbody does not attain the nuisance macrophyte growth component of floral measures. Stop.</w:t>
      </w:r>
    </w:p>
    <w:p w14:paraId="275D202C" w14:textId="6DB6C6C7" w:rsidR="00EC154D" w:rsidRDefault="00EC154D" w:rsidP="000C3B75">
      <w:pPr>
        <w:jc w:val="both"/>
      </w:pPr>
      <w:r w:rsidRPr="00D049C1">
        <w:rPr>
          <w:highlight w:val="yellow"/>
        </w:rPr>
        <w:t>No. The LVS results are inconclusive and other lines of floral evidence should be used.</w:t>
      </w:r>
      <w:r>
        <w:t xml:space="preserve"> </w:t>
      </w:r>
    </w:p>
    <w:p w14:paraId="3AA8041D" w14:textId="77777777" w:rsidR="00EC154D" w:rsidRPr="00D049C1" w:rsidRDefault="00EC154D" w:rsidP="000C3B75">
      <w:pPr>
        <w:jc w:val="both"/>
        <w:rPr>
          <w:b/>
          <w:bCs/>
        </w:rPr>
      </w:pPr>
      <w:r w:rsidRPr="00D049C1">
        <w:rPr>
          <w:b/>
          <w:bCs/>
        </w:rPr>
        <w:t>This approach should be used with RPS as well.</w:t>
      </w:r>
    </w:p>
    <w:p w14:paraId="5AB294FD" w14:textId="23B1D813" w:rsidR="00EC154D" w:rsidRDefault="00EC154D" w:rsidP="000C3B75">
      <w:pPr>
        <w:jc w:val="both"/>
      </w:pPr>
      <w:r>
        <w:t xml:space="preserve">6.7 </w:t>
      </w:r>
      <w:r w:rsidR="00D049C1">
        <w:t>E</w:t>
      </w:r>
      <w:r>
        <w:t>valuating algal blooms, chlorophyll a, and phytoplankton taxonomic data</w:t>
      </w:r>
    </w:p>
    <w:p w14:paraId="519CCC6F" w14:textId="77777777" w:rsidR="00EC154D" w:rsidRDefault="00EC154D" w:rsidP="000C3B75">
      <w:pPr>
        <w:jc w:val="both"/>
      </w:pPr>
      <w:r w:rsidRPr="00BB5E06">
        <w:rPr>
          <w:highlight w:val="yellow"/>
        </w:rPr>
        <w:t>When the Department determines that the values indicate enrichment (e.g., are higher than functionally similar reference streams in the region), the Department considers this evidence of imbalances in flora, and vice versa.</w:t>
      </w:r>
      <w:r>
        <w:t xml:space="preserve"> </w:t>
      </w:r>
    </w:p>
    <w:p w14:paraId="075B9579" w14:textId="2E46B2EA" w:rsidR="00EC154D" w:rsidRPr="00BB5E06" w:rsidRDefault="00694092" w:rsidP="000C3B75">
      <w:pPr>
        <w:jc w:val="both"/>
        <w:rPr>
          <w:b/>
          <w:bCs/>
        </w:rPr>
      </w:pPr>
      <w:r>
        <w:rPr>
          <w:b/>
          <w:bCs/>
        </w:rPr>
        <w:t>FDEP needs to supply</w:t>
      </w:r>
      <w:r w:rsidR="00BB5E06" w:rsidRPr="00BB5E06">
        <w:rPr>
          <w:b/>
          <w:bCs/>
        </w:rPr>
        <w:t xml:space="preserve"> the technical guidance to support this statement</w:t>
      </w:r>
      <w:r>
        <w:rPr>
          <w:b/>
          <w:bCs/>
        </w:rPr>
        <w:t>.</w:t>
      </w:r>
      <w:r w:rsidR="00BB5E06" w:rsidRPr="00BB5E06">
        <w:rPr>
          <w:b/>
          <w:bCs/>
        </w:rPr>
        <w:t xml:space="preserve"> </w:t>
      </w:r>
      <w:r w:rsidR="00EC154D" w:rsidRPr="00BB5E06">
        <w:rPr>
          <w:b/>
          <w:bCs/>
        </w:rPr>
        <w:t xml:space="preserve"> FDEP </w:t>
      </w:r>
      <w:r w:rsidR="00BB5E06" w:rsidRPr="00BB5E06">
        <w:rPr>
          <w:b/>
          <w:bCs/>
        </w:rPr>
        <w:t xml:space="preserve">must </w:t>
      </w:r>
      <w:r w:rsidR="00EC154D" w:rsidRPr="00BB5E06">
        <w:rPr>
          <w:b/>
          <w:bCs/>
        </w:rPr>
        <w:t xml:space="preserve">provide </w:t>
      </w:r>
      <w:r w:rsidR="00BB5E06" w:rsidRPr="00BB5E06">
        <w:rPr>
          <w:b/>
          <w:bCs/>
        </w:rPr>
        <w:t xml:space="preserve">this guidance, including </w:t>
      </w:r>
      <w:r w:rsidR="00EC154D" w:rsidRPr="00BB5E06">
        <w:rPr>
          <w:b/>
          <w:bCs/>
        </w:rPr>
        <w:t xml:space="preserve">an example </w:t>
      </w:r>
      <w:r w:rsidR="00BB5E06" w:rsidRPr="00BB5E06">
        <w:rPr>
          <w:b/>
          <w:bCs/>
        </w:rPr>
        <w:t xml:space="preserve">of </w:t>
      </w:r>
      <w:r w:rsidR="00EC154D" w:rsidRPr="00BB5E06">
        <w:rPr>
          <w:b/>
          <w:bCs/>
        </w:rPr>
        <w:t xml:space="preserve">where and how </w:t>
      </w:r>
      <w:r w:rsidR="00BB5E06" w:rsidRPr="00BB5E06">
        <w:rPr>
          <w:b/>
          <w:bCs/>
        </w:rPr>
        <w:t xml:space="preserve">FDEP </w:t>
      </w:r>
      <w:proofErr w:type="gramStart"/>
      <w:r w:rsidR="00BB5E06" w:rsidRPr="00BB5E06">
        <w:rPr>
          <w:b/>
          <w:bCs/>
        </w:rPr>
        <w:t>made a decision</w:t>
      </w:r>
      <w:proofErr w:type="gramEnd"/>
      <w:r w:rsidR="00BB5E06" w:rsidRPr="00BB5E06">
        <w:rPr>
          <w:b/>
          <w:bCs/>
        </w:rPr>
        <w:t xml:space="preserve"> on chlorophyll values between 3.2 µg/L and 20 µg/L.</w:t>
      </w:r>
    </w:p>
    <w:p w14:paraId="5F81F096" w14:textId="77777777" w:rsidR="00EC154D" w:rsidRDefault="00EC154D" w:rsidP="000C3B75">
      <w:pPr>
        <w:jc w:val="both"/>
      </w:pPr>
      <w:r>
        <w:t>6. 7.1 CHLOROPHYLL/ALGAL BLOOM DECISION KEY</w:t>
      </w:r>
    </w:p>
    <w:p w14:paraId="16F79C16" w14:textId="77777777" w:rsidR="00EC154D" w:rsidRDefault="00EC154D" w:rsidP="000C3B75">
      <w:pPr>
        <w:jc w:val="both"/>
      </w:pPr>
      <w:r>
        <w:t xml:space="preserve">4. </w:t>
      </w:r>
      <w:r w:rsidRPr="00BB5E06">
        <w:rPr>
          <w:highlight w:val="yellow"/>
        </w:rPr>
        <w:t xml:space="preserve">After considering site specific factors that affect chlorophyll a </w:t>
      </w:r>
      <w:proofErr w:type="gramStart"/>
      <w:r w:rsidRPr="00BB5E06">
        <w:rPr>
          <w:highlight w:val="yellow"/>
        </w:rPr>
        <w:t>concentrations</w:t>
      </w:r>
      <w:proofErr w:type="gramEnd"/>
      <w:r w:rsidRPr="00BB5E06">
        <w:rPr>
          <w:highlight w:val="yellow"/>
        </w:rPr>
        <w:t>, such as system morphology, water residence time, or consistency with other functionally similar reference sites, can it be documented that the chlorophyll a values represent a healthy well balanced phytoplankton community?</w:t>
      </w:r>
    </w:p>
    <w:p w14:paraId="342BB98E" w14:textId="77777777" w:rsidR="00EC154D" w:rsidRDefault="00EC154D" w:rsidP="000C3B75">
      <w:pPr>
        <w:jc w:val="both"/>
      </w:pPr>
      <w:r>
        <w:t>4a. Yes. There is evidence that the waterbody attains the chlorophyll a/algal bloom component of floral measures.</w:t>
      </w:r>
    </w:p>
    <w:p w14:paraId="0C7A53F5" w14:textId="77777777" w:rsidR="00EC154D" w:rsidRDefault="00EC154D" w:rsidP="000C3B75">
      <w:pPr>
        <w:jc w:val="both"/>
      </w:pPr>
      <w:r>
        <w:t xml:space="preserve">4b. </w:t>
      </w:r>
      <w:r w:rsidRPr="00BB5E06">
        <w:rPr>
          <w:highlight w:val="yellow"/>
        </w:rPr>
        <w:t>No. There is evidence that the nutrient standard at paragraph 62-302.531(2)(c), F.A.C., is not attained.</w:t>
      </w:r>
      <w:r>
        <w:t xml:space="preserve"> </w:t>
      </w:r>
    </w:p>
    <w:p w14:paraId="58F03B10" w14:textId="08768F58" w:rsidR="00EC154D" w:rsidRDefault="00EC154D" w:rsidP="000C3B75">
      <w:pPr>
        <w:jc w:val="both"/>
      </w:pPr>
      <w:r>
        <w:t>4c. Inconclusive because of insufficient contemporaneous data from other functionally similar reference sites. Waterbody will be placed on the Study List if either of the TN or TP thresholds were exceeded.</w:t>
      </w:r>
    </w:p>
    <w:p w14:paraId="57FD6400" w14:textId="23342D33" w:rsidR="00EC154D" w:rsidRPr="00BB5E06" w:rsidRDefault="00BB5E06" w:rsidP="000C3B75">
      <w:pPr>
        <w:jc w:val="both"/>
        <w:rPr>
          <w:b/>
          <w:bCs/>
        </w:rPr>
      </w:pPr>
      <w:r w:rsidRPr="00BB5E06">
        <w:rPr>
          <w:b/>
          <w:bCs/>
        </w:rPr>
        <w:t>FDEP must provide the type of</w:t>
      </w:r>
      <w:r w:rsidR="00EC154D" w:rsidRPr="00BB5E06">
        <w:rPr>
          <w:b/>
          <w:bCs/>
        </w:rPr>
        <w:t xml:space="preserve"> evidence </w:t>
      </w:r>
      <w:r w:rsidRPr="00BB5E06">
        <w:rPr>
          <w:b/>
          <w:bCs/>
        </w:rPr>
        <w:t xml:space="preserve">needed to </w:t>
      </w:r>
      <w:r w:rsidR="00EC154D" w:rsidRPr="00BB5E06">
        <w:rPr>
          <w:b/>
          <w:bCs/>
        </w:rPr>
        <w:t xml:space="preserve">show that the nutrient standard is </w:t>
      </w:r>
      <w:r w:rsidRPr="00BB5E06">
        <w:rPr>
          <w:b/>
          <w:bCs/>
        </w:rPr>
        <w:t xml:space="preserve">or is </w:t>
      </w:r>
      <w:r w:rsidR="00EC154D" w:rsidRPr="00BB5E06">
        <w:rPr>
          <w:b/>
          <w:bCs/>
        </w:rPr>
        <w:t xml:space="preserve">not attained in </w:t>
      </w:r>
      <w:r w:rsidRPr="00BB5E06">
        <w:rPr>
          <w:b/>
          <w:bCs/>
        </w:rPr>
        <w:t xml:space="preserve">4a and </w:t>
      </w:r>
      <w:r w:rsidR="00EC154D" w:rsidRPr="00BB5E06">
        <w:rPr>
          <w:b/>
          <w:bCs/>
        </w:rPr>
        <w:t>4b</w:t>
      </w:r>
      <w:r w:rsidRPr="00BB5E06">
        <w:rPr>
          <w:b/>
          <w:bCs/>
        </w:rPr>
        <w:t>.</w:t>
      </w:r>
    </w:p>
    <w:p w14:paraId="2EF243CB" w14:textId="4344273A" w:rsidR="00EC154D" w:rsidRDefault="00EC154D" w:rsidP="000C3B75">
      <w:pPr>
        <w:jc w:val="both"/>
      </w:pPr>
      <w:r>
        <w:t xml:space="preserve">6.8 </w:t>
      </w:r>
      <w:r w:rsidR="00AF422D">
        <w:t>F</w:t>
      </w:r>
      <w:r>
        <w:t>loral measures summary</w:t>
      </w:r>
    </w:p>
    <w:p w14:paraId="1AD277A6" w14:textId="37AD8B9E" w:rsidR="00EC154D" w:rsidRDefault="00EC154D" w:rsidP="000C3B75">
      <w:pPr>
        <w:jc w:val="both"/>
      </w:pPr>
      <w:r>
        <w:t>No comments</w:t>
      </w:r>
      <w:r w:rsidR="00BB5E06">
        <w:t>.</w:t>
      </w:r>
    </w:p>
    <w:p w14:paraId="1744E436" w14:textId="61506058" w:rsidR="00EC154D" w:rsidRDefault="00EC154D" w:rsidP="000C3B75">
      <w:pPr>
        <w:jc w:val="both"/>
      </w:pPr>
      <w:r>
        <w:t>6.</w:t>
      </w:r>
      <w:bookmarkStart w:id="13" w:name="_Hlk29206766"/>
      <w:bookmarkStart w:id="14" w:name="_GoBack"/>
      <w:r>
        <w:t xml:space="preserve">9 </w:t>
      </w:r>
      <w:r w:rsidR="00AF422D">
        <w:t>F</w:t>
      </w:r>
      <w:r>
        <w:t>aunal evaluation for determining achievement of NNC</w:t>
      </w:r>
    </w:p>
    <w:bookmarkEnd w:id="13"/>
    <w:bookmarkEnd w:id="14"/>
    <w:p w14:paraId="48F3BB57" w14:textId="77777777" w:rsidR="00EC154D" w:rsidRDefault="00EC154D" w:rsidP="000C3B75">
      <w:pPr>
        <w:jc w:val="both"/>
      </w:pPr>
      <w:r w:rsidRPr="00AF422D">
        <w:rPr>
          <w:highlight w:val="yellow"/>
        </w:rPr>
        <w:t>In summary, where the nutrient thresholds are exceeded, but there are no imbalances in either aquatic flora (phytoplankton, periphyton, or vascular plants) or fauna (invertebrate community), the numeric nutrient standard for streams is achieved.</w:t>
      </w:r>
    </w:p>
    <w:p w14:paraId="4966DCA2" w14:textId="28B61188" w:rsidR="00EC154D" w:rsidRPr="00AF422D" w:rsidRDefault="00AF422D" w:rsidP="000C3B75">
      <w:pPr>
        <w:jc w:val="both"/>
        <w:rPr>
          <w:b/>
          <w:bCs/>
        </w:rPr>
      </w:pPr>
      <w:r w:rsidRPr="00AF422D">
        <w:rPr>
          <w:b/>
          <w:bCs/>
        </w:rPr>
        <w:t>FDEP must address</w:t>
      </w:r>
      <w:r w:rsidR="00EC154D" w:rsidRPr="00AF422D">
        <w:rPr>
          <w:b/>
          <w:bCs/>
        </w:rPr>
        <w:t xml:space="preserve"> conditions where SCI is inappropriate,</w:t>
      </w:r>
      <w:r w:rsidRPr="00AF422D">
        <w:rPr>
          <w:b/>
          <w:bCs/>
        </w:rPr>
        <w:t xml:space="preserve"> including ti</w:t>
      </w:r>
      <w:r w:rsidR="00EC154D" w:rsidRPr="00AF422D">
        <w:rPr>
          <w:b/>
          <w:bCs/>
        </w:rPr>
        <w:t xml:space="preserve">dal fresh systems. </w:t>
      </w:r>
      <w:r>
        <w:rPr>
          <w:b/>
          <w:bCs/>
        </w:rPr>
        <w:t xml:space="preserve"> Even if a tidal fresh system passes the floral metrics, it will likely never pass the SCI. </w:t>
      </w:r>
      <w:r w:rsidR="00EC154D" w:rsidRPr="00AF422D">
        <w:rPr>
          <w:b/>
          <w:bCs/>
        </w:rPr>
        <w:t>Tidal fresh systems should be subject to the narrative criterion only</w:t>
      </w:r>
      <w:r w:rsidR="00211B10">
        <w:rPr>
          <w:b/>
          <w:bCs/>
        </w:rPr>
        <w:t>, until FDEP can develop scientifically defensible methods to evaluate these systems</w:t>
      </w:r>
      <w:r w:rsidR="00EC154D" w:rsidRPr="00AF422D">
        <w:rPr>
          <w:b/>
          <w:bCs/>
        </w:rPr>
        <w:t>.</w:t>
      </w:r>
    </w:p>
    <w:p w14:paraId="0A2B1F80" w14:textId="2AABA44E" w:rsidR="00EC154D" w:rsidRDefault="00EC154D" w:rsidP="000C3B75">
      <w:pPr>
        <w:jc w:val="both"/>
      </w:pPr>
      <w:r>
        <w:lastRenderedPageBreak/>
        <w:t xml:space="preserve">6.10 </w:t>
      </w:r>
      <w:r w:rsidR="00AF422D">
        <w:t>S</w:t>
      </w:r>
      <w:r>
        <w:t>tream sampling locations and other environmental considerations</w:t>
      </w:r>
    </w:p>
    <w:p w14:paraId="33643383" w14:textId="77777777" w:rsidR="00EC154D" w:rsidRDefault="00EC154D" w:rsidP="000C3B75">
      <w:pPr>
        <w:jc w:val="both"/>
      </w:pPr>
      <w:r>
        <w:t>The stream area targeted for biological evaluation or assessment will also vary based on the objective of your sampling</w:t>
      </w:r>
      <w:r w:rsidRPr="00AF422D">
        <w:rPr>
          <w:highlight w:val="yellow"/>
        </w:rPr>
        <w:t>. For example, if sampling is being conducted to evaluate a wastewater discharge, sites should be selected at both a location near the outfall to evaluate near-field impacts and at a site further downstream to evaluate far-field impacts. When sampling for impaired waters assessments, sites should be selected to ensure the station is representative of the water quality segment being assessed.</w:t>
      </w:r>
      <w:r>
        <w:t xml:space="preserve"> </w:t>
      </w:r>
    </w:p>
    <w:p w14:paraId="28A465F4" w14:textId="36450356" w:rsidR="00EC154D" w:rsidRPr="00AF422D" w:rsidRDefault="00AF422D" w:rsidP="000C3B75">
      <w:pPr>
        <w:jc w:val="both"/>
        <w:rPr>
          <w:b/>
          <w:bCs/>
        </w:rPr>
      </w:pPr>
      <w:r w:rsidRPr="00AF422D">
        <w:rPr>
          <w:b/>
          <w:bCs/>
        </w:rPr>
        <w:t xml:space="preserve">The SCI Primer Document stipulates that habitat conditions upstream and downstream from a discharge should be similar when conducting point source studies. </w:t>
      </w:r>
      <w:r w:rsidR="00694092">
        <w:rPr>
          <w:b/>
          <w:bCs/>
        </w:rPr>
        <w:t>FDEP needs to state how</w:t>
      </w:r>
      <w:r w:rsidR="00EC154D" w:rsidRPr="00AF422D">
        <w:rPr>
          <w:b/>
          <w:bCs/>
        </w:rPr>
        <w:t xml:space="preserve"> data immediately below a point source </w:t>
      </w:r>
      <w:r w:rsidR="00694092">
        <w:rPr>
          <w:b/>
          <w:bCs/>
        </w:rPr>
        <w:t xml:space="preserve">would be </w:t>
      </w:r>
      <w:r w:rsidR="00EC154D" w:rsidRPr="00AF422D">
        <w:rPr>
          <w:b/>
          <w:bCs/>
        </w:rPr>
        <w:t>segregated from more representative areas of a WBID for IWR purposes</w:t>
      </w:r>
      <w:r w:rsidR="00694092">
        <w:rPr>
          <w:b/>
          <w:bCs/>
        </w:rPr>
        <w:t>.</w:t>
      </w:r>
    </w:p>
    <w:p w14:paraId="45E80BD2" w14:textId="54732540" w:rsidR="00EC154D" w:rsidRDefault="00EC154D" w:rsidP="000C3B75">
      <w:pPr>
        <w:jc w:val="both"/>
      </w:pPr>
      <w:r>
        <w:t xml:space="preserve">7.0 </w:t>
      </w:r>
      <w:r w:rsidR="00AF422D">
        <w:t>N</w:t>
      </w:r>
      <w:r>
        <w:t>utrient criteria in estuaries</w:t>
      </w:r>
    </w:p>
    <w:p w14:paraId="721A4A62" w14:textId="77777777" w:rsidR="00EC154D" w:rsidRDefault="00EC154D" w:rsidP="000C3B75">
      <w:pPr>
        <w:jc w:val="both"/>
      </w:pPr>
      <w:r>
        <w:t xml:space="preserve">Rule 62-302.532, F.A.C., contains estuary-specific numeric interpretations of the narrative nutrient criterion in paragraph 62-302.530(48)(b), F.A.C. These criteria were developed individually for each estuary segment to protect recreation and a healthy, well-balanced population of fish and wildlife, and are H1 interpretations pursuant to paragraph 62¬302.531(2)(a), F.A.C. For estuaries with H1 interpretations based on TMDLs, the rule references the TMDL rule citation in Chapter 62-304, F.A.C. </w:t>
      </w:r>
      <w:r w:rsidRPr="00AF422D">
        <w:rPr>
          <w:highlight w:val="yellow"/>
        </w:rPr>
        <w:t>As new estuary H1 TMDLs are adopted in Chapter 62-304, F.A.C., the Department plans to update the criteria table during the subsequent Triennial Review to include references to the TMDLs, and the H1 TMDLs will supersede the NNC previously adopted in Rule 62-302.532, F.A.C.</w:t>
      </w:r>
      <w:r>
        <w:t xml:space="preserve"> The concentration-based estuary interpretations are open water, area-wide averages, unless specified otherwise in the rule. </w:t>
      </w:r>
    </w:p>
    <w:p w14:paraId="75A47C4C" w14:textId="459172BB" w:rsidR="00EC154D" w:rsidRPr="00AF422D" w:rsidRDefault="00EC154D" w:rsidP="000C3B75">
      <w:pPr>
        <w:jc w:val="both"/>
        <w:rPr>
          <w:b/>
          <w:bCs/>
        </w:rPr>
      </w:pPr>
      <w:r w:rsidRPr="00AF422D">
        <w:rPr>
          <w:b/>
          <w:bCs/>
        </w:rPr>
        <w:t xml:space="preserve">FDEP should </w:t>
      </w:r>
      <w:r w:rsidR="00AF422D" w:rsidRPr="00AF422D">
        <w:rPr>
          <w:b/>
          <w:bCs/>
        </w:rPr>
        <w:t>periodically revise the</w:t>
      </w:r>
      <w:r w:rsidRPr="00AF422D">
        <w:rPr>
          <w:b/>
          <w:bCs/>
        </w:rPr>
        <w:t xml:space="preserve"> segment specific </w:t>
      </w:r>
      <w:r w:rsidR="00AF422D" w:rsidRPr="00AF422D">
        <w:rPr>
          <w:b/>
          <w:bCs/>
        </w:rPr>
        <w:t xml:space="preserve">NNC as more data become available, providing the </w:t>
      </w:r>
      <w:r w:rsidR="000530DA">
        <w:rPr>
          <w:b/>
          <w:bCs/>
        </w:rPr>
        <w:t>systems</w:t>
      </w:r>
      <w:r w:rsidRPr="00AF422D">
        <w:rPr>
          <w:b/>
          <w:bCs/>
        </w:rPr>
        <w:t xml:space="preserve"> </w:t>
      </w:r>
      <w:r w:rsidR="000530DA">
        <w:rPr>
          <w:b/>
          <w:bCs/>
        </w:rPr>
        <w:t xml:space="preserve">achieve the </w:t>
      </w:r>
      <w:r w:rsidR="00AF422D" w:rsidRPr="00AF422D">
        <w:rPr>
          <w:b/>
          <w:bCs/>
        </w:rPr>
        <w:t>three</w:t>
      </w:r>
      <w:r w:rsidRPr="00AF422D">
        <w:rPr>
          <w:b/>
          <w:bCs/>
        </w:rPr>
        <w:t xml:space="preserve"> EPA</w:t>
      </w:r>
      <w:r w:rsidR="00AF422D" w:rsidRPr="00AF422D">
        <w:rPr>
          <w:b/>
          <w:bCs/>
        </w:rPr>
        <w:t>-approved</w:t>
      </w:r>
      <w:r w:rsidRPr="00AF422D">
        <w:rPr>
          <w:b/>
          <w:bCs/>
        </w:rPr>
        <w:t xml:space="preserve"> </w:t>
      </w:r>
      <w:r w:rsidR="00AF422D" w:rsidRPr="00AF422D">
        <w:rPr>
          <w:b/>
          <w:bCs/>
        </w:rPr>
        <w:t>variables</w:t>
      </w:r>
      <w:r w:rsidRPr="00AF422D">
        <w:rPr>
          <w:b/>
          <w:bCs/>
        </w:rPr>
        <w:t xml:space="preserve"> (</w:t>
      </w:r>
      <w:r w:rsidR="000530DA">
        <w:rPr>
          <w:b/>
          <w:bCs/>
        </w:rPr>
        <w:t xml:space="preserve">sufficient </w:t>
      </w:r>
      <w:r w:rsidRPr="00AF422D">
        <w:rPr>
          <w:b/>
          <w:bCs/>
        </w:rPr>
        <w:t xml:space="preserve">light, lack of </w:t>
      </w:r>
      <w:r w:rsidR="00AF422D" w:rsidRPr="00AF422D">
        <w:rPr>
          <w:b/>
          <w:bCs/>
        </w:rPr>
        <w:t xml:space="preserve">algal </w:t>
      </w:r>
      <w:r w:rsidRPr="00AF422D">
        <w:rPr>
          <w:b/>
          <w:bCs/>
        </w:rPr>
        <w:t xml:space="preserve">blooms and </w:t>
      </w:r>
      <w:r w:rsidR="000530DA">
        <w:rPr>
          <w:b/>
          <w:bCs/>
        </w:rPr>
        <w:t xml:space="preserve">adequate </w:t>
      </w:r>
      <w:r w:rsidRPr="00AF422D">
        <w:rPr>
          <w:b/>
          <w:bCs/>
        </w:rPr>
        <w:t xml:space="preserve">DO). The historic data used to generate the criteria may not have been sufficient to capture </w:t>
      </w:r>
      <w:r w:rsidR="00AF422D" w:rsidRPr="00AF422D">
        <w:rPr>
          <w:b/>
          <w:bCs/>
        </w:rPr>
        <w:t xml:space="preserve">the range of </w:t>
      </w:r>
      <w:r w:rsidRPr="00AF422D">
        <w:rPr>
          <w:b/>
          <w:bCs/>
        </w:rPr>
        <w:t>natural variability</w:t>
      </w:r>
      <w:r w:rsidR="000B22F5">
        <w:rPr>
          <w:b/>
          <w:bCs/>
        </w:rPr>
        <w:t>, and FDEP should seek more robust data sets when and where possible</w:t>
      </w:r>
      <w:r w:rsidRPr="00AF422D">
        <w:rPr>
          <w:b/>
          <w:bCs/>
        </w:rPr>
        <w:t>.</w:t>
      </w:r>
    </w:p>
    <w:p w14:paraId="568BFA4D" w14:textId="2726531B" w:rsidR="00EC154D" w:rsidRDefault="00EC154D" w:rsidP="000C3B75">
      <w:pPr>
        <w:jc w:val="both"/>
      </w:pPr>
      <w:r>
        <w:t xml:space="preserve">8.1 </w:t>
      </w:r>
      <w:r w:rsidR="00AF422D">
        <w:t>W</w:t>
      </w:r>
      <w:r>
        <w:t>ater quality modeling</w:t>
      </w:r>
    </w:p>
    <w:p w14:paraId="649D7B0E" w14:textId="77777777" w:rsidR="004271AB" w:rsidRDefault="004271AB" w:rsidP="004271AB">
      <w:pPr>
        <w:jc w:val="both"/>
        <w:rPr>
          <w:b/>
          <w:bCs/>
        </w:rPr>
      </w:pPr>
      <w:r w:rsidRPr="00F13911">
        <w:rPr>
          <w:b/>
          <w:bCs/>
        </w:rPr>
        <w:t>FDEP should extensively sample a system to demonstrate the models they use are in fact accurate within a standard acceptance level</w:t>
      </w:r>
      <w:r>
        <w:rPr>
          <w:b/>
          <w:bCs/>
        </w:rPr>
        <w:t xml:space="preserve">.  </w:t>
      </w:r>
      <w:r w:rsidRPr="00F13911">
        <w:rPr>
          <w:b/>
          <w:bCs/>
        </w:rPr>
        <w:t xml:space="preserve"> Relying on models without periodic verification is not scientifically defensible.</w:t>
      </w:r>
    </w:p>
    <w:p w14:paraId="413C4548" w14:textId="77777777" w:rsidR="00C14C06" w:rsidRDefault="004271AB" w:rsidP="000C3B75">
      <w:pPr>
        <w:jc w:val="both"/>
        <w:rPr>
          <w:b/>
          <w:bCs/>
        </w:rPr>
      </w:pPr>
      <w:r>
        <w:rPr>
          <w:b/>
          <w:bCs/>
        </w:rPr>
        <w:t>FDEP needs to establish modeling protocols that outline data needs and model calibration/verification approaches and metrics.  Presently FDEP is developing and applying models with limited data and at times insufficient calibration/verification.  The protocols should not be overly prescriptive on performance metrics, but some level of performance metrics need to be established.  There is sufficient literature available to define general metrics for development/calibration/verification and the protocols should be focused on the different types of models (watershed, receiving water hydrodynamic, receiving water quality) as the data needed for calibration and the protocols for model comparison are different.</w:t>
      </w:r>
    </w:p>
    <w:p w14:paraId="627586C5" w14:textId="447E6D84" w:rsidR="00EC154D" w:rsidRDefault="00EC154D" w:rsidP="000C3B75">
      <w:pPr>
        <w:jc w:val="both"/>
      </w:pPr>
      <w:r>
        <w:t xml:space="preserve">9.0 </w:t>
      </w:r>
      <w:r w:rsidR="00F13911">
        <w:t>O</w:t>
      </w:r>
      <w:r>
        <w:t>ther components of NNC</w:t>
      </w:r>
    </w:p>
    <w:p w14:paraId="51C01067" w14:textId="77777777" w:rsidR="00EC154D" w:rsidRDefault="00EC154D" w:rsidP="000C3B75">
      <w:pPr>
        <w:jc w:val="both"/>
      </w:pPr>
      <w:r>
        <w:t>10.1 303(d) assessment of the floral metrics of the numeric nutrient standard for streams</w:t>
      </w:r>
    </w:p>
    <w:p w14:paraId="50421B48" w14:textId="77777777" w:rsidR="00EC154D" w:rsidRDefault="00EC154D" w:rsidP="000C3B75">
      <w:pPr>
        <w:jc w:val="both"/>
      </w:pPr>
      <w:r>
        <w:lastRenderedPageBreak/>
        <w:t xml:space="preserve">For IWR assessment purposes, implementation of the floral evaluation component of the NNC is based on the waterbody identification (WBID) assessment unit. Assessments for a WBID will be based on floral results from all representative sites, defined as unique stations, within a WBID. </w:t>
      </w:r>
      <w:r w:rsidRPr="00F13911">
        <w:rPr>
          <w:highlight w:val="yellow"/>
        </w:rPr>
        <w:t xml:space="preserve">The Department will evaluate the floral results at each station to make a station assessment following the procedures described in Sections 6.3 through 6.8. If any </w:t>
      </w:r>
      <w:r w:rsidRPr="00EC5571">
        <w:rPr>
          <w:b/>
          <w:bCs/>
          <w:highlight w:val="yellow"/>
        </w:rPr>
        <w:t>station</w:t>
      </w:r>
      <w:r w:rsidRPr="00F13911">
        <w:rPr>
          <w:highlight w:val="yellow"/>
        </w:rPr>
        <w:t xml:space="preserve"> fails to attain the floral evidentiary thresholds based on conclusive results, the WBID will be assessed as failing the expectation for the floral evidentiary thresholds, regardless of whether or not the failing station results are the most recent floral results available in the WBID.</w:t>
      </w:r>
    </w:p>
    <w:p w14:paraId="06AFDA93" w14:textId="2945EC44" w:rsidR="00F13911" w:rsidRPr="001A2324" w:rsidRDefault="00EC154D" w:rsidP="000C3B75">
      <w:pPr>
        <w:jc w:val="both"/>
        <w:rPr>
          <w:b/>
          <w:bCs/>
        </w:rPr>
      </w:pPr>
      <w:r w:rsidRPr="001A2324">
        <w:rPr>
          <w:b/>
          <w:bCs/>
        </w:rPr>
        <w:t xml:space="preserve">This is </w:t>
      </w:r>
      <w:r w:rsidR="00F13911" w:rsidRPr="001A2324">
        <w:rPr>
          <w:b/>
          <w:bCs/>
        </w:rPr>
        <w:t xml:space="preserve">extremely </w:t>
      </w:r>
      <w:r w:rsidRPr="001A2324">
        <w:rPr>
          <w:b/>
          <w:bCs/>
        </w:rPr>
        <w:t>problematic</w:t>
      </w:r>
      <w:r w:rsidR="00F13911" w:rsidRPr="001A2324">
        <w:rPr>
          <w:b/>
          <w:bCs/>
        </w:rPr>
        <w:t xml:space="preserve"> and is counter to the concept of scientifically acceptable/representative sampling concepts</w:t>
      </w:r>
      <w:r w:rsidRPr="001A2324">
        <w:rPr>
          <w:b/>
          <w:bCs/>
        </w:rPr>
        <w:t xml:space="preserve">.  </w:t>
      </w:r>
      <w:r w:rsidR="00F13911" w:rsidRPr="001A2324">
        <w:rPr>
          <w:b/>
          <w:bCs/>
        </w:rPr>
        <w:t>As done with the SCI, results from a WBID should be averaged to better estimate the true central tendency of the data</w:t>
      </w:r>
      <w:r w:rsidR="00C14C06">
        <w:rPr>
          <w:b/>
          <w:bCs/>
        </w:rPr>
        <w:t xml:space="preserve"> for a WBID</w:t>
      </w:r>
      <w:r w:rsidR="00F13911" w:rsidRPr="001A2324">
        <w:rPr>
          <w:b/>
          <w:bCs/>
        </w:rPr>
        <w:t xml:space="preserve">. </w:t>
      </w:r>
      <w:r w:rsidRPr="001A2324">
        <w:rPr>
          <w:b/>
          <w:bCs/>
        </w:rPr>
        <w:t xml:space="preserve">If </w:t>
      </w:r>
      <w:r w:rsidR="0096003B">
        <w:rPr>
          <w:b/>
          <w:bCs/>
        </w:rPr>
        <w:t>four</w:t>
      </w:r>
      <w:r w:rsidR="00F13911" w:rsidRPr="001A2324">
        <w:rPr>
          <w:b/>
          <w:bCs/>
        </w:rPr>
        <w:t xml:space="preserve"> </w:t>
      </w:r>
      <w:r w:rsidRPr="001A2324">
        <w:rPr>
          <w:b/>
          <w:bCs/>
        </w:rPr>
        <w:t xml:space="preserve">stations </w:t>
      </w:r>
      <w:r w:rsidR="0096003B">
        <w:rPr>
          <w:b/>
          <w:bCs/>
        </w:rPr>
        <w:t xml:space="preserve">in a WBID </w:t>
      </w:r>
      <w:r w:rsidR="00F13911" w:rsidRPr="001A2324">
        <w:rPr>
          <w:b/>
          <w:bCs/>
        </w:rPr>
        <w:t>have an RPS result of 0 (zero)</w:t>
      </w:r>
      <w:r w:rsidRPr="001A2324">
        <w:rPr>
          <w:b/>
          <w:bCs/>
        </w:rPr>
        <w:t xml:space="preserve"> and one </w:t>
      </w:r>
      <w:r w:rsidR="00F13911" w:rsidRPr="001A2324">
        <w:rPr>
          <w:b/>
          <w:bCs/>
        </w:rPr>
        <w:t>station has an RPS result of 30</w:t>
      </w:r>
      <w:r w:rsidRPr="001A2324">
        <w:rPr>
          <w:b/>
          <w:bCs/>
        </w:rPr>
        <w:t xml:space="preserve">, the entire WBID </w:t>
      </w:r>
      <w:r w:rsidR="00F13911" w:rsidRPr="001A2324">
        <w:rPr>
          <w:b/>
          <w:bCs/>
        </w:rPr>
        <w:t xml:space="preserve">average would be </w:t>
      </w:r>
      <w:r w:rsidR="0096003B">
        <w:rPr>
          <w:b/>
          <w:bCs/>
        </w:rPr>
        <w:t>6</w:t>
      </w:r>
      <w:r w:rsidR="00F13911" w:rsidRPr="001A2324">
        <w:rPr>
          <w:b/>
          <w:bCs/>
        </w:rPr>
        <w:t>, clearly a passing value.  FDEP has no justification for this “single site failure makes a WBID fail” concept and it must be rescinded.</w:t>
      </w:r>
    </w:p>
    <w:p w14:paraId="317B4ECD" w14:textId="24B028A6" w:rsidR="00C14C06" w:rsidRDefault="00F13911" w:rsidP="000C3B75">
      <w:pPr>
        <w:jc w:val="both"/>
        <w:rPr>
          <w:b/>
          <w:bCs/>
        </w:rPr>
      </w:pPr>
      <w:r w:rsidRPr="001A2324">
        <w:rPr>
          <w:b/>
          <w:bCs/>
        </w:rPr>
        <w:t xml:space="preserve">FDEP instead should </w:t>
      </w:r>
      <w:r w:rsidR="001A2324" w:rsidRPr="001A2324">
        <w:rPr>
          <w:b/>
          <w:bCs/>
        </w:rPr>
        <w:t xml:space="preserve">question </w:t>
      </w:r>
      <w:r w:rsidRPr="001A2324">
        <w:rPr>
          <w:b/>
          <w:bCs/>
        </w:rPr>
        <w:t xml:space="preserve">if the </w:t>
      </w:r>
      <w:r w:rsidR="001A2324" w:rsidRPr="001A2324">
        <w:rPr>
          <w:b/>
          <w:bCs/>
        </w:rPr>
        <w:t xml:space="preserve">single </w:t>
      </w:r>
      <w:r w:rsidRPr="001A2324">
        <w:rPr>
          <w:b/>
          <w:bCs/>
        </w:rPr>
        <w:t>failing s</w:t>
      </w:r>
      <w:r w:rsidR="00EC154D" w:rsidRPr="001A2324">
        <w:rPr>
          <w:b/>
          <w:bCs/>
        </w:rPr>
        <w:t xml:space="preserve">tation </w:t>
      </w:r>
      <w:r w:rsidRPr="001A2324">
        <w:rPr>
          <w:b/>
          <w:bCs/>
        </w:rPr>
        <w:t>was</w:t>
      </w:r>
      <w:r w:rsidR="00EC154D" w:rsidRPr="001A2324">
        <w:rPr>
          <w:b/>
          <w:bCs/>
        </w:rPr>
        <w:t xml:space="preserve"> </w:t>
      </w:r>
      <w:r w:rsidRPr="001A2324">
        <w:rPr>
          <w:b/>
          <w:bCs/>
        </w:rPr>
        <w:t xml:space="preserve">truly </w:t>
      </w:r>
      <w:r w:rsidR="00EC154D" w:rsidRPr="001A2324">
        <w:rPr>
          <w:b/>
          <w:bCs/>
        </w:rPr>
        <w:t>representative</w:t>
      </w:r>
      <w:r w:rsidR="001A2324" w:rsidRPr="001A2324">
        <w:rPr>
          <w:b/>
          <w:bCs/>
        </w:rPr>
        <w:t xml:space="preserve"> of the </w:t>
      </w:r>
      <w:proofErr w:type="gramStart"/>
      <w:r w:rsidR="001A2324" w:rsidRPr="001A2324">
        <w:rPr>
          <w:b/>
          <w:bCs/>
        </w:rPr>
        <w:t>WBID  and</w:t>
      </w:r>
      <w:proofErr w:type="gramEnd"/>
      <w:r w:rsidR="001A2324" w:rsidRPr="001A2324">
        <w:rPr>
          <w:b/>
          <w:bCs/>
        </w:rPr>
        <w:t xml:space="preserve"> base the assessment on the majority of the evidence (the average RPS result)</w:t>
      </w:r>
      <w:r w:rsidR="00EC154D" w:rsidRPr="001A2324">
        <w:rPr>
          <w:b/>
          <w:bCs/>
        </w:rPr>
        <w:t xml:space="preserve">.  If the nutrients are the same at all </w:t>
      </w:r>
      <w:r w:rsidR="0096003B">
        <w:rPr>
          <w:b/>
          <w:bCs/>
        </w:rPr>
        <w:t>5</w:t>
      </w:r>
      <w:r w:rsidR="00EC154D" w:rsidRPr="001A2324">
        <w:rPr>
          <w:b/>
          <w:bCs/>
        </w:rPr>
        <w:t xml:space="preserve"> stations but only one fails, </w:t>
      </w:r>
      <w:r w:rsidR="001A2324" w:rsidRPr="001A2324">
        <w:rPr>
          <w:b/>
          <w:bCs/>
        </w:rPr>
        <w:t xml:space="preserve">FDEP must </w:t>
      </w:r>
      <w:r w:rsidR="00EC154D" w:rsidRPr="001A2324">
        <w:rPr>
          <w:b/>
          <w:bCs/>
        </w:rPr>
        <w:t>conclude that factors other than nutrients are responsible</w:t>
      </w:r>
      <w:r w:rsidR="0096003B">
        <w:rPr>
          <w:b/>
          <w:bCs/>
        </w:rPr>
        <w:t xml:space="preserve"> for the failure</w:t>
      </w:r>
      <w:r w:rsidR="00EC154D" w:rsidRPr="001A2324">
        <w:rPr>
          <w:b/>
          <w:bCs/>
        </w:rPr>
        <w:t xml:space="preserve">. This </w:t>
      </w:r>
      <w:r w:rsidR="001A2324" w:rsidRPr="001A2324">
        <w:rPr>
          <w:b/>
          <w:bCs/>
        </w:rPr>
        <w:t xml:space="preserve">proposed flawed </w:t>
      </w:r>
      <w:r w:rsidR="00EC154D" w:rsidRPr="001A2324">
        <w:rPr>
          <w:b/>
          <w:bCs/>
        </w:rPr>
        <w:t xml:space="preserve">approach </w:t>
      </w:r>
      <w:r w:rsidR="001A2324" w:rsidRPr="001A2324">
        <w:rPr>
          <w:b/>
          <w:bCs/>
        </w:rPr>
        <w:t xml:space="preserve">(“single site failure makes a WBID fail” concept) </w:t>
      </w:r>
      <w:r w:rsidR="00EC154D" w:rsidRPr="001A2324">
        <w:rPr>
          <w:b/>
          <w:bCs/>
        </w:rPr>
        <w:t xml:space="preserve">would be akin to evaluating a WBID for compliance with DO by assessing a 10% failure rate for each station sampled, and adding the WBID to the verified list if a single station tripped the 10% threshold even though the overall exceedance rate for a WBID is in compliance. </w:t>
      </w:r>
      <w:r w:rsidR="00FD4CE3">
        <w:rPr>
          <w:b/>
          <w:bCs/>
        </w:rPr>
        <w:t>FDEP does not do this, and so are being inconsistent</w:t>
      </w:r>
      <w:r w:rsidR="00C14C06">
        <w:rPr>
          <w:b/>
          <w:bCs/>
        </w:rPr>
        <w:t xml:space="preserve"> and arbitrary in their methods for adding sites to the Verified List</w:t>
      </w:r>
      <w:r w:rsidR="001972A4">
        <w:rPr>
          <w:b/>
          <w:bCs/>
        </w:rPr>
        <w:t xml:space="preserve"> for the floral metrics</w:t>
      </w:r>
      <w:r w:rsidR="00C14C06">
        <w:rPr>
          <w:b/>
          <w:bCs/>
        </w:rPr>
        <w:t>.</w:t>
      </w:r>
      <w:r w:rsidR="00FD4CE3">
        <w:rPr>
          <w:b/>
          <w:bCs/>
        </w:rPr>
        <w:t xml:space="preserve"> </w:t>
      </w:r>
    </w:p>
    <w:p w14:paraId="131D6729" w14:textId="25D6B423" w:rsidR="00EC154D" w:rsidRPr="001A2324" w:rsidRDefault="00C14C06" w:rsidP="000C3B75">
      <w:pPr>
        <w:jc w:val="both"/>
        <w:rPr>
          <w:b/>
          <w:bCs/>
        </w:rPr>
      </w:pPr>
      <w:r>
        <w:rPr>
          <w:b/>
          <w:bCs/>
        </w:rPr>
        <w:t>T</w:t>
      </w:r>
      <w:r w:rsidR="00EC154D" w:rsidRPr="001A2324">
        <w:rPr>
          <w:b/>
          <w:bCs/>
        </w:rPr>
        <w:t xml:space="preserve">reating stations within WBIDs in this manner draws into question the entire purpose of subdividing waters </w:t>
      </w:r>
      <w:r w:rsidR="001A2324" w:rsidRPr="001A2324">
        <w:rPr>
          <w:b/>
          <w:bCs/>
        </w:rPr>
        <w:t>into</w:t>
      </w:r>
      <w:r w:rsidR="00EC154D" w:rsidRPr="001A2324">
        <w:rPr>
          <w:b/>
          <w:bCs/>
        </w:rPr>
        <w:t xml:space="preserve"> WBID</w:t>
      </w:r>
      <w:r w:rsidR="001A2324" w:rsidRPr="001A2324">
        <w:rPr>
          <w:b/>
          <w:bCs/>
        </w:rPr>
        <w:t>s</w:t>
      </w:r>
      <w:r w:rsidR="00EC154D" w:rsidRPr="001A2324">
        <w:rPr>
          <w:b/>
          <w:bCs/>
        </w:rPr>
        <w:t xml:space="preserve"> for assessment purposes. </w:t>
      </w:r>
      <w:r w:rsidR="001A2324" w:rsidRPr="001A2324">
        <w:rPr>
          <w:b/>
          <w:bCs/>
        </w:rPr>
        <w:t xml:space="preserve">If this proposed flawed approach (“single site failure makes a WBID fail”) is the new evaluation strategy, </w:t>
      </w:r>
      <w:r w:rsidR="00EC154D" w:rsidRPr="001A2324">
        <w:rPr>
          <w:b/>
          <w:bCs/>
        </w:rPr>
        <w:t xml:space="preserve">FDEP </w:t>
      </w:r>
      <w:r w:rsidR="001A2324" w:rsidRPr="001A2324">
        <w:rPr>
          <w:b/>
          <w:bCs/>
        </w:rPr>
        <w:t xml:space="preserve">essentially has subdivided all stream </w:t>
      </w:r>
      <w:r w:rsidR="00EC154D" w:rsidRPr="001A2324">
        <w:rPr>
          <w:b/>
          <w:bCs/>
        </w:rPr>
        <w:t xml:space="preserve">WBIDs into </w:t>
      </w:r>
      <w:proofErr w:type="gramStart"/>
      <w:r w:rsidR="00EC154D" w:rsidRPr="001A2324">
        <w:rPr>
          <w:b/>
          <w:bCs/>
        </w:rPr>
        <w:t>100 meter</w:t>
      </w:r>
      <w:proofErr w:type="gramEnd"/>
      <w:r w:rsidR="00EC154D" w:rsidRPr="001A2324">
        <w:rPr>
          <w:b/>
          <w:bCs/>
        </w:rPr>
        <w:t xml:space="preserve"> sections</w:t>
      </w:r>
      <w:r w:rsidR="00FD4CE3">
        <w:rPr>
          <w:b/>
          <w:bCs/>
        </w:rPr>
        <w:t xml:space="preserve">. If this is FDEP’s goal, then </w:t>
      </w:r>
      <w:r w:rsidR="001972A4">
        <w:rPr>
          <w:b/>
          <w:bCs/>
        </w:rPr>
        <w:t xml:space="preserve">FDEP </w:t>
      </w:r>
      <w:proofErr w:type="gramStart"/>
      <w:r w:rsidR="001972A4">
        <w:rPr>
          <w:b/>
          <w:bCs/>
        </w:rPr>
        <w:t xml:space="preserve">would </w:t>
      </w:r>
      <w:r w:rsidR="00FD4CE3">
        <w:rPr>
          <w:b/>
          <w:bCs/>
        </w:rPr>
        <w:t xml:space="preserve"> need</w:t>
      </w:r>
      <w:proofErr w:type="gramEnd"/>
      <w:r w:rsidR="00FD4CE3">
        <w:rPr>
          <w:b/>
          <w:bCs/>
        </w:rPr>
        <w:t xml:space="preserve"> to publish shapefiles showing the 100 meter WBID sections for the </w:t>
      </w:r>
      <w:r w:rsidR="001972A4">
        <w:rPr>
          <w:b/>
          <w:bCs/>
        </w:rPr>
        <w:t xml:space="preserve">entire </w:t>
      </w:r>
      <w:r w:rsidR="00FD4CE3">
        <w:rPr>
          <w:b/>
          <w:bCs/>
        </w:rPr>
        <w:t>state</w:t>
      </w:r>
      <w:r w:rsidR="00EC154D" w:rsidRPr="001A2324">
        <w:rPr>
          <w:b/>
          <w:bCs/>
        </w:rPr>
        <w:t>.</w:t>
      </w:r>
      <w:r w:rsidR="001A2324" w:rsidRPr="001A2324">
        <w:rPr>
          <w:b/>
          <w:bCs/>
        </w:rPr>
        <w:t xml:space="preserve"> This</w:t>
      </w:r>
      <w:r>
        <w:rPr>
          <w:b/>
          <w:bCs/>
        </w:rPr>
        <w:t xml:space="preserve"> language</w:t>
      </w:r>
      <w:r w:rsidR="001A2324" w:rsidRPr="001A2324">
        <w:rPr>
          <w:b/>
          <w:bCs/>
        </w:rPr>
        <w:t xml:space="preserve"> is unsupportable, impractical, not scientifically defensible</w:t>
      </w:r>
      <w:r>
        <w:rPr>
          <w:b/>
          <w:bCs/>
        </w:rPr>
        <w:t>, and should be removed.</w:t>
      </w:r>
    </w:p>
    <w:p w14:paraId="6A0B46BD" w14:textId="77777777" w:rsidR="00EC154D" w:rsidRDefault="00EC154D" w:rsidP="000C3B75">
      <w:pPr>
        <w:jc w:val="both"/>
      </w:pPr>
      <w:r>
        <w:t>10.2 assessment of estuaries</w:t>
      </w:r>
    </w:p>
    <w:p w14:paraId="4DA5BF5D" w14:textId="77777777" w:rsidR="00EC154D" w:rsidRDefault="00EC154D" w:rsidP="000C3B75">
      <w:pPr>
        <w:jc w:val="both"/>
      </w:pPr>
      <w:r w:rsidRPr="009D6033">
        <w:rPr>
          <w:highlight w:val="yellow"/>
        </w:rPr>
        <w:t>For tidal creeks without adopted estuary-specific numeric interpretations of the narrative nutrient criterion, the Department will continue to assess the narrative nutrient criterion pursuant to subsections 62-303.353(2)-(4), F.A.C., (Planning List) and subsection 62-303.450(2), F.A.C., (Verified List).</w:t>
      </w:r>
      <w:r>
        <w:t xml:space="preserve"> </w:t>
      </w:r>
    </w:p>
    <w:p w14:paraId="6AAB328B" w14:textId="404F463A" w:rsidR="00EC154D" w:rsidRPr="009D6033" w:rsidRDefault="00EC154D" w:rsidP="000C3B75">
      <w:pPr>
        <w:jc w:val="both"/>
        <w:rPr>
          <w:b/>
          <w:bCs/>
        </w:rPr>
      </w:pPr>
      <w:r w:rsidRPr="009D6033">
        <w:rPr>
          <w:b/>
          <w:bCs/>
        </w:rPr>
        <w:t xml:space="preserve">FDEP </w:t>
      </w:r>
      <w:r w:rsidR="009D6033" w:rsidRPr="009D6033">
        <w:rPr>
          <w:b/>
          <w:bCs/>
        </w:rPr>
        <w:t xml:space="preserve">is long overdue for </w:t>
      </w:r>
      <w:r w:rsidRPr="009D6033">
        <w:rPr>
          <w:b/>
          <w:bCs/>
        </w:rPr>
        <w:t>develop</w:t>
      </w:r>
      <w:r w:rsidR="009D6033" w:rsidRPr="009D6033">
        <w:rPr>
          <w:b/>
          <w:bCs/>
        </w:rPr>
        <w:t>ing</w:t>
      </w:r>
      <w:r w:rsidRPr="009D6033">
        <w:rPr>
          <w:b/>
          <w:bCs/>
        </w:rPr>
        <w:t xml:space="preserve"> marine assessment tools to determine attainment of designated use</w:t>
      </w:r>
      <w:r w:rsidR="009D6033" w:rsidRPr="009D6033">
        <w:rPr>
          <w:b/>
          <w:bCs/>
        </w:rPr>
        <w:t>.</w:t>
      </w:r>
    </w:p>
    <w:p w14:paraId="44BEDD95" w14:textId="6370940E" w:rsidR="00EC154D" w:rsidRDefault="00EC154D" w:rsidP="000C3B75">
      <w:pPr>
        <w:jc w:val="both"/>
      </w:pPr>
      <w:r>
        <w:t xml:space="preserve">10.3 </w:t>
      </w:r>
      <w:r w:rsidR="009D6033">
        <w:t>A</w:t>
      </w:r>
      <w:r>
        <w:t xml:space="preserve">ssessment of waterbodies with interpretations of the narrative </w:t>
      </w:r>
      <w:proofErr w:type="gramStart"/>
      <w:r>
        <w:t>nutrients</w:t>
      </w:r>
      <w:proofErr w:type="gramEnd"/>
      <w:r>
        <w:t xml:space="preserve"> criterion expressed as loads or delivery ratios</w:t>
      </w:r>
    </w:p>
    <w:p w14:paraId="694763DC" w14:textId="77777777" w:rsidR="00EC154D" w:rsidRDefault="00EC154D" w:rsidP="000C3B75">
      <w:pPr>
        <w:jc w:val="both"/>
      </w:pPr>
      <w:r w:rsidRPr="009D6033">
        <w:rPr>
          <w:highlight w:val="yellow"/>
        </w:rPr>
        <w:t>If the waterbody attains the allowable nutrient loading, but there is site-specific information indicating an imbalance in flora or fauna related to nutrients, the site-specific interpretation of the narrative nutrient criteria (e.g. TMDL, RA) would be revisited and revised as needed.</w:t>
      </w:r>
      <w:r>
        <w:t xml:space="preserve"> </w:t>
      </w:r>
    </w:p>
    <w:p w14:paraId="72CEDABE" w14:textId="38A8FB3E" w:rsidR="00EC154D" w:rsidRPr="009D6033" w:rsidRDefault="009D6033" w:rsidP="000C3B75">
      <w:pPr>
        <w:jc w:val="both"/>
        <w:rPr>
          <w:b/>
          <w:bCs/>
        </w:rPr>
      </w:pPr>
      <w:r w:rsidRPr="009D6033">
        <w:rPr>
          <w:b/>
          <w:bCs/>
        </w:rPr>
        <w:lastRenderedPageBreak/>
        <w:t>FDEP</w:t>
      </w:r>
      <w:r w:rsidR="00EC154D" w:rsidRPr="009D6033">
        <w:rPr>
          <w:b/>
          <w:bCs/>
        </w:rPr>
        <w:t xml:space="preserve"> should clearly state what evidence they require. For instance, does demonstrating this require a stressor identification study using EPA CADDIS approach?</w:t>
      </w:r>
    </w:p>
    <w:p w14:paraId="04AA937A" w14:textId="3A9D14F2" w:rsidR="00EC154D" w:rsidRDefault="00EC154D" w:rsidP="000C3B75">
      <w:pPr>
        <w:jc w:val="both"/>
      </w:pPr>
      <w:r>
        <w:t xml:space="preserve">10.4 </w:t>
      </w:r>
      <w:r w:rsidR="009D6033">
        <w:t>E</w:t>
      </w:r>
      <w:r>
        <w:t>valuation of Trends</w:t>
      </w:r>
    </w:p>
    <w:p w14:paraId="1EE86AE4" w14:textId="77777777" w:rsidR="00EC154D" w:rsidRDefault="00EC154D" w:rsidP="000C3B75">
      <w:pPr>
        <w:jc w:val="both"/>
      </w:pPr>
      <w:r>
        <w:t xml:space="preserve">A waterbody segment will be placed on the Verified List if there are statistically significant increasing trends, at an alpha of 0.05, in both the period of record (POR) and most recent 7.5 years, and the trend is determined to be ecologically relevant. </w:t>
      </w:r>
      <w:r w:rsidRPr="009D6033">
        <w:rPr>
          <w:highlight w:val="yellow"/>
        </w:rPr>
        <w:t>A nutrient trend will be deemed to be ecologically relevant if the Sen slope of the POR trend expressed as units per year is at least 10% of the applicable NNC for the given parameter.</w:t>
      </w:r>
      <w:r>
        <w:t xml:space="preserve"> </w:t>
      </w:r>
    </w:p>
    <w:p w14:paraId="55596FD0" w14:textId="6AA7CC5B" w:rsidR="00EC154D" w:rsidRPr="009D6033" w:rsidRDefault="009D6033" w:rsidP="000C3B75">
      <w:pPr>
        <w:jc w:val="both"/>
        <w:rPr>
          <w:b/>
          <w:bCs/>
        </w:rPr>
      </w:pPr>
      <w:r w:rsidRPr="009D6033">
        <w:rPr>
          <w:b/>
          <w:bCs/>
        </w:rPr>
        <w:t xml:space="preserve">FDEP </w:t>
      </w:r>
      <w:r w:rsidR="00367EEC">
        <w:rPr>
          <w:b/>
          <w:bCs/>
        </w:rPr>
        <w:t>needs to</w:t>
      </w:r>
      <w:r w:rsidRPr="009D6033">
        <w:rPr>
          <w:b/>
          <w:bCs/>
        </w:rPr>
        <w:t xml:space="preserve"> justify how this 10% Sen slope criterion was developed and demonstrate the scientific basis behind it</w:t>
      </w:r>
      <w:r w:rsidR="00C14C06">
        <w:rPr>
          <w:b/>
          <w:bCs/>
        </w:rPr>
        <w:t xml:space="preserve">, including an examination of how many </w:t>
      </w:r>
      <w:r w:rsidR="00EC154D" w:rsidRPr="009D6033">
        <w:rPr>
          <w:b/>
          <w:bCs/>
        </w:rPr>
        <w:t xml:space="preserve">minimally disturbed reference sites achieve </w:t>
      </w:r>
      <w:r w:rsidR="00367EEC">
        <w:rPr>
          <w:b/>
          <w:bCs/>
        </w:rPr>
        <w:t xml:space="preserve">or fail </w:t>
      </w:r>
      <w:proofErr w:type="gramStart"/>
      <w:r w:rsidR="00EC154D" w:rsidRPr="009D6033">
        <w:rPr>
          <w:b/>
          <w:bCs/>
        </w:rPr>
        <w:t>this</w:t>
      </w:r>
      <w:r w:rsidRPr="009D6033">
        <w:rPr>
          <w:b/>
          <w:bCs/>
        </w:rPr>
        <w:t xml:space="preserve"> criteria</w:t>
      </w:r>
      <w:proofErr w:type="gramEnd"/>
      <w:r w:rsidR="00C14C06">
        <w:rPr>
          <w:b/>
          <w:bCs/>
        </w:rPr>
        <w:t>.</w:t>
      </w:r>
      <w:r w:rsidR="00EC154D" w:rsidRPr="009D6033">
        <w:rPr>
          <w:b/>
          <w:bCs/>
        </w:rPr>
        <w:t xml:space="preserve"> </w:t>
      </w:r>
      <w:r w:rsidR="001D09B5">
        <w:rPr>
          <w:b/>
          <w:bCs/>
        </w:rPr>
        <w:t>A</w:t>
      </w:r>
      <w:r w:rsidR="00EC154D" w:rsidRPr="009D6033">
        <w:rPr>
          <w:b/>
          <w:bCs/>
        </w:rPr>
        <w:t xml:space="preserve"> Panhandle WBID will fail this test for TP if the Sen slope is 0.006. </w:t>
      </w:r>
      <w:r w:rsidR="00367EEC">
        <w:rPr>
          <w:b/>
          <w:bCs/>
        </w:rPr>
        <w:t xml:space="preserve">FDEP needs to show the </w:t>
      </w:r>
      <w:r w:rsidR="00EC154D" w:rsidRPr="009D6033">
        <w:rPr>
          <w:b/>
          <w:bCs/>
        </w:rPr>
        <w:t>scientific basis that this is ecologically significant</w:t>
      </w:r>
      <w:r w:rsidR="00367EEC">
        <w:rPr>
          <w:b/>
          <w:bCs/>
        </w:rPr>
        <w:t>.</w:t>
      </w:r>
    </w:p>
    <w:p w14:paraId="6323673C" w14:textId="77777777" w:rsidR="00EC154D" w:rsidRDefault="00EC154D" w:rsidP="000C3B75">
      <w:pPr>
        <w:jc w:val="both"/>
      </w:pPr>
      <w:r>
        <w:t>11.1 WQBEL Procedures for Each Tier of the Hierarchy</w:t>
      </w:r>
    </w:p>
    <w:p w14:paraId="603C5F7B" w14:textId="77777777" w:rsidR="00EC154D" w:rsidRDefault="00EC154D" w:rsidP="000C3B75">
      <w:pPr>
        <w:jc w:val="both"/>
      </w:pPr>
      <w:r>
        <w:t>Lakes</w:t>
      </w:r>
    </w:p>
    <w:p w14:paraId="0727E71A" w14:textId="77777777" w:rsidR="00EC154D" w:rsidRDefault="00EC154D" w:rsidP="000C3B75">
      <w:pPr>
        <w:jc w:val="both"/>
      </w:pPr>
      <w:r>
        <w:t xml:space="preserve">If a lake is influenced by an upstream NPDES discharger, the WQBEL evaluation for that discharge would determine the specific TN and TP levels (subject to the upper nutrient values for TN and TP unless it is a Level II WQBEL) that would maintain the appropriate chlorophyll a target for the lake (6 µg/L) during all years, including years representing critical conditions. If this demonstration of attainment of the chlorophyll a criterion cannot be made, the discharger could pursue other options, which include effluent nutrient reductions, discharge re-location (e.g., land application), </w:t>
      </w:r>
      <w:r w:rsidRPr="009D6033">
        <w:rPr>
          <w:highlight w:val="yellow"/>
        </w:rPr>
        <w:t>or a SSAC (establish alternate chlorophyll a and nutrient targets that are fully protective of the designated uses).</w:t>
      </w:r>
      <w:r>
        <w:t xml:space="preserve">  </w:t>
      </w:r>
    </w:p>
    <w:p w14:paraId="51877ED9" w14:textId="1981EEF2" w:rsidR="00EC154D" w:rsidRPr="009D6033" w:rsidRDefault="001972A4" w:rsidP="000C3B75">
      <w:pPr>
        <w:jc w:val="both"/>
        <w:rPr>
          <w:b/>
          <w:bCs/>
        </w:rPr>
      </w:pPr>
      <w:r>
        <w:rPr>
          <w:b/>
          <w:bCs/>
        </w:rPr>
        <w:t xml:space="preserve">To our </w:t>
      </w:r>
      <w:r w:rsidR="005F09D9">
        <w:rPr>
          <w:b/>
          <w:bCs/>
        </w:rPr>
        <w:t>knowledge</w:t>
      </w:r>
      <w:r>
        <w:rPr>
          <w:b/>
          <w:bCs/>
        </w:rPr>
        <w:t>,</w:t>
      </w:r>
      <w:r w:rsidR="00EC154D" w:rsidRPr="009D6033">
        <w:rPr>
          <w:b/>
          <w:bCs/>
        </w:rPr>
        <w:t xml:space="preserve"> FDEP and EPA </w:t>
      </w:r>
      <w:r w:rsidR="005F09D9">
        <w:rPr>
          <w:b/>
          <w:bCs/>
        </w:rPr>
        <w:t>have n</w:t>
      </w:r>
      <w:r w:rsidR="00EC154D" w:rsidRPr="009D6033">
        <w:rPr>
          <w:b/>
          <w:bCs/>
        </w:rPr>
        <w:t>ever approved a SSAC for alternate chlorophyll concentrations</w:t>
      </w:r>
      <w:r>
        <w:rPr>
          <w:b/>
          <w:bCs/>
        </w:rPr>
        <w:t xml:space="preserve"> in Florida</w:t>
      </w:r>
      <w:r w:rsidR="005F09D9">
        <w:rPr>
          <w:b/>
          <w:bCs/>
        </w:rPr>
        <w:t>.</w:t>
      </w:r>
      <w:r w:rsidR="00EC154D" w:rsidRPr="009D6033">
        <w:rPr>
          <w:b/>
          <w:bCs/>
        </w:rPr>
        <w:t xml:space="preserve"> </w:t>
      </w:r>
      <w:r w:rsidR="00367EEC">
        <w:rPr>
          <w:b/>
          <w:bCs/>
        </w:rPr>
        <w:t xml:space="preserve">FDEP needs to </w:t>
      </w:r>
      <w:r w:rsidR="005F09D9">
        <w:rPr>
          <w:b/>
          <w:bCs/>
        </w:rPr>
        <w:t>clearly</w:t>
      </w:r>
      <w:r w:rsidR="00367EEC">
        <w:rPr>
          <w:b/>
          <w:bCs/>
        </w:rPr>
        <w:t xml:space="preserve"> state w</w:t>
      </w:r>
      <w:r w:rsidR="00EC154D" w:rsidRPr="009D6033">
        <w:rPr>
          <w:b/>
          <w:bCs/>
        </w:rPr>
        <w:t>hat demonstration is required</w:t>
      </w:r>
      <w:r w:rsidR="00367EEC">
        <w:rPr>
          <w:b/>
          <w:bCs/>
        </w:rPr>
        <w:t xml:space="preserve"> for a </w:t>
      </w:r>
      <w:r w:rsidR="005F09D9">
        <w:rPr>
          <w:b/>
          <w:bCs/>
        </w:rPr>
        <w:t xml:space="preserve">chlorophyll </w:t>
      </w:r>
      <w:r w:rsidR="00367EEC">
        <w:rPr>
          <w:b/>
          <w:bCs/>
        </w:rPr>
        <w:t xml:space="preserve">SSAC </w:t>
      </w:r>
      <w:r w:rsidR="005F09D9">
        <w:rPr>
          <w:b/>
          <w:bCs/>
        </w:rPr>
        <w:t>higher than the 6 ug/L and 20 ug/L standard criteria</w:t>
      </w:r>
      <w:r w:rsidR="00367EEC">
        <w:rPr>
          <w:b/>
          <w:bCs/>
        </w:rPr>
        <w:t>.</w:t>
      </w:r>
    </w:p>
    <w:p w14:paraId="561A2FD6" w14:textId="77777777" w:rsidR="00EC154D" w:rsidRDefault="00EC154D" w:rsidP="000C3B75">
      <w:pPr>
        <w:jc w:val="both"/>
      </w:pPr>
      <w:r>
        <w:t>Streams</w:t>
      </w:r>
    </w:p>
    <w:p w14:paraId="45A9F8E3" w14:textId="77777777" w:rsidR="00EC154D" w:rsidRDefault="00EC154D" w:rsidP="000C3B75">
      <w:pPr>
        <w:jc w:val="both"/>
      </w:pPr>
      <w:r>
        <w:t xml:space="preserve">If the stream receiving an existing discharge has evidence of imbalance in flora based on available information on chlorophyll a levels, algal mats or blooms, nuisance macrophyte growth, then the waterbody is not achieving the narrative nutrient criterion of paragraph 62-302.530(48)(b), F.A.C., </w:t>
      </w:r>
      <w:r w:rsidRPr="009D6033">
        <w:rPr>
          <w:highlight w:val="yellow"/>
        </w:rPr>
        <w:t>regardless of whether the reference thresholds at paragraph 62-302.531(2)(c), F.A.C., or the SCI thresholds are met.</w:t>
      </w:r>
      <w:r>
        <w:t xml:space="preserve"> </w:t>
      </w:r>
    </w:p>
    <w:p w14:paraId="24BDF5A2" w14:textId="509999D2" w:rsidR="00EC154D" w:rsidRPr="00835861" w:rsidRDefault="009D6033" w:rsidP="000C3B75">
      <w:pPr>
        <w:jc w:val="both"/>
        <w:rPr>
          <w:b/>
          <w:bCs/>
        </w:rPr>
      </w:pPr>
      <w:r w:rsidRPr="00835861">
        <w:rPr>
          <w:b/>
          <w:bCs/>
        </w:rPr>
        <w:t>FDEP states that even if the</w:t>
      </w:r>
      <w:r w:rsidR="00EC154D" w:rsidRPr="00835861">
        <w:rPr>
          <w:b/>
          <w:bCs/>
        </w:rPr>
        <w:t xml:space="preserve"> floral </w:t>
      </w:r>
      <w:r w:rsidRPr="00835861">
        <w:rPr>
          <w:b/>
          <w:bCs/>
        </w:rPr>
        <w:t>and fauna</w:t>
      </w:r>
      <w:r w:rsidR="00835861" w:rsidRPr="00835861">
        <w:rPr>
          <w:b/>
          <w:bCs/>
        </w:rPr>
        <w:t>l</w:t>
      </w:r>
      <w:r w:rsidRPr="00835861">
        <w:rPr>
          <w:b/>
          <w:bCs/>
        </w:rPr>
        <w:t xml:space="preserve"> thresholds are achieved, other evidence of impairment</w:t>
      </w:r>
      <w:r w:rsidR="00835861" w:rsidRPr="00835861">
        <w:rPr>
          <w:b/>
          <w:bCs/>
        </w:rPr>
        <w:t xml:space="preserve"> would be accepted</w:t>
      </w:r>
      <w:r w:rsidR="00835861">
        <w:rPr>
          <w:b/>
          <w:bCs/>
        </w:rPr>
        <w:t xml:space="preserve">. </w:t>
      </w:r>
      <w:r w:rsidR="00835861" w:rsidRPr="00835861">
        <w:rPr>
          <w:b/>
          <w:bCs/>
        </w:rPr>
        <w:t>Note that the manner by which the floral metrics were derived (90th percentile) will result in a minimum of 10% of the minimally disturbed benchmark sites to fail, yet FDEP is allowing non-defined information to also be used. FDEP must define this evidence to avoid making arbitrary decisions.</w:t>
      </w:r>
    </w:p>
    <w:p w14:paraId="2685012C" w14:textId="77777777" w:rsidR="00EC154D" w:rsidRDefault="00EC154D" w:rsidP="000C3B75">
      <w:pPr>
        <w:jc w:val="both"/>
      </w:pPr>
      <w:r>
        <w:t xml:space="preserve">One of the challenges related to developing a Level II WQBEL for a discharge to a stream is that, except for chlorophyll a, </w:t>
      </w:r>
      <w:r w:rsidRPr="00835861">
        <w:rPr>
          <w:highlight w:val="yellow"/>
        </w:rPr>
        <w:t>most water quality models cannot predict whether the floral or faunal metrics will be achieved at a given level of nutrient loading.</w:t>
      </w:r>
      <w:r>
        <w:t xml:space="preserve"> Stream models that can estimate periphyton biomass (in </w:t>
      </w:r>
      <w:r>
        <w:lastRenderedPageBreak/>
        <w:t xml:space="preserve">addition to chlorophyll a and nutrient concentrations) should be used so that periphyton biomass can be used as a surrogate for the RPS. </w:t>
      </w:r>
    </w:p>
    <w:p w14:paraId="578ACD19" w14:textId="27736867" w:rsidR="00EC154D" w:rsidRPr="00835861" w:rsidRDefault="00EC154D" w:rsidP="000C3B75">
      <w:pPr>
        <w:jc w:val="both"/>
        <w:rPr>
          <w:b/>
          <w:bCs/>
        </w:rPr>
      </w:pPr>
      <w:r w:rsidRPr="00835861">
        <w:rPr>
          <w:b/>
          <w:bCs/>
        </w:rPr>
        <w:t xml:space="preserve">FDEP should </w:t>
      </w:r>
      <w:r w:rsidR="00835861" w:rsidRPr="00835861">
        <w:rPr>
          <w:b/>
          <w:bCs/>
        </w:rPr>
        <w:t xml:space="preserve">develop models that use RPS and LVS as end points, in additional to chlorophyll a.  However, it is unlikely such models can be developed because FDEP admits there is no cause-effect relationship between nutrients and the RPS and LVS. </w:t>
      </w:r>
      <w:r w:rsidR="002F38B8">
        <w:rPr>
          <w:b/>
          <w:bCs/>
        </w:rPr>
        <w:t xml:space="preserve">If it is their intent, </w:t>
      </w:r>
      <w:r w:rsidR="00835861" w:rsidRPr="00835861">
        <w:rPr>
          <w:b/>
          <w:bCs/>
        </w:rPr>
        <w:t>FDE</w:t>
      </w:r>
      <w:r w:rsidR="00937CFE">
        <w:rPr>
          <w:b/>
          <w:bCs/>
        </w:rPr>
        <w:t>P</w:t>
      </w:r>
      <w:r w:rsidR="00835861" w:rsidRPr="00835861">
        <w:rPr>
          <w:b/>
          <w:bCs/>
        </w:rPr>
        <w:t xml:space="preserve"> should also </w:t>
      </w:r>
      <w:r w:rsidRPr="00835861">
        <w:rPr>
          <w:b/>
          <w:bCs/>
        </w:rPr>
        <w:t xml:space="preserve">state they require that periphyton racks be deployed to make quantitative assessments of algal </w:t>
      </w:r>
      <w:proofErr w:type="gramStart"/>
      <w:r w:rsidRPr="00835861">
        <w:rPr>
          <w:b/>
          <w:bCs/>
        </w:rPr>
        <w:t>biomass</w:t>
      </w:r>
      <w:r w:rsidR="00835861" w:rsidRPr="00835861">
        <w:rPr>
          <w:b/>
          <w:bCs/>
        </w:rPr>
        <w:t>,</w:t>
      </w:r>
      <w:r w:rsidR="0089206F">
        <w:rPr>
          <w:b/>
          <w:bCs/>
        </w:rPr>
        <w:t xml:space="preserve"> </w:t>
      </w:r>
      <w:r w:rsidR="00835861" w:rsidRPr="00835861">
        <w:rPr>
          <w:b/>
          <w:bCs/>
        </w:rPr>
        <w:t>and</w:t>
      </w:r>
      <w:proofErr w:type="gramEnd"/>
      <w:r w:rsidR="00835861" w:rsidRPr="00835861">
        <w:rPr>
          <w:b/>
          <w:bCs/>
        </w:rPr>
        <w:t xml:space="preserve"> provide acceptable thresholds for periphyton biomass</w:t>
      </w:r>
      <w:r w:rsidRPr="00835861">
        <w:rPr>
          <w:b/>
          <w:bCs/>
        </w:rPr>
        <w:t>.</w:t>
      </w:r>
    </w:p>
    <w:p w14:paraId="479F63BB" w14:textId="77777777" w:rsidR="00EC154D" w:rsidRDefault="00EC154D" w:rsidP="000C3B75">
      <w:pPr>
        <w:jc w:val="both"/>
      </w:pPr>
      <w:r>
        <w:t>12.1 Non-perennial water segments</w:t>
      </w:r>
    </w:p>
    <w:p w14:paraId="48C1E6BC" w14:textId="77777777" w:rsidR="00EC154D" w:rsidRDefault="00EC154D" w:rsidP="000C3B75">
      <w:pPr>
        <w:jc w:val="both"/>
      </w:pPr>
      <w:r w:rsidRPr="00937CFE">
        <w:rPr>
          <w:highlight w:val="yellow"/>
        </w:rPr>
        <w:t>Stream flow statistics shall be calculated for a minimum of 360 days in order to capture seasonal variability.</w:t>
      </w:r>
      <w:r>
        <w:t xml:space="preserve"> The demonstration shall include the mean annual flow, mean monthly flows, and 30-day low-flow frequencies. Longer periods of record will provide greater confidence that the mean, high, and low flow conditions have been adequately characterized. Streamflow statistics can be estimated using accepted regression equations for the region and site of interest and will be evaluated on a case by case basis for data sufficiency and accuracy. </w:t>
      </w:r>
    </w:p>
    <w:p w14:paraId="51BD8B85" w14:textId="4EA8100F" w:rsidR="00EC154D" w:rsidRPr="00937CFE" w:rsidRDefault="00937CFE" w:rsidP="000C3B75">
      <w:pPr>
        <w:jc w:val="both"/>
        <w:rPr>
          <w:b/>
          <w:bCs/>
        </w:rPr>
      </w:pPr>
      <w:r w:rsidRPr="00937CFE">
        <w:rPr>
          <w:b/>
          <w:bCs/>
        </w:rPr>
        <w:t>This requires</w:t>
      </w:r>
      <w:r w:rsidR="00EC154D" w:rsidRPr="00937CFE">
        <w:rPr>
          <w:b/>
          <w:bCs/>
        </w:rPr>
        <w:t xml:space="preserve"> water level gages </w:t>
      </w:r>
      <w:r w:rsidRPr="00937CFE">
        <w:rPr>
          <w:b/>
          <w:bCs/>
        </w:rPr>
        <w:t xml:space="preserve">be deployed </w:t>
      </w:r>
      <w:r w:rsidR="00EC154D" w:rsidRPr="00937CFE">
        <w:rPr>
          <w:b/>
          <w:bCs/>
        </w:rPr>
        <w:t>on each system in question to make these calculations.</w:t>
      </w:r>
    </w:p>
    <w:p w14:paraId="6F9E4342" w14:textId="77777777" w:rsidR="00EC154D" w:rsidRDefault="00EC154D" w:rsidP="000C3B75">
      <w:pPr>
        <w:jc w:val="both"/>
      </w:pPr>
      <w:r>
        <w:t>12.1.2 GEOMORPHOLOGY AS AN INDICATOR</w:t>
      </w:r>
    </w:p>
    <w:p w14:paraId="258721EE" w14:textId="77777777" w:rsidR="00EC154D" w:rsidRPr="00937CFE" w:rsidRDefault="00EC154D" w:rsidP="000C3B75">
      <w:pPr>
        <w:jc w:val="both"/>
        <w:rPr>
          <w:highlight w:val="yellow"/>
        </w:rPr>
      </w:pPr>
      <w:r w:rsidRPr="00937CFE">
        <w:rPr>
          <w:highlight w:val="yellow"/>
        </w:rPr>
        <w:t>To determine the hydrologic soil groups in the drainage area of a given site, a Geographic Information System (GIS) layer (e.g. NRCS, SSURGO) with hydrologic soil content is required. The percent of hydric soils in the drainage area of interest should be calculated by adding up the soil types A and C in the PFCP region and the soil types A and B in the NEFCP and NWFCP regions. In GIS, this feature is typically designated as "HYDRGRP" or something similar in the attribute table of the soil layer. The percent thresholds in Table 5 should be used to determine whether the site is highlands or flatwoods.</w:t>
      </w:r>
    </w:p>
    <w:p w14:paraId="4C2D711D" w14:textId="77777777" w:rsidR="00EC154D" w:rsidRDefault="00EC154D" w:rsidP="000C3B75">
      <w:pPr>
        <w:jc w:val="both"/>
      </w:pPr>
      <w:r w:rsidRPr="00937CFE">
        <w:rPr>
          <w:highlight w:val="yellow"/>
        </w:rPr>
        <w:t>Table 6. Summary of NNC perenniality factors based on region, water source, and drainage area.</w:t>
      </w:r>
      <w:r>
        <w:t xml:space="preserve">  </w:t>
      </w:r>
    </w:p>
    <w:p w14:paraId="06595495" w14:textId="77777777" w:rsidR="00EC154D" w:rsidRDefault="00EC154D" w:rsidP="000C3B75">
      <w:pPr>
        <w:jc w:val="both"/>
      </w:pPr>
      <w:r w:rsidRPr="00937CFE">
        <w:rPr>
          <w:highlight w:val="yellow"/>
        </w:rPr>
        <w:t>However, the presence of certain facultative or facultative-wetland herbaceous species within the stream bed can be a valid indication that the stream is non-perennial, as these taxa may require moist or saturated conditions to germinate and grow but would not tolerate the inundation of a perennially flowing stream.</w:t>
      </w:r>
      <w:r>
        <w:t xml:space="preserve"> Examples of these taxa include: grasses such as </w:t>
      </w:r>
      <w:proofErr w:type="spellStart"/>
      <w:r>
        <w:t>Chasmanthium</w:t>
      </w:r>
      <w:proofErr w:type="spellEnd"/>
      <w:r>
        <w:t xml:space="preserve"> </w:t>
      </w:r>
      <w:proofErr w:type="spellStart"/>
      <w:r>
        <w:t>latifolium</w:t>
      </w:r>
      <w:proofErr w:type="spellEnd"/>
      <w:r>
        <w:t xml:space="preserve"> and </w:t>
      </w:r>
      <w:proofErr w:type="spellStart"/>
      <w:r>
        <w:t>Tripsacum</w:t>
      </w:r>
      <w:proofErr w:type="spellEnd"/>
      <w:r>
        <w:t xml:space="preserve"> </w:t>
      </w:r>
      <w:proofErr w:type="spellStart"/>
      <w:r>
        <w:t>dactyloides</w:t>
      </w:r>
      <w:proofErr w:type="spellEnd"/>
      <w:r>
        <w:t xml:space="preserve">, sedges such as </w:t>
      </w:r>
      <w:proofErr w:type="spellStart"/>
      <w:r>
        <w:t>Cyperus</w:t>
      </w:r>
      <w:proofErr w:type="spellEnd"/>
      <w:r>
        <w:t xml:space="preserve"> </w:t>
      </w:r>
      <w:proofErr w:type="spellStart"/>
      <w:r>
        <w:t>esculentus</w:t>
      </w:r>
      <w:proofErr w:type="spellEnd"/>
      <w:r>
        <w:t xml:space="preserve"> and </w:t>
      </w:r>
      <w:proofErr w:type="spellStart"/>
      <w:r>
        <w:t>Cyperus</w:t>
      </w:r>
      <w:proofErr w:type="spellEnd"/>
      <w:r>
        <w:t xml:space="preserve"> </w:t>
      </w:r>
      <w:proofErr w:type="spellStart"/>
      <w:r>
        <w:t>retrorsus</w:t>
      </w:r>
      <w:proofErr w:type="spellEnd"/>
      <w:r>
        <w:t xml:space="preserve">, forbs such as Cuphea </w:t>
      </w:r>
      <w:proofErr w:type="spellStart"/>
      <w:r>
        <w:t>cartagenensis</w:t>
      </w:r>
      <w:proofErr w:type="spellEnd"/>
      <w:r>
        <w:t xml:space="preserve">, </w:t>
      </w:r>
      <w:proofErr w:type="spellStart"/>
      <w:r>
        <w:t>Bidens</w:t>
      </w:r>
      <w:proofErr w:type="spellEnd"/>
      <w:r>
        <w:t xml:space="preserve"> </w:t>
      </w:r>
      <w:proofErr w:type="spellStart"/>
      <w:r>
        <w:t>pilosa</w:t>
      </w:r>
      <w:proofErr w:type="spellEnd"/>
      <w:r>
        <w:t xml:space="preserve">, and Sphagneticola trilobata, and ferns such as Woodwardia virginica and </w:t>
      </w:r>
      <w:proofErr w:type="spellStart"/>
      <w:r>
        <w:t>Thelypteris</w:t>
      </w:r>
      <w:proofErr w:type="spellEnd"/>
      <w:r>
        <w:t xml:space="preserve"> spp. (see complete lists of obligate wetland, facultative wetland and facultative taxa in Chapter 62-340, F.A.C.).</w:t>
      </w:r>
    </w:p>
    <w:p w14:paraId="2C0E92F3" w14:textId="3B2681AC" w:rsidR="00EC154D" w:rsidRPr="00937CFE" w:rsidRDefault="00EC154D" w:rsidP="000C3B75">
      <w:pPr>
        <w:jc w:val="both"/>
        <w:rPr>
          <w:b/>
          <w:bCs/>
        </w:rPr>
      </w:pPr>
      <w:r w:rsidRPr="00937CFE">
        <w:rPr>
          <w:b/>
          <w:bCs/>
        </w:rPr>
        <w:t>This is a good, repeatable method. This is sound guidance</w:t>
      </w:r>
      <w:r w:rsidR="00937CFE" w:rsidRPr="00937CFE">
        <w:rPr>
          <w:b/>
          <w:bCs/>
        </w:rPr>
        <w:t xml:space="preserve"> from FDEP</w:t>
      </w:r>
      <w:r w:rsidRPr="00937CFE">
        <w:rPr>
          <w:b/>
          <w:bCs/>
        </w:rPr>
        <w:t xml:space="preserve"> based on a reasonable scientific approach.</w:t>
      </w:r>
    </w:p>
    <w:p w14:paraId="46283E4E" w14:textId="77777777" w:rsidR="00EC154D" w:rsidRDefault="00EC154D" w:rsidP="000C3B75">
      <w:pPr>
        <w:jc w:val="both"/>
      </w:pPr>
      <w:r>
        <w:t>12.1.4 MACROINVERTEBRATES AS INDICATORS</w:t>
      </w:r>
    </w:p>
    <w:p w14:paraId="10EB21DC" w14:textId="77777777" w:rsidR="00EC154D" w:rsidRDefault="00EC154D" w:rsidP="000C3B75">
      <w:pPr>
        <w:jc w:val="both"/>
      </w:pPr>
      <w:r w:rsidRPr="00937CFE">
        <w:rPr>
          <w:highlight w:val="yellow"/>
        </w:rPr>
        <w:t>SCI sampling (following DEP Standard Operating Procedure SCI 1000) is conducted during periods when water velocity has been 0.05 m/sec or greater for at least 28 days or after a 6-month period if the site has gone completely dry.</w:t>
      </w:r>
      <w:r>
        <w:t xml:space="preserve"> </w:t>
      </w:r>
    </w:p>
    <w:p w14:paraId="277EC180" w14:textId="48E5834F" w:rsidR="00EC154D" w:rsidRPr="00937CFE" w:rsidRDefault="00EC154D" w:rsidP="000C3B75">
      <w:pPr>
        <w:jc w:val="both"/>
        <w:rPr>
          <w:b/>
          <w:bCs/>
        </w:rPr>
      </w:pPr>
      <w:r w:rsidRPr="00937CFE">
        <w:rPr>
          <w:b/>
          <w:bCs/>
        </w:rPr>
        <w:lastRenderedPageBreak/>
        <w:t xml:space="preserve">These were the criteria under which the NNC reference streams were sampled, meaning FDEP’s approach to segregate into </w:t>
      </w:r>
      <w:r w:rsidR="00937CFE" w:rsidRPr="00937CFE">
        <w:rPr>
          <w:b/>
          <w:bCs/>
        </w:rPr>
        <w:t>two</w:t>
      </w:r>
      <w:r w:rsidRPr="00937CFE">
        <w:rPr>
          <w:b/>
          <w:bCs/>
        </w:rPr>
        <w:t xml:space="preserve"> arbitrary seasons for floral and faunal sampling is fundamentally flawed</w:t>
      </w:r>
      <w:r w:rsidR="0089206F">
        <w:rPr>
          <w:b/>
          <w:bCs/>
        </w:rPr>
        <w:t xml:space="preserve"> and should be removed in absence of supporting evidence.</w:t>
      </w:r>
    </w:p>
    <w:p w14:paraId="44D21767" w14:textId="7691F942" w:rsidR="00EC154D" w:rsidRDefault="00EC154D" w:rsidP="000C3B75">
      <w:pPr>
        <w:jc w:val="both"/>
      </w:pPr>
      <w:r>
        <w:t xml:space="preserve">12.2 </w:t>
      </w:r>
      <w:r w:rsidR="00937CFE">
        <w:t>T</w:t>
      </w:r>
      <w:r>
        <w:t>idally influenced segments</w:t>
      </w:r>
    </w:p>
    <w:p w14:paraId="4AD8A455" w14:textId="77777777" w:rsidR="00EC154D" w:rsidRDefault="00EC154D" w:rsidP="000C3B75">
      <w:pPr>
        <w:jc w:val="both"/>
      </w:pPr>
      <w:r>
        <w:t xml:space="preserve">The delineation of the segment is important </w:t>
      </w:r>
      <w:r w:rsidRPr="00937CFE">
        <w:rPr>
          <w:highlight w:val="yellow"/>
        </w:rPr>
        <w:t>as only portions of segments that are demonstrated to fluctuate between marine and fresh conditions qualify for the exclusion</w:t>
      </w:r>
      <w:r>
        <w:t xml:space="preserve"> under paragraph 62-302.200(38)(a), F.A.C. </w:t>
      </w:r>
    </w:p>
    <w:p w14:paraId="74252984" w14:textId="77777777" w:rsidR="00EC154D" w:rsidRPr="00937CFE" w:rsidRDefault="00EC154D" w:rsidP="000C3B75">
      <w:pPr>
        <w:jc w:val="both"/>
        <w:rPr>
          <w:b/>
          <w:bCs/>
        </w:rPr>
      </w:pPr>
      <w:r w:rsidRPr="00937CFE">
        <w:rPr>
          <w:b/>
          <w:bCs/>
        </w:rPr>
        <w:t>This provision should be changed to also exclude tidal fresh streams where the SCI is not appropriate, which were excluded during the SCI calibration process.</w:t>
      </w:r>
    </w:p>
    <w:p w14:paraId="50B6A896" w14:textId="77777777" w:rsidR="00EC154D" w:rsidRDefault="00EC154D" w:rsidP="000C3B75">
      <w:pPr>
        <w:jc w:val="both"/>
      </w:pPr>
      <w:r>
        <w:t>12.3.3 PHYSICAL ALTERATION THAT LIMITS HABITAT</w:t>
      </w:r>
    </w:p>
    <w:p w14:paraId="0A6E513F" w14:textId="77777777" w:rsidR="00EC154D" w:rsidRPr="00937CFE" w:rsidRDefault="00EC154D" w:rsidP="000C3B75">
      <w:pPr>
        <w:jc w:val="both"/>
        <w:rPr>
          <w:b/>
          <w:bCs/>
        </w:rPr>
      </w:pPr>
      <w:r w:rsidRPr="00937CFE">
        <w:rPr>
          <w:b/>
          <w:bCs/>
        </w:rPr>
        <w:t>FDEP should allow the ditch exception at an area if the only habitat is predominately invasive exotic plants (higher than 5% coverage), because the plant’s growth rates are such that it is difficult for management activities to keep pace.</w:t>
      </w:r>
    </w:p>
    <w:p w14:paraId="452F8DB1" w14:textId="77777777" w:rsidR="00EC154D" w:rsidRDefault="00EC154D" w:rsidP="000C3B75">
      <w:pPr>
        <w:jc w:val="both"/>
      </w:pPr>
      <w:r w:rsidRPr="00937CFE">
        <w:rPr>
          <w:highlight w:val="yellow"/>
        </w:rPr>
        <w:t>If there are different segments within the conveyance that exhibit different features, an HA is needed for each segment.</w:t>
      </w:r>
      <w:r>
        <w:t xml:space="preserve"> </w:t>
      </w:r>
    </w:p>
    <w:p w14:paraId="5A2A39D0" w14:textId="7C34AEE8" w:rsidR="00046E92" w:rsidRDefault="007F338B" w:rsidP="000C3B75">
      <w:pPr>
        <w:jc w:val="both"/>
        <w:rPr>
          <w:b/>
          <w:bCs/>
        </w:rPr>
      </w:pPr>
      <w:r>
        <w:rPr>
          <w:b/>
          <w:bCs/>
        </w:rPr>
        <w:t>FDEP must state the aerial extent</w:t>
      </w:r>
      <w:r w:rsidR="00EC154D" w:rsidRPr="007F338B">
        <w:rPr>
          <w:b/>
          <w:bCs/>
        </w:rPr>
        <w:t xml:space="preserve"> of a stream reach within a WBID </w:t>
      </w:r>
      <w:r>
        <w:rPr>
          <w:b/>
          <w:bCs/>
        </w:rPr>
        <w:t xml:space="preserve">that </w:t>
      </w:r>
      <w:r w:rsidR="00EC154D" w:rsidRPr="007F338B">
        <w:rPr>
          <w:b/>
          <w:bCs/>
        </w:rPr>
        <w:t>needs to meet the HA criteria for ditch exclusion for FDEP to accept that the WBID is excluded from NNC</w:t>
      </w:r>
      <w:r>
        <w:rPr>
          <w:b/>
          <w:bCs/>
        </w:rPr>
        <w:t>.</w:t>
      </w:r>
      <w:r w:rsidR="00EC154D" w:rsidRPr="007F338B">
        <w:rPr>
          <w:b/>
          <w:bCs/>
        </w:rPr>
        <w:t xml:space="preserve"> </w:t>
      </w:r>
      <w:r w:rsidR="0089206F">
        <w:rPr>
          <w:b/>
          <w:bCs/>
        </w:rPr>
        <w:t>This should in</w:t>
      </w:r>
      <w:r w:rsidR="00824A11">
        <w:rPr>
          <w:b/>
          <w:bCs/>
        </w:rPr>
        <w:t>c</w:t>
      </w:r>
      <w:r w:rsidR="0089206F">
        <w:rPr>
          <w:b/>
          <w:bCs/>
        </w:rPr>
        <w:t>lude information about h</w:t>
      </w:r>
      <w:r w:rsidR="00EC154D" w:rsidRPr="007F338B">
        <w:rPr>
          <w:b/>
          <w:bCs/>
        </w:rPr>
        <w:t xml:space="preserve">ow many sampling locations within a wbid are required to ascertain </w:t>
      </w:r>
      <w:r w:rsidR="0089206F">
        <w:rPr>
          <w:b/>
          <w:bCs/>
        </w:rPr>
        <w:t>sufficient</w:t>
      </w:r>
      <w:r w:rsidR="00824A11">
        <w:rPr>
          <w:b/>
          <w:bCs/>
        </w:rPr>
        <w:t xml:space="preserve">, representative </w:t>
      </w:r>
      <w:r w:rsidR="0089206F">
        <w:rPr>
          <w:b/>
          <w:bCs/>
        </w:rPr>
        <w:t>information for assessment purposes.</w:t>
      </w:r>
    </w:p>
    <w:p w14:paraId="0BFE043D" w14:textId="77777777" w:rsidR="003C3B07" w:rsidRDefault="003C3B07" w:rsidP="003C3B07">
      <w:pPr>
        <w:pStyle w:val="Heading1"/>
      </w:pPr>
      <w:bookmarkStart w:id="15" w:name="_Toc24974528"/>
      <w:r>
        <w:t>Floral and Faunal Metrics in NNC Implementation</w:t>
      </w:r>
      <w:bookmarkEnd w:id="15"/>
    </w:p>
    <w:p w14:paraId="2AF555FA" w14:textId="6D9BAC51" w:rsidR="003C3B07" w:rsidRPr="007E5E7C" w:rsidRDefault="003C3B07" w:rsidP="003C3B07">
      <w:pPr>
        <w:jc w:val="both"/>
        <w:rPr>
          <w:rFonts w:cstheme="minorHAnsi"/>
        </w:rPr>
      </w:pPr>
      <w:r>
        <w:rPr>
          <w:rFonts w:cstheme="minorHAnsi"/>
        </w:rPr>
        <w:t xml:space="preserve">FDEP clearly admits that there is no reliable </w:t>
      </w:r>
      <w:r w:rsidR="00A84EDB">
        <w:rPr>
          <w:rFonts w:cstheme="minorHAnsi"/>
        </w:rPr>
        <w:t>n</w:t>
      </w:r>
      <w:r>
        <w:rPr>
          <w:rFonts w:cstheme="minorHAnsi"/>
        </w:rPr>
        <w:t xml:space="preserve">or demonstratable floral or faunal responses to anthropogenic nutrients in streams, and </w:t>
      </w:r>
      <w:r w:rsidR="00A84EDB">
        <w:rPr>
          <w:rFonts w:cstheme="minorHAnsi"/>
        </w:rPr>
        <w:t xml:space="preserve">in </w:t>
      </w:r>
      <w:r>
        <w:rPr>
          <w:rFonts w:cstheme="minorHAnsi"/>
        </w:rPr>
        <w:t xml:space="preserve">2013, adopted a minimally disturbed reference site approach for NNC in streams.  Because of the lack or biological response to nutrients in streams and to avoid arbitrary impairment listings, FDEP originally adopted a weight-of-evidence approach for stream floral assessment. After 6 years, FDEP has still developed no cause-effect relationships between nutrients and biological responses in streams, </w:t>
      </w:r>
      <w:r w:rsidRPr="007E5E7C">
        <w:rPr>
          <w:rFonts w:cstheme="minorHAnsi"/>
          <w:b/>
          <w:bCs/>
        </w:rPr>
        <w:t xml:space="preserve">and </w:t>
      </w:r>
      <w:r>
        <w:rPr>
          <w:rFonts w:cstheme="minorHAnsi"/>
          <w:b/>
          <w:bCs/>
        </w:rPr>
        <w:t xml:space="preserve">also </w:t>
      </w:r>
      <w:r w:rsidRPr="007E5E7C">
        <w:rPr>
          <w:rFonts w:cstheme="minorHAnsi"/>
          <w:b/>
          <w:bCs/>
        </w:rPr>
        <w:t>has not revised the reference-derived floral thresholds with additional data</w:t>
      </w:r>
      <w:r>
        <w:rPr>
          <w:rFonts w:cstheme="minorHAnsi"/>
        </w:rPr>
        <w:t>. However, F</w:t>
      </w:r>
      <w:r w:rsidRPr="007E5E7C">
        <w:rPr>
          <w:rFonts w:cstheme="minorHAnsi"/>
        </w:rPr>
        <w:t xml:space="preserve">DEP </w:t>
      </w:r>
      <w:r>
        <w:rPr>
          <w:rFonts w:cstheme="minorHAnsi"/>
        </w:rPr>
        <w:t xml:space="preserve">now </w:t>
      </w:r>
      <w:r w:rsidRPr="007E5E7C">
        <w:rPr>
          <w:rFonts w:cstheme="minorHAnsi"/>
        </w:rPr>
        <w:t xml:space="preserve">removed all references to the “weight-of-evidence” approach in the NNC Implementation </w:t>
      </w:r>
      <w:r>
        <w:rPr>
          <w:rFonts w:cstheme="minorHAnsi"/>
        </w:rPr>
        <w:t xml:space="preserve">Document and now </w:t>
      </w:r>
      <w:r w:rsidRPr="007E5E7C">
        <w:rPr>
          <w:rFonts w:cstheme="minorHAnsi"/>
          <w:b/>
          <w:bCs/>
        </w:rPr>
        <w:t>considers the reference-based floral thresholds as if they were definitively established impairment thresholds. The floral metrics are NOT impairment thresholds</w:t>
      </w:r>
      <w:r>
        <w:rPr>
          <w:rFonts w:cstheme="minorHAnsi"/>
        </w:rPr>
        <w:t>, they were derived using the 90</w:t>
      </w:r>
      <w:r w:rsidRPr="007E5E7C">
        <w:rPr>
          <w:rFonts w:cstheme="minorHAnsi"/>
          <w:vertAlign w:val="superscript"/>
        </w:rPr>
        <w:t>th</w:t>
      </w:r>
      <w:r>
        <w:rPr>
          <w:rFonts w:cstheme="minorHAnsi"/>
        </w:rPr>
        <w:t xml:space="preserve"> (or 80</w:t>
      </w:r>
      <w:r w:rsidRPr="007E5E7C">
        <w:rPr>
          <w:rFonts w:cstheme="minorHAnsi"/>
          <w:vertAlign w:val="superscript"/>
        </w:rPr>
        <w:t>th</w:t>
      </w:r>
      <w:r>
        <w:rPr>
          <w:rFonts w:cstheme="minorHAnsi"/>
        </w:rPr>
        <w:t xml:space="preserve">) percent of the reference site distribution, meaning 10% (or 20%) of minimally disturbed streams will </w:t>
      </w:r>
      <w:r w:rsidRPr="007E5E7C">
        <w:rPr>
          <w:rFonts w:cstheme="minorHAnsi"/>
          <w:b/>
          <w:bCs/>
        </w:rPr>
        <w:t>erroneously be deemed impaired</w:t>
      </w:r>
      <w:r>
        <w:rPr>
          <w:rFonts w:cstheme="minorHAnsi"/>
        </w:rPr>
        <w:t>.</w:t>
      </w:r>
      <w:r w:rsidRPr="007E5E7C">
        <w:rPr>
          <w:rFonts w:cstheme="minorHAnsi"/>
        </w:rPr>
        <w:t xml:space="preserve">  </w:t>
      </w:r>
      <w:r>
        <w:rPr>
          <w:rFonts w:cstheme="minorHAnsi"/>
        </w:rPr>
        <w:t>Prior to</w:t>
      </w:r>
      <w:r w:rsidRPr="007E5E7C">
        <w:rPr>
          <w:rFonts w:cstheme="minorHAnsi"/>
        </w:rPr>
        <w:t xml:space="preserve"> remov</w:t>
      </w:r>
      <w:r>
        <w:rPr>
          <w:rFonts w:cstheme="minorHAnsi"/>
        </w:rPr>
        <w:t>ing</w:t>
      </w:r>
      <w:r w:rsidRPr="007E5E7C">
        <w:rPr>
          <w:rFonts w:cstheme="minorHAnsi"/>
        </w:rPr>
        <w:t xml:space="preserve"> the “weight of evidence” approach</w:t>
      </w:r>
      <w:r>
        <w:rPr>
          <w:rFonts w:cstheme="minorHAnsi"/>
        </w:rPr>
        <w:t>, FDEP</w:t>
      </w:r>
      <w:r w:rsidRPr="007E5E7C">
        <w:rPr>
          <w:rFonts w:cstheme="minorHAnsi"/>
        </w:rPr>
        <w:t xml:space="preserve"> must </w:t>
      </w:r>
      <w:r>
        <w:rPr>
          <w:rFonts w:cstheme="minorHAnsi"/>
        </w:rPr>
        <w:t>provide a definitive,</w:t>
      </w:r>
      <w:r w:rsidRPr="007E5E7C">
        <w:rPr>
          <w:rFonts w:cstheme="minorHAnsi"/>
        </w:rPr>
        <w:t xml:space="preserve"> science-based decision </w:t>
      </w:r>
      <w:r>
        <w:rPr>
          <w:rFonts w:cstheme="minorHAnsi"/>
        </w:rPr>
        <w:t xml:space="preserve">methodology for floral assessment. </w:t>
      </w:r>
      <w:r w:rsidRPr="007E5E7C">
        <w:rPr>
          <w:rFonts w:cstheme="minorHAnsi"/>
        </w:rPr>
        <w:t xml:space="preserve"> </w:t>
      </w:r>
      <w:r>
        <w:rPr>
          <w:rFonts w:cstheme="minorHAnsi"/>
        </w:rPr>
        <w:t>Note that the SCI was calibrated using the EPA Biological Condition Gradient approach.  The floral thresholds were not calibrated to measure unacceptable human nutrient inputs, but arbitrarily set at the 90</w:t>
      </w:r>
      <w:r w:rsidRPr="007E5E7C">
        <w:rPr>
          <w:rFonts w:cstheme="minorHAnsi"/>
          <w:vertAlign w:val="superscript"/>
        </w:rPr>
        <w:t>th</w:t>
      </w:r>
      <w:r>
        <w:rPr>
          <w:rFonts w:cstheme="minorHAnsi"/>
        </w:rPr>
        <w:t xml:space="preserve"> percentile (or 80</w:t>
      </w:r>
      <w:r w:rsidRPr="007E5E7C">
        <w:rPr>
          <w:rFonts w:cstheme="minorHAnsi"/>
          <w:vertAlign w:val="superscript"/>
        </w:rPr>
        <w:t>th</w:t>
      </w:r>
      <w:r>
        <w:rPr>
          <w:rFonts w:cstheme="minorHAnsi"/>
        </w:rPr>
        <w:t>) of the reference site distribution.</w:t>
      </w:r>
    </w:p>
    <w:p w14:paraId="20F02C0B" w14:textId="77777777" w:rsidR="003C3B07" w:rsidRDefault="003C3B07" w:rsidP="003C3B07">
      <w:pPr>
        <w:jc w:val="both"/>
        <w:rPr>
          <w:rFonts w:cstheme="minorHAnsi"/>
        </w:rPr>
      </w:pPr>
      <w:r w:rsidRPr="007E5E7C">
        <w:rPr>
          <w:rFonts w:cstheme="minorHAnsi"/>
        </w:rPr>
        <w:lastRenderedPageBreak/>
        <w:t xml:space="preserve">Additionally, the minimum data requirements of the floral/faunal metrics for placement on the planning or verified lists, </w:t>
      </w:r>
      <w:r>
        <w:rPr>
          <w:rFonts w:cstheme="minorHAnsi"/>
        </w:rPr>
        <w:t>must be revised</w:t>
      </w:r>
      <w:r w:rsidRPr="007E5E7C">
        <w:rPr>
          <w:rFonts w:cstheme="minorHAnsi"/>
        </w:rPr>
        <w:t xml:space="preserve">.  At present, a single failed SCI sample is needed to put a stream on the planning list, while only two are necessary to put it on the verified list.  </w:t>
      </w:r>
    </w:p>
    <w:p w14:paraId="782C9208" w14:textId="28AA8A24" w:rsidR="003C3B07" w:rsidRDefault="003C3B07" w:rsidP="003C3B07">
      <w:pPr>
        <w:jc w:val="both"/>
        <w:rPr>
          <w:rFonts w:cstheme="minorHAnsi"/>
        </w:rPr>
      </w:pPr>
      <w:r>
        <w:rPr>
          <w:rFonts w:cstheme="minorHAnsi"/>
        </w:rPr>
        <w:t>FDEP must scientifically establish a minimum biological sampling size for biological floral and faunal data before a WBID can be listed as verified impaired. FDEP has not conducted the type of statistical analysis for biology that they conducted for determining minimum sample sizes for water quality variables.  For water quality, FDEP statistically established a requirement of a minimum of 20 samples with a 10% exceedance rate (binomial method, 90% confidence level) before listing a WBID as verified impaired. F</w:t>
      </w:r>
      <w:r w:rsidRPr="007E5E7C">
        <w:rPr>
          <w:rFonts w:cstheme="minorHAnsi"/>
        </w:rPr>
        <w:t xml:space="preserve">DEP </w:t>
      </w:r>
      <w:r>
        <w:rPr>
          <w:rFonts w:cstheme="minorHAnsi"/>
        </w:rPr>
        <w:t>must</w:t>
      </w:r>
      <w:r w:rsidRPr="007E5E7C">
        <w:rPr>
          <w:rFonts w:cstheme="minorHAnsi"/>
        </w:rPr>
        <w:t xml:space="preserve"> </w:t>
      </w:r>
      <w:r>
        <w:rPr>
          <w:rFonts w:cstheme="minorHAnsi"/>
        </w:rPr>
        <w:t>statistically determine the minimum</w:t>
      </w:r>
      <w:r w:rsidRPr="007E5E7C">
        <w:rPr>
          <w:rFonts w:cstheme="minorHAnsi"/>
        </w:rPr>
        <w:t xml:space="preserve"> biological data </w:t>
      </w:r>
      <w:r>
        <w:rPr>
          <w:rFonts w:cstheme="minorHAnsi"/>
        </w:rPr>
        <w:t>required to place WBIDs a on the verified list (</w:t>
      </w:r>
      <w:r w:rsidRPr="007E5E7C">
        <w:rPr>
          <w:rFonts w:cstheme="minorHAnsi"/>
        </w:rPr>
        <w:t>over the</w:t>
      </w:r>
      <w:r>
        <w:rPr>
          <w:rFonts w:cstheme="minorHAnsi"/>
        </w:rPr>
        <w:t xml:space="preserve"> 7.5 year </w:t>
      </w:r>
      <w:r w:rsidRPr="007E5E7C">
        <w:rPr>
          <w:rFonts w:cstheme="minorHAnsi"/>
        </w:rPr>
        <w:t>verified perio</w:t>
      </w:r>
      <w:r>
        <w:rPr>
          <w:rFonts w:cstheme="minorHAnsi"/>
        </w:rPr>
        <w:t>d</w:t>
      </w:r>
      <w:r w:rsidRPr="007E5E7C">
        <w:rPr>
          <w:rFonts w:cstheme="minorHAnsi"/>
        </w:rPr>
        <w:t xml:space="preserve">).    </w:t>
      </w:r>
    </w:p>
    <w:p w14:paraId="52878421" w14:textId="77777777" w:rsidR="000963CC" w:rsidRPr="003878EB" w:rsidRDefault="000963CC" w:rsidP="000963CC">
      <w:pPr>
        <w:pStyle w:val="Heading1"/>
        <w:jc w:val="both"/>
      </w:pPr>
      <w:bookmarkStart w:id="16" w:name="_Toc24974529"/>
      <w:r w:rsidRPr="003878EB">
        <w:t>Addition of language to Chapter 62-303, F.A.C., to incorporate portions of the document titled “Implementation of Florida’s Numeric Nutrient Standards” by reference</w:t>
      </w:r>
      <w:bookmarkEnd w:id="16"/>
    </w:p>
    <w:p w14:paraId="65B7AD7D" w14:textId="309DD79E" w:rsidR="000963CC" w:rsidRPr="003C3B07" w:rsidRDefault="000963CC" w:rsidP="000963CC">
      <w:pPr>
        <w:jc w:val="both"/>
        <w:rPr>
          <w:rFonts w:cstheme="minorHAnsi"/>
        </w:rPr>
      </w:pPr>
      <w:r>
        <w:t xml:space="preserve">The issues described in the above comments pertaining to the NNC Implementation Document apply here, and it is </w:t>
      </w:r>
      <w:r w:rsidRPr="00593ABD">
        <w:rPr>
          <w:b/>
          <w:bCs/>
        </w:rPr>
        <w:t xml:space="preserve">requested that FDEP not incorporate portions of this document until these many comments are properly addressed and revised to be legally and scientifically </w:t>
      </w:r>
      <w:r w:rsidRPr="002C5D1F">
        <w:rPr>
          <w:b/>
          <w:bCs/>
        </w:rPr>
        <w:t>defensible</w:t>
      </w:r>
      <w:r w:rsidR="002C5D1F">
        <w:t>.</w:t>
      </w:r>
    </w:p>
    <w:p w14:paraId="065E25F1" w14:textId="027F067E" w:rsidR="003878EB" w:rsidRDefault="003878EB" w:rsidP="000C3B75">
      <w:pPr>
        <w:pStyle w:val="Heading1"/>
        <w:jc w:val="both"/>
      </w:pPr>
      <w:bookmarkStart w:id="17" w:name="_Toc24974530"/>
      <w:r w:rsidRPr="003878EB">
        <w:t>Cyanotoxin criteria (Microcystins and Cylindrospermopsin)</w:t>
      </w:r>
      <w:bookmarkEnd w:id="17"/>
    </w:p>
    <w:p w14:paraId="4436D4BB" w14:textId="07F33FF3" w:rsidR="00270F6D" w:rsidRDefault="00270F6D" w:rsidP="000C3B75">
      <w:pPr>
        <w:jc w:val="both"/>
      </w:pPr>
      <w:r>
        <w:t xml:space="preserve">FDEP is considering adoption of EPA </w:t>
      </w:r>
      <w:r w:rsidRPr="00270F6D">
        <w:t xml:space="preserve">national recommendations for the </w:t>
      </w:r>
      <w:r w:rsidRPr="00270F6D">
        <w:rPr>
          <w:i/>
        </w:rPr>
        <w:t xml:space="preserve">Human Health Recreational Ambient Water Quality Criteria or Swimming Advisories (A WQC/SA) for Microcystins and Cylindrospermopsin. </w:t>
      </w:r>
      <w:r w:rsidRPr="00270F6D">
        <w:t xml:space="preserve">These recommended AWQC/SA accurately reflect the latest scientific knowledge on the potential human health effects from recreational exposure to these two cyanotoxins. Primary contact recreation is protected in water bodies at or below the recommended concentrations of </w:t>
      </w:r>
      <w:proofErr w:type="spellStart"/>
      <w:r w:rsidRPr="00270F6D">
        <w:rPr>
          <w:b/>
          <w:bCs/>
        </w:rPr>
        <w:t>microcystins</w:t>
      </w:r>
      <w:proofErr w:type="spellEnd"/>
      <w:r w:rsidRPr="00270F6D">
        <w:rPr>
          <w:b/>
          <w:bCs/>
        </w:rPr>
        <w:t xml:space="preserve"> </w:t>
      </w:r>
      <w:r w:rsidRPr="00270F6D">
        <w:t>and</w:t>
      </w:r>
      <w:r w:rsidRPr="00270F6D">
        <w:rPr>
          <w:b/>
          <w:bCs/>
        </w:rPr>
        <w:t xml:space="preserve"> </w:t>
      </w:r>
      <w:proofErr w:type="spellStart"/>
      <w:r w:rsidRPr="00270F6D">
        <w:rPr>
          <w:b/>
          <w:bCs/>
        </w:rPr>
        <w:t>cylindrospermopsin</w:t>
      </w:r>
      <w:proofErr w:type="spellEnd"/>
      <w:r w:rsidRPr="00270F6D">
        <w:t>.</w:t>
      </w:r>
    </w:p>
    <w:p w14:paraId="19E8FD16" w14:textId="51CD58C3" w:rsidR="00270F6D" w:rsidRDefault="00270F6D" w:rsidP="000C3B75">
      <w:pPr>
        <w:jc w:val="both"/>
      </w:pPr>
      <w:r w:rsidRPr="00270F6D">
        <w:t>Cyanobacteria</w:t>
      </w:r>
      <w:r>
        <w:t xml:space="preserve"> (</w:t>
      </w:r>
      <w:r w:rsidRPr="00270F6D">
        <w:t>blue-green algae</w:t>
      </w:r>
      <w:r>
        <w:t>)</w:t>
      </w:r>
      <w:r w:rsidRPr="00270F6D">
        <w:t xml:space="preserve"> are naturally-occurring photosynthetic bacteria found in freshwater and marine ecosystems. Under certain environmental conditions, such as elevated levels of nutrients, </w:t>
      </w:r>
      <w:r w:rsidRPr="00270F6D">
        <w:rPr>
          <w:b/>
          <w:bCs/>
        </w:rPr>
        <w:t>warmer temperatures</w:t>
      </w:r>
      <w:r w:rsidRPr="00270F6D">
        <w:t xml:space="preserve">, </w:t>
      </w:r>
      <w:r w:rsidRPr="00D83D27">
        <w:rPr>
          <w:b/>
          <w:bCs/>
        </w:rPr>
        <w:t>still water</w:t>
      </w:r>
      <w:r w:rsidRPr="00270F6D">
        <w:t>, and plentiful sunlight, cyanobacteria can rapidly multiply to form harmful algal blooms (HABs).</w:t>
      </w:r>
      <w:r w:rsidRPr="00270F6D">
        <w:rPr>
          <w:rFonts w:ascii="Tahoma" w:eastAsia="Tahoma" w:hAnsi="Tahoma" w:cs="Times New Roman"/>
          <w:color w:val="000000"/>
          <w:spacing w:val="6"/>
          <w:sz w:val="21"/>
        </w:rPr>
        <w:t xml:space="preserve"> </w:t>
      </w:r>
      <w:r w:rsidRPr="00270F6D">
        <w:t xml:space="preserve">Exposure to elevated-levels of microcystins can potentially lead to liver damage; the kidneys and liver appear to be the primary target organs for </w:t>
      </w:r>
      <w:proofErr w:type="spellStart"/>
      <w:r w:rsidRPr="00270F6D">
        <w:t>cylindrospermopsin</w:t>
      </w:r>
      <w:proofErr w:type="spellEnd"/>
      <w:r w:rsidRPr="00270F6D">
        <w:t xml:space="preserve"> toxicity.</w:t>
      </w:r>
    </w:p>
    <w:p w14:paraId="75B81B61" w14:textId="77777777" w:rsidR="00DC5A86" w:rsidRDefault="00F644AB" w:rsidP="000C3B75">
      <w:pPr>
        <w:jc w:val="both"/>
      </w:pPr>
      <w:r>
        <w:t xml:space="preserve">The EPA recommended </w:t>
      </w:r>
      <w:r w:rsidRPr="00F644AB">
        <w:rPr>
          <w:b/>
          <w:bCs/>
        </w:rPr>
        <w:t xml:space="preserve">magnitude for </w:t>
      </w:r>
      <w:proofErr w:type="spellStart"/>
      <w:r w:rsidRPr="00F644AB">
        <w:rPr>
          <w:b/>
          <w:bCs/>
        </w:rPr>
        <w:t>microcystins</w:t>
      </w:r>
      <w:proofErr w:type="spellEnd"/>
      <w:r w:rsidRPr="00F644AB">
        <w:rPr>
          <w:b/>
          <w:bCs/>
        </w:rPr>
        <w:t xml:space="preserve"> and </w:t>
      </w:r>
      <w:proofErr w:type="spellStart"/>
      <w:r w:rsidRPr="00F644AB">
        <w:rPr>
          <w:b/>
          <w:bCs/>
        </w:rPr>
        <w:t>cylindrospermopsin</w:t>
      </w:r>
      <w:proofErr w:type="spellEnd"/>
      <w:r w:rsidRPr="00F644AB">
        <w:rPr>
          <w:b/>
          <w:bCs/>
        </w:rPr>
        <w:t xml:space="preserve"> is 8 </w:t>
      </w:r>
      <w:r w:rsidRPr="00F644AB">
        <w:rPr>
          <w:rFonts w:cstheme="minorHAnsi"/>
          <w:b/>
          <w:bCs/>
        </w:rPr>
        <w:t>µg/L and 15 µg/</w:t>
      </w:r>
      <w:proofErr w:type="gramStart"/>
      <w:r w:rsidRPr="00F644AB">
        <w:rPr>
          <w:rFonts w:cstheme="minorHAnsi"/>
          <w:b/>
          <w:bCs/>
        </w:rPr>
        <w:t>L</w:t>
      </w:r>
      <w:r>
        <w:rPr>
          <w:rFonts w:cstheme="minorHAnsi"/>
        </w:rPr>
        <w:t xml:space="preserve"> ,</w:t>
      </w:r>
      <w:proofErr w:type="gramEnd"/>
      <w:r>
        <w:rPr>
          <w:rFonts w:cstheme="minorHAnsi"/>
        </w:rPr>
        <w:t xml:space="preserve"> respectively. </w:t>
      </w:r>
      <w:r w:rsidRPr="00F644AB">
        <w:t>For both cyanotoxins, the recommended duration and frequency depend on their application as a water quality criterion or a swimming advisory.</w:t>
      </w:r>
      <w:r>
        <w:t xml:space="preserve"> </w:t>
      </w:r>
      <w:r w:rsidRPr="00F644AB">
        <w:t xml:space="preserve">For application as a </w:t>
      </w:r>
      <w:r w:rsidRPr="00F644AB">
        <w:rPr>
          <w:b/>
        </w:rPr>
        <w:t xml:space="preserve">recreational water quality criterion, </w:t>
      </w:r>
      <w:r w:rsidRPr="00F644AB">
        <w:t xml:space="preserve">EPA recognizes that a single exceedance of the recommended magnitude does not necessarily indicate that the designated use is not attained. The recommended frequency and duration support the identification of a trend or pattern of elevated cyanotoxins that can be used to inform the evaluation of a waterbody. EPA recommends states use 10-day assessment periods, not a rolling 10-day period, over the course of a recreation season to evaluate ambient water body condition and recreational </w:t>
      </w:r>
      <w:r w:rsidRPr="00F644AB">
        <w:lastRenderedPageBreak/>
        <w:t xml:space="preserve">use attainment. The 10-day period links the water body assessment period to the adverse health effects observed from ingestion of the toxins over short-term exposures. If toxin concentrations are higher than the criterion magnitude during a 10-day assessment period, then that event should be considered an excursion from the recreational criteria. EPA recommends that when </w:t>
      </w:r>
      <w:r w:rsidRPr="00F644AB">
        <w:rPr>
          <w:b/>
          <w:bCs/>
        </w:rPr>
        <w:t>more than three excursions occur</w:t>
      </w:r>
      <w:r w:rsidRPr="00F644AB">
        <w:t xml:space="preserve"> within a recreational season and that pattern </w:t>
      </w:r>
      <w:r w:rsidRPr="00F644AB">
        <w:rPr>
          <w:b/>
          <w:bCs/>
        </w:rPr>
        <w:t>reoccurs in more than one year</w:t>
      </w:r>
      <w:r w:rsidRPr="00F644AB">
        <w:t>, it is an indication the water quality has been or is becoming degraded and a water body may not be supporting the recreational use.</w:t>
      </w:r>
    </w:p>
    <w:p w14:paraId="1FFE494F" w14:textId="404E541A" w:rsidR="00DC5A86" w:rsidRPr="00270F6D" w:rsidRDefault="00DC5A86" w:rsidP="000C3B75">
      <w:pPr>
        <w:jc w:val="both"/>
      </w:pPr>
      <w:r w:rsidRPr="00DC5A86">
        <w:t xml:space="preserve">As a basis for issuing a </w:t>
      </w:r>
      <w:r w:rsidRPr="00DC5A86">
        <w:rPr>
          <w:b/>
        </w:rPr>
        <w:t xml:space="preserve">swimming advisory, </w:t>
      </w:r>
      <w:r w:rsidRPr="00DC5A86">
        <w:t xml:space="preserve">EPA recommends the magnitude not be exceeded on </w:t>
      </w:r>
      <w:proofErr w:type="gramStart"/>
      <w:r w:rsidRPr="00DC5A86">
        <w:t xml:space="preserve">any </w:t>
      </w:r>
      <w:r>
        <w:t xml:space="preserve"> </w:t>
      </w:r>
      <w:r w:rsidRPr="00DC5A86">
        <w:t>single</w:t>
      </w:r>
      <w:proofErr w:type="gramEnd"/>
      <w:r w:rsidRPr="00DC5A86">
        <w:t xml:space="preserve"> day. This is consistent with the goal of a swimming advisory to provide prompt information to people who wish to use the water body for</w:t>
      </w:r>
      <w:r>
        <w:t xml:space="preserve"> </w:t>
      </w:r>
      <w:r w:rsidRPr="00DC5A86">
        <w:t>recreation.</w:t>
      </w:r>
    </w:p>
    <w:p w14:paraId="1263E51E" w14:textId="0F7F773C" w:rsidR="00E509D8" w:rsidRDefault="00F644AB" w:rsidP="000C3B75">
      <w:pPr>
        <w:pStyle w:val="Heading2"/>
        <w:jc w:val="both"/>
      </w:pPr>
      <w:bookmarkStart w:id="18" w:name="_Toc24974531"/>
      <w:r>
        <w:t>Conclusions</w:t>
      </w:r>
      <w:bookmarkEnd w:id="18"/>
    </w:p>
    <w:p w14:paraId="2CF35E90" w14:textId="4878B07E" w:rsidR="00F644AB" w:rsidRPr="00F644AB" w:rsidRDefault="00F644AB" w:rsidP="000C3B75">
      <w:pPr>
        <w:jc w:val="both"/>
      </w:pPr>
      <w:r>
        <w:t>These potential criteria and implementation scheme are designed to protect human health from adverse toxic exposures. Because factors such as warm temperatures and non-flowing hydrologic conditions may be responsible for blooms (with or with</w:t>
      </w:r>
      <w:r w:rsidR="008F35AA">
        <w:t>out</w:t>
      </w:r>
      <w:r>
        <w:t xml:space="preserve"> anthropogenic nutrients), it would be very difficult to calculate TMDLs to prevent the blooms, and therefore, it is uncertain what the regulatory implications would be.</w:t>
      </w:r>
      <w:r w:rsidR="003C12B4">
        <w:t xml:space="preserve">  If FDEP pursues promulgation of these criteria, they must express how </w:t>
      </w:r>
      <w:r w:rsidR="00975831">
        <w:t xml:space="preserve">the criteria </w:t>
      </w:r>
      <w:r w:rsidR="003C12B4">
        <w:t>will be implemented to avoid unneeded regulatory action.</w:t>
      </w:r>
    </w:p>
    <w:p w14:paraId="64E24D57" w14:textId="0A44A729" w:rsidR="003878EB" w:rsidRDefault="003878EB" w:rsidP="000C3B75">
      <w:pPr>
        <w:pStyle w:val="Heading1"/>
        <w:jc w:val="both"/>
      </w:pPr>
      <w:r w:rsidRPr="003878EB">
        <w:t xml:space="preserve"> </w:t>
      </w:r>
      <w:bookmarkStart w:id="19" w:name="_Toc24974532"/>
      <w:r w:rsidR="003C3B07">
        <w:t>A</w:t>
      </w:r>
      <w:r w:rsidRPr="003878EB">
        <w:t>doption of Type II site specific alternative criteria (SSACs) for dissolved oxygen for 11 freshwater streams</w:t>
      </w:r>
      <w:bookmarkEnd w:id="19"/>
    </w:p>
    <w:p w14:paraId="1BD48A27" w14:textId="77777777" w:rsidR="00CF575C" w:rsidRDefault="00CF575C" w:rsidP="000C3B75">
      <w:pPr>
        <w:jc w:val="both"/>
      </w:pPr>
      <w:r>
        <w:t xml:space="preserve">FDEP evaluated waterbodies not meeting the generally applicable DO criteria and placed in the 4c assessment category (impaired for one or more criteria or designated uses, but do not require TMDL development because the impairments are not caused by a pollutant) for potential SSAC development. As a result of this evaluation, DEP recommended that Type II DO SSACs be adopted for 11 streams. Although these waterbodies do not meet the generally applicable DO criteria, the existing DO levels for all of the systems have been demonstrated to support a healthy macroinvertebrate community as indicated by passing SCI scores. The </w:t>
      </w:r>
      <w:r w:rsidRPr="006735E7">
        <w:rPr>
          <w:b/>
          <w:bCs/>
        </w:rPr>
        <w:t>SCI was used as the primary indicator of the biological health</w:t>
      </w:r>
      <w:r>
        <w:t xml:space="preserve"> of the systems because the macroinvertebrate community has been identified as the most sensitive to decreasing DO levels and was used as the basis for the derivation of the statewide generally applicable DO criteria.</w:t>
      </w:r>
    </w:p>
    <w:p w14:paraId="43C4AFD1" w14:textId="77777777" w:rsidR="00CF575C" w:rsidRDefault="00CF575C" w:rsidP="000C3B75">
      <w:pPr>
        <w:jc w:val="both"/>
      </w:pPr>
      <w:r>
        <w:t>Because the proposed DO SSACs were developed based on existing DO conditions within each waterbody, their adoption is expected to result in no or minimal impacts to permitted facilities/ activities in these areas. The DO SSACs range from 20.3% to 44.6% saturation.</w:t>
      </w:r>
    </w:p>
    <w:p w14:paraId="6B99C0DC" w14:textId="79B4133C" w:rsidR="00CF575C" w:rsidRDefault="00CF575C" w:rsidP="000C3B75">
      <w:pPr>
        <w:jc w:val="both"/>
      </w:pPr>
      <w:r>
        <w:t>Each of the DO SSACs will be applied such that no more than 10% of the measurements collected during the assessment period shall be below the specified SSAC. Attainment of the SSACs will be assessed for Impaired Waters purposes using the binomial hypothesis test described in the Impaired Waters Rule (IWR, Chapter 62-303, F.A.C.). Specifically, waterbodies will be listed if the number of samples not meeting the applicable SSAC values exceed the number of exceedances for the given sample size, as listed in Table 1 (Rule 62-303.320, F.A.C.) or Table 3 (Rule 62-303.420, F.A.C.), for the Planning and Verified Lists, respectively.</w:t>
      </w:r>
    </w:p>
    <w:p w14:paraId="0488B342" w14:textId="77777777" w:rsidR="00CF575C" w:rsidRDefault="00CF575C" w:rsidP="000C3B75">
      <w:pPr>
        <w:pStyle w:val="Heading2"/>
        <w:jc w:val="both"/>
      </w:pPr>
      <w:bookmarkStart w:id="20" w:name="_Toc24974533"/>
      <w:r>
        <w:lastRenderedPageBreak/>
        <w:t>Conclusions</w:t>
      </w:r>
      <w:bookmarkEnd w:id="20"/>
    </w:p>
    <w:p w14:paraId="09D30537" w14:textId="080AA175" w:rsidR="00E509D8" w:rsidRPr="00E509D8" w:rsidRDefault="00CF575C" w:rsidP="000C3B75">
      <w:pPr>
        <w:jc w:val="both"/>
      </w:pPr>
      <w:r>
        <w:t>FDEP followed established SOPs and provided a sound scientific basis for each of the eleven SSACs.</w:t>
      </w:r>
      <w:r w:rsidR="007A3406">
        <w:t xml:space="preserve">  This helps create a precedent for future Type II SSAC decisions, however, it is not clear how DO SSACs would be approved in systems where the SCI is not applicable.</w:t>
      </w:r>
      <w:r w:rsidR="005813EB">
        <w:t xml:space="preserve">  FDEP needs to better define acceptable biological conditions in systems other than streams.</w:t>
      </w:r>
    </w:p>
    <w:p w14:paraId="58BDE4AF" w14:textId="7F7BB7E3" w:rsidR="003878EB" w:rsidRDefault="003878EB" w:rsidP="000C3B75">
      <w:pPr>
        <w:pStyle w:val="Heading1"/>
        <w:jc w:val="both"/>
      </w:pPr>
      <w:bookmarkStart w:id="21" w:name="_Toc24974534"/>
      <w:r w:rsidRPr="003878EB">
        <w:t>Incorporation of compliance schedule authorization language into Chapter 62-302, F.A.C.</w:t>
      </w:r>
      <w:bookmarkEnd w:id="21"/>
    </w:p>
    <w:p w14:paraId="484A8669" w14:textId="36EAC0E1" w:rsidR="00E509D8" w:rsidRDefault="0067176A" w:rsidP="000C3B75">
      <w:pPr>
        <w:jc w:val="both"/>
      </w:pPr>
      <w:r>
        <w:t>Chapter 62-620.610</w:t>
      </w:r>
      <w:r w:rsidRPr="0067176A">
        <w:t xml:space="preserve">(12) </w:t>
      </w:r>
      <w:r>
        <w:t>FAC, states, “</w:t>
      </w:r>
      <w:r w:rsidRPr="0067176A">
        <w:t>Unless specifically stated otherwise in Department rules, the permittee, in accepting this permit, agrees to comply with changes in Department rules and Florida Statutes after a reasonable time for compliance; provided, however, the permittee does not waive any other rights granted by Florida Statutes or Department rules. A reasonable time for compliance with a new or amended surface water quality standard, other than those standards addressed in Rule 62-302.500, F.A.C., shall include a reasonable time to obtain or be denied a mixing zone for the new or amended standard.</w:t>
      </w:r>
      <w:r>
        <w:t>”</w:t>
      </w:r>
    </w:p>
    <w:p w14:paraId="536206AC" w14:textId="18D82035" w:rsidR="00B46170" w:rsidRPr="00B46170" w:rsidRDefault="00B46170" w:rsidP="000C3B75">
      <w:pPr>
        <w:jc w:val="both"/>
      </w:pPr>
      <w:r>
        <w:t>Chapter 62-620.620</w:t>
      </w:r>
      <w:r w:rsidRPr="0067176A">
        <w:t>(</w:t>
      </w:r>
      <w:r>
        <w:t>6</w:t>
      </w:r>
      <w:r w:rsidRPr="0067176A">
        <w:t xml:space="preserve">) </w:t>
      </w:r>
      <w:r>
        <w:t xml:space="preserve">FAC, states, </w:t>
      </w:r>
      <w:proofErr w:type="gramStart"/>
      <w:r>
        <w:t>“</w:t>
      </w:r>
      <w:r w:rsidRPr="00B46170">
        <w:t xml:space="preserve"> The</w:t>
      </w:r>
      <w:proofErr w:type="gramEnd"/>
      <w:r w:rsidRPr="00B46170">
        <w:t xml:space="preserve"> permit shall, when appropriate, specify a schedule of compliance leading to compliance with Chapter 403, F.S., and Department rules.</w:t>
      </w:r>
    </w:p>
    <w:p w14:paraId="72A6E3D3" w14:textId="77777777" w:rsidR="00B46170" w:rsidRPr="00B46170" w:rsidRDefault="00B46170" w:rsidP="000C3B75">
      <w:pPr>
        <w:jc w:val="both"/>
      </w:pPr>
      <w:r w:rsidRPr="00B46170">
        <w:t>(a) Any schedule of compliance under this section shall require compliance as soon as sound engineering practices allow, but not later than any applicable statutes or rule deadline.</w:t>
      </w:r>
    </w:p>
    <w:p w14:paraId="077F12B6" w14:textId="77777777" w:rsidR="00B46170" w:rsidRPr="00B46170" w:rsidRDefault="00B46170" w:rsidP="000C3B75">
      <w:pPr>
        <w:jc w:val="both"/>
      </w:pPr>
      <w:r w:rsidRPr="00B46170">
        <w:t>(b) The first permit to a new source or a new discharger shall contain a schedule only when necessary to allow a reasonable opportunity to attain compliance with requirements issued or revised after commencement of construction but less than three years before commencement of the relevant discharge. For recommencing dischargers, a schedule shall be available only when necessary to allow a reasonable opportunity to attain compliance with requirements issued or revised less than three years before recommencement of discharge.</w:t>
      </w:r>
    </w:p>
    <w:p w14:paraId="30FD89BD" w14:textId="77777777" w:rsidR="00B46170" w:rsidRPr="00B46170" w:rsidRDefault="00B46170" w:rsidP="000C3B75">
      <w:pPr>
        <w:jc w:val="both"/>
      </w:pPr>
      <w:r w:rsidRPr="00B46170">
        <w:t>(c) If a permit establishes a schedule which exceeds one year from the date of permit issuance, the schedule shall set forth interim requirements and the dates for their achievement.</w:t>
      </w:r>
    </w:p>
    <w:p w14:paraId="0999E54A" w14:textId="77777777" w:rsidR="00B46170" w:rsidRPr="00B46170" w:rsidRDefault="00B46170" w:rsidP="000C3B75">
      <w:pPr>
        <w:jc w:val="both"/>
      </w:pPr>
      <w:r w:rsidRPr="00B46170">
        <w:t>(d) The time between interim dates shall not exceed one year, except that in the case of a schedule for compliance with residuals use and disposal, the time between interim dates shall not exceed six months.</w:t>
      </w:r>
    </w:p>
    <w:p w14:paraId="6FFE0240" w14:textId="433013CA" w:rsidR="00B46170" w:rsidRPr="00B46170" w:rsidRDefault="00B46170" w:rsidP="000C3B75">
      <w:pPr>
        <w:jc w:val="both"/>
      </w:pPr>
      <w:r w:rsidRPr="00B46170">
        <w:t>(e) If the time necessary for completion of any interim requirement is more than one year and is not readily divisible into stages for completion, the permit shall specify interim dates for the submission of reports of progress toward completion of the interim requirements and indicate a projected completion date.</w:t>
      </w:r>
      <w:r>
        <w:t>”</w:t>
      </w:r>
    </w:p>
    <w:p w14:paraId="66F63939" w14:textId="3C3E04A2" w:rsidR="00B46170" w:rsidRDefault="00B46170" w:rsidP="000C3B75">
      <w:pPr>
        <w:pStyle w:val="Heading2"/>
        <w:jc w:val="both"/>
      </w:pPr>
      <w:bookmarkStart w:id="22" w:name="_Toc24974535"/>
      <w:r>
        <w:t>Conclusions</w:t>
      </w:r>
      <w:bookmarkEnd w:id="22"/>
    </w:p>
    <w:p w14:paraId="32449FB5" w14:textId="7C49FBD0" w:rsidR="00B46170" w:rsidRPr="00B46170" w:rsidRDefault="00B46170" w:rsidP="000C3B75">
      <w:pPr>
        <w:jc w:val="both"/>
      </w:pPr>
      <w:r>
        <w:t xml:space="preserve">Addition of these provisions </w:t>
      </w:r>
      <w:r w:rsidR="00721A80">
        <w:t xml:space="preserve">to 62-302 </w:t>
      </w:r>
      <w:r w:rsidR="00BF2B59">
        <w:t>provides improved clarity that compliance schedules are acceptable for NPDES permittees to achieve water quality standards.</w:t>
      </w:r>
    </w:p>
    <w:p w14:paraId="07FB04DD" w14:textId="6E13493A" w:rsidR="003878EB" w:rsidRDefault="003878EB" w:rsidP="000C3B75">
      <w:pPr>
        <w:pStyle w:val="Heading1"/>
        <w:jc w:val="both"/>
      </w:pPr>
      <w:bookmarkStart w:id="23" w:name="_Toc24974536"/>
      <w:r w:rsidRPr="003878EB">
        <w:lastRenderedPageBreak/>
        <w:t>Creation of new maps showing Class II (Shellfish Propagation or Harvesting) waters in select counties</w:t>
      </w:r>
      <w:bookmarkEnd w:id="23"/>
    </w:p>
    <w:p w14:paraId="74ED232A" w14:textId="2418A54C" w:rsidR="00E509D8" w:rsidRPr="00670310" w:rsidRDefault="00670310" w:rsidP="00D776B8">
      <w:pPr>
        <w:pStyle w:val="HTMLPreformatted"/>
        <w:rPr>
          <w:rFonts w:asciiTheme="minorHAnsi" w:hAnsiTheme="minorHAnsi" w:cstheme="minorHAnsi"/>
          <w:sz w:val="22"/>
          <w:szCs w:val="22"/>
        </w:rPr>
      </w:pPr>
      <w:r>
        <w:rPr>
          <w:rFonts w:asciiTheme="minorHAnsi" w:hAnsiTheme="minorHAnsi" w:cstheme="minorHAnsi"/>
          <w:sz w:val="22"/>
          <w:szCs w:val="22"/>
        </w:rPr>
        <w:t>Ma</w:t>
      </w:r>
      <w:r w:rsidRPr="00670310">
        <w:rPr>
          <w:rFonts w:asciiTheme="minorHAnsi" w:hAnsiTheme="minorHAnsi" w:cstheme="minorHAnsi"/>
          <w:sz w:val="22"/>
          <w:szCs w:val="22"/>
        </w:rPr>
        <w:t>ps were provided to show the extent of Class II shellfish harvesting waters in Collier, Duval/Nassau, Escambia/Santa Rosa, Flagler, Gulf, Jefferson, Lee, Martin, Monroe, Okaloosa, Palm Beach, St. Johns, and Wakulla counties</w:t>
      </w:r>
      <w:r>
        <w:rPr>
          <w:rFonts w:asciiTheme="minorHAnsi" w:hAnsiTheme="minorHAnsi" w:cstheme="minorHAnsi"/>
          <w:sz w:val="22"/>
          <w:szCs w:val="22"/>
        </w:rPr>
        <w:t xml:space="preserve">. The maps </w:t>
      </w:r>
      <w:r w:rsidRPr="00670310">
        <w:rPr>
          <w:rFonts w:asciiTheme="minorHAnsi" w:hAnsiTheme="minorHAnsi" w:cstheme="minorHAnsi"/>
          <w:sz w:val="22"/>
          <w:szCs w:val="22"/>
        </w:rPr>
        <w:t xml:space="preserve">appeared to be </w:t>
      </w:r>
      <w:r w:rsidR="0020482F">
        <w:rPr>
          <w:rFonts w:asciiTheme="minorHAnsi" w:hAnsiTheme="minorHAnsi" w:cstheme="minorHAnsi"/>
          <w:sz w:val="22"/>
          <w:szCs w:val="22"/>
        </w:rPr>
        <w:t xml:space="preserve">based on historical Class II designations and are </w:t>
      </w:r>
      <w:r w:rsidR="0020482F" w:rsidRPr="00670310">
        <w:rPr>
          <w:rFonts w:asciiTheme="minorHAnsi" w:hAnsiTheme="minorHAnsi" w:cstheme="minorHAnsi"/>
          <w:sz w:val="22"/>
          <w:szCs w:val="22"/>
        </w:rPr>
        <w:t>intended</w:t>
      </w:r>
      <w:r w:rsidRPr="00670310">
        <w:rPr>
          <w:rFonts w:asciiTheme="minorHAnsi" w:hAnsiTheme="minorHAnsi" w:cstheme="minorHAnsi"/>
          <w:sz w:val="22"/>
          <w:szCs w:val="22"/>
        </w:rPr>
        <w:t xml:space="preserve"> to provide improved accuracy as to where </w:t>
      </w:r>
      <w:r>
        <w:rPr>
          <w:rFonts w:asciiTheme="minorHAnsi" w:hAnsiTheme="minorHAnsi" w:cstheme="minorHAnsi"/>
          <w:sz w:val="22"/>
          <w:szCs w:val="22"/>
        </w:rPr>
        <w:t xml:space="preserve">Class II waters are </w:t>
      </w:r>
      <w:r w:rsidR="0020482F">
        <w:rPr>
          <w:rFonts w:asciiTheme="minorHAnsi" w:hAnsiTheme="minorHAnsi" w:cstheme="minorHAnsi"/>
          <w:sz w:val="22"/>
          <w:szCs w:val="22"/>
        </w:rPr>
        <w:t>located</w:t>
      </w:r>
      <w:r>
        <w:rPr>
          <w:rFonts w:asciiTheme="minorHAnsi" w:hAnsiTheme="minorHAnsi" w:cstheme="minorHAnsi"/>
          <w:sz w:val="22"/>
          <w:szCs w:val="22"/>
        </w:rPr>
        <w:t>.</w:t>
      </w:r>
      <w:r w:rsidR="0020482F">
        <w:rPr>
          <w:rFonts w:asciiTheme="minorHAnsi" w:hAnsiTheme="minorHAnsi" w:cstheme="minorHAnsi"/>
          <w:sz w:val="22"/>
          <w:szCs w:val="22"/>
        </w:rPr>
        <w:t xml:space="preserve">  Local knowledge or further analyses would be needed to determine potential issues with these Class II areas.</w:t>
      </w:r>
      <w:r w:rsidRPr="00670310">
        <w:rPr>
          <w:rFonts w:asciiTheme="minorHAnsi" w:hAnsiTheme="minorHAnsi" w:cstheme="minorHAnsi"/>
          <w:sz w:val="22"/>
          <w:szCs w:val="22"/>
        </w:rPr>
        <w:br/>
      </w:r>
    </w:p>
    <w:p w14:paraId="43F64C5B" w14:textId="486AEE14" w:rsidR="003878EB" w:rsidRDefault="003878EB" w:rsidP="000C3B75">
      <w:pPr>
        <w:pStyle w:val="Heading1"/>
        <w:jc w:val="both"/>
      </w:pPr>
      <w:r w:rsidRPr="003878EB">
        <w:t xml:space="preserve"> </w:t>
      </w:r>
      <w:bookmarkStart w:id="24" w:name="_Toc24974537"/>
      <w:r w:rsidRPr="003878EB">
        <w:t>Revision of the Florida Coastal Segment Numeric Nutrient Criteria (NNC) map</w:t>
      </w:r>
      <w:bookmarkEnd w:id="24"/>
    </w:p>
    <w:p w14:paraId="493C5DCA" w14:textId="62B240CD" w:rsidR="00E509D8" w:rsidRPr="00E509D8" w:rsidRDefault="000B6023" w:rsidP="000C3B75">
      <w:pPr>
        <w:jc w:val="both"/>
      </w:pPr>
      <w:r>
        <w:t xml:space="preserve">A revised map showing the applicable segments where </w:t>
      </w:r>
      <w:r w:rsidRPr="003878EB">
        <w:t>Florida Coastal Segment Numeric Nutrient Criteria (NNC)</w:t>
      </w:r>
      <w:r>
        <w:t xml:space="preserve"> apply was provided. These revisions appeared to be designed to provide improved accuracy as to where satellite-derived chlorophyll </w:t>
      </w:r>
      <w:r w:rsidRPr="000B6023">
        <w:rPr>
          <w:i/>
          <w:iCs/>
        </w:rPr>
        <w:t>a</w:t>
      </w:r>
      <w:r>
        <w:t xml:space="preserve"> criteria apply.</w:t>
      </w:r>
      <w:r w:rsidR="0020482F">
        <w:t xml:space="preserve"> Actual chlorophyll data collected via water samples cannot be used to assess these criteria.  Because of the cost and difficulty in obtaining the necessary remote sensing data, it is unlikely that FDEP will </w:t>
      </w:r>
      <w:r w:rsidR="00BA0269">
        <w:t>routinely</w:t>
      </w:r>
      <w:r w:rsidR="0020482F">
        <w:t xml:space="preserve"> assess coastal waters using this method.</w:t>
      </w:r>
    </w:p>
    <w:p w14:paraId="5ADC1021" w14:textId="2BE6F722" w:rsidR="003878EB" w:rsidRDefault="003878EB" w:rsidP="000C3B75">
      <w:pPr>
        <w:pStyle w:val="Heading1"/>
        <w:jc w:val="both"/>
      </w:pPr>
      <w:bookmarkStart w:id="25" w:name="_Toc24974538"/>
      <w:r w:rsidRPr="003878EB">
        <w:t>Revisions to a number of estuary nutrient region (ENR) maps</w:t>
      </w:r>
      <w:bookmarkEnd w:id="25"/>
    </w:p>
    <w:p w14:paraId="56A3AAA4" w14:textId="19183B84" w:rsidR="00E509D8" w:rsidRPr="00E509D8" w:rsidRDefault="000B6023" w:rsidP="000C3B75">
      <w:pPr>
        <w:ind w:left="90"/>
        <w:jc w:val="both"/>
      </w:pPr>
      <w:r>
        <w:t xml:space="preserve">Revised maps for Estuary Nutrient Regions were provided for </w:t>
      </w:r>
      <w:r w:rsidRPr="000B6023">
        <w:t>Big Bend and Apalachee Bay</w:t>
      </w:r>
      <w:r>
        <w:t xml:space="preserve">, </w:t>
      </w:r>
      <w:r w:rsidRPr="000B6023">
        <w:t>Charlotte Harbor/Estero Bay</w:t>
      </w:r>
      <w:r>
        <w:t xml:space="preserve">, </w:t>
      </w:r>
      <w:r w:rsidRPr="000B6023">
        <w:t xml:space="preserve">Halifax and </w:t>
      </w:r>
      <w:proofErr w:type="spellStart"/>
      <w:r w:rsidRPr="000B6023">
        <w:t>Tomoka</w:t>
      </w:r>
      <w:proofErr w:type="spellEnd"/>
      <w:r w:rsidRPr="000B6023">
        <w:t xml:space="preserve"> River Estuaries,</w:t>
      </w:r>
      <w:r>
        <w:t xml:space="preserve"> and </w:t>
      </w:r>
      <w:r w:rsidRPr="000B6023">
        <w:t>Pensacola Bay</w:t>
      </w:r>
      <w:r>
        <w:t>.  These revisions appeared to be designed to provide improved accuracy as to where specific NNC apply.</w:t>
      </w:r>
      <w:r w:rsidR="004E3042">
        <w:t xml:space="preserve"> </w:t>
      </w:r>
      <w:r w:rsidR="004E3042">
        <w:rPr>
          <w:rFonts w:cstheme="minorHAnsi"/>
        </w:rPr>
        <w:t xml:space="preserve">Local knowledge or further analyses would be needed to determine potential issues with these revisions in </w:t>
      </w:r>
      <w:r w:rsidR="004E3042">
        <w:t>Estuary Nutrient Regions boundaries</w:t>
      </w:r>
      <w:r w:rsidR="004E3042">
        <w:rPr>
          <w:rFonts w:cstheme="minorHAnsi"/>
        </w:rPr>
        <w:t>.</w:t>
      </w:r>
    </w:p>
    <w:p w14:paraId="4763B05C" w14:textId="5FD646DE" w:rsidR="003878EB" w:rsidRDefault="003878EB" w:rsidP="000C3B75">
      <w:pPr>
        <w:pStyle w:val="Heading1"/>
        <w:jc w:val="both"/>
      </w:pPr>
      <w:bookmarkStart w:id="26" w:name="_Toc24974539"/>
      <w:r w:rsidRPr="003878EB">
        <w:t>Addition of text to Chapter 62-303, F.A.C., to assess more expressions of NNC</w:t>
      </w:r>
      <w:bookmarkEnd w:id="26"/>
    </w:p>
    <w:p w14:paraId="3A69A511" w14:textId="1C5CF8FD" w:rsidR="00E509D8" w:rsidRDefault="003D67BE" w:rsidP="000C3B75">
      <w:pPr>
        <w:jc w:val="both"/>
      </w:pPr>
      <w:r w:rsidRPr="00EC035B">
        <w:t>Proposed language in Chapter 62-303.350(1) FAC, includes the following in yellow highlight,</w:t>
      </w:r>
      <w:r>
        <w:t xml:space="preserve"> “</w:t>
      </w:r>
      <w:r w:rsidRPr="003D67BE">
        <w:t xml:space="preserve">The numeric interpretations of the narrative nutrient criterion in sections 62-302.531 and 62-302.532, F.A.C., and the nutrient impairment thresholds identified in Rules 62-303.351 through 62-303.354, F.A.C., shall be the primary means for assessing whether a water should be assessed further for nutrient impairment. Other information indicating an imbalance in flora or fauna due to nutrient enrichment, such as algal blooms or mats, excessive nuisance macrophyte growth, decrease in the distribution (either in density or areal coverage) of seagrasses or other native submerged aquatic vegetation, adverse changes in algal species composition, and excessive diel oxygen swings, </w:t>
      </w:r>
      <w:r w:rsidRPr="003D67BE">
        <w:rPr>
          <w:highlight w:val="yellow"/>
        </w:rPr>
        <w:t>and other scientifically credible and compelling information meeting the requirements of Chapter 62-160, F.A.C., indicating a waterbody is imbalanced</w:t>
      </w:r>
      <w:r w:rsidRPr="003D67BE">
        <w:t xml:space="preserve"> shall also be considered for placing waters on the Planning List.</w:t>
      </w:r>
    </w:p>
    <w:p w14:paraId="1D4FF0A9" w14:textId="77777777" w:rsidR="000A4BAF" w:rsidRDefault="000A4BAF" w:rsidP="000C3B75">
      <w:pPr>
        <w:pStyle w:val="Heading2"/>
        <w:jc w:val="both"/>
      </w:pPr>
      <w:bookmarkStart w:id="27" w:name="_Toc24974540"/>
      <w:r>
        <w:lastRenderedPageBreak/>
        <w:t>Conclusion</w:t>
      </w:r>
      <w:bookmarkEnd w:id="27"/>
    </w:p>
    <w:p w14:paraId="35C8BE61" w14:textId="222B70E9" w:rsidR="003D67BE" w:rsidRDefault="000A4BAF" w:rsidP="000C3B75">
      <w:pPr>
        <w:jc w:val="both"/>
      </w:pPr>
      <w:r w:rsidRPr="000A4BAF">
        <w:t xml:space="preserve">While the intent may be </w:t>
      </w:r>
      <w:r>
        <w:t xml:space="preserve">to </w:t>
      </w:r>
      <w:r w:rsidRPr="000A4BAF">
        <w:t xml:space="preserve">consider all data, </w:t>
      </w:r>
      <w:r w:rsidR="00E20BB6" w:rsidRPr="000A4BAF">
        <w:t>FDEP must define what “credible and compelling” information is to</w:t>
      </w:r>
      <w:r w:rsidR="003D67BE" w:rsidRPr="000A4BAF">
        <w:t xml:space="preserve"> place waters on the planning list for nutrient imbalances.</w:t>
      </w:r>
      <w:r w:rsidR="00671994">
        <w:t xml:space="preserve">  Examples of the process would be helpful.</w:t>
      </w:r>
    </w:p>
    <w:p w14:paraId="21ECB3CA" w14:textId="77777777" w:rsidR="003C3B07" w:rsidRDefault="003C3B07" w:rsidP="003C3B07">
      <w:pPr>
        <w:pStyle w:val="Heading1"/>
        <w:jc w:val="both"/>
      </w:pPr>
      <w:bookmarkStart w:id="28" w:name="_Toc24974541"/>
      <w:r w:rsidRPr="003878EB">
        <w:t>Marine and freshwater cadmium criteria</w:t>
      </w:r>
      <w:bookmarkEnd w:id="28"/>
    </w:p>
    <w:p w14:paraId="10BA0050" w14:textId="77777777" w:rsidR="003C3B07" w:rsidRDefault="003C3B07" w:rsidP="003C3B07">
      <w:pPr>
        <w:jc w:val="both"/>
        <w:rPr>
          <w:rFonts w:eastAsia="Arial" w:cstheme="minorHAnsi"/>
          <w:bCs/>
          <w:color w:val="000000"/>
          <w:spacing w:val="-6"/>
        </w:rPr>
      </w:pPr>
      <w:r w:rsidRPr="00BE6906">
        <w:rPr>
          <w:rFonts w:cstheme="minorHAnsi"/>
        </w:rPr>
        <w:t>FDEP is proposing to adopt EPA’s aquatic life ambient water quality criteria for cadmium to reflect the latest scientific information, which includes data from new laboratory aquatic toxicity tests</w:t>
      </w:r>
      <w:r>
        <w:rPr>
          <w:rFonts w:cstheme="minorHAnsi"/>
        </w:rPr>
        <w:t xml:space="preserve"> (75 new species and 49 new genera) </w:t>
      </w:r>
      <w:r w:rsidRPr="00BE6906">
        <w:rPr>
          <w:rFonts w:cstheme="minorHAnsi"/>
        </w:rPr>
        <w:t xml:space="preserve">and </w:t>
      </w:r>
      <w:proofErr w:type="gramStart"/>
      <w:r w:rsidRPr="00BE6906">
        <w:rPr>
          <w:rFonts w:cstheme="minorHAnsi"/>
        </w:rPr>
        <w:t>tak</w:t>
      </w:r>
      <w:r>
        <w:rPr>
          <w:rFonts w:cstheme="minorHAnsi"/>
        </w:rPr>
        <w:t>es</w:t>
      </w:r>
      <w:r w:rsidRPr="00BE6906">
        <w:rPr>
          <w:rFonts w:cstheme="minorHAnsi"/>
        </w:rPr>
        <w:t xml:space="preserve"> into account</w:t>
      </w:r>
      <w:proofErr w:type="gramEnd"/>
      <w:r w:rsidRPr="00BE6906">
        <w:rPr>
          <w:rFonts w:cstheme="minorHAnsi"/>
        </w:rPr>
        <w:t xml:space="preserve"> the effect of total hardness on cadmium toxicity.  </w:t>
      </w:r>
      <w:r w:rsidRPr="00BE6906">
        <w:rPr>
          <w:rFonts w:eastAsia="Arial" w:cstheme="minorHAnsi"/>
          <w:bCs/>
          <w:color w:val="000000"/>
          <w:spacing w:val="-6"/>
        </w:rPr>
        <w:t xml:space="preserve">Cadmium is a non-essential metal with no biological function in aquatic life. </w:t>
      </w:r>
      <w:r>
        <w:rPr>
          <w:rFonts w:eastAsia="Arial" w:cstheme="minorHAnsi"/>
          <w:bCs/>
          <w:color w:val="000000"/>
          <w:spacing w:val="-6"/>
        </w:rPr>
        <w:t xml:space="preserve"> </w:t>
      </w:r>
      <w:r w:rsidRPr="00BE6906">
        <w:rPr>
          <w:rFonts w:eastAsia="Arial" w:cstheme="minorHAnsi"/>
          <w:bCs/>
          <w:color w:val="000000"/>
          <w:spacing w:val="-6"/>
        </w:rPr>
        <w:t xml:space="preserve">Acute </w:t>
      </w:r>
      <w:r>
        <w:rPr>
          <w:rFonts w:eastAsia="Arial" w:cstheme="minorHAnsi"/>
          <w:bCs/>
          <w:color w:val="000000"/>
          <w:spacing w:val="-6"/>
        </w:rPr>
        <w:t xml:space="preserve">cadmium </w:t>
      </w:r>
      <w:r w:rsidRPr="00BE6906">
        <w:rPr>
          <w:rFonts w:eastAsia="Arial" w:cstheme="minorHAnsi"/>
          <w:bCs/>
          <w:color w:val="000000"/>
          <w:spacing w:val="-6"/>
        </w:rPr>
        <w:t>exposure causes increased mortality in aquatic organisms</w:t>
      </w:r>
      <w:r>
        <w:rPr>
          <w:rFonts w:eastAsia="Arial" w:cstheme="minorHAnsi"/>
          <w:bCs/>
          <w:color w:val="000000"/>
          <w:spacing w:val="-6"/>
        </w:rPr>
        <w:t xml:space="preserve"> while c</w:t>
      </w:r>
      <w:r w:rsidRPr="00BE6906">
        <w:rPr>
          <w:rFonts w:eastAsia="Arial" w:cstheme="minorHAnsi"/>
          <w:bCs/>
          <w:color w:val="000000"/>
          <w:spacing w:val="-6"/>
        </w:rPr>
        <w:t>hronic exposure leads to adverse effects on growth, reproduction, immune and endocrine systems, development and behavior in aquatic organisms.</w:t>
      </w:r>
    </w:p>
    <w:p w14:paraId="4AAAABD1" w14:textId="77777777" w:rsidR="003C3B07" w:rsidRPr="000A767B" w:rsidRDefault="003C3B07" w:rsidP="003C3B07">
      <w:pPr>
        <w:jc w:val="both"/>
        <w:rPr>
          <w:rFonts w:eastAsia="Verdana" w:cstheme="minorHAnsi"/>
          <w:color w:val="000000"/>
          <w:spacing w:val="-4"/>
        </w:rPr>
      </w:pPr>
      <w:r w:rsidRPr="000A767B">
        <w:rPr>
          <w:rFonts w:eastAsia="Verdana" w:cstheme="minorHAnsi"/>
          <w:color w:val="000000"/>
          <w:spacing w:val="-4"/>
        </w:rPr>
        <w:t xml:space="preserve">The </w:t>
      </w:r>
      <w:r>
        <w:rPr>
          <w:rFonts w:eastAsia="Verdana" w:cstheme="minorHAnsi"/>
          <w:color w:val="000000"/>
          <w:spacing w:val="-4"/>
        </w:rPr>
        <w:t>FDEP</w:t>
      </w:r>
      <w:r w:rsidRPr="000A767B">
        <w:rPr>
          <w:rFonts w:eastAsia="Verdana" w:cstheme="minorHAnsi"/>
          <w:color w:val="000000"/>
          <w:spacing w:val="-4"/>
        </w:rPr>
        <w:t xml:space="preserve"> freshwater chronic criterion</w:t>
      </w:r>
      <w:r w:rsidRPr="00E509D8">
        <w:rPr>
          <w:rFonts w:eastAsia="Verdana" w:cstheme="minorHAnsi"/>
          <w:color w:val="000000"/>
          <w:spacing w:val="-4"/>
        </w:rPr>
        <w:t xml:space="preserve"> </w:t>
      </w:r>
      <w:r>
        <w:rPr>
          <w:rFonts w:eastAsia="Verdana" w:cstheme="minorHAnsi"/>
          <w:color w:val="000000"/>
          <w:spacing w:val="-4"/>
        </w:rPr>
        <w:t xml:space="preserve">for </w:t>
      </w:r>
      <w:r w:rsidRPr="000A767B">
        <w:rPr>
          <w:rFonts w:eastAsia="Verdana" w:cstheme="minorHAnsi"/>
          <w:color w:val="000000"/>
          <w:spacing w:val="-4"/>
        </w:rPr>
        <w:t>dissolved cadmium</w:t>
      </w:r>
      <w:r>
        <w:rPr>
          <w:rFonts w:eastAsia="Verdana" w:cstheme="minorHAnsi"/>
          <w:color w:val="000000"/>
          <w:spacing w:val="-4"/>
        </w:rPr>
        <w:t xml:space="preserve">, an equation that varies with total hardness, appears to provide for </w:t>
      </w:r>
      <w:r w:rsidRPr="000A767B">
        <w:rPr>
          <w:rFonts w:eastAsia="Verdana" w:cstheme="minorHAnsi"/>
          <w:color w:val="000000"/>
          <w:spacing w:val="-4"/>
        </w:rPr>
        <w:t xml:space="preserve">slightly higher (less stringent) compared to the </w:t>
      </w:r>
      <w:r>
        <w:rPr>
          <w:rFonts w:eastAsia="Verdana" w:cstheme="minorHAnsi"/>
          <w:color w:val="000000"/>
          <w:spacing w:val="-4"/>
        </w:rPr>
        <w:t>previous equation</w:t>
      </w:r>
      <w:r w:rsidRPr="000A767B">
        <w:rPr>
          <w:rFonts w:eastAsia="Verdana" w:cstheme="minorHAnsi"/>
          <w:color w:val="000000"/>
          <w:spacing w:val="-4"/>
        </w:rPr>
        <w:t xml:space="preserve">. These modest changes are primarily due to the inclusion of new toxicity studies. </w:t>
      </w:r>
    </w:p>
    <w:p w14:paraId="108E57F5" w14:textId="77777777" w:rsidR="003C3B07" w:rsidRDefault="003C3B07" w:rsidP="003C3B07">
      <w:pPr>
        <w:jc w:val="both"/>
        <w:rPr>
          <w:rFonts w:eastAsia="Arial" w:cstheme="minorHAnsi"/>
          <w:bCs/>
          <w:color w:val="000000"/>
          <w:spacing w:val="-6"/>
        </w:rPr>
      </w:pPr>
      <w:r w:rsidRPr="00BE6906">
        <w:rPr>
          <w:rFonts w:eastAsia="Arial" w:cstheme="minorHAnsi"/>
          <w:bCs/>
          <w:color w:val="000000"/>
          <w:spacing w:val="-6"/>
        </w:rPr>
        <w:t xml:space="preserve">The </w:t>
      </w:r>
      <w:r>
        <w:rPr>
          <w:rFonts w:eastAsia="Arial" w:cstheme="minorHAnsi"/>
          <w:bCs/>
          <w:color w:val="000000"/>
          <w:spacing w:val="-6"/>
        </w:rPr>
        <w:t>FDEP proposed</w:t>
      </w:r>
      <w:r w:rsidRPr="00BE6906">
        <w:rPr>
          <w:rFonts w:eastAsia="Arial" w:cstheme="minorHAnsi"/>
          <w:bCs/>
          <w:color w:val="000000"/>
          <w:spacing w:val="-6"/>
        </w:rPr>
        <w:t xml:space="preserve"> estuarine/marine chronic criterion (7.9 micrograms per liter) is slightly more stringent than the </w:t>
      </w:r>
      <w:r>
        <w:rPr>
          <w:rFonts w:eastAsia="Arial" w:cstheme="minorHAnsi"/>
          <w:bCs/>
          <w:color w:val="000000"/>
          <w:spacing w:val="-6"/>
        </w:rPr>
        <w:t xml:space="preserve">previous </w:t>
      </w:r>
      <w:r w:rsidRPr="00BE6906">
        <w:rPr>
          <w:rFonts w:eastAsia="Arial" w:cstheme="minorHAnsi"/>
          <w:bCs/>
          <w:color w:val="000000"/>
          <w:spacing w:val="-6"/>
        </w:rPr>
        <w:t>criterion (8.8 micrograms per liter), due the consideration of more species in the chronic criterion development.</w:t>
      </w:r>
      <w:r>
        <w:rPr>
          <w:rFonts w:eastAsia="Arial" w:cstheme="minorHAnsi"/>
          <w:bCs/>
          <w:color w:val="000000"/>
          <w:spacing w:val="-6"/>
        </w:rPr>
        <w:t xml:space="preserve"> </w:t>
      </w:r>
    </w:p>
    <w:p w14:paraId="3FD0FC1D" w14:textId="77777777" w:rsidR="003C3B07" w:rsidRDefault="003C3B07" w:rsidP="003C3B07">
      <w:pPr>
        <w:pStyle w:val="Heading2"/>
        <w:jc w:val="both"/>
      </w:pPr>
      <w:bookmarkStart w:id="29" w:name="_Toc24974542"/>
      <w:r>
        <w:t>Conclusions</w:t>
      </w:r>
      <w:bookmarkEnd w:id="29"/>
    </w:p>
    <w:p w14:paraId="4F64C185" w14:textId="77777777" w:rsidR="003C3B07" w:rsidRDefault="003C3B07" w:rsidP="003C3B07">
      <w:pPr>
        <w:jc w:val="both"/>
        <w:rPr>
          <w:rFonts w:eastAsia="Arial" w:cstheme="minorHAnsi"/>
          <w:bCs/>
          <w:color w:val="000000"/>
          <w:spacing w:val="-6"/>
        </w:rPr>
      </w:pPr>
      <w:r>
        <w:rPr>
          <w:rFonts w:eastAsia="Arial" w:cstheme="minorHAnsi"/>
          <w:bCs/>
          <w:color w:val="000000"/>
          <w:spacing w:val="-6"/>
        </w:rPr>
        <w:t>The proposed cadmium criteria are scientifically derived and defensible.  The new marine criterion may affect some marine dischargers.</w:t>
      </w:r>
    </w:p>
    <w:p w14:paraId="6760F51D" w14:textId="77777777" w:rsidR="003C3B07" w:rsidRDefault="003C3B07" w:rsidP="003C3B07">
      <w:pPr>
        <w:pStyle w:val="Heading1"/>
        <w:jc w:val="both"/>
      </w:pPr>
      <w:bookmarkStart w:id="30" w:name="_Toc24974543"/>
      <w:r>
        <w:t>Total Ammonia Nitrogen (TAN)</w:t>
      </w:r>
      <w:bookmarkEnd w:id="30"/>
    </w:p>
    <w:p w14:paraId="0DA845A9" w14:textId="77777777" w:rsidR="003C3B07" w:rsidRDefault="003C3B07" w:rsidP="003C3B07">
      <w:pPr>
        <w:jc w:val="both"/>
      </w:pPr>
      <w:r>
        <w:t>The TAN revisions proposed by FDEP were done to highlight a component of the existing TAN equation to limit the temperature inputs to the equation to not be lower than 7</w:t>
      </w:r>
      <w:r w:rsidRPr="007C6271">
        <w:rPr>
          <w:vertAlign w:val="superscript"/>
        </w:rPr>
        <w:t>o</w:t>
      </w:r>
      <w:r>
        <w:t xml:space="preserve"> C.  </w:t>
      </w:r>
    </w:p>
    <w:p w14:paraId="0B851BFF" w14:textId="77777777" w:rsidR="003C3B07" w:rsidRDefault="003C3B07" w:rsidP="003C3B07">
      <w:pPr>
        <w:pStyle w:val="Heading2"/>
        <w:jc w:val="both"/>
      </w:pPr>
      <w:bookmarkStart w:id="31" w:name="_Toc24974544"/>
      <w:r>
        <w:t>Conclusions</w:t>
      </w:r>
      <w:bookmarkEnd w:id="31"/>
    </w:p>
    <w:p w14:paraId="0C8FB093" w14:textId="77777777" w:rsidR="003C3B07" w:rsidRPr="007C6271" w:rsidRDefault="003C3B07" w:rsidP="003C3B07">
      <w:pPr>
        <w:jc w:val="both"/>
      </w:pPr>
      <w:r>
        <w:t>This does not represent a change from the previous criterion.  FDEP also allows different TAN equations to be used as site-specific alternative criteria (SSAC) depending on the presence or absence of mussels.  There are no proposed changes to those provisions.</w:t>
      </w:r>
    </w:p>
    <w:p w14:paraId="7F75ADF2" w14:textId="77777777" w:rsidR="003C3B07" w:rsidRDefault="003C3B07" w:rsidP="003C3B07">
      <w:pPr>
        <w:pStyle w:val="Heading1"/>
        <w:jc w:val="both"/>
      </w:pPr>
      <w:bookmarkStart w:id="32" w:name="_Toc24974545"/>
      <w:r w:rsidRPr="003878EB">
        <w:t>Turbidity criterion, including a criterion to protect corals and hardbottom communities</w:t>
      </w:r>
      <w:bookmarkEnd w:id="32"/>
    </w:p>
    <w:p w14:paraId="609F261B" w14:textId="77777777" w:rsidR="003C3B07" w:rsidRDefault="003C3B07" w:rsidP="003C3B07">
      <w:pPr>
        <w:jc w:val="both"/>
      </w:pPr>
      <w:r>
        <w:t>FDEP proposes the following turbidity revisions:</w:t>
      </w:r>
    </w:p>
    <w:p w14:paraId="5485CA20" w14:textId="77777777" w:rsidR="003C3B07" w:rsidRDefault="003C3B07" w:rsidP="003C3B07">
      <w:pPr>
        <w:jc w:val="both"/>
      </w:pPr>
      <w:r>
        <w:lastRenderedPageBreak/>
        <w:t>a. Turbidity shall not be increased more than 29 NTU above natural background, nor shall  turbidity levels be increased to levels that negatively affect designated uses or result in increased sedimentation or reduced light transmission to the point that the normal growth, function, reproduction, or recruitment of aquatic life is impaired.</w:t>
      </w:r>
    </w:p>
    <w:p w14:paraId="2BA8122E" w14:textId="77777777" w:rsidR="003C3B07" w:rsidRDefault="003C3B07" w:rsidP="003C3B07">
      <w:pPr>
        <w:jc w:val="both"/>
      </w:pPr>
      <w:r>
        <w:t>b. Turbidity shall not be increased above background conditions within the Southeast  Florida Coral Reef Ecosystem Conservation Area, Biscayne National Park, Biscayne Bay Aquatic Preserve, Florida Keys National Marine Sanctuary excluding canals, and Dry Tortugas National Park, as shown on the map titled "Florida Reef Tract", July 2019, which is incorporated by reference herein, or other areas of the state where coral reef or hardbottom communities, are currently found. For the purposes of evaluating this  criterion, background conditions shall take into account the natural variability of turbidity levels and shall be established following the methods described in the document  Implementation of the Turbidity Criterion for the Protection of Coral Reef and Hardbottom Communities, dated September 2019, which is incorporated by reference.</w:t>
      </w:r>
    </w:p>
    <w:p w14:paraId="69CE3F68" w14:textId="77777777" w:rsidR="003C3B07" w:rsidRDefault="003C3B07" w:rsidP="003C3B07">
      <w:pPr>
        <w:jc w:val="both"/>
      </w:pPr>
      <w:r>
        <w:t>The criteria in “a” above represents a narrative statement that would allow more stringent turbidity criteria in situations where 29 NTU above background is demonstrated to be insufficiently protective.</w:t>
      </w:r>
      <w:r w:rsidRPr="00BA2EBC">
        <w:rPr>
          <w:rFonts w:ascii="Times New Roman" w:hAnsi="Times New Roman" w:cs="Times New Roman"/>
        </w:rPr>
        <w:t xml:space="preserve"> </w:t>
      </w:r>
      <w:r>
        <w:t xml:space="preserve">Prior to adopting this narrative criterion, FDEP must </w:t>
      </w:r>
      <w:proofErr w:type="gramStart"/>
      <w:r>
        <w:t xml:space="preserve">provide </w:t>
      </w:r>
      <w:r w:rsidRPr="00BA2EBC">
        <w:t xml:space="preserve"> evidence</w:t>
      </w:r>
      <w:proofErr w:type="gramEnd"/>
      <w:r w:rsidRPr="00BA2EBC">
        <w:t xml:space="preserve"> </w:t>
      </w:r>
      <w:r>
        <w:t xml:space="preserve">in Florida  fresh waterbodies that </w:t>
      </w:r>
      <w:r w:rsidRPr="00BA2EBC">
        <w:t xml:space="preserve"> the current criterion of 29 NTU above background is not protective. </w:t>
      </w:r>
    </w:p>
    <w:p w14:paraId="28636AAD" w14:textId="77777777" w:rsidR="003C3B07" w:rsidRDefault="003C3B07" w:rsidP="003C3B07">
      <w:pPr>
        <w:jc w:val="both"/>
      </w:pPr>
      <w:r>
        <w:t>The criteria in “b” above are</w:t>
      </w:r>
      <w:r w:rsidRPr="00C272A8">
        <w:t xml:space="preserve"> intended to ensure that turbidity is not a limiting factor </w:t>
      </w:r>
      <w:r>
        <w:t>for stony coral and hardbottom community</w:t>
      </w:r>
      <w:r w:rsidRPr="00C272A8">
        <w:t xml:space="preserve"> survival, recruitment, growth, or recovery from Stony Coral Tissue Loss Disease</w:t>
      </w:r>
      <w:r>
        <w:t xml:space="preserve"> (SCTLD)</w:t>
      </w:r>
      <w:r w:rsidRPr="00C272A8">
        <w:t>, regardless of whether these species currently occur within an area</w:t>
      </w:r>
      <w:r>
        <w:t xml:space="preserve"> depicted on the incorporated map, which includes the Florida Reef Tract (</w:t>
      </w:r>
      <w:r w:rsidRPr="00C272A8">
        <w:t>FRT</w:t>
      </w:r>
      <w:r>
        <w:t>)</w:t>
      </w:r>
      <w:r w:rsidRPr="00C272A8">
        <w:t xml:space="preserve">. </w:t>
      </w:r>
      <w:r>
        <w:t>Because m</w:t>
      </w:r>
      <w:r w:rsidRPr="00C272A8">
        <w:t xml:space="preserve">ost of the FRT has been designated as critical habitat for </w:t>
      </w:r>
      <w:r w:rsidRPr="00C272A8">
        <w:rPr>
          <w:i/>
          <w:iCs/>
        </w:rPr>
        <w:t>Acropora</w:t>
      </w:r>
      <w:r w:rsidRPr="00C272A8">
        <w:t>, a genus of coral designated as endangered by the National Oceanographic and Atmospheric Administration (NOAA) National Marine Fisheries Service (NMFS)</w:t>
      </w:r>
      <w:r>
        <w:t>, these turbidity criteria represent an attempt to protect this endangered genera.</w:t>
      </w:r>
    </w:p>
    <w:p w14:paraId="090025EC" w14:textId="77777777" w:rsidR="003C3B07" w:rsidRDefault="003C3B07" w:rsidP="003C3B07">
      <w:pPr>
        <w:jc w:val="both"/>
      </w:pPr>
      <w:r>
        <w:t>FDEP conducted an extensive literature review to assess coral responses to turbidity, however, most studies used suspended solids concentrations in mg/L rather than Nephelometric Turbidity Units (NTU) as the measure of stress.  While this limited the available data to establish an NTU criterion, FDEP found studies that supported that a turbidity criterion be established at &lt; 7 NTU to protect corals. FDEP is proposing to continue to conduct studies to better refine the turbidity criterion for corals, and proposes the current “no increase from natural background while recognizing natural variability” as a temporary measure throughout the FRT (and where hardbottom communities are documented) until these studies are complete.</w:t>
      </w:r>
    </w:p>
    <w:p w14:paraId="65BB959D" w14:textId="77777777" w:rsidR="003C3B07" w:rsidRDefault="003C3B07" w:rsidP="003C3B07">
      <w:pPr>
        <w:pStyle w:val="Heading2"/>
        <w:jc w:val="both"/>
      </w:pPr>
      <w:bookmarkStart w:id="33" w:name="_Toc24974546"/>
      <w:r>
        <w:t>Conclusions</w:t>
      </w:r>
      <w:bookmarkEnd w:id="33"/>
    </w:p>
    <w:p w14:paraId="6867A1CB" w14:textId="77777777" w:rsidR="003C3B07" w:rsidRDefault="003C3B07" w:rsidP="003C3B07">
      <w:pPr>
        <w:jc w:val="both"/>
      </w:pPr>
      <w:r w:rsidRPr="00BA2EBC">
        <w:t xml:space="preserve">The proposed change </w:t>
      </w:r>
      <w:r>
        <w:t xml:space="preserve">to a </w:t>
      </w:r>
      <w:r w:rsidRPr="00BA2EBC">
        <w:t xml:space="preserve">narrative </w:t>
      </w:r>
      <w:r>
        <w:t>turbidity criterion in freshwaters with no defined</w:t>
      </w:r>
      <w:r w:rsidRPr="00BA2EBC">
        <w:t xml:space="preserve"> </w:t>
      </w:r>
      <w:r>
        <w:t xml:space="preserve">biological thresholds or Standard Operating Procedures (SOPs) for conducting such turbidity biological response studies </w:t>
      </w:r>
      <w:r w:rsidRPr="00BA2EBC">
        <w:t xml:space="preserve">will </w:t>
      </w:r>
      <w:r>
        <w:t xml:space="preserve">lead to confusion to regulatory staff and affected stakeholders alike.  This will </w:t>
      </w:r>
      <w:r w:rsidRPr="00BA2EBC">
        <w:t>potentially lead to an increase in third-party lawsuits against municipalities and the regulated community.</w:t>
      </w:r>
      <w:r>
        <w:t xml:space="preserve">  FDEP must make a demonstration that this narrative criterion is needed and how it will be specifically assessed (SOPs) prior to adopting the criterion.</w:t>
      </w:r>
    </w:p>
    <w:p w14:paraId="6AB6C8F4" w14:textId="77777777" w:rsidR="003C3B07" w:rsidRDefault="003C3B07" w:rsidP="003C3B07">
      <w:pPr>
        <w:jc w:val="both"/>
      </w:pPr>
      <w:r>
        <w:lastRenderedPageBreak/>
        <w:t>The “no increase from natural background while recognizing natural variability” criterion for corals is only partially supported by the existing data, but FDEP believes that corals are such an important resource, both biologically and economically, that this preventive strategy is warranted.</w:t>
      </w:r>
    </w:p>
    <w:p w14:paraId="01481B2D" w14:textId="38CCA529" w:rsidR="003C3B07" w:rsidRDefault="003C3B07" w:rsidP="003C3B07">
      <w:pPr>
        <w:jc w:val="both"/>
      </w:pPr>
      <w:r>
        <w:t xml:space="preserve">Municipalities in </w:t>
      </w:r>
      <w:r w:rsidRPr="007A5A69">
        <w:t>Manatee, Sarasota, Charlotte, Lee, Collier, Monroe, Miami-Dade, Broward, Palm Beach, Martin, St. Lucie, Indian River, and Brevard counties</w:t>
      </w:r>
      <w:r>
        <w:t xml:space="preserve"> that have stormwater discharge</w:t>
      </w:r>
      <w:r w:rsidR="002E3F5D">
        <w:t>s</w:t>
      </w:r>
      <w:r>
        <w:t xml:space="preserve"> into these WBIDs may be at risk </w:t>
      </w:r>
      <w:r w:rsidR="00A044B2">
        <w:t>for being held liable for</w:t>
      </w:r>
      <w:r>
        <w:t xml:space="preserve"> exceeding the turbidity criterion in the future.</w:t>
      </w:r>
    </w:p>
    <w:p w14:paraId="73913445" w14:textId="77777777" w:rsidR="003C3B07" w:rsidRPr="000A4BAF" w:rsidRDefault="003C3B07" w:rsidP="000C3B75">
      <w:pPr>
        <w:jc w:val="both"/>
      </w:pPr>
    </w:p>
    <w:p w14:paraId="04FFE87C" w14:textId="77777777" w:rsidR="007E5E7C" w:rsidRDefault="007E5E7C" w:rsidP="007E5E7C">
      <w:pPr>
        <w:pStyle w:val="Heading1"/>
        <w:jc w:val="both"/>
      </w:pPr>
      <w:bookmarkStart w:id="34" w:name="_Toc24974547"/>
      <w:r w:rsidRPr="003878EB">
        <w:t>Incorporation by reference of a document titled “Implementation of the Turbidity Criterion for the Protection of Coral Reef and Hardbottom Communities”</w:t>
      </w:r>
      <w:bookmarkEnd w:id="34"/>
    </w:p>
    <w:p w14:paraId="6886891A" w14:textId="77777777" w:rsidR="007E5E7C" w:rsidRDefault="007E5E7C" w:rsidP="007E5E7C">
      <w:pPr>
        <w:jc w:val="both"/>
      </w:pPr>
      <w:r>
        <w:t>This FDEP document describes the process the Department will use to assess the turbidity criterion expressed as “no increase from natural background while recognizing natural variability” for protection of corals and hardbottom communities. FDEP discusses the fact that large portions of the Florida Reef Tract (FRT) are already Outstanding Florida Waters, and that FDEP has historically prevented any turbidity increase from natural background when approving Environmental Resource permits in OFWs.</w:t>
      </w:r>
    </w:p>
    <w:p w14:paraId="0C46A329" w14:textId="77777777" w:rsidR="007E5E7C" w:rsidRDefault="007E5E7C" w:rsidP="007E5E7C">
      <w:pPr>
        <w:jc w:val="both"/>
      </w:pPr>
      <w:r w:rsidRPr="00967CFA">
        <w:t>However, Department rules allow for temporary increases in turbidity in OFWs within a mixing zone for certain permitted activities provided that turbidity at the edge of the approved mixing zone does not exceed natural background levels by more than the range observed through a normal tidal cycle, as described in paragraph 62-4.242(2)(b), F.A.C.</w:t>
      </w:r>
      <w:r>
        <w:t xml:space="preserve">  FDEP then proposes</w:t>
      </w:r>
      <w:r w:rsidRPr="008B3DBA">
        <w:t xml:space="preserve"> more extensive data requirements for establishing background turbidity conditions, including sampling over more background tidal cycles, and provides a different statistical approach for determining attainment of the criterion</w:t>
      </w:r>
      <w:r>
        <w:t>.</w:t>
      </w:r>
    </w:p>
    <w:p w14:paraId="0AF0CDAA" w14:textId="77777777" w:rsidR="007E5E7C" w:rsidRDefault="007E5E7C" w:rsidP="007E5E7C">
      <w:pPr>
        <w:pStyle w:val="Heading2"/>
        <w:jc w:val="both"/>
      </w:pPr>
      <w:bookmarkStart w:id="35" w:name="_Toc24974548"/>
      <w:r>
        <w:t>IWR Assessment</w:t>
      </w:r>
      <w:bookmarkEnd w:id="35"/>
    </w:p>
    <w:p w14:paraId="530E9D77" w14:textId="77777777" w:rsidR="007E5E7C" w:rsidRDefault="007E5E7C" w:rsidP="007E5E7C">
      <w:pPr>
        <w:jc w:val="both"/>
        <w:rPr>
          <w:rFonts w:ascii="Times New Roman" w:eastAsia="Times New Roman" w:hAnsi="Times New Roman" w:cs="Times New Roman"/>
          <w:color w:val="000000"/>
        </w:rPr>
      </w:pPr>
      <w:r>
        <w:t>FDEP</w:t>
      </w:r>
      <w:r w:rsidRPr="007A5A69">
        <w:t xml:space="preserve"> will assess the attainment of the turbidity criterion for coral reefs and hardbottom communities as part of the 303(d) Assessment of Florida's surface waters using the methodology in the Impaired Waters Rule (1WR, Chapter 62-303, F.A.C.). Only waters where coral and hardbottom communities are known to occur or potentially occur are subject to these turbidity assessment provisions. The specific applicable waters include the FRT and all open coastal waters within Manatee, Sarasota, Charlotte, Lee, Collier, Monroe, Miami-Dade, Broward, Palm Beach, Martin, St. Lucie, Indian River, and Brevard counties.</w:t>
      </w:r>
      <w:r w:rsidRPr="007A5A69">
        <w:rPr>
          <w:rFonts w:ascii="Times New Roman" w:eastAsia="Times New Roman" w:hAnsi="Times New Roman" w:cs="Times New Roman"/>
          <w:color w:val="000000"/>
          <w:spacing w:val="-1"/>
        </w:rPr>
        <w:t xml:space="preserve"> </w:t>
      </w:r>
      <w:r w:rsidRPr="007A5A69">
        <w:t xml:space="preserve">A key component of this assessment </w:t>
      </w:r>
      <w:r>
        <w:t>was</w:t>
      </w:r>
      <w:r w:rsidRPr="007A5A69">
        <w:t xml:space="preserve"> to determine the baseline turbidity at the time of criterion adoption and allowable increase in turbidity above baseline for the assessment units (Waterbod</w:t>
      </w:r>
      <w:r>
        <w:t>y Id</w:t>
      </w:r>
      <w:r w:rsidRPr="007A5A69">
        <w:t xml:space="preserve">entification Units or WBIDs) with coral reefs and hardbottom communities. The baseline condition is discussed and described in </w:t>
      </w:r>
      <w:r w:rsidRPr="007A5A69">
        <w:rPr>
          <w:b/>
          <w:bCs/>
        </w:rPr>
        <w:t>Appendix A</w:t>
      </w:r>
      <w:r>
        <w:t xml:space="preserve"> of the Turbidity Implementation Document</w:t>
      </w:r>
      <w:r w:rsidRPr="007A5A69">
        <w:t>.</w:t>
      </w:r>
      <w:r w:rsidRPr="00444784">
        <w:rPr>
          <w:rFonts w:ascii="Times New Roman" w:eastAsia="Times New Roman" w:hAnsi="Times New Roman" w:cs="Times New Roman"/>
          <w:color w:val="000000"/>
        </w:rPr>
        <w:t xml:space="preserve"> </w:t>
      </w:r>
    </w:p>
    <w:p w14:paraId="38E8B30D" w14:textId="77777777" w:rsidR="007E5E7C" w:rsidRPr="008F61CD" w:rsidRDefault="007E5E7C" w:rsidP="007E5E7C">
      <w:pPr>
        <w:jc w:val="both"/>
      </w:pPr>
      <w:r w:rsidRPr="008F61CD">
        <w:t>Attainment of the 90</w:t>
      </w:r>
      <w:r>
        <w:t>th</w:t>
      </w:r>
      <w:r w:rsidRPr="008F61CD">
        <w:t xml:space="preserve"> percentile values will be evaluated using a binomial hypothesis test at the 80 percent and 90 percent confidence levels for the Planning List and Verified Lists, respectively. The use of the binomial hypothesis test is consistent with the assessment for other single-sample water quality parameters conducted under Chapter 62-303, F.A.C. The number of exceedances required to have 80 percent and 90 percent confidence that 10 percent or more of the measurements exceed the baseline are </w:t>
      </w:r>
      <w:r w:rsidRPr="008F61CD">
        <w:lastRenderedPageBreak/>
        <w:t>provided in Chapter 62-303, F.A.C., Tables 1 and 3, respectively. Stations within 200 meters of shore may be influenced by tidal or wave action and shall be excluded from IWR assessments. Waterbodies that exceed the number of exceedances for a given sample size in Tables 1 and 3 will be placed on the Planning and Verified Lists, respectively.</w:t>
      </w:r>
    </w:p>
    <w:p w14:paraId="5229BB82" w14:textId="77777777" w:rsidR="007E5E7C" w:rsidRDefault="007E5E7C" w:rsidP="007E5E7C">
      <w:pPr>
        <w:pStyle w:val="Heading2"/>
        <w:jc w:val="both"/>
      </w:pPr>
      <w:bookmarkStart w:id="36" w:name="_Toc24974549"/>
      <w:r>
        <w:t>Conclusions</w:t>
      </w:r>
      <w:bookmarkEnd w:id="36"/>
    </w:p>
    <w:p w14:paraId="260B5680" w14:textId="77777777" w:rsidR="007E5E7C" w:rsidRDefault="007E5E7C" w:rsidP="007E5E7C">
      <w:pPr>
        <w:jc w:val="both"/>
      </w:pPr>
      <w:r>
        <w:t xml:space="preserve">Municipalities in </w:t>
      </w:r>
      <w:r w:rsidRPr="007A5A69">
        <w:t>Manatee, Sarasota, Charlotte, Lee, Collier, Monroe, Miami-Dade, Broward, Palm Beach, Martin, St. Lucie, Indian River, and Brevard counties</w:t>
      </w:r>
      <w:r>
        <w:t xml:space="preserve"> that generate stormwater may be at risk for installing stormwater improvements if the turbidity criterion is exceeded in the future.</w:t>
      </w:r>
    </w:p>
    <w:p w14:paraId="1C023209" w14:textId="77777777" w:rsidR="007E5E7C" w:rsidRPr="00E509D8" w:rsidRDefault="007E5E7C" w:rsidP="007E5E7C">
      <w:pPr>
        <w:jc w:val="both"/>
      </w:pPr>
      <w:r>
        <w:t xml:space="preserve">Dredging/beach nourishment operations will experience additional oversight of their </w:t>
      </w:r>
      <w:proofErr w:type="gramStart"/>
      <w:r>
        <w:t>actions,</w:t>
      </w:r>
      <w:proofErr w:type="gramEnd"/>
      <w:r>
        <w:t xml:space="preserve"> however, the attainment criteria are clearly established and dependent upon site-specific data. While there may be additional monitoring costs, there is additional certainty in FDEP requirements, allowing for effective cost-control practices.</w:t>
      </w:r>
    </w:p>
    <w:p w14:paraId="2B8DBA04" w14:textId="1ECEC86F" w:rsidR="00124BA1" w:rsidRPr="00903B3A" w:rsidRDefault="00124BA1" w:rsidP="00124BA1">
      <w:pPr>
        <w:pStyle w:val="Heading1"/>
      </w:pPr>
      <w:bookmarkStart w:id="37" w:name="_Toc24974550"/>
      <w:r w:rsidRPr="00903B3A">
        <w:t>Lack of Scientific Support for the Shannon-Weaver Biological Integrity Criterion</w:t>
      </w:r>
      <w:r>
        <w:t xml:space="preserve">, </w:t>
      </w:r>
      <w:r w:rsidRPr="00903B3A">
        <w:t>Chapter 62-302.530(10), F.A.C.</w:t>
      </w:r>
      <w:bookmarkEnd w:id="37"/>
    </w:p>
    <w:p w14:paraId="7726073D" w14:textId="56C5750D" w:rsidR="00124BA1" w:rsidRPr="00903B3A" w:rsidRDefault="00124BA1" w:rsidP="00124BA1">
      <w:pPr>
        <w:pStyle w:val="BodyText"/>
        <w:jc w:val="both"/>
        <w:rPr>
          <w:rStyle w:val="VerbatimChar"/>
          <w:rFonts w:asciiTheme="minorHAnsi" w:eastAsiaTheme="majorEastAsia" w:hAnsiTheme="minorHAnsi" w:cstheme="minorHAnsi"/>
        </w:rPr>
      </w:pPr>
      <w:r w:rsidRPr="00903B3A">
        <w:t>FDEP has no documented scientific information to support the prohibition against a “25% decrease in Shannon-Weaver from background” (Chapter 62-302.530(10), F.A.C.).</w:t>
      </w:r>
      <w:r>
        <w:t xml:space="preserve"> </w:t>
      </w:r>
      <w:r w:rsidRPr="005301EB">
        <w:t>The 25% decrease in this index is arbitrarily applied to streams, lakes, wetlands, canals, and marine waters of all salinity ranges with no demonstration that a difference of 25% is connected to designated uses.  Further, FDEP incorrectly assesses</w:t>
      </w:r>
      <w:r w:rsidRPr="00903B3A">
        <w:rPr>
          <w:rStyle w:val="VerbatimChar"/>
          <w:rFonts w:asciiTheme="minorHAnsi" w:eastAsiaTheme="majorEastAsia" w:hAnsiTheme="minorHAnsi" w:cstheme="minorHAnsi"/>
        </w:rPr>
        <w:t xml:space="preserve"> </w:t>
      </w:r>
      <w:r w:rsidRPr="00903B3A">
        <w:t xml:space="preserve">the biological integrity criterion on </w:t>
      </w:r>
      <w:r w:rsidR="00612760">
        <w:t xml:space="preserve">single </w:t>
      </w:r>
      <w:r w:rsidRPr="00903B3A">
        <w:t xml:space="preserve">control vs. test site samples, not allowing longer averages or expressions of variability associated with control and test </w:t>
      </w:r>
      <w:r w:rsidR="00612760">
        <w:t xml:space="preserve">site </w:t>
      </w:r>
      <w:r w:rsidRPr="00903B3A">
        <w:t>data.</w:t>
      </w:r>
    </w:p>
    <w:p w14:paraId="08F09C8F" w14:textId="61FCA4E8" w:rsidR="00124BA1" w:rsidRPr="00903B3A" w:rsidRDefault="00124BA1" w:rsidP="00124BA1">
      <w:pPr>
        <w:pStyle w:val="BodyText"/>
        <w:jc w:val="both"/>
      </w:pPr>
      <w:r w:rsidRPr="00903B3A">
        <w:t xml:space="preserve">Chapter 62-302.530, F. A. C., states, “In applying the water quality standards, the Department shall </w:t>
      </w:r>
      <w:r w:rsidRPr="00903B3A">
        <w:rPr>
          <w:b/>
        </w:rPr>
        <w:t>take into account the variability occurring in nature</w:t>
      </w:r>
      <w:r w:rsidRPr="00903B3A">
        <w:t xml:space="preserve"> and shall recognize the statistical variability inherent in sampling and testing procedures.” This quite clearly indicates that the </w:t>
      </w:r>
      <w:r w:rsidRPr="00903B3A">
        <w:rPr>
          <w:b/>
          <w:bCs/>
        </w:rPr>
        <w:t xml:space="preserve">variability associated with the Shannon-Weaver diversity must be </w:t>
      </w:r>
      <w:proofErr w:type="gramStart"/>
      <w:r w:rsidRPr="00903B3A">
        <w:rPr>
          <w:b/>
          <w:bCs/>
        </w:rPr>
        <w:t>taken into account</w:t>
      </w:r>
      <w:proofErr w:type="gramEnd"/>
      <w:r w:rsidRPr="00903B3A">
        <w:t>. A reasonable scientific interpretation would be that if the variability within a control area is greater than 25%, then a 25% difference between sites is part of the variability associated with nature, and therefore, a 25% decrease is ecologically meaningless.</w:t>
      </w:r>
    </w:p>
    <w:p w14:paraId="11B2D4EC" w14:textId="2AFE03F1" w:rsidR="00124BA1" w:rsidRPr="00903B3A" w:rsidRDefault="00124BA1" w:rsidP="00124BA1">
      <w:pPr>
        <w:pStyle w:val="BodyText"/>
        <w:jc w:val="both"/>
        <w:rPr>
          <w:rFonts w:cstheme="minorHAnsi"/>
          <w:szCs w:val="22"/>
        </w:rPr>
      </w:pPr>
      <w:r w:rsidRPr="00903B3A">
        <w:t xml:space="preserve">Furthermore, </w:t>
      </w:r>
      <w:r w:rsidRPr="00903B3A">
        <w:rPr>
          <w:rFonts w:eastAsiaTheme="minorEastAsia" w:cstheme="minorBidi"/>
          <w:szCs w:val="22"/>
        </w:rPr>
        <w:t>Chapter 62-303.430(2)(d)</w:t>
      </w:r>
      <w:r w:rsidRPr="00903B3A">
        <w:rPr>
          <w:szCs w:val="22"/>
        </w:rPr>
        <w:t xml:space="preserve">, F. A. C., </w:t>
      </w:r>
      <w:r w:rsidRPr="00903B3A">
        <w:rPr>
          <w:rFonts w:eastAsiaTheme="minorEastAsia" w:cstheme="minorBidi"/>
          <w:szCs w:val="22"/>
        </w:rPr>
        <w:t xml:space="preserve">states that a waterbody shall be listed as biologically impaired if, “The </w:t>
      </w:r>
      <w:r w:rsidRPr="00903B3A">
        <w:rPr>
          <w:rFonts w:eastAsiaTheme="minorEastAsia" w:cstheme="minorBidi"/>
          <w:b/>
          <w:szCs w:val="22"/>
        </w:rPr>
        <w:t>average score</w:t>
      </w:r>
      <w:r w:rsidRPr="00903B3A">
        <w:rPr>
          <w:rFonts w:eastAsiaTheme="minorEastAsia" w:cstheme="minorBidi"/>
          <w:szCs w:val="22"/>
        </w:rPr>
        <w:t xml:space="preserve"> of at least two temporally independent Shannon-Weaver Diversity Indices is less than 75 percent of the </w:t>
      </w:r>
      <w:r w:rsidRPr="00903B3A">
        <w:rPr>
          <w:rFonts w:eastAsiaTheme="minorEastAsia" w:cstheme="minorBidi"/>
          <w:b/>
          <w:szCs w:val="22"/>
        </w:rPr>
        <w:t>average score</w:t>
      </w:r>
      <w:r w:rsidRPr="00903B3A">
        <w:rPr>
          <w:rFonts w:eastAsiaTheme="minorEastAsia" w:cstheme="minorBidi"/>
          <w:szCs w:val="22"/>
        </w:rPr>
        <w:t xml:space="preserve"> from an ap</w:t>
      </w:r>
      <w:r w:rsidRPr="00903B3A">
        <w:rPr>
          <w:rFonts w:eastAsiaTheme="minorEastAsia" w:cstheme="minorHAnsi"/>
          <w:szCs w:val="22"/>
        </w:rPr>
        <w:t>propriate control site, pursuant to subsection 62-302.530(10), F.A.C.”</w:t>
      </w:r>
      <w:r w:rsidR="003F6AAE">
        <w:rPr>
          <w:rFonts w:eastAsiaTheme="minorEastAsia" w:cstheme="minorHAnsi"/>
          <w:szCs w:val="22"/>
        </w:rPr>
        <w:t>.</w:t>
      </w:r>
      <w:r w:rsidRPr="00903B3A">
        <w:rPr>
          <w:rFonts w:eastAsiaTheme="minorEastAsia" w:cstheme="minorHAnsi"/>
          <w:szCs w:val="22"/>
        </w:rPr>
        <w:t xml:space="preserve"> Therefore, while FDEP </w:t>
      </w:r>
      <w:r w:rsidR="00612760">
        <w:rPr>
          <w:rFonts w:eastAsiaTheme="minorEastAsia" w:cstheme="minorHAnsi"/>
          <w:szCs w:val="22"/>
        </w:rPr>
        <w:t xml:space="preserve">often </w:t>
      </w:r>
      <w:r w:rsidRPr="00903B3A">
        <w:rPr>
          <w:rFonts w:eastAsiaTheme="minorEastAsia" w:cstheme="minorHAnsi"/>
          <w:szCs w:val="22"/>
        </w:rPr>
        <w:t>states that the diversity index only applies to single paired samples, other FDEP rules clearly show that it is not.</w:t>
      </w:r>
    </w:p>
    <w:p w14:paraId="149F1357" w14:textId="77777777" w:rsidR="00124BA1" w:rsidRPr="00903B3A" w:rsidRDefault="00124BA1" w:rsidP="00124BA1">
      <w:pPr>
        <w:pStyle w:val="BodyText"/>
        <w:jc w:val="both"/>
        <w:rPr>
          <w:noProof/>
          <w:color w:val="000000"/>
          <w:szCs w:val="22"/>
        </w:rPr>
      </w:pPr>
      <w:r w:rsidRPr="005301EB">
        <w:t>FDEP declares an area to be in violation of the criterion due to a single instance when a test site diversity is 25% lower than a control site. However,</w:t>
      </w:r>
      <w:r w:rsidRPr="00903B3A">
        <w:rPr>
          <w:rStyle w:val="VerbatimChar"/>
          <w:rFonts w:asciiTheme="minorHAnsi" w:eastAsiaTheme="majorEastAsia" w:hAnsiTheme="minorHAnsi" w:cstheme="minorHAnsi"/>
        </w:rPr>
        <w:t xml:space="preserve"> </w:t>
      </w:r>
      <w:r w:rsidRPr="00903B3A">
        <w:rPr>
          <w:rFonts w:eastAsiaTheme="minorEastAsia" w:cstheme="minorHAnsi"/>
          <w:szCs w:val="22"/>
        </w:rPr>
        <w:t>Chapter 62-303.430</w:t>
      </w:r>
      <w:r w:rsidRPr="00903B3A">
        <w:rPr>
          <w:rFonts w:cstheme="minorHAnsi"/>
          <w:szCs w:val="22"/>
        </w:rPr>
        <w:t xml:space="preserve">, F. A. C., (5)(a). states, “Following verification that a waterbody is biologically impaired, a waterbody shall be included on the verified list for </w:t>
      </w:r>
      <w:r w:rsidRPr="00903B3A">
        <w:rPr>
          <w:rFonts w:cstheme="minorHAnsi"/>
          <w:szCs w:val="22"/>
        </w:rPr>
        <w:lastRenderedPageBreak/>
        <w:t xml:space="preserve">biological impairment if: </w:t>
      </w:r>
      <w:r w:rsidRPr="00903B3A">
        <w:rPr>
          <w:rFonts w:cstheme="minorHAnsi"/>
          <w:noProof/>
          <w:color w:val="000000"/>
        </w:rPr>
        <w:t xml:space="preserve">there are </w:t>
      </w:r>
      <w:r w:rsidRPr="00903B3A">
        <w:rPr>
          <w:rFonts w:cstheme="minorHAnsi"/>
          <w:b/>
          <w:noProof/>
          <w:color w:val="000000"/>
        </w:rPr>
        <w:t>water quality data reasonably demonstrating the particular pollutant(s) causing the impairment</w:t>
      </w:r>
      <w:r w:rsidRPr="00903B3A">
        <w:rPr>
          <w:rFonts w:cstheme="minorHAnsi"/>
          <w:noProof/>
          <w:color w:val="000000"/>
        </w:rPr>
        <w:t xml:space="preserve"> </w:t>
      </w:r>
      <w:r w:rsidRPr="00903B3A">
        <w:rPr>
          <w:b/>
          <w:noProof/>
          <w:color w:val="000000"/>
          <w:szCs w:val="22"/>
        </w:rPr>
        <w:t>and the concentration of the pollutant(s)</w:t>
      </w:r>
      <w:r w:rsidRPr="00903B3A">
        <w:rPr>
          <w:noProof/>
          <w:color w:val="000000"/>
          <w:szCs w:val="22"/>
        </w:rPr>
        <w:t xml:space="preserve">”. </w:t>
      </w:r>
    </w:p>
    <w:p w14:paraId="35B5AD86" w14:textId="1D600522" w:rsidR="00124BA1" w:rsidRPr="00903B3A" w:rsidRDefault="00124BA1" w:rsidP="00124BA1">
      <w:pPr>
        <w:pStyle w:val="BodyText"/>
        <w:jc w:val="both"/>
      </w:pPr>
      <w:r w:rsidRPr="00903B3A">
        <w:rPr>
          <w:noProof/>
          <w:color w:val="000000"/>
          <w:szCs w:val="22"/>
        </w:rPr>
        <w:t>Therefore</w:t>
      </w:r>
      <w:r w:rsidR="00DD2B18">
        <w:rPr>
          <w:noProof/>
          <w:color w:val="000000"/>
          <w:szCs w:val="22"/>
        </w:rPr>
        <w:t>,</w:t>
      </w:r>
      <w:r w:rsidRPr="00903B3A">
        <w:rPr>
          <w:noProof/>
          <w:color w:val="000000"/>
          <w:szCs w:val="22"/>
        </w:rPr>
        <w:t xml:space="preserve"> if </w:t>
      </w:r>
      <w:r w:rsidRPr="00903B3A">
        <w:rPr>
          <w:szCs w:val="22"/>
        </w:rPr>
        <w:t xml:space="preserve">analyses of critical water quality parameters are conducted and demonstrate </w:t>
      </w:r>
      <w:r w:rsidRPr="00DD2B18">
        <w:rPr>
          <w:b/>
          <w:bCs/>
          <w:szCs w:val="22"/>
        </w:rPr>
        <w:t>no water quality differences</w:t>
      </w:r>
      <w:r w:rsidRPr="00903B3A">
        <w:rPr>
          <w:szCs w:val="22"/>
        </w:rPr>
        <w:t xml:space="preserve"> between the control and test sites that could be responsible for the variability in diversity, then the change in diversity is irrelevant.</w:t>
      </w:r>
      <w:r w:rsidRPr="00903B3A">
        <w:t xml:space="preserve">  </w:t>
      </w:r>
    </w:p>
    <w:p w14:paraId="15CEBB02" w14:textId="77777777" w:rsidR="00124BA1" w:rsidRPr="005301EB" w:rsidRDefault="00124BA1" w:rsidP="00124BA1">
      <w:r w:rsidRPr="005301EB">
        <w:t>The Shannon-Weaver diversity index is an antiquated criterion, with little to no scientific support.  FDEP must either must scientifically demonstrate the validity of this metric or discard its use entirely.</w:t>
      </w:r>
    </w:p>
    <w:p w14:paraId="36E90096" w14:textId="77777777" w:rsidR="00124BA1" w:rsidRPr="00903B3A" w:rsidRDefault="00124BA1" w:rsidP="00124BA1">
      <w:pPr>
        <w:pStyle w:val="BodyText"/>
        <w:jc w:val="both"/>
      </w:pPr>
      <w:r w:rsidRPr="00903B3A">
        <w:t xml:space="preserve">Shannon- Weaver diversity index emerged within ecology in the 1950s </w:t>
      </w:r>
      <w:r w:rsidRPr="00903B3A">
        <w:fldChar w:fldCharType="begin"/>
      </w:r>
      <w:r w:rsidRPr="00903B3A">
        <w:instrText xml:space="preserve"> ADDIN ZOTERO_ITEM CSL_CITATION {"citationID":"g3Gg4Sik","properties":{"formattedCitation":"(Justus, 2011)","plainCitation":"(Justus, 2011)","noteIndex":0},"citationItems":[{"id":1869,"uris":["http://zotero.org/users/2392341/items/89PEGHH4"],"uri":["http://zotero.org/users/2392341/items/89PEGHH4"],"itemData":{"id":1869,"type":"chapter","title":"A case study in concept determination: ecological diversity","container-title":"Handbook of the Philosophy of Science","page":"147-168","volume":"11","author":[{"family":"Justus","given":"J."}],"issued":{"date-parts":[["2011"]]}}}],"schema":"https://github.com/citation-style-language/schema/raw/master/csl-citation.json"} </w:instrText>
      </w:r>
      <w:r w:rsidRPr="00903B3A">
        <w:fldChar w:fldCharType="separate"/>
      </w:r>
      <w:r w:rsidRPr="00903B3A">
        <w:rPr>
          <w:rFonts w:ascii="Calibri" w:hAnsi="Calibri" w:cs="Calibri"/>
        </w:rPr>
        <w:t>(Justus, 2011)</w:t>
      </w:r>
      <w:r w:rsidRPr="00903B3A">
        <w:fldChar w:fldCharType="end"/>
      </w:r>
      <w:r w:rsidRPr="00903B3A">
        <w:t xml:space="preserve">. By the late 1960s, a </w:t>
      </w:r>
      <w:r w:rsidRPr="00903B3A">
        <w:rPr>
          <w:rFonts w:eastAsiaTheme="majorEastAsia"/>
        </w:rPr>
        <w:t>large number</w:t>
      </w:r>
      <w:r w:rsidRPr="00903B3A">
        <w:t xml:space="preserve"> of diversity indices had been formulated, and numerous empirical studies of different ecological systems were being conducted to estimate diversity using these indices.  The attention being devoted to indices of diversity sparked several criticisms, perhaps the most incisive from Hurlbert [1971] who called diversity a “non-concept” </w:t>
      </w:r>
      <w:r w:rsidRPr="00903B3A">
        <w:fldChar w:fldCharType="begin"/>
      </w:r>
      <w:r w:rsidRPr="00903B3A">
        <w:instrText xml:space="preserve"> ADDIN ZOTERO_ITEM CSL_CITATION {"citationID":"qK4tTVa8","properties":{"formattedCitation":"(Justus, 2011)","plainCitation":"(Justus, 2011)","noteIndex":0},"citationItems":[{"id":1869,"uris":["http://zotero.org/users/2392341/items/89PEGHH4"],"uri":["http://zotero.org/users/2392341/items/89PEGHH4"],"itemData":{"id":1869,"type":"chapter","title":"A case study in concept determination: ecological diversity","container-title":"Handbook of the Philosophy of Science","page":"147-168","volume":"11","author":[{"family":"Justus","given":"J."}],"issued":{"date-parts":[["2011"]]}}}],"schema":"https://github.com/citation-style-language/schema/raw/master/csl-citation.json"} </w:instrText>
      </w:r>
      <w:r w:rsidRPr="00903B3A">
        <w:fldChar w:fldCharType="separate"/>
      </w:r>
      <w:r w:rsidRPr="00903B3A">
        <w:rPr>
          <w:rFonts w:ascii="Calibri" w:hAnsi="Calibri" w:cs="Calibri"/>
        </w:rPr>
        <w:t>(Justus, 2011)</w:t>
      </w:r>
      <w:r w:rsidRPr="00903B3A">
        <w:fldChar w:fldCharType="end"/>
      </w:r>
      <w:r w:rsidRPr="00903B3A">
        <w:t xml:space="preserve">. His influential critique of this research agenda targeted the fundamental vagueness of the underlying concept, which he thought ecologists had exacerbated by appropriating statistical measures of diversity developed in nonbiological contexts, such as information theory, with dubious ecological relevance  </w:t>
      </w:r>
      <w:r w:rsidRPr="00903B3A">
        <w:fldChar w:fldCharType="begin"/>
      </w:r>
      <w:r w:rsidRPr="00903B3A">
        <w:instrText xml:space="preserve"> ADDIN ZOTERO_ITEM CSL_CITATION {"citationID":"BORlo78S","properties":{"formattedCitation":"(Justus, 2011)","plainCitation":"(Justus, 2011)","noteIndex":0},"citationItems":[{"id":1869,"uris":["http://zotero.org/users/2392341/items/89PEGHH4"],"uri":["http://zotero.org/users/2392341/items/89PEGHH4"],"itemData":{"id":1869,"type":"chapter","title":"A case study in concept determination: ecological diversity","container-title":"Handbook of the Philosophy of Science","page":"147-168","volume":"11","author":[{"family":"Justus","given":"J."}],"issued":{"date-parts":[["2011"]]}}}],"schema":"https://github.com/citation-style-language/schema/raw/master/csl-citation.json"} </w:instrText>
      </w:r>
      <w:r w:rsidRPr="00903B3A">
        <w:fldChar w:fldCharType="separate"/>
      </w:r>
      <w:r w:rsidRPr="00903B3A">
        <w:rPr>
          <w:rFonts w:ascii="Calibri" w:hAnsi="Calibri" w:cs="Calibri"/>
        </w:rPr>
        <w:t>(Justus, 2011)</w:t>
      </w:r>
      <w:r w:rsidRPr="00903B3A">
        <w:fldChar w:fldCharType="end"/>
      </w:r>
      <w:r w:rsidRPr="00903B3A">
        <w:t xml:space="preserve">. MacArthur [1972, p. 197] voiced the same criticism around the same time: “Applying a formula and calculating a ‘species diversity’ from a census does not reveal very much; only by relating this diversity to something else—something about the environment perhaps—does it become science.” Other ecologists were similarly skeptical of the role of the diversity concept within ecology, and generally of the ecological utility of information theory </w:t>
      </w:r>
      <w:r w:rsidRPr="00903B3A">
        <w:fldChar w:fldCharType="begin"/>
      </w:r>
      <w:r w:rsidRPr="00903B3A">
        <w:instrText xml:space="preserve"> ADDIN ZOTERO_ITEM CSL_CITATION {"citationID":"8HKRQkPR","properties":{"formattedCitation":"(Justus, 2011)","plainCitation":"(Justus, 2011)","noteIndex":0},"citationItems":[{"id":1869,"uris":["http://zotero.org/users/2392341/items/89PEGHH4"],"uri":["http://zotero.org/users/2392341/items/89PEGHH4"],"itemData":{"id":1869,"type":"chapter","title":"A case study in concept determination: ecological diversity","container-title":"Handbook of the Philosophy of Science","page":"147-168","volume":"11","author":[{"family":"Justus","given":"J."}],"issued":{"date-parts":[["2011"]]}}}],"schema":"https://github.com/citation-style-language/schema/raw/master/csl-citation.json"} </w:instrText>
      </w:r>
      <w:r w:rsidRPr="00903B3A">
        <w:fldChar w:fldCharType="separate"/>
      </w:r>
      <w:r w:rsidRPr="00903B3A">
        <w:rPr>
          <w:rFonts w:ascii="Calibri" w:hAnsi="Calibri" w:cs="Calibri"/>
        </w:rPr>
        <w:t>(Justus, 2011)</w:t>
      </w:r>
      <w:r w:rsidRPr="00903B3A">
        <w:fldChar w:fldCharType="end"/>
      </w:r>
      <w:r w:rsidRPr="00903B3A">
        <w:t>.</w:t>
      </w:r>
    </w:p>
    <w:p w14:paraId="23C85190" w14:textId="77777777" w:rsidR="00124BA1" w:rsidRPr="00903B3A" w:rsidRDefault="00124BA1" w:rsidP="00124BA1">
      <w:pPr>
        <w:pStyle w:val="BodyText"/>
        <w:jc w:val="both"/>
        <w:rPr>
          <w:szCs w:val="22"/>
        </w:rPr>
      </w:pPr>
      <w:r w:rsidRPr="00903B3A">
        <w:t xml:space="preserve">The use of diversity measures in community ecology has been heavily criticized because diversity conveys no information on the actual species composition of a community </w:t>
      </w:r>
      <w:r w:rsidRPr="00903B3A">
        <w:fldChar w:fldCharType="begin"/>
      </w:r>
      <w:r w:rsidRPr="00903B3A">
        <w:instrText xml:space="preserve"> ADDIN ZOTERO_ITEM CSL_CITATION {"citationID":"HWWF0heD","properties":{"formattedCitation":"(Washington, 1984)","plainCitation":"(Washington, 1984)","noteIndex":0},"citationItems":[{"id":1870,"uris":["http://zotero.org/users/2392341/items/EATWPFXY"],"uri":["http://zotero.org/users/2392341/items/EATWPFXY"],"itemData":{"id":1870,"type":"article-journal","title":"Diversity, biotic and similarity indices: a review with special relecance to aquatic ecosystems","container-title":"Water Res.","page":"653-694","volume":"18","issue":"6","author":[{"family":"Washington","given":"H."}],"issued":{"date-parts":[["1984"]]}}}],"schema":"https://github.com/citation-style-language/schema/raw/master/csl-citation.json"} </w:instrText>
      </w:r>
      <w:r w:rsidRPr="00903B3A">
        <w:fldChar w:fldCharType="separate"/>
      </w:r>
      <w:r w:rsidRPr="00903B3A">
        <w:rPr>
          <w:rFonts w:ascii="Calibri" w:hAnsi="Calibri" w:cs="Calibri"/>
        </w:rPr>
        <w:t>(Washington, 1984)</w:t>
      </w:r>
      <w:r w:rsidRPr="00903B3A">
        <w:fldChar w:fldCharType="end"/>
      </w:r>
      <w:r w:rsidRPr="00903B3A">
        <w:t xml:space="preserve">.  A community may have high species diversity yet be comprised largely of pollution tolerant species. Conversely, a community may have low species diversity yet be comprised of desired species </w:t>
      </w:r>
      <w:r w:rsidRPr="00903B3A">
        <w:fldChar w:fldCharType="begin"/>
      </w:r>
      <w:r w:rsidRPr="00903B3A">
        <w:instrText xml:space="preserve"> ADDIN ZOTERO_ITEM CSL_CITATION {"citationID":"xXoPPo5R","properties":{"formattedCitation":"(Washington, 1984)","plainCitation":"(Washington, 1984)","noteIndex":0},"citationItems":[{"id":1870,"uris":["http://zotero.org/users/2392341/items/EATWPFXY"],"uri":["http://zotero.org/users/2392341/items/EATWPFXY"],"itemData":{"id":1870,"type":"article-journal","title":"Diversity, biotic and similarity indices: a review with special relecance to aquatic ecosystems","container-title":"Water Res.","page":"653-694","volume":"18","issue":"6","author":[{"family":"Washington","given":"H."}],"issued":{"date-parts":[["1984"]]}}}],"schema":"https://github.com/citation-style-language/schema/raw/master/csl-citation.json"} </w:instrText>
      </w:r>
      <w:r w:rsidRPr="00903B3A">
        <w:fldChar w:fldCharType="separate"/>
      </w:r>
      <w:r w:rsidRPr="00903B3A">
        <w:rPr>
          <w:rFonts w:ascii="Calibri" w:hAnsi="Calibri" w:cs="Calibri"/>
        </w:rPr>
        <w:t>(Washington, 1984)</w:t>
      </w:r>
      <w:r w:rsidRPr="00903B3A">
        <w:fldChar w:fldCharType="end"/>
      </w:r>
      <w:r w:rsidRPr="00903B3A">
        <w:t xml:space="preserve">. </w:t>
      </w:r>
    </w:p>
    <w:p w14:paraId="56EDB756" w14:textId="2569F26E" w:rsidR="00124BA1" w:rsidRPr="00903B3A" w:rsidRDefault="00DD2B18" w:rsidP="00124BA1">
      <w:pPr>
        <w:pStyle w:val="BodyText"/>
        <w:jc w:val="both"/>
      </w:pPr>
      <w:r>
        <w:t>We are</w:t>
      </w:r>
      <w:r w:rsidR="00124BA1" w:rsidRPr="00903B3A">
        <w:t xml:space="preserve"> not aware of FDEP’s scientific documentation to support the use of Shannon diversity as a water quality criterion, especially the component regarding a 25% decrease from “background” as an adverse condition caused by humans. While this is true in all system types, it is especially true in tidal fresh/oligohaline systems, which are known to be dynamic, low diversity, and high abundance systems </w:t>
      </w:r>
      <w:r w:rsidR="00124BA1" w:rsidRPr="00903B3A">
        <w:fldChar w:fldCharType="begin"/>
      </w:r>
      <w:r w:rsidR="00124BA1" w:rsidRPr="00903B3A">
        <w:instrText xml:space="preserve"> ADDIN ZOTERO_ITEM CSL_CITATION {"citationID":"rhP0Zwm6","properties":{"formattedCitation":"(Odum et al., 1984)","plainCitation":"(Odum et al., 1984)","noteIndex":0},"citationItems":[{"id":384,"uris":["http://zotero.org/users/2392341/items/FC9JPD22"],"uri":["http://zotero.org/users/2392341/items/FC9JPD22"],"itemData":{"id":384,"type":"article","title":"The ecology of tidal freshwater marshes of the United States east coast: a community profile","publisher":"U.S. Fish Wildl. Serv. FWS/OBS-83/17","author":[{"family":"Odum","given":"W. E."},{"family":"Smith","given":"T. J."},{"family":"Hoover","given":"J. K."},{"family":"McIvor","given":"C. C."}],"issued":{"date-parts":[["1984"]]}}}],"schema":"https://github.com/citation-style-language/schema/raw/master/csl-citation.json"} </w:instrText>
      </w:r>
      <w:r w:rsidR="00124BA1" w:rsidRPr="00903B3A">
        <w:fldChar w:fldCharType="separate"/>
      </w:r>
      <w:r w:rsidR="00124BA1" w:rsidRPr="00903B3A">
        <w:rPr>
          <w:rFonts w:ascii="Calibri" w:hAnsi="Calibri" w:cs="Calibri"/>
        </w:rPr>
        <w:t>(Odum et al., 1984)</w:t>
      </w:r>
      <w:r w:rsidR="00124BA1" w:rsidRPr="00903B3A">
        <w:fldChar w:fldCharType="end"/>
      </w:r>
      <w:r w:rsidR="00124BA1" w:rsidRPr="00903B3A">
        <w:t xml:space="preserve">.  Information from these </w:t>
      </w:r>
      <w:r w:rsidR="00612760">
        <w:t xml:space="preserve">marine </w:t>
      </w:r>
      <w:r w:rsidR="00124BA1" w:rsidRPr="00903B3A">
        <w:t>systems will provide examples of the weaknesses associated with Shannon diversity.</w:t>
      </w:r>
    </w:p>
    <w:p w14:paraId="789F36A8" w14:textId="77777777" w:rsidR="00124BA1" w:rsidRPr="00903B3A" w:rsidRDefault="00124BA1" w:rsidP="00124BA1">
      <w:pPr>
        <w:pStyle w:val="BodyText"/>
        <w:jc w:val="both"/>
      </w:pPr>
      <w:r w:rsidRPr="00903B3A">
        <w:fldChar w:fldCharType="begin"/>
      </w:r>
      <w:r w:rsidRPr="00903B3A">
        <w:instrText xml:space="preserve"> ADDIN ZOTERO_ITEM CSL_CITATION {"citationID":"LKYBobxN","properties":{"formattedCitation":"(Reiss and Kr\\uc0\\u246{}ncke, 2005)","plainCitation":"(Reiss and Kröncke, 2005)","noteIndex":0},"citationItems":[{"id":1868,"uris":["http://zotero.org/users/2392341/items/UNHRWM23"],"uri":["http://zotero.org/users/2392341/items/UNHRWM23"],"itemData":{"id":1868,"type":"article-journal","title":"Seasonal variability of benthic indices: An approach to test the applicability of different indices for ecosystem quality assessment","container-title":"Marine Pollution Bulletin","page":"1490-1499","volume":"50","issue":"12","source":"DOI.org (Crossref)","abstract":"In recent studies, several benthic biological indices were developed or used to assess the ecological quality status of marine environments. In the present study the seasonal variability of several univariate and multimetric indices was studied on a monthly scale (September 2000 until May 2002) in diﬀerent areas of the North Sea such as the German Bight, the Oyster Ground and the Dogger Bank. The stations were chosen to reﬂect a gradient in the hydrographic regime, temperature and organic matter supply. The seasonal variability was highest for the univariate indices such as the Shannon–Wiener Index and the Hurlbert Index. Thus, due to sensitivity to recruitment the corresponding ecological status ranged from ÔgoodÕ to ÔpoorÕ depending on the season. For the multimetric indices such as the AMBI or the BQI the seasonal variability and the corresponding ecological status were low. The results are discussed concerning possible consequences for ecological quality assessment especially related to the Water Framework Directive (WFD).","DOI":"10.1016/j.marpolbul.2005.06.017","ISSN":"0025326X","title-short":"Seasonal variability of benthic indices","journalAbbreviation":"Marine Pollution Bulletin","language":"en","author":[{"family":"Reiss","given":"Henning"},{"family":"Kröncke","given":"Ingrid"}],"issued":{"date-parts":[["2005",12]]}}}],"schema":"https://github.com/citation-style-language/schema/raw/master/csl-citation.json"} </w:instrText>
      </w:r>
      <w:r w:rsidRPr="00903B3A">
        <w:fldChar w:fldCharType="separate"/>
      </w:r>
      <w:r w:rsidRPr="00903B3A">
        <w:rPr>
          <w:rFonts w:ascii="Calibri" w:hAnsi="Calibri" w:cs="Calibri"/>
          <w:szCs w:val="24"/>
        </w:rPr>
        <w:t>(Reiss and Kröncke, 2005)</w:t>
      </w:r>
      <w:r w:rsidRPr="00903B3A">
        <w:fldChar w:fldCharType="end"/>
      </w:r>
      <w:r w:rsidRPr="00903B3A">
        <w:t xml:space="preserve"> studied the seasonal variability of several univariate and multi-metric indices in marine waters on a monthly scale from September 2000 until May 2002. They found that, due to their sensitivity to recruitment, sea</w:t>
      </w:r>
      <w:r w:rsidRPr="00903B3A">
        <w:softHyphen/>
        <w:t xml:space="preserve">sonal variability was highest for the univariate indices such as the Shannon Index and the Hurlbert Index. Using these univariate indices,  the corresponding ecological status of minimally disturbed sites ranged from 'good' to 'poor' depending on the season </w:t>
      </w:r>
      <w:r w:rsidRPr="00903B3A">
        <w:fldChar w:fldCharType="begin"/>
      </w:r>
      <w:r w:rsidRPr="00903B3A">
        <w:instrText xml:space="preserve"> ADDIN ZOTERO_ITEM CSL_CITATION {"citationID":"0tsFVJod","properties":{"formattedCitation":"(Reiss and Kr\\uc0\\u246{}ncke, 2005)","plainCitation":"(Reiss and Kröncke, 2005)","noteIndex":0},"citationItems":[{"id":1868,"uris":["http://zotero.org/users/2392341/items/UNHRWM23"],"uri":["http://zotero.org/users/2392341/items/UNHRWM23"],"itemData":{"id":1868,"type":"article-journal","title":"Seasonal variability of benthic indices: An approach to test the applicability of different indices for ecosystem quality assessment","container-title":"Marine Pollution Bulletin","page":"1490-1499","volume":"50","issue":"12","source":"DOI.org (Crossref)","abstract":"In recent studies, several benthic biological indices were developed or used to assess the ecological quality status of marine environments. In the present study the seasonal variability of several univariate and multimetric indices was studied on a monthly scale (September 2000 until May 2002) in diﬀerent areas of the North Sea such as the German Bight, the Oyster Ground and the Dogger Bank. The stations were chosen to reﬂect a gradient in the hydrographic regime, temperature and organic matter supply. The seasonal variability was highest for the univariate indices such as the Shannon–Wiener Index and the Hurlbert Index. Thus, due to sensitivity to recruitment the corresponding ecological status ranged from ÔgoodÕ to ÔpoorÕ depending on the season. For the multimetric indices such as the AMBI or the BQI the seasonal variability and the corresponding ecological status were low. The results are discussed concerning possible consequences for ecological quality assessment especially related to the Water Framework Directive (WFD).","DOI":"10.1016/j.marpolbul.2005.06.017","ISSN":"0025326X","title-short":"Seasonal variability of benthic indices","journalAbbreviation":"Marine Pollution Bulletin","language":"en","author":[{"family":"Reiss","given":"Henning"},{"family":"Kröncke","given":"Ingrid"}],"issued":{"date-parts":[["2005",12]]}}}],"schema":"https://github.com/citation-style-language/schema/raw/master/csl-citation.json"} </w:instrText>
      </w:r>
      <w:r w:rsidRPr="00903B3A">
        <w:fldChar w:fldCharType="separate"/>
      </w:r>
      <w:r w:rsidRPr="00903B3A">
        <w:rPr>
          <w:rFonts w:ascii="Calibri" w:hAnsi="Calibri" w:cs="Calibri"/>
          <w:szCs w:val="24"/>
        </w:rPr>
        <w:t>(Reiss and Kröncke, 2005)</w:t>
      </w:r>
      <w:r w:rsidRPr="00903B3A">
        <w:fldChar w:fldCharType="end"/>
      </w:r>
      <w:r w:rsidRPr="00903B3A">
        <w:t xml:space="preserve">.  For example, they found Shannon diversity at one of their minimally disturbed sites to range from 1.5 to 3.8 (from “poor” to “good”, with a </w:t>
      </w:r>
      <w:r w:rsidRPr="00903B3A">
        <w:rPr>
          <w:b/>
        </w:rPr>
        <w:t>variability of</w:t>
      </w:r>
      <w:r w:rsidRPr="00903B3A">
        <w:t xml:space="preserve">  </w:t>
      </w:r>
      <w:r w:rsidRPr="00903B3A">
        <w:rPr>
          <w:b/>
        </w:rPr>
        <w:t>61%</w:t>
      </w:r>
      <w:r w:rsidRPr="00903B3A">
        <w:t xml:space="preserve">), while a multi-metric index (AMBI) consistently </w:t>
      </w:r>
      <w:r w:rsidRPr="00903B3A">
        <w:lastRenderedPageBreak/>
        <w:t xml:space="preserve">rated the same site as “good” </w:t>
      </w:r>
      <w:r w:rsidRPr="00903B3A">
        <w:fldChar w:fldCharType="begin"/>
      </w:r>
      <w:r w:rsidRPr="00903B3A">
        <w:instrText xml:space="preserve"> ADDIN ZOTERO_ITEM CSL_CITATION {"citationID":"gzQfmIXs","properties":{"formattedCitation":"(Reiss and Kr\\uc0\\u246{}ncke, 2005)","plainCitation":"(Reiss and Kröncke, 2005)","noteIndex":0},"citationItems":[{"id":1868,"uris":["http://zotero.org/users/2392341/items/UNHRWM23"],"uri":["http://zotero.org/users/2392341/items/UNHRWM23"],"itemData":{"id":1868,"type":"article-journal","title":"Seasonal variability of benthic indices: An approach to test the applicability of different indices for ecosystem quality assessment","container-title":"Marine Pollution Bulletin","page":"1490-1499","volume":"50","issue":"12","source":"DOI.org (Crossref)","abstract":"In recent studies, several benthic biological indices were developed or used to assess the ecological quality status of marine environments. In the present study the seasonal variability of several univariate and multimetric indices was studied on a monthly scale (September 2000 until May 2002) in diﬀerent areas of the North Sea such as the German Bight, the Oyster Ground and the Dogger Bank. The stations were chosen to reﬂect a gradient in the hydrographic regime, temperature and organic matter supply. The seasonal variability was highest for the univariate indices such as the Shannon–Wiener Index and the Hurlbert Index. Thus, due to sensitivity to recruitment the corresponding ecological status ranged from ÔgoodÕ to ÔpoorÕ depending on the season. For the multimetric indices such as the AMBI or the BQI the seasonal variability and the corresponding ecological status were low. The results are discussed concerning possible consequences for ecological quality assessment especially related to the Water Framework Directive (WFD).","DOI":"10.1016/j.marpolbul.2005.06.017","ISSN":"0025326X","title-short":"Seasonal variability of benthic indices","journalAbbreviation":"Marine Pollution Bulletin","language":"en","author":[{"family":"Reiss","given":"Henning"},{"family":"Kröncke","given":"Ingrid"}],"issued":{"date-parts":[["2005",12]]}}}],"schema":"https://github.com/citation-style-language/schema/raw/master/csl-citation.json"} </w:instrText>
      </w:r>
      <w:r w:rsidRPr="00903B3A">
        <w:fldChar w:fldCharType="separate"/>
      </w:r>
      <w:r w:rsidRPr="00903B3A">
        <w:rPr>
          <w:rFonts w:ascii="Calibri" w:hAnsi="Calibri" w:cs="Calibri"/>
          <w:szCs w:val="24"/>
        </w:rPr>
        <w:t>(Reiss and Kröncke, 2005)</w:t>
      </w:r>
      <w:r w:rsidRPr="00903B3A">
        <w:fldChar w:fldCharType="end"/>
      </w:r>
      <w:r w:rsidRPr="00903B3A">
        <w:t xml:space="preserve">. They attributed the variability in Shannon diversity to its sensitivity to changes in overall organism abundance and rare taxa that did not reflect the true ecological status of the site </w:t>
      </w:r>
      <w:r w:rsidRPr="00903B3A">
        <w:fldChar w:fldCharType="begin"/>
      </w:r>
      <w:r w:rsidRPr="00903B3A">
        <w:instrText xml:space="preserve"> ADDIN ZOTERO_ITEM CSL_CITATION {"citationID":"C00c0HZF","properties":{"formattedCitation":"(Reiss and Kr\\uc0\\u246{}ncke, 2005)","plainCitation":"(Reiss and Kröncke, 2005)","noteIndex":0},"citationItems":[{"id":1868,"uris":["http://zotero.org/users/2392341/items/UNHRWM23"],"uri":["http://zotero.org/users/2392341/items/UNHRWM23"],"itemData":{"id":1868,"type":"article-journal","title":"Seasonal variability of benthic indices: An approach to test the applicability of different indices for ecosystem quality assessment","container-title":"Marine Pollution Bulletin","page":"1490-1499","volume":"50","issue":"12","source":"DOI.org (Crossref)","abstract":"In recent studies, several benthic biological indices were developed or used to assess the ecological quality status of marine environments. In the present study the seasonal variability of several univariate and multimetric indices was studied on a monthly scale (September 2000 until May 2002) in diﬀerent areas of the North Sea such as the German Bight, the Oyster Ground and the Dogger Bank. The stations were chosen to reﬂect a gradient in the hydrographic regime, temperature and organic matter supply. The seasonal variability was highest for the univariate indices such as the Shannon–Wiener Index and the Hurlbert Index. Thus, due to sensitivity to recruitment the corresponding ecological status ranged from ÔgoodÕ to ÔpoorÕ depending on the season. For the multimetric indices such as the AMBI or the BQI the seasonal variability and the corresponding ecological status were low. The results are discussed concerning possible consequences for ecological quality assessment especially related to the Water Framework Directive (WFD).","DOI":"10.1016/j.marpolbul.2005.06.017","ISSN":"0025326X","title-short":"Seasonal variability of benthic indices","journalAbbreviation":"Marine Pollution Bulletin","language":"en","author":[{"family":"Reiss","given":"Henning"},{"family":"Kröncke","given":"Ingrid"}],"issued":{"date-parts":[["2005",12]]}}}],"schema":"https://github.com/citation-style-language/schema/raw/master/csl-citation.json"} </w:instrText>
      </w:r>
      <w:r w:rsidRPr="00903B3A">
        <w:fldChar w:fldCharType="separate"/>
      </w:r>
      <w:r w:rsidRPr="00903B3A">
        <w:rPr>
          <w:rFonts w:ascii="Calibri" w:hAnsi="Calibri" w:cs="Calibri"/>
          <w:szCs w:val="24"/>
        </w:rPr>
        <w:t>(Reiss and Kröncke, 2005)</w:t>
      </w:r>
      <w:r w:rsidRPr="00903B3A">
        <w:fldChar w:fldCharType="end"/>
      </w:r>
      <w:r w:rsidRPr="00903B3A">
        <w:t>.</w:t>
      </w:r>
    </w:p>
    <w:p w14:paraId="0F00B1C3" w14:textId="77777777" w:rsidR="00124BA1" w:rsidRPr="00903B3A" w:rsidRDefault="00124BA1" w:rsidP="00124BA1">
      <w:pPr>
        <w:pStyle w:val="BodyText"/>
        <w:jc w:val="both"/>
      </w:pPr>
      <w:r w:rsidRPr="00903B3A">
        <w:rPr>
          <w:szCs w:val="22"/>
        </w:rPr>
        <w:t xml:space="preserve">Weisberg et al., 1997 developed a </w:t>
      </w:r>
      <w:r w:rsidRPr="00903B3A">
        <w:t xml:space="preserve">multi-metric benthic index of biotic integrity (B-IBI) using data from five Chesapeake Bay sampling programs conducted between 1972 and 1991. Attributes of the index were selected by comparing the response of 17 candidate measures of benthic condition (metrics) between a set of minimally affected reference sites and at all other sites for which data were available. This procedure was conducted independently for each of seven habitats defined by salinity and substrate </w:t>
      </w:r>
      <w:r w:rsidRPr="00903B3A">
        <w:rPr>
          <w:szCs w:val="22"/>
        </w:rPr>
        <w:fldChar w:fldCharType="begin"/>
      </w:r>
      <w:r w:rsidRPr="00903B3A">
        <w:rPr>
          <w:szCs w:val="22"/>
        </w:rPr>
        <w:instrText xml:space="preserve"> ADDIN ZOTERO_ITEM CSL_CITATION {"citationID":"Aq4YprGx","properties":{"formattedCitation":"(Weisberg et al., 1997)","plainCitation":"(Weisberg et al., 1997)","noteIndex":0},"citationItems":[{"id":1848,"uris":["http://zotero.org/users/2392341/items/7FJKSGXD"],"uri":["http://zotero.org/users/2392341/items/7FJKSGXD"],"itemData":{"id":1848,"type":"article-journal","title":"An estuarine Benthic Index of Biotic Integrity (B-IBI) for Chesapeake Bay","container-title":"Est. Coasts","page":"149-158","volume":"20","issue":"1","author":[{"family":"Weisberg","given":"Stephen B."},{"family":"Ranasinghe","given":"A."},{"family":"Dauer","given":"D."},{"family":"Schaffner","given":"L."}],"issued":{"date-parts":[["1997"]]}}}],"schema":"https://github.com/citation-style-language/schema/raw/master/csl-citation.json"} </w:instrText>
      </w:r>
      <w:r w:rsidRPr="00903B3A">
        <w:rPr>
          <w:szCs w:val="22"/>
        </w:rPr>
        <w:fldChar w:fldCharType="separate"/>
      </w:r>
      <w:r w:rsidRPr="00903B3A">
        <w:rPr>
          <w:szCs w:val="22"/>
        </w:rPr>
        <w:t>(Weisberg et al., 1997)</w:t>
      </w:r>
      <w:r w:rsidRPr="00903B3A">
        <w:rPr>
          <w:szCs w:val="22"/>
        </w:rPr>
        <w:fldChar w:fldCharType="end"/>
      </w:r>
      <w:r w:rsidRPr="00903B3A">
        <w:t>.</w:t>
      </w:r>
    </w:p>
    <w:p w14:paraId="28B03A84" w14:textId="77777777" w:rsidR="00124BA1" w:rsidRPr="00903B3A" w:rsidRDefault="00124BA1" w:rsidP="00124BA1">
      <w:pPr>
        <w:pStyle w:val="BodyText"/>
        <w:jc w:val="both"/>
        <w:rPr>
          <w:szCs w:val="22"/>
        </w:rPr>
      </w:pPr>
      <w:r w:rsidRPr="00903B3A">
        <w:rPr>
          <w:szCs w:val="22"/>
        </w:rPr>
        <w:t>Although the principles on which the B-IBI is based were effective for distinguishing between sites of high and low quality, they did not apply equally well in all habitats</w:t>
      </w:r>
      <w:r w:rsidRPr="00903B3A">
        <w:t xml:space="preserve"> </w:t>
      </w:r>
      <w:r w:rsidRPr="00903B3A">
        <w:rPr>
          <w:szCs w:val="22"/>
        </w:rPr>
        <w:fldChar w:fldCharType="begin"/>
      </w:r>
      <w:r w:rsidRPr="00903B3A">
        <w:rPr>
          <w:szCs w:val="22"/>
        </w:rPr>
        <w:instrText xml:space="preserve"> ADDIN ZOTERO_ITEM CSL_CITATION {"citationID":"8Q90oRwA","properties":{"formattedCitation":"(Weisberg et al., 1997)","plainCitation":"(Weisberg et al., 1997)","noteIndex":0},"citationItems":[{"id":1848,"uris":["http://zotero.org/users/2392341/items/7FJKSGXD"],"uri":["http://zotero.org/users/2392341/items/7FJKSGXD"],"itemData":{"id":1848,"type":"article-journal","title":"An estuarine Benthic Index of Biotic Integrity (B-IBI) for Chesapeake Bay","container-title":"Est. Coasts","page":"149-158","volume":"20","issue":"1","author":[{"family":"Weisberg","given":"Stephen B."},{"family":"Ranasinghe","given":"A."},{"family":"Dauer","given":"D."},{"family":"Schaffner","given":"L."}],"issued":{"date-parts":[["1997"]]}}}],"schema":"https://github.com/citation-style-language/schema/raw/master/csl-citation.json"} </w:instrText>
      </w:r>
      <w:r w:rsidRPr="00903B3A">
        <w:rPr>
          <w:szCs w:val="22"/>
        </w:rPr>
        <w:fldChar w:fldCharType="separate"/>
      </w:r>
      <w:r w:rsidRPr="00903B3A">
        <w:rPr>
          <w:szCs w:val="22"/>
        </w:rPr>
        <w:t>(Weisberg et al., 1997)</w:t>
      </w:r>
      <w:r w:rsidRPr="00903B3A">
        <w:rPr>
          <w:szCs w:val="22"/>
        </w:rPr>
        <w:fldChar w:fldCharType="end"/>
      </w:r>
      <w:r w:rsidRPr="00903B3A">
        <w:rPr>
          <w:szCs w:val="22"/>
        </w:rPr>
        <w:t xml:space="preserve">. The number of metrics that differed significantly between sites of high and low quality in the calibration dataset was considerably smaller in the tidal freshwater and oligohaline habitat, and index validation efficiency was progressively weaker at lower salinities </w:t>
      </w:r>
      <w:r w:rsidRPr="00903B3A">
        <w:rPr>
          <w:szCs w:val="22"/>
        </w:rPr>
        <w:fldChar w:fldCharType="begin"/>
      </w:r>
      <w:r w:rsidRPr="00903B3A">
        <w:rPr>
          <w:szCs w:val="22"/>
        </w:rPr>
        <w:instrText xml:space="preserve"> ADDIN ZOTERO_ITEM CSL_CITATION {"citationID":"ldveoDRt","properties":{"formattedCitation":"(Weisberg et al., 1997)","plainCitation":"(Weisberg et al., 1997)","noteIndex":0},"citationItems":[{"id":1848,"uris":["http://zotero.org/users/2392341/items/7FJKSGXD"],"uri":["http://zotero.org/users/2392341/items/7FJKSGXD"],"itemData":{"id":1848,"type":"article-journal","title":"An estuarine Benthic Index of Biotic Integrity (B-IBI) for Chesapeake Bay","container-title":"Est. Coasts","page":"149-158","volume":"20","issue":"1","author":[{"family":"Weisberg","given":"Stephen B."},{"family":"Ranasinghe","given":"A."},{"family":"Dauer","given":"D."},{"family":"Schaffner","given":"L."}],"issued":{"date-parts":[["1997"]]}}}],"schema":"https://github.com/citation-style-language/schema/raw/master/csl-citation.json"} </w:instrText>
      </w:r>
      <w:r w:rsidRPr="00903B3A">
        <w:rPr>
          <w:szCs w:val="22"/>
        </w:rPr>
        <w:fldChar w:fldCharType="separate"/>
      </w:r>
      <w:r w:rsidRPr="00903B3A">
        <w:rPr>
          <w:szCs w:val="22"/>
        </w:rPr>
        <w:t>(Weisberg et al., 1997)</w:t>
      </w:r>
      <w:r w:rsidRPr="00903B3A">
        <w:rPr>
          <w:szCs w:val="22"/>
        </w:rPr>
        <w:fldChar w:fldCharType="end"/>
      </w:r>
      <w:r w:rsidRPr="00903B3A">
        <w:rPr>
          <w:szCs w:val="22"/>
        </w:rPr>
        <w:t xml:space="preserve">. </w:t>
      </w:r>
      <w:r w:rsidRPr="00903B3A">
        <w:rPr>
          <w:b/>
        </w:rPr>
        <w:t>Because it was not related to human disturbance in tidal fresh/oligohaline areas, Shannon diversity is not used</w:t>
      </w:r>
      <w:r w:rsidRPr="00903B3A">
        <w:t xml:space="preserve"> in calculating </w:t>
      </w:r>
      <w:r w:rsidRPr="00903B3A">
        <w:rPr>
          <w:rFonts w:ascii="Calibri" w:hAnsi="Calibri" w:cs="Calibri"/>
          <w:color w:val="000000"/>
        </w:rPr>
        <w:t xml:space="preserve">the Chesapeake Bay Benthic Index for Biotic Integrity in </w:t>
      </w:r>
      <w:r w:rsidRPr="00903B3A">
        <w:t>tidal fresh/oligohaline areas</w:t>
      </w:r>
      <w:r w:rsidRPr="00903B3A">
        <w:rPr>
          <w:rFonts w:ascii="Calibri" w:hAnsi="Calibri" w:cs="Calibri"/>
          <w:color w:val="000000"/>
        </w:rPr>
        <w:t xml:space="preserve">.  Shannon diversity is one </w:t>
      </w:r>
      <w:r w:rsidRPr="00903B3A">
        <w:rPr>
          <w:rFonts w:ascii="Calibri" w:hAnsi="Calibri" w:cs="Calibri"/>
          <w:b/>
          <w:bCs/>
          <w:color w:val="000000"/>
        </w:rPr>
        <w:t>of several metrics</w:t>
      </w:r>
      <w:r w:rsidRPr="00903B3A">
        <w:rPr>
          <w:rFonts w:ascii="Calibri" w:hAnsi="Calibri" w:cs="Calibri"/>
          <w:color w:val="000000"/>
        </w:rPr>
        <w:t xml:space="preserve"> used for higher salinity areas </w:t>
      </w:r>
      <w:r w:rsidRPr="00903B3A">
        <w:rPr>
          <w:szCs w:val="22"/>
        </w:rPr>
        <w:fldChar w:fldCharType="begin"/>
      </w:r>
      <w:r w:rsidRPr="00903B3A">
        <w:rPr>
          <w:szCs w:val="22"/>
        </w:rPr>
        <w:instrText xml:space="preserve"> ADDIN ZOTERO_ITEM CSL_CITATION {"citationID":"bDawqt9k","properties":{"formattedCitation":"(Weisberg et al., 1997)","plainCitation":"(Weisberg et al., 1997)","noteIndex":0},"citationItems":[{"id":1848,"uris":["http://zotero.org/users/2392341/items/7FJKSGXD"],"uri":["http://zotero.org/users/2392341/items/7FJKSGXD"],"itemData":{"id":1848,"type":"article-journal","title":"An estuarine Benthic Index of Biotic Integrity (B-IBI) for Chesapeake Bay","container-title":"Est. Coasts","page":"149-158","volume":"20","issue":"1","author":[{"family":"Weisberg","given":"Stephen B."},{"family":"Ranasinghe","given":"A."},{"family":"Dauer","given":"D."},{"family":"Schaffner","given":"L."}],"issued":{"date-parts":[["1997"]]}}}],"schema":"https://github.com/citation-style-language/schema/raw/master/csl-citation.json"} </w:instrText>
      </w:r>
      <w:r w:rsidRPr="00903B3A">
        <w:rPr>
          <w:szCs w:val="22"/>
        </w:rPr>
        <w:fldChar w:fldCharType="separate"/>
      </w:r>
      <w:r w:rsidRPr="00903B3A">
        <w:rPr>
          <w:szCs w:val="22"/>
        </w:rPr>
        <w:t>(Weisberg et al., 1997)</w:t>
      </w:r>
      <w:r w:rsidRPr="00903B3A">
        <w:rPr>
          <w:szCs w:val="22"/>
        </w:rPr>
        <w:fldChar w:fldCharType="end"/>
      </w:r>
      <w:r w:rsidRPr="00903B3A">
        <w:t>.</w:t>
      </w:r>
    </w:p>
    <w:p w14:paraId="0BC1A808" w14:textId="77777777" w:rsidR="00124BA1" w:rsidRPr="00903B3A" w:rsidRDefault="00124BA1" w:rsidP="00124BA1">
      <w:pPr>
        <w:pStyle w:val="BodyText"/>
        <w:jc w:val="both"/>
      </w:pPr>
      <w:r w:rsidRPr="00903B3A">
        <w:fldChar w:fldCharType="begin"/>
      </w:r>
      <w:r w:rsidRPr="00903B3A">
        <w:instrText xml:space="preserve"> ADDIN ZOTERO_ITEM CSL_CITATION {"citationID":"dmh0vpOE","properties":{"formattedCitation":"(Cooksey and Hyland, 2007)","plainCitation":"(Cooksey and Hyland, 2007)","dontUpdate":true,"noteIndex":0},"citationItems":[{"id":1852,"uris":["http://zotero.org/users/2392341/items/SCE6U9YG"],"uri":["http://zotero.org/users/2392341/items/SCE6U9YG"],"itemData":{"id":1852,"type":"article-journal","title":"Sediment quality of the Lower St. Johns River, Florida: An integrative assessment of benthic fauna, sediment-associated stressors, and general habitat characteristics","container-title":"Marine Pollution Bulletin","page":"9-21","volume":"54","issue":"1","source":"Crossref","abstract":"Sediment quality of the lower St. Johns River (LSJR) estuary, Florida was evaluated using synoptic data on benthic community structure, levels of potential stressors (chemical contaminants, ammonia and sulﬁde), and other basic habitat characteristics (depth, dissolved oxygen, salinity, temperature) collected at seven stations, three times a year from July 2000–July 2002. Un-ionized ammonia and hydrogen sulﬁde were detected at toxic levels on at least one sampling occasion at four stations. Chemical contamination of sediment at probable bioeﬀect levels also was observed at four stations. Concentrations of pesticides or other chemical substances typically associated with human activities (e.g., PCBs) were detectable at all stations, though not always present at concentrations likely of causing signiﬁcant bioeﬀects. A total of 251 taxa and 9783 individuals were identiﬁed and enumerated from the benthic infaunal samples. Polychaete worms and molluscs dominated the benthic fauna at all seven stations. The opportunistic and pollution-tolerant polychaete Streblospio benedicti was the most abundant species overall (from all samples combined), appearing as a dominant at ﬁve of the seven stations. Overall, the sites sampled as part of this study indicate a highly stressed benthos resulting from multiple anthropogenic impacts.","DOI":"10.1016/j.marpolbul.2006.09.007","ISSN":"0025326X","title-short":"Sediment quality of the Lower St. Johns River, Florida","language":"en","author":[{"family":"Cooksey","given":"Cynthia"},{"family":"Hyland","given":"Jeff"}],"issued":{"date-parts":[["2007",1]]}}}],"schema":"https://github.com/citation-style-language/schema/raw/master/csl-citation.json"} </w:instrText>
      </w:r>
      <w:r w:rsidRPr="00903B3A">
        <w:fldChar w:fldCharType="separate"/>
      </w:r>
      <w:r w:rsidRPr="00903B3A">
        <w:rPr>
          <w:rFonts w:ascii="Calibri" w:hAnsi="Calibri" w:cs="Calibri"/>
        </w:rPr>
        <w:t>Cooksey and Hyland (2007)</w:t>
      </w:r>
      <w:r w:rsidRPr="00903B3A">
        <w:fldChar w:fldCharType="end"/>
      </w:r>
      <w:r w:rsidRPr="00903B3A">
        <w:t xml:space="preserve"> conducted benthic invertebrate sampling of the Lower St. Johns River, and two of their sites (Dames Point and Mill Cove) were &lt;10 km apart.  The Dames Point site was situated in an area with more tidal velocity than the Mill Cove site.  Shannon-Weaver diversity averaged 2.7 at Dames point (ranging from 2.0 to 4.6, or </w:t>
      </w:r>
      <w:r w:rsidRPr="00903B3A">
        <w:rPr>
          <w:b/>
        </w:rPr>
        <w:t>57% variability</w:t>
      </w:r>
      <w:r w:rsidRPr="00903B3A">
        <w:t xml:space="preserve">) and diversity was </w:t>
      </w:r>
      <w:r w:rsidRPr="00903B3A">
        <w:rPr>
          <w:b/>
        </w:rPr>
        <w:t>56% lower</w:t>
      </w:r>
      <w:r w:rsidRPr="00903B3A">
        <w:t xml:space="preserve"> (averaging 1.2) at Mill Cove (ranging from 0.1 to 2.9, or </w:t>
      </w:r>
      <w:r w:rsidRPr="00903B3A">
        <w:rPr>
          <w:b/>
        </w:rPr>
        <w:t>97% variability</w:t>
      </w:r>
      <w:r w:rsidRPr="00903B3A">
        <w:t xml:space="preserve">).  Salinity, dissolved oxygen, and sediment TOC were similar between the two sites. </w:t>
      </w:r>
    </w:p>
    <w:p w14:paraId="1F57F8B9" w14:textId="77777777" w:rsidR="00124BA1" w:rsidRPr="005301EB" w:rsidRDefault="00124BA1" w:rsidP="00124BA1">
      <w:pPr>
        <w:pStyle w:val="BodyText"/>
        <w:jc w:val="both"/>
      </w:pPr>
      <w:r w:rsidRPr="00903B3A">
        <w:t xml:space="preserve">The above examples indicate that the 25% change specified in the Rule does not adequately account for the variability in the diversity index found in nature.  This fact, coupled with the ineffectiveness of diversity as a metric related to human disturbance in tidal fresh/oligohaline conditions, suggests the use of the index for regulatory purposes is of questionable validity </w:t>
      </w:r>
      <w:r w:rsidRPr="00903B3A">
        <w:fldChar w:fldCharType="begin"/>
      </w:r>
      <w:r w:rsidRPr="00903B3A">
        <w:instrText xml:space="preserve"> ADDIN ZOTERO_ITEM CSL_CITATION {"citationID":"S9HCkNby","properties":{"formattedCitation":"(Weisberg et al., 1997)","plainCitation":"(Weisberg et al., 1997)","noteIndex":0},"citationItems":[{"id":1848,"uris":["http://zotero.org/users/2392341/items/7FJKSGXD"],"uri":["http://zotero.org/users/2392341/items/7FJKSGXD"],"itemData":{"id":1848,"type":"article-journal","title":"An estuarine Benthic Index of Biotic Integrity (B-IBI) for Chesapeake Bay","container-title":"Est. Coasts","page":"149-158","volume":"20","issue":"1","author":[{"family":"Weisberg","given":"Stephen B."},{"family":"Ranasinghe","given":"A."},{"family":"Dauer","given":"D."},{"family":"Schaffner","given":"L."}],"issued":{"date-parts":[["1997"]]}}}],"schema":"https://github.com/citation-style-language/schema/raw/master/csl-citation.json"} </w:instrText>
      </w:r>
      <w:r w:rsidRPr="00903B3A">
        <w:fldChar w:fldCharType="separate"/>
      </w:r>
      <w:r w:rsidRPr="00903B3A">
        <w:rPr>
          <w:rFonts w:ascii="Calibri" w:hAnsi="Calibri" w:cs="Calibri"/>
        </w:rPr>
        <w:t>(Weisberg et al., 1997)</w:t>
      </w:r>
      <w:r w:rsidRPr="00903B3A">
        <w:fldChar w:fldCharType="end"/>
      </w:r>
      <w:r w:rsidRPr="00903B3A">
        <w:t xml:space="preserve">. </w:t>
      </w:r>
      <w:r w:rsidRPr="005301EB">
        <w:t>The Shannon-Weaver diversity index is an antiquated criterion, with little to no scientific support.  FDEP must either must scientifically demonstrate the validity of this metric in all waterbody types or discard its use entirely.  Ideally, FDEP would develop multi-metric tools (e.g., SCI, LVI) for all systems types and calibrate these indexes using the EPA Biological Condition Gradient method.</w:t>
      </w:r>
    </w:p>
    <w:p w14:paraId="7D6CB37E" w14:textId="098C571E" w:rsidR="00821EB0" w:rsidRDefault="001B05D6" w:rsidP="009C440F">
      <w:pPr>
        <w:jc w:val="both"/>
      </w:pPr>
      <w:r>
        <w:t>FDEP, until they develop a better assessment tool, should treat Shannon-weaver diversities taken over time with the appropriate statistical analysis (</w:t>
      </w:r>
      <w:r w:rsidRPr="003F6AAE">
        <w:rPr>
          <w:i/>
          <w:iCs/>
        </w:rPr>
        <w:t>i.e</w:t>
      </w:r>
      <w:r>
        <w:t>. recognize that seasonality influences diversity, that diversity is not static, and that the mean and confidence intervals of multiple measurements over time is a more accurate reflection of diversity differences than a single measurement</w:t>
      </w:r>
      <w:r w:rsidR="009C440F">
        <w:t>)</w:t>
      </w:r>
      <w:r>
        <w:t>. FDEP is in fact, required to take</w:t>
      </w:r>
      <w:r w:rsidR="003F6AAE">
        <w:t xml:space="preserve"> this</w:t>
      </w:r>
      <w:r>
        <w:t xml:space="preserve"> variability into account</w:t>
      </w:r>
      <w:r w:rsidR="003F6AAE">
        <w:t xml:space="preserve"> for regulatory purposes</w:t>
      </w:r>
      <w:r>
        <w:t>.</w:t>
      </w:r>
    </w:p>
    <w:p w14:paraId="0690825E" w14:textId="7F54DEF6" w:rsidR="001B05D6" w:rsidRDefault="001B05D6" w:rsidP="009C440F">
      <w:pPr>
        <w:jc w:val="both"/>
      </w:pPr>
      <w:r>
        <w:t xml:space="preserve">FDEP must document and demonstrate that a 25% difference in a single Shannon-Weaver diversity sample at two sites is biologically meaningful, that a 25% difference is linked to a degradation of the </w:t>
      </w:r>
      <w:r w:rsidR="009C440F">
        <w:t xml:space="preserve">aquatic life </w:t>
      </w:r>
      <w:r w:rsidR="009C440F">
        <w:lastRenderedPageBreak/>
        <w:t>use support</w:t>
      </w:r>
      <w:r>
        <w:t xml:space="preserve">, that this difference is consistently the result of human disturbance, </w:t>
      </w:r>
      <w:r w:rsidR="002133EE">
        <w:t xml:space="preserve">that a 25% difference in low diversity systems is equivalent to a 25% difference in high diversity systems, </w:t>
      </w:r>
      <w:r>
        <w:t>and that the diverse ecosystems across Florida respond in the same consistent manner</w:t>
      </w:r>
      <w:r w:rsidR="009C440F">
        <w:t xml:space="preserve"> (all become unable to meet designated use when diversity changes by 25%)</w:t>
      </w:r>
      <w:r>
        <w:t>.</w:t>
      </w:r>
      <w:r w:rsidR="009C440F">
        <w:t xml:space="preserve"> Further, FDEP must demonstrate that a single 25% difference in diversity, which ceases to exist upon a measurement months later, is a clear demonstration of failure to attain designated use. Otherwise, failure to take the variability of diversity</w:t>
      </w:r>
      <w:r w:rsidR="002133EE">
        <w:t xml:space="preserve"> into account</w:t>
      </w:r>
      <w:r w:rsidR="009C440F">
        <w:t xml:space="preserve">, </w:t>
      </w:r>
      <w:r w:rsidR="001437CD">
        <w:t xml:space="preserve">which is </w:t>
      </w:r>
      <w:r w:rsidR="009C440F">
        <w:t xml:space="preserve">a </w:t>
      </w:r>
      <w:proofErr w:type="spellStart"/>
      <w:r w:rsidR="009C440F">
        <w:t>well documented</w:t>
      </w:r>
      <w:proofErr w:type="spellEnd"/>
      <w:r w:rsidR="009C440F">
        <w:t xml:space="preserve"> phenomenon in the scientific literature, would be arbitrary</w:t>
      </w:r>
      <w:r w:rsidR="002133EE">
        <w:t>.</w:t>
      </w:r>
    </w:p>
    <w:p w14:paraId="0E6A104E" w14:textId="77777777" w:rsidR="009C440F" w:rsidRPr="00821EB0" w:rsidRDefault="009C440F" w:rsidP="007E5E7C"/>
    <w:p w14:paraId="1D078A71" w14:textId="2136DF87" w:rsidR="0093589C" w:rsidRDefault="0093589C" w:rsidP="000C3B75">
      <w:pPr>
        <w:pStyle w:val="Heading1"/>
        <w:jc w:val="both"/>
      </w:pPr>
      <w:bookmarkStart w:id="38" w:name="_Toc24974551"/>
      <w:r>
        <w:t>Literature Cited</w:t>
      </w:r>
      <w:bookmarkEnd w:id="38"/>
    </w:p>
    <w:p w14:paraId="32E174DF" w14:textId="77777777" w:rsidR="00DD2B18" w:rsidRPr="00DD2B18" w:rsidRDefault="0093589C" w:rsidP="00DD2B18">
      <w:pPr>
        <w:pStyle w:val="Bibliography"/>
        <w:rPr>
          <w:rFonts w:ascii="Calibri" w:hAnsi="Calibri" w:cs="Calibri"/>
        </w:rPr>
      </w:pPr>
      <w:r>
        <w:fldChar w:fldCharType="begin"/>
      </w:r>
      <w:r w:rsidR="00DD2B18">
        <w:instrText xml:space="preserve"> ADDIN ZOTERO_BIBL {"uncited":[],"omitted":[],"custom":[]} CSL_BIBLIOGRAPHY </w:instrText>
      </w:r>
      <w:r>
        <w:fldChar w:fldCharType="separate"/>
      </w:r>
      <w:r w:rsidR="00DD2B18" w:rsidRPr="00DD2B18">
        <w:rPr>
          <w:rFonts w:ascii="Calibri" w:hAnsi="Calibri" w:cs="Calibri"/>
        </w:rPr>
        <w:t xml:space="preserve">Cooksey, C., and Hyland, J. (2007). Sediment quality of the Lower St. Johns River, Florida: An integrative assessment of benthic fauna, sediment-associated stressors, and general habitat characteristics. Mar. Pollut. Bull. </w:t>
      </w:r>
      <w:r w:rsidR="00DD2B18" w:rsidRPr="00DD2B18">
        <w:rPr>
          <w:rFonts w:ascii="Calibri" w:hAnsi="Calibri" w:cs="Calibri"/>
          <w:i/>
          <w:iCs/>
        </w:rPr>
        <w:t>54</w:t>
      </w:r>
      <w:r w:rsidR="00DD2B18" w:rsidRPr="00DD2B18">
        <w:rPr>
          <w:rFonts w:ascii="Calibri" w:hAnsi="Calibri" w:cs="Calibri"/>
        </w:rPr>
        <w:t>, 9–21.</w:t>
      </w:r>
    </w:p>
    <w:p w14:paraId="0E4D6243" w14:textId="77777777" w:rsidR="00DD2B18" w:rsidRPr="00DD2B18" w:rsidRDefault="00DD2B18" w:rsidP="00DD2B18">
      <w:pPr>
        <w:pStyle w:val="Bibliography"/>
        <w:rPr>
          <w:rFonts w:ascii="Calibri" w:hAnsi="Calibri" w:cs="Calibri"/>
        </w:rPr>
      </w:pPr>
      <w:r w:rsidRPr="00DD2B18">
        <w:rPr>
          <w:rFonts w:ascii="Calibri" w:hAnsi="Calibri" w:cs="Calibri"/>
        </w:rPr>
        <w:t>Justus, J. (2011). A case study in concept determination: ecological diversity. In Handbook of the Philosophy of Science, pp. 147–168.</w:t>
      </w:r>
    </w:p>
    <w:p w14:paraId="49BF503F" w14:textId="77777777" w:rsidR="00DD2B18" w:rsidRPr="00DD2B18" w:rsidRDefault="00DD2B18" w:rsidP="00DD2B18">
      <w:pPr>
        <w:pStyle w:val="Bibliography"/>
        <w:rPr>
          <w:rFonts w:ascii="Calibri" w:hAnsi="Calibri" w:cs="Calibri"/>
        </w:rPr>
      </w:pPr>
      <w:r w:rsidRPr="00DD2B18">
        <w:rPr>
          <w:rFonts w:ascii="Calibri" w:hAnsi="Calibri" w:cs="Calibri"/>
        </w:rPr>
        <w:t>Niu, X. (2005). Statistical procedures for Testing Homogeneity of Water Quality Parameters.</w:t>
      </w:r>
    </w:p>
    <w:p w14:paraId="4B766BA9" w14:textId="77777777" w:rsidR="00DD2B18" w:rsidRPr="00DD2B18" w:rsidRDefault="00DD2B18" w:rsidP="00DD2B18">
      <w:pPr>
        <w:pStyle w:val="Bibliography"/>
        <w:rPr>
          <w:rFonts w:ascii="Calibri" w:hAnsi="Calibri" w:cs="Calibri"/>
        </w:rPr>
      </w:pPr>
      <w:r w:rsidRPr="00DD2B18">
        <w:rPr>
          <w:rFonts w:ascii="Calibri" w:hAnsi="Calibri" w:cs="Calibri"/>
        </w:rPr>
        <w:t>Odum, W.E., Smith, T.J., Hoover, J.K., and McIvor, C.C. (1984). The ecology of tidal freshwater marshes of the United States east coast: a community profile.</w:t>
      </w:r>
    </w:p>
    <w:p w14:paraId="190D0604" w14:textId="77777777" w:rsidR="00DD2B18" w:rsidRPr="00DD2B18" w:rsidRDefault="00DD2B18" w:rsidP="00DD2B18">
      <w:pPr>
        <w:pStyle w:val="Bibliography"/>
        <w:rPr>
          <w:rFonts w:ascii="Calibri" w:hAnsi="Calibri" w:cs="Calibri"/>
        </w:rPr>
      </w:pPr>
      <w:r w:rsidRPr="00DD2B18">
        <w:rPr>
          <w:rFonts w:ascii="Calibri" w:hAnsi="Calibri" w:cs="Calibri"/>
        </w:rPr>
        <w:t xml:space="preserve">Reiss, H., and Kröncke, I. (2005). Seasonal variability of benthic indices: An approach to test the applicability of different indices for ecosystem quality assessment. Mar. Pollut. Bull. </w:t>
      </w:r>
      <w:r w:rsidRPr="00DD2B18">
        <w:rPr>
          <w:rFonts w:ascii="Calibri" w:hAnsi="Calibri" w:cs="Calibri"/>
          <w:i/>
          <w:iCs/>
        </w:rPr>
        <w:t>50</w:t>
      </w:r>
      <w:r w:rsidRPr="00DD2B18">
        <w:rPr>
          <w:rFonts w:ascii="Calibri" w:hAnsi="Calibri" w:cs="Calibri"/>
        </w:rPr>
        <w:t>, 1490–1499.</w:t>
      </w:r>
    </w:p>
    <w:p w14:paraId="23AC9634" w14:textId="77777777" w:rsidR="00DD2B18" w:rsidRPr="00DD2B18" w:rsidRDefault="00DD2B18" w:rsidP="00DD2B18">
      <w:pPr>
        <w:pStyle w:val="Bibliography"/>
        <w:rPr>
          <w:rFonts w:ascii="Calibri" w:hAnsi="Calibri" w:cs="Calibri"/>
        </w:rPr>
      </w:pPr>
      <w:r w:rsidRPr="00DD2B18">
        <w:rPr>
          <w:rFonts w:ascii="Calibri" w:hAnsi="Calibri" w:cs="Calibri"/>
        </w:rPr>
        <w:t xml:space="preserve">Washington, H. (1984). Diversity, biotic and similarity indices: a review with special relecance to aquatic ecosystems. Water Res </w:t>
      </w:r>
      <w:r w:rsidRPr="00DD2B18">
        <w:rPr>
          <w:rFonts w:ascii="Calibri" w:hAnsi="Calibri" w:cs="Calibri"/>
          <w:i/>
          <w:iCs/>
        </w:rPr>
        <w:t>18</w:t>
      </w:r>
      <w:r w:rsidRPr="00DD2B18">
        <w:rPr>
          <w:rFonts w:ascii="Calibri" w:hAnsi="Calibri" w:cs="Calibri"/>
        </w:rPr>
        <w:t>, 653–694.</w:t>
      </w:r>
    </w:p>
    <w:p w14:paraId="2F0B1F0F" w14:textId="77777777" w:rsidR="00DD2B18" w:rsidRPr="00DD2B18" w:rsidRDefault="00DD2B18" w:rsidP="00DD2B18">
      <w:pPr>
        <w:pStyle w:val="Bibliography"/>
        <w:rPr>
          <w:rFonts w:ascii="Calibri" w:hAnsi="Calibri" w:cs="Calibri"/>
        </w:rPr>
      </w:pPr>
      <w:r w:rsidRPr="00DD2B18">
        <w:rPr>
          <w:rFonts w:ascii="Calibri" w:hAnsi="Calibri" w:cs="Calibri"/>
        </w:rPr>
        <w:t xml:space="preserve">Weisberg, S.B., Ranasinghe, A., Dauer, D., and Schaffner, L. (1997). An estuarine Benthic Index of Biotic Integrity (B-IBI) for Chesapeake Bay. Est Coasts </w:t>
      </w:r>
      <w:r w:rsidRPr="00DD2B18">
        <w:rPr>
          <w:rFonts w:ascii="Calibri" w:hAnsi="Calibri" w:cs="Calibri"/>
          <w:i/>
          <w:iCs/>
        </w:rPr>
        <w:t>20</w:t>
      </w:r>
      <w:r w:rsidRPr="00DD2B18">
        <w:rPr>
          <w:rFonts w:ascii="Calibri" w:hAnsi="Calibri" w:cs="Calibri"/>
        </w:rPr>
        <w:t>, 149–158.</w:t>
      </w:r>
    </w:p>
    <w:p w14:paraId="5129F7A9" w14:textId="73419C0E" w:rsidR="0093589C" w:rsidRPr="0093589C" w:rsidRDefault="0093589C" w:rsidP="000C3B75">
      <w:pPr>
        <w:jc w:val="both"/>
      </w:pPr>
      <w:r>
        <w:fldChar w:fldCharType="end"/>
      </w:r>
    </w:p>
    <w:sectPr w:rsidR="0093589C" w:rsidRPr="0093589C" w:rsidSect="003878EB">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A6C12" w14:textId="77777777" w:rsidR="00865673" w:rsidRDefault="00865673" w:rsidP="00196B20">
      <w:pPr>
        <w:spacing w:after="0" w:line="240" w:lineRule="auto"/>
      </w:pPr>
      <w:r>
        <w:separator/>
      </w:r>
    </w:p>
  </w:endnote>
  <w:endnote w:type="continuationSeparator" w:id="0">
    <w:p w14:paraId="6F6BAFEA" w14:textId="77777777" w:rsidR="00865673" w:rsidRDefault="00865673" w:rsidP="00196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01C85" w14:textId="77777777" w:rsidR="00865673" w:rsidRDefault="00865673" w:rsidP="00196B20">
      <w:pPr>
        <w:spacing w:after="0" w:line="240" w:lineRule="auto"/>
      </w:pPr>
      <w:r>
        <w:separator/>
      </w:r>
    </w:p>
  </w:footnote>
  <w:footnote w:type="continuationSeparator" w:id="0">
    <w:p w14:paraId="2357D592" w14:textId="77777777" w:rsidR="00865673" w:rsidRDefault="00865673" w:rsidP="00196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F0D94"/>
    <w:multiLevelType w:val="hybridMultilevel"/>
    <w:tmpl w:val="6B7E5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A24F7"/>
    <w:multiLevelType w:val="hybridMultilevel"/>
    <w:tmpl w:val="D21CF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A6918"/>
    <w:multiLevelType w:val="hybridMultilevel"/>
    <w:tmpl w:val="1AC8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287094BC"/>
    <w:lvl w:ilvl="0">
      <w:start w:val="1"/>
      <w:numFmt w:val="decimal"/>
      <w:pStyle w:val="Heading1"/>
      <w:lvlText w:val="%1"/>
      <w:lvlJc w:val="left"/>
      <w:pPr>
        <w:ind w:left="736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B6C336A"/>
    <w:multiLevelType w:val="hybridMultilevel"/>
    <w:tmpl w:val="6CC65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C44CEA"/>
    <w:multiLevelType w:val="multilevel"/>
    <w:tmpl w:val="E660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6845B8"/>
    <w:multiLevelType w:val="hybridMultilevel"/>
    <w:tmpl w:val="B9DA8F5C"/>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7" w15:restartNumberingAfterBreak="0">
    <w:nsid w:val="28922619"/>
    <w:multiLevelType w:val="hybridMultilevel"/>
    <w:tmpl w:val="84B80358"/>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8" w15:restartNumberingAfterBreak="0">
    <w:nsid w:val="3F5D1699"/>
    <w:multiLevelType w:val="hybridMultilevel"/>
    <w:tmpl w:val="4CB4F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DF0934"/>
    <w:multiLevelType w:val="hybridMultilevel"/>
    <w:tmpl w:val="9386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3A4D2B"/>
    <w:multiLevelType w:val="hybridMultilevel"/>
    <w:tmpl w:val="A5568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517CE5"/>
    <w:multiLevelType w:val="hybridMultilevel"/>
    <w:tmpl w:val="4E70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A93162"/>
    <w:multiLevelType w:val="hybridMultilevel"/>
    <w:tmpl w:val="C8481894"/>
    <w:lvl w:ilvl="0" w:tplc="744ADD6A">
      <w:start w:val="7"/>
      <w:numFmt w:val="bullet"/>
      <w:lvlText w:val=""/>
      <w:lvlJc w:val="left"/>
      <w:pPr>
        <w:ind w:left="576" w:hanging="360"/>
      </w:pPr>
      <w:rPr>
        <w:rFonts w:ascii="Symbol" w:eastAsia="Times New Roman" w:hAnsi="Symbol" w:cstheme="minorBidi"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3" w15:restartNumberingAfterBreak="0">
    <w:nsid w:val="6F014AC7"/>
    <w:multiLevelType w:val="hybridMultilevel"/>
    <w:tmpl w:val="D738F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5F6B36"/>
    <w:multiLevelType w:val="hybridMultilevel"/>
    <w:tmpl w:val="77DA6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2514B4"/>
    <w:multiLevelType w:val="hybridMultilevel"/>
    <w:tmpl w:val="054E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427270"/>
    <w:multiLevelType w:val="hybridMultilevel"/>
    <w:tmpl w:val="E1B0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4"/>
  </w:num>
  <w:num w:numId="4">
    <w:abstractNumId w:val="6"/>
  </w:num>
  <w:num w:numId="5">
    <w:abstractNumId w:val="7"/>
  </w:num>
  <w:num w:numId="6">
    <w:abstractNumId w:val="9"/>
  </w:num>
  <w:num w:numId="7">
    <w:abstractNumId w:val="0"/>
  </w:num>
  <w:num w:numId="8">
    <w:abstractNumId w:val="13"/>
  </w:num>
  <w:num w:numId="9">
    <w:abstractNumId w:val="15"/>
  </w:num>
  <w:num w:numId="10">
    <w:abstractNumId w:val="2"/>
  </w:num>
  <w:num w:numId="11">
    <w:abstractNumId w:val="14"/>
  </w:num>
  <w:num w:numId="12">
    <w:abstractNumId w:val="10"/>
  </w:num>
  <w:num w:numId="13">
    <w:abstractNumId w:val="12"/>
  </w:num>
  <w:num w:numId="14">
    <w:abstractNumId w:val="5"/>
  </w:num>
  <w:num w:numId="15">
    <w:abstractNumId w:val="16"/>
  </w:num>
  <w:num w:numId="16">
    <w:abstractNumId w:val="1"/>
  </w:num>
  <w:num w:numId="17">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885"/>
    <w:rsid w:val="00001E1C"/>
    <w:rsid w:val="0000272C"/>
    <w:rsid w:val="00003427"/>
    <w:rsid w:val="00003E79"/>
    <w:rsid w:val="000043C0"/>
    <w:rsid w:val="000045D6"/>
    <w:rsid w:val="00005A07"/>
    <w:rsid w:val="00006418"/>
    <w:rsid w:val="00006BDA"/>
    <w:rsid w:val="00006DBE"/>
    <w:rsid w:val="0000721D"/>
    <w:rsid w:val="00010379"/>
    <w:rsid w:val="00010F2A"/>
    <w:rsid w:val="00011105"/>
    <w:rsid w:val="00011CDA"/>
    <w:rsid w:val="0001440B"/>
    <w:rsid w:val="000147C7"/>
    <w:rsid w:val="00014C4E"/>
    <w:rsid w:val="00015AC1"/>
    <w:rsid w:val="00016044"/>
    <w:rsid w:val="000163FF"/>
    <w:rsid w:val="00021BFA"/>
    <w:rsid w:val="0002201D"/>
    <w:rsid w:val="000226D7"/>
    <w:rsid w:val="00022977"/>
    <w:rsid w:val="000242B8"/>
    <w:rsid w:val="00024FE1"/>
    <w:rsid w:val="00025769"/>
    <w:rsid w:val="00027261"/>
    <w:rsid w:val="000277F2"/>
    <w:rsid w:val="0002793D"/>
    <w:rsid w:val="00027A08"/>
    <w:rsid w:val="00030516"/>
    <w:rsid w:val="00030971"/>
    <w:rsid w:val="00031024"/>
    <w:rsid w:val="000315BB"/>
    <w:rsid w:val="00035AAA"/>
    <w:rsid w:val="00036134"/>
    <w:rsid w:val="000370B2"/>
    <w:rsid w:val="0004232B"/>
    <w:rsid w:val="00042BC1"/>
    <w:rsid w:val="000433E8"/>
    <w:rsid w:val="00044790"/>
    <w:rsid w:val="000449F8"/>
    <w:rsid w:val="00045401"/>
    <w:rsid w:val="00045CF8"/>
    <w:rsid w:val="00046029"/>
    <w:rsid w:val="000466F1"/>
    <w:rsid w:val="00046C43"/>
    <w:rsid w:val="00046E92"/>
    <w:rsid w:val="00047866"/>
    <w:rsid w:val="000479E3"/>
    <w:rsid w:val="00050268"/>
    <w:rsid w:val="0005065F"/>
    <w:rsid w:val="00050F00"/>
    <w:rsid w:val="000530DA"/>
    <w:rsid w:val="00053FA9"/>
    <w:rsid w:val="00054622"/>
    <w:rsid w:val="00054F1C"/>
    <w:rsid w:val="0005591F"/>
    <w:rsid w:val="00056B65"/>
    <w:rsid w:val="00057087"/>
    <w:rsid w:val="00061493"/>
    <w:rsid w:val="00061CFA"/>
    <w:rsid w:val="00064E6F"/>
    <w:rsid w:val="00064FAE"/>
    <w:rsid w:val="00065F66"/>
    <w:rsid w:val="00066BA1"/>
    <w:rsid w:val="00066F57"/>
    <w:rsid w:val="00067A6D"/>
    <w:rsid w:val="00071886"/>
    <w:rsid w:val="0007220F"/>
    <w:rsid w:val="00072535"/>
    <w:rsid w:val="00072CB1"/>
    <w:rsid w:val="00074AD1"/>
    <w:rsid w:val="00074F2F"/>
    <w:rsid w:val="00077248"/>
    <w:rsid w:val="00077975"/>
    <w:rsid w:val="00077F8E"/>
    <w:rsid w:val="000800C5"/>
    <w:rsid w:val="0008045C"/>
    <w:rsid w:val="00080DB8"/>
    <w:rsid w:val="00082EDC"/>
    <w:rsid w:val="000836A5"/>
    <w:rsid w:val="00084207"/>
    <w:rsid w:val="000845F8"/>
    <w:rsid w:val="00084887"/>
    <w:rsid w:val="000864D2"/>
    <w:rsid w:val="0009009C"/>
    <w:rsid w:val="0009192A"/>
    <w:rsid w:val="0009202A"/>
    <w:rsid w:val="000953FA"/>
    <w:rsid w:val="00095B2A"/>
    <w:rsid w:val="00095D36"/>
    <w:rsid w:val="000963CC"/>
    <w:rsid w:val="0009699D"/>
    <w:rsid w:val="00096CEC"/>
    <w:rsid w:val="00096D1A"/>
    <w:rsid w:val="00096EF2"/>
    <w:rsid w:val="000A0841"/>
    <w:rsid w:val="000A2B70"/>
    <w:rsid w:val="000A32B8"/>
    <w:rsid w:val="000A33F9"/>
    <w:rsid w:val="000A3617"/>
    <w:rsid w:val="000A36DF"/>
    <w:rsid w:val="000A4986"/>
    <w:rsid w:val="000A4BAF"/>
    <w:rsid w:val="000A5173"/>
    <w:rsid w:val="000A57D2"/>
    <w:rsid w:val="000A6C50"/>
    <w:rsid w:val="000A767B"/>
    <w:rsid w:val="000B0581"/>
    <w:rsid w:val="000B22F5"/>
    <w:rsid w:val="000B2941"/>
    <w:rsid w:val="000B3809"/>
    <w:rsid w:val="000B3B4E"/>
    <w:rsid w:val="000B3CA3"/>
    <w:rsid w:val="000B3D27"/>
    <w:rsid w:val="000B43C3"/>
    <w:rsid w:val="000B488E"/>
    <w:rsid w:val="000B5192"/>
    <w:rsid w:val="000B6023"/>
    <w:rsid w:val="000B6B20"/>
    <w:rsid w:val="000B6EA6"/>
    <w:rsid w:val="000C05AF"/>
    <w:rsid w:val="000C0DE7"/>
    <w:rsid w:val="000C1B17"/>
    <w:rsid w:val="000C2A66"/>
    <w:rsid w:val="000C2BB9"/>
    <w:rsid w:val="000C39AE"/>
    <w:rsid w:val="000C3B75"/>
    <w:rsid w:val="000C4852"/>
    <w:rsid w:val="000C5646"/>
    <w:rsid w:val="000C7D3A"/>
    <w:rsid w:val="000D0D46"/>
    <w:rsid w:val="000D17D8"/>
    <w:rsid w:val="000D1868"/>
    <w:rsid w:val="000D1D22"/>
    <w:rsid w:val="000D2C84"/>
    <w:rsid w:val="000D4190"/>
    <w:rsid w:val="000D4B13"/>
    <w:rsid w:val="000D4B1B"/>
    <w:rsid w:val="000D706A"/>
    <w:rsid w:val="000E0250"/>
    <w:rsid w:val="000E02D9"/>
    <w:rsid w:val="000E0BFE"/>
    <w:rsid w:val="000E12F8"/>
    <w:rsid w:val="000E1583"/>
    <w:rsid w:val="000E1626"/>
    <w:rsid w:val="000E1995"/>
    <w:rsid w:val="000E21B5"/>
    <w:rsid w:val="000E22DE"/>
    <w:rsid w:val="000E274D"/>
    <w:rsid w:val="000E2E21"/>
    <w:rsid w:val="000E3203"/>
    <w:rsid w:val="000E3597"/>
    <w:rsid w:val="000E37E5"/>
    <w:rsid w:val="000E3EC2"/>
    <w:rsid w:val="000E474F"/>
    <w:rsid w:val="000E4E21"/>
    <w:rsid w:val="000E4E9C"/>
    <w:rsid w:val="000E5708"/>
    <w:rsid w:val="000E5ACE"/>
    <w:rsid w:val="000E7106"/>
    <w:rsid w:val="000F23D7"/>
    <w:rsid w:val="000F2AEC"/>
    <w:rsid w:val="000F4395"/>
    <w:rsid w:val="000F44BB"/>
    <w:rsid w:val="000F5816"/>
    <w:rsid w:val="000F5FF3"/>
    <w:rsid w:val="000F64E5"/>
    <w:rsid w:val="000F6BB4"/>
    <w:rsid w:val="000F7C38"/>
    <w:rsid w:val="000F7D7C"/>
    <w:rsid w:val="0010065D"/>
    <w:rsid w:val="00100B54"/>
    <w:rsid w:val="00101D21"/>
    <w:rsid w:val="00101DDF"/>
    <w:rsid w:val="0010316D"/>
    <w:rsid w:val="00103F36"/>
    <w:rsid w:val="00107308"/>
    <w:rsid w:val="001100C8"/>
    <w:rsid w:val="00111962"/>
    <w:rsid w:val="00112390"/>
    <w:rsid w:val="001133E3"/>
    <w:rsid w:val="00115C5A"/>
    <w:rsid w:val="0012084F"/>
    <w:rsid w:val="0012160F"/>
    <w:rsid w:val="001225D2"/>
    <w:rsid w:val="00122A75"/>
    <w:rsid w:val="00123CBB"/>
    <w:rsid w:val="0012446E"/>
    <w:rsid w:val="00124BA1"/>
    <w:rsid w:val="001251D3"/>
    <w:rsid w:val="00125769"/>
    <w:rsid w:val="00127966"/>
    <w:rsid w:val="0013141D"/>
    <w:rsid w:val="00131EEF"/>
    <w:rsid w:val="00132919"/>
    <w:rsid w:val="00133622"/>
    <w:rsid w:val="00133C62"/>
    <w:rsid w:val="00135392"/>
    <w:rsid w:val="001362B9"/>
    <w:rsid w:val="00136814"/>
    <w:rsid w:val="00136CB3"/>
    <w:rsid w:val="0014008E"/>
    <w:rsid w:val="00140092"/>
    <w:rsid w:val="00140280"/>
    <w:rsid w:val="0014035C"/>
    <w:rsid w:val="00142501"/>
    <w:rsid w:val="00142A88"/>
    <w:rsid w:val="00142B60"/>
    <w:rsid w:val="00143148"/>
    <w:rsid w:val="001437CD"/>
    <w:rsid w:val="001454B2"/>
    <w:rsid w:val="00145B8A"/>
    <w:rsid w:val="00146B97"/>
    <w:rsid w:val="00147684"/>
    <w:rsid w:val="00150D7B"/>
    <w:rsid w:val="00151F06"/>
    <w:rsid w:val="00151FBC"/>
    <w:rsid w:val="00152EB1"/>
    <w:rsid w:val="0015327D"/>
    <w:rsid w:val="00155979"/>
    <w:rsid w:val="00157D45"/>
    <w:rsid w:val="001623DF"/>
    <w:rsid w:val="001624DF"/>
    <w:rsid w:val="00163341"/>
    <w:rsid w:val="00163CDB"/>
    <w:rsid w:val="00163F05"/>
    <w:rsid w:val="001646E9"/>
    <w:rsid w:val="00164990"/>
    <w:rsid w:val="001649DB"/>
    <w:rsid w:val="001649F5"/>
    <w:rsid w:val="00164CFE"/>
    <w:rsid w:val="00164FB4"/>
    <w:rsid w:val="00166B07"/>
    <w:rsid w:val="00170058"/>
    <w:rsid w:val="00170CAA"/>
    <w:rsid w:val="00171153"/>
    <w:rsid w:val="0017328A"/>
    <w:rsid w:val="00173E06"/>
    <w:rsid w:val="001748A5"/>
    <w:rsid w:val="0017545C"/>
    <w:rsid w:val="001766EF"/>
    <w:rsid w:val="001773ED"/>
    <w:rsid w:val="00177976"/>
    <w:rsid w:val="00177E0B"/>
    <w:rsid w:val="0018077F"/>
    <w:rsid w:val="0018089A"/>
    <w:rsid w:val="00181FDF"/>
    <w:rsid w:val="0018238D"/>
    <w:rsid w:val="001845ED"/>
    <w:rsid w:val="00184C4D"/>
    <w:rsid w:val="00185F58"/>
    <w:rsid w:val="0018690F"/>
    <w:rsid w:val="00187695"/>
    <w:rsid w:val="00187941"/>
    <w:rsid w:val="001907DB"/>
    <w:rsid w:val="00190DCF"/>
    <w:rsid w:val="00192971"/>
    <w:rsid w:val="001944F5"/>
    <w:rsid w:val="00195053"/>
    <w:rsid w:val="001954B8"/>
    <w:rsid w:val="00195AD4"/>
    <w:rsid w:val="00195C68"/>
    <w:rsid w:val="00196B20"/>
    <w:rsid w:val="00196CFC"/>
    <w:rsid w:val="001970D5"/>
    <w:rsid w:val="001972A4"/>
    <w:rsid w:val="001A014B"/>
    <w:rsid w:val="001A2324"/>
    <w:rsid w:val="001A2470"/>
    <w:rsid w:val="001A51C4"/>
    <w:rsid w:val="001A6C10"/>
    <w:rsid w:val="001A7719"/>
    <w:rsid w:val="001B05D6"/>
    <w:rsid w:val="001B0F17"/>
    <w:rsid w:val="001B2B1D"/>
    <w:rsid w:val="001B2D4C"/>
    <w:rsid w:val="001B35DC"/>
    <w:rsid w:val="001B536A"/>
    <w:rsid w:val="001C011A"/>
    <w:rsid w:val="001C0427"/>
    <w:rsid w:val="001C0B70"/>
    <w:rsid w:val="001C166E"/>
    <w:rsid w:val="001C1CF6"/>
    <w:rsid w:val="001C26F8"/>
    <w:rsid w:val="001C2715"/>
    <w:rsid w:val="001C5E34"/>
    <w:rsid w:val="001C6A35"/>
    <w:rsid w:val="001C6E45"/>
    <w:rsid w:val="001D09B5"/>
    <w:rsid w:val="001D1182"/>
    <w:rsid w:val="001D1984"/>
    <w:rsid w:val="001D2D20"/>
    <w:rsid w:val="001D2D97"/>
    <w:rsid w:val="001D3D0A"/>
    <w:rsid w:val="001D4D7B"/>
    <w:rsid w:val="001D4FBC"/>
    <w:rsid w:val="001D544D"/>
    <w:rsid w:val="001D581D"/>
    <w:rsid w:val="001D5A27"/>
    <w:rsid w:val="001D5E62"/>
    <w:rsid w:val="001D65C2"/>
    <w:rsid w:val="001D7A85"/>
    <w:rsid w:val="001D7BBA"/>
    <w:rsid w:val="001E0204"/>
    <w:rsid w:val="001E02F5"/>
    <w:rsid w:val="001E2E29"/>
    <w:rsid w:val="001E2F6A"/>
    <w:rsid w:val="001E4161"/>
    <w:rsid w:val="001E6A8D"/>
    <w:rsid w:val="001E6C84"/>
    <w:rsid w:val="001F05F6"/>
    <w:rsid w:val="001F2356"/>
    <w:rsid w:val="001F285C"/>
    <w:rsid w:val="001F323F"/>
    <w:rsid w:val="001F3D24"/>
    <w:rsid w:val="001F3F95"/>
    <w:rsid w:val="001F4023"/>
    <w:rsid w:val="001F65EC"/>
    <w:rsid w:val="001F7255"/>
    <w:rsid w:val="001F72CB"/>
    <w:rsid w:val="001F78E0"/>
    <w:rsid w:val="001F7ED5"/>
    <w:rsid w:val="00201B13"/>
    <w:rsid w:val="00201BB5"/>
    <w:rsid w:val="002022D0"/>
    <w:rsid w:val="002038AE"/>
    <w:rsid w:val="00203994"/>
    <w:rsid w:val="00203BD0"/>
    <w:rsid w:val="002044D9"/>
    <w:rsid w:val="0020482F"/>
    <w:rsid w:val="002052B6"/>
    <w:rsid w:val="002055B2"/>
    <w:rsid w:val="002060F6"/>
    <w:rsid w:val="0020685D"/>
    <w:rsid w:val="00206C07"/>
    <w:rsid w:val="00207DA4"/>
    <w:rsid w:val="00211B10"/>
    <w:rsid w:val="00211EF2"/>
    <w:rsid w:val="00211FE3"/>
    <w:rsid w:val="002133EE"/>
    <w:rsid w:val="002136FD"/>
    <w:rsid w:val="00214DC8"/>
    <w:rsid w:val="00214ED5"/>
    <w:rsid w:val="002153E5"/>
    <w:rsid w:val="0021738B"/>
    <w:rsid w:val="00220A90"/>
    <w:rsid w:val="0022126D"/>
    <w:rsid w:val="00222589"/>
    <w:rsid w:val="00224260"/>
    <w:rsid w:val="00225DEC"/>
    <w:rsid w:val="002309A6"/>
    <w:rsid w:val="00230B89"/>
    <w:rsid w:val="00230BE9"/>
    <w:rsid w:val="0023113D"/>
    <w:rsid w:val="002311FF"/>
    <w:rsid w:val="00233566"/>
    <w:rsid w:val="00235045"/>
    <w:rsid w:val="002365C3"/>
    <w:rsid w:val="002377E6"/>
    <w:rsid w:val="00237925"/>
    <w:rsid w:val="002401A0"/>
    <w:rsid w:val="00240341"/>
    <w:rsid w:val="00241A45"/>
    <w:rsid w:val="0024281B"/>
    <w:rsid w:val="0024355A"/>
    <w:rsid w:val="00244897"/>
    <w:rsid w:val="00245077"/>
    <w:rsid w:val="0024792B"/>
    <w:rsid w:val="00250247"/>
    <w:rsid w:val="00251996"/>
    <w:rsid w:val="002525AA"/>
    <w:rsid w:val="002539CE"/>
    <w:rsid w:val="002549F1"/>
    <w:rsid w:val="00256537"/>
    <w:rsid w:val="00257E12"/>
    <w:rsid w:val="00260455"/>
    <w:rsid w:val="00260621"/>
    <w:rsid w:val="00260B03"/>
    <w:rsid w:val="0026306D"/>
    <w:rsid w:val="00264092"/>
    <w:rsid w:val="002645CD"/>
    <w:rsid w:val="0026461C"/>
    <w:rsid w:val="0026556C"/>
    <w:rsid w:val="00265AB4"/>
    <w:rsid w:val="00265D46"/>
    <w:rsid w:val="002673EB"/>
    <w:rsid w:val="00267A1F"/>
    <w:rsid w:val="00270A96"/>
    <w:rsid w:val="00270F6D"/>
    <w:rsid w:val="00272C46"/>
    <w:rsid w:val="0027432E"/>
    <w:rsid w:val="0027446D"/>
    <w:rsid w:val="00275216"/>
    <w:rsid w:val="002769A3"/>
    <w:rsid w:val="00283398"/>
    <w:rsid w:val="002840F6"/>
    <w:rsid w:val="00284D2F"/>
    <w:rsid w:val="00284EEE"/>
    <w:rsid w:val="002867B7"/>
    <w:rsid w:val="0028760C"/>
    <w:rsid w:val="00287801"/>
    <w:rsid w:val="00291768"/>
    <w:rsid w:val="00292A90"/>
    <w:rsid w:val="00293235"/>
    <w:rsid w:val="0029326B"/>
    <w:rsid w:val="00294DDD"/>
    <w:rsid w:val="002966CB"/>
    <w:rsid w:val="0029725B"/>
    <w:rsid w:val="002A04CB"/>
    <w:rsid w:val="002A0603"/>
    <w:rsid w:val="002A0BE7"/>
    <w:rsid w:val="002A0E3B"/>
    <w:rsid w:val="002A1406"/>
    <w:rsid w:val="002A21D2"/>
    <w:rsid w:val="002A35FE"/>
    <w:rsid w:val="002A66F9"/>
    <w:rsid w:val="002A7057"/>
    <w:rsid w:val="002A70CD"/>
    <w:rsid w:val="002B0151"/>
    <w:rsid w:val="002B0CA8"/>
    <w:rsid w:val="002B1A1B"/>
    <w:rsid w:val="002B2185"/>
    <w:rsid w:val="002B3188"/>
    <w:rsid w:val="002B34BA"/>
    <w:rsid w:val="002B3EEA"/>
    <w:rsid w:val="002B4888"/>
    <w:rsid w:val="002B4E8A"/>
    <w:rsid w:val="002B5E90"/>
    <w:rsid w:val="002B62CD"/>
    <w:rsid w:val="002B67E9"/>
    <w:rsid w:val="002B6A65"/>
    <w:rsid w:val="002C0AD3"/>
    <w:rsid w:val="002C0FEE"/>
    <w:rsid w:val="002C146D"/>
    <w:rsid w:val="002C17F6"/>
    <w:rsid w:val="002C29E7"/>
    <w:rsid w:val="002C2DD3"/>
    <w:rsid w:val="002C346C"/>
    <w:rsid w:val="002C3472"/>
    <w:rsid w:val="002C451A"/>
    <w:rsid w:val="002C5D1F"/>
    <w:rsid w:val="002C7200"/>
    <w:rsid w:val="002C7BC6"/>
    <w:rsid w:val="002D0049"/>
    <w:rsid w:val="002D13D1"/>
    <w:rsid w:val="002D154D"/>
    <w:rsid w:val="002D1E4B"/>
    <w:rsid w:val="002D24C2"/>
    <w:rsid w:val="002D4E1D"/>
    <w:rsid w:val="002D54DB"/>
    <w:rsid w:val="002D602A"/>
    <w:rsid w:val="002D6BAF"/>
    <w:rsid w:val="002E005D"/>
    <w:rsid w:val="002E1047"/>
    <w:rsid w:val="002E183F"/>
    <w:rsid w:val="002E2F75"/>
    <w:rsid w:val="002E3F5D"/>
    <w:rsid w:val="002E4061"/>
    <w:rsid w:val="002E40DC"/>
    <w:rsid w:val="002E5A62"/>
    <w:rsid w:val="002E62FF"/>
    <w:rsid w:val="002E6491"/>
    <w:rsid w:val="002E791D"/>
    <w:rsid w:val="002F0577"/>
    <w:rsid w:val="002F08A3"/>
    <w:rsid w:val="002F0ADD"/>
    <w:rsid w:val="002F14E4"/>
    <w:rsid w:val="002F15F2"/>
    <w:rsid w:val="002F1736"/>
    <w:rsid w:val="002F1823"/>
    <w:rsid w:val="002F212D"/>
    <w:rsid w:val="002F3741"/>
    <w:rsid w:val="002F3762"/>
    <w:rsid w:val="002F38B8"/>
    <w:rsid w:val="002F45F0"/>
    <w:rsid w:val="002F57DA"/>
    <w:rsid w:val="002F5C00"/>
    <w:rsid w:val="002F5EDF"/>
    <w:rsid w:val="002F7C3F"/>
    <w:rsid w:val="002F7DD6"/>
    <w:rsid w:val="002F7E03"/>
    <w:rsid w:val="00304128"/>
    <w:rsid w:val="0030446F"/>
    <w:rsid w:val="00305BE8"/>
    <w:rsid w:val="00305F6F"/>
    <w:rsid w:val="003065BE"/>
    <w:rsid w:val="00310006"/>
    <w:rsid w:val="0031003D"/>
    <w:rsid w:val="0031038E"/>
    <w:rsid w:val="003109B7"/>
    <w:rsid w:val="003133CF"/>
    <w:rsid w:val="0031490F"/>
    <w:rsid w:val="00314BAD"/>
    <w:rsid w:val="00314DC6"/>
    <w:rsid w:val="003154EB"/>
    <w:rsid w:val="0031579A"/>
    <w:rsid w:val="00316019"/>
    <w:rsid w:val="003165A2"/>
    <w:rsid w:val="00317268"/>
    <w:rsid w:val="003178C8"/>
    <w:rsid w:val="00317C38"/>
    <w:rsid w:val="00320739"/>
    <w:rsid w:val="0032184C"/>
    <w:rsid w:val="003218FA"/>
    <w:rsid w:val="00322838"/>
    <w:rsid w:val="003233C7"/>
    <w:rsid w:val="00323B78"/>
    <w:rsid w:val="00325C93"/>
    <w:rsid w:val="003261D8"/>
    <w:rsid w:val="0032688E"/>
    <w:rsid w:val="00327578"/>
    <w:rsid w:val="003301F2"/>
    <w:rsid w:val="0033176A"/>
    <w:rsid w:val="003317F8"/>
    <w:rsid w:val="00331B12"/>
    <w:rsid w:val="00331D3D"/>
    <w:rsid w:val="003321A9"/>
    <w:rsid w:val="00332B1E"/>
    <w:rsid w:val="00333AC1"/>
    <w:rsid w:val="00333E42"/>
    <w:rsid w:val="00336839"/>
    <w:rsid w:val="00336F0A"/>
    <w:rsid w:val="003411E8"/>
    <w:rsid w:val="00341480"/>
    <w:rsid w:val="003428F5"/>
    <w:rsid w:val="0034303C"/>
    <w:rsid w:val="0034309C"/>
    <w:rsid w:val="003445BF"/>
    <w:rsid w:val="00345690"/>
    <w:rsid w:val="0034644F"/>
    <w:rsid w:val="00347FC3"/>
    <w:rsid w:val="003507E2"/>
    <w:rsid w:val="00350C34"/>
    <w:rsid w:val="00351529"/>
    <w:rsid w:val="0035158A"/>
    <w:rsid w:val="00351ABB"/>
    <w:rsid w:val="00351E9A"/>
    <w:rsid w:val="003541F4"/>
    <w:rsid w:val="00354E87"/>
    <w:rsid w:val="00354ED0"/>
    <w:rsid w:val="003552B0"/>
    <w:rsid w:val="00355379"/>
    <w:rsid w:val="0035696F"/>
    <w:rsid w:val="00357922"/>
    <w:rsid w:val="00357BAF"/>
    <w:rsid w:val="00357CAE"/>
    <w:rsid w:val="003606EF"/>
    <w:rsid w:val="00361B16"/>
    <w:rsid w:val="00362CEA"/>
    <w:rsid w:val="00363671"/>
    <w:rsid w:val="003641EC"/>
    <w:rsid w:val="00364247"/>
    <w:rsid w:val="00364C60"/>
    <w:rsid w:val="00364CB6"/>
    <w:rsid w:val="00366252"/>
    <w:rsid w:val="00366950"/>
    <w:rsid w:val="00367EEC"/>
    <w:rsid w:val="00370422"/>
    <w:rsid w:val="00371B3E"/>
    <w:rsid w:val="00373BB5"/>
    <w:rsid w:val="0037494C"/>
    <w:rsid w:val="003804D8"/>
    <w:rsid w:val="00380553"/>
    <w:rsid w:val="00381A38"/>
    <w:rsid w:val="003822D6"/>
    <w:rsid w:val="00383E56"/>
    <w:rsid w:val="00384153"/>
    <w:rsid w:val="00386821"/>
    <w:rsid w:val="00386A27"/>
    <w:rsid w:val="003877C5"/>
    <w:rsid w:val="003878EB"/>
    <w:rsid w:val="003901C1"/>
    <w:rsid w:val="0039076A"/>
    <w:rsid w:val="00390A7B"/>
    <w:rsid w:val="00391200"/>
    <w:rsid w:val="003922D8"/>
    <w:rsid w:val="0039275A"/>
    <w:rsid w:val="00393720"/>
    <w:rsid w:val="00393980"/>
    <w:rsid w:val="00393A35"/>
    <w:rsid w:val="00394515"/>
    <w:rsid w:val="00394AD4"/>
    <w:rsid w:val="00396430"/>
    <w:rsid w:val="00396FFB"/>
    <w:rsid w:val="003972A9"/>
    <w:rsid w:val="003A0117"/>
    <w:rsid w:val="003A1D12"/>
    <w:rsid w:val="003A3714"/>
    <w:rsid w:val="003A3780"/>
    <w:rsid w:val="003A3F2C"/>
    <w:rsid w:val="003A434D"/>
    <w:rsid w:val="003A4D4C"/>
    <w:rsid w:val="003A5637"/>
    <w:rsid w:val="003A5695"/>
    <w:rsid w:val="003A62D9"/>
    <w:rsid w:val="003A65CA"/>
    <w:rsid w:val="003A6CD4"/>
    <w:rsid w:val="003A7ACF"/>
    <w:rsid w:val="003B033B"/>
    <w:rsid w:val="003B0AB2"/>
    <w:rsid w:val="003B0E45"/>
    <w:rsid w:val="003B2AD2"/>
    <w:rsid w:val="003B53EB"/>
    <w:rsid w:val="003B5BAB"/>
    <w:rsid w:val="003B798B"/>
    <w:rsid w:val="003C04CD"/>
    <w:rsid w:val="003C12B4"/>
    <w:rsid w:val="003C1A9B"/>
    <w:rsid w:val="003C1B89"/>
    <w:rsid w:val="003C37A1"/>
    <w:rsid w:val="003C3B07"/>
    <w:rsid w:val="003C4223"/>
    <w:rsid w:val="003C57F8"/>
    <w:rsid w:val="003C5BB2"/>
    <w:rsid w:val="003C6642"/>
    <w:rsid w:val="003C6837"/>
    <w:rsid w:val="003D04A0"/>
    <w:rsid w:val="003D186A"/>
    <w:rsid w:val="003D1B75"/>
    <w:rsid w:val="003D4399"/>
    <w:rsid w:val="003D5A73"/>
    <w:rsid w:val="003D67BE"/>
    <w:rsid w:val="003D6F13"/>
    <w:rsid w:val="003D71C4"/>
    <w:rsid w:val="003E28DB"/>
    <w:rsid w:val="003E3895"/>
    <w:rsid w:val="003E3BFF"/>
    <w:rsid w:val="003E4049"/>
    <w:rsid w:val="003E4AEC"/>
    <w:rsid w:val="003E58F5"/>
    <w:rsid w:val="003E61D5"/>
    <w:rsid w:val="003E6DE2"/>
    <w:rsid w:val="003E7023"/>
    <w:rsid w:val="003E7A5F"/>
    <w:rsid w:val="003E7EF6"/>
    <w:rsid w:val="003F0609"/>
    <w:rsid w:val="003F0DBC"/>
    <w:rsid w:val="003F224E"/>
    <w:rsid w:val="003F3466"/>
    <w:rsid w:val="003F3E4A"/>
    <w:rsid w:val="003F3F84"/>
    <w:rsid w:val="003F4253"/>
    <w:rsid w:val="003F5273"/>
    <w:rsid w:val="003F612B"/>
    <w:rsid w:val="003F6AAE"/>
    <w:rsid w:val="003F6C8B"/>
    <w:rsid w:val="003F741C"/>
    <w:rsid w:val="003F7AC5"/>
    <w:rsid w:val="003F7BFE"/>
    <w:rsid w:val="00401D3A"/>
    <w:rsid w:val="00401F94"/>
    <w:rsid w:val="004027CA"/>
    <w:rsid w:val="00404A6D"/>
    <w:rsid w:val="00404B5A"/>
    <w:rsid w:val="00404DE6"/>
    <w:rsid w:val="00406B45"/>
    <w:rsid w:val="00406DF6"/>
    <w:rsid w:val="004076BD"/>
    <w:rsid w:val="0041047A"/>
    <w:rsid w:val="00410ED9"/>
    <w:rsid w:val="00411011"/>
    <w:rsid w:val="0041199A"/>
    <w:rsid w:val="00412066"/>
    <w:rsid w:val="00412C46"/>
    <w:rsid w:val="00412FDF"/>
    <w:rsid w:val="00413EE8"/>
    <w:rsid w:val="00414E30"/>
    <w:rsid w:val="00414FB2"/>
    <w:rsid w:val="004151B0"/>
    <w:rsid w:val="004154BB"/>
    <w:rsid w:val="00415CDC"/>
    <w:rsid w:val="0041639E"/>
    <w:rsid w:val="0041687E"/>
    <w:rsid w:val="00416992"/>
    <w:rsid w:val="00416E03"/>
    <w:rsid w:val="00420643"/>
    <w:rsid w:val="00421C7D"/>
    <w:rsid w:val="00421E9A"/>
    <w:rsid w:val="00422823"/>
    <w:rsid w:val="00423D96"/>
    <w:rsid w:val="00424B60"/>
    <w:rsid w:val="00424BCE"/>
    <w:rsid w:val="00424E1B"/>
    <w:rsid w:val="004250A5"/>
    <w:rsid w:val="00426AD8"/>
    <w:rsid w:val="004271AB"/>
    <w:rsid w:val="004277D7"/>
    <w:rsid w:val="0043032C"/>
    <w:rsid w:val="00430FD9"/>
    <w:rsid w:val="00433E67"/>
    <w:rsid w:val="00434925"/>
    <w:rsid w:val="00434A9A"/>
    <w:rsid w:val="004351F6"/>
    <w:rsid w:val="00435FAB"/>
    <w:rsid w:val="0043714F"/>
    <w:rsid w:val="00437A4F"/>
    <w:rsid w:val="00437B52"/>
    <w:rsid w:val="00437EBB"/>
    <w:rsid w:val="00440349"/>
    <w:rsid w:val="00440772"/>
    <w:rsid w:val="004408EC"/>
    <w:rsid w:val="00443378"/>
    <w:rsid w:val="0044378F"/>
    <w:rsid w:val="00444026"/>
    <w:rsid w:val="0044444C"/>
    <w:rsid w:val="00444784"/>
    <w:rsid w:val="004449CF"/>
    <w:rsid w:val="00446DAA"/>
    <w:rsid w:val="00447144"/>
    <w:rsid w:val="00447F0F"/>
    <w:rsid w:val="0045040E"/>
    <w:rsid w:val="0045121C"/>
    <w:rsid w:val="00451B78"/>
    <w:rsid w:val="00451C55"/>
    <w:rsid w:val="004520BD"/>
    <w:rsid w:val="004521B8"/>
    <w:rsid w:val="004521EC"/>
    <w:rsid w:val="00452FCA"/>
    <w:rsid w:val="0045513B"/>
    <w:rsid w:val="0045559D"/>
    <w:rsid w:val="0045564A"/>
    <w:rsid w:val="00455BB5"/>
    <w:rsid w:val="004561E6"/>
    <w:rsid w:val="004562AE"/>
    <w:rsid w:val="00456DB9"/>
    <w:rsid w:val="004574C1"/>
    <w:rsid w:val="00457508"/>
    <w:rsid w:val="00457550"/>
    <w:rsid w:val="00461DCE"/>
    <w:rsid w:val="0046265F"/>
    <w:rsid w:val="00463118"/>
    <w:rsid w:val="00465829"/>
    <w:rsid w:val="00465FE9"/>
    <w:rsid w:val="00466BEF"/>
    <w:rsid w:val="004711C1"/>
    <w:rsid w:val="0047141A"/>
    <w:rsid w:val="00471696"/>
    <w:rsid w:val="0047211D"/>
    <w:rsid w:val="004731CF"/>
    <w:rsid w:val="00473E74"/>
    <w:rsid w:val="00474941"/>
    <w:rsid w:val="0048012F"/>
    <w:rsid w:val="00480C96"/>
    <w:rsid w:val="004811E0"/>
    <w:rsid w:val="004812FF"/>
    <w:rsid w:val="004815A0"/>
    <w:rsid w:val="004819E7"/>
    <w:rsid w:val="004820B8"/>
    <w:rsid w:val="00482453"/>
    <w:rsid w:val="00483781"/>
    <w:rsid w:val="00484BEC"/>
    <w:rsid w:val="00490195"/>
    <w:rsid w:val="00491C75"/>
    <w:rsid w:val="00492114"/>
    <w:rsid w:val="0049297E"/>
    <w:rsid w:val="004947E6"/>
    <w:rsid w:val="004969A6"/>
    <w:rsid w:val="0049798B"/>
    <w:rsid w:val="004A0539"/>
    <w:rsid w:val="004A172A"/>
    <w:rsid w:val="004A29D2"/>
    <w:rsid w:val="004A35BB"/>
    <w:rsid w:val="004A4B55"/>
    <w:rsid w:val="004A5CE6"/>
    <w:rsid w:val="004A5D8E"/>
    <w:rsid w:val="004A6FCD"/>
    <w:rsid w:val="004A7D57"/>
    <w:rsid w:val="004B140B"/>
    <w:rsid w:val="004B15E9"/>
    <w:rsid w:val="004B1D0A"/>
    <w:rsid w:val="004B208B"/>
    <w:rsid w:val="004B2570"/>
    <w:rsid w:val="004B3EEE"/>
    <w:rsid w:val="004B479C"/>
    <w:rsid w:val="004B4ECC"/>
    <w:rsid w:val="004B50C0"/>
    <w:rsid w:val="004B5163"/>
    <w:rsid w:val="004B52B9"/>
    <w:rsid w:val="004B7852"/>
    <w:rsid w:val="004C09C0"/>
    <w:rsid w:val="004C0B6E"/>
    <w:rsid w:val="004C11F5"/>
    <w:rsid w:val="004C1C2E"/>
    <w:rsid w:val="004C21C0"/>
    <w:rsid w:val="004C2E33"/>
    <w:rsid w:val="004C419B"/>
    <w:rsid w:val="004C4571"/>
    <w:rsid w:val="004C4A2C"/>
    <w:rsid w:val="004C4A51"/>
    <w:rsid w:val="004C56CB"/>
    <w:rsid w:val="004C57E0"/>
    <w:rsid w:val="004C7F5A"/>
    <w:rsid w:val="004D1660"/>
    <w:rsid w:val="004D2C6A"/>
    <w:rsid w:val="004D54DC"/>
    <w:rsid w:val="004D5B7F"/>
    <w:rsid w:val="004D6822"/>
    <w:rsid w:val="004D6A74"/>
    <w:rsid w:val="004E0E30"/>
    <w:rsid w:val="004E18D1"/>
    <w:rsid w:val="004E3042"/>
    <w:rsid w:val="004E35A1"/>
    <w:rsid w:val="004E3BB3"/>
    <w:rsid w:val="004E4034"/>
    <w:rsid w:val="004E4B67"/>
    <w:rsid w:val="004E58CC"/>
    <w:rsid w:val="004E67F7"/>
    <w:rsid w:val="004E6BDC"/>
    <w:rsid w:val="004E7237"/>
    <w:rsid w:val="004F028D"/>
    <w:rsid w:val="004F079E"/>
    <w:rsid w:val="004F088C"/>
    <w:rsid w:val="004F0EC7"/>
    <w:rsid w:val="004F163E"/>
    <w:rsid w:val="004F456C"/>
    <w:rsid w:val="004F580D"/>
    <w:rsid w:val="004F5A80"/>
    <w:rsid w:val="004F76AB"/>
    <w:rsid w:val="005013B0"/>
    <w:rsid w:val="005017C6"/>
    <w:rsid w:val="005018F9"/>
    <w:rsid w:val="005028A2"/>
    <w:rsid w:val="00504AEC"/>
    <w:rsid w:val="00507FF6"/>
    <w:rsid w:val="00510852"/>
    <w:rsid w:val="005110AC"/>
    <w:rsid w:val="005112E6"/>
    <w:rsid w:val="005119D0"/>
    <w:rsid w:val="005125AA"/>
    <w:rsid w:val="005132F6"/>
    <w:rsid w:val="00514EE3"/>
    <w:rsid w:val="00514F66"/>
    <w:rsid w:val="00517481"/>
    <w:rsid w:val="00517A38"/>
    <w:rsid w:val="00522510"/>
    <w:rsid w:val="00523014"/>
    <w:rsid w:val="005232B3"/>
    <w:rsid w:val="005235F7"/>
    <w:rsid w:val="00523AD1"/>
    <w:rsid w:val="0052421B"/>
    <w:rsid w:val="00524A07"/>
    <w:rsid w:val="00524FC2"/>
    <w:rsid w:val="00525CC1"/>
    <w:rsid w:val="00525EAA"/>
    <w:rsid w:val="005306E6"/>
    <w:rsid w:val="00531ACD"/>
    <w:rsid w:val="00532ADD"/>
    <w:rsid w:val="00532F4B"/>
    <w:rsid w:val="00532FF5"/>
    <w:rsid w:val="0053365D"/>
    <w:rsid w:val="00533B09"/>
    <w:rsid w:val="005346E9"/>
    <w:rsid w:val="00534CF3"/>
    <w:rsid w:val="00535E5D"/>
    <w:rsid w:val="005375FC"/>
    <w:rsid w:val="00537CFA"/>
    <w:rsid w:val="00540375"/>
    <w:rsid w:val="005410B6"/>
    <w:rsid w:val="00541E60"/>
    <w:rsid w:val="00542C51"/>
    <w:rsid w:val="0054420C"/>
    <w:rsid w:val="00545250"/>
    <w:rsid w:val="00551872"/>
    <w:rsid w:val="005549F6"/>
    <w:rsid w:val="00555215"/>
    <w:rsid w:val="005555EB"/>
    <w:rsid w:val="00560251"/>
    <w:rsid w:val="005603CA"/>
    <w:rsid w:val="00562C9A"/>
    <w:rsid w:val="00563632"/>
    <w:rsid w:val="00565822"/>
    <w:rsid w:val="00565C6C"/>
    <w:rsid w:val="005661DA"/>
    <w:rsid w:val="005667F2"/>
    <w:rsid w:val="0056799A"/>
    <w:rsid w:val="005701CA"/>
    <w:rsid w:val="00570916"/>
    <w:rsid w:val="00571AA6"/>
    <w:rsid w:val="00571C79"/>
    <w:rsid w:val="00571CB7"/>
    <w:rsid w:val="0057309F"/>
    <w:rsid w:val="0057355D"/>
    <w:rsid w:val="0057395C"/>
    <w:rsid w:val="00574492"/>
    <w:rsid w:val="005745AA"/>
    <w:rsid w:val="005746F7"/>
    <w:rsid w:val="00575C61"/>
    <w:rsid w:val="0057698B"/>
    <w:rsid w:val="00576D55"/>
    <w:rsid w:val="00577552"/>
    <w:rsid w:val="005813EB"/>
    <w:rsid w:val="00582774"/>
    <w:rsid w:val="005828AA"/>
    <w:rsid w:val="00583D92"/>
    <w:rsid w:val="00586015"/>
    <w:rsid w:val="005902FD"/>
    <w:rsid w:val="00590802"/>
    <w:rsid w:val="00590837"/>
    <w:rsid w:val="0059182E"/>
    <w:rsid w:val="0059203C"/>
    <w:rsid w:val="00593066"/>
    <w:rsid w:val="00593ABD"/>
    <w:rsid w:val="005945C0"/>
    <w:rsid w:val="00596297"/>
    <w:rsid w:val="00596758"/>
    <w:rsid w:val="00596EB8"/>
    <w:rsid w:val="00597545"/>
    <w:rsid w:val="005A00C4"/>
    <w:rsid w:val="005A0598"/>
    <w:rsid w:val="005A06D7"/>
    <w:rsid w:val="005A125B"/>
    <w:rsid w:val="005A152F"/>
    <w:rsid w:val="005A1727"/>
    <w:rsid w:val="005A326F"/>
    <w:rsid w:val="005A4454"/>
    <w:rsid w:val="005A4709"/>
    <w:rsid w:val="005A4C54"/>
    <w:rsid w:val="005A4CF1"/>
    <w:rsid w:val="005A5402"/>
    <w:rsid w:val="005A69F5"/>
    <w:rsid w:val="005A7589"/>
    <w:rsid w:val="005B0080"/>
    <w:rsid w:val="005B1F4F"/>
    <w:rsid w:val="005B2A2E"/>
    <w:rsid w:val="005B3798"/>
    <w:rsid w:val="005B3E5C"/>
    <w:rsid w:val="005B4A4A"/>
    <w:rsid w:val="005B5541"/>
    <w:rsid w:val="005B5D4C"/>
    <w:rsid w:val="005B5F57"/>
    <w:rsid w:val="005B6769"/>
    <w:rsid w:val="005B6A3E"/>
    <w:rsid w:val="005B72BA"/>
    <w:rsid w:val="005C0236"/>
    <w:rsid w:val="005C05FF"/>
    <w:rsid w:val="005C0BB7"/>
    <w:rsid w:val="005C129E"/>
    <w:rsid w:val="005C18E7"/>
    <w:rsid w:val="005C1998"/>
    <w:rsid w:val="005C24FC"/>
    <w:rsid w:val="005C2734"/>
    <w:rsid w:val="005C3073"/>
    <w:rsid w:val="005C312D"/>
    <w:rsid w:val="005C3CE8"/>
    <w:rsid w:val="005C40B7"/>
    <w:rsid w:val="005C4D39"/>
    <w:rsid w:val="005C4EA6"/>
    <w:rsid w:val="005C5C32"/>
    <w:rsid w:val="005C636C"/>
    <w:rsid w:val="005C658D"/>
    <w:rsid w:val="005C6834"/>
    <w:rsid w:val="005C7895"/>
    <w:rsid w:val="005D03D9"/>
    <w:rsid w:val="005D03FE"/>
    <w:rsid w:val="005D1CFD"/>
    <w:rsid w:val="005D22F0"/>
    <w:rsid w:val="005D2614"/>
    <w:rsid w:val="005D28C3"/>
    <w:rsid w:val="005D2EAB"/>
    <w:rsid w:val="005D2F91"/>
    <w:rsid w:val="005D3AB8"/>
    <w:rsid w:val="005D3D55"/>
    <w:rsid w:val="005D52D5"/>
    <w:rsid w:val="005D5415"/>
    <w:rsid w:val="005D7E6B"/>
    <w:rsid w:val="005D7FA3"/>
    <w:rsid w:val="005E1486"/>
    <w:rsid w:val="005E19C3"/>
    <w:rsid w:val="005E2326"/>
    <w:rsid w:val="005E2840"/>
    <w:rsid w:val="005E363E"/>
    <w:rsid w:val="005E50A7"/>
    <w:rsid w:val="005E5313"/>
    <w:rsid w:val="005E5789"/>
    <w:rsid w:val="005E6640"/>
    <w:rsid w:val="005E766B"/>
    <w:rsid w:val="005E7A99"/>
    <w:rsid w:val="005E7D57"/>
    <w:rsid w:val="005F09D9"/>
    <w:rsid w:val="005F15A3"/>
    <w:rsid w:val="005F186F"/>
    <w:rsid w:val="005F1B71"/>
    <w:rsid w:val="005F2504"/>
    <w:rsid w:val="005F3227"/>
    <w:rsid w:val="005F35E4"/>
    <w:rsid w:val="005F3B16"/>
    <w:rsid w:val="005F4B17"/>
    <w:rsid w:val="005F4B8F"/>
    <w:rsid w:val="005F4C2D"/>
    <w:rsid w:val="005F7592"/>
    <w:rsid w:val="006004AA"/>
    <w:rsid w:val="00601FE6"/>
    <w:rsid w:val="00603B28"/>
    <w:rsid w:val="00603EBB"/>
    <w:rsid w:val="00603F96"/>
    <w:rsid w:val="00605562"/>
    <w:rsid w:val="00606857"/>
    <w:rsid w:val="00606FB0"/>
    <w:rsid w:val="00607073"/>
    <w:rsid w:val="0060770A"/>
    <w:rsid w:val="00607AFB"/>
    <w:rsid w:val="00607E90"/>
    <w:rsid w:val="006100F4"/>
    <w:rsid w:val="00611A74"/>
    <w:rsid w:val="00612291"/>
    <w:rsid w:val="006123A0"/>
    <w:rsid w:val="0061244D"/>
    <w:rsid w:val="006125A6"/>
    <w:rsid w:val="00612760"/>
    <w:rsid w:val="006131CC"/>
    <w:rsid w:val="0061328D"/>
    <w:rsid w:val="006135CB"/>
    <w:rsid w:val="006148E6"/>
    <w:rsid w:val="006157A9"/>
    <w:rsid w:val="00615DF6"/>
    <w:rsid w:val="0061698D"/>
    <w:rsid w:val="00616CAA"/>
    <w:rsid w:val="00617982"/>
    <w:rsid w:val="00620208"/>
    <w:rsid w:val="006202FE"/>
    <w:rsid w:val="006206DB"/>
    <w:rsid w:val="006230AD"/>
    <w:rsid w:val="006237E4"/>
    <w:rsid w:val="00623A8B"/>
    <w:rsid w:val="00623D4F"/>
    <w:rsid w:val="00623E8F"/>
    <w:rsid w:val="00624149"/>
    <w:rsid w:val="006241AA"/>
    <w:rsid w:val="00625AA8"/>
    <w:rsid w:val="0062611E"/>
    <w:rsid w:val="00626F98"/>
    <w:rsid w:val="00627328"/>
    <w:rsid w:val="00627EA0"/>
    <w:rsid w:val="00630D9C"/>
    <w:rsid w:val="00632115"/>
    <w:rsid w:val="00632C30"/>
    <w:rsid w:val="00632C4B"/>
    <w:rsid w:val="006341BC"/>
    <w:rsid w:val="00635CFF"/>
    <w:rsid w:val="00637162"/>
    <w:rsid w:val="0063727B"/>
    <w:rsid w:val="00637F5A"/>
    <w:rsid w:val="006403D7"/>
    <w:rsid w:val="00640C64"/>
    <w:rsid w:val="00641F8D"/>
    <w:rsid w:val="00642314"/>
    <w:rsid w:val="00642F20"/>
    <w:rsid w:val="00642FB9"/>
    <w:rsid w:val="006431AE"/>
    <w:rsid w:val="00643391"/>
    <w:rsid w:val="006436EA"/>
    <w:rsid w:val="0064528D"/>
    <w:rsid w:val="00646605"/>
    <w:rsid w:val="00646721"/>
    <w:rsid w:val="00646A08"/>
    <w:rsid w:val="00647C22"/>
    <w:rsid w:val="00650BE2"/>
    <w:rsid w:val="00653087"/>
    <w:rsid w:val="00653807"/>
    <w:rsid w:val="00654A71"/>
    <w:rsid w:val="00655AA3"/>
    <w:rsid w:val="006562D6"/>
    <w:rsid w:val="006562FF"/>
    <w:rsid w:val="00656C2E"/>
    <w:rsid w:val="00657E70"/>
    <w:rsid w:val="0066048B"/>
    <w:rsid w:val="00660CDF"/>
    <w:rsid w:val="0066141F"/>
    <w:rsid w:val="00662AC0"/>
    <w:rsid w:val="00663A52"/>
    <w:rsid w:val="00664401"/>
    <w:rsid w:val="0066468A"/>
    <w:rsid w:val="00665A9B"/>
    <w:rsid w:val="00665B3F"/>
    <w:rsid w:val="00670260"/>
    <w:rsid w:val="00670310"/>
    <w:rsid w:val="0067052B"/>
    <w:rsid w:val="0067176A"/>
    <w:rsid w:val="00671994"/>
    <w:rsid w:val="00671D6B"/>
    <w:rsid w:val="00672BC2"/>
    <w:rsid w:val="00672E97"/>
    <w:rsid w:val="006735E7"/>
    <w:rsid w:val="00674769"/>
    <w:rsid w:val="006749F3"/>
    <w:rsid w:val="0067584F"/>
    <w:rsid w:val="00677232"/>
    <w:rsid w:val="00680400"/>
    <w:rsid w:val="00681592"/>
    <w:rsid w:val="00684B9C"/>
    <w:rsid w:val="00685788"/>
    <w:rsid w:val="00686E2D"/>
    <w:rsid w:val="0068715E"/>
    <w:rsid w:val="00687F4D"/>
    <w:rsid w:val="0069019E"/>
    <w:rsid w:val="00690A7E"/>
    <w:rsid w:val="00691769"/>
    <w:rsid w:val="00694092"/>
    <w:rsid w:val="00696168"/>
    <w:rsid w:val="006972CB"/>
    <w:rsid w:val="0069734E"/>
    <w:rsid w:val="006977B7"/>
    <w:rsid w:val="006A0493"/>
    <w:rsid w:val="006A1796"/>
    <w:rsid w:val="006A19DA"/>
    <w:rsid w:val="006A21DC"/>
    <w:rsid w:val="006A2DF4"/>
    <w:rsid w:val="006A3122"/>
    <w:rsid w:val="006A53CB"/>
    <w:rsid w:val="006B01DD"/>
    <w:rsid w:val="006B047D"/>
    <w:rsid w:val="006B0AC7"/>
    <w:rsid w:val="006B1AEF"/>
    <w:rsid w:val="006B1EB9"/>
    <w:rsid w:val="006B2285"/>
    <w:rsid w:val="006B2DE3"/>
    <w:rsid w:val="006B3479"/>
    <w:rsid w:val="006B426E"/>
    <w:rsid w:val="006B63CF"/>
    <w:rsid w:val="006B693B"/>
    <w:rsid w:val="006B74FC"/>
    <w:rsid w:val="006C0F0D"/>
    <w:rsid w:val="006C1852"/>
    <w:rsid w:val="006C21AA"/>
    <w:rsid w:val="006C2B27"/>
    <w:rsid w:val="006C32C9"/>
    <w:rsid w:val="006C3447"/>
    <w:rsid w:val="006C4639"/>
    <w:rsid w:val="006C4B88"/>
    <w:rsid w:val="006C599F"/>
    <w:rsid w:val="006C6945"/>
    <w:rsid w:val="006C6A62"/>
    <w:rsid w:val="006C7251"/>
    <w:rsid w:val="006D0BC6"/>
    <w:rsid w:val="006D0FD0"/>
    <w:rsid w:val="006D1D07"/>
    <w:rsid w:val="006D1F38"/>
    <w:rsid w:val="006D26CE"/>
    <w:rsid w:val="006D4700"/>
    <w:rsid w:val="006D47BA"/>
    <w:rsid w:val="006D4C27"/>
    <w:rsid w:val="006D5D78"/>
    <w:rsid w:val="006D6D44"/>
    <w:rsid w:val="006E156C"/>
    <w:rsid w:val="006E17B5"/>
    <w:rsid w:val="006E503B"/>
    <w:rsid w:val="006E54F0"/>
    <w:rsid w:val="006F024A"/>
    <w:rsid w:val="006F02C4"/>
    <w:rsid w:val="006F2E06"/>
    <w:rsid w:val="006F5616"/>
    <w:rsid w:val="006F5B9C"/>
    <w:rsid w:val="006F6586"/>
    <w:rsid w:val="006F7179"/>
    <w:rsid w:val="006F7413"/>
    <w:rsid w:val="007005AF"/>
    <w:rsid w:val="007008E9"/>
    <w:rsid w:val="00700B66"/>
    <w:rsid w:val="00702A41"/>
    <w:rsid w:val="0070331C"/>
    <w:rsid w:val="00703E01"/>
    <w:rsid w:val="007072C2"/>
    <w:rsid w:val="00707E90"/>
    <w:rsid w:val="007101D6"/>
    <w:rsid w:val="00710CFE"/>
    <w:rsid w:val="007110EC"/>
    <w:rsid w:val="00712248"/>
    <w:rsid w:val="007128D8"/>
    <w:rsid w:val="00713087"/>
    <w:rsid w:val="00715630"/>
    <w:rsid w:val="00715952"/>
    <w:rsid w:val="007161AD"/>
    <w:rsid w:val="007162DB"/>
    <w:rsid w:val="007167E5"/>
    <w:rsid w:val="007169E6"/>
    <w:rsid w:val="007206EB"/>
    <w:rsid w:val="00721A80"/>
    <w:rsid w:val="007224B4"/>
    <w:rsid w:val="00722598"/>
    <w:rsid w:val="007231A3"/>
    <w:rsid w:val="00723B00"/>
    <w:rsid w:val="00724144"/>
    <w:rsid w:val="007249A3"/>
    <w:rsid w:val="0072506C"/>
    <w:rsid w:val="007255DE"/>
    <w:rsid w:val="0072581D"/>
    <w:rsid w:val="0072587F"/>
    <w:rsid w:val="00725D7E"/>
    <w:rsid w:val="00726C30"/>
    <w:rsid w:val="00727130"/>
    <w:rsid w:val="00730D50"/>
    <w:rsid w:val="00731546"/>
    <w:rsid w:val="00732D92"/>
    <w:rsid w:val="00733813"/>
    <w:rsid w:val="0073512D"/>
    <w:rsid w:val="00735495"/>
    <w:rsid w:val="007359BA"/>
    <w:rsid w:val="00736E2E"/>
    <w:rsid w:val="0074019F"/>
    <w:rsid w:val="0074048F"/>
    <w:rsid w:val="007410C8"/>
    <w:rsid w:val="0074240C"/>
    <w:rsid w:val="00742977"/>
    <w:rsid w:val="00742ADD"/>
    <w:rsid w:val="00743B64"/>
    <w:rsid w:val="00744A85"/>
    <w:rsid w:val="007452AC"/>
    <w:rsid w:val="00745753"/>
    <w:rsid w:val="0074641B"/>
    <w:rsid w:val="00746500"/>
    <w:rsid w:val="00747C30"/>
    <w:rsid w:val="0075009C"/>
    <w:rsid w:val="00750187"/>
    <w:rsid w:val="00751346"/>
    <w:rsid w:val="00751395"/>
    <w:rsid w:val="007523AF"/>
    <w:rsid w:val="007526DA"/>
    <w:rsid w:val="0075297E"/>
    <w:rsid w:val="00752FF2"/>
    <w:rsid w:val="00754211"/>
    <w:rsid w:val="007545A4"/>
    <w:rsid w:val="00754E69"/>
    <w:rsid w:val="00755130"/>
    <w:rsid w:val="007558A1"/>
    <w:rsid w:val="007558C3"/>
    <w:rsid w:val="007606CD"/>
    <w:rsid w:val="0076132C"/>
    <w:rsid w:val="007633E2"/>
    <w:rsid w:val="00764444"/>
    <w:rsid w:val="00765143"/>
    <w:rsid w:val="0076533E"/>
    <w:rsid w:val="00765B93"/>
    <w:rsid w:val="00765D2F"/>
    <w:rsid w:val="00766917"/>
    <w:rsid w:val="007676C3"/>
    <w:rsid w:val="00770286"/>
    <w:rsid w:val="007708A1"/>
    <w:rsid w:val="00770FB3"/>
    <w:rsid w:val="007718B6"/>
    <w:rsid w:val="007718D9"/>
    <w:rsid w:val="007728E7"/>
    <w:rsid w:val="007729DA"/>
    <w:rsid w:val="00772D97"/>
    <w:rsid w:val="007751B4"/>
    <w:rsid w:val="00775CA2"/>
    <w:rsid w:val="00775F66"/>
    <w:rsid w:val="00776005"/>
    <w:rsid w:val="00777610"/>
    <w:rsid w:val="00777BCC"/>
    <w:rsid w:val="0078043D"/>
    <w:rsid w:val="00782089"/>
    <w:rsid w:val="007820D6"/>
    <w:rsid w:val="00782BAE"/>
    <w:rsid w:val="00782C52"/>
    <w:rsid w:val="007844FB"/>
    <w:rsid w:val="00784665"/>
    <w:rsid w:val="00784947"/>
    <w:rsid w:val="00784B2A"/>
    <w:rsid w:val="00787EF6"/>
    <w:rsid w:val="007928DA"/>
    <w:rsid w:val="00792E5A"/>
    <w:rsid w:val="007933DA"/>
    <w:rsid w:val="00795B26"/>
    <w:rsid w:val="00795E63"/>
    <w:rsid w:val="007964C7"/>
    <w:rsid w:val="00796BD2"/>
    <w:rsid w:val="007A0DCF"/>
    <w:rsid w:val="007A1B8D"/>
    <w:rsid w:val="007A3406"/>
    <w:rsid w:val="007A3487"/>
    <w:rsid w:val="007A3796"/>
    <w:rsid w:val="007A3A34"/>
    <w:rsid w:val="007A46FA"/>
    <w:rsid w:val="007A5A69"/>
    <w:rsid w:val="007A6219"/>
    <w:rsid w:val="007A6F1F"/>
    <w:rsid w:val="007A7DC1"/>
    <w:rsid w:val="007B1424"/>
    <w:rsid w:val="007B2583"/>
    <w:rsid w:val="007B291E"/>
    <w:rsid w:val="007B2CFF"/>
    <w:rsid w:val="007B3620"/>
    <w:rsid w:val="007B4635"/>
    <w:rsid w:val="007B4967"/>
    <w:rsid w:val="007B59DF"/>
    <w:rsid w:val="007B5DDB"/>
    <w:rsid w:val="007B7336"/>
    <w:rsid w:val="007B7D3D"/>
    <w:rsid w:val="007C176B"/>
    <w:rsid w:val="007C1817"/>
    <w:rsid w:val="007C3758"/>
    <w:rsid w:val="007C391D"/>
    <w:rsid w:val="007C3D08"/>
    <w:rsid w:val="007C5EEC"/>
    <w:rsid w:val="007C6271"/>
    <w:rsid w:val="007C767C"/>
    <w:rsid w:val="007D0098"/>
    <w:rsid w:val="007D1CCF"/>
    <w:rsid w:val="007D3757"/>
    <w:rsid w:val="007D44A4"/>
    <w:rsid w:val="007D4740"/>
    <w:rsid w:val="007D5A5F"/>
    <w:rsid w:val="007D60AE"/>
    <w:rsid w:val="007D6AC3"/>
    <w:rsid w:val="007D76CA"/>
    <w:rsid w:val="007D786B"/>
    <w:rsid w:val="007E2DC0"/>
    <w:rsid w:val="007E2F31"/>
    <w:rsid w:val="007E4751"/>
    <w:rsid w:val="007E5E7C"/>
    <w:rsid w:val="007E6556"/>
    <w:rsid w:val="007E65EC"/>
    <w:rsid w:val="007E6E53"/>
    <w:rsid w:val="007E7E63"/>
    <w:rsid w:val="007F1B69"/>
    <w:rsid w:val="007F256F"/>
    <w:rsid w:val="007F278E"/>
    <w:rsid w:val="007F338B"/>
    <w:rsid w:val="007F3628"/>
    <w:rsid w:val="007F3F3F"/>
    <w:rsid w:val="007F429B"/>
    <w:rsid w:val="007F5117"/>
    <w:rsid w:val="007F675A"/>
    <w:rsid w:val="007F67B2"/>
    <w:rsid w:val="007F6958"/>
    <w:rsid w:val="0080139B"/>
    <w:rsid w:val="00801E56"/>
    <w:rsid w:val="00802A1E"/>
    <w:rsid w:val="00802F5F"/>
    <w:rsid w:val="00803849"/>
    <w:rsid w:val="008048D4"/>
    <w:rsid w:val="00804DDA"/>
    <w:rsid w:val="008050F9"/>
    <w:rsid w:val="008057F1"/>
    <w:rsid w:val="00805947"/>
    <w:rsid w:val="008069A4"/>
    <w:rsid w:val="008071E6"/>
    <w:rsid w:val="00807627"/>
    <w:rsid w:val="008079D0"/>
    <w:rsid w:val="00807CF6"/>
    <w:rsid w:val="00807F59"/>
    <w:rsid w:val="008100BB"/>
    <w:rsid w:val="00810925"/>
    <w:rsid w:val="00810E8B"/>
    <w:rsid w:val="00812394"/>
    <w:rsid w:val="00812B70"/>
    <w:rsid w:val="00812CF7"/>
    <w:rsid w:val="00813C8C"/>
    <w:rsid w:val="008155C6"/>
    <w:rsid w:val="00815A69"/>
    <w:rsid w:val="00816DAE"/>
    <w:rsid w:val="00816DD9"/>
    <w:rsid w:val="008202FF"/>
    <w:rsid w:val="00820730"/>
    <w:rsid w:val="00821578"/>
    <w:rsid w:val="0082180C"/>
    <w:rsid w:val="00821EB0"/>
    <w:rsid w:val="008222DD"/>
    <w:rsid w:val="00822622"/>
    <w:rsid w:val="00822644"/>
    <w:rsid w:val="0082270D"/>
    <w:rsid w:val="00823430"/>
    <w:rsid w:val="008234F3"/>
    <w:rsid w:val="008237D3"/>
    <w:rsid w:val="00823871"/>
    <w:rsid w:val="00823B89"/>
    <w:rsid w:val="00824A11"/>
    <w:rsid w:val="008260BD"/>
    <w:rsid w:val="00826860"/>
    <w:rsid w:val="00827CCC"/>
    <w:rsid w:val="00830014"/>
    <w:rsid w:val="00831C18"/>
    <w:rsid w:val="00832482"/>
    <w:rsid w:val="00833EB5"/>
    <w:rsid w:val="00834102"/>
    <w:rsid w:val="00834346"/>
    <w:rsid w:val="00835861"/>
    <w:rsid w:val="0083739D"/>
    <w:rsid w:val="0083765D"/>
    <w:rsid w:val="00837910"/>
    <w:rsid w:val="008401CD"/>
    <w:rsid w:val="00845484"/>
    <w:rsid w:val="00845F00"/>
    <w:rsid w:val="00846142"/>
    <w:rsid w:val="008461D7"/>
    <w:rsid w:val="00846F2F"/>
    <w:rsid w:val="00847186"/>
    <w:rsid w:val="00847D6F"/>
    <w:rsid w:val="00850A93"/>
    <w:rsid w:val="00853236"/>
    <w:rsid w:val="00853912"/>
    <w:rsid w:val="00853DCE"/>
    <w:rsid w:val="00855CE9"/>
    <w:rsid w:val="00856FCD"/>
    <w:rsid w:val="008610CA"/>
    <w:rsid w:val="00861B5E"/>
    <w:rsid w:val="008630E4"/>
    <w:rsid w:val="008635E5"/>
    <w:rsid w:val="008638BA"/>
    <w:rsid w:val="008646B3"/>
    <w:rsid w:val="00864957"/>
    <w:rsid w:val="00864FC2"/>
    <w:rsid w:val="0086555B"/>
    <w:rsid w:val="00865673"/>
    <w:rsid w:val="008657C3"/>
    <w:rsid w:val="00865BAD"/>
    <w:rsid w:val="00866038"/>
    <w:rsid w:val="0086725A"/>
    <w:rsid w:val="0086725F"/>
    <w:rsid w:val="0087458A"/>
    <w:rsid w:val="0087494F"/>
    <w:rsid w:val="008752DE"/>
    <w:rsid w:val="00875438"/>
    <w:rsid w:val="00875A1E"/>
    <w:rsid w:val="0088091D"/>
    <w:rsid w:val="00880E63"/>
    <w:rsid w:val="008813EE"/>
    <w:rsid w:val="00884F29"/>
    <w:rsid w:val="00885EA8"/>
    <w:rsid w:val="008864CB"/>
    <w:rsid w:val="0088674E"/>
    <w:rsid w:val="008902BC"/>
    <w:rsid w:val="00891C9D"/>
    <w:rsid w:val="0089206F"/>
    <w:rsid w:val="0089304F"/>
    <w:rsid w:val="00894CC9"/>
    <w:rsid w:val="00895C06"/>
    <w:rsid w:val="0089663F"/>
    <w:rsid w:val="00896756"/>
    <w:rsid w:val="00896806"/>
    <w:rsid w:val="00896C03"/>
    <w:rsid w:val="00897AB1"/>
    <w:rsid w:val="008A21C2"/>
    <w:rsid w:val="008A276A"/>
    <w:rsid w:val="008A31D0"/>
    <w:rsid w:val="008A35CB"/>
    <w:rsid w:val="008A5067"/>
    <w:rsid w:val="008A5605"/>
    <w:rsid w:val="008B0B8F"/>
    <w:rsid w:val="008B1BA9"/>
    <w:rsid w:val="008B26D4"/>
    <w:rsid w:val="008B3DBA"/>
    <w:rsid w:val="008B3EBE"/>
    <w:rsid w:val="008B4038"/>
    <w:rsid w:val="008C007F"/>
    <w:rsid w:val="008C09EF"/>
    <w:rsid w:val="008C0B0B"/>
    <w:rsid w:val="008C1C6B"/>
    <w:rsid w:val="008C3C9E"/>
    <w:rsid w:val="008C4A7F"/>
    <w:rsid w:val="008C4B83"/>
    <w:rsid w:val="008C5119"/>
    <w:rsid w:val="008C60DC"/>
    <w:rsid w:val="008C6635"/>
    <w:rsid w:val="008C778C"/>
    <w:rsid w:val="008C7B71"/>
    <w:rsid w:val="008D02BF"/>
    <w:rsid w:val="008D0F84"/>
    <w:rsid w:val="008D1DAD"/>
    <w:rsid w:val="008D1EDC"/>
    <w:rsid w:val="008D256C"/>
    <w:rsid w:val="008D283A"/>
    <w:rsid w:val="008D2BC1"/>
    <w:rsid w:val="008D3100"/>
    <w:rsid w:val="008D401E"/>
    <w:rsid w:val="008D52D6"/>
    <w:rsid w:val="008D5477"/>
    <w:rsid w:val="008D6331"/>
    <w:rsid w:val="008D6E71"/>
    <w:rsid w:val="008D72B9"/>
    <w:rsid w:val="008E060E"/>
    <w:rsid w:val="008E1B44"/>
    <w:rsid w:val="008E2AFB"/>
    <w:rsid w:val="008E2B10"/>
    <w:rsid w:val="008E430D"/>
    <w:rsid w:val="008E4CD1"/>
    <w:rsid w:val="008E4E63"/>
    <w:rsid w:val="008E585D"/>
    <w:rsid w:val="008E5EF0"/>
    <w:rsid w:val="008E677E"/>
    <w:rsid w:val="008F112C"/>
    <w:rsid w:val="008F2C17"/>
    <w:rsid w:val="008F2DF0"/>
    <w:rsid w:val="008F35AA"/>
    <w:rsid w:val="008F4FD8"/>
    <w:rsid w:val="008F5281"/>
    <w:rsid w:val="008F5E97"/>
    <w:rsid w:val="008F61CD"/>
    <w:rsid w:val="008F7928"/>
    <w:rsid w:val="0090006E"/>
    <w:rsid w:val="009029D9"/>
    <w:rsid w:val="00903DF2"/>
    <w:rsid w:val="00904FD7"/>
    <w:rsid w:val="009056B4"/>
    <w:rsid w:val="0090685E"/>
    <w:rsid w:val="00906D51"/>
    <w:rsid w:val="00907C75"/>
    <w:rsid w:val="00910BD9"/>
    <w:rsid w:val="00912D9F"/>
    <w:rsid w:val="009140F3"/>
    <w:rsid w:val="00914211"/>
    <w:rsid w:val="009145B5"/>
    <w:rsid w:val="009174E2"/>
    <w:rsid w:val="00921A02"/>
    <w:rsid w:val="009224E0"/>
    <w:rsid w:val="009224F6"/>
    <w:rsid w:val="00922845"/>
    <w:rsid w:val="0092287B"/>
    <w:rsid w:val="009231C3"/>
    <w:rsid w:val="0092528C"/>
    <w:rsid w:val="0092531E"/>
    <w:rsid w:val="00926448"/>
    <w:rsid w:val="00926846"/>
    <w:rsid w:val="00927348"/>
    <w:rsid w:val="00927517"/>
    <w:rsid w:val="0093149D"/>
    <w:rsid w:val="00932161"/>
    <w:rsid w:val="00932C54"/>
    <w:rsid w:val="0093458B"/>
    <w:rsid w:val="0093589C"/>
    <w:rsid w:val="00935946"/>
    <w:rsid w:val="009378F2"/>
    <w:rsid w:val="00937CFE"/>
    <w:rsid w:val="00940604"/>
    <w:rsid w:val="00940624"/>
    <w:rsid w:val="00940D9E"/>
    <w:rsid w:val="00940DA5"/>
    <w:rsid w:val="009415EC"/>
    <w:rsid w:val="00942820"/>
    <w:rsid w:val="00942963"/>
    <w:rsid w:val="00942D87"/>
    <w:rsid w:val="009440DF"/>
    <w:rsid w:val="0094488F"/>
    <w:rsid w:val="00944F86"/>
    <w:rsid w:val="0094529F"/>
    <w:rsid w:val="009452D5"/>
    <w:rsid w:val="00946FC2"/>
    <w:rsid w:val="00950B4E"/>
    <w:rsid w:val="00950E13"/>
    <w:rsid w:val="009514C6"/>
    <w:rsid w:val="009519E2"/>
    <w:rsid w:val="00951D67"/>
    <w:rsid w:val="00952A4A"/>
    <w:rsid w:val="00952CB5"/>
    <w:rsid w:val="00952E26"/>
    <w:rsid w:val="00952E83"/>
    <w:rsid w:val="00953566"/>
    <w:rsid w:val="009538B7"/>
    <w:rsid w:val="00953E71"/>
    <w:rsid w:val="0095488F"/>
    <w:rsid w:val="009559ED"/>
    <w:rsid w:val="009561A0"/>
    <w:rsid w:val="009574B0"/>
    <w:rsid w:val="00957B46"/>
    <w:rsid w:val="00957C1E"/>
    <w:rsid w:val="00957E54"/>
    <w:rsid w:val="0096003B"/>
    <w:rsid w:val="009605E0"/>
    <w:rsid w:val="009613C9"/>
    <w:rsid w:val="00961E68"/>
    <w:rsid w:val="0096233E"/>
    <w:rsid w:val="00963EB1"/>
    <w:rsid w:val="00963F3C"/>
    <w:rsid w:val="0096493F"/>
    <w:rsid w:val="009655FF"/>
    <w:rsid w:val="0096577A"/>
    <w:rsid w:val="00965DE7"/>
    <w:rsid w:val="00965E85"/>
    <w:rsid w:val="00966A04"/>
    <w:rsid w:val="00966CC9"/>
    <w:rsid w:val="00967CFA"/>
    <w:rsid w:val="00967E8C"/>
    <w:rsid w:val="009719C7"/>
    <w:rsid w:val="00971B86"/>
    <w:rsid w:val="00971C1C"/>
    <w:rsid w:val="009722B5"/>
    <w:rsid w:val="0097286F"/>
    <w:rsid w:val="00973827"/>
    <w:rsid w:val="00974125"/>
    <w:rsid w:val="009744AB"/>
    <w:rsid w:val="009749C6"/>
    <w:rsid w:val="00975231"/>
    <w:rsid w:val="00975831"/>
    <w:rsid w:val="00975D5F"/>
    <w:rsid w:val="009771C7"/>
    <w:rsid w:val="00977B59"/>
    <w:rsid w:val="00981002"/>
    <w:rsid w:val="0098178A"/>
    <w:rsid w:val="009819B7"/>
    <w:rsid w:val="00981C97"/>
    <w:rsid w:val="009823AE"/>
    <w:rsid w:val="009827E3"/>
    <w:rsid w:val="00982E08"/>
    <w:rsid w:val="009834FD"/>
    <w:rsid w:val="009840E6"/>
    <w:rsid w:val="00984274"/>
    <w:rsid w:val="00984AC5"/>
    <w:rsid w:val="009852DB"/>
    <w:rsid w:val="0098543D"/>
    <w:rsid w:val="00985EED"/>
    <w:rsid w:val="00986302"/>
    <w:rsid w:val="00986D42"/>
    <w:rsid w:val="00991645"/>
    <w:rsid w:val="009916FB"/>
    <w:rsid w:val="00991E4A"/>
    <w:rsid w:val="00991ED5"/>
    <w:rsid w:val="00992C94"/>
    <w:rsid w:val="009940E8"/>
    <w:rsid w:val="0099425F"/>
    <w:rsid w:val="00996D79"/>
    <w:rsid w:val="00997E86"/>
    <w:rsid w:val="009A01E5"/>
    <w:rsid w:val="009A10ED"/>
    <w:rsid w:val="009A15C7"/>
    <w:rsid w:val="009A1C4F"/>
    <w:rsid w:val="009A1D2F"/>
    <w:rsid w:val="009A1F35"/>
    <w:rsid w:val="009A2ABB"/>
    <w:rsid w:val="009A3224"/>
    <w:rsid w:val="009A366C"/>
    <w:rsid w:val="009A376E"/>
    <w:rsid w:val="009A4D81"/>
    <w:rsid w:val="009A5DED"/>
    <w:rsid w:val="009A7E32"/>
    <w:rsid w:val="009B17CE"/>
    <w:rsid w:val="009B2A1A"/>
    <w:rsid w:val="009B32BB"/>
    <w:rsid w:val="009B369C"/>
    <w:rsid w:val="009B4BCD"/>
    <w:rsid w:val="009B54EC"/>
    <w:rsid w:val="009B6DAD"/>
    <w:rsid w:val="009B70D1"/>
    <w:rsid w:val="009C0C4C"/>
    <w:rsid w:val="009C0D5A"/>
    <w:rsid w:val="009C142C"/>
    <w:rsid w:val="009C14F5"/>
    <w:rsid w:val="009C1908"/>
    <w:rsid w:val="009C1A0E"/>
    <w:rsid w:val="009C2CFA"/>
    <w:rsid w:val="009C3CB3"/>
    <w:rsid w:val="009C4282"/>
    <w:rsid w:val="009C440F"/>
    <w:rsid w:val="009C49E6"/>
    <w:rsid w:val="009C4E4A"/>
    <w:rsid w:val="009C63FA"/>
    <w:rsid w:val="009C6765"/>
    <w:rsid w:val="009C6D7C"/>
    <w:rsid w:val="009C7A08"/>
    <w:rsid w:val="009D0791"/>
    <w:rsid w:val="009D1342"/>
    <w:rsid w:val="009D196C"/>
    <w:rsid w:val="009D3411"/>
    <w:rsid w:val="009D4367"/>
    <w:rsid w:val="009D54A8"/>
    <w:rsid w:val="009D6033"/>
    <w:rsid w:val="009D63C0"/>
    <w:rsid w:val="009D765B"/>
    <w:rsid w:val="009E00E3"/>
    <w:rsid w:val="009E075A"/>
    <w:rsid w:val="009E10FF"/>
    <w:rsid w:val="009E26DD"/>
    <w:rsid w:val="009E4E52"/>
    <w:rsid w:val="009E5254"/>
    <w:rsid w:val="009E561E"/>
    <w:rsid w:val="009E56C5"/>
    <w:rsid w:val="009E64CE"/>
    <w:rsid w:val="009F059B"/>
    <w:rsid w:val="009F0EB4"/>
    <w:rsid w:val="009F29B0"/>
    <w:rsid w:val="009F3C46"/>
    <w:rsid w:val="009F44A7"/>
    <w:rsid w:val="009F75ED"/>
    <w:rsid w:val="009F7C2F"/>
    <w:rsid w:val="009F7F2F"/>
    <w:rsid w:val="00A00E0C"/>
    <w:rsid w:val="00A02747"/>
    <w:rsid w:val="00A03C6A"/>
    <w:rsid w:val="00A044B2"/>
    <w:rsid w:val="00A05D17"/>
    <w:rsid w:val="00A06DAF"/>
    <w:rsid w:val="00A0753C"/>
    <w:rsid w:val="00A07D7D"/>
    <w:rsid w:val="00A11265"/>
    <w:rsid w:val="00A12013"/>
    <w:rsid w:val="00A133B7"/>
    <w:rsid w:val="00A13E39"/>
    <w:rsid w:val="00A14466"/>
    <w:rsid w:val="00A150FC"/>
    <w:rsid w:val="00A15389"/>
    <w:rsid w:val="00A160F5"/>
    <w:rsid w:val="00A16331"/>
    <w:rsid w:val="00A22CB6"/>
    <w:rsid w:val="00A241A6"/>
    <w:rsid w:val="00A258CF"/>
    <w:rsid w:val="00A25C3C"/>
    <w:rsid w:val="00A25FA5"/>
    <w:rsid w:val="00A26490"/>
    <w:rsid w:val="00A2690D"/>
    <w:rsid w:val="00A279AD"/>
    <w:rsid w:val="00A30788"/>
    <w:rsid w:val="00A318A1"/>
    <w:rsid w:val="00A33FAB"/>
    <w:rsid w:val="00A341DF"/>
    <w:rsid w:val="00A34AA9"/>
    <w:rsid w:val="00A36196"/>
    <w:rsid w:val="00A377EE"/>
    <w:rsid w:val="00A40484"/>
    <w:rsid w:val="00A42C3E"/>
    <w:rsid w:val="00A42F9B"/>
    <w:rsid w:val="00A439DC"/>
    <w:rsid w:val="00A43DFA"/>
    <w:rsid w:val="00A43F08"/>
    <w:rsid w:val="00A44478"/>
    <w:rsid w:val="00A44622"/>
    <w:rsid w:val="00A4562C"/>
    <w:rsid w:val="00A4575C"/>
    <w:rsid w:val="00A47277"/>
    <w:rsid w:val="00A47A3C"/>
    <w:rsid w:val="00A505B1"/>
    <w:rsid w:val="00A5081F"/>
    <w:rsid w:val="00A50BD1"/>
    <w:rsid w:val="00A5128C"/>
    <w:rsid w:val="00A5262E"/>
    <w:rsid w:val="00A53915"/>
    <w:rsid w:val="00A539B0"/>
    <w:rsid w:val="00A53A7F"/>
    <w:rsid w:val="00A54C41"/>
    <w:rsid w:val="00A55200"/>
    <w:rsid w:val="00A556E6"/>
    <w:rsid w:val="00A5628A"/>
    <w:rsid w:val="00A56449"/>
    <w:rsid w:val="00A56619"/>
    <w:rsid w:val="00A5727C"/>
    <w:rsid w:val="00A57B66"/>
    <w:rsid w:val="00A57DAD"/>
    <w:rsid w:val="00A629A3"/>
    <w:rsid w:val="00A62B42"/>
    <w:rsid w:val="00A63D06"/>
    <w:rsid w:val="00A641E6"/>
    <w:rsid w:val="00A655B6"/>
    <w:rsid w:val="00A65F6A"/>
    <w:rsid w:val="00A6749A"/>
    <w:rsid w:val="00A701F9"/>
    <w:rsid w:val="00A7245B"/>
    <w:rsid w:val="00A7382D"/>
    <w:rsid w:val="00A74517"/>
    <w:rsid w:val="00A75285"/>
    <w:rsid w:val="00A7661F"/>
    <w:rsid w:val="00A76B5F"/>
    <w:rsid w:val="00A76D71"/>
    <w:rsid w:val="00A76EC0"/>
    <w:rsid w:val="00A812F5"/>
    <w:rsid w:val="00A82A68"/>
    <w:rsid w:val="00A83BFA"/>
    <w:rsid w:val="00A83EEF"/>
    <w:rsid w:val="00A84EDB"/>
    <w:rsid w:val="00A84EFA"/>
    <w:rsid w:val="00A84F79"/>
    <w:rsid w:val="00A853D5"/>
    <w:rsid w:val="00A85A95"/>
    <w:rsid w:val="00A922D9"/>
    <w:rsid w:val="00A925F9"/>
    <w:rsid w:val="00A93614"/>
    <w:rsid w:val="00A945FA"/>
    <w:rsid w:val="00A95429"/>
    <w:rsid w:val="00A95D25"/>
    <w:rsid w:val="00A963B4"/>
    <w:rsid w:val="00A97C9A"/>
    <w:rsid w:val="00AA0E83"/>
    <w:rsid w:val="00AA14A7"/>
    <w:rsid w:val="00AA1D5D"/>
    <w:rsid w:val="00AA38BF"/>
    <w:rsid w:val="00AA433F"/>
    <w:rsid w:val="00AA5E58"/>
    <w:rsid w:val="00AA6466"/>
    <w:rsid w:val="00AB05B4"/>
    <w:rsid w:val="00AB09F2"/>
    <w:rsid w:val="00AB2EFC"/>
    <w:rsid w:val="00AB34D6"/>
    <w:rsid w:val="00AB4923"/>
    <w:rsid w:val="00AB50D8"/>
    <w:rsid w:val="00AB5631"/>
    <w:rsid w:val="00AC0F6A"/>
    <w:rsid w:val="00AC10C8"/>
    <w:rsid w:val="00AC1132"/>
    <w:rsid w:val="00AC18E0"/>
    <w:rsid w:val="00AC1E96"/>
    <w:rsid w:val="00AC2B3D"/>
    <w:rsid w:val="00AC54A2"/>
    <w:rsid w:val="00AC56E3"/>
    <w:rsid w:val="00AD1936"/>
    <w:rsid w:val="00AD2044"/>
    <w:rsid w:val="00AD26DA"/>
    <w:rsid w:val="00AD29CA"/>
    <w:rsid w:val="00AD2E34"/>
    <w:rsid w:val="00AD32A1"/>
    <w:rsid w:val="00AD3E23"/>
    <w:rsid w:val="00AD3FAD"/>
    <w:rsid w:val="00AD402D"/>
    <w:rsid w:val="00AD443A"/>
    <w:rsid w:val="00AD4467"/>
    <w:rsid w:val="00AD4802"/>
    <w:rsid w:val="00AD51F4"/>
    <w:rsid w:val="00AD5832"/>
    <w:rsid w:val="00AD58D7"/>
    <w:rsid w:val="00AD5BC3"/>
    <w:rsid w:val="00AD5BF9"/>
    <w:rsid w:val="00AD5E2A"/>
    <w:rsid w:val="00AD64E3"/>
    <w:rsid w:val="00AD6B8A"/>
    <w:rsid w:val="00AD6EAD"/>
    <w:rsid w:val="00AE02C7"/>
    <w:rsid w:val="00AE3241"/>
    <w:rsid w:val="00AE3610"/>
    <w:rsid w:val="00AE6155"/>
    <w:rsid w:val="00AE7E91"/>
    <w:rsid w:val="00AF0323"/>
    <w:rsid w:val="00AF282F"/>
    <w:rsid w:val="00AF2B16"/>
    <w:rsid w:val="00AF3AE6"/>
    <w:rsid w:val="00AF3D25"/>
    <w:rsid w:val="00AF422D"/>
    <w:rsid w:val="00AF4B95"/>
    <w:rsid w:val="00AF4CF0"/>
    <w:rsid w:val="00AF514D"/>
    <w:rsid w:val="00AF51A3"/>
    <w:rsid w:val="00AF54A6"/>
    <w:rsid w:val="00AF5797"/>
    <w:rsid w:val="00AF66A2"/>
    <w:rsid w:val="00AF6C3A"/>
    <w:rsid w:val="00AF71B0"/>
    <w:rsid w:val="00AF73ED"/>
    <w:rsid w:val="00AF7789"/>
    <w:rsid w:val="00AF7C02"/>
    <w:rsid w:val="00B005C0"/>
    <w:rsid w:val="00B03012"/>
    <w:rsid w:val="00B034B4"/>
    <w:rsid w:val="00B038AF"/>
    <w:rsid w:val="00B04429"/>
    <w:rsid w:val="00B04CF4"/>
    <w:rsid w:val="00B053FE"/>
    <w:rsid w:val="00B056F2"/>
    <w:rsid w:val="00B05B9B"/>
    <w:rsid w:val="00B062CD"/>
    <w:rsid w:val="00B068DA"/>
    <w:rsid w:val="00B06AE6"/>
    <w:rsid w:val="00B07231"/>
    <w:rsid w:val="00B07F37"/>
    <w:rsid w:val="00B1004B"/>
    <w:rsid w:val="00B10142"/>
    <w:rsid w:val="00B1133C"/>
    <w:rsid w:val="00B119F6"/>
    <w:rsid w:val="00B1213D"/>
    <w:rsid w:val="00B123B5"/>
    <w:rsid w:val="00B128AD"/>
    <w:rsid w:val="00B1292B"/>
    <w:rsid w:val="00B13C1D"/>
    <w:rsid w:val="00B1489B"/>
    <w:rsid w:val="00B1542A"/>
    <w:rsid w:val="00B16594"/>
    <w:rsid w:val="00B17727"/>
    <w:rsid w:val="00B21328"/>
    <w:rsid w:val="00B21487"/>
    <w:rsid w:val="00B22729"/>
    <w:rsid w:val="00B230A1"/>
    <w:rsid w:val="00B23A90"/>
    <w:rsid w:val="00B25441"/>
    <w:rsid w:val="00B260A3"/>
    <w:rsid w:val="00B26848"/>
    <w:rsid w:val="00B3028F"/>
    <w:rsid w:val="00B30847"/>
    <w:rsid w:val="00B325E9"/>
    <w:rsid w:val="00B32ABC"/>
    <w:rsid w:val="00B32BDA"/>
    <w:rsid w:val="00B32EC6"/>
    <w:rsid w:val="00B3513A"/>
    <w:rsid w:val="00B35A72"/>
    <w:rsid w:val="00B36092"/>
    <w:rsid w:val="00B36BA5"/>
    <w:rsid w:val="00B40C6A"/>
    <w:rsid w:val="00B411C5"/>
    <w:rsid w:val="00B41330"/>
    <w:rsid w:val="00B41F53"/>
    <w:rsid w:val="00B4253D"/>
    <w:rsid w:val="00B434AF"/>
    <w:rsid w:val="00B43C36"/>
    <w:rsid w:val="00B44876"/>
    <w:rsid w:val="00B451B3"/>
    <w:rsid w:val="00B4585C"/>
    <w:rsid w:val="00B4612D"/>
    <w:rsid w:val="00B46170"/>
    <w:rsid w:val="00B46326"/>
    <w:rsid w:val="00B466A5"/>
    <w:rsid w:val="00B4716C"/>
    <w:rsid w:val="00B51363"/>
    <w:rsid w:val="00B527CB"/>
    <w:rsid w:val="00B53EA6"/>
    <w:rsid w:val="00B5435B"/>
    <w:rsid w:val="00B55CCD"/>
    <w:rsid w:val="00B5707E"/>
    <w:rsid w:val="00B57C2F"/>
    <w:rsid w:val="00B60427"/>
    <w:rsid w:val="00B629DF"/>
    <w:rsid w:val="00B637B2"/>
    <w:rsid w:val="00B64CAD"/>
    <w:rsid w:val="00B64F6E"/>
    <w:rsid w:val="00B65532"/>
    <w:rsid w:val="00B65B05"/>
    <w:rsid w:val="00B65BC3"/>
    <w:rsid w:val="00B6643D"/>
    <w:rsid w:val="00B70126"/>
    <w:rsid w:val="00B711FE"/>
    <w:rsid w:val="00B712E1"/>
    <w:rsid w:val="00B714F6"/>
    <w:rsid w:val="00B731AE"/>
    <w:rsid w:val="00B731EE"/>
    <w:rsid w:val="00B7390A"/>
    <w:rsid w:val="00B7499E"/>
    <w:rsid w:val="00B77F0B"/>
    <w:rsid w:val="00B80AC4"/>
    <w:rsid w:val="00B80F8A"/>
    <w:rsid w:val="00B813B1"/>
    <w:rsid w:val="00B816FB"/>
    <w:rsid w:val="00B82087"/>
    <w:rsid w:val="00B85323"/>
    <w:rsid w:val="00B86A98"/>
    <w:rsid w:val="00B87454"/>
    <w:rsid w:val="00B87496"/>
    <w:rsid w:val="00B907B8"/>
    <w:rsid w:val="00B91885"/>
    <w:rsid w:val="00B91955"/>
    <w:rsid w:val="00B91AB6"/>
    <w:rsid w:val="00B92C4A"/>
    <w:rsid w:val="00B9384B"/>
    <w:rsid w:val="00B93B4D"/>
    <w:rsid w:val="00B93F88"/>
    <w:rsid w:val="00B943D5"/>
    <w:rsid w:val="00B9668E"/>
    <w:rsid w:val="00B979BC"/>
    <w:rsid w:val="00BA0269"/>
    <w:rsid w:val="00BA13AC"/>
    <w:rsid w:val="00BA2EBC"/>
    <w:rsid w:val="00BA515D"/>
    <w:rsid w:val="00BA67A9"/>
    <w:rsid w:val="00BA6CAE"/>
    <w:rsid w:val="00BB0809"/>
    <w:rsid w:val="00BB0BBB"/>
    <w:rsid w:val="00BB2921"/>
    <w:rsid w:val="00BB29C1"/>
    <w:rsid w:val="00BB3B11"/>
    <w:rsid w:val="00BB5369"/>
    <w:rsid w:val="00BB5E06"/>
    <w:rsid w:val="00BB6683"/>
    <w:rsid w:val="00BB7190"/>
    <w:rsid w:val="00BB78BE"/>
    <w:rsid w:val="00BB7C38"/>
    <w:rsid w:val="00BC0246"/>
    <w:rsid w:val="00BC2AC8"/>
    <w:rsid w:val="00BC3796"/>
    <w:rsid w:val="00BC38CD"/>
    <w:rsid w:val="00BC4336"/>
    <w:rsid w:val="00BC63DA"/>
    <w:rsid w:val="00BC7199"/>
    <w:rsid w:val="00BC7231"/>
    <w:rsid w:val="00BD1394"/>
    <w:rsid w:val="00BD2D1E"/>
    <w:rsid w:val="00BD52D4"/>
    <w:rsid w:val="00BD5573"/>
    <w:rsid w:val="00BE1797"/>
    <w:rsid w:val="00BE1C96"/>
    <w:rsid w:val="00BE25FB"/>
    <w:rsid w:val="00BE2E35"/>
    <w:rsid w:val="00BE2E7F"/>
    <w:rsid w:val="00BE3369"/>
    <w:rsid w:val="00BE39A0"/>
    <w:rsid w:val="00BE448A"/>
    <w:rsid w:val="00BE46CD"/>
    <w:rsid w:val="00BE6906"/>
    <w:rsid w:val="00BF0076"/>
    <w:rsid w:val="00BF17E6"/>
    <w:rsid w:val="00BF1BFC"/>
    <w:rsid w:val="00BF22B3"/>
    <w:rsid w:val="00BF24F7"/>
    <w:rsid w:val="00BF2740"/>
    <w:rsid w:val="00BF29AC"/>
    <w:rsid w:val="00BF2B59"/>
    <w:rsid w:val="00BF37D6"/>
    <w:rsid w:val="00BF7397"/>
    <w:rsid w:val="00BF7F99"/>
    <w:rsid w:val="00C005D7"/>
    <w:rsid w:val="00C01377"/>
    <w:rsid w:val="00C015AB"/>
    <w:rsid w:val="00C02D2B"/>
    <w:rsid w:val="00C03372"/>
    <w:rsid w:val="00C045C8"/>
    <w:rsid w:val="00C046B9"/>
    <w:rsid w:val="00C0474C"/>
    <w:rsid w:val="00C05349"/>
    <w:rsid w:val="00C05CFC"/>
    <w:rsid w:val="00C063CF"/>
    <w:rsid w:val="00C06519"/>
    <w:rsid w:val="00C06F39"/>
    <w:rsid w:val="00C07072"/>
    <w:rsid w:val="00C07342"/>
    <w:rsid w:val="00C077D5"/>
    <w:rsid w:val="00C07A49"/>
    <w:rsid w:val="00C07FE7"/>
    <w:rsid w:val="00C10208"/>
    <w:rsid w:val="00C1038B"/>
    <w:rsid w:val="00C10DE0"/>
    <w:rsid w:val="00C10E02"/>
    <w:rsid w:val="00C10E23"/>
    <w:rsid w:val="00C1121A"/>
    <w:rsid w:val="00C1167C"/>
    <w:rsid w:val="00C139C3"/>
    <w:rsid w:val="00C13B72"/>
    <w:rsid w:val="00C13DCB"/>
    <w:rsid w:val="00C14427"/>
    <w:rsid w:val="00C14851"/>
    <w:rsid w:val="00C14C06"/>
    <w:rsid w:val="00C154CA"/>
    <w:rsid w:val="00C15BAA"/>
    <w:rsid w:val="00C16536"/>
    <w:rsid w:val="00C16D8F"/>
    <w:rsid w:val="00C177A2"/>
    <w:rsid w:val="00C202ED"/>
    <w:rsid w:val="00C21220"/>
    <w:rsid w:val="00C2318E"/>
    <w:rsid w:val="00C23B66"/>
    <w:rsid w:val="00C23F3B"/>
    <w:rsid w:val="00C244DD"/>
    <w:rsid w:val="00C25A7C"/>
    <w:rsid w:val="00C27296"/>
    <w:rsid w:val="00C272A8"/>
    <w:rsid w:val="00C27FB8"/>
    <w:rsid w:val="00C313F1"/>
    <w:rsid w:val="00C31BB0"/>
    <w:rsid w:val="00C32BFC"/>
    <w:rsid w:val="00C32E12"/>
    <w:rsid w:val="00C332CE"/>
    <w:rsid w:val="00C33408"/>
    <w:rsid w:val="00C33873"/>
    <w:rsid w:val="00C346B0"/>
    <w:rsid w:val="00C348D2"/>
    <w:rsid w:val="00C34F02"/>
    <w:rsid w:val="00C35EAC"/>
    <w:rsid w:val="00C35FBC"/>
    <w:rsid w:val="00C36576"/>
    <w:rsid w:val="00C36970"/>
    <w:rsid w:val="00C3749C"/>
    <w:rsid w:val="00C40835"/>
    <w:rsid w:val="00C42489"/>
    <w:rsid w:val="00C42A42"/>
    <w:rsid w:val="00C43004"/>
    <w:rsid w:val="00C430B0"/>
    <w:rsid w:val="00C4312E"/>
    <w:rsid w:val="00C439F4"/>
    <w:rsid w:val="00C43AEC"/>
    <w:rsid w:val="00C43F1B"/>
    <w:rsid w:val="00C444B7"/>
    <w:rsid w:val="00C4464B"/>
    <w:rsid w:val="00C44DF3"/>
    <w:rsid w:val="00C454AD"/>
    <w:rsid w:val="00C4663F"/>
    <w:rsid w:val="00C47761"/>
    <w:rsid w:val="00C47FDD"/>
    <w:rsid w:val="00C50CE0"/>
    <w:rsid w:val="00C513F0"/>
    <w:rsid w:val="00C52777"/>
    <w:rsid w:val="00C54831"/>
    <w:rsid w:val="00C54B24"/>
    <w:rsid w:val="00C5519E"/>
    <w:rsid w:val="00C5520E"/>
    <w:rsid w:val="00C5615D"/>
    <w:rsid w:val="00C57B1C"/>
    <w:rsid w:val="00C60665"/>
    <w:rsid w:val="00C6101C"/>
    <w:rsid w:val="00C6102B"/>
    <w:rsid w:val="00C6164F"/>
    <w:rsid w:val="00C63690"/>
    <w:rsid w:val="00C63747"/>
    <w:rsid w:val="00C63EE1"/>
    <w:rsid w:val="00C6463F"/>
    <w:rsid w:val="00C6579B"/>
    <w:rsid w:val="00C671EA"/>
    <w:rsid w:val="00C67883"/>
    <w:rsid w:val="00C678C3"/>
    <w:rsid w:val="00C72244"/>
    <w:rsid w:val="00C72ABD"/>
    <w:rsid w:val="00C74F48"/>
    <w:rsid w:val="00C7587C"/>
    <w:rsid w:val="00C82D05"/>
    <w:rsid w:val="00C84687"/>
    <w:rsid w:val="00C848C5"/>
    <w:rsid w:val="00C8525E"/>
    <w:rsid w:val="00C8592C"/>
    <w:rsid w:val="00C8601A"/>
    <w:rsid w:val="00C86669"/>
    <w:rsid w:val="00C86DB5"/>
    <w:rsid w:val="00C86E77"/>
    <w:rsid w:val="00C871C0"/>
    <w:rsid w:val="00C90F5D"/>
    <w:rsid w:val="00C91049"/>
    <w:rsid w:val="00C91FD8"/>
    <w:rsid w:val="00C93E12"/>
    <w:rsid w:val="00C9425C"/>
    <w:rsid w:val="00C9462E"/>
    <w:rsid w:val="00C949CF"/>
    <w:rsid w:val="00C95C96"/>
    <w:rsid w:val="00C97FF5"/>
    <w:rsid w:val="00CA035C"/>
    <w:rsid w:val="00CA0950"/>
    <w:rsid w:val="00CA0FDE"/>
    <w:rsid w:val="00CA2943"/>
    <w:rsid w:val="00CA468C"/>
    <w:rsid w:val="00CA5344"/>
    <w:rsid w:val="00CB105D"/>
    <w:rsid w:val="00CB20D6"/>
    <w:rsid w:val="00CB25E1"/>
    <w:rsid w:val="00CB2EEA"/>
    <w:rsid w:val="00CB4B39"/>
    <w:rsid w:val="00CB575C"/>
    <w:rsid w:val="00CB61E9"/>
    <w:rsid w:val="00CB70CC"/>
    <w:rsid w:val="00CC02BD"/>
    <w:rsid w:val="00CC0853"/>
    <w:rsid w:val="00CC0C1B"/>
    <w:rsid w:val="00CC1325"/>
    <w:rsid w:val="00CC19AA"/>
    <w:rsid w:val="00CC20EC"/>
    <w:rsid w:val="00CC23F2"/>
    <w:rsid w:val="00CC3FC8"/>
    <w:rsid w:val="00CC436B"/>
    <w:rsid w:val="00CC4D7F"/>
    <w:rsid w:val="00CC5560"/>
    <w:rsid w:val="00CC5C7F"/>
    <w:rsid w:val="00CC5DF1"/>
    <w:rsid w:val="00CC5E5C"/>
    <w:rsid w:val="00CC603A"/>
    <w:rsid w:val="00CC684E"/>
    <w:rsid w:val="00CC6C5E"/>
    <w:rsid w:val="00CC73FF"/>
    <w:rsid w:val="00CC7934"/>
    <w:rsid w:val="00CD085B"/>
    <w:rsid w:val="00CD17E5"/>
    <w:rsid w:val="00CD33AA"/>
    <w:rsid w:val="00CD57C4"/>
    <w:rsid w:val="00CD6302"/>
    <w:rsid w:val="00CD6BE3"/>
    <w:rsid w:val="00CD7112"/>
    <w:rsid w:val="00CD7F43"/>
    <w:rsid w:val="00CE047B"/>
    <w:rsid w:val="00CE0573"/>
    <w:rsid w:val="00CE068A"/>
    <w:rsid w:val="00CE2B31"/>
    <w:rsid w:val="00CE3F83"/>
    <w:rsid w:val="00CE4595"/>
    <w:rsid w:val="00CE4A1B"/>
    <w:rsid w:val="00CE5282"/>
    <w:rsid w:val="00CE5976"/>
    <w:rsid w:val="00CE65EF"/>
    <w:rsid w:val="00CE6ED6"/>
    <w:rsid w:val="00CF17AC"/>
    <w:rsid w:val="00CF2392"/>
    <w:rsid w:val="00CF35DF"/>
    <w:rsid w:val="00CF4728"/>
    <w:rsid w:val="00CF4831"/>
    <w:rsid w:val="00CF575C"/>
    <w:rsid w:val="00CF5C02"/>
    <w:rsid w:val="00CF6663"/>
    <w:rsid w:val="00D000F5"/>
    <w:rsid w:val="00D000F6"/>
    <w:rsid w:val="00D004C9"/>
    <w:rsid w:val="00D00782"/>
    <w:rsid w:val="00D02316"/>
    <w:rsid w:val="00D02918"/>
    <w:rsid w:val="00D0382F"/>
    <w:rsid w:val="00D049C1"/>
    <w:rsid w:val="00D04FBC"/>
    <w:rsid w:val="00D05E0B"/>
    <w:rsid w:val="00D06299"/>
    <w:rsid w:val="00D069D9"/>
    <w:rsid w:val="00D06BB4"/>
    <w:rsid w:val="00D07287"/>
    <w:rsid w:val="00D075D6"/>
    <w:rsid w:val="00D07A1C"/>
    <w:rsid w:val="00D07BE4"/>
    <w:rsid w:val="00D10413"/>
    <w:rsid w:val="00D10FE8"/>
    <w:rsid w:val="00D1147F"/>
    <w:rsid w:val="00D11A5C"/>
    <w:rsid w:val="00D127A2"/>
    <w:rsid w:val="00D12B03"/>
    <w:rsid w:val="00D12C73"/>
    <w:rsid w:val="00D131AC"/>
    <w:rsid w:val="00D135AE"/>
    <w:rsid w:val="00D13B9B"/>
    <w:rsid w:val="00D14A03"/>
    <w:rsid w:val="00D15172"/>
    <w:rsid w:val="00D169C4"/>
    <w:rsid w:val="00D172DD"/>
    <w:rsid w:val="00D2201A"/>
    <w:rsid w:val="00D2330C"/>
    <w:rsid w:val="00D2353C"/>
    <w:rsid w:val="00D24677"/>
    <w:rsid w:val="00D25A7E"/>
    <w:rsid w:val="00D25D6C"/>
    <w:rsid w:val="00D26292"/>
    <w:rsid w:val="00D3064D"/>
    <w:rsid w:val="00D30C45"/>
    <w:rsid w:val="00D326F4"/>
    <w:rsid w:val="00D32F66"/>
    <w:rsid w:val="00D33AF9"/>
    <w:rsid w:val="00D34461"/>
    <w:rsid w:val="00D345E7"/>
    <w:rsid w:val="00D34861"/>
    <w:rsid w:val="00D3526D"/>
    <w:rsid w:val="00D3660D"/>
    <w:rsid w:val="00D36A0C"/>
    <w:rsid w:val="00D36E3C"/>
    <w:rsid w:val="00D37154"/>
    <w:rsid w:val="00D37939"/>
    <w:rsid w:val="00D40AD3"/>
    <w:rsid w:val="00D40EAC"/>
    <w:rsid w:val="00D4117C"/>
    <w:rsid w:val="00D42569"/>
    <w:rsid w:val="00D44B7A"/>
    <w:rsid w:val="00D469FF"/>
    <w:rsid w:val="00D47147"/>
    <w:rsid w:val="00D472C8"/>
    <w:rsid w:val="00D5018B"/>
    <w:rsid w:val="00D50D9F"/>
    <w:rsid w:val="00D51FF0"/>
    <w:rsid w:val="00D520D5"/>
    <w:rsid w:val="00D5234C"/>
    <w:rsid w:val="00D52B59"/>
    <w:rsid w:val="00D52CA6"/>
    <w:rsid w:val="00D53716"/>
    <w:rsid w:val="00D5394C"/>
    <w:rsid w:val="00D53B10"/>
    <w:rsid w:val="00D53F30"/>
    <w:rsid w:val="00D545F8"/>
    <w:rsid w:val="00D547E1"/>
    <w:rsid w:val="00D558C4"/>
    <w:rsid w:val="00D56318"/>
    <w:rsid w:val="00D569E8"/>
    <w:rsid w:val="00D57844"/>
    <w:rsid w:val="00D601B5"/>
    <w:rsid w:val="00D6238A"/>
    <w:rsid w:val="00D624CF"/>
    <w:rsid w:val="00D626E3"/>
    <w:rsid w:val="00D63A6A"/>
    <w:rsid w:val="00D63A6C"/>
    <w:rsid w:val="00D63DBE"/>
    <w:rsid w:val="00D6451C"/>
    <w:rsid w:val="00D64951"/>
    <w:rsid w:val="00D65493"/>
    <w:rsid w:val="00D65571"/>
    <w:rsid w:val="00D65F14"/>
    <w:rsid w:val="00D67CE7"/>
    <w:rsid w:val="00D67D60"/>
    <w:rsid w:val="00D67FAA"/>
    <w:rsid w:val="00D70A3B"/>
    <w:rsid w:val="00D72291"/>
    <w:rsid w:val="00D7354D"/>
    <w:rsid w:val="00D73DCE"/>
    <w:rsid w:val="00D740D3"/>
    <w:rsid w:val="00D75175"/>
    <w:rsid w:val="00D754B4"/>
    <w:rsid w:val="00D75523"/>
    <w:rsid w:val="00D76ABD"/>
    <w:rsid w:val="00D76AD1"/>
    <w:rsid w:val="00D774AA"/>
    <w:rsid w:val="00D776B8"/>
    <w:rsid w:val="00D80A03"/>
    <w:rsid w:val="00D81FAA"/>
    <w:rsid w:val="00D82BAC"/>
    <w:rsid w:val="00D83D27"/>
    <w:rsid w:val="00D84192"/>
    <w:rsid w:val="00D8523F"/>
    <w:rsid w:val="00D85D7C"/>
    <w:rsid w:val="00D874F4"/>
    <w:rsid w:val="00D90121"/>
    <w:rsid w:val="00D908BE"/>
    <w:rsid w:val="00D90ECE"/>
    <w:rsid w:val="00D90EF9"/>
    <w:rsid w:val="00D90F0B"/>
    <w:rsid w:val="00D916D5"/>
    <w:rsid w:val="00D92E87"/>
    <w:rsid w:val="00D9425B"/>
    <w:rsid w:val="00D94E65"/>
    <w:rsid w:val="00D958B2"/>
    <w:rsid w:val="00D970A2"/>
    <w:rsid w:val="00D97628"/>
    <w:rsid w:val="00DA0C61"/>
    <w:rsid w:val="00DA2310"/>
    <w:rsid w:val="00DA28EA"/>
    <w:rsid w:val="00DA31B5"/>
    <w:rsid w:val="00DA351E"/>
    <w:rsid w:val="00DA52B1"/>
    <w:rsid w:val="00DA587A"/>
    <w:rsid w:val="00DA5AA8"/>
    <w:rsid w:val="00DA5E91"/>
    <w:rsid w:val="00DA69E2"/>
    <w:rsid w:val="00DB1497"/>
    <w:rsid w:val="00DB17B7"/>
    <w:rsid w:val="00DB1926"/>
    <w:rsid w:val="00DB207D"/>
    <w:rsid w:val="00DB3B82"/>
    <w:rsid w:val="00DB50B5"/>
    <w:rsid w:val="00DB5F01"/>
    <w:rsid w:val="00DB5FAF"/>
    <w:rsid w:val="00DB666D"/>
    <w:rsid w:val="00DB6B50"/>
    <w:rsid w:val="00DB7A9A"/>
    <w:rsid w:val="00DC0622"/>
    <w:rsid w:val="00DC1523"/>
    <w:rsid w:val="00DC1A59"/>
    <w:rsid w:val="00DC1B66"/>
    <w:rsid w:val="00DC217F"/>
    <w:rsid w:val="00DC2586"/>
    <w:rsid w:val="00DC32A1"/>
    <w:rsid w:val="00DC3DD6"/>
    <w:rsid w:val="00DC3E7E"/>
    <w:rsid w:val="00DC4081"/>
    <w:rsid w:val="00DC50E9"/>
    <w:rsid w:val="00DC535D"/>
    <w:rsid w:val="00DC5962"/>
    <w:rsid w:val="00DC5A86"/>
    <w:rsid w:val="00DC68A0"/>
    <w:rsid w:val="00DC71C1"/>
    <w:rsid w:val="00DC78A5"/>
    <w:rsid w:val="00DC7A8F"/>
    <w:rsid w:val="00DD0757"/>
    <w:rsid w:val="00DD132D"/>
    <w:rsid w:val="00DD1F4A"/>
    <w:rsid w:val="00DD2537"/>
    <w:rsid w:val="00DD2B18"/>
    <w:rsid w:val="00DD3BF6"/>
    <w:rsid w:val="00DD4EFB"/>
    <w:rsid w:val="00DD6518"/>
    <w:rsid w:val="00DE0314"/>
    <w:rsid w:val="00DE1074"/>
    <w:rsid w:val="00DE2EF5"/>
    <w:rsid w:val="00DE3B9A"/>
    <w:rsid w:val="00DE4949"/>
    <w:rsid w:val="00DE5353"/>
    <w:rsid w:val="00DE6730"/>
    <w:rsid w:val="00DE6D4F"/>
    <w:rsid w:val="00DE742E"/>
    <w:rsid w:val="00DF1025"/>
    <w:rsid w:val="00DF252D"/>
    <w:rsid w:val="00DF3A80"/>
    <w:rsid w:val="00DF414A"/>
    <w:rsid w:val="00DF4B76"/>
    <w:rsid w:val="00DF557B"/>
    <w:rsid w:val="00DF5A3E"/>
    <w:rsid w:val="00DF5C84"/>
    <w:rsid w:val="00DF64C4"/>
    <w:rsid w:val="00DF6627"/>
    <w:rsid w:val="00DF7441"/>
    <w:rsid w:val="00DF7AD5"/>
    <w:rsid w:val="00E0142B"/>
    <w:rsid w:val="00E01F2C"/>
    <w:rsid w:val="00E025F4"/>
    <w:rsid w:val="00E03CD6"/>
    <w:rsid w:val="00E04A12"/>
    <w:rsid w:val="00E05C1D"/>
    <w:rsid w:val="00E068A5"/>
    <w:rsid w:val="00E115DD"/>
    <w:rsid w:val="00E124EA"/>
    <w:rsid w:val="00E12893"/>
    <w:rsid w:val="00E141C9"/>
    <w:rsid w:val="00E14FEF"/>
    <w:rsid w:val="00E1508C"/>
    <w:rsid w:val="00E15780"/>
    <w:rsid w:val="00E15C1B"/>
    <w:rsid w:val="00E16297"/>
    <w:rsid w:val="00E16847"/>
    <w:rsid w:val="00E16A23"/>
    <w:rsid w:val="00E17761"/>
    <w:rsid w:val="00E20BB6"/>
    <w:rsid w:val="00E2214D"/>
    <w:rsid w:val="00E2215C"/>
    <w:rsid w:val="00E22333"/>
    <w:rsid w:val="00E22D0F"/>
    <w:rsid w:val="00E257BD"/>
    <w:rsid w:val="00E26F60"/>
    <w:rsid w:val="00E2701E"/>
    <w:rsid w:val="00E278CC"/>
    <w:rsid w:val="00E30A7D"/>
    <w:rsid w:val="00E31A16"/>
    <w:rsid w:val="00E31A43"/>
    <w:rsid w:val="00E32AB3"/>
    <w:rsid w:val="00E33886"/>
    <w:rsid w:val="00E34A01"/>
    <w:rsid w:val="00E34ADE"/>
    <w:rsid w:val="00E34DD8"/>
    <w:rsid w:val="00E40926"/>
    <w:rsid w:val="00E42273"/>
    <w:rsid w:val="00E43513"/>
    <w:rsid w:val="00E4372A"/>
    <w:rsid w:val="00E43EA2"/>
    <w:rsid w:val="00E4482D"/>
    <w:rsid w:val="00E45123"/>
    <w:rsid w:val="00E46408"/>
    <w:rsid w:val="00E509D8"/>
    <w:rsid w:val="00E50BC3"/>
    <w:rsid w:val="00E51C79"/>
    <w:rsid w:val="00E531E0"/>
    <w:rsid w:val="00E545D0"/>
    <w:rsid w:val="00E54E2B"/>
    <w:rsid w:val="00E6082A"/>
    <w:rsid w:val="00E6144F"/>
    <w:rsid w:val="00E636FC"/>
    <w:rsid w:val="00E63982"/>
    <w:rsid w:val="00E65039"/>
    <w:rsid w:val="00E6567F"/>
    <w:rsid w:val="00E67F1B"/>
    <w:rsid w:val="00E716CC"/>
    <w:rsid w:val="00E7675B"/>
    <w:rsid w:val="00E76DE4"/>
    <w:rsid w:val="00E77C0D"/>
    <w:rsid w:val="00E8117A"/>
    <w:rsid w:val="00E8179C"/>
    <w:rsid w:val="00E81E9D"/>
    <w:rsid w:val="00E83A79"/>
    <w:rsid w:val="00E84AA8"/>
    <w:rsid w:val="00E84CB8"/>
    <w:rsid w:val="00E85C3B"/>
    <w:rsid w:val="00E8703B"/>
    <w:rsid w:val="00E901F0"/>
    <w:rsid w:val="00E91491"/>
    <w:rsid w:val="00E922F5"/>
    <w:rsid w:val="00E929B1"/>
    <w:rsid w:val="00E93195"/>
    <w:rsid w:val="00E93507"/>
    <w:rsid w:val="00E935DF"/>
    <w:rsid w:val="00E93EBC"/>
    <w:rsid w:val="00E94459"/>
    <w:rsid w:val="00E94FFC"/>
    <w:rsid w:val="00E95548"/>
    <w:rsid w:val="00E9595D"/>
    <w:rsid w:val="00E95FE0"/>
    <w:rsid w:val="00EA0E6D"/>
    <w:rsid w:val="00EA0ED7"/>
    <w:rsid w:val="00EA116A"/>
    <w:rsid w:val="00EA1ADB"/>
    <w:rsid w:val="00EA400C"/>
    <w:rsid w:val="00EA648C"/>
    <w:rsid w:val="00EB02CA"/>
    <w:rsid w:val="00EB0DEF"/>
    <w:rsid w:val="00EB1FA8"/>
    <w:rsid w:val="00EB1FF8"/>
    <w:rsid w:val="00EB261E"/>
    <w:rsid w:val="00EB2AFB"/>
    <w:rsid w:val="00EB3CA2"/>
    <w:rsid w:val="00EB4ACD"/>
    <w:rsid w:val="00EB5112"/>
    <w:rsid w:val="00EB7B94"/>
    <w:rsid w:val="00EC035B"/>
    <w:rsid w:val="00EC0D42"/>
    <w:rsid w:val="00EC1110"/>
    <w:rsid w:val="00EC136B"/>
    <w:rsid w:val="00EC154D"/>
    <w:rsid w:val="00EC1E95"/>
    <w:rsid w:val="00EC5571"/>
    <w:rsid w:val="00EC72DB"/>
    <w:rsid w:val="00EC7966"/>
    <w:rsid w:val="00EC7DAB"/>
    <w:rsid w:val="00EC7F34"/>
    <w:rsid w:val="00ED06BD"/>
    <w:rsid w:val="00ED0DAB"/>
    <w:rsid w:val="00ED0E08"/>
    <w:rsid w:val="00ED131A"/>
    <w:rsid w:val="00ED15DF"/>
    <w:rsid w:val="00ED1694"/>
    <w:rsid w:val="00ED1F88"/>
    <w:rsid w:val="00ED1F8A"/>
    <w:rsid w:val="00ED241B"/>
    <w:rsid w:val="00ED26E0"/>
    <w:rsid w:val="00ED2C04"/>
    <w:rsid w:val="00ED3FB9"/>
    <w:rsid w:val="00ED453D"/>
    <w:rsid w:val="00ED4A52"/>
    <w:rsid w:val="00ED4ACE"/>
    <w:rsid w:val="00ED5052"/>
    <w:rsid w:val="00ED576E"/>
    <w:rsid w:val="00ED6CFE"/>
    <w:rsid w:val="00ED7245"/>
    <w:rsid w:val="00ED7383"/>
    <w:rsid w:val="00ED7C25"/>
    <w:rsid w:val="00EE0EC2"/>
    <w:rsid w:val="00EE1726"/>
    <w:rsid w:val="00EE1D39"/>
    <w:rsid w:val="00EE2025"/>
    <w:rsid w:val="00EE2AE6"/>
    <w:rsid w:val="00EE3755"/>
    <w:rsid w:val="00EE4C60"/>
    <w:rsid w:val="00EE4DD4"/>
    <w:rsid w:val="00EE5628"/>
    <w:rsid w:val="00EE57CF"/>
    <w:rsid w:val="00EE65A3"/>
    <w:rsid w:val="00EE7CA0"/>
    <w:rsid w:val="00EF1733"/>
    <w:rsid w:val="00EF18A7"/>
    <w:rsid w:val="00EF2E09"/>
    <w:rsid w:val="00EF2F3F"/>
    <w:rsid w:val="00EF2F62"/>
    <w:rsid w:val="00EF3078"/>
    <w:rsid w:val="00EF4100"/>
    <w:rsid w:val="00EF44F6"/>
    <w:rsid w:val="00EF5A10"/>
    <w:rsid w:val="00EF6AF3"/>
    <w:rsid w:val="00EF74EF"/>
    <w:rsid w:val="00F0061D"/>
    <w:rsid w:val="00F0281D"/>
    <w:rsid w:val="00F02CE7"/>
    <w:rsid w:val="00F0722E"/>
    <w:rsid w:val="00F074D9"/>
    <w:rsid w:val="00F078E3"/>
    <w:rsid w:val="00F10701"/>
    <w:rsid w:val="00F12C71"/>
    <w:rsid w:val="00F13481"/>
    <w:rsid w:val="00F137E7"/>
    <w:rsid w:val="00F13911"/>
    <w:rsid w:val="00F142D8"/>
    <w:rsid w:val="00F14308"/>
    <w:rsid w:val="00F14E31"/>
    <w:rsid w:val="00F1607F"/>
    <w:rsid w:val="00F20503"/>
    <w:rsid w:val="00F2069C"/>
    <w:rsid w:val="00F20AEB"/>
    <w:rsid w:val="00F217A5"/>
    <w:rsid w:val="00F21B86"/>
    <w:rsid w:val="00F21C81"/>
    <w:rsid w:val="00F22BDA"/>
    <w:rsid w:val="00F23181"/>
    <w:rsid w:val="00F2356D"/>
    <w:rsid w:val="00F23A74"/>
    <w:rsid w:val="00F254C9"/>
    <w:rsid w:val="00F2575F"/>
    <w:rsid w:val="00F25E25"/>
    <w:rsid w:val="00F275C5"/>
    <w:rsid w:val="00F2764C"/>
    <w:rsid w:val="00F31B50"/>
    <w:rsid w:val="00F32650"/>
    <w:rsid w:val="00F34367"/>
    <w:rsid w:val="00F345CD"/>
    <w:rsid w:val="00F35F29"/>
    <w:rsid w:val="00F36179"/>
    <w:rsid w:val="00F36BC0"/>
    <w:rsid w:val="00F3715D"/>
    <w:rsid w:val="00F40A26"/>
    <w:rsid w:val="00F428F1"/>
    <w:rsid w:val="00F43ED7"/>
    <w:rsid w:val="00F44531"/>
    <w:rsid w:val="00F4503B"/>
    <w:rsid w:val="00F4513E"/>
    <w:rsid w:val="00F46273"/>
    <w:rsid w:val="00F46295"/>
    <w:rsid w:val="00F464FF"/>
    <w:rsid w:val="00F46A03"/>
    <w:rsid w:val="00F473AE"/>
    <w:rsid w:val="00F47C66"/>
    <w:rsid w:val="00F47DF3"/>
    <w:rsid w:val="00F50087"/>
    <w:rsid w:val="00F50616"/>
    <w:rsid w:val="00F5092E"/>
    <w:rsid w:val="00F53636"/>
    <w:rsid w:val="00F540B4"/>
    <w:rsid w:val="00F57667"/>
    <w:rsid w:val="00F576C0"/>
    <w:rsid w:val="00F57866"/>
    <w:rsid w:val="00F57A88"/>
    <w:rsid w:val="00F6192F"/>
    <w:rsid w:val="00F62984"/>
    <w:rsid w:val="00F64471"/>
    <w:rsid w:val="00F644AB"/>
    <w:rsid w:val="00F656F6"/>
    <w:rsid w:val="00F65FEE"/>
    <w:rsid w:val="00F66003"/>
    <w:rsid w:val="00F716B2"/>
    <w:rsid w:val="00F71864"/>
    <w:rsid w:val="00F741BD"/>
    <w:rsid w:val="00F74270"/>
    <w:rsid w:val="00F7435E"/>
    <w:rsid w:val="00F753CC"/>
    <w:rsid w:val="00F75588"/>
    <w:rsid w:val="00F766D2"/>
    <w:rsid w:val="00F76D4C"/>
    <w:rsid w:val="00F7720D"/>
    <w:rsid w:val="00F773E4"/>
    <w:rsid w:val="00F77E03"/>
    <w:rsid w:val="00F801E4"/>
    <w:rsid w:val="00F80448"/>
    <w:rsid w:val="00F807F7"/>
    <w:rsid w:val="00F81D31"/>
    <w:rsid w:val="00F844A0"/>
    <w:rsid w:val="00F84772"/>
    <w:rsid w:val="00F84C68"/>
    <w:rsid w:val="00F850EE"/>
    <w:rsid w:val="00F85759"/>
    <w:rsid w:val="00F859C1"/>
    <w:rsid w:val="00F85E99"/>
    <w:rsid w:val="00F87252"/>
    <w:rsid w:val="00F8793B"/>
    <w:rsid w:val="00F87C97"/>
    <w:rsid w:val="00F9164B"/>
    <w:rsid w:val="00F91EDD"/>
    <w:rsid w:val="00F9528A"/>
    <w:rsid w:val="00F9558F"/>
    <w:rsid w:val="00F96A1D"/>
    <w:rsid w:val="00F96B34"/>
    <w:rsid w:val="00F96E41"/>
    <w:rsid w:val="00FA1F33"/>
    <w:rsid w:val="00FA22C7"/>
    <w:rsid w:val="00FA269A"/>
    <w:rsid w:val="00FA3F00"/>
    <w:rsid w:val="00FA59D2"/>
    <w:rsid w:val="00FA5D1D"/>
    <w:rsid w:val="00FA6065"/>
    <w:rsid w:val="00FA7267"/>
    <w:rsid w:val="00FB0A3C"/>
    <w:rsid w:val="00FB25C3"/>
    <w:rsid w:val="00FB2F1C"/>
    <w:rsid w:val="00FB2FEC"/>
    <w:rsid w:val="00FB3461"/>
    <w:rsid w:val="00FB35BF"/>
    <w:rsid w:val="00FB40FE"/>
    <w:rsid w:val="00FB4A11"/>
    <w:rsid w:val="00FB4A5B"/>
    <w:rsid w:val="00FB5439"/>
    <w:rsid w:val="00FB6187"/>
    <w:rsid w:val="00FB6692"/>
    <w:rsid w:val="00FB69A0"/>
    <w:rsid w:val="00FB7147"/>
    <w:rsid w:val="00FB77EF"/>
    <w:rsid w:val="00FB7E2B"/>
    <w:rsid w:val="00FC002E"/>
    <w:rsid w:val="00FC17B2"/>
    <w:rsid w:val="00FC1C2C"/>
    <w:rsid w:val="00FC2D9E"/>
    <w:rsid w:val="00FC2F3A"/>
    <w:rsid w:val="00FC38C7"/>
    <w:rsid w:val="00FC57FA"/>
    <w:rsid w:val="00FC5B5A"/>
    <w:rsid w:val="00FC5BB1"/>
    <w:rsid w:val="00FC61D0"/>
    <w:rsid w:val="00FC638D"/>
    <w:rsid w:val="00FC6917"/>
    <w:rsid w:val="00FC6DA8"/>
    <w:rsid w:val="00FC7312"/>
    <w:rsid w:val="00FD007A"/>
    <w:rsid w:val="00FD11F6"/>
    <w:rsid w:val="00FD1786"/>
    <w:rsid w:val="00FD1A38"/>
    <w:rsid w:val="00FD2005"/>
    <w:rsid w:val="00FD4CE3"/>
    <w:rsid w:val="00FD552D"/>
    <w:rsid w:val="00FD59CB"/>
    <w:rsid w:val="00FD5BE6"/>
    <w:rsid w:val="00FD5C50"/>
    <w:rsid w:val="00FD7081"/>
    <w:rsid w:val="00FE02CF"/>
    <w:rsid w:val="00FE172E"/>
    <w:rsid w:val="00FE3A28"/>
    <w:rsid w:val="00FE3BC7"/>
    <w:rsid w:val="00FE5453"/>
    <w:rsid w:val="00FE5D8B"/>
    <w:rsid w:val="00FF0548"/>
    <w:rsid w:val="00FF0D19"/>
    <w:rsid w:val="00FF0DF8"/>
    <w:rsid w:val="00FF112F"/>
    <w:rsid w:val="00FF178A"/>
    <w:rsid w:val="00FF1886"/>
    <w:rsid w:val="00FF1B64"/>
    <w:rsid w:val="00FF2A31"/>
    <w:rsid w:val="00FF3105"/>
    <w:rsid w:val="00FF3DBA"/>
    <w:rsid w:val="00FF49EF"/>
    <w:rsid w:val="00FF4F4A"/>
    <w:rsid w:val="00FF511A"/>
    <w:rsid w:val="00FF5389"/>
    <w:rsid w:val="00FF58C7"/>
    <w:rsid w:val="00FF600E"/>
    <w:rsid w:val="00FF69B9"/>
    <w:rsid w:val="00FF6B9B"/>
    <w:rsid w:val="00FF7195"/>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1FE959"/>
  <w15:chartTrackingRefBased/>
  <w15:docId w15:val="{2BB26162-838D-4A60-B8C9-D1AC754F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
      </w:numPr>
      <w:pBdr>
        <w:bottom w:val="single" w:sz="4" w:space="1" w:color="595959" w:themeColor="text1" w:themeTint="A6"/>
      </w:pBdr>
      <w:spacing w:before="360"/>
      <w:ind w:left="432"/>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unhideWhenUsed/>
    <w:qFormat/>
    <w:pPr>
      <w:outlineLvl w:val="9"/>
    </w:pPr>
  </w:style>
  <w:style w:type="paragraph" w:styleId="NoSpacing">
    <w:name w:val="No Spacing"/>
    <w:link w:val="NoSpacingChar"/>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TOC1">
    <w:name w:val="toc 1"/>
    <w:basedOn w:val="Normal"/>
    <w:next w:val="Normal"/>
    <w:autoRedefine/>
    <w:uiPriority w:val="39"/>
    <w:unhideWhenUsed/>
    <w:rsid w:val="00196B20"/>
    <w:pPr>
      <w:spacing w:after="100"/>
    </w:pPr>
  </w:style>
  <w:style w:type="character" w:styleId="Hyperlink">
    <w:name w:val="Hyperlink"/>
    <w:basedOn w:val="DefaultParagraphFont"/>
    <w:uiPriority w:val="99"/>
    <w:unhideWhenUsed/>
    <w:rsid w:val="00196B20"/>
    <w:rPr>
      <w:color w:val="6B9F25" w:themeColor="hyperlink"/>
      <w:u w:val="single"/>
    </w:rPr>
  </w:style>
  <w:style w:type="paragraph" w:styleId="Header">
    <w:name w:val="header"/>
    <w:basedOn w:val="Normal"/>
    <w:link w:val="HeaderChar"/>
    <w:uiPriority w:val="99"/>
    <w:unhideWhenUsed/>
    <w:rsid w:val="00196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B20"/>
  </w:style>
  <w:style w:type="paragraph" w:styleId="Footer">
    <w:name w:val="footer"/>
    <w:basedOn w:val="Normal"/>
    <w:link w:val="FooterChar"/>
    <w:uiPriority w:val="99"/>
    <w:unhideWhenUsed/>
    <w:rsid w:val="00196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B20"/>
  </w:style>
  <w:style w:type="paragraph" w:customStyle="1" w:styleId="FigureCaptions">
    <w:name w:val="Figure Captions"/>
    <w:basedOn w:val="Normal"/>
    <w:link w:val="FigureCaptionsChar"/>
    <w:qFormat/>
    <w:rsid w:val="00E77C0D"/>
    <w:rPr>
      <w:b/>
    </w:rPr>
  </w:style>
  <w:style w:type="paragraph" w:styleId="TOC2">
    <w:name w:val="toc 2"/>
    <w:basedOn w:val="Normal"/>
    <w:next w:val="Normal"/>
    <w:autoRedefine/>
    <w:uiPriority w:val="39"/>
    <w:unhideWhenUsed/>
    <w:rsid w:val="00E77C0D"/>
    <w:pPr>
      <w:spacing w:after="100"/>
      <w:ind w:left="220"/>
    </w:pPr>
  </w:style>
  <w:style w:type="character" w:customStyle="1" w:styleId="FigureCaptionsChar">
    <w:name w:val="Figure Captions Char"/>
    <w:basedOn w:val="DefaultParagraphFont"/>
    <w:link w:val="FigureCaptions"/>
    <w:rsid w:val="00E77C0D"/>
    <w:rPr>
      <w:b/>
    </w:rPr>
  </w:style>
  <w:style w:type="paragraph" w:styleId="TOC3">
    <w:name w:val="toc 3"/>
    <w:basedOn w:val="Normal"/>
    <w:next w:val="Normal"/>
    <w:autoRedefine/>
    <w:uiPriority w:val="39"/>
    <w:unhideWhenUsed/>
    <w:rsid w:val="00E77C0D"/>
    <w:pPr>
      <w:spacing w:after="100"/>
      <w:ind w:left="440"/>
    </w:pPr>
  </w:style>
  <w:style w:type="paragraph" w:styleId="TableofFigures">
    <w:name w:val="table of figures"/>
    <w:basedOn w:val="Normal"/>
    <w:next w:val="Normal"/>
    <w:uiPriority w:val="99"/>
    <w:unhideWhenUsed/>
    <w:rsid w:val="00E77C0D"/>
    <w:pPr>
      <w:spacing w:after="0"/>
    </w:pPr>
  </w:style>
  <w:style w:type="paragraph" w:styleId="BodyText">
    <w:name w:val="Body Text"/>
    <w:basedOn w:val="Normal"/>
    <w:link w:val="BodyTextChar"/>
    <w:qFormat/>
    <w:rsid w:val="00F77E03"/>
    <w:pPr>
      <w:spacing w:before="120" w:after="240" w:line="276" w:lineRule="auto"/>
    </w:pPr>
    <w:rPr>
      <w:rFonts w:eastAsia="Times New Roman" w:cs="Times New Roman"/>
      <w:szCs w:val="20"/>
    </w:rPr>
  </w:style>
  <w:style w:type="character" w:customStyle="1" w:styleId="BodyTextChar">
    <w:name w:val="Body Text Char"/>
    <w:basedOn w:val="DefaultParagraphFont"/>
    <w:link w:val="BodyText"/>
    <w:rsid w:val="00F77E03"/>
    <w:rPr>
      <w:rFonts w:eastAsia="Times New Roman" w:cs="Times New Roman"/>
      <w:szCs w:val="20"/>
      <w:lang w:eastAsia="en-US"/>
    </w:rPr>
  </w:style>
  <w:style w:type="paragraph" w:customStyle="1" w:styleId="TableText">
    <w:name w:val="Table Text"/>
    <w:basedOn w:val="Header"/>
    <w:link w:val="TableTextChar"/>
    <w:uiPriority w:val="99"/>
    <w:qFormat/>
    <w:rsid w:val="0059182E"/>
    <w:pPr>
      <w:tabs>
        <w:tab w:val="clear" w:pos="4680"/>
        <w:tab w:val="clear" w:pos="9360"/>
      </w:tabs>
    </w:pPr>
    <w:rPr>
      <w:rFonts w:ascii="Arial" w:eastAsia="Times New Roman" w:hAnsi="Arial" w:cs="Times New Roman"/>
      <w:szCs w:val="20"/>
    </w:rPr>
  </w:style>
  <w:style w:type="character" w:customStyle="1" w:styleId="TableTextChar">
    <w:name w:val="Table Text Char"/>
    <w:basedOn w:val="HeaderChar"/>
    <w:link w:val="TableText"/>
    <w:uiPriority w:val="99"/>
    <w:locked/>
    <w:rsid w:val="0059182E"/>
    <w:rPr>
      <w:rFonts w:ascii="Arial" w:eastAsia="Times New Roman" w:hAnsi="Arial" w:cs="Times New Roman"/>
      <w:szCs w:val="20"/>
      <w:lang w:eastAsia="en-US"/>
    </w:rPr>
  </w:style>
  <w:style w:type="table" w:styleId="TableGrid">
    <w:name w:val="Table Grid"/>
    <w:basedOn w:val="TableNormal"/>
    <w:uiPriority w:val="39"/>
    <w:rsid w:val="00C16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einfo">
    <w:name w:val="fileinfo"/>
    <w:basedOn w:val="DefaultParagraphFont"/>
    <w:rsid w:val="008A35CB"/>
  </w:style>
  <w:style w:type="paragraph" w:styleId="BalloonText">
    <w:name w:val="Balloon Text"/>
    <w:basedOn w:val="Normal"/>
    <w:link w:val="BalloonTextChar"/>
    <w:uiPriority w:val="99"/>
    <w:semiHidden/>
    <w:unhideWhenUsed/>
    <w:rsid w:val="006804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400"/>
    <w:rPr>
      <w:rFonts w:ascii="Segoe UI" w:hAnsi="Segoe UI" w:cs="Segoe UI"/>
      <w:sz w:val="18"/>
      <w:szCs w:val="18"/>
    </w:rPr>
  </w:style>
  <w:style w:type="character" w:styleId="CommentReference">
    <w:name w:val="annotation reference"/>
    <w:basedOn w:val="DefaultParagraphFont"/>
    <w:uiPriority w:val="99"/>
    <w:semiHidden/>
    <w:unhideWhenUsed/>
    <w:rsid w:val="00680400"/>
    <w:rPr>
      <w:sz w:val="16"/>
      <w:szCs w:val="16"/>
    </w:rPr>
  </w:style>
  <w:style w:type="paragraph" w:styleId="CommentText">
    <w:name w:val="annotation text"/>
    <w:basedOn w:val="Normal"/>
    <w:link w:val="CommentTextChar"/>
    <w:uiPriority w:val="99"/>
    <w:semiHidden/>
    <w:unhideWhenUsed/>
    <w:rsid w:val="00680400"/>
    <w:pPr>
      <w:spacing w:line="240" w:lineRule="auto"/>
    </w:pPr>
    <w:rPr>
      <w:sz w:val="20"/>
      <w:szCs w:val="20"/>
    </w:rPr>
  </w:style>
  <w:style w:type="character" w:customStyle="1" w:styleId="CommentTextChar">
    <w:name w:val="Comment Text Char"/>
    <w:basedOn w:val="DefaultParagraphFont"/>
    <w:link w:val="CommentText"/>
    <w:uiPriority w:val="99"/>
    <w:semiHidden/>
    <w:rsid w:val="00680400"/>
    <w:rPr>
      <w:sz w:val="20"/>
      <w:szCs w:val="20"/>
    </w:rPr>
  </w:style>
  <w:style w:type="paragraph" w:styleId="CommentSubject">
    <w:name w:val="annotation subject"/>
    <w:basedOn w:val="CommentText"/>
    <w:next w:val="CommentText"/>
    <w:link w:val="CommentSubjectChar"/>
    <w:uiPriority w:val="99"/>
    <w:semiHidden/>
    <w:unhideWhenUsed/>
    <w:rsid w:val="00680400"/>
    <w:rPr>
      <w:b/>
      <w:bCs/>
    </w:rPr>
  </w:style>
  <w:style w:type="character" w:customStyle="1" w:styleId="CommentSubjectChar">
    <w:name w:val="Comment Subject Char"/>
    <w:basedOn w:val="CommentTextChar"/>
    <w:link w:val="CommentSubject"/>
    <w:uiPriority w:val="99"/>
    <w:semiHidden/>
    <w:rsid w:val="00680400"/>
    <w:rPr>
      <w:b/>
      <w:bCs/>
      <w:sz w:val="20"/>
      <w:szCs w:val="20"/>
    </w:rPr>
  </w:style>
  <w:style w:type="paragraph" w:styleId="BodyTextIndent">
    <w:name w:val="Body Text Indent"/>
    <w:basedOn w:val="Normal"/>
    <w:link w:val="BodyTextIndentChar"/>
    <w:uiPriority w:val="99"/>
    <w:unhideWhenUsed/>
    <w:rsid w:val="001133E3"/>
    <w:pPr>
      <w:spacing w:after="120"/>
      <w:ind w:left="360"/>
    </w:pPr>
  </w:style>
  <w:style w:type="character" w:customStyle="1" w:styleId="BodyTextIndentChar">
    <w:name w:val="Body Text Indent Char"/>
    <w:basedOn w:val="DefaultParagraphFont"/>
    <w:link w:val="BodyTextIndent"/>
    <w:uiPriority w:val="99"/>
    <w:rsid w:val="001133E3"/>
  </w:style>
  <w:style w:type="paragraph" w:styleId="NormalWeb">
    <w:name w:val="Normal (Web)"/>
    <w:basedOn w:val="Normal"/>
    <w:uiPriority w:val="99"/>
    <w:semiHidden/>
    <w:unhideWhenUsed/>
    <w:rsid w:val="006D1D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Normal"/>
    <w:qFormat/>
    <w:rsid w:val="007E65EC"/>
    <w:pPr>
      <w:spacing w:after="240" w:line="240" w:lineRule="auto"/>
    </w:pPr>
    <w:rPr>
      <w:rFonts w:eastAsiaTheme="minorHAnsi"/>
    </w:rPr>
  </w:style>
  <w:style w:type="character" w:customStyle="1" w:styleId="url">
    <w:name w:val="url"/>
    <w:basedOn w:val="DefaultParagraphFont"/>
    <w:rsid w:val="00B53EA6"/>
  </w:style>
  <w:style w:type="paragraph" w:styleId="HTMLPreformatted">
    <w:name w:val="HTML Preformatted"/>
    <w:basedOn w:val="Normal"/>
    <w:link w:val="HTMLPreformattedChar"/>
    <w:uiPriority w:val="99"/>
    <w:unhideWhenUsed/>
    <w:rsid w:val="005C6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636C"/>
    <w:rPr>
      <w:rFonts w:ascii="Courier New" w:eastAsia="Times New Roman" w:hAnsi="Courier New" w:cs="Courier New"/>
      <w:sz w:val="20"/>
      <w:szCs w:val="20"/>
      <w:lang w:eastAsia="en-US"/>
    </w:rPr>
  </w:style>
  <w:style w:type="paragraph" w:styleId="Bibliography">
    <w:name w:val="Bibliography"/>
    <w:basedOn w:val="Normal"/>
    <w:next w:val="Normal"/>
    <w:uiPriority w:val="37"/>
    <w:unhideWhenUsed/>
    <w:rsid w:val="00981C97"/>
    <w:pPr>
      <w:spacing w:after="240" w:line="240" w:lineRule="auto"/>
    </w:pPr>
  </w:style>
  <w:style w:type="paragraph" w:styleId="Revision">
    <w:name w:val="Revision"/>
    <w:hidden/>
    <w:uiPriority w:val="99"/>
    <w:semiHidden/>
    <w:rsid w:val="006C6945"/>
    <w:pPr>
      <w:spacing w:after="0" w:line="240" w:lineRule="auto"/>
    </w:pPr>
  </w:style>
  <w:style w:type="character" w:customStyle="1" w:styleId="NoSpacingChar">
    <w:name w:val="No Spacing Char"/>
    <w:basedOn w:val="DefaultParagraphFont"/>
    <w:link w:val="NoSpacing"/>
    <w:uiPriority w:val="1"/>
    <w:rsid w:val="00320739"/>
  </w:style>
  <w:style w:type="character" w:styleId="FollowedHyperlink">
    <w:name w:val="FollowedHyperlink"/>
    <w:basedOn w:val="DefaultParagraphFont"/>
    <w:uiPriority w:val="99"/>
    <w:semiHidden/>
    <w:unhideWhenUsed/>
    <w:rsid w:val="00F44531"/>
    <w:rPr>
      <w:color w:val="B26B02" w:themeColor="followedHyperlink"/>
      <w:u w:val="single"/>
    </w:rPr>
  </w:style>
  <w:style w:type="table" w:styleId="GridTable4-Accent4">
    <w:name w:val="Grid Table 4 Accent 4"/>
    <w:basedOn w:val="TableNormal"/>
    <w:uiPriority w:val="49"/>
    <w:rsid w:val="00575C61"/>
    <w:pPr>
      <w:spacing w:after="0" w:line="240" w:lineRule="auto"/>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color w:val="FFFFFF" w:themeColor="background1"/>
      </w:rPr>
      <w:tblPr/>
      <w:tcPr>
        <w:tcBorders>
          <w:top w:val="single" w:sz="4" w:space="0" w:color="4E8542" w:themeColor="accent4"/>
          <w:left w:val="single" w:sz="4" w:space="0" w:color="4E8542" w:themeColor="accent4"/>
          <w:bottom w:val="single" w:sz="4" w:space="0" w:color="4E8542" w:themeColor="accent4"/>
          <w:right w:val="single" w:sz="4" w:space="0" w:color="4E8542" w:themeColor="accent4"/>
          <w:insideH w:val="nil"/>
          <w:insideV w:val="nil"/>
        </w:tcBorders>
        <w:shd w:val="clear" w:color="auto" w:fill="4E8542" w:themeFill="accent4"/>
      </w:tcPr>
    </w:tblStylePr>
    <w:tblStylePr w:type="lastRow">
      <w:rPr>
        <w:b/>
        <w:bCs/>
      </w:rPr>
      <w:tblPr/>
      <w:tcPr>
        <w:tcBorders>
          <w:top w:val="double" w:sz="4" w:space="0" w:color="4E8542" w:themeColor="accent4"/>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GridTable1Light-Accent4">
    <w:name w:val="Grid Table 1 Light Accent 4"/>
    <w:basedOn w:val="TableNormal"/>
    <w:uiPriority w:val="46"/>
    <w:rsid w:val="00575C61"/>
    <w:pPr>
      <w:spacing w:after="0" w:line="240" w:lineRule="auto"/>
    </w:pPr>
    <w:tblPr>
      <w:tblStyleRowBandSize w:val="1"/>
      <w:tblStyleColBandSize w:val="1"/>
      <w:tblBorders>
        <w:top w:val="single" w:sz="4" w:space="0" w:color="B3D5AB" w:themeColor="accent4" w:themeTint="66"/>
        <w:left w:val="single" w:sz="4" w:space="0" w:color="B3D5AB" w:themeColor="accent4" w:themeTint="66"/>
        <w:bottom w:val="single" w:sz="4" w:space="0" w:color="B3D5AB" w:themeColor="accent4" w:themeTint="66"/>
        <w:right w:val="single" w:sz="4" w:space="0" w:color="B3D5AB" w:themeColor="accent4" w:themeTint="66"/>
        <w:insideH w:val="single" w:sz="4" w:space="0" w:color="B3D5AB" w:themeColor="accent4" w:themeTint="66"/>
        <w:insideV w:val="single" w:sz="4" w:space="0" w:color="B3D5AB" w:themeColor="accent4" w:themeTint="66"/>
      </w:tblBorders>
    </w:tblPr>
    <w:tblStylePr w:type="firstRow">
      <w:rPr>
        <w:b/>
        <w:bCs/>
      </w:rPr>
      <w:tblPr/>
      <w:tcPr>
        <w:tcBorders>
          <w:bottom w:val="single" w:sz="12" w:space="0" w:color="8DC182" w:themeColor="accent4" w:themeTint="99"/>
        </w:tcBorders>
      </w:tcPr>
    </w:tblStylePr>
    <w:tblStylePr w:type="lastRow">
      <w:rPr>
        <w:b/>
        <w:bCs/>
      </w:rPr>
      <w:tblPr/>
      <w:tcPr>
        <w:tcBorders>
          <w:top w:val="double" w:sz="2" w:space="0" w:color="8DC182" w:themeColor="accent4" w:themeTint="99"/>
        </w:tcBorders>
      </w:tcPr>
    </w:tblStylePr>
    <w:tblStylePr w:type="firstCol">
      <w:rPr>
        <w:b/>
        <w:bCs/>
      </w:rPr>
    </w:tblStylePr>
    <w:tblStylePr w:type="lastCol">
      <w:rPr>
        <w:b/>
        <w:bCs/>
      </w:rPr>
    </w:tblStylePr>
  </w:style>
  <w:style w:type="table" w:styleId="GridTable3-Accent4">
    <w:name w:val="Grid Table 3 Accent 4"/>
    <w:basedOn w:val="TableNormal"/>
    <w:uiPriority w:val="48"/>
    <w:rsid w:val="00575C61"/>
    <w:pPr>
      <w:spacing w:after="0" w:line="240" w:lineRule="auto"/>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AD5" w:themeFill="accent4" w:themeFillTint="33"/>
      </w:tcPr>
    </w:tblStylePr>
    <w:tblStylePr w:type="band1Horz">
      <w:tblPr/>
      <w:tcPr>
        <w:shd w:val="clear" w:color="auto" w:fill="D9EAD5" w:themeFill="accent4" w:themeFillTint="33"/>
      </w:tcPr>
    </w:tblStylePr>
    <w:tblStylePr w:type="neCell">
      <w:tblPr/>
      <w:tcPr>
        <w:tcBorders>
          <w:bottom w:val="single" w:sz="4" w:space="0" w:color="8DC182" w:themeColor="accent4" w:themeTint="99"/>
        </w:tcBorders>
      </w:tcPr>
    </w:tblStylePr>
    <w:tblStylePr w:type="nwCell">
      <w:tblPr/>
      <w:tcPr>
        <w:tcBorders>
          <w:bottom w:val="single" w:sz="4" w:space="0" w:color="8DC182" w:themeColor="accent4" w:themeTint="99"/>
        </w:tcBorders>
      </w:tcPr>
    </w:tblStylePr>
    <w:tblStylePr w:type="seCell">
      <w:tblPr/>
      <w:tcPr>
        <w:tcBorders>
          <w:top w:val="single" w:sz="4" w:space="0" w:color="8DC182" w:themeColor="accent4" w:themeTint="99"/>
        </w:tcBorders>
      </w:tcPr>
    </w:tblStylePr>
    <w:tblStylePr w:type="swCell">
      <w:tblPr/>
      <w:tcPr>
        <w:tcBorders>
          <w:top w:val="single" w:sz="4" w:space="0" w:color="8DC182" w:themeColor="accent4" w:themeTint="99"/>
        </w:tcBorders>
      </w:tcPr>
    </w:tblStylePr>
  </w:style>
  <w:style w:type="table" w:styleId="GridTable2-Accent4">
    <w:name w:val="Grid Table 2 Accent 4"/>
    <w:basedOn w:val="TableNormal"/>
    <w:uiPriority w:val="47"/>
    <w:rsid w:val="00BF0076"/>
    <w:pPr>
      <w:spacing w:after="0" w:line="240" w:lineRule="auto"/>
    </w:pPr>
    <w:tblPr>
      <w:tblStyleRowBandSize w:val="1"/>
      <w:tblStyleColBandSize w:val="1"/>
      <w:tblBorders>
        <w:top w:val="single" w:sz="2" w:space="0" w:color="8DC182" w:themeColor="accent4" w:themeTint="99"/>
        <w:bottom w:val="single" w:sz="2" w:space="0" w:color="8DC182" w:themeColor="accent4" w:themeTint="99"/>
        <w:insideH w:val="single" w:sz="2" w:space="0" w:color="8DC182" w:themeColor="accent4" w:themeTint="99"/>
        <w:insideV w:val="single" w:sz="2" w:space="0" w:color="8DC182" w:themeColor="accent4" w:themeTint="99"/>
      </w:tblBorders>
    </w:tblPr>
    <w:tblStylePr w:type="firstRow">
      <w:rPr>
        <w:b/>
        <w:bCs/>
      </w:rPr>
      <w:tblPr/>
      <w:tcPr>
        <w:tcBorders>
          <w:top w:val="nil"/>
          <w:bottom w:val="single" w:sz="12" w:space="0" w:color="8DC182" w:themeColor="accent4" w:themeTint="99"/>
          <w:insideH w:val="nil"/>
          <w:insideV w:val="nil"/>
        </w:tcBorders>
        <w:shd w:val="clear" w:color="auto" w:fill="FFFFFF" w:themeFill="background1"/>
      </w:tcPr>
    </w:tblStylePr>
    <w:tblStylePr w:type="lastRow">
      <w:rPr>
        <w:b/>
        <w:bCs/>
      </w:rPr>
      <w:tblPr/>
      <w:tcPr>
        <w:tcBorders>
          <w:top w:val="double" w:sz="2" w:space="0" w:color="8DC18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paragraph" w:customStyle="1" w:styleId="xl29">
    <w:name w:val="xl29"/>
    <w:basedOn w:val="Normal"/>
    <w:rsid w:val="00D67CE7"/>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character" w:styleId="PlaceholderText">
    <w:name w:val="Placeholder Text"/>
    <w:basedOn w:val="DefaultParagraphFont"/>
    <w:uiPriority w:val="99"/>
    <w:semiHidden/>
    <w:rsid w:val="005661DA"/>
    <w:rPr>
      <w:color w:val="808080"/>
    </w:rPr>
  </w:style>
  <w:style w:type="character" w:customStyle="1" w:styleId="st">
    <w:name w:val="st"/>
    <w:basedOn w:val="DefaultParagraphFont"/>
    <w:rsid w:val="00CC3FC8"/>
  </w:style>
  <w:style w:type="table" w:styleId="ListTable6Colorful-Accent4">
    <w:name w:val="List Table 6 Colorful Accent 4"/>
    <w:basedOn w:val="TableNormal"/>
    <w:uiPriority w:val="51"/>
    <w:rsid w:val="00B04429"/>
    <w:pPr>
      <w:spacing w:after="0" w:line="240" w:lineRule="auto"/>
    </w:pPr>
    <w:rPr>
      <w:color w:val="3A6331" w:themeColor="accent4" w:themeShade="BF"/>
    </w:rPr>
    <w:tblPr>
      <w:tblStyleRowBandSize w:val="1"/>
      <w:tblStyleColBandSize w:val="1"/>
      <w:tblBorders>
        <w:top w:val="single" w:sz="4" w:space="0" w:color="4E8542" w:themeColor="accent4"/>
        <w:bottom w:val="single" w:sz="4" w:space="0" w:color="4E8542" w:themeColor="accent4"/>
      </w:tblBorders>
    </w:tblPr>
    <w:tblStylePr w:type="firstRow">
      <w:rPr>
        <w:b/>
        <w:bCs/>
      </w:rPr>
      <w:tblPr/>
      <w:tcPr>
        <w:tcBorders>
          <w:bottom w:val="single" w:sz="4" w:space="0" w:color="4E8542" w:themeColor="accent4"/>
        </w:tcBorders>
      </w:tcPr>
    </w:tblStylePr>
    <w:tblStylePr w:type="lastRow">
      <w:rPr>
        <w:b/>
        <w:bCs/>
      </w:rPr>
      <w:tblPr/>
      <w:tcPr>
        <w:tcBorders>
          <w:top w:val="double" w:sz="4" w:space="0" w:color="4E8542" w:themeColor="accent4"/>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le1Light-Accent4">
    <w:name w:val="List Table 1 Light Accent 4"/>
    <w:basedOn w:val="TableNormal"/>
    <w:uiPriority w:val="46"/>
    <w:rsid w:val="0092287B"/>
    <w:pPr>
      <w:spacing w:after="0" w:line="240" w:lineRule="auto"/>
    </w:pPr>
    <w:tblPr>
      <w:tblStyleRowBandSize w:val="1"/>
      <w:tblStyleColBandSize w:val="1"/>
    </w:tblPr>
    <w:tblStylePr w:type="firstRow">
      <w:rPr>
        <w:b/>
        <w:bCs/>
      </w:rPr>
      <w:tblPr/>
      <w:tcPr>
        <w:tcBorders>
          <w:bottom w:val="single" w:sz="4" w:space="0" w:color="8DC182" w:themeColor="accent4" w:themeTint="99"/>
        </w:tcBorders>
      </w:tcPr>
    </w:tblStylePr>
    <w:tblStylePr w:type="lastRow">
      <w:rPr>
        <w:b/>
        <w:bCs/>
      </w:rPr>
      <w:tblPr/>
      <w:tcPr>
        <w:tcBorders>
          <w:top w:val="sing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GridTable5Dark-Accent4">
    <w:name w:val="Grid Table 5 Dark Accent 4"/>
    <w:basedOn w:val="TableNormal"/>
    <w:uiPriority w:val="50"/>
    <w:rsid w:val="003E4A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A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854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854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854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8542" w:themeFill="accent4"/>
      </w:tcPr>
    </w:tblStylePr>
    <w:tblStylePr w:type="band1Vert">
      <w:tblPr/>
      <w:tcPr>
        <w:shd w:val="clear" w:color="auto" w:fill="B3D5AB" w:themeFill="accent4" w:themeFillTint="66"/>
      </w:tcPr>
    </w:tblStylePr>
    <w:tblStylePr w:type="band1Horz">
      <w:tblPr/>
      <w:tcPr>
        <w:shd w:val="clear" w:color="auto" w:fill="B3D5AB" w:themeFill="accent4" w:themeFillTint="66"/>
      </w:tcPr>
    </w:tblStylePr>
  </w:style>
  <w:style w:type="table" w:styleId="ListTable5Dark-Accent4">
    <w:name w:val="List Table 5 Dark Accent 4"/>
    <w:basedOn w:val="TableNormal"/>
    <w:uiPriority w:val="50"/>
    <w:rsid w:val="003E4AEC"/>
    <w:pPr>
      <w:spacing w:after="0" w:line="240" w:lineRule="auto"/>
    </w:pPr>
    <w:rPr>
      <w:color w:val="FFFFFF" w:themeColor="background1"/>
    </w:rPr>
    <w:tblPr>
      <w:tblStyleRowBandSize w:val="1"/>
      <w:tblStyleColBandSize w:val="1"/>
      <w:tblBorders>
        <w:top w:val="single" w:sz="24" w:space="0" w:color="4E8542" w:themeColor="accent4"/>
        <w:left w:val="single" w:sz="24" w:space="0" w:color="4E8542" w:themeColor="accent4"/>
        <w:bottom w:val="single" w:sz="24" w:space="0" w:color="4E8542" w:themeColor="accent4"/>
        <w:right w:val="single" w:sz="24" w:space="0" w:color="4E8542" w:themeColor="accent4"/>
      </w:tblBorders>
    </w:tblPr>
    <w:tcPr>
      <w:shd w:val="clear" w:color="auto" w:fill="4E854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Accent4">
    <w:name w:val="List Table 3 Accent 4"/>
    <w:basedOn w:val="TableNormal"/>
    <w:uiPriority w:val="48"/>
    <w:rsid w:val="000D4190"/>
    <w:pPr>
      <w:spacing w:after="0" w:line="240" w:lineRule="auto"/>
    </w:pPr>
    <w:tblPr>
      <w:tblStyleRowBandSize w:val="1"/>
      <w:tblStyleColBandSize w:val="1"/>
      <w:tblBorders>
        <w:top w:val="single" w:sz="4" w:space="0" w:color="4E8542" w:themeColor="accent4"/>
        <w:left w:val="single" w:sz="4" w:space="0" w:color="4E8542" w:themeColor="accent4"/>
        <w:bottom w:val="single" w:sz="4" w:space="0" w:color="4E8542" w:themeColor="accent4"/>
        <w:right w:val="single" w:sz="4" w:space="0" w:color="4E8542" w:themeColor="accent4"/>
      </w:tblBorders>
    </w:tblPr>
    <w:tblStylePr w:type="firstRow">
      <w:rPr>
        <w:b/>
        <w:bCs/>
        <w:color w:val="FFFFFF" w:themeColor="background1"/>
      </w:rPr>
      <w:tblPr/>
      <w:tcPr>
        <w:shd w:val="clear" w:color="auto" w:fill="4E8542" w:themeFill="accent4"/>
      </w:tcPr>
    </w:tblStylePr>
    <w:tblStylePr w:type="lastRow">
      <w:rPr>
        <w:b/>
        <w:bCs/>
      </w:rPr>
      <w:tblPr/>
      <w:tcPr>
        <w:tcBorders>
          <w:top w:val="double" w:sz="4" w:space="0" w:color="4E854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8542" w:themeColor="accent4"/>
          <w:right w:val="single" w:sz="4" w:space="0" w:color="4E8542" w:themeColor="accent4"/>
        </w:tcBorders>
      </w:tcPr>
    </w:tblStylePr>
    <w:tblStylePr w:type="band1Horz">
      <w:tblPr/>
      <w:tcPr>
        <w:tcBorders>
          <w:top w:val="single" w:sz="4" w:space="0" w:color="4E8542" w:themeColor="accent4"/>
          <w:bottom w:val="single" w:sz="4" w:space="0" w:color="4E854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8542" w:themeColor="accent4"/>
          <w:left w:val="nil"/>
        </w:tcBorders>
      </w:tcPr>
    </w:tblStylePr>
    <w:tblStylePr w:type="swCell">
      <w:tblPr/>
      <w:tcPr>
        <w:tcBorders>
          <w:top w:val="double" w:sz="4" w:space="0" w:color="4E8542" w:themeColor="accent4"/>
          <w:right w:val="nil"/>
        </w:tcBorders>
      </w:tcPr>
    </w:tblStylePr>
  </w:style>
  <w:style w:type="character" w:styleId="UnresolvedMention">
    <w:name w:val="Unresolved Mention"/>
    <w:basedOn w:val="DefaultParagraphFont"/>
    <w:uiPriority w:val="99"/>
    <w:semiHidden/>
    <w:unhideWhenUsed/>
    <w:rsid w:val="002C146D"/>
    <w:rPr>
      <w:color w:val="808080"/>
      <w:shd w:val="clear" w:color="auto" w:fill="E6E6E6"/>
    </w:rPr>
  </w:style>
  <w:style w:type="character" w:customStyle="1" w:styleId="VerbatimChar">
    <w:name w:val="Verbatim Char"/>
    <w:basedOn w:val="DefaultParagraphFont"/>
    <w:link w:val="SourceCode"/>
    <w:rsid w:val="00124BA1"/>
    <w:rPr>
      <w:rFonts w:ascii="Consolas" w:hAnsi="Consolas"/>
      <w:shd w:val="clear" w:color="auto" w:fill="F8F8F8"/>
    </w:rPr>
  </w:style>
  <w:style w:type="paragraph" w:customStyle="1" w:styleId="SourceCode">
    <w:name w:val="Source Code"/>
    <w:basedOn w:val="Normal"/>
    <w:link w:val="VerbatimChar"/>
    <w:rsid w:val="00124BA1"/>
    <w:pPr>
      <w:shd w:val="clear" w:color="auto" w:fill="F8F8F8"/>
      <w:wordWrap w:val="0"/>
      <w:spacing w:after="200" w:line="240" w:lineRule="auto"/>
    </w:pPr>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622">
      <w:bodyDiv w:val="1"/>
      <w:marLeft w:val="0"/>
      <w:marRight w:val="0"/>
      <w:marTop w:val="0"/>
      <w:marBottom w:val="0"/>
      <w:divBdr>
        <w:top w:val="none" w:sz="0" w:space="0" w:color="auto"/>
        <w:left w:val="none" w:sz="0" w:space="0" w:color="auto"/>
        <w:bottom w:val="none" w:sz="0" w:space="0" w:color="auto"/>
        <w:right w:val="none" w:sz="0" w:space="0" w:color="auto"/>
      </w:divBdr>
    </w:div>
    <w:div w:id="23871777">
      <w:bodyDiv w:val="1"/>
      <w:marLeft w:val="0"/>
      <w:marRight w:val="0"/>
      <w:marTop w:val="0"/>
      <w:marBottom w:val="0"/>
      <w:divBdr>
        <w:top w:val="none" w:sz="0" w:space="0" w:color="auto"/>
        <w:left w:val="none" w:sz="0" w:space="0" w:color="auto"/>
        <w:bottom w:val="none" w:sz="0" w:space="0" w:color="auto"/>
        <w:right w:val="none" w:sz="0" w:space="0" w:color="auto"/>
      </w:divBdr>
    </w:div>
    <w:div w:id="31806037">
      <w:bodyDiv w:val="1"/>
      <w:marLeft w:val="0"/>
      <w:marRight w:val="0"/>
      <w:marTop w:val="0"/>
      <w:marBottom w:val="0"/>
      <w:divBdr>
        <w:top w:val="none" w:sz="0" w:space="0" w:color="auto"/>
        <w:left w:val="none" w:sz="0" w:space="0" w:color="auto"/>
        <w:bottom w:val="none" w:sz="0" w:space="0" w:color="auto"/>
        <w:right w:val="none" w:sz="0" w:space="0" w:color="auto"/>
      </w:divBdr>
    </w:div>
    <w:div w:id="32925986">
      <w:bodyDiv w:val="1"/>
      <w:marLeft w:val="0"/>
      <w:marRight w:val="0"/>
      <w:marTop w:val="0"/>
      <w:marBottom w:val="0"/>
      <w:divBdr>
        <w:top w:val="none" w:sz="0" w:space="0" w:color="auto"/>
        <w:left w:val="none" w:sz="0" w:space="0" w:color="auto"/>
        <w:bottom w:val="none" w:sz="0" w:space="0" w:color="auto"/>
        <w:right w:val="none" w:sz="0" w:space="0" w:color="auto"/>
      </w:divBdr>
      <w:divsChild>
        <w:div w:id="19942131">
          <w:marLeft w:val="0"/>
          <w:marRight w:val="0"/>
          <w:marTop w:val="0"/>
          <w:marBottom w:val="0"/>
          <w:divBdr>
            <w:top w:val="none" w:sz="0" w:space="0" w:color="auto"/>
            <w:left w:val="none" w:sz="0" w:space="0" w:color="auto"/>
            <w:bottom w:val="none" w:sz="0" w:space="0" w:color="auto"/>
            <w:right w:val="none" w:sz="0" w:space="0" w:color="auto"/>
          </w:divBdr>
        </w:div>
        <w:div w:id="1839925009">
          <w:marLeft w:val="0"/>
          <w:marRight w:val="0"/>
          <w:marTop w:val="0"/>
          <w:marBottom w:val="0"/>
          <w:divBdr>
            <w:top w:val="none" w:sz="0" w:space="0" w:color="auto"/>
            <w:left w:val="none" w:sz="0" w:space="0" w:color="auto"/>
            <w:bottom w:val="none" w:sz="0" w:space="0" w:color="auto"/>
            <w:right w:val="none" w:sz="0" w:space="0" w:color="auto"/>
          </w:divBdr>
        </w:div>
        <w:div w:id="1578591796">
          <w:marLeft w:val="0"/>
          <w:marRight w:val="0"/>
          <w:marTop w:val="0"/>
          <w:marBottom w:val="0"/>
          <w:divBdr>
            <w:top w:val="none" w:sz="0" w:space="0" w:color="auto"/>
            <w:left w:val="none" w:sz="0" w:space="0" w:color="auto"/>
            <w:bottom w:val="none" w:sz="0" w:space="0" w:color="auto"/>
            <w:right w:val="none" w:sz="0" w:space="0" w:color="auto"/>
          </w:divBdr>
          <w:divsChild>
            <w:div w:id="2489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1963">
      <w:bodyDiv w:val="1"/>
      <w:marLeft w:val="0"/>
      <w:marRight w:val="0"/>
      <w:marTop w:val="0"/>
      <w:marBottom w:val="0"/>
      <w:divBdr>
        <w:top w:val="none" w:sz="0" w:space="0" w:color="auto"/>
        <w:left w:val="none" w:sz="0" w:space="0" w:color="auto"/>
        <w:bottom w:val="none" w:sz="0" w:space="0" w:color="auto"/>
        <w:right w:val="none" w:sz="0" w:space="0" w:color="auto"/>
      </w:divBdr>
    </w:div>
    <w:div w:id="52311489">
      <w:bodyDiv w:val="1"/>
      <w:marLeft w:val="0"/>
      <w:marRight w:val="0"/>
      <w:marTop w:val="0"/>
      <w:marBottom w:val="0"/>
      <w:divBdr>
        <w:top w:val="none" w:sz="0" w:space="0" w:color="auto"/>
        <w:left w:val="none" w:sz="0" w:space="0" w:color="auto"/>
        <w:bottom w:val="none" w:sz="0" w:space="0" w:color="auto"/>
        <w:right w:val="none" w:sz="0" w:space="0" w:color="auto"/>
      </w:divBdr>
    </w:div>
    <w:div w:id="61224971">
      <w:bodyDiv w:val="1"/>
      <w:marLeft w:val="0"/>
      <w:marRight w:val="0"/>
      <w:marTop w:val="0"/>
      <w:marBottom w:val="0"/>
      <w:divBdr>
        <w:top w:val="none" w:sz="0" w:space="0" w:color="auto"/>
        <w:left w:val="none" w:sz="0" w:space="0" w:color="auto"/>
        <w:bottom w:val="none" w:sz="0" w:space="0" w:color="auto"/>
        <w:right w:val="none" w:sz="0" w:space="0" w:color="auto"/>
      </w:divBdr>
    </w:div>
    <w:div w:id="61413198">
      <w:bodyDiv w:val="1"/>
      <w:marLeft w:val="0"/>
      <w:marRight w:val="0"/>
      <w:marTop w:val="0"/>
      <w:marBottom w:val="0"/>
      <w:divBdr>
        <w:top w:val="none" w:sz="0" w:space="0" w:color="auto"/>
        <w:left w:val="none" w:sz="0" w:space="0" w:color="auto"/>
        <w:bottom w:val="none" w:sz="0" w:space="0" w:color="auto"/>
        <w:right w:val="none" w:sz="0" w:space="0" w:color="auto"/>
      </w:divBdr>
    </w:div>
    <w:div w:id="64492900">
      <w:bodyDiv w:val="1"/>
      <w:marLeft w:val="0"/>
      <w:marRight w:val="0"/>
      <w:marTop w:val="0"/>
      <w:marBottom w:val="0"/>
      <w:divBdr>
        <w:top w:val="none" w:sz="0" w:space="0" w:color="auto"/>
        <w:left w:val="none" w:sz="0" w:space="0" w:color="auto"/>
        <w:bottom w:val="none" w:sz="0" w:space="0" w:color="auto"/>
        <w:right w:val="none" w:sz="0" w:space="0" w:color="auto"/>
      </w:divBdr>
    </w:div>
    <w:div w:id="66804557">
      <w:bodyDiv w:val="1"/>
      <w:marLeft w:val="0"/>
      <w:marRight w:val="0"/>
      <w:marTop w:val="0"/>
      <w:marBottom w:val="0"/>
      <w:divBdr>
        <w:top w:val="none" w:sz="0" w:space="0" w:color="auto"/>
        <w:left w:val="none" w:sz="0" w:space="0" w:color="auto"/>
        <w:bottom w:val="none" w:sz="0" w:space="0" w:color="auto"/>
        <w:right w:val="none" w:sz="0" w:space="0" w:color="auto"/>
      </w:divBdr>
    </w:div>
    <w:div w:id="124125764">
      <w:bodyDiv w:val="1"/>
      <w:marLeft w:val="0"/>
      <w:marRight w:val="0"/>
      <w:marTop w:val="0"/>
      <w:marBottom w:val="0"/>
      <w:divBdr>
        <w:top w:val="none" w:sz="0" w:space="0" w:color="auto"/>
        <w:left w:val="none" w:sz="0" w:space="0" w:color="auto"/>
        <w:bottom w:val="none" w:sz="0" w:space="0" w:color="auto"/>
        <w:right w:val="none" w:sz="0" w:space="0" w:color="auto"/>
      </w:divBdr>
    </w:div>
    <w:div w:id="125633278">
      <w:bodyDiv w:val="1"/>
      <w:marLeft w:val="0"/>
      <w:marRight w:val="0"/>
      <w:marTop w:val="0"/>
      <w:marBottom w:val="0"/>
      <w:divBdr>
        <w:top w:val="none" w:sz="0" w:space="0" w:color="auto"/>
        <w:left w:val="none" w:sz="0" w:space="0" w:color="auto"/>
        <w:bottom w:val="none" w:sz="0" w:space="0" w:color="auto"/>
        <w:right w:val="none" w:sz="0" w:space="0" w:color="auto"/>
      </w:divBdr>
    </w:div>
    <w:div w:id="130751420">
      <w:bodyDiv w:val="1"/>
      <w:marLeft w:val="0"/>
      <w:marRight w:val="0"/>
      <w:marTop w:val="0"/>
      <w:marBottom w:val="0"/>
      <w:divBdr>
        <w:top w:val="none" w:sz="0" w:space="0" w:color="auto"/>
        <w:left w:val="none" w:sz="0" w:space="0" w:color="auto"/>
        <w:bottom w:val="none" w:sz="0" w:space="0" w:color="auto"/>
        <w:right w:val="none" w:sz="0" w:space="0" w:color="auto"/>
      </w:divBdr>
    </w:div>
    <w:div w:id="195823212">
      <w:bodyDiv w:val="1"/>
      <w:marLeft w:val="0"/>
      <w:marRight w:val="0"/>
      <w:marTop w:val="0"/>
      <w:marBottom w:val="0"/>
      <w:divBdr>
        <w:top w:val="none" w:sz="0" w:space="0" w:color="auto"/>
        <w:left w:val="none" w:sz="0" w:space="0" w:color="auto"/>
        <w:bottom w:val="none" w:sz="0" w:space="0" w:color="auto"/>
        <w:right w:val="none" w:sz="0" w:space="0" w:color="auto"/>
      </w:divBdr>
      <w:divsChild>
        <w:div w:id="654651302">
          <w:marLeft w:val="0"/>
          <w:marRight w:val="0"/>
          <w:marTop w:val="0"/>
          <w:marBottom w:val="0"/>
          <w:divBdr>
            <w:top w:val="none" w:sz="0" w:space="0" w:color="auto"/>
            <w:left w:val="none" w:sz="0" w:space="0" w:color="auto"/>
            <w:bottom w:val="none" w:sz="0" w:space="0" w:color="auto"/>
            <w:right w:val="none" w:sz="0" w:space="0" w:color="auto"/>
          </w:divBdr>
        </w:div>
      </w:divsChild>
    </w:div>
    <w:div w:id="220795013">
      <w:bodyDiv w:val="1"/>
      <w:marLeft w:val="0"/>
      <w:marRight w:val="0"/>
      <w:marTop w:val="0"/>
      <w:marBottom w:val="0"/>
      <w:divBdr>
        <w:top w:val="none" w:sz="0" w:space="0" w:color="auto"/>
        <w:left w:val="none" w:sz="0" w:space="0" w:color="auto"/>
        <w:bottom w:val="none" w:sz="0" w:space="0" w:color="auto"/>
        <w:right w:val="none" w:sz="0" w:space="0" w:color="auto"/>
      </w:divBdr>
    </w:div>
    <w:div w:id="237784572">
      <w:bodyDiv w:val="1"/>
      <w:marLeft w:val="0"/>
      <w:marRight w:val="0"/>
      <w:marTop w:val="0"/>
      <w:marBottom w:val="0"/>
      <w:divBdr>
        <w:top w:val="none" w:sz="0" w:space="0" w:color="auto"/>
        <w:left w:val="none" w:sz="0" w:space="0" w:color="auto"/>
        <w:bottom w:val="none" w:sz="0" w:space="0" w:color="auto"/>
        <w:right w:val="none" w:sz="0" w:space="0" w:color="auto"/>
      </w:divBdr>
    </w:div>
    <w:div w:id="238488312">
      <w:bodyDiv w:val="1"/>
      <w:marLeft w:val="0"/>
      <w:marRight w:val="0"/>
      <w:marTop w:val="0"/>
      <w:marBottom w:val="0"/>
      <w:divBdr>
        <w:top w:val="none" w:sz="0" w:space="0" w:color="auto"/>
        <w:left w:val="none" w:sz="0" w:space="0" w:color="auto"/>
        <w:bottom w:val="none" w:sz="0" w:space="0" w:color="auto"/>
        <w:right w:val="none" w:sz="0" w:space="0" w:color="auto"/>
      </w:divBdr>
    </w:div>
    <w:div w:id="252859597">
      <w:bodyDiv w:val="1"/>
      <w:marLeft w:val="0"/>
      <w:marRight w:val="0"/>
      <w:marTop w:val="0"/>
      <w:marBottom w:val="0"/>
      <w:divBdr>
        <w:top w:val="none" w:sz="0" w:space="0" w:color="auto"/>
        <w:left w:val="none" w:sz="0" w:space="0" w:color="auto"/>
        <w:bottom w:val="none" w:sz="0" w:space="0" w:color="auto"/>
        <w:right w:val="none" w:sz="0" w:space="0" w:color="auto"/>
      </w:divBdr>
    </w:div>
    <w:div w:id="280306532">
      <w:bodyDiv w:val="1"/>
      <w:marLeft w:val="0"/>
      <w:marRight w:val="0"/>
      <w:marTop w:val="0"/>
      <w:marBottom w:val="0"/>
      <w:divBdr>
        <w:top w:val="none" w:sz="0" w:space="0" w:color="auto"/>
        <w:left w:val="none" w:sz="0" w:space="0" w:color="auto"/>
        <w:bottom w:val="none" w:sz="0" w:space="0" w:color="auto"/>
        <w:right w:val="none" w:sz="0" w:space="0" w:color="auto"/>
      </w:divBdr>
    </w:div>
    <w:div w:id="291786571">
      <w:bodyDiv w:val="1"/>
      <w:marLeft w:val="0"/>
      <w:marRight w:val="0"/>
      <w:marTop w:val="0"/>
      <w:marBottom w:val="0"/>
      <w:divBdr>
        <w:top w:val="none" w:sz="0" w:space="0" w:color="auto"/>
        <w:left w:val="none" w:sz="0" w:space="0" w:color="auto"/>
        <w:bottom w:val="none" w:sz="0" w:space="0" w:color="auto"/>
        <w:right w:val="none" w:sz="0" w:space="0" w:color="auto"/>
      </w:divBdr>
    </w:div>
    <w:div w:id="295526336">
      <w:bodyDiv w:val="1"/>
      <w:marLeft w:val="0"/>
      <w:marRight w:val="0"/>
      <w:marTop w:val="0"/>
      <w:marBottom w:val="0"/>
      <w:divBdr>
        <w:top w:val="none" w:sz="0" w:space="0" w:color="auto"/>
        <w:left w:val="none" w:sz="0" w:space="0" w:color="auto"/>
        <w:bottom w:val="none" w:sz="0" w:space="0" w:color="auto"/>
        <w:right w:val="none" w:sz="0" w:space="0" w:color="auto"/>
      </w:divBdr>
    </w:div>
    <w:div w:id="307395315">
      <w:bodyDiv w:val="1"/>
      <w:marLeft w:val="0"/>
      <w:marRight w:val="0"/>
      <w:marTop w:val="0"/>
      <w:marBottom w:val="0"/>
      <w:divBdr>
        <w:top w:val="none" w:sz="0" w:space="0" w:color="auto"/>
        <w:left w:val="none" w:sz="0" w:space="0" w:color="auto"/>
        <w:bottom w:val="none" w:sz="0" w:space="0" w:color="auto"/>
        <w:right w:val="none" w:sz="0" w:space="0" w:color="auto"/>
      </w:divBdr>
    </w:div>
    <w:div w:id="317612700">
      <w:bodyDiv w:val="1"/>
      <w:marLeft w:val="0"/>
      <w:marRight w:val="0"/>
      <w:marTop w:val="0"/>
      <w:marBottom w:val="0"/>
      <w:divBdr>
        <w:top w:val="none" w:sz="0" w:space="0" w:color="auto"/>
        <w:left w:val="none" w:sz="0" w:space="0" w:color="auto"/>
        <w:bottom w:val="none" w:sz="0" w:space="0" w:color="auto"/>
        <w:right w:val="none" w:sz="0" w:space="0" w:color="auto"/>
      </w:divBdr>
    </w:div>
    <w:div w:id="330716620">
      <w:bodyDiv w:val="1"/>
      <w:marLeft w:val="0"/>
      <w:marRight w:val="0"/>
      <w:marTop w:val="0"/>
      <w:marBottom w:val="0"/>
      <w:divBdr>
        <w:top w:val="none" w:sz="0" w:space="0" w:color="auto"/>
        <w:left w:val="none" w:sz="0" w:space="0" w:color="auto"/>
        <w:bottom w:val="none" w:sz="0" w:space="0" w:color="auto"/>
        <w:right w:val="none" w:sz="0" w:space="0" w:color="auto"/>
      </w:divBdr>
    </w:div>
    <w:div w:id="340010995">
      <w:bodyDiv w:val="1"/>
      <w:marLeft w:val="0"/>
      <w:marRight w:val="0"/>
      <w:marTop w:val="0"/>
      <w:marBottom w:val="0"/>
      <w:divBdr>
        <w:top w:val="none" w:sz="0" w:space="0" w:color="auto"/>
        <w:left w:val="none" w:sz="0" w:space="0" w:color="auto"/>
        <w:bottom w:val="none" w:sz="0" w:space="0" w:color="auto"/>
        <w:right w:val="none" w:sz="0" w:space="0" w:color="auto"/>
      </w:divBdr>
    </w:div>
    <w:div w:id="375666213">
      <w:bodyDiv w:val="1"/>
      <w:marLeft w:val="0"/>
      <w:marRight w:val="0"/>
      <w:marTop w:val="0"/>
      <w:marBottom w:val="0"/>
      <w:divBdr>
        <w:top w:val="none" w:sz="0" w:space="0" w:color="auto"/>
        <w:left w:val="none" w:sz="0" w:space="0" w:color="auto"/>
        <w:bottom w:val="none" w:sz="0" w:space="0" w:color="auto"/>
        <w:right w:val="none" w:sz="0" w:space="0" w:color="auto"/>
      </w:divBdr>
    </w:div>
    <w:div w:id="383716661">
      <w:bodyDiv w:val="1"/>
      <w:marLeft w:val="0"/>
      <w:marRight w:val="0"/>
      <w:marTop w:val="0"/>
      <w:marBottom w:val="0"/>
      <w:divBdr>
        <w:top w:val="none" w:sz="0" w:space="0" w:color="auto"/>
        <w:left w:val="none" w:sz="0" w:space="0" w:color="auto"/>
        <w:bottom w:val="none" w:sz="0" w:space="0" w:color="auto"/>
        <w:right w:val="none" w:sz="0" w:space="0" w:color="auto"/>
      </w:divBdr>
    </w:div>
    <w:div w:id="395930506">
      <w:bodyDiv w:val="1"/>
      <w:marLeft w:val="0"/>
      <w:marRight w:val="0"/>
      <w:marTop w:val="0"/>
      <w:marBottom w:val="0"/>
      <w:divBdr>
        <w:top w:val="none" w:sz="0" w:space="0" w:color="auto"/>
        <w:left w:val="none" w:sz="0" w:space="0" w:color="auto"/>
        <w:bottom w:val="none" w:sz="0" w:space="0" w:color="auto"/>
        <w:right w:val="none" w:sz="0" w:space="0" w:color="auto"/>
      </w:divBdr>
    </w:div>
    <w:div w:id="410588510">
      <w:bodyDiv w:val="1"/>
      <w:marLeft w:val="0"/>
      <w:marRight w:val="0"/>
      <w:marTop w:val="0"/>
      <w:marBottom w:val="0"/>
      <w:divBdr>
        <w:top w:val="none" w:sz="0" w:space="0" w:color="auto"/>
        <w:left w:val="none" w:sz="0" w:space="0" w:color="auto"/>
        <w:bottom w:val="none" w:sz="0" w:space="0" w:color="auto"/>
        <w:right w:val="none" w:sz="0" w:space="0" w:color="auto"/>
      </w:divBdr>
    </w:div>
    <w:div w:id="438455212">
      <w:bodyDiv w:val="1"/>
      <w:marLeft w:val="0"/>
      <w:marRight w:val="0"/>
      <w:marTop w:val="0"/>
      <w:marBottom w:val="0"/>
      <w:divBdr>
        <w:top w:val="none" w:sz="0" w:space="0" w:color="auto"/>
        <w:left w:val="none" w:sz="0" w:space="0" w:color="auto"/>
        <w:bottom w:val="none" w:sz="0" w:space="0" w:color="auto"/>
        <w:right w:val="none" w:sz="0" w:space="0" w:color="auto"/>
      </w:divBdr>
    </w:div>
    <w:div w:id="446587672">
      <w:bodyDiv w:val="1"/>
      <w:marLeft w:val="0"/>
      <w:marRight w:val="0"/>
      <w:marTop w:val="0"/>
      <w:marBottom w:val="0"/>
      <w:divBdr>
        <w:top w:val="none" w:sz="0" w:space="0" w:color="auto"/>
        <w:left w:val="none" w:sz="0" w:space="0" w:color="auto"/>
        <w:bottom w:val="none" w:sz="0" w:space="0" w:color="auto"/>
        <w:right w:val="none" w:sz="0" w:space="0" w:color="auto"/>
      </w:divBdr>
    </w:div>
    <w:div w:id="453643747">
      <w:bodyDiv w:val="1"/>
      <w:marLeft w:val="0"/>
      <w:marRight w:val="0"/>
      <w:marTop w:val="0"/>
      <w:marBottom w:val="0"/>
      <w:divBdr>
        <w:top w:val="none" w:sz="0" w:space="0" w:color="auto"/>
        <w:left w:val="none" w:sz="0" w:space="0" w:color="auto"/>
        <w:bottom w:val="none" w:sz="0" w:space="0" w:color="auto"/>
        <w:right w:val="none" w:sz="0" w:space="0" w:color="auto"/>
      </w:divBdr>
    </w:div>
    <w:div w:id="510948001">
      <w:bodyDiv w:val="1"/>
      <w:marLeft w:val="0"/>
      <w:marRight w:val="0"/>
      <w:marTop w:val="0"/>
      <w:marBottom w:val="0"/>
      <w:divBdr>
        <w:top w:val="none" w:sz="0" w:space="0" w:color="auto"/>
        <w:left w:val="none" w:sz="0" w:space="0" w:color="auto"/>
        <w:bottom w:val="none" w:sz="0" w:space="0" w:color="auto"/>
        <w:right w:val="none" w:sz="0" w:space="0" w:color="auto"/>
      </w:divBdr>
    </w:div>
    <w:div w:id="541676407">
      <w:bodyDiv w:val="1"/>
      <w:marLeft w:val="0"/>
      <w:marRight w:val="0"/>
      <w:marTop w:val="0"/>
      <w:marBottom w:val="0"/>
      <w:divBdr>
        <w:top w:val="none" w:sz="0" w:space="0" w:color="auto"/>
        <w:left w:val="none" w:sz="0" w:space="0" w:color="auto"/>
        <w:bottom w:val="none" w:sz="0" w:space="0" w:color="auto"/>
        <w:right w:val="none" w:sz="0" w:space="0" w:color="auto"/>
      </w:divBdr>
    </w:div>
    <w:div w:id="561991116">
      <w:bodyDiv w:val="1"/>
      <w:marLeft w:val="0"/>
      <w:marRight w:val="0"/>
      <w:marTop w:val="0"/>
      <w:marBottom w:val="0"/>
      <w:divBdr>
        <w:top w:val="none" w:sz="0" w:space="0" w:color="auto"/>
        <w:left w:val="none" w:sz="0" w:space="0" w:color="auto"/>
        <w:bottom w:val="none" w:sz="0" w:space="0" w:color="auto"/>
        <w:right w:val="none" w:sz="0" w:space="0" w:color="auto"/>
      </w:divBdr>
    </w:div>
    <w:div w:id="611203172">
      <w:bodyDiv w:val="1"/>
      <w:marLeft w:val="0"/>
      <w:marRight w:val="0"/>
      <w:marTop w:val="0"/>
      <w:marBottom w:val="0"/>
      <w:divBdr>
        <w:top w:val="none" w:sz="0" w:space="0" w:color="auto"/>
        <w:left w:val="none" w:sz="0" w:space="0" w:color="auto"/>
        <w:bottom w:val="none" w:sz="0" w:space="0" w:color="auto"/>
        <w:right w:val="none" w:sz="0" w:space="0" w:color="auto"/>
      </w:divBdr>
    </w:div>
    <w:div w:id="630526285">
      <w:bodyDiv w:val="1"/>
      <w:marLeft w:val="0"/>
      <w:marRight w:val="0"/>
      <w:marTop w:val="0"/>
      <w:marBottom w:val="0"/>
      <w:divBdr>
        <w:top w:val="none" w:sz="0" w:space="0" w:color="auto"/>
        <w:left w:val="none" w:sz="0" w:space="0" w:color="auto"/>
        <w:bottom w:val="none" w:sz="0" w:space="0" w:color="auto"/>
        <w:right w:val="none" w:sz="0" w:space="0" w:color="auto"/>
      </w:divBdr>
    </w:div>
    <w:div w:id="681132329">
      <w:bodyDiv w:val="1"/>
      <w:marLeft w:val="0"/>
      <w:marRight w:val="0"/>
      <w:marTop w:val="0"/>
      <w:marBottom w:val="0"/>
      <w:divBdr>
        <w:top w:val="none" w:sz="0" w:space="0" w:color="auto"/>
        <w:left w:val="none" w:sz="0" w:space="0" w:color="auto"/>
        <w:bottom w:val="none" w:sz="0" w:space="0" w:color="auto"/>
        <w:right w:val="none" w:sz="0" w:space="0" w:color="auto"/>
      </w:divBdr>
    </w:div>
    <w:div w:id="711686229">
      <w:bodyDiv w:val="1"/>
      <w:marLeft w:val="0"/>
      <w:marRight w:val="0"/>
      <w:marTop w:val="0"/>
      <w:marBottom w:val="0"/>
      <w:divBdr>
        <w:top w:val="none" w:sz="0" w:space="0" w:color="auto"/>
        <w:left w:val="none" w:sz="0" w:space="0" w:color="auto"/>
        <w:bottom w:val="none" w:sz="0" w:space="0" w:color="auto"/>
        <w:right w:val="none" w:sz="0" w:space="0" w:color="auto"/>
      </w:divBdr>
    </w:div>
    <w:div w:id="755788840">
      <w:bodyDiv w:val="1"/>
      <w:marLeft w:val="0"/>
      <w:marRight w:val="0"/>
      <w:marTop w:val="0"/>
      <w:marBottom w:val="0"/>
      <w:divBdr>
        <w:top w:val="none" w:sz="0" w:space="0" w:color="auto"/>
        <w:left w:val="none" w:sz="0" w:space="0" w:color="auto"/>
        <w:bottom w:val="none" w:sz="0" w:space="0" w:color="auto"/>
        <w:right w:val="none" w:sz="0" w:space="0" w:color="auto"/>
      </w:divBdr>
    </w:div>
    <w:div w:id="768081951">
      <w:bodyDiv w:val="1"/>
      <w:marLeft w:val="0"/>
      <w:marRight w:val="0"/>
      <w:marTop w:val="0"/>
      <w:marBottom w:val="0"/>
      <w:divBdr>
        <w:top w:val="none" w:sz="0" w:space="0" w:color="auto"/>
        <w:left w:val="none" w:sz="0" w:space="0" w:color="auto"/>
        <w:bottom w:val="none" w:sz="0" w:space="0" w:color="auto"/>
        <w:right w:val="none" w:sz="0" w:space="0" w:color="auto"/>
      </w:divBdr>
    </w:div>
    <w:div w:id="768430227">
      <w:bodyDiv w:val="1"/>
      <w:marLeft w:val="0"/>
      <w:marRight w:val="0"/>
      <w:marTop w:val="0"/>
      <w:marBottom w:val="0"/>
      <w:divBdr>
        <w:top w:val="none" w:sz="0" w:space="0" w:color="auto"/>
        <w:left w:val="none" w:sz="0" w:space="0" w:color="auto"/>
        <w:bottom w:val="none" w:sz="0" w:space="0" w:color="auto"/>
        <w:right w:val="none" w:sz="0" w:space="0" w:color="auto"/>
      </w:divBdr>
    </w:div>
    <w:div w:id="776173161">
      <w:bodyDiv w:val="1"/>
      <w:marLeft w:val="0"/>
      <w:marRight w:val="0"/>
      <w:marTop w:val="0"/>
      <w:marBottom w:val="0"/>
      <w:divBdr>
        <w:top w:val="none" w:sz="0" w:space="0" w:color="auto"/>
        <w:left w:val="none" w:sz="0" w:space="0" w:color="auto"/>
        <w:bottom w:val="none" w:sz="0" w:space="0" w:color="auto"/>
        <w:right w:val="none" w:sz="0" w:space="0" w:color="auto"/>
      </w:divBdr>
    </w:div>
    <w:div w:id="776366790">
      <w:bodyDiv w:val="1"/>
      <w:marLeft w:val="0"/>
      <w:marRight w:val="0"/>
      <w:marTop w:val="0"/>
      <w:marBottom w:val="0"/>
      <w:divBdr>
        <w:top w:val="none" w:sz="0" w:space="0" w:color="auto"/>
        <w:left w:val="none" w:sz="0" w:space="0" w:color="auto"/>
        <w:bottom w:val="none" w:sz="0" w:space="0" w:color="auto"/>
        <w:right w:val="none" w:sz="0" w:space="0" w:color="auto"/>
      </w:divBdr>
    </w:div>
    <w:div w:id="779108600">
      <w:bodyDiv w:val="1"/>
      <w:marLeft w:val="0"/>
      <w:marRight w:val="0"/>
      <w:marTop w:val="0"/>
      <w:marBottom w:val="0"/>
      <w:divBdr>
        <w:top w:val="none" w:sz="0" w:space="0" w:color="auto"/>
        <w:left w:val="none" w:sz="0" w:space="0" w:color="auto"/>
        <w:bottom w:val="none" w:sz="0" w:space="0" w:color="auto"/>
        <w:right w:val="none" w:sz="0" w:space="0" w:color="auto"/>
      </w:divBdr>
    </w:div>
    <w:div w:id="783115260">
      <w:bodyDiv w:val="1"/>
      <w:marLeft w:val="0"/>
      <w:marRight w:val="0"/>
      <w:marTop w:val="0"/>
      <w:marBottom w:val="0"/>
      <w:divBdr>
        <w:top w:val="none" w:sz="0" w:space="0" w:color="auto"/>
        <w:left w:val="none" w:sz="0" w:space="0" w:color="auto"/>
        <w:bottom w:val="none" w:sz="0" w:space="0" w:color="auto"/>
        <w:right w:val="none" w:sz="0" w:space="0" w:color="auto"/>
      </w:divBdr>
    </w:div>
    <w:div w:id="822887850">
      <w:bodyDiv w:val="1"/>
      <w:marLeft w:val="0"/>
      <w:marRight w:val="0"/>
      <w:marTop w:val="0"/>
      <w:marBottom w:val="0"/>
      <w:divBdr>
        <w:top w:val="none" w:sz="0" w:space="0" w:color="auto"/>
        <w:left w:val="none" w:sz="0" w:space="0" w:color="auto"/>
        <w:bottom w:val="none" w:sz="0" w:space="0" w:color="auto"/>
        <w:right w:val="none" w:sz="0" w:space="0" w:color="auto"/>
      </w:divBdr>
    </w:div>
    <w:div w:id="823397667">
      <w:bodyDiv w:val="1"/>
      <w:marLeft w:val="0"/>
      <w:marRight w:val="0"/>
      <w:marTop w:val="0"/>
      <w:marBottom w:val="0"/>
      <w:divBdr>
        <w:top w:val="none" w:sz="0" w:space="0" w:color="auto"/>
        <w:left w:val="none" w:sz="0" w:space="0" w:color="auto"/>
        <w:bottom w:val="none" w:sz="0" w:space="0" w:color="auto"/>
        <w:right w:val="none" w:sz="0" w:space="0" w:color="auto"/>
      </w:divBdr>
    </w:div>
    <w:div w:id="864751608">
      <w:bodyDiv w:val="1"/>
      <w:marLeft w:val="0"/>
      <w:marRight w:val="0"/>
      <w:marTop w:val="0"/>
      <w:marBottom w:val="0"/>
      <w:divBdr>
        <w:top w:val="none" w:sz="0" w:space="0" w:color="auto"/>
        <w:left w:val="none" w:sz="0" w:space="0" w:color="auto"/>
        <w:bottom w:val="none" w:sz="0" w:space="0" w:color="auto"/>
        <w:right w:val="none" w:sz="0" w:space="0" w:color="auto"/>
      </w:divBdr>
    </w:div>
    <w:div w:id="888224693">
      <w:bodyDiv w:val="1"/>
      <w:marLeft w:val="0"/>
      <w:marRight w:val="0"/>
      <w:marTop w:val="0"/>
      <w:marBottom w:val="0"/>
      <w:divBdr>
        <w:top w:val="none" w:sz="0" w:space="0" w:color="auto"/>
        <w:left w:val="none" w:sz="0" w:space="0" w:color="auto"/>
        <w:bottom w:val="none" w:sz="0" w:space="0" w:color="auto"/>
        <w:right w:val="none" w:sz="0" w:space="0" w:color="auto"/>
      </w:divBdr>
    </w:div>
    <w:div w:id="889611267">
      <w:bodyDiv w:val="1"/>
      <w:marLeft w:val="0"/>
      <w:marRight w:val="0"/>
      <w:marTop w:val="0"/>
      <w:marBottom w:val="0"/>
      <w:divBdr>
        <w:top w:val="none" w:sz="0" w:space="0" w:color="auto"/>
        <w:left w:val="none" w:sz="0" w:space="0" w:color="auto"/>
        <w:bottom w:val="none" w:sz="0" w:space="0" w:color="auto"/>
        <w:right w:val="none" w:sz="0" w:space="0" w:color="auto"/>
      </w:divBdr>
    </w:div>
    <w:div w:id="903103666">
      <w:bodyDiv w:val="1"/>
      <w:marLeft w:val="0"/>
      <w:marRight w:val="0"/>
      <w:marTop w:val="0"/>
      <w:marBottom w:val="0"/>
      <w:divBdr>
        <w:top w:val="none" w:sz="0" w:space="0" w:color="auto"/>
        <w:left w:val="none" w:sz="0" w:space="0" w:color="auto"/>
        <w:bottom w:val="none" w:sz="0" w:space="0" w:color="auto"/>
        <w:right w:val="none" w:sz="0" w:space="0" w:color="auto"/>
      </w:divBdr>
    </w:div>
    <w:div w:id="907612291">
      <w:bodyDiv w:val="1"/>
      <w:marLeft w:val="0"/>
      <w:marRight w:val="0"/>
      <w:marTop w:val="0"/>
      <w:marBottom w:val="0"/>
      <w:divBdr>
        <w:top w:val="none" w:sz="0" w:space="0" w:color="auto"/>
        <w:left w:val="none" w:sz="0" w:space="0" w:color="auto"/>
        <w:bottom w:val="none" w:sz="0" w:space="0" w:color="auto"/>
        <w:right w:val="none" w:sz="0" w:space="0" w:color="auto"/>
      </w:divBdr>
    </w:div>
    <w:div w:id="955672714">
      <w:bodyDiv w:val="1"/>
      <w:marLeft w:val="0"/>
      <w:marRight w:val="0"/>
      <w:marTop w:val="0"/>
      <w:marBottom w:val="0"/>
      <w:divBdr>
        <w:top w:val="none" w:sz="0" w:space="0" w:color="auto"/>
        <w:left w:val="none" w:sz="0" w:space="0" w:color="auto"/>
        <w:bottom w:val="none" w:sz="0" w:space="0" w:color="auto"/>
        <w:right w:val="none" w:sz="0" w:space="0" w:color="auto"/>
      </w:divBdr>
    </w:div>
    <w:div w:id="971667749">
      <w:bodyDiv w:val="1"/>
      <w:marLeft w:val="0"/>
      <w:marRight w:val="0"/>
      <w:marTop w:val="0"/>
      <w:marBottom w:val="0"/>
      <w:divBdr>
        <w:top w:val="none" w:sz="0" w:space="0" w:color="auto"/>
        <w:left w:val="none" w:sz="0" w:space="0" w:color="auto"/>
        <w:bottom w:val="none" w:sz="0" w:space="0" w:color="auto"/>
        <w:right w:val="none" w:sz="0" w:space="0" w:color="auto"/>
      </w:divBdr>
    </w:div>
    <w:div w:id="972061265">
      <w:bodyDiv w:val="1"/>
      <w:marLeft w:val="0"/>
      <w:marRight w:val="0"/>
      <w:marTop w:val="0"/>
      <w:marBottom w:val="0"/>
      <w:divBdr>
        <w:top w:val="none" w:sz="0" w:space="0" w:color="auto"/>
        <w:left w:val="none" w:sz="0" w:space="0" w:color="auto"/>
        <w:bottom w:val="none" w:sz="0" w:space="0" w:color="auto"/>
        <w:right w:val="none" w:sz="0" w:space="0" w:color="auto"/>
      </w:divBdr>
    </w:div>
    <w:div w:id="1031565755">
      <w:bodyDiv w:val="1"/>
      <w:marLeft w:val="0"/>
      <w:marRight w:val="0"/>
      <w:marTop w:val="0"/>
      <w:marBottom w:val="0"/>
      <w:divBdr>
        <w:top w:val="none" w:sz="0" w:space="0" w:color="auto"/>
        <w:left w:val="none" w:sz="0" w:space="0" w:color="auto"/>
        <w:bottom w:val="none" w:sz="0" w:space="0" w:color="auto"/>
        <w:right w:val="none" w:sz="0" w:space="0" w:color="auto"/>
      </w:divBdr>
    </w:div>
    <w:div w:id="1054700311">
      <w:bodyDiv w:val="1"/>
      <w:marLeft w:val="0"/>
      <w:marRight w:val="0"/>
      <w:marTop w:val="0"/>
      <w:marBottom w:val="0"/>
      <w:divBdr>
        <w:top w:val="none" w:sz="0" w:space="0" w:color="auto"/>
        <w:left w:val="none" w:sz="0" w:space="0" w:color="auto"/>
        <w:bottom w:val="none" w:sz="0" w:space="0" w:color="auto"/>
        <w:right w:val="none" w:sz="0" w:space="0" w:color="auto"/>
      </w:divBdr>
    </w:div>
    <w:div w:id="1055466662">
      <w:bodyDiv w:val="1"/>
      <w:marLeft w:val="0"/>
      <w:marRight w:val="0"/>
      <w:marTop w:val="0"/>
      <w:marBottom w:val="0"/>
      <w:divBdr>
        <w:top w:val="none" w:sz="0" w:space="0" w:color="auto"/>
        <w:left w:val="none" w:sz="0" w:space="0" w:color="auto"/>
        <w:bottom w:val="none" w:sz="0" w:space="0" w:color="auto"/>
        <w:right w:val="none" w:sz="0" w:space="0" w:color="auto"/>
      </w:divBdr>
    </w:div>
    <w:div w:id="1102216770">
      <w:bodyDiv w:val="1"/>
      <w:marLeft w:val="0"/>
      <w:marRight w:val="0"/>
      <w:marTop w:val="0"/>
      <w:marBottom w:val="0"/>
      <w:divBdr>
        <w:top w:val="none" w:sz="0" w:space="0" w:color="auto"/>
        <w:left w:val="none" w:sz="0" w:space="0" w:color="auto"/>
        <w:bottom w:val="none" w:sz="0" w:space="0" w:color="auto"/>
        <w:right w:val="none" w:sz="0" w:space="0" w:color="auto"/>
      </w:divBdr>
    </w:div>
    <w:div w:id="1133018517">
      <w:bodyDiv w:val="1"/>
      <w:marLeft w:val="0"/>
      <w:marRight w:val="0"/>
      <w:marTop w:val="0"/>
      <w:marBottom w:val="0"/>
      <w:divBdr>
        <w:top w:val="none" w:sz="0" w:space="0" w:color="auto"/>
        <w:left w:val="none" w:sz="0" w:space="0" w:color="auto"/>
        <w:bottom w:val="none" w:sz="0" w:space="0" w:color="auto"/>
        <w:right w:val="none" w:sz="0" w:space="0" w:color="auto"/>
      </w:divBdr>
    </w:div>
    <w:div w:id="1151094439">
      <w:bodyDiv w:val="1"/>
      <w:marLeft w:val="0"/>
      <w:marRight w:val="0"/>
      <w:marTop w:val="0"/>
      <w:marBottom w:val="0"/>
      <w:divBdr>
        <w:top w:val="none" w:sz="0" w:space="0" w:color="auto"/>
        <w:left w:val="none" w:sz="0" w:space="0" w:color="auto"/>
        <w:bottom w:val="none" w:sz="0" w:space="0" w:color="auto"/>
        <w:right w:val="none" w:sz="0" w:space="0" w:color="auto"/>
      </w:divBdr>
    </w:div>
    <w:div w:id="1177503825">
      <w:bodyDiv w:val="1"/>
      <w:marLeft w:val="0"/>
      <w:marRight w:val="0"/>
      <w:marTop w:val="0"/>
      <w:marBottom w:val="0"/>
      <w:divBdr>
        <w:top w:val="none" w:sz="0" w:space="0" w:color="auto"/>
        <w:left w:val="none" w:sz="0" w:space="0" w:color="auto"/>
        <w:bottom w:val="none" w:sz="0" w:space="0" w:color="auto"/>
        <w:right w:val="none" w:sz="0" w:space="0" w:color="auto"/>
      </w:divBdr>
    </w:div>
    <w:div w:id="1181620875">
      <w:bodyDiv w:val="1"/>
      <w:marLeft w:val="0"/>
      <w:marRight w:val="0"/>
      <w:marTop w:val="0"/>
      <w:marBottom w:val="0"/>
      <w:divBdr>
        <w:top w:val="none" w:sz="0" w:space="0" w:color="auto"/>
        <w:left w:val="none" w:sz="0" w:space="0" w:color="auto"/>
        <w:bottom w:val="none" w:sz="0" w:space="0" w:color="auto"/>
        <w:right w:val="none" w:sz="0" w:space="0" w:color="auto"/>
      </w:divBdr>
    </w:div>
    <w:div w:id="1234315077">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63344238">
      <w:bodyDiv w:val="1"/>
      <w:marLeft w:val="0"/>
      <w:marRight w:val="0"/>
      <w:marTop w:val="0"/>
      <w:marBottom w:val="0"/>
      <w:divBdr>
        <w:top w:val="none" w:sz="0" w:space="0" w:color="auto"/>
        <w:left w:val="none" w:sz="0" w:space="0" w:color="auto"/>
        <w:bottom w:val="none" w:sz="0" w:space="0" w:color="auto"/>
        <w:right w:val="none" w:sz="0" w:space="0" w:color="auto"/>
      </w:divBdr>
    </w:div>
    <w:div w:id="1283074775">
      <w:bodyDiv w:val="1"/>
      <w:marLeft w:val="0"/>
      <w:marRight w:val="0"/>
      <w:marTop w:val="0"/>
      <w:marBottom w:val="0"/>
      <w:divBdr>
        <w:top w:val="none" w:sz="0" w:space="0" w:color="auto"/>
        <w:left w:val="none" w:sz="0" w:space="0" w:color="auto"/>
        <w:bottom w:val="none" w:sz="0" w:space="0" w:color="auto"/>
        <w:right w:val="none" w:sz="0" w:space="0" w:color="auto"/>
      </w:divBdr>
    </w:div>
    <w:div w:id="1289508872">
      <w:bodyDiv w:val="1"/>
      <w:marLeft w:val="0"/>
      <w:marRight w:val="0"/>
      <w:marTop w:val="0"/>
      <w:marBottom w:val="0"/>
      <w:divBdr>
        <w:top w:val="none" w:sz="0" w:space="0" w:color="auto"/>
        <w:left w:val="none" w:sz="0" w:space="0" w:color="auto"/>
        <w:bottom w:val="none" w:sz="0" w:space="0" w:color="auto"/>
        <w:right w:val="none" w:sz="0" w:space="0" w:color="auto"/>
      </w:divBdr>
    </w:div>
    <w:div w:id="1292714990">
      <w:bodyDiv w:val="1"/>
      <w:marLeft w:val="0"/>
      <w:marRight w:val="0"/>
      <w:marTop w:val="0"/>
      <w:marBottom w:val="0"/>
      <w:divBdr>
        <w:top w:val="none" w:sz="0" w:space="0" w:color="auto"/>
        <w:left w:val="none" w:sz="0" w:space="0" w:color="auto"/>
        <w:bottom w:val="none" w:sz="0" w:space="0" w:color="auto"/>
        <w:right w:val="none" w:sz="0" w:space="0" w:color="auto"/>
      </w:divBdr>
    </w:div>
    <w:div w:id="1308589887">
      <w:bodyDiv w:val="1"/>
      <w:marLeft w:val="0"/>
      <w:marRight w:val="0"/>
      <w:marTop w:val="0"/>
      <w:marBottom w:val="0"/>
      <w:divBdr>
        <w:top w:val="none" w:sz="0" w:space="0" w:color="auto"/>
        <w:left w:val="none" w:sz="0" w:space="0" w:color="auto"/>
        <w:bottom w:val="none" w:sz="0" w:space="0" w:color="auto"/>
        <w:right w:val="none" w:sz="0" w:space="0" w:color="auto"/>
      </w:divBdr>
    </w:div>
    <w:div w:id="1353459234">
      <w:bodyDiv w:val="1"/>
      <w:marLeft w:val="0"/>
      <w:marRight w:val="0"/>
      <w:marTop w:val="0"/>
      <w:marBottom w:val="0"/>
      <w:divBdr>
        <w:top w:val="none" w:sz="0" w:space="0" w:color="auto"/>
        <w:left w:val="none" w:sz="0" w:space="0" w:color="auto"/>
        <w:bottom w:val="none" w:sz="0" w:space="0" w:color="auto"/>
        <w:right w:val="none" w:sz="0" w:space="0" w:color="auto"/>
      </w:divBdr>
    </w:div>
    <w:div w:id="1357270782">
      <w:bodyDiv w:val="1"/>
      <w:marLeft w:val="0"/>
      <w:marRight w:val="0"/>
      <w:marTop w:val="0"/>
      <w:marBottom w:val="0"/>
      <w:divBdr>
        <w:top w:val="none" w:sz="0" w:space="0" w:color="auto"/>
        <w:left w:val="none" w:sz="0" w:space="0" w:color="auto"/>
        <w:bottom w:val="none" w:sz="0" w:space="0" w:color="auto"/>
        <w:right w:val="none" w:sz="0" w:space="0" w:color="auto"/>
      </w:divBdr>
    </w:div>
    <w:div w:id="1435706535">
      <w:bodyDiv w:val="1"/>
      <w:marLeft w:val="0"/>
      <w:marRight w:val="0"/>
      <w:marTop w:val="0"/>
      <w:marBottom w:val="0"/>
      <w:divBdr>
        <w:top w:val="none" w:sz="0" w:space="0" w:color="auto"/>
        <w:left w:val="none" w:sz="0" w:space="0" w:color="auto"/>
        <w:bottom w:val="none" w:sz="0" w:space="0" w:color="auto"/>
        <w:right w:val="none" w:sz="0" w:space="0" w:color="auto"/>
      </w:divBdr>
    </w:div>
    <w:div w:id="1442719715">
      <w:bodyDiv w:val="1"/>
      <w:marLeft w:val="0"/>
      <w:marRight w:val="0"/>
      <w:marTop w:val="0"/>
      <w:marBottom w:val="0"/>
      <w:divBdr>
        <w:top w:val="none" w:sz="0" w:space="0" w:color="auto"/>
        <w:left w:val="none" w:sz="0" w:space="0" w:color="auto"/>
        <w:bottom w:val="none" w:sz="0" w:space="0" w:color="auto"/>
        <w:right w:val="none" w:sz="0" w:space="0" w:color="auto"/>
      </w:divBdr>
    </w:div>
    <w:div w:id="1472285357">
      <w:bodyDiv w:val="1"/>
      <w:marLeft w:val="0"/>
      <w:marRight w:val="0"/>
      <w:marTop w:val="0"/>
      <w:marBottom w:val="0"/>
      <w:divBdr>
        <w:top w:val="none" w:sz="0" w:space="0" w:color="auto"/>
        <w:left w:val="none" w:sz="0" w:space="0" w:color="auto"/>
        <w:bottom w:val="none" w:sz="0" w:space="0" w:color="auto"/>
        <w:right w:val="none" w:sz="0" w:space="0" w:color="auto"/>
      </w:divBdr>
    </w:div>
    <w:div w:id="1483501453">
      <w:bodyDiv w:val="1"/>
      <w:marLeft w:val="0"/>
      <w:marRight w:val="0"/>
      <w:marTop w:val="0"/>
      <w:marBottom w:val="0"/>
      <w:divBdr>
        <w:top w:val="none" w:sz="0" w:space="0" w:color="auto"/>
        <w:left w:val="none" w:sz="0" w:space="0" w:color="auto"/>
        <w:bottom w:val="none" w:sz="0" w:space="0" w:color="auto"/>
        <w:right w:val="none" w:sz="0" w:space="0" w:color="auto"/>
      </w:divBdr>
    </w:div>
    <w:div w:id="1544828285">
      <w:bodyDiv w:val="1"/>
      <w:marLeft w:val="0"/>
      <w:marRight w:val="0"/>
      <w:marTop w:val="0"/>
      <w:marBottom w:val="0"/>
      <w:divBdr>
        <w:top w:val="none" w:sz="0" w:space="0" w:color="auto"/>
        <w:left w:val="none" w:sz="0" w:space="0" w:color="auto"/>
        <w:bottom w:val="none" w:sz="0" w:space="0" w:color="auto"/>
        <w:right w:val="none" w:sz="0" w:space="0" w:color="auto"/>
      </w:divBdr>
    </w:div>
    <w:div w:id="1553346296">
      <w:bodyDiv w:val="1"/>
      <w:marLeft w:val="0"/>
      <w:marRight w:val="0"/>
      <w:marTop w:val="0"/>
      <w:marBottom w:val="0"/>
      <w:divBdr>
        <w:top w:val="none" w:sz="0" w:space="0" w:color="auto"/>
        <w:left w:val="none" w:sz="0" w:space="0" w:color="auto"/>
        <w:bottom w:val="none" w:sz="0" w:space="0" w:color="auto"/>
        <w:right w:val="none" w:sz="0" w:space="0" w:color="auto"/>
      </w:divBdr>
    </w:div>
    <w:div w:id="1576666418">
      <w:bodyDiv w:val="1"/>
      <w:marLeft w:val="0"/>
      <w:marRight w:val="0"/>
      <w:marTop w:val="0"/>
      <w:marBottom w:val="0"/>
      <w:divBdr>
        <w:top w:val="none" w:sz="0" w:space="0" w:color="auto"/>
        <w:left w:val="none" w:sz="0" w:space="0" w:color="auto"/>
        <w:bottom w:val="none" w:sz="0" w:space="0" w:color="auto"/>
        <w:right w:val="none" w:sz="0" w:space="0" w:color="auto"/>
      </w:divBdr>
    </w:div>
    <w:div w:id="1587417602">
      <w:bodyDiv w:val="1"/>
      <w:marLeft w:val="0"/>
      <w:marRight w:val="0"/>
      <w:marTop w:val="0"/>
      <w:marBottom w:val="0"/>
      <w:divBdr>
        <w:top w:val="none" w:sz="0" w:space="0" w:color="auto"/>
        <w:left w:val="none" w:sz="0" w:space="0" w:color="auto"/>
        <w:bottom w:val="none" w:sz="0" w:space="0" w:color="auto"/>
        <w:right w:val="none" w:sz="0" w:space="0" w:color="auto"/>
      </w:divBdr>
    </w:div>
    <w:div w:id="1602490809">
      <w:bodyDiv w:val="1"/>
      <w:marLeft w:val="0"/>
      <w:marRight w:val="0"/>
      <w:marTop w:val="0"/>
      <w:marBottom w:val="0"/>
      <w:divBdr>
        <w:top w:val="none" w:sz="0" w:space="0" w:color="auto"/>
        <w:left w:val="none" w:sz="0" w:space="0" w:color="auto"/>
        <w:bottom w:val="none" w:sz="0" w:space="0" w:color="auto"/>
        <w:right w:val="none" w:sz="0" w:space="0" w:color="auto"/>
      </w:divBdr>
    </w:div>
    <w:div w:id="1613321335">
      <w:bodyDiv w:val="1"/>
      <w:marLeft w:val="0"/>
      <w:marRight w:val="0"/>
      <w:marTop w:val="0"/>
      <w:marBottom w:val="0"/>
      <w:divBdr>
        <w:top w:val="none" w:sz="0" w:space="0" w:color="auto"/>
        <w:left w:val="none" w:sz="0" w:space="0" w:color="auto"/>
        <w:bottom w:val="none" w:sz="0" w:space="0" w:color="auto"/>
        <w:right w:val="none" w:sz="0" w:space="0" w:color="auto"/>
      </w:divBdr>
    </w:div>
    <w:div w:id="1628968917">
      <w:bodyDiv w:val="1"/>
      <w:marLeft w:val="0"/>
      <w:marRight w:val="0"/>
      <w:marTop w:val="0"/>
      <w:marBottom w:val="0"/>
      <w:divBdr>
        <w:top w:val="none" w:sz="0" w:space="0" w:color="auto"/>
        <w:left w:val="none" w:sz="0" w:space="0" w:color="auto"/>
        <w:bottom w:val="none" w:sz="0" w:space="0" w:color="auto"/>
        <w:right w:val="none" w:sz="0" w:space="0" w:color="auto"/>
      </w:divBdr>
    </w:div>
    <w:div w:id="1644042959">
      <w:bodyDiv w:val="1"/>
      <w:marLeft w:val="0"/>
      <w:marRight w:val="0"/>
      <w:marTop w:val="0"/>
      <w:marBottom w:val="0"/>
      <w:divBdr>
        <w:top w:val="none" w:sz="0" w:space="0" w:color="auto"/>
        <w:left w:val="none" w:sz="0" w:space="0" w:color="auto"/>
        <w:bottom w:val="none" w:sz="0" w:space="0" w:color="auto"/>
        <w:right w:val="none" w:sz="0" w:space="0" w:color="auto"/>
      </w:divBdr>
    </w:div>
    <w:div w:id="1675837473">
      <w:bodyDiv w:val="1"/>
      <w:marLeft w:val="0"/>
      <w:marRight w:val="0"/>
      <w:marTop w:val="0"/>
      <w:marBottom w:val="0"/>
      <w:divBdr>
        <w:top w:val="none" w:sz="0" w:space="0" w:color="auto"/>
        <w:left w:val="none" w:sz="0" w:space="0" w:color="auto"/>
        <w:bottom w:val="none" w:sz="0" w:space="0" w:color="auto"/>
        <w:right w:val="none" w:sz="0" w:space="0" w:color="auto"/>
      </w:divBdr>
    </w:div>
    <w:div w:id="1686860315">
      <w:bodyDiv w:val="1"/>
      <w:marLeft w:val="0"/>
      <w:marRight w:val="0"/>
      <w:marTop w:val="0"/>
      <w:marBottom w:val="0"/>
      <w:divBdr>
        <w:top w:val="none" w:sz="0" w:space="0" w:color="auto"/>
        <w:left w:val="none" w:sz="0" w:space="0" w:color="auto"/>
        <w:bottom w:val="none" w:sz="0" w:space="0" w:color="auto"/>
        <w:right w:val="none" w:sz="0" w:space="0" w:color="auto"/>
      </w:divBdr>
      <w:divsChild>
        <w:div w:id="1067068215">
          <w:marLeft w:val="0"/>
          <w:marRight w:val="0"/>
          <w:marTop w:val="0"/>
          <w:marBottom w:val="0"/>
          <w:divBdr>
            <w:top w:val="none" w:sz="0" w:space="0" w:color="auto"/>
            <w:left w:val="none" w:sz="0" w:space="0" w:color="auto"/>
            <w:bottom w:val="none" w:sz="0" w:space="0" w:color="auto"/>
            <w:right w:val="none" w:sz="0" w:space="0" w:color="auto"/>
          </w:divBdr>
        </w:div>
      </w:divsChild>
    </w:div>
    <w:div w:id="1757481117">
      <w:bodyDiv w:val="1"/>
      <w:marLeft w:val="0"/>
      <w:marRight w:val="0"/>
      <w:marTop w:val="0"/>
      <w:marBottom w:val="0"/>
      <w:divBdr>
        <w:top w:val="none" w:sz="0" w:space="0" w:color="auto"/>
        <w:left w:val="none" w:sz="0" w:space="0" w:color="auto"/>
        <w:bottom w:val="none" w:sz="0" w:space="0" w:color="auto"/>
        <w:right w:val="none" w:sz="0" w:space="0" w:color="auto"/>
      </w:divBdr>
    </w:div>
    <w:div w:id="1759668773">
      <w:bodyDiv w:val="1"/>
      <w:marLeft w:val="0"/>
      <w:marRight w:val="0"/>
      <w:marTop w:val="0"/>
      <w:marBottom w:val="0"/>
      <w:divBdr>
        <w:top w:val="none" w:sz="0" w:space="0" w:color="auto"/>
        <w:left w:val="none" w:sz="0" w:space="0" w:color="auto"/>
        <w:bottom w:val="none" w:sz="0" w:space="0" w:color="auto"/>
        <w:right w:val="none" w:sz="0" w:space="0" w:color="auto"/>
      </w:divBdr>
    </w:div>
    <w:div w:id="1771657353">
      <w:bodyDiv w:val="1"/>
      <w:marLeft w:val="0"/>
      <w:marRight w:val="0"/>
      <w:marTop w:val="0"/>
      <w:marBottom w:val="0"/>
      <w:divBdr>
        <w:top w:val="none" w:sz="0" w:space="0" w:color="auto"/>
        <w:left w:val="none" w:sz="0" w:space="0" w:color="auto"/>
        <w:bottom w:val="none" w:sz="0" w:space="0" w:color="auto"/>
        <w:right w:val="none" w:sz="0" w:space="0" w:color="auto"/>
      </w:divBdr>
    </w:div>
    <w:div w:id="1781222567">
      <w:bodyDiv w:val="1"/>
      <w:marLeft w:val="0"/>
      <w:marRight w:val="0"/>
      <w:marTop w:val="0"/>
      <w:marBottom w:val="0"/>
      <w:divBdr>
        <w:top w:val="none" w:sz="0" w:space="0" w:color="auto"/>
        <w:left w:val="none" w:sz="0" w:space="0" w:color="auto"/>
        <w:bottom w:val="none" w:sz="0" w:space="0" w:color="auto"/>
        <w:right w:val="none" w:sz="0" w:space="0" w:color="auto"/>
      </w:divBdr>
    </w:div>
    <w:div w:id="1783499108">
      <w:bodyDiv w:val="1"/>
      <w:marLeft w:val="0"/>
      <w:marRight w:val="0"/>
      <w:marTop w:val="0"/>
      <w:marBottom w:val="0"/>
      <w:divBdr>
        <w:top w:val="none" w:sz="0" w:space="0" w:color="auto"/>
        <w:left w:val="none" w:sz="0" w:space="0" w:color="auto"/>
        <w:bottom w:val="none" w:sz="0" w:space="0" w:color="auto"/>
        <w:right w:val="none" w:sz="0" w:space="0" w:color="auto"/>
      </w:divBdr>
    </w:div>
    <w:div w:id="1794900932">
      <w:bodyDiv w:val="1"/>
      <w:marLeft w:val="0"/>
      <w:marRight w:val="0"/>
      <w:marTop w:val="0"/>
      <w:marBottom w:val="0"/>
      <w:divBdr>
        <w:top w:val="none" w:sz="0" w:space="0" w:color="auto"/>
        <w:left w:val="none" w:sz="0" w:space="0" w:color="auto"/>
        <w:bottom w:val="none" w:sz="0" w:space="0" w:color="auto"/>
        <w:right w:val="none" w:sz="0" w:space="0" w:color="auto"/>
      </w:divBdr>
    </w:div>
    <w:div w:id="1832939932">
      <w:bodyDiv w:val="1"/>
      <w:marLeft w:val="0"/>
      <w:marRight w:val="0"/>
      <w:marTop w:val="0"/>
      <w:marBottom w:val="0"/>
      <w:divBdr>
        <w:top w:val="none" w:sz="0" w:space="0" w:color="auto"/>
        <w:left w:val="none" w:sz="0" w:space="0" w:color="auto"/>
        <w:bottom w:val="none" w:sz="0" w:space="0" w:color="auto"/>
        <w:right w:val="none" w:sz="0" w:space="0" w:color="auto"/>
      </w:divBdr>
    </w:div>
    <w:div w:id="1854218488">
      <w:bodyDiv w:val="1"/>
      <w:marLeft w:val="0"/>
      <w:marRight w:val="0"/>
      <w:marTop w:val="0"/>
      <w:marBottom w:val="0"/>
      <w:divBdr>
        <w:top w:val="none" w:sz="0" w:space="0" w:color="auto"/>
        <w:left w:val="none" w:sz="0" w:space="0" w:color="auto"/>
        <w:bottom w:val="none" w:sz="0" w:space="0" w:color="auto"/>
        <w:right w:val="none" w:sz="0" w:space="0" w:color="auto"/>
      </w:divBdr>
    </w:div>
    <w:div w:id="1874148103">
      <w:bodyDiv w:val="1"/>
      <w:marLeft w:val="0"/>
      <w:marRight w:val="0"/>
      <w:marTop w:val="0"/>
      <w:marBottom w:val="0"/>
      <w:divBdr>
        <w:top w:val="none" w:sz="0" w:space="0" w:color="auto"/>
        <w:left w:val="none" w:sz="0" w:space="0" w:color="auto"/>
        <w:bottom w:val="none" w:sz="0" w:space="0" w:color="auto"/>
        <w:right w:val="none" w:sz="0" w:space="0" w:color="auto"/>
      </w:divBdr>
    </w:div>
    <w:div w:id="1976249148">
      <w:bodyDiv w:val="1"/>
      <w:marLeft w:val="0"/>
      <w:marRight w:val="0"/>
      <w:marTop w:val="0"/>
      <w:marBottom w:val="0"/>
      <w:divBdr>
        <w:top w:val="none" w:sz="0" w:space="0" w:color="auto"/>
        <w:left w:val="none" w:sz="0" w:space="0" w:color="auto"/>
        <w:bottom w:val="none" w:sz="0" w:space="0" w:color="auto"/>
        <w:right w:val="none" w:sz="0" w:space="0" w:color="auto"/>
      </w:divBdr>
    </w:div>
    <w:div w:id="1977298947">
      <w:bodyDiv w:val="1"/>
      <w:marLeft w:val="0"/>
      <w:marRight w:val="0"/>
      <w:marTop w:val="0"/>
      <w:marBottom w:val="0"/>
      <w:divBdr>
        <w:top w:val="none" w:sz="0" w:space="0" w:color="auto"/>
        <w:left w:val="none" w:sz="0" w:space="0" w:color="auto"/>
        <w:bottom w:val="none" w:sz="0" w:space="0" w:color="auto"/>
        <w:right w:val="none" w:sz="0" w:space="0" w:color="auto"/>
      </w:divBdr>
    </w:div>
    <w:div w:id="1983997063">
      <w:bodyDiv w:val="1"/>
      <w:marLeft w:val="0"/>
      <w:marRight w:val="0"/>
      <w:marTop w:val="0"/>
      <w:marBottom w:val="0"/>
      <w:divBdr>
        <w:top w:val="none" w:sz="0" w:space="0" w:color="auto"/>
        <w:left w:val="none" w:sz="0" w:space="0" w:color="auto"/>
        <w:bottom w:val="none" w:sz="0" w:space="0" w:color="auto"/>
        <w:right w:val="none" w:sz="0" w:space="0" w:color="auto"/>
      </w:divBdr>
    </w:div>
    <w:div w:id="1993370008">
      <w:bodyDiv w:val="1"/>
      <w:marLeft w:val="0"/>
      <w:marRight w:val="0"/>
      <w:marTop w:val="0"/>
      <w:marBottom w:val="0"/>
      <w:divBdr>
        <w:top w:val="none" w:sz="0" w:space="0" w:color="auto"/>
        <w:left w:val="none" w:sz="0" w:space="0" w:color="auto"/>
        <w:bottom w:val="none" w:sz="0" w:space="0" w:color="auto"/>
        <w:right w:val="none" w:sz="0" w:space="0" w:color="auto"/>
      </w:divBdr>
    </w:div>
    <w:div w:id="2021080481">
      <w:bodyDiv w:val="1"/>
      <w:marLeft w:val="0"/>
      <w:marRight w:val="0"/>
      <w:marTop w:val="0"/>
      <w:marBottom w:val="0"/>
      <w:divBdr>
        <w:top w:val="none" w:sz="0" w:space="0" w:color="auto"/>
        <w:left w:val="none" w:sz="0" w:space="0" w:color="auto"/>
        <w:bottom w:val="none" w:sz="0" w:space="0" w:color="auto"/>
        <w:right w:val="none" w:sz="0" w:space="0" w:color="auto"/>
      </w:divBdr>
    </w:div>
    <w:div w:id="2023623101">
      <w:bodyDiv w:val="1"/>
      <w:marLeft w:val="0"/>
      <w:marRight w:val="0"/>
      <w:marTop w:val="0"/>
      <w:marBottom w:val="0"/>
      <w:divBdr>
        <w:top w:val="none" w:sz="0" w:space="0" w:color="auto"/>
        <w:left w:val="none" w:sz="0" w:space="0" w:color="auto"/>
        <w:bottom w:val="none" w:sz="0" w:space="0" w:color="auto"/>
        <w:right w:val="none" w:sz="0" w:space="0" w:color="auto"/>
      </w:divBdr>
    </w:div>
    <w:div w:id="2027907061">
      <w:bodyDiv w:val="1"/>
      <w:marLeft w:val="0"/>
      <w:marRight w:val="0"/>
      <w:marTop w:val="0"/>
      <w:marBottom w:val="0"/>
      <w:divBdr>
        <w:top w:val="none" w:sz="0" w:space="0" w:color="auto"/>
        <w:left w:val="none" w:sz="0" w:space="0" w:color="auto"/>
        <w:bottom w:val="none" w:sz="0" w:space="0" w:color="auto"/>
        <w:right w:val="none" w:sz="0" w:space="0" w:color="auto"/>
      </w:divBdr>
    </w:div>
    <w:div w:id="2047291874">
      <w:bodyDiv w:val="1"/>
      <w:marLeft w:val="0"/>
      <w:marRight w:val="0"/>
      <w:marTop w:val="0"/>
      <w:marBottom w:val="0"/>
      <w:divBdr>
        <w:top w:val="none" w:sz="0" w:space="0" w:color="auto"/>
        <w:left w:val="none" w:sz="0" w:space="0" w:color="auto"/>
        <w:bottom w:val="none" w:sz="0" w:space="0" w:color="auto"/>
        <w:right w:val="none" w:sz="0" w:space="0" w:color="auto"/>
      </w:divBdr>
    </w:div>
    <w:div w:id="2059085036">
      <w:bodyDiv w:val="1"/>
      <w:marLeft w:val="0"/>
      <w:marRight w:val="0"/>
      <w:marTop w:val="0"/>
      <w:marBottom w:val="0"/>
      <w:divBdr>
        <w:top w:val="none" w:sz="0" w:space="0" w:color="auto"/>
        <w:left w:val="none" w:sz="0" w:space="0" w:color="auto"/>
        <w:bottom w:val="none" w:sz="0" w:space="0" w:color="auto"/>
        <w:right w:val="none" w:sz="0" w:space="0" w:color="auto"/>
      </w:divBdr>
    </w:div>
    <w:div w:id="2071883750">
      <w:bodyDiv w:val="1"/>
      <w:marLeft w:val="0"/>
      <w:marRight w:val="0"/>
      <w:marTop w:val="0"/>
      <w:marBottom w:val="0"/>
      <w:divBdr>
        <w:top w:val="none" w:sz="0" w:space="0" w:color="auto"/>
        <w:left w:val="none" w:sz="0" w:space="0" w:color="auto"/>
        <w:bottom w:val="none" w:sz="0" w:space="0" w:color="auto"/>
        <w:right w:val="none" w:sz="0" w:space="0" w:color="auto"/>
      </w:divBdr>
    </w:div>
    <w:div w:id="2075466320">
      <w:bodyDiv w:val="1"/>
      <w:marLeft w:val="0"/>
      <w:marRight w:val="0"/>
      <w:marTop w:val="0"/>
      <w:marBottom w:val="0"/>
      <w:divBdr>
        <w:top w:val="none" w:sz="0" w:space="0" w:color="auto"/>
        <w:left w:val="none" w:sz="0" w:space="0" w:color="auto"/>
        <w:bottom w:val="none" w:sz="0" w:space="0" w:color="auto"/>
        <w:right w:val="none" w:sz="0" w:space="0" w:color="auto"/>
      </w:divBdr>
    </w:div>
    <w:div w:id="2076467588">
      <w:bodyDiv w:val="1"/>
      <w:marLeft w:val="0"/>
      <w:marRight w:val="0"/>
      <w:marTop w:val="0"/>
      <w:marBottom w:val="0"/>
      <w:divBdr>
        <w:top w:val="none" w:sz="0" w:space="0" w:color="auto"/>
        <w:left w:val="none" w:sz="0" w:space="0" w:color="auto"/>
        <w:bottom w:val="none" w:sz="0" w:space="0" w:color="auto"/>
        <w:right w:val="none" w:sz="0" w:space="0" w:color="auto"/>
      </w:divBdr>
    </w:div>
    <w:div w:id="208675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ss\Dropbox\Beck_frecologic\current%20projects\GP_pipeline\New%20Re-analysis%20Report\Report\G-P%20Reanalysis%20Report.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2015-09-22T00:00:00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3.xml><?xml version="1.0" encoding="utf-8"?>
<ds:datastoreItem xmlns:ds="http://schemas.openxmlformats.org/officeDocument/2006/customXml" ds:itemID="{61CCF414-E45A-4854-A53B-513F60343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G-P Reanalysis Report</Template>
  <TotalTime>249</TotalTime>
  <Pages>29</Pages>
  <Words>15819</Words>
  <Characters>90172</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 Frydenborg</dc:creator>
  <cp:keywords/>
  <dc:description/>
  <cp:lastModifiedBy>Weaver, Kenneth</cp:lastModifiedBy>
  <cp:revision>4</cp:revision>
  <cp:lastPrinted>2019-10-25T21:21:00Z</cp:lastPrinted>
  <dcterms:created xsi:type="dcterms:W3CDTF">2019-11-22T14:23:00Z</dcterms:created>
  <dcterms:modified xsi:type="dcterms:W3CDTF">2020-01-06T18:26:00Z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ZOTERO_PREF_1">
    <vt:lpwstr>&lt;data data-version="3" zotero-version="5.0.77"&gt;&lt;session id="XgdxQcM8"/&gt;&lt;style id="http://www.zotero.org/styles/cell" hasBibliography="1" bibliographyStyleHasBeenSet="1"/&gt;&lt;prefs&gt;&lt;pref name="fieldType" value="Field"/&gt;&lt;pref name="storeReferences" value="true</vt:lpwstr>
  </property>
  <property fmtid="{D5CDD505-2E9C-101B-9397-08002B2CF9AE}" pid="4" name="ZOTERO_PREF_2">
    <vt:lpwstr>"/&gt;&lt;pref name="automaticJournalAbbreviations" value="true"/&gt;&lt;/prefs&gt;&lt;/data&gt;</vt:lpwstr>
  </property>
</Properties>
</file>