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4081B4" w14:textId="77777777" w:rsidR="0004109C" w:rsidRPr="009A15C1" w:rsidRDefault="00980439" w:rsidP="009A15C1">
      <w:pPr>
        <w:jc w:val="center"/>
        <w:rPr>
          <w:b/>
          <w:sz w:val="24"/>
          <w:szCs w:val="24"/>
        </w:rPr>
      </w:pPr>
      <w:bookmarkStart w:id="0" w:name="_GoBack"/>
      <w:bookmarkEnd w:id="0"/>
      <w:r w:rsidRPr="009A15C1">
        <w:rPr>
          <w:b/>
          <w:sz w:val="24"/>
          <w:szCs w:val="24"/>
        </w:rPr>
        <w:t xml:space="preserve">Comments to </w:t>
      </w:r>
      <w:r w:rsidR="004954F2" w:rsidRPr="009A15C1">
        <w:rPr>
          <w:b/>
          <w:sz w:val="24"/>
          <w:szCs w:val="24"/>
        </w:rPr>
        <w:t>Proposed Changes to Water Quality Standards under the 2019 Triennial Review</w:t>
      </w:r>
    </w:p>
    <w:p w14:paraId="60BCBA45" w14:textId="77777777" w:rsidR="004954F2" w:rsidRPr="009A15C1" w:rsidRDefault="004954F2" w:rsidP="009A15C1">
      <w:pPr>
        <w:jc w:val="center"/>
        <w:rPr>
          <w:b/>
          <w:sz w:val="24"/>
          <w:szCs w:val="24"/>
        </w:rPr>
      </w:pPr>
      <w:r w:rsidRPr="009A15C1">
        <w:rPr>
          <w:b/>
          <w:sz w:val="24"/>
          <w:szCs w:val="24"/>
        </w:rPr>
        <w:t>Type II Site-Specific Alternative Criteria for Dissolved Oxygen (DO) for Stream in the St. Johns River Basin</w:t>
      </w:r>
    </w:p>
    <w:p w14:paraId="4342C7C7" w14:textId="44C08CC2" w:rsidR="004954F2" w:rsidRDefault="00653B3B">
      <w:r>
        <w:t xml:space="preserve">Table 1.  </w:t>
      </w:r>
      <w:r w:rsidR="00BD49ED">
        <w:t xml:space="preserve">Streams in the St. Johns River Basin Proposed for Type II </w:t>
      </w:r>
      <w:r w:rsidR="002A13C7">
        <w:t>Site-specific alternative DO criteria</w:t>
      </w:r>
      <w:r w:rsidR="006C3236">
        <w:t xml:space="preserve"> (</w:t>
      </w:r>
      <w:r w:rsidR="00BD49ED" w:rsidRPr="00BD49ED">
        <w:t xml:space="preserve">Category 4c </w:t>
      </w:r>
      <w:r w:rsidR="006C3236">
        <w:t>- I</w:t>
      </w:r>
      <w:r w:rsidR="00BD49ED" w:rsidRPr="00BD49ED">
        <w:t>mpaired for one or more criteria or designated uses, but do not require TMDL development because the impairments are not caused by a pollutant</w:t>
      </w:r>
      <w:r w:rsidR="006C3236">
        <w:t xml:space="preserve">):  </w:t>
      </w:r>
      <w:r w:rsidR="00435412">
        <w:t xml:space="preserve">  </w:t>
      </w:r>
      <w:r w:rsidR="004954F2">
        <w:t xml:space="preserve">  </w:t>
      </w:r>
    </w:p>
    <w:tbl>
      <w:tblPr>
        <w:tblStyle w:val="TableGrid"/>
        <w:tblW w:w="0" w:type="auto"/>
        <w:tblLook w:val="04A0" w:firstRow="1" w:lastRow="0" w:firstColumn="1" w:lastColumn="0" w:noHBand="0" w:noVBand="1"/>
      </w:tblPr>
      <w:tblGrid>
        <w:gridCol w:w="1975"/>
        <w:gridCol w:w="2520"/>
        <w:gridCol w:w="1440"/>
        <w:gridCol w:w="1350"/>
        <w:gridCol w:w="1440"/>
      </w:tblGrid>
      <w:tr w:rsidR="00DE46EF" w14:paraId="30CC592E" w14:textId="77777777" w:rsidTr="00435412">
        <w:tc>
          <w:tcPr>
            <w:tcW w:w="1975" w:type="dxa"/>
          </w:tcPr>
          <w:p w14:paraId="73F6E78B" w14:textId="77777777" w:rsidR="00DE46EF" w:rsidRPr="00117868" w:rsidRDefault="00DE46EF">
            <w:pPr>
              <w:rPr>
                <w:b/>
              </w:rPr>
            </w:pPr>
            <w:r w:rsidRPr="00117868">
              <w:rPr>
                <w:b/>
              </w:rPr>
              <w:t>Stream</w:t>
            </w:r>
          </w:p>
        </w:tc>
        <w:tc>
          <w:tcPr>
            <w:tcW w:w="2520" w:type="dxa"/>
          </w:tcPr>
          <w:p w14:paraId="621DBFEC" w14:textId="77777777" w:rsidR="00435412" w:rsidRDefault="00DE46EF" w:rsidP="00142503">
            <w:pPr>
              <w:jc w:val="center"/>
              <w:rPr>
                <w:b/>
              </w:rPr>
            </w:pPr>
            <w:r w:rsidRPr="00117868">
              <w:rPr>
                <w:b/>
              </w:rPr>
              <w:t>Current Minimum</w:t>
            </w:r>
            <w:r w:rsidR="002A13C7">
              <w:rPr>
                <w:b/>
              </w:rPr>
              <w:t xml:space="preserve"> </w:t>
            </w:r>
            <w:r w:rsidR="00435412">
              <w:rPr>
                <w:b/>
              </w:rPr>
              <w:t>DO Saturation</w:t>
            </w:r>
          </w:p>
          <w:p w14:paraId="2A58A776" w14:textId="77777777" w:rsidR="00DE46EF" w:rsidRPr="00117868" w:rsidRDefault="00435412" w:rsidP="00142503">
            <w:pPr>
              <w:jc w:val="center"/>
              <w:rPr>
                <w:b/>
              </w:rPr>
            </w:pPr>
            <w:r>
              <w:rPr>
                <w:b/>
              </w:rPr>
              <w:t>To B</w:t>
            </w:r>
            <w:r w:rsidR="002A13C7">
              <w:rPr>
                <w:b/>
              </w:rPr>
              <w:t>e</w:t>
            </w:r>
            <w:r>
              <w:rPr>
                <w:b/>
              </w:rPr>
              <w:t xml:space="preserve"> Met or Exceeded at Least 90% of the Time</w:t>
            </w:r>
          </w:p>
        </w:tc>
        <w:tc>
          <w:tcPr>
            <w:tcW w:w="1440" w:type="dxa"/>
          </w:tcPr>
          <w:p w14:paraId="261D34D5" w14:textId="77777777" w:rsidR="00DE46EF" w:rsidRPr="00117868" w:rsidRDefault="00DE46EF" w:rsidP="00142503">
            <w:pPr>
              <w:jc w:val="center"/>
              <w:rPr>
                <w:b/>
              </w:rPr>
            </w:pPr>
            <w:r w:rsidRPr="00117868">
              <w:rPr>
                <w:b/>
              </w:rPr>
              <w:t>Proposed New Minimum</w:t>
            </w:r>
          </w:p>
        </w:tc>
        <w:tc>
          <w:tcPr>
            <w:tcW w:w="1350" w:type="dxa"/>
          </w:tcPr>
          <w:p w14:paraId="4980967C" w14:textId="77777777" w:rsidR="00DE46EF" w:rsidRPr="00117868" w:rsidRDefault="00435412" w:rsidP="00142503">
            <w:pPr>
              <w:jc w:val="center"/>
              <w:rPr>
                <w:b/>
              </w:rPr>
            </w:pPr>
            <w:r>
              <w:rPr>
                <w:b/>
              </w:rPr>
              <w:t>Equivalent</w:t>
            </w:r>
            <w:r w:rsidR="00DE46EF" w:rsidRPr="00117868">
              <w:rPr>
                <w:b/>
              </w:rPr>
              <w:t xml:space="preserve"> DO</w:t>
            </w:r>
            <w:r>
              <w:rPr>
                <w:b/>
              </w:rPr>
              <w:t>,</w:t>
            </w:r>
            <w:r w:rsidR="00DE46EF" w:rsidRPr="00117868">
              <w:rPr>
                <w:b/>
              </w:rPr>
              <w:t xml:space="preserve"> mg/L at 28</w:t>
            </w:r>
            <w:r w:rsidR="00DE46EF" w:rsidRPr="00117868">
              <w:rPr>
                <w:rFonts w:ascii="Times New Roman" w:hAnsi="Times New Roman" w:cs="Times New Roman"/>
                <w:b/>
              </w:rPr>
              <w:t>°</w:t>
            </w:r>
          </w:p>
        </w:tc>
        <w:tc>
          <w:tcPr>
            <w:tcW w:w="1440" w:type="dxa"/>
          </w:tcPr>
          <w:p w14:paraId="6519FB58" w14:textId="77777777" w:rsidR="00DE46EF" w:rsidRPr="00117868" w:rsidRDefault="00DE46EF" w:rsidP="00142503">
            <w:pPr>
              <w:jc w:val="center"/>
              <w:rPr>
                <w:b/>
              </w:rPr>
            </w:pPr>
            <w:r w:rsidRPr="00117868">
              <w:rPr>
                <w:b/>
              </w:rPr>
              <w:t>Revised DO</w:t>
            </w:r>
            <w:r w:rsidR="00435412">
              <w:rPr>
                <w:b/>
              </w:rPr>
              <w:t>,</w:t>
            </w:r>
            <w:r w:rsidRPr="00117868">
              <w:rPr>
                <w:b/>
              </w:rPr>
              <w:t xml:space="preserve"> mg/L at 28</w:t>
            </w:r>
            <w:r w:rsidRPr="00117868">
              <w:rPr>
                <w:rFonts w:ascii="Times New Roman" w:hAnsi="Times New Roman" w:cs="Times New Roman"/>
                <w:b/>
              </w:rPr>
              <w:t>°</w:t>
            </w:r>
            <w:r w:rsidRPr="00117868">
              <w:rPr>
                <w:b/>
              </w:rPr>
              <w:t>C</w:t>
            </w:r>
          </w:p>
        </w:tc>
      </w:tr>
      <w:tr w:rsidR="00DE46EF" w14:paraId="087EE70F" w14:textId="77777777" w:rsidTr="00435412">
        <w:tc>
          <w:tcPr>
            <w:tcW w:w="1975" w:type="dxa"/>
          </w:tcPr>
          <w:p w14:paraId="2A85F701" w14:textId="77777777" w:rsidR="00DE46EF" w:rsidRDefault="00DE46EF">
            <w:r>
              <w:t>Peters Creek</w:t>
            </w:r>
          </w:p>
        </w:tc>
        <w:tc>
          <w:tcPr>
            <w:tcW w:w="2520" w:type="dxa"/>
          </w:tcPr>
          <w:p w14:paraId="7061AB2A" w14:textId="77777777" w:rsidR="00DE46EF" w:rsidRDefault="00DE46EF" w:rsidP="00142503">
            <w:pPr>
              <w:jc w:val="center"/>
            </w:pPr>
            <w:r>
              <w:t>34%</w:t>
            </w:r>
          </w:p>
        </w:tc>
        <w:tc>
          <w:tcPr>
            <w:tcW w:w="1440" w:type="dxa"/>
          </w:tcPr>
          <w:p w14:paraId="6DF0673C" w14:textId="77777777" w:rsidR="00DE46EF" w:rsidRDefault="00DE46EF" w:rsidP="00142503">
            <w:pPr>
              <w:jc w:val="center"/>
            </w:pPr>
            <w:r>
              <w:t>27.1%</w:t>
            </w:r>
          </w:p>
        </w:tc>
        <w:tc>
          <w:tcPr>
            <w:tcW w:w="1350" w:type="dxa"/>
          </w:tcPr>
          <w:p w14:paraId="3AB5681A" w14:textId="77777777" w:rsidR="00DE46EF" w:rsidRDefault="00DE46EF" w:rsidP="00142503">
            <w:pPr>
              <w:jc w:val="center"/>
            </w:pPr>
            <w:r>
              <w:t>2.65</w:t>
            </w:r>
          </w:p>
        </w:tc>
        <w:tc>
          <w:tcPr>
            <w:tcW w:w="1440" w:type="dxa"/>
          </w:tcPr>
          <w:p w14:paraId="5C67784C" w14:textId="77777777" w:rsidR="00DE46EF" w:rsidRDefault="00DE46EF" w:rsidP="00142503">
            <w:pPr>
              <w:jc w:val="center"/>
            </w:pPr>
            <w:r>
              <w:t>2.12</w:t>
            </w:r>
          </w:p>
        </w:tc>
      </w:tr>
      <w:tr w:rsidR="00DE46EF" w14:paraId="12747485" w14:textId="77777777" w:rsidTr="00435412">
        <w:tc>
          <w:tcPr>
            <w:tcW w:w="1975" w:type="dxa"/>
          </w:tcPr>
          <w:p w14:paraId="0772F010" w14:textId="77777777" w:rsidR="00DE46EF" w:rsidRDefault="00DE46EF">
            <w:r>
              <w:t>Eaton Creek</w:t>
            </w:r>
          </w:p>
        </w:tc>
        <w:tc>
          <w:tcPr>
            <w:tcW w:w="2520" w:type="dxa"/>
          </w:tcPr>
          <w:p w14:paraId="5F703F79" w14:textId="77777777" w:rsidR="00DE46EF" w:rsidRDefault="00DE46EF" w:rsidP="00142503">
            <w:pPr>
              <w:jc w:val="center"/>
            </w:pPr>
            <w:r>
              <w:t>38%</w:t>
            </w:r>
          </w:p>
        </w:tc>
        <w:tc>
          <w:tcPr>
            <w:tcW w:w="1440" w:type="dxa"/>
          </w:tcPr>
          <w:p w14:paraId="703FDE7E" w14:textId="77777777" w:rsidR="00DE46EF" w:rsidRDefault="00DE46EF" w:rsidP="00142503">
            <w:pPr>
              <w:jc w:val="center"/>
            </w:pPr>
            <w:r>
              <w:t>29.4%</w:t>
            </w:r>
          </w:p>
        </w:tc>
        <w:tc>
          <w:tcPr>
            <w:tcW w:w="1350" w:type="dxa"/>
          </w:tcPr>
          <w:p w14:paraId="5D478A4C" w14:textId="77777777" w:rsidR="00DE46EF" w:rsidRDefault="00DE46EF" w:rsidP="00DE46EF">
            <w:pPr>
              <w:jc w:val="center"/>
            </w:pPr>
            <w:r>
              <w:t>2.97</w:t>
            </w:r>
          </w:p>
        </w:tc>
        <w:tc>
          <w:tcPr>
            <w:tcW w:w="1440" w:type="dxa"/>
          </w:tcPr>
          <w:p w14:paraId="1C916FA3" w14:textId="77777777" w:rsidR="00DE46EF" w:rsidRDefault="00DE46EF" w:rsidP="00142503">
            <w:pPr>
              <w:jc w:val="center"/>
            </w:pPr>
            <w:r>
              <w:t>2.29</w:t>
            </w:r>
          </w:p>
        </w:tc>
      </w:tr>
      <w:tr w:rsidR="00DE46EF" w14:paraId="081125FA" w14:textId="77777777" w:rsidTr="00435412">
        <w:tc>
          <w:tcPr>
            <w:tcW w:w="1975" w:type="dxa"/>
          </w:tcPr>
          <w:p w14:paraId="18A6BD8E" w14:textId="77777777" w:rsidR="00DE46EF" w:rsidRDefault="00DE46EF">
            <w:r>
              <w:t>Blackwater Creek</w:t>
            </w:r>
          </w:p>
        </w:tc>
        <w:tc>
          <w:tcPr>
            <w:tcW w:w="2520" w:type="dxa"/>
          </w:tcPr>
          <w:p w14:paraId="4FC29CA5" w14:textId="77777777" w:rsidR="00DE46EF" w:rsidRDefault="00DE46EF" w:rsidP="00142503">
            <w:pPr>
              <w:jc w:val="center"/>
            </w:pPr>
            <w:r>
              <w:t>38%</w:t>
            </w:r>
          </w:p>
        </w:tc>
        <w:tc>
          <w:tcPr>
            <w:tcW w:w="1440" w:type="dxa"/>
          </w:tcPr>
          <w:p w14:paraId="78003849" w14:textId="77777777" w:rsidR="00DE46EF" w:rsidRDefault="00DE46EF" w:rsidP="00142503">
            <w:pPr>
              <w:jc w:val="center"/>
            </w:pPr>
            <w:r>
              <w:t>28.3%</w:t>
            </w:r>
          </w:p>
        </w:tc>
        <w:tc>
          <w:tcPr>
            <w:tcW w:w="1350" w:type="dxa"/>
          </w:tcPr>
          <w:p w14:paraId="3B7C3A43" w14:textId="77777777" w:rsidR="00DE46EF" w:rsidRDefault="00DE46EF" w:rsidP="00142503">
            <w:pPr>
              <w:jc w:val="center"/>
            </w:pPr>
            <w:r>
              <w:t>2.97</w:t>
            </w:r>
          </w:p>
        </w:tc>
        <w:tc>
          <w:tcPr>
            <w:tcW w:w="1440" w:type="dxa"/>
          </w:tcPr>
          <w:p w14:paraId="27D3EBFE" w14:textId="77777777" w:rsidR="00DE46EF" w:rsidRDefault="00DE46EF" w:rsidP="00142503">
            <w:pPr>
              <w:jc w:val="center"/>
            </w:pPr>
            <w:r>
              <w:t>2.21</w:t>
            </w:r>
          </w:p>
        </w:tc>
      </w:tr>
      <w:tr w:rsidR="00DE46EF" w14:paraId="1BF7B3B7" w14:textId="77777777" w:rsidTr="00435412">
        <w:tc>
          <w:tcPr>
            <w:tcW w:w="1975" w:type="dxa"/>
          </w:tcPr>
          <w:p w14:paraId="14EA8BDD" w14:textId="77777777" w:rsidR="00DE46EF" w:rsidRDefault="00DE46EF">
            <w:r>
              <w:t>Taylor Creek</w:t>
            </w:r>
          </w:p>
        </w:tc>
        <w:tc>
          <w:tcPr>
            <w:tcW w:w="2520" w:type="dxa"/>
          </w:tcPr>
          <w:p w14:paraId="05045EED" w14:textId="77777777" w:rsidR="00DE46EF" w:rsidRDefault="00DE46EF" w:rsidP="00142503">
            <w:pPr>
              <w:jc w:val="center"/>
            </w:pPr>
            <w:r>
              <w:t>38%</w:t>
            </w:r>
          </w:p>
        </w:tc>
        <w:tc>
          <w:tcPr>
            <w:tcW w:w="1440" w:type="dxa"/>
          </w:tcPr>
          <w:p w14:paraId="13BA6212" w14:textId="77777777" w:rsidR="00DE46EF" w:rsidRDefault="00DE46EF" w:rsidP="00142503">
            <w:pPr>
              <w:jc w:val="center"/>
            </w:pPr>
            <w:r>
              <w:t>33.2%</w:t>
            </w:r>
          </w:p>
        </w:tc>
        <w:tc>
          <w:tcPr>
            <w:tcW w:w="1350" w:type="dxa"/>
          </w:tcPr>
          <w:p w14:paraId="70511A50" w14:textId="77777777" w:rsidR="00DE46EF" w:rsidRDefault="00DE46EF" w:rsidP="00142503">
            <w:pPr>
              <w:jc w:val="center"/>
            </w:pPr>
            <w:r>
              <w:t>2.97</w:t>
            </w:r>
          </w:p>
        </w:tc>
        <w:tc>
          <w:tcPr>
            <w:tcW w:w="1440" w:type="dxa"/>
          </w:tcPr>
          <w:p w14:paraId="726B5DBB" w14:textId="77777777" w:rsidR="00DE46EF" w:rsidRDefault="00DE46EF" w:rsidP="00142503">
            <w:pPr>
              <w:jc w:val="center"/>
            </w:pPr>
            <w:r>
              <w:t>2.59</w:t>
            </w:r>
          </w:p>
        </w:tc>
      </w:tr>
    </w:tbl>
    <w:p w14:paraId="08B632CC" w14:textId="77777777" w:rsidR="004954F2" w:rsidRDefault="004954F2"/>
    <w:p w14:paraId="50C7823E" w14:textId="77777777" w:rsidR="00711B15" w:rsidRDefault="00711B15">
      <w:pPr>
        <w:rPr>
          <w:b/>
        </w:rPr>
      </w:pPr>
    </w:p>
    <w:p w14:paraId="10DC5EF7" w14:textId="29C27827" w:rsidR="00A66E25" w:rsidRPr="006C3236" w:rsidRDefault="006C3236">
      <w:pPr>
        <w:rPr>
          <w:b/>
          <w:u w:val="single"/>
        </w:rPr>
      </w:pPr>
      <w:r w:rsidRPr="006C3236">
        <w:rPr>
          <w:b/>
          <w:u w:val="single"/>
        </w:rPr>
        <w:t>SJRWMD c</w:t>
      </w:r>
      <w:r w:rsidR="00A66E25" w:rsidRPr="006C3236">
        <w:rPr>
          <w:b/>
          <w:u w:val="single"/>
        </w:rPr>
        <w:t>omments</w:t>
      </w:r>
      <w:r w:rsidRPr="006C3236">
        <w:rPr>
          <w:b/>
          <w:u w:val="single"/>
        </w:rPr>
        <w:t xml:space="preserve"> and supporting data analysis </w:t>
      </w:r>
      <w:r w:rsidR="00A66E25" w:rsidRPr="006C3236">
        <w:rPr>
          <w:b/>
          <w:u w:val="single"/>
        </w:rPr>
        <w:t xml:space="preserve">to the proposed alternative DO criteria.  </w:t>
      </w:r>
    </w:p>
    <w:p w14:paraId="7133E66B" w14:textId="77777777" w:rsidR="00A66E25" w:rsidRDefault="00A66E25">
      <w:pPr>
        <w:rPr>
          <w:b/>
        </w:rPr>
      </w:pPr>
    </w:p>
    <w:p w14:paraId="19FC7261" w14:textId="45B79CDC" w:rsidR="006C3236" w:rsidRDefault="00A66E25">
      <w:pPr>
        <w:rPr>
          <w:b/>
        </w:rPr>
      </w:pPr>
      <w:r>
        <w:rPr>
          <w:b/>
        </w:rPr>
        <w:t>Peters Creek</w:t>
      </w:r>
    </w:p>
    <w:p w14:paraId="48905C8D" w14:textId="5180762A" w:rsidR="006C3236" w:rsidRPr="008F6158" w:rsidRDefault="006C3236" w:rsidP="006C3236">
      <w:r>
        <w:rPr>
          <w:b/>
        </w:rPr>
        <w:t xml:space="preserve">Comment:  </w:t>
      </w:r>
      <w:r>
        <w:t xml:space="preserve">SCIs indicating designated use achievement were performed in upstream segments of Peters </w:t>
      </w:r>
      <w:r w:rsidR="009047F0">
        <w:t>C</w:t>
      </w:r>
      <w:r>
        <w:t>reek that support the current criterion.  Criterion failure is only exhibited in the most downstream site, below the head of tide, in a reach that has been impacted by documented dairy runoff and high BOD loads.  Peters Creek is also one of the few known habitats of the rare endemic Black Creek Crayfish,</w:t>
      </w:r>
      <w:r w:rsidR="00A477ED">
        <w:t xml:space="preserve"> </w:t>
      </w:r>
      <w:proofErr w:type="spellStart"/>
      <w:r w:rsidR="00A477ED" w:rsidRPr="00893800">
        <w:rPr>
          <w:i/>
        </w:rPr>
        <w:t>Procambar</w:t>
      </w:r>
      <w:r w:rsidR="00A477ED">
        <w:rPr>
          <w:i/>
        </w:rPr>
        <w:t>u</w:t>
      </w:r>
      <w:r w:rsidR="00A477ED" w:rsidRPr="00893800">
        <w:rPr>
          <w:i/>
        </w:rPr>
        <w:t>s</w:t>
      </w:r>
      <w:proofErr w:type="spellEnd"/>
      <w:r w:rsidR="00A477ED" w:rsidRPr="00893800">
        <w:rPr>
          <w:i/>
        </w:rPr>
        <w:t xml:space="preserve"> </w:t>
      </w:r>
      <w:proofErr w:type="spellStart"/>
      <w:r w:rsidR="00A477ED" w:rsidRPr="00893800">
        <w:rPr>
          <w:i/>
        </w:rPr>
        <w:t>pictus</w:t>
      </w:r>
      <w:proofErr w:type="spellEnd"/>
      <w:r w:rsidR="00A477ED">
        <w:rPr>
          <w:i/>
        </w:rPr>
        <w:t>.</w:t>
      </w:r>
      <w:r>
        <w:t xml:space="preserve"> </w:t>
      </w:r>
      <w:r w:rsidR="00A477ED">
        <w:t xml:space="preserve"> Given these factors, w</w:t>
      </w:r>
      <w:r w:rsidR="00AA1F8B">
        <w:t>e</w:t>
      </w:r>
      <w:r>
        <w:t xml:space="preserve"> would </w:t>
      </w:r>
      <w:r w:rsidR="00AA1F8B">
        <w:t>comment</w:t>
      </w:r>
      <w:r>
        <w:t xml:space="preserve"> that the FDEP delay the establishment of the lower SSAC for the entire length of Peters Creek, until SCIs confirming biological integrity for the below head of tide portion can be performed.   </w:t>
      </w:r>
    </w:p>
    <w:p w14:paraId="48C8AD98" w14:textId="645BB862" w:rsidR="00C96A9F" w:rsidRDefault="00A477ED">
      <w:r>
        <w:rPr>
          <w:b/>
        </w:rPr>
        <w:t xml:space="preserve">Analysis </w:t>
      </w:r>
      <w:r w:rsidR="005A1BB4">
        <w:rPr>
          <w:b/>
        </w:rPr>
        <w:t>Results</w:t>
      </w:r>
      <w:r>
        <w:rPr>
          <w:b/>
        </w:rPr>
        <w:t xml:space="preserve">:   </w:t>
      </w:r>
      <w:r w:rsidR="008F6158" w:rsidRPr="008F6158">
        <w:t>SJRWMD</w:t>
      </w:r>
      <w:r w:rsidR="008F6158">
        <w:t xml:space="preserve"> </w:t>
      </w:r>
      <w:r w:rsidR="00AA1F8B">
        <w:t>monitored two</w:t>
      </w:r>
      <w:r w:rsidR="008F6158">
        <w:t xml:space="preserve"> sites in Peters Creek that </w:t>
      </w:r>
      <w:r w:rsidR="00653B3B" w:rsidRPr="008F6158">
        <w:t>are included in the FDEP SSAC evaluation (Table 2).  The upstream site met the current DO criteri</w:t>
      </w:r>
      <w:r>
        <w:t>on</w:t>
      </w:r>
      <w:r w:rsidR="004A0083" w:rsidRPr="008F6158">
        <w:t xml:space="preserve"> in all </w:t>
      </w:r>
      <w:r>
        <w:t>complete calendar</w:t>
      </w:r>
      <w:r w:rsidR="008F6158">
        <w:t xml:space="preserve"> </w:t>
      </w:r>
      <w:r w:rsidR="004A0083" w:rsidRPr="008F6158">
        <w:t>years sampled from 2006-1</w:t>
      </w:r>
      <w:r w:rsidR="008F6158">
        <w:t>0</w:t>
      </w:r>
      <w:r w:rsidR="004A0083" w:rsidRPr="008F6158">
        <w:t xml:space="preserve">, and </w:t>
      </w:r>
      <w:r>
        <w:t xml:space="preserve">exhibited a well-aerated oxygen regime, with </w:t>
      </w:r>
      <w:r w:rsidR="004A0083" w:rsidRPr="008F6158">
        <w:t>an overall 10</w:t>
      </w:r>
      <w:r w:rsidR="004A0083" w:rsidRPr="008F6158">
        <w:rPr>
          <w:vertAlign w:val="superscript"/>
        </w:rPr>
        <w:t>th</w:t>
      </w:r>
      <w:r w:rsidR="004A0083" w:rsidRPr="008F6158">
        <w:t xml:space="preserve"> percentile DO saturation of </w:t>
      </w:r>
      <w:r w:rsidR="008F6158" w:rsidRPr="008F6158">
        <w:t>60% (Table 3</w:t>
      </w:r>
      <w:r w:rsidR="00A51197">
        <w:t>; Figure 1</w:t>
      </w:r>
      <w:r w:rsidR="008F6158" w:rsidRPr="008F6158">
        <w:t>)</w:t>
      </w:r>
      <w:r w:rsidR="00653B3B" w:rsidRPr="008F6158">
        <w:t xml:space="preserve">.  The downstream site, which is below the head of tide, </w:t>
      </w:r>
      <w:r w:rsidR="008F6158" w:rsidRPr="008F6158">
        <w:t xml:space="preserve">has an annual average criteria </w:t>
      </w:r>
      <w:proofErr w:type="spellStart"/>
      <w:r>
        <w:t>subcedence</w:t>
      </w:r>
      <w:proofErr w:type="spellEnd"/>
      <w:r w:rsidR="008F6158" w:rsidRPr="008F6158">
        <w:t xml:space="preserve"> rate of 36.2 percent, and the overall 10</w:t>
      </w:r>
      <w:r w:rsidR="008F6158" w:rsidRPr="008F6158">
        <w:rPr>
          <w:vertAlign w:val="superscript"/>
        </w:rPr>
        <w:t>th</w:t>
      </w:r>
      <w:r w:rsidR="008F6158" w:rsidRPr="008F6158">
        <w:t xml:space="preserve"> percentile DO % saturation of 14%, so clearly does not meet the current criteri</w:t>
      </w:r>
      <w:r>
        <w:t>on</w:t>
      </w:r>
      <w:r w:rsidR="008F6158" w:rsidRPr="008F6158">
        <w:t xml:space="preserve">.  </w:t>
      </w:r>
    </w:p>
    <w:p w14:paraId="79FED286" w14:textId="4314BF53" w:rsidR="00C96A9F" w:rsidRDefault="008F6158">
      <w:r>
        <w:t xml:space="preserve">SCIs supporting designated use were performed at the former SJRWMD upstream site, and at a site downstream </w:t>
      </w:r>
      <w:r w:rsidR="00C96A9F">
        <w:t>at County Road 315</w:t>
      </w:r>
      <w:r w:rsidR="00E9152D">
        <w:t xml:space="preserve"> (</w:t>
      </w:r>
      <w:r w:rsidR="00E9152D" w:rsidRPr="00E9152D">
        <w:t>21FLA 20030388</w:t>
      </w:r>
      <w:r w:rsidR="00E9152D">
        <w:t>)</w:t>
      </w:r>
      <w:r>
        <w:t>.</w:t>
      </w:r>
      <w:r w:rsidR="00C96A9F">
        <w:t xml:space="preserve">  For the 18 FDEP samples collected at CR 315 from 2007-18, the mean DO % saturation was 88.1%, with the minimum recorded a value of 65.8%, </w:t>
      </w:r>
      <w:r>
        <w:t xml:space="preserve">also </w:t>
      </w:r>
      <w:r w:rsidR="00C96A9F">
        <w:t>achieving the</w:t>
      </w:r>
      <w:r>
        <w:t xml:space="preserve"> DO criteri</w:t>
      </w:r>
      <w:r w:rsidR="00C96A9F">
        <w:t xml:space="preserve">on.  </w:t>
      </w:r>
      <w:r>
        <w:t xml:space="preserve"> </w:t>
      </w:r>
      <w:r w:rsidR="007334C0">
        <w:t xml:space="preserve">The below head of tide site that fails the DO criteria has historically been affected by dairy </w:t>
      </w:r>
      <w:proofErr w:type="gramStart"/>
      <w:r w:rsidR="007334C0">
        <w:t>runoff, and</w:t>
      </w:r>
      <w:proofErr w:type="gramEnd"/>
      <w:r w:rsidR="007334C0">
        <w:t xml:space="preserve"> is known to have accumulations of dairy manure and pasture solids in the sediments, which presumably exert a high sediment oxygen demand.  </w:t>
      </w:r>
    </w:p>
    <w:p w14:paraId="755E5E85" w14:textId="4FB4CAF2" w:rsidR="007334C0" w:rsidRDefault="007334C0">
      <w:r>
        <w:lastRenderedPageBreak/>
        <w:t>Peters Creek is one of the few know locations supporting the rare endemic Black Creek Crayfish</w:t>
      </w:r>
      <w:r w:rsidR="004755F6">
        <w:t xml:space="preserve">, </w:t>
      </w:r>
      <w:proofErr w:type="spellStart"/>
      <w:r w:rsidR="004755F6" w:rsidRPr="00893800">
        <w:rPr>
          <w:i/>
        </w:rPr>
        <w:t>Procambar</w:t>
      </w:r>
      <w:r w:rsidR="004755F6">
        <w:rPr>
          <w:i/>
        </w:rPr>
        <w:t>u</w:t>
      </w:r>
      <w:r w:rsidR="004755F6" w:rsidRPr="00893800">
        <w:rPr>
          <w:i/>
        </w:rPr>
        <w:t>s</w:t>
      </w:r>
      <w:proofErr w:type="spellEnd"/>
      <w:r w:rsidR="004755F6" w:rsidRPr="00893800">
        <w:rPr>
          <w:i/>
        </w:rPr>
        <w:t xml:space="preserve"> </w:t>
      </w:r>
      <w:proofErr w:type="spellStart"/>
      <w:r w:rsidR="004755F6" w:rsidRPr="00893800">
        <w:rPr>
          <w:i/>
        </w:rPr>
        <w:t>pictus</w:t>
      </w:r>
      <w:proofErr w:type="spellEnd"/>
      <w:r>
        <w:t xml:space="preserve">.  </w:t>
      </w:r>
      <w:r w:rsidR="00C96A9F">
        <w:t xml:space="preserve">No quantitative information is known regarding the specific oxygen tolerance of this species, though in their survey, </w:t>
      </w:r>
      <w:r w:rsidR="006C3236" w:rsidRPr="006C3236">
        <w:t xml:space="preserve">Franz and Franz </w:t>
      </w:r>
      <w:r w:rsidR="00C96A9F">
        <w:t xml:space="preserve">(1979) </w:t>
      </w:r>
      <w:r w:rsidR="006C3236" w:rsidRPr="006C3236">
        <w:t xml:space="preserve">indicate “data gathered during this study shows that </w:t>
      </w:r>
      <w:proofErr w:type="spellStart"/>
      <w:r w:rsidR="006C3236" w:rsidRPr="00C96A9F">
        <w:rPr>
          <w:i/>
        </w:rPr>
        <w:t>Procambarus</w:t>
      </w:r>
      <w:proofErr w:type="spellEnd"/>
      <w:r w:rsidR="006C3236" w:rsidRPr="00C96A9F">
        <w:rPr>
          <w:i/>
        </w:rPr>
        <w:t xml:space="preserve"> </w:t>
      </w:r>
      <w:proofErr w:type="spellStart"/>
      <w:r w:rsidR="006C3236" w:rsidRPr="00C96A9F">
        <w:rPr>
          <w:i/>
        </w:rPr>
        <w:t>pictus</w:t>
      </w:r>
      <w:proofErr w:type="spellEnd"/>
      <w:r w:rsidR="006C3236" w:rsidRPr="006C3236">
        <w:t xml:space="preserve"> is extremely susceptible to human alteration of headwater areas and pollution.”, and, “Runoff from dairy farms and possibly human sewage have created essentially ‘open sewers’ of several South Fork tributaries originating near the town of Penney Farms. </w:t>
      </w:r>
      <w:proofErr w:type="spellStart"/>
      <w:r w:rsidR="006C3236" w:rsidRPr="00C96A9F">
        <w:rPr>
          <w:i/>
        </w:rPr>
        <w:t>Procambarus</w:t>
      </w:r>
      <w:proofErr w:type="spellEnd"/>
      <w:r w:rsidR="006C3236" w:rsidRPr="00C96A9F">
        <w:rPr>
          <w:i/>
        </w:rPr>
        <w:t xml:space="preserve"> </w:t>
      </w:r>
      <w:proofErr w:type="spellStart"/>
      <w:r w:rsidR="006C3236" w:rsidRPr="00C96A9F">
        <w:rPr>
          <w:i/>
        </w:rPr>
        <w:t>pictus</w:t>
      </w:r>
      <w:proofErr w:type="spellEnd"/>
      <w:r w:rsidR="006C3236" w:rsidRPr="006C3236">
        <w:t xml:space="preserve"> does not exist in these polluted streams.”</w:t>
      </w:r>
      <w:r w:rsidR="00C96A9F">
        <w:t xml:space="preserve">  </w:t>
      </w:r>
    </w:p>
    <w:p w14:paraId="4A8D8AA8" w14:textId="77777777" w:rsidR="00A66E25" w:rsidRDefault="00A66E25"/>
    <w:p w14:paraId="2FD1DE04" w14:textId="77777777" w:rsidR="00977AE5" w:rsidRDefault="009A1277">
      <w:pPr>
        <w:rPr>
          <w:b/>
          <w:bCs/>
        </w:rPr>
      </w:pPr>
      <w:r w:rsidRPr="009A1277">
        <w:rPr>
          <w:b/>
          <w:bCs/>
        </w:rPr>
        <w:t>Eaton Creek</w:t>
      </w:r>
    </w:p>
    <w:p w14:paraId="7FC0A5CB" w14:textId="5B00735D" w:rsidR="002F11E5" w:rsidRDefault="002F11E5" w:rsidP="002F11E5">
      <w:r>
        <w:rPr>
          <w:b/>
        </w:rPr>
        <w:t xml:space="preserve">Comment:  </w:t>
      </w:r>
      <w:r>
        <w:t xml:space="preserve">As the SCI evaluations supporting designated use attainment for Eaton Creek appear to have been collected during a time interval when corresponding DO data indicate a higher, criterion-achieving oxygen regime, and as downstream potions of Eaton Creek achieve the </w:t>
      </w:r>
      <w:r w:rsidR="009047F0">
        <w:t xml:space="preserve">DO </w:t>
      </w:r>
      <w:r>
        <w:t xml:space="preserve">criterion, we ask that FDEP delay the downgrading of the oxygen for the entire length of Eaton Creek until additional SCI evaluations can be performed to confirm that the current DO regime supports a health faunal community.  </w:t>
      </w:r>
    </w:p>
    <w:p w14:paraId="1B83DD93" w14:textId="64E882E4" w:rsidR="008A3E1E" w:rsidRDefault="002F11E5">
      <w:r>
        <w:rPr>
          <w:b/>
        </w:rPr>
        <w:t xml:space="preserve">Analysis </w:t>
      </w:r>
      <w:r w:rsidR="005A1BB4">
        <w:rPr>
          <w:b/>
        </w:rPr>
        <w:t>Result</w:t>
      </w:r>
      <w:r>
        <w:rPr>
          <w:b/>
        </w:rPr>
        <w:t xml:space="preserve">s:   </w:t>
      </w:r>
      <w:r w:rsidR="004F6323">
        <w:t>S</w:t>
      </w:r>
      <w:r w:rsidR="00614DDD">
        <w:t>JRWMD</w:t>
      </w:r>
      <w:r w:rsidR="00977AE5">
        <w:t xml:space="preserve"> </w:t>
      </w:r>
      <w:r w:rsidR="004F6323">
        <w:t xml:space="preserve">conducted </w:t>
      </w:r>
      <w:r w:rsidR="00614DDD">
        <w:t xml:space="preserve">monthly </w:t>
      </w:r>
      <w:r w:rsidR="00977AE5">
        <w:t xml:space="preserve">ambient </w:t>
      </w:r>
      <w:r w:rsidR="004F6323">
        <w:t>sampling</w:t>
      </w:r>
      <w:r w:rsidR="00977AE5">
        <w:t xml:space="preserve"> </w:t>
      </w:r>
      <w:r w:rsidR="004F6323">
        <w:t xml:space="preserve">at two sites </w:t>
      </w:r>
      <w:r w:rsidR="00977AE5">
        <w:t>in Eaton Creek</w:t>
      </w:r>
      <w:r w:rsidR="00614DDD">
        <w:t xml:space="preserve"> from 2014 through 2018</w:t>
      </w:r>
      <w:r w:rsidR="00107260">
        <w:t xml:space="preserve"> (Table 2)</w:t>
      </w:r>
      <w:r w:rsidR="00614DDD">
        <w:t xml:space="preserve">.  </w:t>
      </w:r>
      <w:r w:rsidR="00977AE5">
        <w:t xml:space="preserve"> </w:t>
      </w:r>
      <w:r w:rsidR="00614DDD">
        <w:t>The upstream site</w:t>
      </w:r>
      <w:r w:rsidR="004F6323">
        <w:t xml:space="preserve"> (OR039)</w:t>
      </w:r>
      <w:r w:rsidR="00107260">
        <w:t>,</w:t>
      </w:r>
      <w:r w:rsidR="00614DDD">
        <w:t xml:space="preserve"> sampled at the </w:t>
      </w:r>
      <w:r>
        <w:t>C</w:t>
      </w:r>
      <w:r w:rsidR="00614DDD">
        <w:t xml:space="preserve">ounty </w:t>
      </w:r>
      <w:r>
        <w:t>R</w:t>
      </w:r>
      <w:r w:rsidR="00614DDD">
        <w:t>oad 314</w:t>
      </w:r>
      <w:r w:rsidR="00107260">
        <w:t xml:space="preserve">, had DO measured below the </w:t>
      </w:r>
      <w:r w:rsidR="00A51197">
        <w:t>38% threshold</w:t>
      </w:r>
      <w:r w:rsidR="00107260">
        <w:t xml:space="preserve"> 45.9 percent of the time, and had an over</w:t>
      </w:r>
      <w:r w:rsidR="000C2B5A">
        <w:t>all</w:t>
      </w:r>
      <w:r w:rsidR="00107260">
        <w:t xml:space="preserve"> 10</w:t>
      </w:r>
      <w:r w:rsidR="00107260" w:rsidRPr="00107260">
        <w:rPr>
          <w:vertAlign w:val="superscript"/>
        </w:rPr>
        <w:t>th</w:t>
      </w:r>
      <w:r w:rsidR="00107260">
        <w:t xml:space="preserve"> percentile occurrence frequency of only 12% saturation</w:t>
      </w:r>
      <w:r w:rsidR="000C2B5A">
        <w:t xml:space="preserve"> (Table 3)</w:t>
      </w:r>
      <w:r w:rsidR="00107260">
        <w:t xml:space="preserve">, and based on these data clearly fails </w:t>
      </w:r>
      <w:r w:rsidR="004F6323">
        <w:t xml:space="preserve">to meet </w:t>
      </w:r>
      <w:r w:rsidR="00107260">
        <w:t>the criteri</w:t>
      </w:r>
      <w:r>
        <w:t>on</w:t>
      </w:r>
      <w:r w:rsidR="00107260">
        <w:t xml:space="preserve">.  </w:t>
      </w:r>
      <w:r w:rsidR="00362AAD">
        <w:t>The downstream site</w:t>
      </w:r>
      <w:r w:rsidR="004F6323">
        <w:t xml:space="preserve"> (</w:t>
      </w:r>
      <w:r w:rsidR="00242221">
        <w:t>MUDCR)</w:t>
      </w:r>
      <w:r w:rsidR="00362AAD">
        <w:t>, located just above the mouth of the creek</w:t>
      </w:r>
      <w:r w:rsidR="000C2B5A">
        <w:t>, had an annual mean failure rate of 7.9 percent, and had no sampling events for which DO % saturation was below the criteria in 4 of the 6 calendar years</w:t>
      </w:r>
      <w:r w:rsidR="004F6323">
        <w:t>, hence meets the criteri</w:t>
      </w:r>
      <w:r w:rsidR="00A51197">
        <w:t>on</w:t>
      </w:r>
      <w:r w:rsidR="000C2B5A">
        <w:t xml:space="preserve">.  </w:t>
      </w:r>
      <w:r w:rsidR="00614DDD">
        <w:t>FDEP</w:t>
      </w:r>
      <w:r w:rsidR="00242221">
        <w:t xml:space="preserve"> also performed regular sampling on Eaton Creek in 2011, with one additional sampling event in 201</w:t>
      </w:r>
      <w:r w:rsidR="00020C44">
        <w:t>3</w:t>
      </w:r>
      <w:r w:rsidR="00A62092">
        <w:t xml:space="preserve">, also </w:t>
      </w:r>
      <w:r w:rsidR="009047F0">
        <w:t>near</w:t>
      </w:r>
      <w:r w:rsidR="00A62092">
        <w:t xml:space="preserve"> the </w:t>
      </w:r>
      <w:r>
        <w:t>CR</w:t>
      </w:r>
      <w:r w:rsidR="00A62092">
        <w:t xml:space="preserve"> 314 location</w:t>
      </w:r>
      <w:r w:rsidR="00242221">
        <w:t xml:space="preserve">.  SCI evaluations were performed </w:t>
      </w:r>
      <w:r w:rsidR="00020C44">
        <w:t>at this site</w:t>
      </w:r>
      <w:r w:rsidR="00242221">
        <w:t xml:space="preserve"> on 2/22/11</w:t>
      </w:r>
      <w:r w:rsidR="00614DDD">
        <w:t xml:space="preserve"> </w:t>
      </w:r>
      <w:r w:rsidR="00242221">
        <w:t xml:space="preserve">and 4/8/13, producing scores of </w:t>
      </w:r>
      <w:r w:rsidR="00A62092">
        <w:t>73</w:t>
      </w:r>
      <w:r w:rsidR="00242221">
        <w:t xml:space="preserve"> and </w:t>
      </w:r>
      <w:r w:rsidR="00A62092">
        <w:t>68</w:t>
      </w:r>
      <w:r>
        <w:t xml:space="preserve"> indicative of a healthy macroinvertebrate community</w:t>
      </w:r>
      <w:r w:rsidR="00242221">
        <w:t xml:space="preserve">.   </w:t>
      </w:r>
    </w:p>
    <w:p w14:paraId="1BF22096" w14:textId="2BFC35C3" w:rsidR="00242221" w:rsidRDefault="00242221">
      <w:r>
        <w:t>The DO % saturation occurrence frequency distributions for these three sampling efforts are plotted in Figure</w:t>
      </w:r>
      <w:r w:rsidR="00820264">
        <w:t xml:space="preserve"> 1.  Th</w:t>
      </w:r>
      <w:r w:rsidR="00020C44">
        <w:t>e</w:t>
      </w:r>
      <w:r w:rsidR="00820264">
        <w:t xml:space="preserve"> Eaton Creek plot for data collected at the upstream site at CR 314 </w:t>
      </w:r>
      <w:r w:rsidR="00020C44">
        <w:t xml:space="preserve">(purple dots) </w:t>
      </w:r>
      <w:r w:rsidR="00820264">
        <w:t xml:space="preserve">from 2014 – </w:t>
      </w:r>
      <w:r w:rsidR="002F11E5">
        <w:t>1</w:t>
      </w:r>
      <w:r w:rsidR="00820264">
        <w:t xml:space="preserve">8 clearly show a lower DO distribution than for the contemporaneous sampling at the downstream site (red dots).  The FDEP </w:t>
      </w:r>
      <w:r w:rsidR="00BF6831">
        <w:t xml:space="preserve">DO </w:t>
      </w:r>
      <w:r w:rsidR="00820264">
        <w:t>data</w:t>
      </w:r>
      <w:r w:rsidR="002F11E5">
        <w:t>,</w:t>
      </w:r>
      <w:r w:rsidR="00820264">
        <w:t xml:space="preserve"> corresponding </w:t>
      </w:r>
      <w:r w:rsidR="00BF6831">
        <w:t xml:space="preserve">to the </w:t>
      </w:r>
      <w:r w:rsidR="00820264">
        <w:t xml:space="preserve">SCI data collected </w:t>
      </w:r>
      <w:r w:rsidR="00020C44">
        <w:t xml:space="preserve">at CR 314 </w:t>
      </w:r>
      <w:r w:rsidR="00820264">
        <w:t xml:space="preserve">during 2011 and 2013 </w:t>
      </w:r>
      <w:r w:rsidR="009D605A">
        <w:t>(green dots</w:t>
      </w:r>
      <w:r w:rsidR="002F11E5">
        <w:t xml:space="preserve">, </w:t>
      </w:r>
      <w:r w:rsidR="00820264">
        <w:t>superimposed the red dots</w:t>
      </w:r>
      <w:r w:rsidR="002F11E5">
        <w:t xml:space="preserve"> of the downstream site),</w:t>
      </w:r>
      <w:r w:rsidR="00820264">
        <w:t xml:space="preserve"> </w:t>
      </w:r>
      <w:r w:rsidR="002F11E5">
        <w:t xml:space="preserve">indicates that </w:t>
      </w:r>
      <w:r w:rsidR="00820264">
        <w:t xml:space="preserve">the DO regime </w:t>
      </w:r>
      <w:r w:rsidR="009D605A">
        <w:t xml:space="preserve">during the time period in which the SCIs were performed met the current DO criteria, and the </w:t>
      </w:r>
      <w:r w:rsidR="00271E48">
        <w:t xml:space="preserve">later SJRWMD sampling at the CR 314 site </w:t>
      </w:r>
      <w:r w:rsidR="00BF6831">
        <w:t>may</w:t>
      </w:r>
      <w:r w:rsidR="00271E48">
        <w:t xml:space="preserve"> not </w:t>
      </w:r>
      <w:r w:rsidR="00BF6831">
        <w:t xml:space="preserve">be </w:t>
      </w:r>
      <w:r w:rsidR="00271E48">
        <w:t xml:space="preserve">representative of the </w:t>
      </w:r>
      <w:r w:rsidR="00BF6831">
        <w:t xml:space="preserve">earlier </w:t>
      </w:r>
      <w:r w:rsidR="00271E48">
        <w:t xml:space="preserve">time period during which the SCI evaluations were performed.  </w:t>
      </w:r>
      <w:r>
        <w:t xml:space="preserve"> </w:t>
      </w:r>
    </w:p>
    <w:p w14:paraId="768F7B1B" w14:textId="77777777" w:rsidR="008A3E1E" w:rsidRDefault="008A3E1E"/>
    <w:p w14:paraId="7972AB0C" w14:textId="77777777" w:rsidR="004755F6" w:rsidRPr="004755F6" w:rsidRDefault="004755F6">
      <w:pPr>
        <w:rPr>
          <w:b/>
        </w:rPr>
      </w:pPr>
      <w:r w:rsidRPr="004755F6">
        <w:rPr>
          <w:b/>
        </w:rPr>
        <w:t>Blackwater Creek</w:t>
      </w:r>
    </w:p>
    <w:p w14:paraId="280496EA" w14:textId="517DCD1D" w:rsidR="007A2ABD" w:rsidRDefault="007A2ABD" w:rsidP="007A2ABD">
      <w:r w:rsidRPr="007A2ABD">
        <w:rPr>
          <w:b/>
        </w:rPr>
        <w:t xml:space="preserve">Comment:  </w:t>
      </w:r>
      <w:r>
        <w:rPr>
          <w:b/>
        </w:rPr>
        <w:t xml:space="preserve"> </w:t>
      </w:r>
      <w:r>
        <w:t xml:space="preserve">Regular early morning sampling at the SJRWMD monitoring site at County Road 44 (BWC44) appears to have produced biased data, indicating a DO regime lower than the actual mean condition.  Downstream sites that were sampled later in the day support the current DO criterion.  In addition, ongoing activities in the watershed may have an effect on the trophic state of the upstream </w:t>
      </w:r>
      <w:proofErr w:type="gramStart"/>
      <w:r>
        <w:t>headwaters</w:t>
      </w:r>
      <w:proofErr w:type="gramEnd"/>
      <w:r>
        <w:t xml:space="preserve"> lake, Lake Norris.  </w:t>
      </w:r>
      <w:r w:rsidR="000926D9">
        <w:t xml:space="preserve">For these reasons, </w:t>
      </w:r>
      <w:r>
        <w:t xml:space="preserve">we would </w:t>
      </w:r>
      <w:r w:rsidR="000926D9">
        <w:t>comment</w:t>
      </w:r>
      <w:r>
        <w:t xml:space="preserve"> that FDEP delay the establishment of the lower SSAC at this time</w:t>
      </w:r>
      <w:r w:rsidR="009047F0">
        <w:t xml:space="preserve"> that would apply to the entire length of Blackwater Creek</w:t>
      </w:r>
      <w:r>
        <w:t xml:space="preserve">.  SJRWMD will </w:t>
      </w:r>
      <w:r w:rsidR="009047F0">
        <w:t>review</w:t>
      </w:r>
      <w:r>
        <w:t xml:space="preserve"> the </w:t>
      </w:r>
      <w:r>
        <w:lastRenderedPageBreak/>
        <w:t xml:space="preserve">current timing for the upstream site to </w:t>
      </w:r>
      <w:r w:rsidR="000E289D">
        <w:t xml:space="preserve">with the goal of </w:t>
      </w:r>
      <w:r>
        <w:t>establish</w:t>
      </w:r>
      <w:r w:rsidR="00FA7D95">
        <w:t>ing</w:t>
      </w:r>
      <w:r>
        <w:t xml:space="preserve"> a sampling regimen that produces data representative of the mean condition.   </w:t>
      </w:r>
    </w:p>
    <w:p w14:paraId="3F18EF75" w14:textId="0B2D4116" w:rsidR="00AA04BA" w:rsidRDefault="000926D9">
      <w:r>
        <w:rPr>
          <w:b/>
        </w:rPr>
        <w:t xml:space="preserve">Analysis </w:t>
      </w:r>
      <w:r w:rsidR="005A1BB4">
        <w:rPr>
          <w:b/>
        </w:rPr>
        <w:t>Result</w:t>
      </w:r>
      <w:r>
        <w:rPr>
          <w:b/>
        </w:rPr>
        <w:t xml:space="preserve">s:   </w:t>
      </w:r>
      <w:r w:rsidR="004755F6">
        <w:t xml:space="preserve">SJRWMD has three long-term WQ monitoring sites in Blackwater Creek, and these data were </w:t>
      </w:r>
      <w:r w:rsidR="00E61DDF">
        <w:t>incorporated</w:t>
      </w:r>
      <w:r w:rsidR="004755F6">
        <w:t xml:space="preserve"> in FDEP</w:t>
      </w:r>
      <w:r>
        <w:t>’</w:t>
      </w:r>
      <w:r w:rsidR="004755F6">
        <w:t>s SSAC assessment.  The sites exhibit a</w:t>
      </w:r>
      <w:r w:rsidR="00161171">
        <w:t>n improving</w:t>
      </w:r>
      <w:r w:rsidR="004755F6">
        <w:t xml:space="preserve"> DO regime from headwaters to mouth, with </w:t>
      </w:r>
      <w:r w:rsidR="00512D77">
        <w:t xml:space="preserve">values below </w:t>
      </w:r>
      <w:r w:rsidR="004755F6">
        <w:t xml:space="preserve">the annual mean </w:t>
      </w:r>
      <w:r w:rsidR="00512D77">
        <w:t>38</w:t>
      </w:r>
      <w:r w:rsidR="004755F6">
        <w:t xml:space="preserve">% saturation at the upstream site </w:t>
      </w:r>
      <w:proofErr w:type="spellStart"/>
      <w:r w:rsidR="00512D77">
        <w:t>ocurring</w:t>
      </w:r>
      <w:proofErr w:type="spellEnd"/>
      <w:r w:rsidR="004755F6">
        <w:t xml:space="preserve"> 44.2%</w:t>
      </w:r>
      <w:r w:rsidR="00512D77">
        <w:t xml:space="preserve"> of the time</w:t>
      </w:r>
      <w:r w:rsidR="004755F6">
        <w:t xml:space="preserve">, improving to 11.9% </w:t>
      </w:r>
      <w:r w:rsidR="00512D77">
        <w:t xml:space="preserve">of the time </w:t>
      </w:r>
      <w:r w:rsidR="004755F6">
        <w:t xml:space="preserve">at the mid-point site, then to 6.2% </w:t>
      </w:r>
      <w:r w:rsidR="00512D77">
        <w:t xml:space="preserve">of the time </w:t>
      </w:r>
      <w:r w:rsidR="004755F6">
        <w:t>at the mouth</w:t>
      </w:r>
      <w:r w:rsidR="004E768F">
        <w:t xml:space="preserve"> (Table 3)</w:t>
      </w:r>
      <w:r w:rsidR="004755F6">
        <w:t xml:space="preserve">.  </w:t>
      </w:r>
      <w:r w:rsidR="00161171">
        <w:t>The overall 10</w:t>
      </w:r>
      <w:r w:rsidR="00161171" w:rsidRPr="00161171">
        <w:rPr>
          <w:vertAlign w:val="superscript"/>
        </w:rPr>
        <w:t>th</w:t>
      </w:r>
      <w:r w:rsidR="00161171">
        <w:t xml:space="preserve"> percentile DO % saturation for the three sites is 18%, 40%, and 41%.  </w:t>
      </w:r>
      <w:r w:rsidR="00AA04BA">
        <w:t xml:space="preserve">SCIs performed 100 m above the SJRWMD upstream site, and approximately 400 m upstream of the midpoint site produced passing scores, though 2 of the 3 upstream site scores were relatively low (59 and 50).  </w:t>
      </w:r>
    </w:p>
    <w:p w14:paraId="3AA73E56" w14:textId="77777777" w:rsidR="00AA04BA" w:rsidRDefault="00AA04BA" w:rsidP="00AA04BA">
      <w:r>
        <w:t xml:space="preserve">In 2011, the SJRWMD Middle St. Johns River Basin Program conducted three, 2-week deployments of YSI continuous recording </w:t>
      </w:r>
      <w:proofErr w:type="spellStart"/>
      <w:r>
        <w:t>sondes</w:t>
      </w:r>
      <w:proofErr w:type="spellEnd"/>
      <w:r>
        <w:t xml:space="preserve"> in Blackwater Creek, and these data are useful to understand the diurnal variation in DO and how this relates to the DO levels collected in the instantaneous measurements of the ambient sampling data set.  The </w:t>
      </w:r>
      <w:proofErr w:type="spellStart"/>
      <w:r>
        <w:t>sonde</w:t>
      </w:r>
      <w:proofErr w:type="spellEnd"/>
      <w:r>
        <w:t xml:space="preserve"> deployment site was approximately midway between the two downstream ambient sites, BWCCPB and BWCUWR.  The lowest DO concentrations and saturation levels occurred in the deployment conducted in the first two weeks of April, and these data are plotted in Figure 2.  DO saturation fell early in this deployment, associated with a rainfall and resulting discharge and stage increase, which lowered DO saturation from around 80% to levels around 40 – 50%.   The minimum DO % saturation reached was 34.7% on April 5 at 7:45 am, and the minimum daily average occurred on the same date and was 40.5%.  In the other two deployments, conducted February 3 - 22 and May 3 – 13, the minimum saturation values recorded were 69.5% and 71.6%.  </w:t>
      </w:r>
    </w:p>
    <w:p w14:paraId="3D0F331F" w14:textId="77777777" w:rsidR="00AA04BA" w:rsidRDefault="00AA04BA" w:rsidP="00AA04BA">
      <w:r>
        <w:t xml:space="preserve">Discernible diurnal variation is evident in the DO data, with the timing of minimums and maximums consistent with </w:t>
      </w:r>
      <w:r w:rsidRPr="006971A3">
        <w:rPr>
          <w:i/>
        </w:rPr>
        <w:t>in situ</w:t>
      </w:r>
      <w:r>
        <w:t xml:space="preserve"> primary production.  </w:t>
      </w:r>
      <w:proofErr w:type="gramStart"/>
      <w:r>
        <w:t>Thus</w:t>
      </w:r>
      <w:proofErr w:type="gramEnd"/>
      <w:r>
        <w:t xml:space="preserve"> it would appear that even in this strongly net heterotrophic blackwater stream, primary production of rooted macrophytes or attached algae is a source of DO replenishment.  </w:t>
      </w:r>
    </w:p>
    <w:p w14:paraId="0B2909DA" w14:textId="77777777" w:rsidR="00AA04BA" w:rsidRDefault="00AA04BA" w:rsidP="00AA04BA">
      <w:r>
        <w:t>In Figure 3, the Instantaneous ambient % saturation data are superimposed on the April 2011 diel data, plotted by time of day.  The tendency for the upst</w:t>
      </w:r>
      <w:r w:rsidR="00E02F72">
        <w:t>r</w:t>
      </w:r>
      <w:r>
        <w:t xml:space="preserve">eam ambient site to exhibit lower DO saturation is evident in this scatterplot, with a greater proportion of values falling below the current 38% criteria.  A sampling time of day pattern is also evident, with all data tending to increase of the course of daylight hours, consistent with the 2011 diel data.   The average times of day for sampling the three sites was 10:02, 11:02, and 12:26, and this regular order of sampling may have some effect on the consistently lower DO concentrations observed at the upstream site.  </w:t>
      </w:r>
    </w:p>
    <w:p w14:paraId="406B9EA7" w14:textId="1466715D" w:rsidR="00E02F72" w:rsidRDefault="007B4EC1" w:rsidP="00AA04BA">
      <w:r>
        <w:t>Lake Norris is t</w:t>
      </w:r>
      <w:r w:rsidR="00E02F72">
        <w:t xml:space="preserve">he headwaters of Blackwater Creek.  One of the tributaries flowing into the lake drains cattle pastures fertilized with class B </w:t>
      </w:r>
      <w:proofErr w:type="gramStart"/>
      <w:r w:rsidR="00E02F72">
        <w:t>biosolids, and</w:t>
      </w:r>
      <w:proofErr w:type="gramEnd"/>
      <w:r w:rsidR="00E02F72">
        <w:t xml:space="preserve"> is one of the three paired watershed sites in the District’s ongoing biosolids assessment.  </w:t>
      </w:r>
      <w:r>
        <w:t xml:space="preserve">In 7 sampling events since March 2018, the biosolids affected tributary has a men TP concentration of 0.588 mg/L, </w:t>
      </w:r>
      <w:r w:rsidR="00004CB6">
        <w:t xml:space="preserve">reaching a </w:t>
      </w:r>
      <w:r>
        <w:t>maximum of 1.3 mg/L in July 2019</w:t>
      </w:r>
      <w:r w:rsidR="00004CB6">
        <w:t>, w</w:t>
      </w:r>
      <w:r>
        <w:t xml:space="preserve">hile the paired natural background tributary has a mean TP of 0.061 mg/L.  </w:t>
      </w:r>
      <w:r w:rsidR="00E02F72">
        <w:t xml:space="preserve">Sampling was recently reinitiated in Lake Norris to track possible nutrient enrichment from this activity.  </w:t>
      </w:r>
    </w:p>
    <w:p w14:paraId="7F14543E" w14:textId="5434DBD2" w:rsidR="00161171" w:rsidRDefault="00161171"/>
    <w:p w14:paraId="0AE1E3AE" w14:textId="77777777" w:rsidR="005F0008" w:rsidRDefault="005F0008"/>
    <w:p w14:paraId="28803DF9" w14:textId="14965697" w:rsidR="00E61DDF" w:rsidRPr="00E61DDF" w:rsidRDefault="00E61DDF">
      <w:pPr>
        <w:rPr>
          <w:b/>
          <w:bCs/>
        </w:rPr>
      </w:pPr>
      <w:r w:rsidRPr="00E61DDF">
        <w:rPr>
          <w:b/>
          <w:bCs/>
        </w:rPr>
        <w:lastRenderedPageBreak/>
        <w:t>Taylor Creek</w:t>
      </w:r>
    </w:p>
    <w:p w14:paraId="24EE69EA" w14:textId="7D6E6EB4" w:rsidR="00EC5714" w:rsidRPr="009B1EC5" w:rsidRDefault="00EC5714">
      <w:r>
        <w:rPr>
          <w:b/>
        </w:rPr>
        <w:t xml:space="preserve">Comments:  </w:t>
      </w:r>
      <w:r w:rsidR="009B1EC5" w:rsidRPr="009B1EC5">
        <w:t>With the exception</w:t>
      </w:r>
      <w:r w:rsidR="009B1EC5">
        <w:rPr>
          <w:b/>
        </w:rPr>
        <w:t xml:space="preserve"> </w:t>
      </w:r>
      <w:r w:rsidR="009B1EC5">
        <w:t xml:space="preserve">of the long term SJRWMD monitoring site at CR 532, other </w:t>
      </w:r>
      <w:r w:rsidR="005A1BB4">
        <w:t xml:space="preserve">downstream </w:t>
      </w:r>
      <w:r w:rsidR="009B1EC5">
        <w:t>sampled locations appear to support the current DO criterion.  The long-term SJRWMD site nearly meets the criterion, slightly exceeding the occurrence rate by 2% of the time.  The location of the SCI</w:t>
      </w:r>
      <w:r w:rsidR="005A1BB4">
        <w:t>s</w:t>
      </w:r>
      <w:r w:rsidR="009B1EC5">
        <w:t xml:space="preserve"> performed demonstrat</w:t>
      </w:r>
      <w:r w:rsidR="005F0008">
        <w:t>ing</w:t>
      </w:r>
      <w:r w:rsidR="009B1EC5">
        <w:t xml:space="preserve"> a healthy system is in a powerline clearing that would favor greater primary production and hence </w:t>
      </w:r>
      <w:r w:rsidR="005A1BB4">
        <w:t xml:space="preserve">create a </w:t>
      </w:r>
      <w:r w:rsidR="009B1EC5">
        <w:t xml:space="preserve">higher DO condition.  </w:t>
      </w:r>
      <w:r w:rsidR="009B1EC5" w:rsidRPr="009B1EC5">
        <w:t>Taylo</w:t>
      </w:r>
      <w:r w:rsidR="009B1EC5">
        <w:t xml:space="preserve">r Creek is exhibiting significantly increasing TP concentration, believed due in part to biosolids applications in the upstream watershed.  This could lead to an increased trophic state for Taylor Creek </w:t>
      </w:r>
      <w:r w:rsidR="003D66FE">
        <w:t>R</w:t>
      </w:r>
      <w:r w:rsidR="009B1EC5">
        <w:t>eservoir, and possibly constitute a</w:t>
      </w:r>
      <w:r w:rsidR="003D66FE">
        <w:t xml:space="preserve">n anthropogenic impairment that would warrant a TMDL.  For these reasons we would comment that the FDEP delay a lowering of the DO criterion of the entire length of Taylor Creek until additional SCI evaluations can be performed around and above CR 532.  </w:t>
      </w:r>
    </w:p>
    <w:p w14:paraId="7BC0384A" w14:textId="285D4C65" w:rsidR="00627647" w:rsidRDefault="00EC5714">
      <w:r w:rsidRPr="00EC5714">
        <w:rPr>
          <w:b/>
        </w:rPr>
        <w:t xml:space="preserve">Analysis </w:t>
      </w:r>
      <w:r w:rsidR="005A1BB4">
        <w:rPr>
          <w:b/>
        </w:rPr>
        <w:t>Results</w:t>
      </w:r>
      <w:r w:rsidRPr="00EC5714">
        <w:rPr>
          <w:b/>
        </w:rPr>
        <w:t>:</w:t>
      </w:r>
      <w:r>
        <w:t xml:space="preserve">  </w:t>
      </w:r>
      <w:r w:rsidR="00BF6831">
        <w:t xml:space="preserve">Most of the </w:t>
      </w:r>
      <w:r w:rsidR="00E8683E">
        <w:t xml:space="preserve">DO </w:t>
      </w:r>
      <w:r w:rsidR="00BF6831">
        <w:t>data</w:t>
      </w:r>
      <w:r w:rsidR="00E8683E">
        <w:t xml:space="preserve"> (144 of 179 data points) </w:t>
      </w:r>
      <w:r w:rsidR="00830AC0">
        <w:t>for</w:t>
      </w:r>
      <w:r w:rsidR="00E8683E">
        <w:t xml:space="preserve"> Taylor Creek were collected at the SJRWMD site on </w:t>
      </w:r>
      <w:r>
        <w:t xml:space="preserve">Osceola County Road 532, and </w:t>
      </w:r>
      <w:r w:rsidR="00BF6831">
        <w:t>indicat</w:t>
      </w:r>
      <w:r>
        <w:t xml:space="preserve">e </w:t>
      </w:r>
      <w:r w:rsidR="00BF6831">
        <w:t xml:space="preserve">a </w:t>
      </w:r>
      <w:r w:rsidR="009575FC">
        <w:t xml:space="preserve">DO regime that nearly meets the current criteria, with a mean of annual averages of </w:t>
      </w:r>
      <w:r>
        <w:t xml:space="preserve">38 % saturation percentile </w:t>
      </w:r>
      <w:r w:rsidR="009575FC">
        <w:t>occurrence of 12.1% (</w:t>
      </w:r>
      <w:r>
        <w:t>slightly exceeding</w:t>
      </w:r>
      <w:r w:rsidR="009575FC">
        <w:t xml:space="preserve"> the acceptable 10% occurrence rate), and an overall 10</w:t>
      </w:r>
      <w:r w:rsidR="009575FC" w:rsidRPr="009575FC">
        <w:rPr>
          <w:vertAlign w:val="superscript"/>
        </w:rPr>
        <w:t>th</w:t>
      </w:r>
      <w:r w:rsidR="009575FC">
        <w:t xml:space="preserve"> percentile DO % saturation of 33%</w:t>
      </w:r>
      <w:r w:rsidR="00830AC0">
        <w:t xml:space="preserve"> (Table 3)</w:t>
      </w:r>
      <w:r w:rsidR="009575FC">
        <w:t xml:space="preserve">.   </w:t>
      </w:r>
      <w:r w:rsidR="00830AC0">
        <w:t>Of the 35</w:t>
      </w:r>
      <w:r w:rsidR="00627647">
        <w:t xml:space="preserve"> additional DO measurements included in the FDEP evaluation</w:t>
      </w:r>
      <w:r w:rsidR="00830AC0">
        <w:t>,</w:t>
      </w:r>
      <w:r w:rsidR="00627647">
        <w:t xml:space="preserve"> </w:t>
      </w:r>
      <w:r w:rsidR="00830AC0">
        <w:t>from</w:t>
      </w:r>
      <w:r w:rsidR="00627647">
        <w:t xml:space="preserve"> 10 other sites sampled </w:t>
      </w:r>
      <w:r w:rsidR="00830AC0">
        <w:t>over various intervals</w:t>
      </w:r>
      <w:r w:rsidR="00627647">
        <w:t xml:space="preserve"> from 2006 – 2018</w:t>
      </w:r>
      <w:r w:rsidR="00830AC0">
        <w:t xml:space="preserve">, </w:t>
      </w:r>
      <w:r w:rsidR="007B1B6A">
        <w:t xml:space="preserve">only </w:t>
      </w:r>
      <w:r w:rsidR="00830AC0">
        <w:t>3</w:t>
      </w:r>
      <w:r w:rsidR="00627647">
        <w:t xml:space="preserve"> of those were below the 38% saturation criterion. </w:t>
      </w:r>
    </w:p>
    <w:p w14:paraId="66849E05" w14:textId="5D45EDC2" w:rsidR="00E61DDF" w:rsidRPr="00BF6831" w:rsidRDefault="00627647">
      <w:r>
        <w:t xml:space="preserve">SCI evaluations indicating a healthy invertebrate community were collected at FDEP site 21FLCEN20011343 in 2013 and 2014.  DO % saturation </w:t>
      </w:r>
      <w:r w:rsidR="001C3258">
        <w:t xml:space="preserve">for the three sampling events </w:t>
      </w:r>
      <w:r>
        <w:t xml:space="preserve">at this site </w:t>
      </w:r>
      <w:r w:rsidR="001C3258">
        <w:t xml:space="preserve">ranged from 49 – 60.8%.  </w:t>
      </w:r>
      <w:r w:rsidR="00EC5714">
        <w:t xml:space="preserve">The site is located just downstream of the long-term SJRWMD site at CR 532, in a clearing at a powerline crossing.  This environment would likely enhance primary production and result in a higher DO regime and possibly improve the suitability for a healthy macroinvertebrate community.  </w:t>
      </w:r>
    </w:p>
    <w:p w14:paraId="63D6A70E" w14:textId="1E4898E8" w:rsidR="004E768F" w:rsidRDefault="004E768F" w:rsidP="004E768F"/>
    <w:p w14:paraId="621ECA6E" w14:textId="77777777" w:rsidR="007B1B6A" w:rsidRDefault="007B1B6A" w:rsidP="004E768F"/>
    <w:p w14:paraId="3CD39E4D" w14:textId="77777777" w:rsidR="004E768F" w:rsidRDefault="004E768F" w:rsidP="004E768F">
      <w:r>
        <w:t>REFERENCES</w:t>
      </w:r>
    </w:p>
    <w:p w14:paraId="1D6CBE20" w14:textId="77777777" w:rsidR="004E768F" w:rsidRDefault="004E768F" w:rsidP="004E768F">
      <w:r>
        <w:t xml:space="preserve">Franz, R. and L.M. Franz. 1979. Distribution, habitat preference and status of populations of the Black Creek crayfish, </w:t>
      </w:r>
      <w:proofErr w:type="spellStart"/>
      <w:r>
        <w:rPr>
          <w:i/>
          <w:iCs/>
        </w:rPr>
        <w:t>Procambarus</w:t>
      </w:r>
      <w:proofErr w:type="spellEnd"/>
      <w:r>
        <w:t xml:space="preserve"> (</w:t>
      </w:r>
      <w:proofErr w:type="spellStart"/>
      <w:r>
        <w:rPr>
          <w:i/>
          <w:iCs/>
        </w:rPr>
        <w:t>Ortmannicus</w:t>
      </w:r>
      <w:proofErr w:type="spellEnd"/>
      <w:r>
        <w:t xml:space="preserve">) </w:t>
      </w:r>
      <w:proofErr w:type="spellStart"/>
      <w:r>
        <w:rPr>
          <w:i/>
          <w:iCs/>
        </w:rPr>
        <w:t>pictus</w:t>
      </w:r>
      <w:proofErr w:type="spellEnd"/>
      <w:r>
        <w:t xml:space="preserve"> (</w:t>
      </w:r>
      <w:proofErr w:type="gramStart"/>
      <w:r>
        <w:t>Decapoda :</w:t>
      </w:r>
      <w:proofErr w:type="gramEnd"/>
      <w:r>
        <w:t xml:space="preserve"> </w:t>
      </w:r>
      <w:proofErr w:type="spellStart"/>
      <w:r>
        <w:t>Cambaridae</w:t>
      </w:r>
      <w:proofErr w:type="spellEnd"/>
      <w:r>
        <w:t>).  Florida Scientist 42(1):  13-17.</w:t>
      </w:r>
    </w:p>
    <w:p w14:paraId="30850A3F" w14:textId="77777777" w:rsidR="00BC4170" w:rsidRDefault="00BC4170" w:rsidP="00D214CF"/>
    <w:p w14:paraId="7AE6CD1A" w14:textId="6B76DEDC" w:rsidR="00D214CF" w:rsidRPr="007B5118" w:rsidRDefault="00BD2BBD" w:rsidP="00D214CF">
      <w:pPr>
        <w:rPr>
          <w:u w:val="single"/>
        </w:rPr>
      </w:pPr>
      <w:r w:rsidRPr="007B5118">
        <w:rPr>
          <w:u w:val="single"/>
        </w:rPr>
        <w:t>Data Analysis</w:t>
      </w:r>
      <w:r w:rsidR="005A1BB4">
        <w:rPr>
          <w:u w:val="single"/>
        </w:rPr>
        <w:t xml:space="preserve"> Notes:  </w:t>
      </w:r>
    </w:p>
    <w:p w14:paraId="035763D2" w14:textId="5BC4458B" w:rsidR="00890801" w:rsidRDefault="00890D5B" w:rsidP="00D214CF">
      <w:r>
        <w:t>SJRWMD obtained the WQ data used for the impairment assessment from F</w:t>
      </w:r>
      <w:r w:rsidR="005F10A7">
        <w:t>lorida Department of Environmental Protection (F</w:t>
      </w:r>
      <w:r>
        <w:t>EP</w:t>
      </w:r>
      <w:r w:rsidR="005F10A7">
        <w:t>)</w:t>
      </w:r>
      <w:r w:rsidR="002974C6">
        <w:t xml:space="preserve"> </w:t>
      </w:r>
      <w:r w:rsidR="000177B0">
        <w:t xml:space="preserve">to compare to the data available in the SJRWMD Environmental </w:t>
      </w:r>
      <w:r w:rsidR="00BB0B66">
        <w:t>D</w:t>
      </w:r>
      <w:r w:rsidR="000177B0">
        <w:t xml:space="preserve">ata </w:t>
      </w:r>
      <w:r w:rsidR="00BB0B66">
        <w:t>B</w:t>
      </w:r>
      <w:r w:rsidR="000177B0">
        <w:t xml:space="preserve">ase.  </w:t>
      </w:r>
      <w:r w:rsidR="006E7589">
        <w:t xml:space="preserve">SJRWMD sites accounted for 576 of the 690 data points used by FDEP.  </w:t>
      </w:r>
      <w:r w:rsidR="009A15C1">
        <w:t>Duplicates and profile measurements included in the FDEP data set accounted for 55 of the total sample number, and these were removed from the SJRWMD data so there existed only one sample per site per day</w:t>
      </w:r>
      <w:r w:rsidR="00BB0B66">
        <w:t>,</w:t>
      </w:r>
      <w:r w:rsidR="009A15C1">
        <w:t xml:space="preserve"> collected at the surface.  </w:t>
      </w:r>
      <w:r w:rsidR="00890801">
        <w:t xml:space="preserve">Those sites, the number of measurements, and the period of record (complete calendar years only) are listed in the table below.  </w:t>
      </w:r>
    </w:p>
    <w:p w14:paraId="0B22F5AB" w14:textId="75E205C3" w:rsidR="00890801" w:rsidRDefault="00653B3B" w:rsidP="00890801">
      <w:r>
        <w:lastRenderedPageBreak/>
        <w:t xml:space="preserve">Table 2.  </w:t>
      </w:r>
      <w:r w:rsidR="00E9152D">
        <w:t xml:space="preserve">SJRWMD </w:t>
      </w:r>
      <w:r>
        <w:t>Long-Term monitoring sites for Proposed DO SSAC Tributaries</w:t>
      </w:r>
    </w:p>
    <w:tbl>
      <w:tblPr>
        <w:tblStyle w:val="TableGrid"/>
        <w:tblW w:w="0" w:type="auto"/>
        <w:tblLook w:val="04A0" w:firstRow="1" w:lastRow="0" w:firstColumn="1" w:lastColumn="0" w:noHBand="0" w:noVBand="1"/>
      </w:tblPr>
      <w:tblGrid>
        <w:gridCol w:w="1165"/>
        <w:gridCol w:w="4230"/>
        <w:gridCol w:w="1530"/>
        <w:gridCol w:w="990"/>
      </w:tblGrid>
      <w:tr w:rsidR="00890801" w:rsidRPr="00BB0B66" w14:paraId="3A89DDB9" w14:textId="77777777" w:rsidTr="00B02B10">
        <w:tc>
          <w:tcPr>
            <w:tcW w:w="1165" w:type="dxa"/>
          </w:tcPr>
          <w:p w14:paraId="573762D5" w14:textId="77777777" w:rsidR="00890801" w:rsidRPr="00BB0B66" w:rsidRDefault="00890801" w:rsidP="00B02B10">
            <w:pPr>
              <w:rPr>
                <w:b/>
              </w:rPr>
            </w:pPr>
            <w:r w:rsidRPr="00BB0B66">
              <w:rPr>
                <w:b/>
              </w:rPr>
              <w:t>Station ID</w:t>
            </w:r>
          </w:p>
        </w:tc>
        <w:tc>
          <w:tcPr>
            <w:tcW w:w="4230" w:type="dxa"/>
          </w:tcPr>
          <w:p w14:paraId="02D76AB0" w14:textId="77777777" w:rsidR="00890801" w:rsidRPr="00BB0B66" w:rsidRDefault="00890801" w:rsidP="00B02B10">
            <w:pPr>
              <w:rPr>
                <w:b/>
              </w:rPr>
            </w:pPr>
            <w:r w:rsidRPr="00BB0B66">
              <w:rPr>
                <w:b/>
              </w:rPr>
              <w:t>Description</w:t>
            </w:r>
          </w:p>
        </w:tc>
        <w:tc>
          <w:tcPr>
            <w:tcW w:w="1530" w:type="dxa"/>
          </w:tcPr>
          <w:p w14:paraId="1D24853B" w14:textId="77777777" w:rsidR="00890801" w:rsidRPr="00BB0B66" w:rsidRDefault="00890801" w:rsidP="00BB0B66">
            <w:pPr>
              <w:jc w:val="center"/>
              <w:rPr>
                <w:b/>
              </w:rPr>
            </w:pPr>
            <w:r w:rsidRPr="00BB0B66">
              <w:rPr>
                <w:b/>
              </w:rPr>
              <w:t>POR</w:t>
            </w:r>
          </w:p>
        </w:tc>
        <w:tc>
          <w:tcPr>
            <w:tcW w:w="990" w:type="dxa"/>
          </w:tcPr>
          <w:p w14:paraId="1D17F11E" w14:textId="77777777" w:rsidR="00890801" w:rsidRPr="00BB0B66" w:rsidRDefault="00890801" w:rsidP="009A15C1">
            <w:pPr>
              <w:jc w:val="center"/>
              <w:rPr>
                <w:b/>
              </w:rPr>
            </w:pPr>
            <w:r w:rsidRPr="00BB0B66">
              <w:rPr>
                <w:b/>
              </w:rPr>
              <w:t>Number</w:t>
            </w:r>
          </w:p>
        </w:tc>
      </w:tr>
      <w:tr w:rsidR="00890801" w14:paraId="347479FD" w14:textId="77777777" w:rsidTr="00B02B10">
        <w:tc>
          <w:tcPr>
            <w:tcW w:w="1165" w:type="dxa"/>
          </w:tcPr>
          <w:p w14:paraId="560BC32B" w14:textId="77777777" w:rsidR="00890801" w:rsidRDefault="00890801" w:rsidP="00B02B10">
            <w:r>
              <w:t>BWC44</w:t>
            </w:r>
          </w:p>
        </w:tc>
        <w:tc>
          <w:tcPr>
            <w:tcW w:w="4230" w:type="dxa"/>
          </w:tcPr>
          <w:p w14:paraId="1C4B34F8" w14:textId="77777777" w:rsidR="00890801" w:rsidRDefault="00890801" w:rsidP="00B02B10">
            <w:r>
              <w:t>Blackwater Creek at SR 44</w:t>
            </w:r>
          </w:p>
        </w:tc>
        <w:tc>
          <w:tcPr>
            <w:tcW w:w="1530" w:type="dxa"/>
          </w:tcPr>
          <w:p w14:paraId="0C3BDA99" w14:textId="77777777" w:rsidR="00890801" w:rsidRDefault="00890801" w:rsidP="00BB0B66">
            <w:pPr>
              <w:jc w:val="center"/>
            </w:pPr>
            <w:r>
              <w:t>2006 - 2018</w:t>
            </w:r>
          </w:p>
        </w:tc>
        <w:tc>
          <w:tcPr>
            <w:tcW w:w="990" w:type="dxa"/>
          </w:tcPr>
          <w:p w14:paraId="6F3DE483" w14:textId="77777777" w:rsidR="00890801" w:rsidRDefault="009A15C1" w:rsidP="009A15C1">
            <w:pPr>
              <w:jc w:val="center"/>
            </w:pPr>
            <w:r>
              <w:t>94</w:t>
            </w:r>
          </w:p>
        </w:tc>
      </w:tr>
      <w:tr w:rsidR="00890801" w14:paraId="483743B8" w14:textId="77777777" w:rsidTr="00B02B10">
        <w:tc>
          <w:tcPr>
            <w:tcW w:w="1165" w:type="dxa"/>
          </w:tcPr>
          <w:p w14:paraId="7378B73F" w14:textId="77777777" w:rsidR="00890801" w:rsidRDefault="00890801" w:rsidP="00B02B10">
            <w:r>
              <w:t>BWCCPB</w:t>
            </w:r>
          </w:p>
        </w:tc>
        <w:tc>
          <w:tcPr>
            <w:tcW w:w="4230" w:type="dxa"/>
          </w:tcPr>
          <w:p w14:paraId="791AF201" w14:textId="77777777" w:rsidR="00890801" w:rsidRDefault="00890801" w:rsidP="00B02B10">
            <w:r>
              <w:t>Blackwater Creek Carter Property Bridge</w:t>
            </w:r>
          </w:p>
        </w:tc>
        <w:tc>
          <w:tcPr>
            <w:tcW w:w="1530" w:type="dxa"/>
          </w:tcPr>
          <w:p w14:paraId="19C315F7" w14:textId="77777777" w:rsidR="00890801" w:rsidRDefault="00890801" w:rsidP="00BB0B66">
            <w:pPr>
              <w:jc w:val="center"/>
            </w:pPr>
            <w:r>
              <w:t>2006 - 2018</w:t>
            </w:r>
          </w:p>
        </w:tc>
        <w:tc>
          <w:tcPr>
            <w:tcW w:w="990" w:type="dxa"/>
          </w:tcPr>
          <w:p w14:paraId="6C2E531C" w14:textId="77777777" w:rsidR="00890801" w:rsidRDefault="009A15C1" w:rsidP="009A15C1">
            <w:pPr>
              <w:jc w:val="center"/>
            </w:pPr>
            <w:r>
              <w:t>78</w:t>
            </w:r>
          </w:p>
        </w:tc>
      </w:tr>
      <w:tr w:rsidR="00890801" w14:paraId="4F4F3987" w14:textId="77777777" w:rsidTr="00B02B10">
        <w:tc>
          <w:tcPr>
            <w:tcW w:w="1165" w:type="dxa"/>
          </w:tcPr>
          <w:p w14:paraId="0B2DCF13" w14:textId="77777777" w:rsidR="00890801" w:rsidRDefault="00890801" w:rsidP="00B02B10">
            <w:r>
              <w:t>BWCUWR</w:t>
            </w:r>
          </w:p>
        </w:tc>
        <w:tc>
          <w:tcPr>
            <w:tcW w:w="4230" w:type="dxa"/>
          </w:tcPr>
          <w:p w14:paraId="776DCE96" w14:textId="77777777" w:rsidR="00890801" w:rsidRDefault="00890801" w:rsidP="00B02B10">
            <w:r>
              <w:t>Blackwater Creek above the Wekiva River</w:t>
            </w:r>
          </w:p>
        </w:tc>
        <w:tc>
          <w:tcPr>
            <w:tcW w:w="1530" w:type="dxa"/>
          </w:tcPr>
          <w:p w14:paraId="4A9B43A8" w14:textId="77777777" w:rsidR="00890801" w:rsidRDefault="00890801" w:rsidP="00BB0B66">
            <w:pPr>
              <w:jc w:val="center"/>
            </w:pPr>
            <w:r>
              <w:t>2006 – 2010</w:t>
            </w:r>
          </w:p>
        </w:tc>
        <w:tc>
          <w:tcPr>
            <w:tcW w:w="990" w:type="dxa"/>
          </w:tcPr>
          <w:p w14:paraId="417F64EA" w14:textId="77777777" w:rsidR="00890801" w:rsidRDefault="009A15C1" w:rsidP="009A15C1">
            <w:pPr>
              <w:jc w:val="center"/>
            </w:pPr>
            <w:r>
              <w:t>59</w:t>
            </w:r>
          </w:p>
        </w:tc>
      </w:tr>
      <w:tr w:rsidR="00890801" w14:paraId="3801F18B" w14:textId="77777777" w:rsidTr="00B02B10">
        <w:tc>
          <w:tcPr>
            <w:tcW w:w="1165" w:type="dxa"/>
          </w:tcPr>
          <w:p w14:paraId="2D5EC5B0" w14:textId="77777777" w:rsidR="00890801" w:rsidRDefault="00890801" w:rsidP="00B02B10">
            <w:r>
              <w:t>MUDCR</w:t>
            </w:r>
          </w:p>
        </w:tc>
        <w:tc>
          <w:tcPr>
            <w:tcW w:w="4230" w:type="dxa"/>
          </w:tcPr>
          <w:p w14:paraId="27D2BC04" w14:textId="77777777" w:rsidR="00890801" w:rsidRDefault="00890801" w:rsidP="00B02B10">
            <w:r>
              <w:t>Eaton Creek above mouth below Mud Lake</w:t>
            </w:r>
          </w:p>
        </w:tc>
        <w:tc>
          <w:tcPr>
            <w:tcW w:w="1530" w:type="dxa"/>
          </w:tcPr>
          <w:p w14:paraId="5A83BF71" w14:textId="77777777" w:rsidR="00890801" w:rsidRDefault="00890801" w:rsidP="00BB0B66">
            <w:pPr>
              <w:jc w:val="center"/>
            </w:pPr>
            <w:r>
              <w:t>2014 - 2018</w:t>
            </w:r>
          </w:p>
        </w:tc>
        <w:tc>
          <w:tcPr>
            <w:tcW w:w="990" w:type="dxa"/>
          </w:tcPr>
          <w:p w14:paraId="0B5431AA" w14:textId="77777777" w:rsidR="00890801" w:rsidRDefault="009A15C1" w:rsidP="009A15C1">
            <w:pPr>
              <w:jc w:val="center"/>
            </w:pPr>
            <w:r>
              <w:t>58</w:t>
            </w:r>
          </w:p>
        </w:tc>
      </w:tr>
      <w:tr w:rsidR="00890801" w14:paraId="2D665D68" w14:textId="77777777" w:rsidTr="00B02B10">
        <w:tc>
          <w:tcPr>
            <w:tcW w:w="1165" w:type="dxa"/>
          </w:tcPr>
          <w:p w14:paraId="3D9C3079" w14:textId="77777777" w:rsidR="00890801" w:rsidRDefault="00890801" w:rsidP="00B02B10">
            <w:r>
              <w:t>OR039</w:t>
            </w:r>
          </w:p>
        </w:tc>
        <w:tc>
          <w:tcPr>
            <w:tcW w:w="4230" w:type="dxa"/>
          </w:tcPr>
          <w:p w14:paraId="2BFC56AB" w14:textId="77777777" w:rsidR="00890801" w:rsidRDefault="00890801" w:rsidP="00B02B10">
            <w:r>
              <w:t>Eaton Creek at CR 314</w:t>
            </w:r>
          </w:p>
        </w:tc>
        <w:tc>
          <w:tcPr>
            <w:tcW w:w="1530" w:type="dxa"/>
          </w:tcPr>
          <w:p w14:paraId="0A95A741" w14:textId="77777777" w:rsidR="00890801" w:rsidRDefault="00890801" w:rsidP="00BB0B66">
            <w:pPr>
              <w:jc w:val="center"/>
            </w:pPr>
            <w:r>
              <w:t>2014 - 2018</w:t>
            </w:r>
          </w:p>
        </w:tc>
        <w:tc>
          <w:tcPr>
            <w:tcW w:w="990" w:type="dxa"/>
          </w:tcPr>
          <w:p w14:paraId="2A3E26E1" w14:textId="77777777" w:rsidR="00890801" w:rsidRDefault="009A15C1" w:rsidP="009A15C1">
            <w:pPr>
              <w:jc w:val="center"/>
            </w:pPr>
            <w:r>
              <w:t>53</w:t>
            </w:r>
          </w:p>
        </w:tc>
      </w:tr>
      <w:tr w:rsidR="00890801" w14:paraId="6A558CBB" w14:textId="77777777" w:rsidTr="00B02B10">
        <w:tc>
          <w:tcPr>
            <w:tcW w:w="1165" w:type="dxa"/>
          </w:tcPr>
          <w:p w14:paraId="4B1A2630" w14:textId="77777777" w:rsidR="00890801" w:rsidRDefault="00890801" w:rsidP="00B02B10">
            <w:r>
              <w:t>PCRHR</w:t>
            </w:r>
          </w:p>
        </w:tc>
        <w:tc>
          <w:tcPr>
            <w:tcW w:w="4230" w:type="dxa"/>
          </w:tcPr>
          <w:p w14:paraId="4537DD3F" w14:textId="77777777" w:rsidR="00890801" w:rsidRDefault="00890801" w:rsidP="00B02B10">
            <w:r>
              <w:t>Peters Creek upstream Rosemary Hill Road</w:t>
            </w:r>
          </w:p>
        </w:tc>
        <w:tc>
          <w:tcPr>
            <w:tcW w:w="1530" w:type="dxa"/>
          </w:tcPr>
          <w:p w14:paraId="0B2FA39D" w14:textId="77777777" w:rsidR="00890801" w:rsidRDefault="00890801" w:rsidP="00BB0B66">
            <w:pPr>
              <w:jc w:val="center"/>
            </w:pPr>
            <w:r>
              <w:t>20</w:t>
            </w:r>
            <w:r w:rsidR="00653B3B">
              <w:t>0</w:t>
            </w:r>
            <w:r>
              <w:t>6 - 201</w:t>
            </w:r>
            <w:r w:rsidR="00653B3B">
              <w:t>1</w:t>
            </w:r>
          </w:p>
        </w:tc>
        <w:tc>
          <w:tcPr>
            <w:tcW w:w="990" w:type="dxa"/>
          </w:tcPr>
          <w:p w14:paraId="3DA47CD3" w14:textId="77777777" w:rsidR="00890801" w:rsidRDefault="009A15C1" w:rsidP="009A15C1">
            <w:pPr>
              <w:jc w:val="center"/>
            </w:pPr>
            <w:r>
              <w:t>57</w:t>
            </w:r>
          </w:p>
        </w:tc>
      </w:tr>
      <w:tr w:rsidR="00890801" w14:paraId="31AF4F41" w14:textId="77777777" w:rsidTr="00B02B10">
        <w:tc>
          <w:tcPr>
            <w:tcW w:w="1165" w:type="dxa"/>
          </w:tcPr>
          <w:p w14:paraId="6F04D938" w14:textId="77777777" w:rsidR="00890801" w:rsidRDefault="00890801" w:rsidP="00B02B10">
            <w:r>
              <w:t>PTC</w:t>
            </w:r>
          </w:p>
        </w:tc>
        <w:tc>
          <w:tcPr>
            <w:tcW w:w="4230" w:type="dxa"/>
          </w:tcPr>
          <w:p w14:paraId="280E19C7" w14:textId="77777777" w:rsidR="00890801" w:rsidRDefault="00890801" w:rsidP="00B02B10">
            <w:r>
              <w:t>Peters Creek at CR 209 above mouth</w:t>
            </w:r>
          </w:p>
        </w:tc>
        <w:tc>
          <w:tcPr>
            <w:tcW w:w="1530" w:type="dxa"/>
          </w:tcPr>
          <w:p w14:paraId="3FFFB871" w14:textId="77777777" w:rsidR="00890801" w:rsidRDefault="00890801" w:rsidP="00BB0B66">
            <w:pPr>
              <w:jc w:val="center"/>
            </w:pPr>
            <w:r>
              <w:t>20</w:t>
            </w:r>
            <w:r w:rsidR="00653B3B">
              <w:t>0</w:t>
            </w:r>
            <w:r>
              <w:t>6 - 201</w:t>
            </w:r>
            <w:r w:rsidR="00653B3B">
              <w:t>1</w:t>
            </w:r>
          </w:p>
        </w:tc>
        <w:tc>
          <w:tcPr>
            <w:tcW w:w="990" w:type="dxa"/>
          </w:tcPr>
          <w:p w14:paraId="50539606" w14:textId="77777777" w:rsidR="00890801" w:rsidRDefault="009A15C1" w:rsidP="009A15C1">
            <w:pPr>
              <w:jc w:val="center"/>
            </w:pPr>
            <w:r>
              <w:t>108</w:t>
            </w:r>
          </w:p>
        </w:tc>
      </w:tr>
      <w:tr w:rsidR="00890801" w14:paraId="066A281E" w14:textId="77777777" w:rsidTr="00B02B10">
        <w:tc>
          <w:tcPr>
            <w:tcW w:w="1165" w:type="dxa"/>
          </w:tcPr>
          <w:p w14:paraId="2D8039BF" w14:textId="77777777" w:rsidR="00890801" w:rsidRDefault="00890801" w:rsidP="00B02B10">
            <w:r>
              <w:t>TCB</w:t>
            </w:r>
          </w:p>
        </w:tc>
        <w:tc>
          <w:tcPr>
            <w:tcW w:w="4230" w:type="dxa"/>
          </w:tcPr>
          <w:p w14:paraId="2B3412A7" w14:textId="77777777" w:rsidR="00890801" w:rsidRDefault="00890801" w:rsidP="00B02B10">
            <w:r>
              <w:t>Taylor Creek at CR 532 below reservoir</w:t>
            </w:r>
          </w:p>
        </w:tc>
        <w:tc>
          <w:tcPr>
            <w:tcW w:w="1530" w:type="dxa"/>
          </w:tcPr>
          <w:p w14:paraId="07BC6856" w14:textId="77777777" w:rsidR="00890801" w:rsidRDefault="00890801" w:rsidP="00BB0B66">
            <w:pPr>
              <w:jc w:val="center"/>
            </w:pPr>
            <w:r>
              <w:t>2006 - 2018</w:t>
            </w:r>
          </w:p>
        </w:tc>
        <w:tc>
          <w:tcPr>
            <w:tcW w:w="990" w:type="dxa"/>
          </w:tcPr>
          <w:p w14:paraId="61FB72A6" w14:textId="77777777" w:rsidR="00890801" w:rsidRDefault="009A15C1" w:rsidP="009A15C1">
            <w:pPr>
              <w:jc w:val="center"/>
            </w:pPr>
            <w:r>
              <w:t>155</w:t>
            </w:r>
          </w:p>
        </w:tc>
      </w:tr>
    </w:tbl>
    <w:p w14:paraId="3191CA43" w14:textId="77777777" w:rsidR="00890801" w:rsidRDefault="00890801" w:rsidP="00890801"/>
    <w:p w14:paraId="2DB5F1D5" w14:textId="77777777" w:rsidR="00107260" w:rsidRDefault="00107260" w:rsidP="00890801"/>
    <w:p w14:paraId="17C87312" w14:textId="77777777" w:rsidR="007B5118" w:rsidRDefault="008F6158" w:rsidP="00D214CF">
      <w:r>
        <w:t xml:space="preserve">Table 3. </w:t>
      </w:r>
      <w:r w:rsidR="007B5118">
        <w:t xml:space="preserve"> </w:t>
      </w:r>
      <w:proofErr w:type="gramStart"/>
      <w:r>
        <w:t>C</w:t>
      </w:r>
      <w:r w:rsidR="007B5118">
        <w:t>alendar year frequency of current criteria exceedance</w:t>
      </w:r>
      <w:r>
        <w:t>,</w:t>
      </w:r>
      <w:proofErr w:type="gramEnd"/>
      <w:r>
        <w:t xml:space="preserve"> </w:t>
      </w:r>
      <w:r w:rsidR="007B5118">
        <w:t xml:space="preserve">determined using the NORMDIST function in Excel, with the point corresponding to the frequency of occurrence of below-criteria events determined through linear interpolation.   These frequencies for the SJRWMD sites are listed in the </w:t>
      </w:r>
      <w:r>
        <w:t>T</w:t>
      </w:r>
      <w:r w:rsidR="007B5118">
        <w:t xml:space="preserve">able </w:t>
      </w:r>
      <w:r>
        <w:t>2</w:t>
      </w:r>
      <w:r w:rsidR="007B5118">
        <w:t xml:space="preserve">.  </w:t>
      </w:r>
    </w:p>
    <w:tbl>
      <w:tblPr>
        <w:tblW w:w="10100" w:type="dxa"/>
        <w:tblLook w:val="04A0" w:firstRow="1" w:lastRow="0" w:firstColumn="1" w:lastColumn="0" w:noHBand="0" w:noVBand="1"/>
      </w:tblPr>
      <w:tblGrid>
        <w:gridCol w:w="944"/>
        <w:gridCol w:w="1256"/>
        <w:gridCol w:w="1203"/>
        <w:gridCol w:w="1122"/>
        <w:gridCol w:w="1256"/>
        <w:gridCol w:w="975"/>
        <w:gridCol w:w="1256"/>
        <w:gridCol w:w="917"/>
        <w:gridCol w:w="1171"/>
      </w:tblGrid>
      <w:tr w:rsidR="002675F7" w:rsidRPr="002675F7" w14:paraId="2B8C9825" w14:textId="77777777" w:rsidTr="008F6158">
        <w:trPr>
          <w:trHeight w:val="300"/>
        </w:trPr>
        <w:tc>
          <w:tcPr>
            <w:tcW w:w="9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F34A75"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3581" w:type="dxa"/>
            <w:gridSpan w:val="3"/>
            <w:tcBorders>
              <w:top w:val="single" w:sz="4" w:space="0" w:color="auto"/>
              <w:left w:val="nil"/>
              <w:bottom w:val="single" w:sz="4" w:space="0" w:color="auto"/>
              <w:right w:val="single" w:sz="4" w:space="0" w:color="auto"/>
            </w:tcBorders>
            <w:shd w:val="clear" w:color="auto" w:fill="auto"/>
            <w:vAlign w:val="bottom"/>
            <w:hideMark/>
          </w:tcPr>
          <w:p w14:paraId="337C714D"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Blackwater Creek</w:t>
            </w:r>
          </w:p>
        </w:tc>
        <w:tc>
          <w:tcPr>
            <w:tcW w:w="2231" w:type="dxa"/>
            <w:gridSpan w:val="2"/>
            <w:tcBorders>
              <w:top w:val="single" w:sz="4" w:space="0" w:color="auto"/>
              <w:left w:val="nil"/>
              <w:bottom w:val="single" w:sz="4" w:space="0" w:color="auto"/>
              <w:right w:val="single" w:sz="4" w:space="0" w:color="auto"/>
            </w:tcBorders>
            <w:shd w:val="clear" w:color="auto" w:fill="auto"/>
            <w:vAlign w:val="bottom"/>
            <w:hideMark/>
          </w:tcPr>
          <w:p w14:paraId="4813681F"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Eaton Creek</w:t>
            </w:r>
          </w:p>
        </w:tc>
        <w:tc>
          <w:tcPr>
            <w:tcW w:w="2173" w:type="dxa"/>
            <w:gridSpan w:val="2"/>
            <w:tcBorders>
              <w:top w:val="single" w:sz="4" w:space="0" w:color="auto"/>
              <w:left w:val="nil"/>
              <w:bottom w:val="single" w:sz="4" w:space="0" w:color="auto"/>
              <w:right w:val="single" w:sz="4" w:space="0" w:color="auto"/>
            </w:tcBorders>
            <w:shd w:val="clear" w:color="auto" w:fill="auto"/>
            <w:vAlign w:val="bottom"/>
            <w:hideMark/>
          </w:tcPr>
          <w:p w14:paraId="2B8E3C3D"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Peters Creek</w:t>
            </w:r>
          </w:p>
        </w:tc>
        <w:tc>
          <w:tcPr>
            <w:tcW w:w="1171" w:type="dxa"/>
            <w:tcBorders>
              <w:top w:val="single" w:sz="4" w:space="0" w:color="auto"/>
              <w:left w:val="nil"/>
              <w:bottom w:val="single" w:sz="4" w:space="0" w:color="auto"/>
              <w:right w:val="single" w:sz="4" w:space="0" w:color="auto"/>
            </w:tcBorders>
            <w:shd w:val="clear" w:color="auto" w:fill="auto"/>
            <w:vAlign w:val="bottom"/>
            <w:hideMark/>
          </w:tcPr>
          <w:p w14:paraId="0AA9B4DF" w14:textId="77777777" w:rsidR="002675F7" w:rsidRPr="002675F7" w:rsidRDefault="002675F7" w:rsidP="00BB0B66">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Taylor Creek</w:t>
            </w:r>
          </w:p>
        </w:tc>
      </w:tr>
      <w:tr w:rsidR="00BB0B66" w:rsidRPr="002675F7" w14:paraId="127E9D09" w14:textId="77777777" w:rsidTr="008F6158">
        <w:trPr>
          <w:trHeight w:val="900"/>
        </w:trPr>
        <w:tc>
          <w:tcPr>
            <w:tcW w:w="944" w:type="dxa"/>
            <w:tcBorders>
              <w:top w:val="nil"/>
              <w:left w:val="single" w:sz="4" w:space="0" w:color="auto"/>
              <w:bottom w:val="single" w:sz="4" w:space="0" w:color="auto"/>
              <w:right w:val="single" w:sz="4" w:space="0" w:color="auto"/>
            </w:tcBorders>
            <w:shd w:val="clear" w:color="auto" w:fill="auto"/>
            <w:vAlign w:val="bottom"/>
            <w:hideMark/>
          </w:tcPr>
          <w:p w14:paraId="4BB581B5"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YEAR</w:t>
            </w:r>
          </w:p>
        </w:tc>
        <w:tc>
          <w:tcPr>
            <w:tcW w:w="1256" w:type="dxa"/>
            <w:tcBorders>
              <w:top w:val="nil"/>
              <w:left w:val="nil"/>
              <w:bottom w:val="single" w:sz="4" w:space="0" w:color="auto"/>
              <w:right w:val="single" w:sz="4" w:space="0" w:color="auto"/>
            </w:tcBorders>
            <w:shd w:val="clear" w:color="auto" w:fill="auto"/>
            <w:vAlign w:val="bottom"/>
            <w:hideMark/>
          </w:tcPr>
          <w:p w14:paraId="0D3DD46C"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BWC44 (Upstream)</w:t>
            </w:r>
          </w:p>
        </w:tc>
        <w:tc>
          <w:tcPr>
            <w:tcW w:w="1203" w:type="dxa"/>
            <w:tcBorders>
              <w:top w:val="nil"/>
              <w:left w:val="nil"/>
              <w:bottom w:val="single" w:sz="4" w:space="0" w:color="auto"/>
              <w:right w:val="single" w:sz="4" w:space="0" w:color="auto"/>
            </w:tcBorders>
            <w:shd w:val="clear" w:color="auto" w:fill="auto"/>
            <w:vAlign w:val="bottom"/>
            <w:hideMark/>
          </w:tcPr>
          <w:p w14:paraId="180AFAA5"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BWCCPB (Midpoint)</w:t>
            </w:r>
          </w:p>
        </w:tc>
        <w:tc>
          <w:tcPr>
            <w:tcW w:w="1122" w:type="dxa"/>
            <w:tcBorders>
              <w:top w:val="nil"/>
              <w:left w:val="nil"/>
              <w:bottom w:val="single" w:sz="4" w:space="0" w:color="auto"/>
              <w:right w:val="single" w:sz="4" w:space="0" w:color="auto"/>
            </w:tcBorders>
            <w:shd w:val="clear" w:color="auto" w:fill="auto"/>
            <w:vAlign w:val="bottom"/>
            <w:hideMark/>
          </w:tcPr>
          <w:p w14:paraId="783E4363"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BWCUWR Above Mouth)</w:t>
            </w:r>
          </w:p>
        </w:tc>
        <w:tc>
          <w:tcPr>
            <w:tcW w:w="1256" w:type="dxa"/>
            <w:tcBorders>
              <w:top w:val="nil"/>
              <w:left w:val="nil"/>
              <w:bottom w:val="single" w:sz="4" w:space="0" w:color="auto"/>
              <w:right w:val="single" w:sz="4" w:space="0" w:color="auto"/>
            </w:tcBorders>
            <w:shd w:val="clear" w:color="auto" w:fill="auto"/>
            <w:vAlign w:val="bottom"/>
            <w:hideMark/>
          </w:tcPr>
          <w:p w14:paraId="07AC16B1"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OR039 (Upstream)</w:t>
            </w:r>
          </w:p>
        </w:tc>
        <w:tc>
          <w:tcPr>
            <w:tcW w:w="975" w:type="dxa"/>
            <w:tcBorders>
              <w:top w:val="nil"/>
              <w:left w:val="nil"/>
              <w:bottom w:val="single" w:sz="4" w:space="0" w:color="auto"/>
              <w:right w:val="single" w:sz="4" w:space="0" w:color="auto"/>
            </w:tcBorders>
            <w:shd w:val="clear" w:color="auto" w:fill="auto"/>
            <w:vAlign w:val="bottom"/>
            <w:hideMark/>
          </w:tcPr>
          <w:p w14:paraId="6FEF432A"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MUDCR (Above Mouth)</w:t>
            </w:r>
          </w:p>
        </w:tc>
        <w:tc>
          <w:tcPr>
            <w:tcW w:w="1256" w:type="dxa"/>
            <w:tcBorders>
              <w:top w:val="nil"/>
              <w:left w:val="nil"/>
              <w:bottom w:val="single" w:sz="4" w:space="0" w:color="auto"/>
              <w:right w:val="single" w:sz="4" w:space="0" w:color="auto"/>
            </w:tcBorders>
            <w:shd w:val="clear" w:color="auto" w:fill="auto"/>
            <w:vAlign w:val="bottom"/>
            <w:hideMark/>
          </w:tcPr>
          <w:p w14:paraId="48F08B4F"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PCRHR (Upstream)</w:t>
            </w:r>
          </w:p>
        </w:tc>
        <w:tc>
          <w:tcPr>
            <w:tcW w:w="917" w:type="dxa"/>
            <w:tcBorders>
              <w:top w:val="nil"/>
              <w:left w:val="nil"/>
              <w:bottom w:val="single" w:sz="4" w:space="0" w:color="auto"/>
              <w:right w:val="single" w:sz="4" w:space="0" w:color="auto"/>
            </w:tcBorders>
            <w:shd w:val="clear" w:color="auto" w:fill="auto"/>
            <w:vAlign w:val="bottom"/>
            <w:hideMark/>
          </w:tcPr>
          <w:p w14:paraId="4F1D22A6"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PTC (Above Mouth)</w:t>
            </w:r>
          </w:p>
        </w:tc>
        <w:tc>
          <w:tcPr>
            <w:tcW w:w="1171" w:type="dxa"/>
            <w:tcBorders>
              <w:top w:val="nil"/>
              <w:left w:val="nil"/>
              <w:bottom w:val="single" w:sz="4" w:space="0" w:color="auto"/>
              <w:right w:val="single" w:sz="4" w:space="0" w:color="auto"/>
            </w:tcBorders>
            <w:shd w:val="clear" w:color="auto" w:fill="auto"/>
            <w:vAlign w:val="bottom"/>
            <w:hideMark/>
          </w:tcPr>
          <w:p w14:paraId="2BC7290D"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TCB (Below Reservoir)</w:t>
            </w:r>
          </w:p>
        </w:tc>
      </w:tr>
      <w:tr w:rsidR="00BB0B66" w:rsidRPr="002675F7" w14:paraId="1DB36B17" w14:textId="77777777" w:rsidTr="008F6158">
        <w:trPr>
          <w:trHeight w:val="300"/>
        </w:trPr>
        <w:tc>
          <w:tcPr>
            <w:tcW w:w="944" w:type="dxa"/>
            <w:tcBorders>
              <w:top w:val="nil"/>
              <w:left w:val="single" w:sz="4" w:space="0" w:color="auto"/>
              <w:bottom w:val="single" w:sz="4" w:space="0" w:color="auto"/>
              <w:right w:val="single" w:sz="4" w:space="0" w:color="auto"/>
            </w:tcBorders>
            <w:shd w:val="clear" w:color="auto" w:fill="auto"/>
            <w:vAlign w:val="bottom"/>
            <w:hideMark/>
          </w:tcPr>
          <w:p w14:paraId="1E5B166C"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2006</w:t>
            </w:r>
          </w:p>
        </w:tc>
        <w:tc>
          <w:tcPr>
            <w:tcW w:w="1256" w:type="dxa"/>
            <w:tcBorders>
              <w:top w:val="nil"/>
              <w:left w:val="nil"/>
              <w:bottom w:val="single" w:sz="4" w:space="0" w:color="auto"/>
              <w:right w:val="single" w:sz="4" w:space="0" w:color="auto"/>
            </w:tcBorders>
            <w:shd w:val="clear" w:color="auto" w:fill="auto"/>
            <w:vAlign w:val="bottom"/>
            <w:hideMark/>
          </w:tcPr>
          <w:p w14:paraId="2777F0E5"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18.6</w:t>
            </w:r>
          </w:p>
        </w:tc>
        <w:tc>
          <w:tcPr>
            <w:tcW w:w="1203" w:type="dxa"/>
            <w:tcBorders>
              <w:top w:val="nil"/>
              <w:left w:val="nil"/>
              <w:bottom w:val="single" w:sz="4" w:space="0" w:color="auto"/>
              <w:right w:val="single" w:sz="4" w:space="0" w:color="auto"/>
            </w:tcBorders>
            <w:shd w:val="clear" w:color="auto" w:fill="auto"/>
            <w:vAlign w:val="bottom"/>
            <w:hideMark/>
          </w:tcPr>
          <w:p w14:paraId="3F615BDB"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c>
          <w:tcPr>
            <w:tcW w:w="1122" w:type="dxa"/>
            <w:tcBorders>
              <w:top w:val="nil"/>
              <w:left w:val="nil"/>
              <w:bottom w:val="single" w:sz="4" w:space="0" w:color="auto"/>
              <w:right w:val="single" w:sz="4" w:space="0" w:color="auto"/>
            </w:tcBorders>
            <w:shd w:val="clear" w:color="auto" w:fill="auto"/>
            <w:vAlign w:val="bottom"/>
            <w:hideMark/>
          </w:tcPr>
          <w:p w14:paraId="150DB229"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c>
          <w:tcPr>
            <w:tcW w:w="1256" w:type="dxa"/>
            <w:tcBorders>
              <w:top w:val="nil"/>
              <w:left w:val="nil"/>
              <w:bottom w:val="single" w:sz="4" w:space="0" w:color="auto"/>
              <w:right w:val="single" w:sz="4" w:space="0" w:color="auto"/>
            </w:tcBorders>
            <w:shd w:val="clear" w:color="auto" w:fill="auto"/>
            <w:vAlign w:val="bottom"/>
            <w:hideMark/>
          </w:tcPr>
          <w:p w14:paraId="49787AF4"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975" w:type="dxa"/>
            <w:tcBorders>
              <w:top w:val="nil"/>
              <w:left w:val="nil"/>
              <w:bottom w:val="single" w:sz="4" w:space="0" w:color="auto"/>
              <w:right w:val="single" w:sz="4" w:space="0" w:color="auto"/>
            </w:tcBorders>
            <w:shd w:val="clear" w:color="auto" w:fill="auto"/>
            <w:vAlign w:val="bottom"/>
            <w:hideMark/>
          </w:tcPr>
          <w:p w14:paraId="2E11B4FD"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256" w:type="dxa"/>
            <w:tcBorders>
              <w:top w:val="nil"/>
              <w:left w:val="nil"/>
              <w:bottom w:val="single" w:sz="4" w:space="0" w:color="auto"/>
              <w:right w:val="single" w:sz="4" w:space="0" w:color="auto"/>
            </w:tcBorders>
            <w:shd w:val="clear" w:color="auto" w:fill="auto"/>
            <w:vAlign w:val="bottom"/>
            <w:hideMark/>
          </w:tcPr>
          <w:p w14:paraId="78591949"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c>
          <w:tcPr>
            <w:tcW w:w="917" w:type="dxa"/>
            <w:tcBorders>
              <w:top w:val="nil"/>
              <w:left w:val="nil"/>
              <w:bottom w:val="single" w:sz="4" w:space="0" w:color="auto"/>
              <w:right w:val="single" w:sz="4" w:space="0" w:color="auto"/>
            </w:tcBorders>
            <w:shd w:val="clear" w:color="auto" w:fill="auto"/>
            <w:vAlign w:val="bottom"/>
            <w:hideMark/>
          </w:tcPr>
          <w:p w14:paraId="0D2BFB63"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32.3</w:t>
            </w:r>
          </w:p>
        </w:tc>
        <w:tc>
          <w:tcPr>
            <w:tcW w:w="1171" w:type="dxa"/>
            <w:tcBorders>
              <w:top w:val="nil"/>
              <w:left w:val="nil"/>
              <w:bottom w:val="single" w:sz="4" w:space="0" w:color="auto"/>
              <w:right w:val="single" w:sz="4" w:space="0" w:color="auto"/>
            </w:tcBorders>
            <w:shd w:val="clear" w:color="auto" w:fill="auto"/>
            <w:vAlign w:val="bottom"/>
            <w:hideMark/>
          </w:tcPr>
          <w:p w14:paraId="6B57ADCC"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36.1</w:t>
            </w:r>
          </w:p>
        </w:tc>
      </w:tr>
      <w:tr w:rsidR="00BB0B66" w:rsidRPr="002675F7" w14:paraId="4711F3C9" w14:textId="77777777" w:rsidTr="008F6158">
        <w:trPr>
          <w:trHeight w:val="300"/>
        </w:trPr>
        <w:tc>
          <w:tcPr>
            <w:tcW w:w="944" w:type="dxa"/>
            <w:tcBorders>
              <w:top w:val="nil"/>
              <w:left w:val="single" w:sz="4" w:space="0" w:color="auto"/>
              <w:bottom w:val="single" w:sz="4" w:space="0" w:color="auto"/>
              <w:right w:val="single" w:sz="4" w:space="0" w:color="auto"/>
            </w:tcBorders>
            <w:shd w:val="clear" w:color="auto" w:fill="auto"/>
            <w:vAlign w:val="bottom"/>
            <w:hideMark/>
          </w:tcPr>
          <w:p w14:paraId="07200E20"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2007</w:t>
            </w:r>
          </w:p>
        </w:tc>
        <w:tc>
          <w:tcPr>
            <w:tcW w:w="1256" w:type="dxa"/>
            <w:tcBorders>
              <w:top w:val="nil"/>
              <w:left w:val="nil"/>
              <w:bottom w:val="single" w:sz="4" w:space="0" w:color="auto"/>
              <w:right w:val="single" w:sz="4" w:space="0" w:color="auto"/>
            </w:tcBorders>
            <w:shd w:val="clear" w:color="auto" w:fill="auto"/>
            <w:vAlign w:val="bottom"/>
            <w:hideMark/>
          </w:tcPr>
          <w:p w14:paraId="73CAA103"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c>
          <w:tcPr>
            <w:tcW w:w="1203" w:type="dxa"/>
            <w:tcBorders>
              <w:top w:val="nil"/>
              <w:left w:val="nil"/>
              <w:bottom w:val="single" w:sz="4" w:space="0" w:color="auto"/>
              <w:right w:val="single" w:sz="4" w:space="0" w:color="auto"/>
            </w:tcBorders>
            <w:shd w:val="clear" w:color="auto" w:fill="auto"/>
            <w:vAlign w:val="bottom"/>
            <w:hideMark/>
          </w:tcPr>
          <w:p w14:paraId="3F8FE38E"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c>
          <w:tcPr>
            <w:tcW w:w="1122" w:type="dxa"/>
            <w:tcBorders>
              <w:top w:val="nil"/>
              <w:left w:val="nil"/>
              <w:bottom w:val="single" w:sz="4" w:space="0" w:color="auto"/>
              <w:right w:val="single" w:sz="4" w:space="0" w:color="auto"/>
            </w:tcBorders>
            <w:shd w:val="clear" w:color="auto" w:fill="auto"/>
            <w:vAlign w:val="bottom"/>
            <w:hideMark/>
          </w:tcPr>
          <w:p w14:paraId="0E1994FB"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c>
          <w:tcPr>
            <w:tcW w:w="1256" w:type="dxa"/>
            <w:tcBorders>
              <w:top w:val="nil"/>
              <w:left w:val="nil"/>
              <w:bottom w:val="single" w:sz="4" w:space="0" w:color="auto"/>
              <w:right w:val="single" w:sz="4" w:space="0" w:color="auto"/>
            </w:tcBorders>
            <w:shd w:val="clear" w:color="auto" w:fill="auto"/>
            <w:vAlign w:val="bottom"/>
            <w:hideMark/>
          </w:tcPr>
          <w:p w14:paraId="06752539"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975" w:type="dxa"/>
            <w:tcBorders>
              <w:top w:val="nil"/>
              <w:left w:val="nil"/>
              <w:bottom w:val="single" w:sz="4" w:space="0" w:color="auto"/>
              <w:right w:val="single" w:sz="4" w:space="0" w:color="auto"/>
            </w:tcBorders>
            <w:shd w:val="clear" w:color="auto" w:fill="auto"/>
            <w:vAlign w:val="bottom"/>
            <w:hideMark/>
          </w:tcPr>
          <w:p w14:paraId="5721AC7C"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256" w:type="dxa"/>
            <w:tcBorders>
              <w:top w:val="nil"/>
              <w:left w:val="nil"/>
              <w:bottom w:val="single" w:sz="4" w:space="0" w:color="auto"/>
              <w:right w:val="single" w:sz="4" w:space="0" w:color="auto"/>
            </w:tcBorders>
            <w:shd w:val="clear" w:color="auto" w:fill="auto"/>
            <w:vAlign w:val="bottom"/>
            <w:hideMark/>
          </w:tcPr>
          <w:p w14:paraId="41E2F467"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c>
          <w:tcPr>
            <w:tcW w:w="917" w:type="dxa"/>
            <w:tcBorders>
              <w:top w:val="nil"/>
              <w:left w:val="nil"/>
              <w:bottom w:val="single" w:sz="4" w:space="0" w:color="auto"/>
              <w:right w:val="single" w:sz="4" w:space="0" w:color="auto"/>
            </w:tcBorders>
            <w:shd w:val="clear" w:color="auto" w:fill="auto"/>
            <w:vAlign w:val="bottom"/>
            <w:hideMark/>
          </w:tcPr>
          <w:p w14:paraId="3AC6E7B7"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49.8</w:t>
            </w:r>
          </w:p>
        </w:tc>
        <w:tc>
          <w:tcPr>
            <w:tcW w:w="1171" w:type="dxa"/>
            <w:tcBorders>
              <w:top w:val="nil"/>
              <w:left w:val="nil"/>
              <w:bottom w:val="single" w:sz="4" w:space="0" w:color="auto"/>
              <w:right w:val="single" w:sz="4" w:space="0" w:color="auto"/>
            </w:tcBorders>
            <w:shd w:val="clear" w:color="auto" w:fill="auto"/>
            <w:vAlign w:val="bottom"/>
            <w:hideMark/>
          </w:tcPr>
          <w:p w14:paraId="7BB41837"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37.8</w:t>
            </w:r>
          </w:p>
        </w:tc>
      </w:tr>
      <w:tr w:rsidR="00BB0B66" w:rsidRPr="002675F7" w14:paraId="0051D729" w14:textId="77777777" w:rsidTr="008F6158">
        <w:trPr>
          <w:trHeight w:val="300"/>
        </w:trPr>
        <w:tc>
          <w:tcPr>
            <w:tcW w:w="944" w:type="dxa"/>
            <w:tcBorders>
              <w:top w:val="nil"/>
              <w:left w:val="single" w:sz="4" w:space="0" w:color="auto"/>
              <w:bottom w:val="single" w:sz="4" w:space="0" w:color="auto"/>
              <w:right w:val="single" w:sz="4" w:space="0" w:color="auto"/>
            </w:tcBorders>
            <w:shd w:val="clear" w:color="auto" w:fill="auto"/>
            <w:vAlign w:val="bottom"/>
            <w:hideMark/>
          </w:tcPr>
          <w:p w14:paraId="16C23EF6"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2008</w:t>
            </w:r>
          </w:p>
        </w:tc>
        <w:tc>
          <w:tcPr>
            <w:tcW w:w="1256" w:type="dxa"/>
            <w:tcBorders>
              <w:top w:val="nil"/>
              <w:left w:val="nil"/>
              <w:bottom w:val="single" w:sz="4" w:space="0" w:color="auto"/>
              <w:right w:val="single" w:sz="4" w:space="0" w:color="auto"/>
            </w:tcBorders>
            <w:shd w:val="clear" w:color="auto" w:fill="auto"/>
            <w:vAlign w:val="bottom"/>
            <w:hideMark/>
          </w:tcPr>
          <w:p w14:paraId="34F62E26"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50.5</w:t>
            </w:r>
          </w:p>
        </w:tc>
        <w:tc>
          <w:tcPr>
            <w:tcW w:w="1203" w:type="dxa"/>
            <w:tcBorders>
              <w:top w:val="nil"/>
              <w:left w:val="nil"/>
              <w:bottom w:val="single" w:sz="4" w:space="0" w:color="auto"/>
              <w:right w:val="single" w:sz="4" w:space="0" w:color="auto"/>
            </w:tcBorders>
            <w:shd w:val="clear" w:color="auto" w:fill="auto"/>
            <w:vAlign w:val="bottom"/>
            <w:hideMark/>
          </w:tcPr>
          <w:p w14:paraId="635525EB"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14.0</w:t>
            </w:r>
          </w:p>
        </w:tc>
        <w:tc>
          <w:tcPr>
            <w:tcW w:w="1122" w:type="dxa"/>
            <w:tcBorders>
              <w:top w:val="nil"/>
              <w:left w:val="nil"/>
              <w:bottom w:val="single" w:sz="4" w:space="0" w:color="auto"/>
              <w:right w:val="single" w:sz="4" w:space="0" w:color="auto"/>
            </w:tcBorders>
            <w:shd w:val="clear" w:color="auto" w:fill="auto"/>
            <w:vAlign w:val="bottom"/>
            <w:hideMark/>
          </w:tcPr>
          <w:p w14:paraId="549C9876"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21.9</w:t>
            </w:r>
          </w:p>
        </w:tc>
        <w:tc>
          <w:tcPr>
            <w:tcW w:w="1256" w:type="dxa"/>
            <w:tcBorders>
              <w:top w:val="nil"/>
              <w:left w:val="nil"/>
              <w:bottom w:val="single" w:sz="4" w:space="0" w:color="auto"/>
              <w:right w:val="single" w:sz="4" w:space="0" w:color="auto"/>
            </w:tcBorders>
            <w:shd w:val="clear" w:color="auto" w:fill="auto"/>
            <w:vAlign w:val="bottom"/>
            <w:hideMark/>
          </w:tcPr>
          <w:p w14:paraId="1691DCE2"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975" w:type="dxa"/>
            <w:tcBorders>
              <w:top w:val="nil"/>
              <w:left w:val="nil"/>
              <w:bottom w:val="single" w:sz="4" w:space="0" w:color="auto"/>
              <w:right w:val="single" w:sz="4" w:space="0" w:color="auto"/>
            </w:tcBorders>
            <w:shd w:val="clear" w:color="auto" w:fill="auto"/>
            <w:vAlign w:val="bottom"/>
            <w:hideMark/>
          </w:tcPr>
          <w:p w14:paraId="74D380CC"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256" w:type="dxa"/>
            <w:tcBorders>
              <w:top w:val="nil"/>
              <w:left w:val="nil"/>
              <w:bottom w:val="single" w:sz="4" w:space="0" w:color="auto"/>
              <w:right w:val="single" w:sz="4" w:space="0" w:color="auto"/>
            </w:tcBorders>
            <w:shd w:val="clear" w:color="auto" w:fill="auto"/>
            <w:vAlign w:val="bottom"/>
            <w:hideMark/>
          </w:tcPr>
          <w:p w14:paraId="710102E0"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c>
          <w:tcPr>
            <w:tcW w:w="917" w:type="dxa"/>
            <w:tcBorders>
              <w:top w:val="nil"/>
              <w:left w:val="nil"/>
              <w:bottom w:val="single" w:sz="4" w:space="0" w:color="auto"/>
              <w:right w:val="single" w:sz="4" w:space="0" w:color="auto"/>
            </w:tcBorders>
            <w:shd w:val="clear" w:color="auto" w:fill="auto"/>
            <w:vAlign w:val="bottom"/>
            <w:hideMark/>
          </w:tcPr>
          <w:p w14:paraId="4ED83373"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29.7</w:t>
            </w:r>
          </w:p>
        </w:tc>
        <w:tc>
          <w:tcPr>
            <w:tcW w:w="1171" w:type="dxa"/>
            <w:tcBorders>
              <w:top w:val="nil"/>
              <w:left w:val="nil"/>
              <w:bottom w:val="single" w:sz="4" w:space="0" w:color="auto"/>
              <w:right w:val="single" w:sz="4" w:space="0" w:color="auto"/>
            </w:tcBorders>
            <w:shd w:val="clear" w:color="auto" w:fill="auto"/>
            <w:vAlign w:val="bottom"/>
            <w:hideMark/>
          </w:tcPr>
          <w:p w14:paraId="573AA827"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r>
      <w:tr w:rsidR="00BB0B66" w:rsidRPr="002675F7" w14:paraId="4DB06C48" w14:textId="77777777" w:rsidTr="008F6158">
        <w:trPr>
          <w:trHeight w:val="300"/>
        </w:trPr>
        <w:tc>
          <w:tcPr>
            <w:tcW w:w="944" w:type="dxa"/>
            <w:tcBorders>
              <w:top w:val="nil"/>
              <w:left w:val="single" w:sz="4" w:space="0" w:color="auto"/>
              <w:bottom w:val="single" w:sz="4" w:space="0" w:color="auto"/>
              <w:right w:val="single" w:sz="4" w:space="0" w:color="auto"/>
            </w:tcBorders>
            <w:shd w:val="clear" w:color="auto" w:fill="auto"/>
            <w:vAlign w:val="bottom"/>
            <w:hideMark/>
          </w:tcPr>
          <w:p w14:paraId="5EB7DE17"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2009</w:t>
            </w:r>
          </w:p>
        </w:tc>
        <w:tc>
          <w:tcPr>
            <w:tcW w:w="1256" w:type="dxa"/>
            <w:tcBorders>
              <w:top w:val="nil"/>
              <w:left w:val="nil"/>
              <w:bottom w:val="single" w:sz="4" w:space="0" w:color="auto"/>
              <w:right w:val="single" w:sz="4" w:space="0" w:color="auto"/>
            </w:tcBorders>
            <w:shd w:val="clear" w:color="auto" w:fill="auto"/>
            <w:vAlign w:val="bottom"/>
            <w:hideMark/>
          </w:tcPr>
          <w:p w14:paraId="4ECFF9EA"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73.4</w:t>
            </w:r>
          </w:p>
        </w:tc>
        <w:tc>
          <w:tcPr>
            <w:tcW w:w="1203" w:type="dxa"/>
            <w:tcBorders>
              <w:top w:val="nil"/>
              <w:left w:val="nil"/>
              <w:bottom w:val="single" w:sz="4" w:space="0" w:color="auto"/>
              <w:right w:val="single" w:sz="4" w:space="0" w:color="auto"/>
            </w:tcBorders>
            <w:shd w:val="clear" w:color="auto" w:fill="auto"/>
            <w:vAlign w:val="bottom"/>
            <w:hideMark/>
          </w:tcPr>
          <w:p w14:paraId="1BB35AE7"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17.8</w:t>
            </w:r>
          </w:p>
        </w:tc>
        <w:tc>
          <w:tcPr>
            <w:tcW w:w="1122" w:type="dxa"/>
            <w:tcBorders>
              <w:top w:val="nil"/>
              <w:left w:val="nil"/>
              <w:bottom w:val="single" w:sz="4" w:space="0" w:color="auto"/>
              <w:right w:val="single" w:sz="4" w:space="0" w:color="auto"/>
            </w:tcBorders>
            <w:shd w:val="clear" w:color="auto" w:fill="auto"/>
            <w:vAlign w:val="bottom"/>
            <w:hideMark/>
          </w:tcPr>
          <w:p w14:paraId="4AB3220A"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9.3</w:t>
            </w:r>
          </w:p>
        </w:tc>
        <w:tc>
          <w:tcPr>
            <w:tcW w:w="1256" w:type="dxa"/>
            <w:tcBorders>
              <w:top w:val="nil"/>
              <w:left w:val="nil"/>
              <w:bottom w:val="single" w:sz="4" w:space="0" w:color="auto"/>
              <w:right w:val="single" w:sz="4" w:space="0" w:color="auto"/>
            </w:tcBorders>
            <w:shd w:val="clear" w:color="auto" w:fill="auto"/>
            <w:vAlign w:val="bottom"/>
            <w:hideMark/>
          </w:tcPr>
          <w:p w14:paraId="552DB678"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975" w:type="dxa"/>
            <w:tcBorders>
              <w:top w:val="nil"/>
              <w:left w:val="nil"/>
              <w:bottom w:val="single" w:sz="4" w:space="0" w:color="auto"/>
              <w:right w:val="single" w:sz="4" w:space="0" w:color="auto"/>
            </w:tcBorders>
            <w:shd w:val="clear" w:color="auto" w:fill="auto"/>
            <w:vAlign w:val="bottom"/>
            <w:hideMark/>
          </w:tcPr>
          <w:p w14:paraId="55BDF574"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256" w:type="dxa"/>
            <w:tcBorders>
              <w:top w:val="nil"/>
              <w:left w:val="nil"/>
              <w:bottom w:val="single" w:sz="4" w:space="0" w:color="auto"/>
              <w:right w:val="single" w:sz="4" w:space="0" w:color="auto"/>
            </w:tcBorders>
            <w:shd w:val="clear" w:color="auto" w:fill="auto"/>
            <w:vAlign w:val="bottom"/>
            <w:hideMark/>
          </w:tcPr>
          <w:p w14:paraId="737E5780"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c>
          <w:tcPr>
            <w:tcW w:w="917" w:type="dxa"/>
            <w:tcBorders>
              <w:top w:val="nil"/>
              <w:left w:val="nil"/>
              <w:bottom w:val="single" w:sz="4" w:space="0" w:color="auto"/>
              <w:right w:val="single" w:sz="4" w:space="0" w:color="auto"/>
            </w:tcBorders>
            <w:shd w:val="clear" w:color="auto" w:fill="auto"/>
            <w:vAlign w:val="bottom"/>
            <w:hideMark/>
          </w:tcPr>
          <w:p w14:paraId="50EFCD13"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39.7</w:t>
            </w:r>
          </w:p>
        </w:tc>
        <w:tc>
          <w:tcPr>
            <w:tcW w:w="1171" w:type="dxa"/>
            <w:tcBorders>
              <w:top w:val="nil"/>
              <w:left w:val="nil"/>
              <w:bottom w:val="single" w:sz="4" w:space="0" w:color="auto"/>
              <w:right w:val="single" w:sz="4" w:space="0" w:color="auto"/>
            </w:tcBorders>
            <w:shd w:val="clear" w:color="auto" w:fill="auto"/>
            <w:vAlign w:val="bottom"/>
            <w:hideMark/>
          </w:tcPr>
          <w:p w14:paraId="1A9B2A3F"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8.6</w:t>
            </w:r>
          </w:p>
        </w:tc>
      </w:tr>
      <w:tr w:rsidR="00BB0B66" w:rsidRPr="002675F7" w14:paraId="0638058C" w14:textId="77777777" w:rsidTr="008F6158">
        <w:trPr>
          <w:trHeight w:val="300"/>
        </w:trPr>
        <w:tc>
          <w:tcPr>
            <w:tcW w:w="944" w:type="dxa"/>
            <w:tcBorders>
              <w:top w:val="nil"/>
              <w:left w:val="single" w:sz="4" w:space="0" w:color="auto"/>
              <w:bottom w:val="single" w:sz="4" w:space="0" w:color="auto"/>
              <w:right w:val="single" w:sz="4" w:space="0" w:color="auto"/>
            </w:tcBorders>
            <w:shd w:val="clear" w:color="auto" w:fill="auto"/>
            <w:vAlign w:val="bottom"/>
            <w:hideMark/>
          </w:tcPr>
          <w:p w14:paraId="0436E53F"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2010</w:t>
            </w:r>
          </w:p>
        </w:tc>
        <w:tc>
          <w:tcPr>
            <w:tcW w:w="1256" w:type="dxa"/>
            <w:tcBorders>
              <w:top w:val="nil"/>
              <w:left w:val="nil"/>
              <w:bottom w:val="single" w:sz="4" w:space="0" w:color="auto"/>
              <w:right w:val="single" w:sz="4" w:space="0" w:color="auto"/>
            </w:tcBorders>
            <w:shd w:val="clear" w:color="auto" w:fill="auto"/>
            <w:vAlign w:val="bottom"/>
            <w:hideMark/>
          </w:tcPr>
          <w:p w14:paraId="49054241"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43.1</w:t>
            </w:r>
          </w:p>
        </w:tc>
        <w:tc>
          <w:tcPr>
            <w:tcW w:w="1203" w:type="dxa"/>
            <w:tcBorders>
              <w:top w:val="nil"/>
              <w:left w:val="nil"/>
              <w:bottom w:val="single" w:sz="4" w:space="0" w:color="auto"/>
              <w:right w:val="single" w:sz="4" w:space="0" w:color="auto"/>
            </w:tcBorders>
            <w:shd w:val="clear" w:color="auto" w:fill="auto"/>
            <w:vAlign w:val="bottom"/>
            <w:hideMark/>
          </w:tcPr>
          <w:p w14:paraId="69CBA36F"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c>
          <w:tcPr>
            <w:tcW w:w="1122" w:type="dxa"/>
            <w:tcBorders>
              <w:top w:val="nil"/>
              <w:left w:val="nil"/>
              <w:bottom w:val="single" w:sz="4" w:space="0" w:color="auto"/>
              <w:right w:val="single" w:sz="4" w:space="0" w:color="auto"/>
            </w:tcBorders>
            <w:shd w:val="clear" w:color="auto" w:fill="auto"/>
            <w:vAlign w:val="bottom"/>
            <w:hideMark/>
          </w:tcPr>
          <w:p w14:paraId="4449C1C6"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c>
          <w:tcPr>
            <w:tcW w:w="1256" w:type="dxa"/>
            <w:tcBorders>
              <w:top w:val="nil"/>
              <w:left w:val="nil"/>
              <w:bottom w:val="single" w:sz="4" w:space="0" w:color="auto"/>
              <w:right w:val="single" w:sz="4" w:space="0" w:color="auto"/>
            </w:tcBorders>
            <w:shd w:val="clear" w:color="auto" w:fill="auto"/>
            <w:vAlign w:val="bottom"/>
            <w:hideMark/>
          </w:tcPr>
          <w:p w14:paraId="5C9BAAB6"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975" w:type="dxa"/>
            <w:tcBorders>
              <w:top w:val="nil"/>
              <w:left w:val="nil"/>
              <w:bottom w:val="single" w:sz="4" w:space="0" w:color="auto"/>
              <w:right w:val="single" w:sz="4" w:space="0" w:color="auto"/>
            </w:tcBorders>
            <w:shd w:val="clear" w:color="auto" w:fill="auto"/>
            <w:vAlign w:val="bottom"/>
            <w:hideMark/>
          </w:tcPr>
          <w:p w14:paraId="5AF0E387"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256" w:type="dxa"/>
            <w:tcBorders>
              <w:top w:val="nil"/>
              <w:left w:val="nil"/>
              <w:bottom w:val="single" w:sz="4" w:space="0" w:color="auto"/>
              <w:right w:val="single" w:sz="4" w:space="0" w:color="auto"/>
            </w:tcBorders>
            <w:shd w:val="clear" w:color="auto" w:fill="auto"/>
            <w:vAlign w:val="bottom"/>
            <w:hideMark/>
          </w:tcPr>
          <w:p w14:paraId="6655A2F5"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c>
          <w:tcPr>
            <w:tcW w:w="917" w:type="dxa"/>
            <w:tcBorders>
              <w:top w:val="nil"/>
              <w:left w:val="nil"/>
              <w:bottom w:val="single" w:sz="4" w:space="0" w:color="auto"/>
              <w:right w:val="single" w:sz="4" w:space="0" w:color="auto"/>
            </w:tcBorders>
            <w:shd w:val="clear" w:color="auto" w:fill="auto"/>
            <w:vAlign w:val="bottom"/>
            <w:hideMark/>
          </w:tcPr>
          <w:p w14:paraId="7E5986F0"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29.3</w:t>
            </w:r>
          </w:p>
        </w:tc>
        <w:tc>
          <w:tcPr>
            <w:tcW w:w="1171" w:type="dxa"/>
            <w:tcBorders>
              <w:top w:val="nil"/>
              <w:left w:val="nil"/>
              <w:bottom w:val="single" w:sz="4" w:space="0" w:color="auto"/>
              <w:right w:val="single" w:sz="4" w:space="0" w:color="auto"/>
            </w:tcBorders>
            <w:shd w:val="clear" w:color="auto" w:fill="auto"/>
            <w:vAlign w:val="bottom"/>
            <w:hideMark/>
          </w:tcPr>
          <w:p w14:paraId="4B9AA1A5"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r>
      <w:tr w:rsidR="00BB0B66" w:rsidRPr="002675F7" w14:paraId="0E635E69" w14:textId="77777777" w:rsidTr="008F6158">
        <w:trPr>
          <w:trHeight w:val="300"/>
        </w:trPr>
        <w:tc>
          <w:tcPr>
            <w:tcW w:w="944" w:type="dxa"/>
            <w:tcBorders>
              <w:top w:val="nil"/>
              <w:left w:val="single" w:sz="4" w:space="0" w:color="auto"/>
              <w:bottom w:val="single" w:sz="4" w:space="0" w:color="auto"/>
              <w:right w:val="single" w:sz="4" w:space="0" w:color="auto"/>
            </w:tcBorders>
            <w:shd w:val="clear" w:color="auto" w:fill="auto"/>
            <w:vAlign w:val="bottom"/>
            <w:hideMark/>
          </w:tcPr>
          <w:p w14:paraId="2E396DBA"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2011</w:t>
            </w:r>
          </w:p>
        </w:tc>
        <w:tc>
          <w:tcPr>
            <w:tcW w:w="1256" w:type="dxa"/>
            <w:tcBorders>
              <w:top w:val="nil"/>
              <w:left w:val="nil"/>
              <w:bottom w:val="single" w:sz="4" w:space="0" w:color="auto"/>
              <w:right w:val="single" w:sz="4" w:space="0" w:color="auto"/>
            </w:tcBorders>
            <w:shd w:val="clear" w:color="auto" w:fill="auto"/>
            <w:vAlign w:val="bottom"/>
            <w:hideMark/>
          </w:tcPr>
          <w:p w14:paraId="6C33564E"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c>
          <w:tcPr>
            <w:tcW w:w="1203" w:type="dxa"/>
            <w:tcBorders>
              <w:top w:val="nil"/>
              <w:left w:val="nil"/>
              <w:bottom w:val="single" w:sz="4" w:space="0" w:color="auto"/>
              <w:right w:val="single" w:sz="4" w:space="0" w:color="auto"/>
            </w:tcBorders>
            <w:shd w:val="clear" w:color="auto" w:fill="auto"/>
            <w:vAlign w:val="bottom"/>
            <w:hideMark/>
          </w:tcPr>
          <w:p w14:paraId="0882D118"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c>
          <w:tcPr>
            <w:tcW w:w="1122" w:type="dxa"/>
            <w:tcBorders>
              <w:top w:val="nil"/>
              <w:left w:val="nil"/>
              <w:bottom w:val="single" w:sz="4" w:space="0" w:color="auto"/>
              <w:right w:val="single" w:sz="4" w:space="0" w:color="auto"/>
            </w:tcBorders>
            <w:shd w:val="clear" w:color="auto" w:fill="auto"/>
            <w:vAlign w:val="bottom"/>
            <w:hideMark/>
          </w:tcPr>
          <w:p w14:paraId="1D9C48C8"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256" w:type="dxa"/>
            <w:tcBorders>
              <w:top w:val="nil"/>
              <w:left w:val="nil"/>
              <w:bottom w:val="single" w:sz="4" w:space="0" w:color="auto"/>
              <w:right w:val="single" w:sz="4" w:space="0" w:color="auto"/>
            </w:tcBorders>
            <w:shd w:val="clear" w:color="auto" w:fill="auto"/>
            <w:vAlign w:val="bottom"/>
            <w:hideMark/>
          </w:tcPr>
          <w:p w14:paraId="0FA0E9F0"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975" w:type="dxa"/>
            <w:tcBorders>
              <w:top w:val="nil"/>
              <w:left w:val="nil"/>
              <w:bottom w:val="single" w:sz="4" w:space="0" w:color="auto"/>
              <w:right w:val="single" w:sz="4" w:space="0" w:color="auto"/>
            </w:tcBorders>
            <w:shd w:val="clear" w:color="auto" w:fill="auto"/>
            <w:vAlign w:val="bottom"/>
            <w:hideMark/>
          </w:tcPr>
          <w:p w14:paraId="2B3B6864"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256" w:type="dxa"/>
            <w:tcBorders>
              <w:top w:val="nil"/>
              <w:left w:val="nil"/>
              <w:bottom w:val="single" w:sz="4" w:space="0" w:color="auto"/>
              <w:right w:val="single" w:sz="4" w:space="0" w:color="auto"/>
            </w:tcBorders>
            <w:shd w:val="clear" w:color="auto" w:fill="auto"/>
            <w:vAlign w:val="bottom"/>
            <w:hideMark/>
          </w:tcPr>
          <w:p w14:paraId="212093C1"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917" w:type="dxa"/>
            <w:tcBorders>
              <w:top w:val="nil"/>
              <w:left w:val="nil"/>
              <w:bottom w:val="single" w:sz="4" w:space="0" w:color="auto"/>
              <w:right w:val="single" w:sz="4" w:space="0" w:color="auto"/>
            </w:tcBorders>
            <w:shd w:val="clear" w:color="auto" w:fill="auto"/>
            <w:vAlign w:val="bottom"/>
            <w:hideMark/>
          </w:tcPr>
          <w:p w14:paraId="79D11B44"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171" w:type="dxa"/>
            <w:tcBorders>
              <w:top w:val="nil"/>
              <w:left w:val="nil"/>
              <w:bottom w:val="single" w:sz="4" w:space="0" w:color="auto"/>
              <w:right w:val="single" w:sz="4" w:space="0" w:color="auto"/>
            </w:tcBorders>
            <w:shd w:val="clear" w:color="auto" w:fill="auto"/>
            <w:vAlign w:val="bottom"/>
            <w:hideMark/>
          </w:tcPr>
          <w:p w14:paraId="660FFCD5"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8.8</w:t>
            </w:r>
          </w:p>
        </w:tc>
      </w:tr>
      <w:tr w:rsidR="00BB0B66" w:rsidRPr="002675F7" w14:paraId="3E04F3E3" w14:textId="77777777" w:rsidTr="008F6158">
        <w:trPr>
          <w:trHeight w:val="300"/>
        </w:trPr>
        <w:tc>
          <w:tcPr>
            <w:tcW w:w="944" w:type="dxa"/>
            <w:tcBorders>
              <w:top w:val="nil"/>
              <w:left w:val="single" w:sz="4" w:space="0" w:color="auto"/>
              <w:bottom w:val="single" w:sz="4" w:space="0" w:color="auto"/>
              <w:right w:val="single" w:sz="4" w:space="0" w:color="auto"/>
            </w:tcBorders>
            <w:shd w:val="clear" w:color="auto" w:fill="auto"/>
            <w:vAlign w:val="bottom"/>
            <w:hideMark/>
          </w:tcPr>
          <w:p w14:paraId="15298C42"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2012</w:t>
            </w:r>
          </w:p>
        </w:tc>
        <w:tc>
          <w:tcPr>
            <w:tcW w:w="1256" w:type="dxa"/>
            <w:tcBorders>
              <w:top w:val="nil"/>
              <w:left w:val="nil"/>
              <w:bottom w:val="single" w:sz="4" w:space="0" w:color="auto"/>
              <w:right w:val="single" w:sz="4" w:space="0" w:color="auto"/>
            </w:tcBorders>
            <w:shd w:val="clear" w:color="auto" w:fill="auto"/>
            <w:vAlign w:val="bottom"/>
            <w:hideMark/>
          </w:tcPr>
          <w:p w14:paraId="75F67699"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47.2</w:t>
            </w:r>
          </w:p>
        </w:tc>
        <w:tc>
          <w:tcPr>
            <w:tcW w:w="1203" w:type="dxa"/>
            <w:tcBorders>
              <w:top w:val="nil"/>
              <w:left w:val="nil"/>
              <w:bottom w:val="single" w:sz="4" w:space="0" w:color="auto"/>
              <w:right w:val="single" w:sz="4" w:space="0" w:color="auto"/>
            </w:tcBorders>
            <w:shd w:val="clear" w:color="auto" w:fill="auto"/>
            <w:vAlign w:val="bottom"/>
            <w:hideMark/>
          </w:tcPr>
          <w:p w14:paraId="0B30B562"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13.5</w:t>
            </w:r>
          </w:p>
        </w:tc>
        <w:tc>
          <w:tcPr>
            <w:tcW w:w="1122" w:type="dxa"/>
            <w:tcBorders>
              <w:top w:val="nil"/>
              <w:left w:val="nil"/>
              <w:bottom w:val="single" w:sz="4" w:space="0" w:color="auto"/>
              <w:right w:val="single" w:sz="4" w:space="0" w:color="auto"/>
            </w:tcBorders>
            <w:shd w:val="clear" w:color="auto" w:fill="auto"/>
            <w:vAlign w:val="bottom"/>
            <w:hideMark/>
          </w:tcPr>
          <w:p w14:paraId="66AB365C"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256" w:type="dxa"/>
            <w:tcBorders>
              <w:top w:val="nil"/>
              <w:left w:val="nil"/>
              <w:bottom w:val="single" w:sz="4" w:space="0" w:color="auto"/>
              <w:right w:val="single" w:sz="4" w:space="0" w:color="auto"/>
            </w:tcBorders>
            <w:shd w:val="clear" w:color="auto" w:fill="auto"/>
            <w:vAlign w:val="bottom"/>
            <w:hideMark/>
          </w:tcPr>
          <w:p w14:paraId="51514562"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975" w:type="dxa"/>
            <w:tcBorders>
              <w:top w:val="nil"/>
              <w:left w:val="nil"/>
              <w:bottom w:val="single" w:sz="4" w:space="0" w:color="auto"/>
              <w:right w:val="single" w:sz="4" w:space="0" w:color="auto"/>
            </w:tcBorders>
            <w:shd w:val="clear" w:color="auto" w:fill="auto"/>
            <w:vAlign w:val="bottom"/>
            <w:hideMark/>
          </w:tcPr>
          <w:p w14:paraId="35DF91E6"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256" w:type="dxa"/>
            <w:tcBorders>
              <w:top w:val="nil"/>
              <w:left w:val="nil"/>
              <w:bottom w:val="single" w:sz="4" w:space="0" w:color="auto"/>
              <w:right w:val="single" w:sz="4" w:space="0" w:color="auto"/>
            </w:tcBorders>
            <w:shd w:val="clear" w:color="auto" w:fill="auto"/>
            <w:vAlign w:val="bottom"/>
            <w:hideMark/>
          </w:tcPr>
          <w:p w14:paraId="5CED0177"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917" w:type="dxa"/>
            <w:tcBorders>
              <w:top w:val="nil"/>
              <w:left w:val="nil"/>
              <w:bottom w:val="single" w:sz="4" w:space="0" w:color="auto"/>
              <w:right w:val="single" w:sz="4" w:space="0" w:color="auto"/>
            </w:tcBorders>
            <w:shd w:val="clear" w:color="auto" w:fill="auto"/>
            <w:vAlign w:val="bottom"/>
            <w:hideMark/>
          </w:tcPr>
          <w:p w14:paraId="0B5E1510"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171" w:type="dxa"/>
            <w:tcBorders>
              <w:top w:val="nil"/>
              <w:left w:val="nil"/>
              <w:bottom w:val="single" w:sz="4" w:space="0" w:color="auto"/>
              <w:right w:val="single" w:sz="4" w:space="0" w:color="auto"/>
            </w:tcBorders>
            <w:shd w:val="clear" w:color="auto" w:fill="auto"/>
            <w:vAlign w:val="bottom"/>
            <w:hideMark/>
          </w:tcPr>
          <w:p w14:paraId="335AD0B1"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1.5</w:t>
            </w:r>
          </w:p>
        </w:tc>
      </w:tr>
      <w:tr w:rsidR="00BB0B66" w:rsidRPr="002675F7" w14:paraId="6EA506AC" w14:textId="77777777" w:rsidTr="008F6158">
        <w:trPr>
          <w:trHeight w:val="300"/>
        </w:trPr>
        <w:tc>
          <w:tcPr>
            <w:tcW w:w="944" w:type="dxa"/>
            <w:tcBorders>
              <w:top w:val="nil"/>
              <w:left w:val="single" w:sz="4" w:space="0" w:color="auto"/>
              <w:bottom w:val="single" w:sz="4" w:space="0" w:color="auto"/>
              <w:right w:val="single" w:sz="4" w:space="0" w:color="auto"/>
            </w:tcBorders>
            <w:shd w:val="clear" w:color="auto" w:fill="auto"/>
            <w:vAlign w:val="bottom"/>
            <w:hideMark/>
          </w:tcPr>
          <w:p w14:paraId="5F0D2048"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2013</w:t>
            </w:r>
          </w:p>
        </w:tc>
        <w:tc>
          <w:tcPr>
            <w:tcW w:w="1256" w:type="dxa"/>
            <w:tcBorders>
              <w:top w:val="nil"/>
              <w:left w:val="nil"/>
              <w:bottom w:val="single" w:sz="4" w:space="0" w:color="auto"/>
              <w:right w:val="single" w:sz="4" w:space="0" w:color="auto"/>
            </w:tcBorders>
            <w:shd w:val="clear" w:color="auto" w:fill="auto"/>
            <w:vAlign w:val="bottom"/>
            <w:hideMark/>
          </w:tcPr>
          <w:p w14:paraId="159C5BAD"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39.6</w:t>
            </w:r>
          </w:p>
        </w:tc>
        <w:tc>
          <w:tcPr>
            <w:tcW w:w="1203" w:type="dxa"/>
            <w:tcBorders>
              <w:top w:val="nil"/>
              <w:left w:val="nil"/>
              <w:bottom w:val="single" w:sz="4" w:space="0" w:color="auto"/>
              <w:right w:val="single" w:sz="4" w:space="0" w:color="auto"/>
            </w:tcBorders>
            <w:shd w:val="clear" w:color="auto" w:fill="auto"/>
            <w:vAlign w:val="bottom"/>
            <w:hideMark/>
          </w:tcPr>
          <w:p w14:paraId="2A75B671"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c>
          <w:tcPr>
            <w:tcW w:w="1122" w:type="dxa"/>
            <w:tcBorders>
              <w:top w:val="nil"/>
              <w:left w:val="nil"/>
              <w:bottom w:val="single" w:sz="4" w:space="0" w:color="auto"/>
              <w:right w:val="single" w:sz="4" w:space="0" w:color="auto"/>
            </w:tcBorders>
            <w:shd w:val="clear" w:color="auto" w:fill="auto"/>
            <w:vAlign w:val="bottom"/>
            <w:hideMark/>
          </w:tcPr>
          <w:p w14:paraId="00E4E88B"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256" w:type="dxa"/>
            <w:tcBorders>
              <w:top w:val="nil"/>
              <w:left w:val="nil"/>
              <w:bottom w:val="single" w:sz="4" w:space="0" w:color="auto"/>
              <w:right w:val="single" w:sz="4" w:space="0" w:color="auto"/>
            </w:tcBorders>
            <w:shd w:val="clear" w:color="auto" w:fill="auto"/>
            <w:vAlign w:val="bottom"/>
            <w:hideMark/>
          </w:tcPr>
          <w:p w14:paraId="68B9C7A7"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975" w:type="dxa"/>
            <w:tcBorders>
              <w:top w:val="nil"/>
              <w:left w:val="nil"/>
              <w:bottom w:val="single" w:sz="4" w:space="0" w:color="auto"/>
              <w:right w:val="single" w:sz="4" w:space="0" w:color="auto"/>
            </w:tcBorders>
            <w:shd w:val="clear" w:color="auto" w:fill="auto"/>
            <w:vAlign w:val="bottom"/>
            <w:hideMark/>
          </w:tcPr>
          <w:p w14:paraId="3A2D437C"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256" w:type="dxa"/>
            <w:tcBorders>
              <w:top w:val="nil"/>
              <w:left w:val="nil"/>
              <w:bottom w:val="single" w:sz="4" w:space="0" w:color="auto"/>
              <w:right w:val="single" w:sz="4" w:space="0" w:color="auto"/>
            </w:tcBorders>
            <w:shd w:val="clear" w:color="auto" w:fill="auto"/>
            <w:vAlign w:val="bottom"/>
            <w:hideMark/>
          </w:tcPr>
          <w:p w14:paraId="7582CDFA"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917" w:type="dxa"/>
            <w:tcBorders>
              <w:top w:val="nil"/>
              <w:left w:val="nil"/>
              <w:bottom w:val="single" w:sz="4" w:space="0" w:color="auto"/>
              <w:right w:val="single" w:sz="4" w:space="0" w:color="auto"/>
            </w:tcBorders>
            <w:shd w:val="clear" w:color="auto" w:fill="auto"/>
            <w:vAlign w:val="bottom"/>
            <w:hideMark/>
          </w:tcPr>
          <w:p w14:paraId="3624D92C"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171" w:type="dxa"/>
            <w:tcBorders>
              <w:top w:val="nil"/>
              <w:left w:val="nil"/>
              <w:bottom w:val="single" w:sz="4" w:space="0" w:color="auto"/>
              <w:right w:val="single" w:sz="4" w:space="0" w:color="auto"/>
            </w:tcBorders>
            <w:shd w:val="clear" w:color="auto" w:fill="auto"/>
            <w:vAlign w:val="bottom"/>
            <w:hideMark/>
          </w:tcPr>
          <w:p w14:paraId="3EAC2F72"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r>
      <w:tr w:rsidR="00BB0B66" w:rsidRPr="002675F7" w14:paraId="4E42339A" w14:textId="77777777" w:rsidTr="008F6158">
        <w:trPr>
          <w:trHeight w:val="300"/>
        </w:trPr>
        <w:tc>
          <w:tcPr>
            <w:tcW w:w="944" w:type="dxa"/>
            <w:tcBorders>
              <w:top w:val="nil"/>
              <w:left w:val="single" w:sz="4" w:space="0" w:color="auto"/>
              <w:bottom w:val="single" w:sz="4" w:space="0" w:color="auto"/>
              <w:right w:val="single" w:sz="4" w:space="0" w:color="auto"/>
            </w:tcBorders>
            <w:shd w:val="clear" w:color="auto" w:fill="auto"/>
            <w:vAlign w:val="bottom"/>
            <w:hideMark/>
          </w:tcPr>
          <w:p w14:paraId="4BFDE1A8"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2014</w:t>
            </w:r>
          </w:p>
        </w:tc>
        <w:tc>
          <w:tcPr>
            <w:tcW w:w="1256" w:type="dxa"/>
            <w:tcBorders>
              <w:top w:val="nil"/>
              <w:left w:val="nil"/>
              <w:bottom w:val="single" w:sz="4" w:space="0" w:color="auto"/>
              <w:right w:val="single" w:sz="4" w:space="0" w:color="auto"/>
            </w:tcBorders>
            <w:shd w:val="clear" w:color="auto" w:fill="auto"/>
            <w:vAlign w:val="bottom"/>
            <w:hideMark/>
          </w:tcPr>
          <w:p w14:paraId="65C6B688"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81.3</w:t>
            </w:r>
          </w:p>
        </w:tc>
        <w:tc>
          <w:tcPr>
            <w:tcW w:w="1203" w:type="dxa"/>
            <w:tcBorders>
              <w:top w:val="nil"/>
              <w:left w:val="nil"/>
              <w:bottom w:val="single" w:sz="4" w:space="0" w:color="auto"/>
              <w:right w:val="single" w:sz="4" w:space="0" w:color="auto"/>
            </w:tcBorders>
            <w:shd w:val="clear" w:color="auto" w:fill="auto"/>
            <w:vAlign w:val="bottom"/>
            <w:hideMark/>
          </w:tcPr>
          <w:p w14:paraId="13556AB5"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32.0</w:t>
            </w:r>
          </w:p>
        </w:tc>
        <w:tc>
          <w:tcPr>
            <w:tcW w:w="1122" w:type="dxa"/>
            <w:tcBorders>
              <w:top w:val="nil"/>
              <w:left w:val="nil"/>
              <w:bottom w:val="single" w:sz="4" w:space="0" w:color="auto"/>
              <w:right w:val="single" w:sz="4" w:space="0" w:color="auto"/>
            </w:tcBorders>
            <w:shd w:val="clear" w:color="auto" w:fill="auto"/>
            <w:vAlign w:val="bottom"/>
            <w:hideMark/>
          </w:tcPr>
          <w:p w14:paraId="4EEB596D"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256" w:type="dxa"/>
            <w:tcBorders>
              <w:top w:val="nil"/>
              <w:left w:val="nil"/>
              <w:bottom w:val="single" w:sz="4" w:space="0" w:color="auto"/>
              <w:right w:val="single" w:sz="4" w:space="0" w:color="auto"/>
            </w:tcBorders>
            <w:shd w:val="clear" w:color="auto" w:fill="auto"/>
            <w:vAlign w:val="bottom"/>
            <w:hideMark/>
          </w:tcPr>
          <w:p w14:paraId="35D282DD"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39.1</w:t>
            </w:r>
          </w:p>
        </w:tc>
        <w:tc>
          <w:tcPr>
            <w:tcW w:w="975" w:type="dxa"/>
            <w:tcBorders>
              <w:top w:val="nil"/>
              <w:left w:val="nil"/>
              <w:bottom w:val="single" w:sz="4" w:space="0" w:color="auto"/>
              <w:right w:val="single" w:sz="4" w:space="0" w:color="auto"/>
            </w:tcBorders>
            <w:shd w:val="clear" w:color="auto" w:fill="auto"/>
            <w:vAlign w:val="bottom"/>
            <w:hideMark/>
          </w:tcPr>
          <w:p w14:paraId="67F33113"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11.9</w:t>
            </w:r>
          </w:p>
        </w:tc>
        <w:tc>
          <w:tcPr>
            <w:tcW w:w="1256" w:type="dxa"/>
            <w:tcBorders>
              <w:top w:val="nil"/>
              <w:left w:val="nil"/>
              <w:bottom w:val="single" w:sz="4" w:space="0" w:color="auto"/>
              <w:right w:val="single" w:sz="4" w:space="0" w:color="auto"/>
            </w:tcBorders>
            <w:shd w:val="clear" w:color="auto" w:fill="auto"/>
            <w:vAlign w:val="bottom"/>
            <w:hideMark/>
          </w:tcPr>
          <w:p w14:paraId="77AE891B"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917" w:type="dxa"/>
            <w:tcBorders>
              <w:top w:val="nil"/>
              <w:left w:val="nil"/>
              <w:bottom w:val="single" w:sz="4" w:space="0" w:color="auto"/>
              <w:right w:val="single" w:sz="4" w:space="0" w:color="auto"/>
            </w:tcBorders>
            <w:shd w:val="clear" w:color="auto" w:fill="auto"/>
            <w:vAlign w:val="bottom"/>
            <w:hideMark/>
          </w:tcPr>
          <w:p w14:paraId="7DCEBD87"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171" w:type="dxa"/>
            <w:tcBorders>
              <w:top w:val="nil"/>
              <w:left w:val="nil"/>
              <w:bottom w:val="single" w:sz="4" w:space="0" w:color="auto"/>
              <w:right w:val="single" w:sz="4" w:space="0" w:color="auto"/>
            </w:tcBorders>
            <w:shd w:val="clear" w:color="auto" w:fill="auto"/>
            <w:vAlign w:val="bottom"/>
            <w:hideMark/>
          </w:tcPr>
          <w:p w14:paraId="7F49D375"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14.9</w:t>
            </w:r>
          </w:p>
        </w:tc>
      </w:tr>
      <w:tr w:rsidR="00BB0B66" w:rsidRPr="002675F7" w14:paraId="19D38BDF" w14:textId="77777777" w:rsidTr="008F6158">
        <w:trPr>
          <w:trHeight w:val="300"/>
        </w:trPr>
        <w:tc>
          <w:tcPr>
            <w:tcW w:w="944" w:type="dxa"/>
            <w:tcBorders>
              <w:top w:val="nil"/>
              <w:left w:val="single" w:sz="4" w:space="0" w:color="auto"/>
              <w:bottom w:val="single" w:sz="4" w:space="0" w:color="auto"/>
              <w:right w:val="single" w:sz="4" w:space="0" w:color="auto"/>
            </w:tcBorders>
            <w:shd w:val="clear" w:color="auto" w:fill="auto"/>
            <w:vAlign w:val="bottom"/>
            <w:hideMark/>
          </w:tcPr>
          <w:p w14:paraId="5CC27DC6"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2015</w:t>
            </w:r>
          </w:p>
        </w:tc>
        <w:tc>
          <w:tcPr>
            <w:tcW w:w="1256" w:type="dxa"/>
            <w:tcBorders>
              <w:top w:val="nil"/>
              <w:left w:val="nil"/>
              <w:bottom w:val="single" w:sz="4" w:space="0" w:color="auto"/>
              <w:right w:val="single" w:sz="4" w:space="0" w:color="auto"/>
            </w:tcBorders>
            <w:shd w:val="clear" w:color="auto" w:fill="auto"/>
            <w:vAlign w:val="bottom"/>
            <w:hideMark/>
          </w:tcPr>
          <w:p w14:paraId="2C60052C"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55.9</w:t>
            </w:r>
          </w:p>
        </w:tc>
        <w:tc>
          <w:tcPr>
            <w:tcW w:w="1203" w:type="dxa"/>
            <w:tcBorders>
              <w:top w:val="nil"/>
              <w:left w:val="nil"/>
              <w:bottom w:val="single" w:sz="4" w:space="0" w:color="auto"/>
              <w:right w:val="single" w:sz="4" w:space="0" w:color="auto"/>
            </w:tcBorders>
            <w:shd w:val="clear" w:color="auto" w:fill="auto"/>
            <w:vAlign w:val="bottom"/>
            <w:hideMark/>
          </w:tcPr>
          <w:p w14:paraId="7AB34691"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18.2</w:t>
            </w:r>
          </w:p>
        </w:tc>
        <w:tc>
          <w:tcPr>
            <w:tcW w:w="1122" w:type="dxa"/>
            <w:tcBorders>
              <w:top w:val="nil"/>
              <w:left w:val="nil"/>
              <w:bottom w:val="single" w:sz="4" w:space="0" w:color="auto"/>
              <w:right w:val="single" w:sz="4" w:space="0" w:color="auto"/>
            </w:tcBorders>
            <w:shd w:val="clear" w:color="auto" w:fill="auto"/>
            <w:vAlign w:val="bottom"/>
            <w:hideMark/>
          </w:tcPr>
          <w:p w14:paraId="4AA723DC"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256" w:type="dxa"/>
            <w:tcBorders>
              <w:top w:val="nil"/>
              <w:left w:val="nil"/>
              <w:bottom w:val="single" w:sz="4" w:space="0" w:color="auto"/>
              <w:right w:val="single" w:sz="4" w:space="0" w:color="auto"/>
            </w:tcBorders>
            <w:shd w:val="clear" w:color="auto" w:fill="auto"/>
            <w:vAlign w:val="bottom"/>
            <w:hideMark/>
          </w:tcPr>
          <w:p w14:paraId="09177A14"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50.2</w:t>
            </w:r>
          </w:p>
        </w:tc>
        <w:tc>
          <w:tcPr>
            <w:tcW w:w="975" w:type="dxa"/>
            <w:tcBorders>
              <w:top w:val="nil"/>
              <w:left w:val="nil"/>
              <w:bottom w:val="single" w:sz="4" w:space="0" w:color="auto"/>
              <w:right w:val="single" w:sz="4" w:space="0" w:color="auto"/>
            </w:tcBorders>
            <w:shd w:val="clear" w:color="auto" w:fill="auto"/>
            <w:vAlign w:val="bottom"/>
            <w:hideMark/>
          </w:tcPr>
          <w:p w14:paraId="64B30BDC"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c>
          <w:tcPr>
            <w:tcW w:w="1256" w:type="dxa"/>
            <w:tcBorders>
              <w:top w:val="nil"/>
              <w:left w:val="nil"/>
              <w:bottom w:val="single" w:sz="4" w:space="0" w:color="auto"/>
              <w:right w:val="single" w:sz="4" w:space="0" w:color="auto"/>
            </w:tcBorders>
            <w:shd w:val="clear" w:color="auto" w:fill="auto"/>
            <w:vAlign w:val="bottom"/>
            <w:hideMark/>
          </w:tcPr>
          <w:p w14:paraId="43DAD269"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917" w:type="dxa"/>
            <w:tcBorders>
              <w:top w:val="nil"/>
              <w:left w:val="nil"/>
              <w:bottom w:val="single" w:sz="4" w:space="0" w:color="auto"/>
              <w:right w:val="single" w:sz="4" w:space="0" w:color="auto"/>
            </w:tcBorders>
            <w:shd w:val="clear" w:color="auto" w:fill="auto"/>
            <w:vAlign w:val="bottom"/>
            <w:hideMark/>
          </w:tcPr>
          <w:p w14:paraId="3CC6D7AB"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171" w:type="dxa"/>
            <w:tcBorders>
              <w:top w:val="nil"/>
              <w:left w:val="nil"/>
              <w:bottom w:val="single" w:sz="4" w:space="0" w:color="auto"/>
              <w:right w:val="single" w:sz="4" w:space="0" w:color="auto"/>
            </w:tcBorders>
            <w:shd w:val="clear" w:color="auto" w:fill="auto"/>
            <w:vAlign w:val="bottom"/>
            <w:hideMark/>
          </w:tcPr>
          <w:p w14:paraId="334C8693"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4.5</w:t>
            </w:r>
          </w:p>
        </w:tc>
      </w:tr>
      <w:tr w:rsidR="00BB0B66" w:rsidRPr="002675F7" w14:paraId="4C444746" w14:textId="77777777" w:rsidTr="008F6158">
        <w:trPr>
          <w:trHeight w:val="300"/>
        </w:trPr>
        <w:tc>
          <w:tcPr>
            <w:tcW w:w="944" w:type="dxa"/>
            <w:tcBorders>
              <w:top w:val="nil"/>
              <w:left w:val="single" w:sz="4" w:space="0" w:color="auto"/>
              <w:bottom w:val="single" w:sz="4" w:space="0" w:color="auto"/>
              <w:right w:val="single" w:sz="4" w:space="0" w:color="auto"/>
            </w:tcBorders>
            <w:shd w:val="clear" w:color="auto" w:fill="auto"/>
            <w:vAlign w:val="bottom"/>
            <w:hideMark/>
          </w:tcPr>
          <w:p w14:paraId="63A9B503"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2016</w:t>
            </w:r>
          </w:p>
        </w:tc>
        <w:tc>
          <w:tcPr>
            <w:tcW w:w="1256" w:type="dxa"/>
            <w:tcBorders>
              <w:top w:val="nil"/>
              <w:left w:val="nil"/>
              <w:bottom w:val="single" w:sz="4" w:space="0" w:color="auto"/>
              <w:right w:val="single" w:sz="4" w:space="0" w:color="auto"/>
            </w:tcBorders>
            <w:shd w:val="clear" w:color="auto" w:fill="auto"/>
            <w:vAlign w:val="bottom"/>
            <w:hideMark/>
          </w:tcPr>
          <w:p w14:paraId="00922D7A"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32.2</w:t>
            </w:r>
          </w:p>
        </w:tc>
        <w:tc>
          <w:tcPr>
            <w:tcW w:w="1203" w:type="dxa"/>
            <w:tcBorders>
              <w:top w:val="nil"/>
              <w:left w:val="nil"/>
              <w:bottom w:val="single" w:sz="4" w:space="0" w:color="auto"/>
              <w:right w:val="single" w:sz="4" w:space="0" w:color="auto"/>
            </w:tcBorders>
            <w:shd w:val="clear" w:color="auto" w:fill="auto"/>
            <w:vAlign w:val="bottom"/>
            <w:hideMark/>
          </w:tcPr>
          <w:p w14:paraId="02E75EB1"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5.4</w:t>
            </w:r>
          </w:p>
        </w:tc>
        <w:tc>
          <w:tcPr>
            <w:tcW w:w="1122" w:type="dxa"/>
            <w:tcBorders>
              <w:top w:val="nil"/>
              <w:left w:val="nil"/>
              <w:bottom w:val="single" w:sz="4" w:space="0" w:color="auto"/>
              <w:right w:val="single" w:sz="4" w:space="0" w:color="auto"/>
            </w:tcBorders>
            <w:shd w:val="clear" w:color="auto" w:fill="auto"/>
            <w:vAlign w:val="bottom"/>
            <w:hideMark/>
          </w:tcPr>
          <w:p w14:paraId="012856B7"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256" w:type="dxa"/>
            <w:tcBorders>
              <w:top w:val="nil"/>
              <w:left w:val="nil"/>
              <w:bottom w:val="single" w:sz="4" w:space="0" w:color="auto"/>
              <w:right w:val="single" w:sz="4" w:space="0" w:color="auto"/>
            </w:tcBorders>
            <w:shd w:val="clear" w:color="auto" w:fill="auto"/>
            <w:vAlign w:val="bottom"/>
            <w:hideMark/>
          </w:tcPr>
          <w:p w14:paraId="0393621E"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11.7</w:t>
            </w:r>
          </w:p>
        </w:tc>
        <w:tc>
          <w:tcPr>
            <w:tcW w:w="975" w:type="dxa"/>
            <w:tcBorders>
              <w:top w:val="nil"/>
              <w:left w:val="nil"/>
              <w:bottom w:val="single" w:sz="4" w:space="0" w:color="auto"/>
              <w:right w:val="single" w:sz="4" w:space="0" w:color="auto"/>
            </w:tcBorders>
            <w:shd w:val="clear" w:color="auto" w:fill="auto"/>
            <w:vAlign w:val="bottom"/>
            <w:hideMark/>
          </w:tcPr>
          <w:p w14:paraId="4827C381"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c>
          <w:tcPr>
            <w:tcW w:w="1256" w:type="dxa"/>
            <w:tcBorders>
              <w:top w:val="nil"/>
              <w:left w:val="nil"/>
              <w:bottom w:val="single" w:sz="4" w:space="0" w:color="auto"/>
              <w:right w:val="single" w:sz="4" w:space="0" w:color="auto"/>
            </w:tcBorders>
            <w:shd w:val="clear" w:color="auto" w:fill="auto"/>
            <w:vAlign w:val="bottom"/>
            <w:hideMark/>
          </w:tcPr>
          <w:p w14:paraId="3884005C"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917" w:type="dxa"/>
            <w:tcBorders>
              <w:top w:val="nil"/>
              <w:left w:val="nil"/>
              <w:bottom w:val="single" w:sz="4" w:space="0" w:color="auto"/>
              <w:right w:val="single" w:sz="4" w:space="0" w:color="auto"/>
            </w:tcBorders>
            <w:shd w:val="clear" w:color="auto" w:fill="auto"/>
            <w:vAlign w:val="bottom"/>
            <w:hideMark/>
          </w:tcPr>
          <w:p w14:paraId="3B0E9F4A"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171" w:type="dxa"/>
            <w:tcBorders>
              <w:top w:val="nil"/>
              <w:left w:val="nil"/>
              <w:bottom w:val="single" w:sz="4" w:space="0" w:color="auto"/>
              <w:right w:val="single" w:sz="4" w:space="0" w:color="auto"/>
            </w:tcBorders>
            <w:shd w:val="clear" w:color="auto" w:fill="auto"/>
            <w:vAlign w:val="bottom"/>
            <w:hideMark/>
          </w:tcPr>
          <w:p w14:paraId="3B01B9DE"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21.7</w:t>
            </w:r>
          </w:p>
        </w:tc>
      </w:tr>
      <w:tr w:rsidR="00BB0B66" w:rsidRPr="002675F7" w14:paraId="0D8EDDF4" w14:textId="77777777" w:rsidTr="008F6158">
        <w:trPr>
          <w:trHeight w:val="300"/>
        </w:trPr>
        <w:tc>
          <w:tcPr>
            <w:tcW w:w="944" w:type="dxa"/>
            <w:tcBorders>
              <w:top w:val="nil"/>
              <w:left w:val="single" w:sz="4" w:space="0" w:color="auto"/>
              <w:bottom w:val="single" w:sz="4" w:space="0" w:color="auto"/>
              <w:right w:val="single" w:sz="4" w:space="0" w:color="auto"/>
            </w:tcBorders>
            <w:shd w:val="clear" w:color="auto" w:fill="auto"/>
            <w:vAlign w:val="bottom"/>
            <w:hideMark/>
          </w:tcPr>
          <w:p w14:paraId="726F2929"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2017</w:t>
            </w:r>
          </w:p>
        </w:tc>
        <w:tc>
          <w:tcPr>
            <w:tcW w:w="1256" w:type="dxa"/>
            <w:tcBorders>
              <w:top w:val="nil"/>
              <w:left w:val="nil"/>
              <w:bottom w:val="single" w:sz="4" w:space="0" w:color="auto"/>
              <w:right w:val="single" w:sz="4" w:space="0" w:color="auto"/>
            </w:tcBorders>
            <w:shd w:val="clear" w:color="auto" w:fill="auto"/>
            <w:vAlign w:val="bottom"/>
            <w:hideMark/>
          </w:tcPr>
          <w:p w14:paraId="2D8AF6D7"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51.8</w:t>
            </w:r>
          </w:p>
        </w:tc>
        <w:tc>
          <w:tcPr>
            <w:tcW w:w="1203" w:type="dxa"/>
            <w:tcBorders>
              <w:top w:val="nil"/>
              <w:left w:val="nil"/>
              <w:bottom w:val="single" w:sz="4" w:space="0" w:color="auto"/>
              <w:right w:val="single" w:sz="4" w:space="0" w:color="auto"/>
            </w:tcBorders>
            <w:shd w:val="clear" w:color="auto" w:fill="auto"/>
            <w:vAlign w:val="bottom"/>
            <w:hideMark/>
          </w:tcPr>
          <w:p w14:paraId="472C7424"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31.6</w:t>
            </w:r>
          </w:p>
        </w:tc>
        <w:tc>
          <w:tcPr>
            <w:tcW w:w="1122" w:type="dxa"/>
            <w:tcBorders>
              <w:top w:val="nil"/>
              <w:left w:val="nil"/>
              <w:bottom w:val="single" w:sz="4" w:space="0" w:color="auto"/>
              <w:right w:val="single" w:sz="4" w:space="0" w:color="auto"/>
            </w:tcBorders>
            <w:shd w:val="clear" w:color="auto" w:fill="auto"/>
            <w:vAlign w:val="bottom"/>
            <w:hideMark/>
          </w:tcPr>
          <w:p w14:paraId="0F706159"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256" w:type="dxa"/>
            <w:tcBorders>
              <w:top w:val="nil"/>
              <w:left w:val="nil"/>
              <w:bottom w:val="single" w:sz="4" w:space="0" w:color="auto"/>
              <w:right w:val="single" w:sz="4" w:space="0" w:color="auto"/>
            </w:tcBorders>
            <w:shd w:val="clear" w:color="auto" w:fill="auto"/>
            <w:vAlign w:val="bottom"/>
            <w:hideMark/>
          </w:tcPr>
          <w:p w14:paraId="655345C2"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61.2</w:t>
            </w:r>
          </w:p>
        </w:tc>
        <w:tc>
          <w:tcPr>
            <w:tcW w:w="975" w:type="dxa"/>
            <w:tcBorders>
              <w:top w:val="nil"/>
              <w:left w:val="nil"/>
              <w:bottom w:val="single" w:sz="4" w:space="0" w:color="auto"/>
              <w:right w:val="single" w:sz="4" w:space="0" w:color="auto"/>
            </w:tcBorders>
            <w:shd w:val="clear" w:color="auto" w:fill="auto"/>
            <w:vAlign w:val="bottom"/>
            <w:hideMark/>
          </w:tcPr>
          <w:p w14:paraId="46A806AE"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27.5</w:t>
            </w:r>
          </w:p>
        </w:tc>
        <w:tc>
          <w:tcPr>
            <w:tcW w:w="1256" w:type="dxa"/>
            <w:tcBorders>
              <w:top w:val="nil"/>
              <w:left w:val="nil"/>
              <w:bottom w:val="single" w:sz="4" w:space="0" w:color="auto"/>
              <w:right w:val="single" w:sz="4" w:space="0" w:color="auto"/>
            </w:tcBorders>
            <w:shd w:val="clear" w:color="auto" w:fill="auto"/>
            <w:vAlign w:val="bottom"/>
            <w:hideMark/>
          </w:tcPr>
          <w:p w14:paraId="37152DEF"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917" w:type="dxa"/>
            <w:tcBorders>
              <w:top w:val="nil"/>
              <w:left w:val="nil"/>
              <w:bottom w:val="single" w:sz="4" w:space="0" w:color="auto"/>
              <w:right w:val="single" w:sz="4" w:space="0" w:color="auto"/>
            </w:tcBorders>
            <w:shd w:val="clear" w:color="auto" w:fill="auto"/>
            <w:vAlign w:val="bottom"/>
            <w:hideMark/>
          </w:tcPr>
          <w:p w14:paraId="428FF2CE"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171" w:type="dxa"/>
            <w:tcBorders>
              <w:top w:val="nil"/>
              <w:left w:val="nil"/>
              <w:bottom w:val="single" w:sz="4" w:space="0" w:color="auto"/>
              <w:right w:val="single" w:sz="4" w:space="0" w:color="auto"/>
            </w:tcBorders>
            <w:shd w:val="clear" w:color="auto" w:fill="auto"/>
            <w:vAlign w:val="bottom"/>
            <w:hideMark/>
          </w:tcPr>
          <w:p w14:paraId="27629F88"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18.9</w:t>
            </w:r>
          </w:p>
        </w:tc>
      </w:tr>
      <w:tr w:rsidR="00BB0B66" w:rsidRPr="002675F7" w14:paraId="26948608" w14:textId="77777777" w:rsidTr="008F6158">
        <w:trPr>
          <w:trHeight w:val="300"/>
        </w:trPr>
        <w:tc>
          <w:tcPr>
            <w:tcW w:w="944" w:type="dxa"/>
            <w:tcBorders>
              <w:top w:val="nil"/>
              <w:left w:val="single" w:sz="4" w:space="0" w:color="auto"/>
              <w:bottom w:val="single" w:sz="4" w:space="0" w:color="auto"/>
              <w:right w:val="single" w:sz="4" w:space="0" w:color="auto"/>
            </w:tcBorders>
            <w:shd w:val="clear" w:color="auto" w:fill="auto"/>
            <w:vAlign w:val="bottom"/>
            <w:hideMark/>
          </w:tcPr>
          <w:p w14:paraId="3CE5A04C"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2018</w:t>
            </w:r>
          </w:p>
        </w:tc>
        <w:tc>
          <w:tcPr>
            <w:tcW w:w="1256" w:type="dxa"/>
            <w:tcBorders>
              <w:top w:val="nil"/>
              <w:left w:val="nil"/>
              <w:bottom w:val="single" w:sz="4" w:space="0" w:color="auto"/>
              <w:right w:val="single" w:sz="4" w:space="0" w:color="auto"/>
            </w:tcBorders>
            <w:shd w:val="clear" w:color="auto" w:fill="auto"/>
            <w:vAlign w:val="bottom"/>
            <w:hideMark/>
          </w:tcPr>
          <w:p w14:paraId="50436876"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80.3</w:t>
            </w:r>
          </w:p>
        </w:tc>
        <w:tc>
          <w:tcPr>
            <w:tcW w:w="1203" w:type="dxa"/>
            <w:tcBorders>
              <w:top w:val="nil"/>
              <w:left w:val="nil"/>
              <w:bottom w:val="single" w:sz="4" w:space="0" w:color="auto"/>
              <w:right w:val="single" w:sz="4" w:space="0" w:color="auto"/>
            </w:tcBorders>
            <w:shd w:val="clear" w:color="auto" w:fill="auto"/>
            <w:vAlign w:val="bottom"/>
            <w:hideMark/>
          </w:tcPr>
          <w:p w14:paraId="450B6370"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21.7</w:t>
            </w:r>
          </w:p>
        </w:tc>
        <w:tc>
          <w:tcPr>
            <w:tcW w:w="1122" w:type="dxa"/>
            <w:tcBorders>
              <w:top w:val="nil"/>
              <w:left w:val="nil"/>
              <w:bottom w:val="single" w:sz="4" w:space="0" w:color="auto"/>
              <w:right w:val="single" w:sz="4" w:space="0" w:color="auto"/>
            </w:tcBorders>
            <w:shd w:val="clear" w:color="auto" w:fill="auto"/>
            <w:vAlign w:val="bottom"/>
            <w:hideMark/>
          </w:tcPr>
          <w:p w14:paraId="60F2A118"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256" w:type="dxa"/>
            <w:tcBorders>
              <w:top w:val="nil"/>
              <w:left w:val="nil"/>
              <w:bottom w:val="single" w:sz="4" w:space="0" w:color="auto"/>
              <w:right w:val="single" w:sz="4" w:space="0" w:color="auto"/>
            </w:tcBorders>
            <w:shd w:val="clear" w:color="auto" w:fill="auto"/>
            <w:vAlign w:val="bottom"/>
            <w:hideMark/>
          </w:tcPr>
          <w:p w14:paraId="571AF4A7"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67.3</w:t>
            </w:r>
          </w:p>
        </w:tc>
        <w:tc>
          <w:tcPr>
            <w:tcW w:w="975" w:type="dxa"/>
            <w:tcBorders>
              <w:top w:val="nil"/>
              <w:left w:val="nil"/>
              <w:bottom w:val="single" w:sz="4" w:space="0" w:color="auto"/>
              <w:right w:val="single" w:sz="4" w:space="0" w:color="auto"/>
            </w:tcBorders>
            <w:shd w:val="clear" w:color="auto" w:fill="auto"/>
            <w:vAlign w:val="bottom"/>
            <w:hideMark/>
          </w:tcPr>
          <w:p w14:paraId="402889D4"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0.0</w:t>
            </w:r>
          </w:p>
        </w:tc>
        <w:tc>
          <w:tcPr>
            <w:tcW w:w="1256" w:type="dxa"/>
            <w:tcBorders>
              <w:top w:val="nil"/>
              <w:left w:val="nil"/>
              <w:bottom w:val="single" w:sz="4" w:space="0" w:color="auto"/>
              <w:right w:val="single" w:sz="4" w:space="0" w:color="auto"/>
            </w:tcBorders>
            <w:shd w:val="clear" w:color="auto" w:fill="auto"/>
            <w:vAlign w:val="bottom"/>
            <w:hideMark/>
          </w:tcPr>
          <w:p w14:paraId="6E3C57B7"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917" w:type="dxa"/>
            <w:tcBorders>
              <w:top w:val="nil"/>
              <w:left w:val="nil"/>
              <w:bottom w:val="single" w:sz="4" w:space="0" w:color="auto"/>
              <w:right w:val="single" w:sz="4" w:space="0" w:color="auto"/>
            </w:tcBorders>
            <w:shd w:val="clear" w:color="auto" w:fill="auto"/>
            <w:vAlign w:val="bottom"/>
            <w:hideMark/>
          </w:tcPr>
          <w:p w14:paraId="1BFDEF2F"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 </w:t>
            </w:r>
          </w:p>
        </w:tc>
        <w:tc>
          <w:tcPr>
            <w:tcW w:w="1171" w:type="dxa"/>
            <w:tcBorders>
              <w:top w:val="nil"/>
              <w:left w:val="nil"/>
              <w:bottom w:val="single" w:sz="4" w:space="0" w:color="auto"/>
              <w:right w:val="single" w:sz="4" w:space="0" w:color="auto"/>
            </w:tcBorders>
            <w:shd w:val="clear" w:color="auto" w:fill="auto"/>
            <w:vAlign w:val="bottom"/>
            <w:hideMark/>
          </w:tcPr>
          <w:p w14:paraId="77CDA088"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3.9</w:t>
            </w:r>
          </w:p>
        </w:tc>
      </w:tr>
      <w:tr w:rsidR="00BB0B66" w:rsidRPr="002675F7" w14:paraId="6AD56449" w14:textId="77777777" w:rsidTr="008F6158">
        <w:trPr>
          <w:trHeight w:val="300"/>
        </w:trPr>
        <w:tc>
          <w:tcPr>
            <w:tcW w:w="944" w:type="dxa"/>
            <w:tcBorders>
              <w:top w:val="nil"/>
              <w:left w:val="single" w:sz="4" w:space="0" w:color="auto"/>
              <w:bottom w:val="single" w:sz="4" w:space="0" w:color="auto"/>
              <w:right w:val="single" w:sz="4" w:space="0" w:color="auto"/>
            </w:tcBorders>
            <w:shd w:val="clear" w:color="auto" w:fill="auto"/>
            <w:vAlign w:val="bottom"/>
            <w:hideMark/>
          </w:tcPr>
          <w:p w14:paraId="2AE6A7DD"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AVG</w:t>
            </w:r>
          </w:p>
        </w:tc>
        <w:tc>
          <w:tcPr>
            <w:tcW w:w="1256" w:type="dxa"/>
            <w:tcBorders>
              <w:top w:val="nil"/>
              <w:left w:val="nil"/>
              <w:bottom w:val="single" w:sz="4" w:space="0" w:color="auto"/>
              <w:right w:val="single" w:sz="4" w:space="0" w:color="auto"/>
            </w:tcBorders>
            <w:shd w:val="clear" w:color="auto" w:fill="auto"/>
            <w:vAlign w:val="bottom"/>
            <w:hideMark/>
          </w:tcPr>
          <w:p w14:paraId="6DC2A3A5"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44.2</w:t>
            </w:r>
          </w:p>
        </w:tc>
        <w:tc>
          <w:tcPr>
            <w:tcW w:w="1203" w:type="dxa"/>
            <w:tcBorders>
              <w:top w:val="nil"/>
              <w:left w:val="nil"/>
              <w:bottom w:val="single" w:sz="4" w:space="0" w:color="auto"/>
              <w:right w:val="single" w:sz="4" w:space="0" w:color="auto"/>
            </w:tcBorders>
            <w:shd w:val="clear" w:color="auto" w:fill="auto"/>
            <w:vAlign w:val="bottom"/>
            <w:hideMark/>
          </w:tcPr>
          <w:p w14:paraId="5F0CF364"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11.9</w:t>
            </w:r>
          </w:p>
        </w:tc>
        <w:tc>
          <w:tcPr>
            <w:tcW w:w="1122" w:type="dxa"/>
            <w:tcBorders>
              <w:top w:val="nil"/>
              <w:left w:val="nil"/>
              <w:bottom w:val="single" w:sz="4" w:space="0" w:color="auto"/>
              <w:right w:val="single" w:sz="4" w:space="0" w:color="auto"/>
            </w:tcBorders>
            <w:shd w:val="clear" w:color="auto" w:fill="auto"/>
            <w:vAlign w:val="bottom"/>
            <w:hideMark/>
          </w:tcPr>
          <w:p w14:paraId="0EE22650"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6.2</w:t>
            </w:r>
          </w:p>
        </w:tc>
        <w:tc>
          <w:tcPr>
            <w:tcW w:w="1256" w:type="dxa"/>
            <w:tcBorders>
              <w:top w:val="nil"/>
              <w:left w:val="nil"/>
              <w:bottom w:val="single" w:sz="4" w:space="0" w:color="auto"/>
              <w:right w:val="single" w:sz="4" w:space="0" w:color="auto"/>
            </w:tcBorders>
            <w:shd w:val="clear" w:color="auto" w:fill="auto"/>
            <w:vAlign w:val="bottom"/>
            <w:hideMark/>
          </w:tcPr>
          <w:p w14:paraId="14E47C85"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45.9</w:t>
            </w:r>
          </w:p>
        </w:tc>
        <w:tc>
          <w:tcPr>
            <w:tcW w:w="975" w:type="dxa"/>
            <w:tcBorders>
              <w:top w:val="nil"/>
              <w:left w:val="nil"/>
              <w:bottom w:val="single" w:sz="4" w:space="0" w:color="auto"/>
              <w:right w:val="single" w:sz="4" w:space="0" w:color="auto"/>
            </w:tcBorders>
            <w:shd w:val="clear" w:color="auto" w:fill="auto"/>
            <w:vAlign w:val="bottom"/>
            <w:hideMark/>
          </w:tcPr>
          <w:p w14:paraId="1C89A94D"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7.9</w:t>
            </w:r>
          </w:p>
        </w:tc>
        <w:tc>
          <w:tcPr>
            <w:tcW w:w="1256" w:type="dxa"/>
            <w:tcBorders>
              <w:top w:val="nil"/>
              <w:left w:val="nil"/>
              <w:bottom w:val="single" w:sz="4" w:space="0" w:color="auto"/>
              <w:right w:val="single" w:sz="4" w:space="0" w:color="auto"/>
            </w:tcBorders>
            <w:shd w:val="clear" w:color="auto" w:fill="auto"/>
            <w:vAlign w:val="bottom"/>
            <w:hideMark/>
          </w:tcPr>
          <w:p w14:paraId="68309E2D"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0.0</w:t>
            </w:r>
          </w:p>
        </w:tc>
        <w:tc>
          <w:tcPr>
            <w:tcW w:w="917" w:type="dxa"/>
            <w:tcBorders>
              <w:top w:val="nil"/>
              <w:left w:val="nil"/>
              <w:bottom w:val="single" w:sz="4" w:space="0" w:color="auto"/>
              <w:right w:val="single" w:sz="4" w:space="0" w:color="auto"/>
            </w:tcBorders>
            <w:shd w:val="clear" w:color="auto" w:fill="auto"/>
            <w:vAlign w:val="bottom"/>
            <w:hideMark/>
          </w:tcPr>
          <w:p w14:paraId="2C310ED3"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36.2</w:t>
            </w:r>
          </w:p>
        </w:tc>
        <w:tc>
          <w:tcPr>
            <w:tcW w:w="1171" w:type="dxa"/>
            <w:tcBorders>
              <w:top w:val="nil"/>
              <w:left w:val="nil"/>
              <w:bottom w:val="single" w:sz="4" w:space="0" w:color="auto"/>
              <w:right w:val="single" w:sz="4" w:space="0" w:color="auto"/>
            </w:tcBorders>
            <w:shd w:val="clear" w:color="auto" w:fill="auto"/>
            <w:vAlign w:val="bottom"/>
            <w:hideMark/>
          </w:tcPr>
          <w:p w14:paraId="71126C65"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12.1</w:t>
            </w:r>
          </w:p>
        </w:tc>
      </w:tr>
      <w:tr w:rsidR="00BB0B66" w:rsidRPr="002675F7" w14:paraId="0BB38FD3" w14:textId="77777777" w:rsidTr="008F6158">
        <w:trPr>
          <w:trHeight w:val="900"/>
        </w:trPr>
        <w:tc>
          <w:tcPr>
            <w:tcW w:w="944" w:type="dxa"/>
            <w:tcBorders>
              <w:top w:val="nil"/>
              <w:left w:val="single" w:sz="4" w:space="0" w:color="auto"/>
              <w:bottom w:val="single" w:sz="4" w:space="0" w:color="auto"/>
              <w:right w:val="single" w:sz="4" w:space="0" w:color="auto"/>
            </w:tcBorders>
            <w:shd w:val="clear" w:color="auto" w:fill="auto"/>
            <w:vAlign w:val="center"/>
            <w:hideMark/>
          </w:tcPr>
          <w:p w14:paraId="17753FA1" w14:textId="77777777" w:rsidR="002675F7" w:rsidRPr="002675F7" w:rsidRDefault="002675F7" w:rsidP="002675F7">
            <w:pPr>
              <w:spacing w:after="0" w:line="240" w:lineRule="auto"/>
              <w:jc w:val="center"/>
              <w:rPr>
                <w:rFonts w:ascii="Calibri" w:eastAsia="Times New Roman" w:hAnsi="Calibri" w:cs="Calibri"/>
                <w:b/>
                <w:bCs/>
                <w:color w:val="000000"/>
              </w:rPr>
            </w:pPr>
            <w:r w:rsidRPr="002675F7">
              <w:rPr>
                <w:rFonts w:ascii="Calibri" w:eastAsia="Times New Roman" w:hAnsi="Calibri" w:cs="Calibri"/>
                <w:b/>
                <w:bCs/>
                <w:color w:val="000000"/>
              </w:rPr>
              <w:t>Est. 10% Occ. Min. DO %Sat.</w:t>
            </w:r>
          </w:p>
        </w:tc>
        <w:tc>
          <w:tcPr>
            <w:tcW w:w="1256" w:type="dxa"/>
            <w:tcBorders>
              <w:top w:val="nil"/>
              <w:left w:val="nil"/>
              <w:bottom w:val="single" w:sz="4" w:space="0" w:color="auto"/>
              <w:right w:val="single" w:sz="4" w:space="0" w:color="auto"/>
            </w:tcBorders>
            <w:shd w:val="clear" w:color="auto" w:fill="auto"/>
            <w:vAlign w:val="center"/>
            <w:hideMark/>
          </w:tcPr>
          <w:p w14:paraId="0816C7C0"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18</w:t>
            </w:r>
          </w:p>
        </w:tc>
        <w:tc>
          <w:tcPr>
            <w:tcW w:w="1203" w:type="dxa"/>
            <w:tcBorders>
              <w:top w:val="nil"/>
              <w:left w:val="nil"/>
              <w:bottom w:val="single" w:sz="4" w:space="0" w:color="auto"/>
              <w:right w:val="single" w:sz="4" w:space="0" w:color="auto"/>
            </w:tcBorders>
            <w:shd w:val="clear" w:color="auto" w:fill="auto"/>
            <w:vAlign w:val="center"/>
            <w:hideMark/>
          </w:tcPr>
          <w:p w14:paraId="6CF9D66E"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40</w:t>
            </w:r>
          </w:p>
        </w:tc>
        <w:tc>
          <w:tcPr>
            <w:tcW w:w="1122" w:type="dxa"/>
            <w:tcBorders>
              <w:top w:val="nil"/>
              <w:left w:val="nil"/>
              <w:bottom w:val="single" w:sz="4" w:space="0" w:color="auto"/>
              <w:right w:val="single" w:sz="4" w:space="0" w:color="auto"/>
            </w:tcBorders>
            <w:shd w:val="clear" w:color="auto" w:fill="auto"/>
            <w:vAlign w:val="center"/>
            <w:hideMark/>
          </w:tcPr>
          <w:p w14:paraId="47A43751"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41</w:t>
            </w:r>
          </w:p>
        </w:tc>
        <w:tc>
          <w:tcPr>
            <w:tcW w:w="1256" w:type="dxa"/>
            <w:tcBorders>
              <w:top w:val="nil"/>
              <w:left w:val="nil"/>
              <w:bottom w:val="single" w:sz="4" w:space="0" w:color="auto"/>
              <w:right w:val="single" w:sz="4" w:space="0" w:color="auto"/>
            </w:tcBorders>
            <w:shd w:val="clear" w:color="auto" w:fill="auto"/>
            <w:vAlign w:val="center"/>
            <w:hideMark/>
          </w:tcPr>
          <w:p w14:paraId="01EAF3EC"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12</w:t>
            </w:r>
          </w:p>
        </w:tc>
        <w:tc>
          <w:tcPr>
            <w:tcW w:w="975" w:type="dxa"/>
            <w:tcBorders>
              <w:top w:val="nil"/>
              <w:left w:val="nil"/>
              <w:bottom w:val="single" w:sz="4" w:space="0" w:color="auto"/>
              <w:right w:val="single" w:sz="4" w:space="0" w:color="auto"/>
            </w:tcBorders>
            <w:shd w:val="clear" w:color="auto" w:fill="auto"/>
            <w:vAlign w:val="center"/>
            <w:hideMark/>
          </w:tcPr>
          <w:p w14:paraId="2D9C61E1"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39</w:t>
            </w:r>
          </w:p>
        </w:tc>
        <w:tc>
          <w:tcPr>
            <w:tcW w:w="1256" w:type="dxa"/>
            <w:tcBorders>
              <w:top w:val="nil"/>
              <w:left w:val="nil"/>
              <w:bottom w:val="single" w:sz="4" w:space="0" w:color="auto"/>
              <w:right w:val="single" w:sz="4" w:space="0" w:color="auto"/>
            </w:tcBorders>
            <w:shd w:val="clear" w:color="auto" w:fill="auto"/>
            <w:vAlign w:val="center"/>
            <w:hideMark/>
          </w:tcPr>
          <w:p w14:paraId="6363B09B"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60</w:t>
            </w:r>
          </w:p>
        </w:tc>
        <w:tc>
          <w:tcPr>
            <w:tcW w:w="917" w:type="dxa"/>
            <w:tcBorders>
              <w:top w:val="nil"/>
              <w:left w:val="nil"/>
              <w:bottom w:val="single" w:sz="4" w:space="0" w:color="auto"/>
              <w:right w:val="single" w:sz="4" w:space="0" w:color="auto"/>
            </w:tcBorders>
            <w:shd w:val="clear" w:color="auto" w:fill="auto"/>
            <w:vAlign w:val="center"/>
            <w:hideMark/>
          </w:tcPr>
          <w:p w14:paraId="027B202D"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14</w:t>
            </w:r>
          </w:p>
        </w:tc>
        <w:tc>
          <w:tcPr>
            <w:tcW w:w="1171" w:type="dxa"/>
            <w:tcBorders>
              <w:top w:val="nil"/>
              <w:left w:val="nil"/>
              <w:bottom w:val="single" w:sz="4" w:space="0" w:color="auto"/>
              <w:right w:val="single" w:sz="4" w:space="0" w:color="auto"/>
            </w:tcBorders>
            <w:shd w:val="clear" w:color="auto" w:fill="auto"/>
            <w:vAlign w:val="center"/>
            <w:hideMark/>
          </w:tcPr>
          <w:p w14:paraId="488E071C" w14:textId="77777777" w:rsidR="002675F7" w:rsidRPr="002675F7" w:rsidRDefault="002675F7" w:rsidP="002675F7">
            <w:pPr>
              <w:spacing w:after="0" w:line="240" w:lineRule="auto"/>
              <w:jc w:val="center"/>
              <w:rPr>
                <w:rFonts w:ascii="Calibri" w:eastAsia="Times New Roman" w:hAnsi="Calibri" w:cs="Calibri"/>
                <w:color w:val="000000"/>
              </w:rPr>
            </w:pPr>
            <w:r w:rsidRPr="002675F7">
              <w:rPr>
                <w:rFonts w:ascii="Calibri" w:eastAsia="Times New Roman" w:hAnsi="Calibri" w:cs="Calibri"/>
                <w:color w:val="000000"/>
              </w:rPr>
              <w:t>33</w:t>
            </w:r>
          </w:p>
        </w:tc>
      </w:tr>
    </w:tbl>
    <w:p w14:paraId="02A1432F" w14:textId="77777777" w:rsidR="00890801" w:rsidRDefault="00890801" w:rsidP="00D214CF"/>
    <w:p w14:paraId="6F6EF7AB" w14:textId="77777777" w:rsidR="00820264" w:rsidRDefault="00820264"/>
    <w:p w14:paraId="7CEC414A" w14:textId="15DCBA3E" w:rsidR="00992606" w:rsidRDefault="00820264">
      <w:r>
        <w:t>Figure 1.  O</w:t>
      </w:r>
      <w:r w:rsidR="00D518DD">
        <w:t xml:space="preserve">verall continuous probability functions for DO % saturation.  The bottom line of </w:t>
      </w:r>
      <w:r w:rsidR="005A1BB4">
        <w:t>T</w:t>
      </w:r>
      <w:r w:rsidR="00D518DD">
        <w:t>able</w:t>
      </w:r>
      <w:r w:rsidR="005A1BB4">
        <w:t xml:space="preserve"> 3</w:t>
      </w:r>
      <w:r w:rsidR="00D518DD">
        <w:t xml:space="preserve"> above identifies the </w:t>
      </w:r>
      <w:r w:rsidR="00EB5006">
        <w:t>oxygen % saturation that coincides wit the 10 percent occurrence rate</w:t>
      </w:r>
      <w:r>
        <w:t xml:space="preserve"> from these plots.  </w:t>
      </w:r>
      <w:r w:rsidR="009C4921">
        <w:t xml:space="preserve">  </w:t>
      </w:r>
    </w:p>
    <w:p w14:paraId="05970EAD" w14:textId="77777777" w:rsidR="00992606" w:rsidRDefault="00611D5A">
      <w:r>
        <w:rPr>
          <w:noProof/>
        </w:rPr>
        <w:drawing>
          <wp:inline distT="0" distB="0" distL="0" distR="0" wp14:anchorId="74FFBE7C" wp14:editId="123BA0DF">
            <wp:extent cx="2895600" cy="2926481"/>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16769" cy="2947876"/>
                    </a:xfrm>
                    <a:prstGeom prst="rect">
                      <a:avLst/>
                    </a:prstGeom>
                    <a:noFill/>
                  </pic:spPr>
                </pic:pic>
              </a:graphicData>
            </a:graphic>
          </wp:inline>
        </w:drawing>
      </w:r>
      <w:r>
        <w:t xml:space="preserve"> </w:t>
      </w:r>
      <w:r w:rsidR="00107334">
        <w:rPr>
          <w:noProof/>
        </w:rPr>
        <w:drawing>
          <wp:inline distT="0" distB="0" distL="0" distR="0" wp14:anchorId="14974E60" wp14:editId="0BA677AB">
            <wp:extent cx="2910177" cy="2910177"/>
            <wp:effectExtent l="0" t="0" r="508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29682" cy="2929682"/>
                    </a:xfrm>
                    <a:prstGeom prst="rect">
                      <a:avLst/>
                    </a:prstGeom>
                    <a:noFill/>
                  </pic:spPr>
                </pic:pic>
              </a:graphicData>
            </a:graphic>
          </wp:inline>
        </w:drawing>
      </w:r>
    </w:p>
    <w:p w14:paraId="0F1AB2F4" w14:textId="77777777" w:rsidR="00992606" w:rsidRDefault="003E7B5B">
      <w:r>
        <w:rPr>
          <w:noProof/>
        </w:rPr>
        <w:drawing>
          <wp:inline distT="0" distB="0" distL="0" distR="0" wp14:anchorId="0C4996D8" wp14:editId="7E2C8706">
            <wp:extent cx="2714625" cy="272174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5848" cy="2753044"/>
                    </a:xfrm>
                    <a:prstGeom prst="rect">
                      <a:avLst/>
                    </a:prstGeom>
                    <a:noFill/>
                  </pic:spPr>
                </pic:pic>
              </a:graphicData>
            </a:graphic>
          </wp:inline>
        </w:drawing>
      </w:r>
      <w:r w:rsidR="00D412C8">
        <w:t xml:space="preserve"> </w:t>
      </w:r>
      <w:r w:rsidR="00AD7BB3">
        <w:rPr>
          <w:noProof/>
        </w:rPr>
        <w:drawing>
          <wp:inline distT="0" distB="0" distL="0" distR="0" wp14:anchorId="0D44F7FB" wp14:editId="29EA02F8">
            <wp:extent cx="2724150" cy="273128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9699" cy="2766931"/>
                    </a:xfrm>
                    <a:prstGeom prst="rect">
                      <a:avLst/>
                    </a:prstGeom>
                    <a:noFill/>
                  </pic:spPr>
                </pic:pic>
              </a:graphicData>
            </a:graphic>
          </wp:inline>
        </w:drawing>
      </w:r>
    </w:p>
    <w:p w14:paraId="0E5005A6" w14:textId="4FE1A248" w:rsidR="009324E5" w:rsidRDefault="009324E5"/>
    <w:p w14:paraId="1E1B821E" w14:textId="205B8A33" w:rsidR="005A1BB4" w:rsidRDefault="005A1BB4"/>
    <w:p w14:paraId="72D17D13" w14:textId="69B824BB" w:rsidR="005A1BB4" w:rsidRDefault="005A1BB4"/>
    <w:p w14:paraId="58660A40" w14:textId="77777777" w:rsidR="005A1BB4" w:rsidRDefault="005A1BB4"/>
    <w:p w14:paraId="2EF55DF7" w14:textId="77777777" w:rsidR="009324E5" w:rsidRDefault="009324E5" w:rsidP="002300CE"/>
    <w:p w14:paraId="16228A1A" w14:textId="77777777" w:rsidR="009324E5" w:rsidRDefault="00AA04BA" w:rsidP="002300CE">
      <w:r>
        <w:lastRenderedPageBreak/>
        <w:t xml:space="preserve">Figure 2.  DO % saturation and water level for Blackwater Creek, March 30 – April </w:t>
      </w:r>
      <w:proofErr w:type="gramStart"/>
      <w:r>
        <w:t>14</w:t>
      </w:r>
      <w:proofErr w:type="gramEnd"/>
      <w:r>
        <w:t xml:space="preserve"> 2011.  </w:t>
      </w:r>
    </w:p>
    <w:p w14:paraId="4618B1DB" w14:textId="77777777" w:rsidR="00CF1BDE" w:rsidRDefault="00CF1BDE">
      <w:r>
        <w:rPr>
          <w:noProof/>
        </w:rPr>
        <w:drawing>
          <wp:inline distT="0" distB="0" distL="0" distR="0" wp14:anchorId="1180B312" wp14:editId="11627E40">
            <wp:extent cx="6123305" cy="2471397"/>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57880" cy="2485351"/>
                    </a:xfrm>
                    <a:prstGeom prst="rect">
                      <a:avLst/>
                    </a:prstGeom>
                    <a:noFill/>
                  </pic:spPr>
                </pic:pic>
              </a:graphicData>
            </a:graphic>
          </wp:inline>
        </w:drawing>
      </w:r>
    </w:p>
    <w:p w14:paraId="3C6BF10E" w14:textId="68F8404B" w:rsidR="001B2669" w:rsidRDefault="001B2669"/>
    <w:p w14:paraId="16C760E7" w14:textId="77777777" w:rsidR="00195728" w:rsidRDefault="00195728"/>
    <w:p w14:paraId="3F10FEE5" w14:textId="6A0790C1" w:rsidR="008B3BA9" w:rsidRDefault="005A1BB4">
      <w:r>
        <w:t xml:space="preserve">Figure 3.  </w:t>
      </w:r>
      <w:r w:rsidR="00195728">
        <w:t xml:space="preserve">Overlapping DO data from the </w:t>
      </w:r>
      <w:proofErr w:type="spellStart"/>
      <w:r w:rsidR="00195728">
        <w:t>sonde</w:t>
      </w:r>
      <w:proofErr w:type="spellEnd"/>
      <w:r w:rsidR="00195728">
        <w:t xml:space="preserve"> deployment from early April, with the time of day of ambient sampling events overlain on the diel data.  </w:t>
      </w:r>
    </w:p>
    <w:p w14:paraId="0A0F645F" w14:textId="77777777" w:rsidR="008B3BA9" w:rsidRDefault="008B3BA9" w:rsidP="008B3BA9">
      <w:pPr>
        <w:jc w:val="center"/>
      </w:pPr>
      <w:r>
        <w:rPr>
          <w:noProof/>
        </w:rPr>
        <w:drawing>
          <wp:inline distT="0" distB="0" distL="0" distR="0" wp14:anchorId="0A922662" wp14:editId="23D73BDE">
            <wp:extent cx="4877055" cy="395732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2280" cy="3969674"/>
                    </a:xfrm>
                    <a:prstGeom prst="rect">
                      <a:avLst/>
                    </a:prstGeom>
                    <a:noFill/>
                  </pic:spPr>
                </pic:pic>
              </a:graphicData>
            </a:graphic>
          </wp:inline>
        </w:drawing>
      </w:r>
    </w:p>
    <w:p w14:paraId="52E34CA2" w14:textId="77777777" w:rsidR="00125052" w:rsidRDefault="00125052" w:rsidP="00910872"/>
    <w:sectPr w:rsidR="00125052" w:rsidSect="004678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D816E6"/>
    <w:multiLevelType w:val="hybridMultilevel"/>
    <w:tmpl w:val="712C3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C66F36"/>
    <w:multiLevelType w:val="hybridMultilevel"/>
    <w:tmpl w:val="5E567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00B"/>
    <w:rsid w:val="00004CB6"/>
    <w:rsid w:val="000177B0"/>
    <w:rsid w:val="00020C44"/>
    <w:rsid w:val="000329FD"/>
    <w:rsid w:val="0003448A"/>
    <w:rsid w:val="00036E78"/>
    <w:rsid w:val="0004109C"/>
    <w:rsid w:val="00052639"/>
    <w:rsid w:val="000926D9"/>
    <w:rsid w:val="000C2B5A"/>
    <w:rsid w:val="000E289D"/>
    <w:rsid w:val="00107260"/>
    <w:rsid w:val="00107334"/>
    <w:rsid w:val="00117868"/>
    <w:rsid w:val="00125052"/>
    <w:rsid w:val="00142503"/>
    <w:rsid w:val="00161171"/>
    <w:rsid w:val="00175BDD"/>
    <w:rsid w:val="00195728"/>
    <w:rsid w:val="001A2903"/>
    <w:rsid w:val="001A62D5"/>
    <w:rsid w:val="001B2669"/>
    <w:rsid w:val="001C3258"/>
    <w:rsid w:val="001C7F43"/>
    <w:rsid w:val="001D5C21"/>
    <w:rsid w:val="00222DA0"/>
    <w:rsid w:val="002300CE"/>
    <w:rsid w:val="00242221"/>
    <w:rsid w:val="0024365A"/>
    <w:rsid w:val="002675F7"/>
    <w:rsid w:val="00271E48"/>
    <w:rsid w:val="00272BBB"/>
    <w:rsid w:val="00297028"/>
    <w:rsid w:val="002974C6"/>
    <w:rsid w:val="002A13C7"/>
    <w:rsid w:val="002E3ADA"/>
    <w:rsid w:val="002E4CAF"/>
    <w:rsid w:val="002F11E5"/>
    <w:rsid w:val="00355753"/>
    <w:rsid w:val="00362AAD"/>
    <w:rsid w:val="003D66FE"/>
    <w:rsid w:val="003D67F7"/>
    <w:rsid w:val="003E7529"/>
    <w:rsid w:val="003E7B5B"/>
    <w:rsid w:val="00423646"/>
    <w:rsid w:val="00435412"/>
    <w:rsid w:val="004678AC"/>
    <w:rsid w:val="004755F6"/>
    <w:rsid w:val="004954F2"/>
    <w:rsid w:val="004A0083"/>
    <w:rsid w:val="004E768F"/>
    <w:rsid w:val="004F6323"/>
    <w:rsid w:val="00512D77"/>
    <w:rsid w:val="00553874"/>
    <w:rsid w:val="00582BB8"/>
    <w:rsid w:val="005945DC"/>
    <w:rsid w:val="005A1BB4"/>
    <w:rsid w:val="005A4658"/>
    <w:rsid w:val="005B1392"/>
    <w:rsid w:val="005F0008"/>
    <w:rsid w:val="005F10A7"/>
    <w:rsid w:val="005F6997"/>
    <w:rsid w:val="00603923"/>
    <w:rsid w:val="00611D5A"/>
    <w:rsid w:val="00614DDD"/>
    <w:rsid w:val="00623F10"/>
    <w:rsid w:val="00627647"/>
    <w:rsid w:val="0065300B"/>
    <w:rsid w:val="00653B3B"/>
    <w:rsid w:val="00661882"/>
    <w:rsid w:val="00673BD5"/>
    <w:rsid w:val="006971A3"/>
    <w:rsid w:val="006A158B"/>
    <w:rsid w:val="006C3236"/>
    <w:rsid w:val="006D125E"/>
    <w:rsid w:val="006E7589"/>
    <w:rsid w:val="00711B15"/>
    <w:rsid w:val="007334C0"/>
    <w:rsid w:val="007638AA"/>
    <w:rsid w:val="00781063"/>
    <w:rsid w:val="007A2321"/>
    <w:rsid w:val="007A2ABD"/>
    <w:rsid w:val="007A3519"/>
    <w:rsid w:val="007B1B6A"/>
    <w:rsid w:val="007B4EC1"/>
    <w:rsid w:val="007B5118"/>
    <w:rsid w:val="007D7103"/>
    <w:rsid w:val="00820264"/>
    <w:rsid w:val="00824A0F"/>
    <w:rsid w:val="00830AC0"/>
    <w:rsid w:val="00870AEC"/>
    <w:rsid w:val="00890801"/>
    <w:rsid w:val="00890D5B"/>
    <w:rsid w:val="00893800"/>
    <w:rsid w:val="008952F4"/>
    <w:rsid w:val="008A3E1E"/>
    <w:rsid w:val="008B3BA9"/>
    <w:rsid w:val="008F468B"/>
    <w:rsid w:val="008F6158"/>
    <w:rsid w:val="009047F0"/>
    <w:rsid w:val="00910872"/>
    <w:rsid w:val="009324E5"/>
    <w:rsid w:val="009575FC"/>
    <w:rsid w:val="00972F96"/>
    <w:rsid w:val="00977AE5"/>
    <w:rsid w:val="00980439"/>
    <w:rsid w:val="00992606"/>
    <w:rsid w:val="009A1277"/>
    <w:rsid w:val="009A15C1"/>
    <w:rsid w:val="009B1EC5"/>
    <w:rsid w:val="009C4921"/>
    <w:rsid w:val="009D605A"/>
    <w:rsid w:val="00A477ED"/>
    <w:rsid w:val="00A51197"/>
    <w:rsid w:val="00A53FB1"/>
    <w:rsid w:val="00A57DFD"/>
    <w:rsid w:val="00A62092"/>
    <w:rsid w:val="00A64A5D"/>
    <w:rsid w:val="00A65B4F"/>
    <w:rsid w:val="00A66E25"/>
    <w:rsid w:val="00A727F4"/>
    <w:rsid w:val="00A91601"/>
    <w:rsid w:val="00AA04BA"/>
    <w:rsid w:val="00AA1F8B"/>
    <w:rsid w:val="00AD7BB3"/>
    <w:rsid w:val="00B12A08"/>
    <w:rsid w:val="00B13DDC"/>
    <w:rsid w:val="00B86B14"/>
    <w:rsid w:val="00BB0B66"/>
    <w:rsid w:val="00BC4170"/>
    <w:rsid w:val="00BC6940"/>
    <w:rsid w:val="00BD2BBD"/>
    <w:rsid w:val="00BD49ED"/>
    <w:rsid w:val="00BE21F7"/>
    <w:rsid w:val="00BF6831"/>
    <w:rsid w:val="00C57AAE"/>
    <w:rsid w:val="00C96A9F"/>
    <w:rsid w:val="00CB7A82"/>
    <w:rsid w:val="00CF1BDE"/>
    <w:rsid w:val="00D214CF"/>
    <w:rsid w:val="00D27DC8"/>
    <w:rsid w:val="00D412C8"/>
    <w:rsid w:val="00D42B46"/>
    <w:rsid w:val="00D518DD"/>
    <w:rsid w:val="00D87D3E"/>
    <w:rsid w:val="00D91E9B"/>
    <w:rsid w:val="00DC1B40"/>
    <w:rsid w:val="00DE46EF"/>
    <w:rsid w:val="00E02F72"/>
    <w:rsid w:val="00E42F2E"/>
    <w:rsid w:val="00E61DDF"/>
    <w:rsid w:val="00E8683E"/>
    <w:rsid w:val="00E9152D"/>
    <w:rsid w:val="00E97F32"/>
    <w:rsid w:val="00EB5006"/>
    <w:rsid w:val="00EC5714"/>
    <w:rsid w:val="00F0232F"/>
    <w:rsid w:val="00F5563C"/>
    <w:rsid w:val="00FA7D95"/>
    <w:rsid w:val="00FF0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D69D5"/>
  <w15:chartTrackingRefBased/>
  <w15:docId w15:val="{204E982E-4698-4FEF-B90F-6C0C287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7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7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23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321"/>
    <w:rPr>
      <w:rFonts w:ascii="Segoe UI" w:hAnsi="Segoe UI" w:cs="Segoe UI"/>
      <w:sz w:val="18"/>
      <w:szCs w:val="18"/>
    </w:rPr>
  </w:style>
  <w:style w:type="paragraph" w:styleId="ListParagraph">
    <w:name w:val="List Paragraph"/>
    <w:basedOn w:val="Normal"/>
    <w:uiPriority w:val="34"/>
    <w:qFormat/>
    <w:rsid w:val="000329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3505">
      <w:bodyDiv w:val="1"/>
      <w:marLeft w:val="0"/>
      <w:marRight w:val="0"/>
      <w:marTop w:val="0"/>
      <w:marBottom w:val="0"/>
      <w:divBdr>
        <w:top w:val="none" w:sz="0" w:space="0" w:color="auto"/>
        <w:left w:val="none" w:sz="0" w:space="0" w:color="auto"/>
        <w:bottom w:val="none" w:sz="0" w:space="0" w:color="auto"/>
        <w:right w:val="none" w:sz="0" w:space="0" w:color="auto"/>
      </w:divBdr>
    </w:div>
    <w:div w:id="397826109">
      <w:bodyDiv w:val="1"/>
      <w:marLeft w:val="0"/>
      <w:marRight w:val="0"/>
      <w:marTop w:val="0"/>
      <w:marBottom w:val="0"/>
      <w:divBdr>
        <w:top w:val="none" w:sz="0" w:space="0" w:color="auto"/>
        <w:left w:val="none" w:sz="0" w:space="0" w:color="auto"/>
        <w:bottom w:val="none" w:sz="0" w:space="0" w:color="auto"/>
        <w:right w:val="none" w:sz="0" w:space="0" w:color="auto"/>
      </w:divBdr>
    </w:div>
    <w:div w:id="1168406485">
      <w:bodyDiv w:val="1"/>
      <w:marLeft w:val="0"/>
      <w:marRight w:val="0"/>
      <w:marTop w:val="0"/>
      <w:marBottom w:val="0"/>
      <w:divBdr>
        <w:top w:val="none" w:sz="0" w:space="0" w:color="auto"/>
        <w:left w:val="none" w:sz="0" w:space="0" w:color="auto"/>
        <w:bottom w:val="none" w:sz="0" w:space="0" w:color="auto"/>
        <w:right w:val="none" w:sz="0" w:space="0" w:color="auto"/>
      </w:divBdr>
    </w:div>
    <w:div w:id="130647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E48EC-9687-481B-97BC-0745EF7E7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2199</Words>
  <Characters>12538</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Hendrickson</dc:creator>
  <cp:keywords/>
  <dc:description/>
  <cp:lastModifiedBy>Sutton, Kaitlyn</cp:lastModifiedBy>
  <cp:revision>2</cp:revision>
  <cp:lastPrinted>2019-11-20T17:50:00Z</cp:lastPrinted>
  <dcterms:created xsi:type="dcterms:W3CDTF">2019-12-09T20:28:00Z</dcterms:created>
  <dcterms:modified xsi:type="dcterms:W3CDTF">2019-12-09T20:28:00Z</dcterms:modified>
</cp:coreProperties>
</file>