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637C" w:rsidRPr="00F62A24" w:rsidRDefault="0091637C" w:rsidP="0091637C">
      <w:pPr>
        <w:spacing w:after="0" w:line="240" w:lineRule="auto"/>
        <w:jc w:val="center"/>
        <w:rPr>
          <w:b/>
        </w:rPr>
      </w:pPr>
      <w:bookmarkStart w:id="0" w:name="_GoBack"/>
      <w:bookmarkEnd w:id="0"/>
      <w:r w:rsidRPr="00F62A24">
        <w:rPr>
          <w:b/>
        </w:rPr>
        <w:t>Triennial Review 2019</w:t>
      </w:r>
    </w:p>
    <w:p w:rsidR="0091637C" w:rsidRDefault="0091637C" w:rsidP="0091637C">
      <w:pPr>
        <w:spacing w:after="0" w:line="240" w:lineRule="auto"/>
        <w:jc w:val="center"/>
        <w:rPr>
          <w:b/>
        </w:rPr>
      </w:pPr>
      <w:r>
        <w:rPr>
          <w:b/>
        </w:rPr>
        <w:t xml:space="preserve">11/22/2019 </w:t>
      </w:r>
      <w:r w:rsidRPr="00F62A24">
        <w:rPr>
          <w:b/>
        </w:rPr>
        <w:t>Comments from Pinellas County</w:t>
      </w:r>
    </w:p>
    <w:p w:rsidR="0091637C" w:rsidRDefault="0091637C" w:rsidP="0091637C">
      <w:pPr>
        <w:spacing w:after="0" w:line="240" w:lineRule="auto"/>
        <w:jc w:val="center"/>
        <w:rPr>
          <w:b/>
        </w:rPr>
      </w:pPr>
    </w:p>
    <w:p w:rsidR="0091637C" w:rsidRDefault="00725356" w:rsidP="0091637C">
      <w:pPr>
        <w:spacing w:after="0" w:line="240" w:lineRule="auto"/>
        <w:rPr>
          <w:b/>
        </w:rPr>
      </w:pPr>
      <w:r>
        <w:rPr>
          <w:b/>
        </w:rPr>
        <w:t>General Comments</w:t>
      </w:r>
    </w:p>
    <w:p w:rsidR="00725356" w:rsidRDefault="00725356" w:rsidP="0091637C">
      <w:pPr>
        <w:spacing w:after="0" w:line="240" w:lineRule="auto"/>
        <w:rPr>
          <w:b/>
        </w:rPr>
      </w:pPr>
    </w:p>
    <w:p w:rsidR="0093648A" w:rsidRDefault="00725356" w:rsidP="00D37C0A">
      <w:pPr>
        <w:pStyle w:val="ListParagraph"/>
        <w:spacing w:after="0" w:line="240" w:lineRule="auto"/>
        <w:ind w:left="0"/>
      </w:pPr>
      <w:r>
        <w:t xml:space="preserve">The phrase “flora </w:t>
      </w:r>
      <w:r w:rsidRPr="00725356">
        <w:t>an</w:t>
      </w:r>
      <w:r>
        <w:t>d/</w:t>
      </w:r>
      <w:r w:rsidRPr="00725356">
        <w:t>or fauna</w:t>
      </w:r>
      <w:r>
        <w:t>” throughout the standards and associated NNC Implementation document is misleading since floral measures dominate the determination of attainment/nonattainment of standards</w:t>
      </w:r>
      <w:r w:rsidR="00E95786">
        <w:t>, as evidenced in part by the incorporation of only Sections 6.3 to 6.8 of the NNC Implementation document</w:t>
      </w:r>
      <w:r w:rsidR="00DA735D">
        <w:t xml:space="preserve"> into State Standards</w:t>
      </w:r>
      <w:r>
        <w:t xml:space="preserve">.  </w:t>
      </w:r>
      <w:r w:rsidR="00D37C0A">
        <w:t>T</w:t>
      </w:r>
      <w:r>
        <w:t xml:space="preserve">he parameters </w:t>
      </w:r>
      <w:proofErr w:type="spellStart"/>
      <w:r>
        <w:t>chl</w:t>
      </w:r>
      <w:proofErr w:type="spellEnd"/>
      <w:r>
        <w:t xml:space="preserve">-a, algal mats/blooms, nuisance macrophyte growth, and changes in algal species composition are identified </w:t>
      </w:r>
      <w:r w:rsidR="00D37C0A">
        <w:t xml:space="preserve">specifically </w:t>
      </w:r>
      <w:r>
        <w:t>as the measures used to examine the imbalance of “flora or fauna,” but these are only floral measures</w:t>
      </w:r>
      <w:r w:rsidRPr="0093648A">
        <w:t xml:space="preserve">.  </w:t>
      </w:r>
      <w:r w:rsidR="00DA735D" w:rsidRPr="0093648A">
        <w:t xml:space="preserve">Section 6.9 should be incorporated into the WQS </w:t>
      </w:r>
      <w:r w:rsidR="00E95786" w:rsidRPr="0093648A">
        <w:t xml:space="preserve">unless </w:t>
      </w:r>
      <w:r w:rsidRPr="0093648A">
        <w:t xml:space="preserve">“fauna” </w:t>
      </w:r>
      <w:r w:rsidR="00E95786" w:rsidRPr="0093648A">
        <w:t xml:space="preserve">is removed </w:t>
      </w:r>
      <w:r w:rsidRPr="0093648A">
        <w:t>from the statements to accurately reflect that only imbalances in flora are being considered</w:t>
      </w:r>
      <w:r w:rsidR="00D37C0A" w:rsidRPr="0093648A">
        <w:t xml:space="preserve"> as WQS</w:t>
      </w:r>
      <w:r w:rsidRPr="0093648A">
        <w:t>.</w:t>
      </w:r>
      <w:r w:rsidR="00E95786">
        <w:t xml:space="preserve"> </w:t>
      </w:r>
      <w:r w:rsidR="005F178F">
        <w:t xml:space="preserve"> </w:t>
      </w:r>
    </w:p>
    <w:p w:rsidR="0093648A" w:rsidRDefault="0093648A" w:rsidP="00D37C0A">
      <w:pPr>
        <w:pStyle w:val="ListParagraph"/>
        <w:spacing w:after="0" w:line="240" w:lineRule="auto"/>
        <w:ind w:left="0"/>
      </w:pPr>
    </w:p>
    <w:p w:rsidR="002E5076" w:rsidRDefault="002E5076" w:rsidP="00D37C0A">
      <w:pPr>
        <w:pStyle w:val="ListParagraph"/>
        <w:spacing w:after="0" w:line="240" w:lineRule="auto"/>
        <w:ind w:left="0"/>
      </w:pPr>
      <w:r>
        <w:t>Specific comments below reiterate the opinion that the floral metrics should be evaluated in conjunction with faunal metrics (SCI) and nutrient concentrations as equally weighted parameters to determine imbalance of flora and/or fauna rather than giving more consideration to floral measures</w:t>
      </w:r>
      <w:r w:rsidR="00DA735D">
        <w:t>.</w:t>
      </w:r>
      <w:r>
        <w:t xml:space="preserve"> </w:t>
      </w:r>
      <w:r w:rsidR="00DA735D">
        <w:t xml:space="preserve"> </w:t>
      </w:r>
      <w:r w:rsidR="001276EB">
        <w:t xml:space="preserve">The NNC Implementation document states in several sections that the various floral </w:t>
      </w:r>
      <w:r w:rsidR="001276EB" w:rsidRPr="001276EB">
        <w:t>metrics</w:t>
      </w:r>
      <w:r w:rsidRPr="001276EB">
        <w:t xml:space="preserve"> do not have strong statistical relationship</w:t>
      </w:r>
      <w:r w:rsidR="00DA735D">
        <w:t>s</w:t>
      </w:r>
      <w:r w:rsidRPr="001276EB">
        <w:t xml:space="preserve"> to disturbed streams</w:t>
      </w:r>
      <w:r w:rsidR="001276EB">
        <w:t xml:space="preserve"> and that other parameters influence these metrics to a greater degree than human disturbance (i.e., pH, conductivity, hydrology, etc.).  Given these acknowledged weaknesses in the usefulness of the floral metrics for determining nonattainment due to human activities, why are the floral metrics given greater weight than the fauna</w:t>
      </w:r>
      <w:r w:rsidR="00DA735D">
        <w:t>l</w:t>
      </w:r>
      <w:r w:rsidR="001276EB">
        <w:t xml:space="preserve"> and nutrient measures?  </w:t>
      </w:r>
      <w:r w:rsidR="0093648A">
        <w:t>There should be e</w:t>
      </w:r>
      <w:r w:rsidR="00D37C0A">
        <w:t>qual consideration of the three major components to interpret the narrative</w:t>
      </w:r>
      <w:r w:rsidR="0093648A">
        <w:t>, with agreement in at least two of the three components to determine attainment or nonattainment of the criterion</w:t>
      </w:r>
      <w:r w:rsidR="00C31DF4">
        <w:t>.</w:t>
      </w:r>
      <w:r w:rsidR="00354F80">
        <w:t xml:space="preserve"> </w:t>
      </w:r>
      <w:r w:rsidR="00CF378E">
        <w:t xml:space="preserve"> </w:t>
      </w:r>
      <w:r w:rsidR="00CF378E">
        <w:rPr>
          <w:rFonts w:cstheme="minorHAnsi"/>
        </w:rPr>
        <w:t xml:space="preserve">Failure of floral metrics alone should not lead to direct placement on the verified list unless there is concurrence with elevated nutrients and/or </w:t>
      </w:r>
      <w:r w:rsidR="006C06A5">
        <w:rPr>
          <w:rFonts w:cstheme="minorHAnsi"/>
        </w:rPr>
        <w:t>failing SCI</w:t>
      </w:r>
      <w:r w:rsidR="00CF378E">
        <w:rPr>
          <w:rFonts w:cstheme="minorHAnsi"/>
        </w:rPr>
        <w:t xml:space="preserve">.    </w:t>
      </w:r>
    </w:p>
    <w:p w:rsidR="007E6D6B" w:rsidRDefault="007E6D6B" w:rsidP="00D37C0A">
      <w:pPr>
        <w:spacing w:after="0" w:line="240" w:lineRule="auto"/>
        <w:rPr>
          <w:color w:val="C00000"/>
          <w:sz w:val="24"/>
          <w:szCs w:val="24"/>
        </w:rPr>
      </w:pPr>
    </w:p>
    <w:p w:rsidR="00FC5A15" w:rsidRPr="00D37C0A" w:rsidRDefault="00CF378E" w:rsidP="00FC5A15">
      <w:pPr>
        <w:spacing w:after="0" w:line="240" w:lineRule="auto"/>
        <w:rPr>
          <w:rFonts w:cstheme="minorHAnsi"/>
        </w:rPr>
      </w:pPr>
      <w:r>
        <w:rPr>
          <w:rFonts w:cstheme="minorHAnsi"/>
        </w:rPr>
        <w:t>If floral metrics are failing</w:t>
      </w:r>
      <w:r w:rsidR="006C06A5">
        <w:rPr>
          <w:rFonts w:cstheme="minorHAnsi"/>
        </w:rPr>
        <w:t xml:space="preserve"> </w:t>
      </w:r>
      <w:r w:rsidR="00727B25">
        <w:rPr>
          <w:rFonts w:cstheme="minorHAnsi"/>
        </w:rPr>
        <w:t xml:space="preserve">and </w:t>
      </w:r>
      <w:r w:rsidR="009E0AC4">
        <w:rPr>
          <w:rFonts w:cstheme="minorHAnsi"/>
        </w:rPr>
        <w:t>the nutrient levels are below the criteria</w:t>
      </w:r>
      <w:r w:rsidR="006C06A5">
        <w:rPr>
          <w:rFonts w:cstheme="minorHAnsi"/>
        </w:rPr>
        <w:t>,</w:t>
      </w:r>
      <w:r>
        <w:rPr>
          <w:rFonts w:cstheme="minorHAnsi"/>
        </w:rPr>
        <w:t xml:space="preserve"> placement on the study list would </w:t>
      </w:r>
      <w:r w:rsidR="003C263F">
        <w:rPr>
          <w:rFonts w:cstheme="minorHAnsi"/>
        </w:rPr>
        <w:t>encourage</w:t>
      </w:r>
      <w:r>
        <w:rPr>
          <w:rFonts w:cstheme="minorHAnsi"/>
        </w:rPr>
        <w:t xml:space="preserve"> further investigation into the multiple other causative agents, including temperature, disturbance, hydrology, water chemistry/DO, grazer abundance, etc. (see references </w:t>
      </w:r>
      <w:r w:rsidR="00641C5C">
        <w:rPr>
          <w:rFonts w:cstheme="minorHAnsi"/>
        </w:rPr>
        <w:t>at the end of comments for a few examples</w:t>
      </w:r>
      <w:r>
        <w:rPr>
          <w:rFonts w:cstheme="minorHAnsi"/>
        </w:rPr>
        <w:t>).</w:t>
      </w:r>
      <w:r w:rsidRPr="00FC5A15">
        <w:rPr>
          <w:rFonts w:cstheme="minorHAnsi"/>
        </w:rPr>
        <w:t xml:space="preserve"> </w:t>
      </w:r>
      <w:r>
        <w:rPr>
          <w:rFonts w:cstheme="minorHAnsi"/>
        </w:rPr>
        <w:t xml:space="preserve"> </w:t>
      </w:r>
      <w:r w:rsidR="007E6D6B" w:rsidRPr="00D37C0A">
        <w:rPr>
          <w:rFonts w:cstheme="minorHAnsi"/>
        </w:rPr>
        <w:t xml:space="preserve">The new requirement to consider different hydrologic seasons is good, but </w:t>
      </w:r>
      <w:r w:rsidR="003C263F">
        <w:rPr>
          <w:rFonts w:cstheme="minorHAnsi"/>
        </w:rPr>
        <w:t>t</w:t>
      </w:r>
      <w:r w:rsidR="003C263F" w:rsidRPr="00D37C0A">
        <w:rPr>
          <w:rFonts w:cstheme="minorHAnsi"/>
        </w:rPr>
        <w:t xml:space="preserve">he NNC Implementation document should specify that hydrological alterations be investigated as an important cofactor with nutrients </w:t>
      </w:r>
      <w:r w:rsidR="007E6D6B" w:rsidRPr="00D37C0A">
        <w:rPr>
          <w:rFonts w:cstheme="minorHAnsi"/>
        </w:rPr>
        <w:t xml:space="preserve">if a waterbody does not attain floral or faunal metrics.  </w:t>
      </w:r>
      <w:r w:rsidR="00FC5A15" w:rsidRPr="00D37C0A">
        <w:rPr>
          <w:rFonts w:cstheme="minorHAnsi"/>
        </w:rPr>
        <w:t xml:space="preserve">Man-induced hydrological alteration is an inherent impairment cause/factor that shapes the </w:t>
      </w:r>
      <w:r w:rsidR="00FC5A15">
        <w:rPr>
          <w:rFonts w:cstheme="minorHAnsi"/>
        </w:rPr>
        <w:t xml:space="preserve">floral and faunal </w:t>
      </w:r>
      <w:r w:rsidR="00FC5A15" w:rsidRPr="00D37C0A">
        <w:rPr>
          <w:rFonts w:cstheme="minorHAnsi"/>
        </w:rPr>
        <w:t>communities to a greater degree than</w:t>
      </w:r>
      <w:r w:rsidR="003C263F">
        <w:rPr>
          <w:rFonts w:cstheme="minorHAnsi"/>
        </w:rPr>
        <w:t xml:space="preserve"> currently</w:t>
      </w:r>
      <w:r w:rsidR="00FC5A15" w:rsidRPr="00D37C0A">
        <w:rPr>
          <w:rFonts w:cstheme="minorHAnsi"/>
        </w:rPr>
        <w:t xml:space="preserve"> indicated in the assessment documents.  </w:t>
      </w:r>
    </w:p>
    <w:p w:rsidR="0093648A" w:rsidRDefault="0093648A" w:rsidP="00D37C0A">
      <w:pPr>
        <w:spacing w:after="0" w:line="240" w:lineRule="auto"/>
        <w:rPr>
          <w:rFonts w:cstheme="minorHAnsi"/>
        </w:rPr>
      </w:pPr>
    </w:p>
    <w:p w:rsidR="00AA4171" w:rsidRDefault="00AA4171" w:rsidP="00D37C0A">
      <w:pPr>
        <w:spacing w:after="0" w:line="240" w:lineRule="auto"/>
        <w:rPr>
          <w:rFonts w:cstheme="minorHAnsi"/>
        </w:rPr>
      </w:pPr>
    </w:p>
    <w:p w:rsidR="00D37C0A" w:rsidRDefault="00B714ED" w:rsidP="0091637C">
      <w:pPr>
        <w:spacing w:after="0" w:line="240" w:lineRule="auto"/>
        <w:rPr>
          <w:b/>
        </w:rPr>
      </w:pPr>
      <w:r>
        <w:rPr>
          <w:b/>
        </w:rPr>
        <w:t>Specific Comments</w:t>
      </w:r>
    </w:p>
    <w:p w:rsidR="00B714ED" w:rsidRDefault="00B714ED" w:rsidP="0091637C">
      <w:pPr>
        <w:spacing w:after="0" w:line="240" w:lineRule="auto"/>
        <w:rPr>
          <w:b/>
        </w:rPr>
      </w:pPr>
    </w:p>
    <w:p w:rsidR="00FE0138" w:rsidRDefault="00FE0138" w:rsidP="0091637C">
      <w:pPr>
        <w:spacing w:after="0" w:line="240" w:lineRule="auto"/>
        <w:rPr>
          <w:b/>
        </w:rPr>
      </w:pPr>
      <w:r>
        <w:rPr>
          <w:b/>
        </w:rPr>
        <w:t>Ch 62-302:</w:t>
      </w:r>
    </w:p>
    <w:p w:rsidR="00FE0138" w:rsidRPr="00F57350" w:rsidRDefault="00FE0138" w:rsidP="00FE0138">
      <w:pPr>
        <w:pStyle w:val="ListParagraph"/>
        <w:numPr>
          <w:ilvl w:val="0"/>
          <w:numId w:val="2"/>
        </w:numPr>
        <w:spacing w:after="0" w:line="240" w:lineRule="auto"/>
        <w:ind w:left="360"/>
        <w:rPr>
          <w:b/>
        </w:rPr>
      </w:pPr>
      <w:r w:rsidRPr="00FE0138">
        <w:t xml:space="preserve">62-302.300(20) </w:t>
      </w:r>
      <w:r>
        <w:t xml:space="preserve">  </w:t>
      </w:r>
      <w:r w:rsidRPr="00FE0138">
        <w:t xml:space="preserve">Why not incorporate </w:t>
      </w:r>
      <w:r w:rsidR="00E95786">
        <w:t xml:space="preserve">the </w:t>
      </w:r>
      <w:r w:rsidRPr="00FE0138">
        <w:t xml:space="preserve">entire </w:t>
      </w:r>
      <w:r w:rsidRPr="00664920">
        <w:t>NNC Implementation document</w:t>
      </w:r>
      <w:r>
        <w:t xml:space="preserve"> </w:t>
      </w:r>
      <w:r w:rsidRPr="00664920">
        <w:t>into WQS</w:t>
      </w:r>
      <w:r>
        <w:t xml:space="preserve">?  If not </w:t>
      </w:r>
      <w:r w:rsidR="0025737D">
        <w:t xml:space="preserve">the </w:t>
      </w:r>
      <w:r>
        <w:t xml:space="preserve">entire document, why not include 6.9 (fauna), since </w:t>
      </w:r>
      <w:r w:rsidR="00E95786">
        <w:t xml:space="preserve">the </w:t>
      </w:r>
      <w:r>
        <w:t>goal is to evaluate imbalances of aquatic flora AND/OR FAUNA?</w:t>
      </w:r>
    </w:p>
    <w:p w:rsidR="00F57350" w:rsidRPr="000F0CF2" w:rsidRDefault="00DE6BE8" w:rsidP="00FE0138">
      <w:pPr>
        <w:pStyle w:val="ListParagraph"/>
        <w:numPr>
          <w:ilvl w:val="0"/>
          <w:numId w:val="2"/>
        </w:numPr>
        <w:spacing w:after="0" w:line="240" w:lineRule="auto"/>
        <w:ind w:left="360"/>
        <w:rPr>
          <w:b/>
        </w:rPr>
      </w:pPr>
      <w:r>
        <w:t>62-302.530(48)(b)  “OR FAUNA”</w:t>
      </w:r>
    </w:p>
    <w:p w:rsidR="000F0CF2" w:rsidRPr="000F0CF2" w:rsidRDefault="000F0CF2" w:rsidP="000F0CF2">
      <w:pPr>
        <w:pStyle w:val="ListParagraph"/>
        <w:numPr>
          <w:ilvl w:val="0"/>
          <w:numId w:val="2"/>
        </w:numPr>
        <w:spacing w:after="0" w:line="240" w:lineRule="auto"/>
        <w:ind w:left="360"/>
      </w:pPr>
      <w:r>
        <w:t xml:space="preserve">62-302.531(2)(c)  “no imbalances in flora </w:t>
      </w:r>
      <w:r w:rsidRPr="00A974E7">
        <w:rPr>
          <w:u w:val="single"/>
        </w:rPr>
        <w:t>or fauna</w:t>
      </w:r>
      <w:r w:rsidRPr="00A974E7">
        <w:t xml:space="preserve">” </w:t>
      </w:r>
      <w:r>
        <w:t>statement should have “or fauna” removed since only floral metrics are listed there, and the subsequent bullet point discusses SCI scores which are faunal measures.</w:t>
      </w:r>
    </w:p>
    <w:p w:rsidR="00DE6BE8" w:rsidRPr="00FF03D9" w:rsidRDefault="00DE6BE8" w:rsidP="00FE0138">
      <w:pPr>
        <w:pStyle w:val="ListParagraph"/>
        <w:numPr>
          <w:ilvl w:val="0"/>
          <w:numId w:val="2"/>
        </w:numPr>
        <w:spacing w:after="0" w:line="240" w:lineRule="auto"/>
        <w:ind w:left="360"/>
        <w:rPr>
          <w:b/>
        </w:rPr>
      </w:pPr>
      <w:r>
        <w:lastRenderedPageBreak/>
        <w:t>62-302.532</w:t>
      </w:r>
      <w:r w:rsidR="00FF03D9">
        <w:t>(1)</w:t>
      </w:r>
      <w:r>
        <w:t xml:space="preserve">  Recommend providing concentration equivalents </w:t>
      </w:r>
      <w:r w:rsidR="00FF03D9">
        <w:t>alongside the loads in the table</w:t>
      </w:r>
      <w:r>
        <w:t xml:space="preserve">.  </w:t>
      </w:r>
      <w:r w:rsidR="00FF03D9">
        <w:t>It is difficult to use the load criteria values to evaluate status of waters, and there are calculated concentration targets for these waters, correct?</w:t>
      </w:r>
    </w:p>
    <w:p w:rsidR="00FF03D9" w:rsidRDefault="00FF03D9" w:rsidP="00FF03D9">
      <w:pPr>
        <w:spacing w:after="0" w:line="240" w:lineRule="auto"/>
        <w:rPr>
          <w:b/>
        </w:rPr>
      </w:pPr>
    </w:p>
    <w:p w:rsidR="00741300" w:rsidRDefault="00FF03D9" w:rsidP="00FF03D9">
      <w:pPr>
        <w:spacing w:after="0" w:line="240" w:lineRule="auto"/>
        <w:rPr>
          <w:b/>
        </w:rPr>
      </w:pPr>
      <w:r>
        <w:rPr>
          <w:b/>
        </w:rPr>
        <w:t>Ch 62-303</w:t>
      </w:r>
      <w:r w:rsidR="00741300">
        <w:rPr>
          <w:b/>
        </w:rPr>
        <w:t>:</w:t>
      </w:r>
    </w:p>
    <w:p w:rsidR="00741300" w:rsidRDefault="00741300" w:rsidP="00741300">
      <w:pPr>
        <w:pStyle w:val="ListParagraph"/>
        <w:numPr>
          <w:ilvl w:val="0"/>
          <w:numId w:val="3"/>
        </w:numPr>
        <w:spacing w:after="0" w:line="240" w:lineRule="auto"/>
        <w:ind w:left="360"/>
      </w:pPr>
      <w:r>
        <w:t>62-303.350(1)  “OR FAUNA”</w:t>
      </w:r>
    </w:p>
    <w:p w:rsidR="00741300" w:rsidRDefault="00741300" w:rsidP="00741300">
      <w:pPr>
        <w:pStyle w:val="ListParagraph"/>
        <w:numPr>
          <w:ilvl w:val="0"/>
          <w:numId w:val="3"/>
        </w:numPr>
        <w:spacing w:after="0" w:line="240" w:lineRule="auto"/>
        <w:ind w:left="360"/>
      </w:pPr>
      <w:r>
        <w:t xml:space="preserve">62-303.351(1)  </w:t>
      </w:r>
      <w:r w:rsidR="006A2C91">
        <w:t>N</w:t>
      </w:r>
      <w:r w:rsidR="00D32174">
        <w:t>ew language lists</w:t>
      </w:r>
      <w:r w:rsidR="006A2C91">
        <w:t xml:space="preserve"> parameters including SCI but only references </w:t>
      </w:r>
      <w:r>
        <w:t>Sections 6.3 to 6.8</w:t>
      </w:r>
      <w:r w:rsidR="006A2C91">
        <w:t xml:space="preserve">, and </w:t>
      </w:r>
      <w:r>
        <w:t xml:space="preserve">SCI </w:t>
      </w:r>
      <w:r w:rsidR="006A2C91">
        <w:t xml:space="preserve">applications </w:t>
      </w:r>
      <w:r>
        <w:t>are in Section 6.9.</w:t>
      </w:r>
      <w:r w:rsidR="006A2C91">
        <w:t xml:space="preserve">  Recommend incorporating Sec</w:t>
      </w:r>
      <w:r w:rsidR="0025737D">
        <w:t>tion</w:t>
      </w:r>
      <w:r w:rsidR="006A2C91">
        <w:t xml:space="preserve"> 6.9 into WQS, as mentioned above.</w:t>
      </w:r>
    </w:p>
    <w:p w:rsidR="006A2C91" w:rsidRDefault="006A2C91" w:rsidP="00741300">
      <w:pPr>
        <w:pStyle w:val="ListParagraph"/>
        <w:numPr>
          <w:ilvl w:val="0"/>
          <w:numId w:val="3"/>
        </w:numPr>
        <w:spacing w:after="0" w:line="240" w:lineRule="auto"/>
        <w:ind w:left="360"/>
      </w:pPr>
      <w:r>
        <w:t>62-30</w:t>
      </w:r>
      <w:r w:rsidR="000822D6">
        <w:t>3.450  There is no mention of placing a waterbody on the verified list due to failure of floral metric</w:t>
      </w:r>
      <w:r w:rsidR="00D8640D">
        <w:t>s</w:t>
      </w:r>
      <w:r w:rsidR="00605C34">
        <w:t xml:space="preserve"> as described in Section 6.3 of the </w:t>
      </w:r>
      <w:r w:rsidR="00605C34" w:rsidRPr="00605C34">
        <w:t>NNC interpretation doc</w:t>
      </w:r>
      <w:r w:rsidR="00D8640D">
        <w:t xml:space="preserve">.  </w:t>
      </w:r>
      <w:r w:rsidR="00605C34">
        <w:t>Revise the language in NNC Implementation doc Section 6.3 to be in agreement with this.</w:t>
      </w:r>
      <w:r w:rsidR="007154FD" w:rsidRPr="00605C34">
        <w:t xml:space="preserve">  </w:t>
      </w:r>
      <w:r w:rsidR="00354F80" w:rsidRPr="00605C34">
        <w:t xml:space="preserve"> </w:t>
      </w:r>
    </w:p>
    <w:p w:rsidR="00FE0138" w:rsidRPr="006C06A5" w:rsidRDefault="003F3C98" w:rsidP="00D554E0">
      <w:pPr>
        <w:pStyle w:val="ListParagraph"/>
        <w:numPr>
          <w:ilvl w:val="0"/>
          <w:numId w:val="3"/>
        </w:numPr>
        <w:spacing w:after="0" w:line="240" w:lineRule="auto"/>
        <w:ind w:left="360"/>
        <w:rPr>
          <w:b/>
        </w:rPr>
      </w:pPr>
      <w:r>
        <w:t>62-303.700  Does the changed language mean that there will no longer be rotating basins assessed every 5 years?  Will assessment be annual for all surface waters</w:t>
      </w:r>
      <w:r w:rsidR="006C06A5">
        <w:t>?  Please clarify “</w:t>
      </w:r>
      <w:r w:rsidR="00373F29">
        <w:t>assessment cycle</w:t>
      </w:r>
      <w:r w:rsidR="006C06A5">
        <w:t>.”</w:t>
      </w:r>
    </w:p>
    <w:p w:rsidR="0025737D" w:rsidRDefault="0025737D" w:rsidP="00FE0138">
      <w:pPr>
        <w:spacing w:after="0" w:line="240" w:lineRule="auto"/>
        <w:rPr>
          <w:b/>
        </w:rPr>
      </w:pPr>
    </w:p>
    <w:p w:rsidR="00FE0138" w:rsidRPr="00FE0138" w:rsidRDefault="0025737D" w:rsidP="00FE0138">
      <w:pPr>
        <w:spacing w:after="0" w:line="240" w:lineRule="auto"/>
        <w:rPr>
          <w:b/>
        </w:rPr>
      </w:pPr>
      <w:r>
        <w:rPr>
          <w:b/>
        </w:rPr>
        <w:t>NNC Implementation Document:</w:t>
      </w:r>
    </w:p>
    <w:p w:rsidR="00652EF8" w:rsidRDefault="00E95786" w:rsidP="002E5076">
      <w:pPr>
        <w:pStyle w:val="ListParagraph"/>
        <w:numPr>
          <w:ilvl w:val="0"/>
          <w:numId w:val="6"/>
        </w:numPr>
        <w:spacing w:after="0" w:line="240" w:lineRule="auto"/>
        <w:ind w:left="360"/>
      </w:pPr>
      <w:bookmarkStart w:id="1" w:name="_Hlk25222364"/>
      <w:r>
        <w:t xml:space="preserve">Section </w:t>
      </w:r>
      <w:r w:rsidR="00725356">
        <w:t xml:space="preserve">1.3, first sentence cites the narrative nutrient criterion and includes </w:t>
      </w:r>
      <w:r w:rsidR="005E5666">
        <w:t>“</w:t>
      </w:r>
      <w:r w:rsidR="00725356">
        <w:t>f</w:t>
      </w:r>
      <w:r w:rsidR="005E5666">
        <w:t xml:space="preserve">lora </w:t>
      </w:r>
      <w:r w:rsidR="00725356" w:rsidRPr="00725356">
        <w:rPr>
          <w:u w:val="single"/>
        </w:rPr>
        <w:t>or</w:t>
      </w:r>
      <w:r w:rsidR="005E5666" w:rsidRPr="00725356">
        <w:rPr>
          <w:u w:val="single"/>
        </w:rPr>
        <w:t xml:space="preserve"> fauna</w:t>
      </w:r>
      <w:r w:rsidR="005E5666">
        <w:t>”</w:t>
      </w:r>
      <w:r>
        <w:t>—see general comment</w:t>
      </w:r>
      <w:r w:rsidR="00940A87">
        <w:t>s</w:t>
      </w:r>
      <w:r>
        <w:t xml:space="preserve"> above.</w:t>
      </w:r>
    </w:p>
    <w:p w:rsidR="005E5666" w:rsidRDefault="00652EF8" w:rsidP="002E5076">
      <w:pPr>
        <w:pStyle w:val="ListParagraph"/>
        <w:numPr>
          <w:ilvl w:val="0"/>
          <w:numId w:val="6"/>
        </w:numPr>
        <w:spacing w:after="0" w:line="240" w:lineRule="auto"/>
        <w:ind w:left="360"/>
      </w:pPr>
      <w:r>
        <w:t>Section</w:t>
      </w:r>
      <w:r w:rsidR="002E1513">
        <w:t>s</w:t>
      </w:r>
      <w:r>
        <w:t xml:space="preserve"> 6.0 </w:t>
      </w:r>
      <w:r w:rsidR="002E1513">
        <w:t xml:space="preserve">and 6.2 </w:t>
      </w:r>
      <w:r>
        <w:t>language supports including faunal measures (i.e. SCI</w:t>
      </w:r>
      <w:r w:rsidR="002E1513">
        <w:t xml:space="preserve"> results, Section 6.9</w:t>
      </w:r>
      <w:r>
        <w:t xml:space="preserve">) </w:t>
      </w:r>
      <w:r w:rsidR="002E1513">
        <w:t>in the WQS.</w:t>
      </w:r>
      <w:r w:rsidR="005E5666">
        <w:t xml:space="preserve"> </w:t>
      </w:r>
      <w:bookmarkEnd w:id="1"/>
    </w:p>
    <w:p w:rsidR="005E5666" w:rsidRDefault="002E1513" w:rsidP="002E5076">
      <w:pPr>
        <w:pStyle w:val="ListParagraph"/>
        <w:numPr>
          <w:ilvl w:val="0"/>
          <w:numId w:val="6"/>
        </w:numPr>
        <w:spacing w:after="0" w:line="240" w:lineRule="auto"/>
        <w:ind w:left="360"/>
      </w:pPr>
      <w:r>
        <w:t xml:space="preserve">Section 6.2, </w:t>
      </w:r>
      <w:r w:rsidR="00A974E7">
        <w:t>first bullet</w:t>
      </w:r>
      <w:r>
        <w:t xml:space="preserve"> point</w:t>
      </w:r>
      <w:r w:rsidR="00A974E7">
        <w:t>: “</w:t>
      </w:r>
      <w:bookmarkStart w:id="2" w:name="_Hlk25225164"/>
      <w:r w:rsidR="00A974E7">
        <w:t xml:space="preserve">imbalance in flora </w:t>
      </w:r>
      <w:r w:rsidR="00A974E7" w:rsidRPr="00A974E7">
        <w:rPr>
          <w:u w:val="single"/>
        </w:rPr>
        <w:t>or fauna</w:t>
      </w:r>
      <w:r w:rsidR="00A974E7" w:rsidRPr="00A974E7">
        <w:t xml:space="preserve">” </w:t>
      </w:r>
      <w:r w:rsidR="00A974E7">
        <w:t xml:space="preserve">statement should have “or fauna” removed since </w:t>
      </w:r>
      <w:r>
        <w:t xml:space="preserve">only floral metrics are listed there, and </w:t>
      </w:r>
      <w:r w:rsidR="00A974E7">
        <w:t>the subsequent bullet point discusse</w:t>
      </w:r>
      <w:r w:rsidR="0025737D">
        <w:t>s</w:t>
      </w:r>
      <w:r w:rsidR="00A974E7">
        <w:t xml:space="preserve"> SCI scores which are fauna</w:t>
      </w:r>
      <w:r>
        <w:t>l</w:t>
      </w:r>
      <w:r w:rsidR="00A974E7">
        <w:t xml:space="preserve"> measures.</w:t>
      </w:r>
    </w:p>
    <w:bookmarkEnd w:id="2"/>
    <w:p w:rsidR="002E1513" w:rsidRDefault="002E1513" w:rsidP="002E5076">
      <w:pPr>
        <w:pStyle w:val="ListParagraph"/>
        <w:numPr>
          <w:ilvl w:val="0"/>
          <w:numId w:val="6"/>
        </w:numPr>
        <w:spacing w:after="0" w:line="240" w:lineRule="auto"/>
        <w:ind w:left="360"/>
      </w:pPr>
      <w:r>
        <w:t xml:space="preserve">Section 6.2, first bullet point:  “AND EITHER” implies greater weight is given to the floral measures listed there.  If both SCI and nutrient values attain </w:t>
      </w:r>
      <w:r w:rsidR="000B3521">
        <w:t xml:space="preserve">standards </w:t>
      </w:r>
      <w:r>
        <w:t xml:space="preserve">but </w:t>
      </w:r>
      <w:r w:rsidR="00657EE7">
        <w:t xml:space="preserve">a </w:t>
      </w:r>
      <w:r>
        <w:t xml:space="preserve">floral measure fails, </w:t>
      </w:r>
      <w:r w:rsidR="00657EE7">
        <w:t xml:space="preserve">the </w:t>
      </w:r>
      <w:r w:rsidR="000B3521">
        <w:t xml:space="preserve">waterbody </w:t>
      </w:r>
      <w:r w:rsidR="00657EE7">
        <w:t xml:space="preserve">is considered </w:t>
      </w:r>
      <w:r w:rsidR="000B3521">
        <w:t>not attaining</w:t>
      </w:r>
      <w:r w:rsidR="00657EE7">
        <w:t xml:space="preserve">. </w:t>
      </w:r>
      <w:r w:rsidR="000B3521">
        <w:t xml:space="preserve"> </w:t>
      </w:r>
      <w:r w:rsidR="00657EE7" w:rsidRPr="003738CE">
        <w:t>It s</w:t>
      </w:r>
      <w:r w:rsidR="000B3521" w:rsidRPr="003738CE">
        <w:t xml:space="preserve">eems </w:t>
      </w:r>
      <w:r w:rsidR="00657EE7" w:rsidRPr="003738CE">
        <w:t xml:space="preserve">more valid </w:t>
      </w:r>
      <w:r w:rsidR="000B3521" w:rsidRPr="003738CE">
        <w:t xml:space="preserve">that any 2 of the 3 aspects should determine attainment or nonattainment rather than just 1 trumping the other 2.  Why bother collecting SCI </w:t>
      </w:r>
      <w:r w:rsidR="000F0CF2" w:rsidRPr="003738CE">
        <w:t>and nutrient data</w:t>
      </w:r>
      <w:r w:rsidR="000B3521" w:rsidRPr="003738CE">
        <w:t xml:space="preserve"> if floral measures are given greater weight and can overrule other metrics?</w:t>
      </w:r>
      <w:r w:rsidR="002E5076">
        <w:t xml:space="preserve">  Recommend striking the “and either” from 62-302.531(2)(c) and this section of the document.</w:t>
      </w:r>
      <w:r w:rsidR="000B3521">
        <w:t xml:space="preserve">  </w:t>
      </w:r>
      <w:r>
        <w:t xml:space="preserve"> </w:t>
      </w:r>
    </w:p>
    <w:p w:rsidR="00657EE7" w:rsidRDefault="00605C34" w:rsidP="00F06190">
      <w:pPr>
        <w:pStyle w:val="ListParagraph"/>
        <w:numPr>
          <w:ilvl w:val="0"/>
          <w:numId w:val="6"/>
        </w:numPr>
        <w:ind w:left="360"/>
      </w:pPr>
      <w:r>
        <w:t xml:space="preserve">The fourth paragraph of </w:t>
      </w:r>
      <w:r w:rsidR="00657EE7">
        <w:t xml:space="preserve">Section 6.3 </w:t>
      </w:r>
      <w:r>
        <w:t>states that a stream will be placed on the Verified List if it fails LVS and another floral metric.  This is not indicated in Ch 62-303, and th</w:t>
      </w:r>
      <w:r w:rsidR="007D5BCF">
        <w:t>is assumption that nutrients are the sole causative agent of excess algal growth</w:t>
      </w:r>
      <w:r w:rsidR="006C06A5">
        <w:t xml:space="preserve"> </w:t>
      </w:r>
      <w:r>
        <w:t xml:space="preserve">is not supported by </w:t>
      </w:r>
      <w:r w:rsidR="00F06190">
        <w:t xml:space="preserve">scientific studies.  The first and second paragraphs of Section 6.3 state </w:t>
      </w:r>
      <w:r w:rsidR="00657EE7">
        <w:t xml:space="preserve">that </w:t>
      </w:r>
      <w:r w:rsidR="00F06190">
        <w:t xml:space="preserve">analyses of “an extensive data set collected in Florida streams” indicated that </w:t>
      </w:r>
      <w:r w:rsidR="00657EE7">
        <w:t xml:space="preserve">relationships between human disturbance </w:t>
      </w:r>
      <w:r w:rsidR="00AC4D90">
        <w:t xml:space="preserve">(and nutrients) </w:t>
      </w:r>
      <w:r w:rsidR="00657EE7">
        <w:t xml:space="preserve">and floral responses </w:t>
      </w:r>
      <w:r w:rsidR="00F06190">
        <w:t>we</w:t>
      </w:r>
      <w:r w:rsidR="00657EE7">
        <w:t>re statistically weak</w:t>
      </w:r>
      <w:r w:rsidR="000F0CF2">
        <w:t xml:space="preserve"> and could not be used to identify impairment thresholds</w:t>
      </w:r>
      <w:r w:rsidR="00657EE7">
        <w:t xml:space="preserve">.  This should provide support for the need to consider other measures like SCI and nutrient concentrations </w:t>
      </w:r>
      <w:r w:rsidR="00940A87" w:rsidRPr="00940A87">
        <w:t>in conjunction</w:t>
      </w:r>
      <w:r w:rsidR="00657EE7">
        <w:t xml:space="preserve"> with floral measures</w:t>
      </w:r>
      <w:r w:rsidR="00F06190">
        <w:t>, rather than</w:t>
      </w:r>
      <w:r w:rsidR="00F06190" w:rsidRPr="00F06190">
        <w:t xml:space="preserve"> ascrib</w:t>
      </w:r>
      <w:r w:rsidR="00F06190">
        <w:t>ing</w:t>
      </w:r>
      <w:r w:rsidR="00F06190" w:rsidRPr="00F06190">
        <w:t xml:space="preserve"> heavier weight to floral metrics </w:t>
      </w:r>
      <w:r w:rsidR="00F06190">
        <w:t xml:space="preserve">alone.  </w:t>
      </w:r>
      <w:r w:rsidR="00657EE7">
        <w:t xml:space="preserve">Even if 2 floral measures fail, the waterbody should </w:t>
      </w:r>
      <w:r w:rsidR="00D8640D">
        <w:t xml:space="preserve">only </w:t>
      </w:r>
      <w:r w:rsidR="00657EE7">
        <w:t xml:space="preserve">go to the </w:t>
      </w:r>
      <w:r w:rsidR="00657EE7" w:rsidRPr="006C06A5">
        <w:rPr>
          <w:u w:val="single"/>
        </w:rPr>
        <w:t>Study</w:t>
      </w:r>
      <w:r w:rsidR="00657EE7">
        <w:t xml:space="preserve"> List if SCI and nutrients attain</w:t>
      </w:r>
      <w:r w:rsidR="000F0CF2">
        <w:t>, not the Verified List</w:t>
      </w:r>
      <w:r w:rsidR="008D4322">
        <w:t>,</w:t>
      </w:r>
      <w:r w:rsidR="007D5BCF">
        <w:t xml:space="preserve"> in order to determine other conditions that may be promoting algal growth</w:t>
      </w:r>
      <w:r w:rsidR="008D4322">
        <w:t xml:space="preserve"> (temperature, sunlight, hydrology, water chemistry, ecosystem disturbances)</w:t>
      </w:r>
      <w:r w:rsidR="00657EE7">
        <w:t>.</w:t>
      </w:r>
      <w:r w:rsidR="000F0CF2">
        <w:t xml:space="preserve">  Additional study of a </w:t>
      </w:r>
      <w:r w:rsidR="00F06190">
        <w:t>waterbody</w:t>
      </w:r>
      <w:r w:rsidR="000F0CF2">
        <w:t xml:space="preserve"> should be warranted before impairment is verifie</w:t>
      </w:r>
      <w:r w:rsidR="003176D9">
        <w:t xml:space="preserve">d, especially </w:t>
      </w:r>
      <w:r w:rsidR="00F06190">
        <w:t xml:space="preserve">to consider </w:t>
      </w:r>
      <w:r w:rsidR="00185FC8">
        <w:t>hydrology, as acknowledged with the statement “natural climate-related circumstances during any given period can cause shifts in the vascular plant and algal communities</w:t>
      </w:r>
      <w:r w:rsidR="000F0CF2">
        <w:t>.</w:t>
      </w:r>
      <w:r w:rsidR="00185FC8">
        <w:t>”</w:t>
      </w:r>
      <w:r w:rsidR="00657EE7">
        <w:t xml:space="preserve">   </w:t>
      </w:r>
    </w:p>
    <w:p w:rsidR="002160DC" w:rsidRDefault="00185FC8" w:rsidP="00185FC8">
      <w:pPr>
        <w:pStyle w:val="ListParagraph"/>
        <w:numPr>
          <w:ilvl w:val="0"/>
          <w:numId w:val="6"/>
        </w:numPr>
        <w:spacing w:after="0" w:line="240" w:lineRule="auto"/>
        <w:ind w:left="360"/>
      </w:pPr>
      <w:r>
        <w:t>Sections 6.4</w:t>
      </w:r>
      <w:r w:rsidR="00780E43">
        <w:t xml:space="preserve"> -</w:t>
      </w:r>
      <w:r>
        <w:t xml:space="preserve"> 6.8 should specify what the result of nonattainment is</w:t>
      </w:r>
      <w:r w:rsidR="00A01DD8">
        <w:t>, like Section 6.3 does</w:t>
      </w:r>
      <w:r>
        <w:t xml:space="preserve">.  There is not a clear statement about </w:t>
      </w:r>
      <w:r w:rsidR="00780E43">
        <w:t>what</w:t>
      </w:r>
      <w:r>
        <w:t xml:space="preserve"> the assessment means as far as Study List versus Verified List.</w:t>
      </w:r>
      <w:r w:rsidR="00780E43">
        <w:t xml:space="preserve">  Section 6.3 describes this to some degree, but it would be clearer to restate in each subsequent </w:t>
      </w:r>
      <w:r w:rsidR="00780E43">
        <w:lastRenderedPageBreak/>
        <w:t xml:space="preserve">section.  Alternatively, Table 5 from the previous April 2013 NNC Implementation document could be updated and included to show how all the metrics interplay to </w:t>
      </w:r>
      <w:r w:rsidR="00003D00">
        <w:t>determine which</w:t>
      </w:r>
      <w:r w:rsidR="00780E43">
        <w:t xml:space="preserve"> list</w:t>
      </w:r>
      <w:r w:rsidR="00003D00">
        <w:t xml:space="preserve"> a waterbody </w:t>
      </w:r>
      <w:r w:rsidR="001276EB">
        <w:t>will be placed on</w:t>
      </w:r>
      <w:r w:rsidR="00780E43">
        <w:t>.</w:t>
      </w:r>
    </w:p>
    <w:p w:rsidR="004050DE" w:rsidRPr="00D8640D" w:rsidRDefault="000B40AE" w:rsidP="00C6123D">
      <w:pPr>
        <w:pStyle w:val="ListParagraph"/>
        <w:numPr>
          <w:ilvl w:val="0"/>
          <w:numId w:val="6"/>
        </w:numPr>
        <w:spacing w:after="0" w:line="240" w:lineRule="auto"/>
        <w:ind w:left="360"/>
      </w:pPr>
      <w:r w:rsidRPr="00D8640D">
        <w:t>Section 10.1</w:t>
      </w:r>
      <w:r w:rsidR="00ED4088">
        <w:t>,</w:t>
      </w:r>
      <w:r w:rsidRPr="00D8640D">
        <w:t xml:space="preserve"> Next to last sentence </w:t>
      </w:r>
      <w:r w:rsidR="00D8640D">
        <w:t xml:space="preserve">states </w:t>
      </w:r>
      <w:r w:rsidRPr="00D8640D">
        <w:t xml:space="preserve">that a WBID </w:t>
      </w:r>
      <w:r w:rsidR="00D8640D">
        <w:t>will be</w:t>
      </w:r>
      <w:r w:rsidRPr="00D8640D">
        <w:t xml:space="preserve"> in nonattainment status based on a failing station even if other stations in the WBID that were more recently sampled are attaining.  </w:t>
      </w:r>
      <w:r w:rsidR="008D4322">
        <w:t>It would seem more reasonable</w:t>
      </w:r>
      <w:r w:rsidR="00D8640D">
        <w:t xml:space="preserve"> to investigate whether </w:t>
      </w:r>
      <w:r w:rsidR="008D4322">
        <w:t>the failing s</w:t>
      </w:r>
      <w:r w:rsidR="00D8640D">
        <w:t xml:space="preserve">ite is appropriate to represent the WBID or if there were mitigating circumstances at </w:t>
      </w:r>
      <w:r w:rsidR="008D4322">
        <w:t>the failing</w:t>
      </w:r>
      <w:r w:rsidR="00D8640D">
        <w:t xml:space="preserve"> site</w:t>
      </w:r>
      <w:r w:rsidR="008D4322">
        <w:t xml:space="preserve"> (habitat, hydrology, water chemistry)</w:t>
      </w:r>
      <w:r w:rsidR="00D8640D">
        <w:t>.</w:t>
      </w:r>
      <w:r w:rsidR="00C6123D">
        <w:t xml:space="preserve">  </w:t>
      </w:r>
      <w:r w:rsidRPr="00D8640D">
        <w:t>For example, Pinellas County initially had a few WBIDs with more than one station.  After a couple of sampling events, certain stations were discontinued in favor of more representative</w:t>
      </w:r>
      <w:r w:rsidR="00C6123D">
        <w:t xml:space="preserve"> and reliable</w:t>
      </w:r>
      <w:r w:rsidRPr="00D8640D">
        <w:t xml:space="preserve"> stations.  Section 10.1 </w:t>
      </w:r>
      <w:r w:rsidR="00C6123D">
        <w:t xml:space="preserve">seems to </w:t>
      </w:r>
      <w:r w:rsidRPr="00D8640D">
        <w:t>indicate that these WBIDs could be not attaining based on old</w:t>
      </w:r>
      <w:r w:rsidR="00C6123D">
        <w:t>er</w:t>
      </w:r>
      <w:r w:rsidRPr="00D8640D">
        <w:t xml:space="preserve"> data</w:t>
      </w:r>
      <w:r w:rsidR="00C6123D">
        <w:t xml:space="preserve"> at now discontinued sites</w:t>
      </w:r>
      <w:r w:rsidRPr="00D8640D">
        <w:t>.</w:t>
      </w:r>
      <w:r w:rsidR="008D4322">
        <w:t xml:space="preserve"> </w:t>
      </w:r>
    </w:p>
    <w:p w:rsidR="00D86B67" w:rsidRDefault="00D86B67" w:rsidP="00A25190"/>
    <w:p w:rsidR="00D86B67" w:rsidRDefault="00D86B67" w:rsidP="00D86B67">
      <w:r>
        <w:t xml:space="preserve">References </w:t>
      </w:r>
      <w:r w:rsidR="004B7BF3">
        <w:t xml:space="preserve">about </w:t>
      </w:r>
      <w:r w:rsidR="00940A87">
        <w:t>additional factors contributing to algal abundance, not just nutrients:</w:t>
      </w:r>
    </w:p>
    <w:p w:rsidR="004B7BF3" w:rsidRPr="004B7BF3" w:rsidRDefault="00D86B67" w:rsidP="00D86B67">
      <w:pPr>
        <w:pStyle w:val="ListParagraph"/>
        <w:numPr>
          <w:ilvl w:val="0"/>
          <w:numId w:val="8"/>
        </w:numPr>
        <w:rPr>
          <w:rFonts w:cstheme="minorHAnsi"/>
        </w:rPr>
      </w:pPr>
      <w:r w:rsidRPr="004B7BF3">
        <w:rPr>
          <w:rFonts w:cstheme="minorHAnsi"/>
        </w:rPr>
        <w:t>The</w:t>
      </w:r>
      <w:r w:rsidR="006C06A5">
        <w:rPr>
          <w:rFonts w:cstheme="minorHAnsi"/>
        </w:rPr>
        <w:t xml:space="preserve"> </w:t>
      </w:r>
      <w:hyperlink r:id="rId7" w:history="1">
        <w:r w:rsidR="00FF34B2">
          <w:rPr>
            <w:rStyle w:val="Hyperlink"/>
          </w:rPr>
          <w:t>Center for Earth and Environmental Sciences</w:t>
        </w:r>
      </w:hyperlink>
      <w:r w:rsidRPr="004B7BF3">
        <w:rPr>
          <w:rFonts w:cstheme="minorHAnsi"/>
        </w:rPr>
        <w:t>, Indiana University-Purdue University, Indianapolis</w:t>
      </w:r>
      <w:r w:rsidR="00DC4A51" w:rsidRPr="004B7BF3">
        <w:rPr>
          <w:rFonts w:cstheme="minorHAnsi"/>
        </w:rPr>
        <w:t>.</w:t>
      </w:r>
      <w:r w:rsidRPr="004B7BF3">
        <w:rPr>
          <w:rFonts w:cstheme="minorHAnsi"/>
        </w:rPr>
        <w:t xml:space="preserve">  </w:t>
      </w:r>
    </w:p>
    <w:p w:rsidR="00D86B67" w:rsidRPr="00FF34B2" w:rsidRDefault="00D86B67" w:rsidP="00FF34B2">
      <w:pPr>
        <w:pStyle w:val="ListParagraph"/>
        <w:numPr>
          <w:ilvl w:val="0"/>
          <w:numId w:val="8"/>
        </w:numPr>
        <w:rPr>
          <w:rFonts w:cstheme="minorHAnsi"/>
        </w:rPr>
      </w:pPr>
      <w:proofErr w:type="spellStart"/>
      <w:r w:rsidRPr="004B7BF3">
        <w:rPr>
          <w:rFonts w:cstheme="minorHAnsi"/>
        </w:rPr>
        <w:t>Hefferman</w:t>
      </w:r>
      <w:proofErr w:type="spellEnd"/>
      <w:r w:rsidRPr="004B7BF3">
        <w:rPr>
          <w:rFonts w:cstheme="minorHAnsi"/>
        </w:rPr>
        <w:t xml:space="preserve">, J.B., D.M. Liebowitz, T.K. Frazer, J.M. Evans, and M.J. Cohen. </w:t>
      </w:r>
      <w:hyperlink r:id="rId8" w:history="1">
        <w:r w:rsidR="00FF34B2">
          <w:rPr>
            <w:color w:val="0000FF"/>
            <w:u w:val="single"/>
          </w:rPr>
          <w:t>Algal blooms and the nitrogen-enrichment hypothesis in Florida springs: evidence, alternatives, and adaptive management.</w:t>
        </w:r>
      </w:hyperlink>
      <w:r w:rsidR="006C06A5">
        <w:t xml:space="preserve"> </w:t>
      </w:r>
      <w:r w:rsidRPr="00FF34B2">
        <w:rPr>
          <w:rFonts w:cstheme="minorHAnsi"/>
        </w:rPr>
        <w:t>Ecological Applications 20(3), 2010, pp. 816-829.</w:t>
      </w:r>
      <w:r w:rsidR="004B7BF3" w:rsidRPr="00FF34B2">
        <w:rPr>
          <w:rFonts w:cstheme="minorHAnsi"/>
        </w:rPr>
        <w:t xml:space="preserve"> </w:t>
      </w:r>
    </w:p>
    <w:p w:rsidR="006020B9" w:rsidRPr="00FF34B2" w:rsidRDefault="00DC4A51" w:rsidP="00FF34B2">
      <w:pPr>
        <w:pStyle w:val="ListParagraph"/>
        <w:numPr>
          <w:ilvl w:val="0"/>
          <w:numId w:val="8"/>
        </w:numPr>
        <w:rPr>
          <w:rFonts w:cstheme="minorHAnsi"/>
        </w:rPr>
      </w:pPr>
      <w:proofErr w:type="spellStart"/>
      <w:r w:rsidRPr="00FF34B2">
        <w:rPr>
          <w:rFonts w:cstheme="minorHAnsi"/>
        </w:rPr>
        <w:t>Omoregie</w:t>
      </w:r>
      <w:proofErr w:type="spellEnd"/>
      <w:r w:rsidRPr="00FF34B2">
        <w:rPr>
          <w:rFonts w:cstheme="minorHAnsi"/>
        </w:rPr>
        <w:t xml:space="preserve">, E.O., L.L. </w:t>
      </w:r>
      <w:proofErr w:type="spellStart"/>
      <w:r w:rsidRPr="00FF34B2">
        <w:rPr>
          <w:rFonts w:cstheme="minorHAnsi"/>
        </w:rPr>
        <w:t>Crumbliss</w:t>
      </w:r>
      <w:proofErr w:type="spellEnd"/>
      <w:r w:rsidRPr="00FF34B2">
        <w:rPr>
          <w:rFonts w:cstheme="minorHAnsi"/>
        </w:rPr>
        <w:t xml:space="preserve">, B.M. </w:t>
      </w:r>
      <w:proofErr w:type="spellStart"/>
      <w:r w:rsidRPr="00FF34B2">
        <w:rPr>
          <w:rFonts w:cstheme="minorHAnsi"/>
        </w:rPr>
        <w:t>Bebout</w:t>
      </w:r>
      <w:proofErr w:type="spellEnd"/>
      <w:r w:rsidRPr="00FF34B2">
        <w:rPr>
          <w:rFonts w:cstheme="minorHAnsi"/>
        </w:rPr>
        <w:t xml:space="preserve">, and J.P. </w:t>
      </w:r>
      <w:proofErr w:type="spellStart"/>
      <w:r w:rsidRPr="00FF34B2">
        <w:rPr>
          <w:rFonts w:cstheme="minorHAnsi"/>
        </w:rPr>
        <w:t>Zehr</w:t>
      </w:r>
      <w:proofErr w:type="spellEnd"/>
      <w:r w:rsidRPr="00FF34B2">
        <w:rPr>
          <w:rFonts w:cstheme="minorHAnsi"/>
        </w:rPr>
        <w:t xml:space="preserve">. </w:t>
      </w:r>
      <w:hyperlink r:id="rId9" w:history="1">
        <w:r w:rsidR="00FF34B2" w:rsidRPr="00FF34B2">
          <w:rPr>
            <w:color w:val="0000FF"/>
            <w:u w:val="single"/>
          </w:rPr>
          <w:t xml:space="preserve">Determination of Nitrogen-Fixing Phylotypes in </w:t>
        </w:r>
        <w:proofErr w:type="spellStart"/>
        <w:r w:rsidR="00FF34B2" w:rsidRPr="00FF34B2">
          <w:rPr>
            <w:color w:val="0000FF"/>
            <w:u w:val="single"/>
          </w:rPr>
          <w:t>Lyngbya</w:t>
        </w:r>
        <w:proofErr w:type="spellEnd"/>
        <w:r w:rsidR="00FF34B2" w:rsidRPr="00FF34B2">
          <w:rPr>
            <w:color w:val="0000FF"/>
            <w:u w:val="single"/>
          </w:rPr>
          <w:t xml:space="preserve"> sp. and </w:t>
        </w:r>
        <w:proofErr w:type="spellStart"/>
        <w:r w:rsidR="00FF34B2" w:rsidRPr="00FF34B2">
          <w:rPr>
            <w:color w:val="0000FF"/>
            <w:u w:val="single"/>
          </w:rPr>
          <w:t>Microcoleus</w:t>
        </w:r>
        <w:proofErr w:type="spellEnd"/>
        <w:r w:rsidR="00FF34B2" w:rsidRPr="00FF34B2">
          <w:rPr>
            <w:color w:val="0000FF"/>
            <w:u w:val="single"/>
          </w:rPr>
          <w:t xml:space="preserve"> </w:t>
        </w:r>
        <w:proofErr w:type="spellStart"/>
        <w:r w:rsidR="00FF34B2" w:rsidRPr="00FF34B2">
          <w:rPr>
            <w:color w:val="0000FF"/>
            <w:u w:val="single"/>
          </w:rPr>
          <w:t>chthonoplastes</w:t>
        </w:r>
        <w:proofErr w:type="spellEnd"/>
        <w:r w:rsidR="00FF34B2" w:rsidRPr="00FF34B2">
          <w:rPr>
            <w:color w:val="0000FF"/>
            <w:u w:val="single"/>
          </w:rPr>
          <w:t xml:space="preserve"> Cyanobacterial Mats from Guerrero Negro, Baja California, Mexico. </w:t>
        </w:r>
      </w:hyperlink>
      <w:r w:rsidR="006020B9" w:rsidRPr="00FF34B2">
        <w:rPr>
          <w:rFonts w:cstheme="minorHAnsi"/>
        </w:rPr>
        <w:t>Appl Environ Microbiol</w:t>
      </w:r>
      <w:r w:rsidRPr="00FF34B2">
        <w:rPr>
          <w:rFonts w:cstheme="minorHAnsi"/>
        </w:rPr>
        <w:t>.</w:t>
      </w:r>
      <w:r w:rsidR="006020B9" w:rsidRPr="00FF34B2">
        <w:rPr>
          <w:rFonts w:cstheme="minorHAnsi"/>
        </w:rPr>
        <w:t xml:space="preserve"> 70(4)</w:t>
      </w:r>
      <w:r w:rsidRPr="00FF34B2">
        <w:rPr>
          <w:rFonts w:cstheme="minorHAnsi"/>
        </w:rPr>
        <w:t>,</w:t>
      </w:r>
      <w:r w:rsidR="006020B9" w:rsidRPr="00FF34B2">
        <w:rPr>
          <w:rFonts w:cstheme="minorHAnsi"/>
        </w:rPr>
        <w:t xml:space="preserve"> 2004</w:t>
      </w:r>
      <w:r w:rsidRPr="00FF34B2">
        <w:rPr>
          <w:rFonts w:cstheme="minorHAnsi"/>
        </w:rPr>
        <w:t>, pp.2119-2128.</w:t>
      </w:r>
      <w:r w:rsidR="00CF378E" w:rsidRPr="00FF34B2">
        <w:rPr>
          <w:rFonts w:cstheme="minorHAnsi"/>
        </w:rPr>
        <w:t xml:space="preserve"> </w:t>
      </w:r>
    </w:p>
    <w:p w:rsidR="004C5A02" w:rsidRPr="004B7BF3" w:rsidRDefault="004B7BF3" w:rsidP="004B7BF3">
      <w:pPr>
        <w:pStyle w:val="ListParagraph"/>
        <w:numPr>
          <w:ilvl w:val="0"/>
          <w:numId w:val="8"/>
        </w:numPr>
        <w:rPr>
          <w:rFonts w:cstheme="minorHAnsi"/>
        </w:rPr>
      </w:pPr>
      <w:r w:rsidRPr="004B7BF3">
        <w:rPr>
          <w:rFonts w:cstheme="minorHAnsi"/>
        </w:rPr>
        <w:t xml:space="preserve">Evans, J., A. </w:t>
      </w:r>
      <w:proofErr w:type="spellStart"/>
      <w:r w:rsidRPr="004B7BF3">
        <w:rPr>
          <w:rFonts w:cstheme="minorHAnsi"/>
        </w:rPr>
        <w:t>Wilkie</w:t>
      </w:r>
      <w:proofErr w:type="spellEnd"/>
      <w:r w:rsidRPr="004B7BF3">
        <w:rPr>
          <w:rFonts w:cstheme="minorHAnsi"/>
        </w:rPr>
        <w:t xml:space="preserve">, J. Burkhardt, and R. Haynes. </w:t>
      </w:r>
      <w:hyperlink r:id="rId10" w:history="1">
        <w:r w:rsidR="00FF34B2">
          <w:rPr>
            <w:color w:val="0000FF"/>
            <w:u w:val="single"/>
          </w:rPr>
          <w:t>Rethinking Exotic Plants: Using Citizen Observations in a Restoration Proposal for Kings Bay, Florida.</w:t>
        </w:r>
      </w:hyperlink>
      <w:r w:rsidR="00FF34B2">
        <w:t xml:space="preserve"> </w:t>
      </w:r>
      <w:r w:rsidRPr="004B7BF3">
        <w:rPr>
          <w:rFonts w:cstheme="minorHAnsi"/>
        </w:rPr>
        <w:t xml:space="preserve">Ecological Restoration </w:t>
      </w:r>
      <w:r w:rsidR="001A593B" w:rsidRPr="004B7BF3">
        <w:rPr>
          <w:rFonts w:cstheme="minorHAnsi"/>
          <w:lang w:val="en"/>
        </w:rPr>
        <w:t>25(3)</w:t>
      </w:r>
      <w:r w:rsidRPr="004B7BF3">
        <w:rPr>
          <w:rFonts w:cstheme="minorHAnsi"/>
          <w:lang w:val="en"/>
        </w:rPr>
        <w:t>,</w:t>
      </w:r>
      <w:r w:rsidR="001A593B" w:rsidRPr="004B7BF3">
        <w:rPr>
          <w:rFonts w:cstheme="minorHAnsi"/>
          <w:lang w:val="en"/>
        </w:rPr>
        <w:t xml:space="preserve"> 2007</w:t>
      </w:r>
      <w:r w:rsidRPr="004B7BF3">
        <w:rPr>
          <w:rFonts w:cstheme="minorHAnsi"/>
          <w:lang w:val="en"/>
        </w:rPr>
        <w:t>.</w:t>
      </w:r>
      <w:r w:rsidRPr="004B7BF3">
        <w:rPr>
          <w:rFonts w:cstheme="minorHAnsi"/>
        </w:rPr>
        <w:t xml:space="preserve"> </w:t>
      </w:r>
      <w:r w:rsidR="00FF34B2">
        <w:rPr>
          <w:rFonts w:cstheme="minorHAnsi"/>
        </w:rPr>
        <w:t xml:space="preserve"> </w:t>
      </w:r>
    </w:p>
    <w:sectPr w:rsidR="004C5A02" w:rsidRPr="004B7BF3" w:rsidSect="00F91A8D">
      <w:headerReference w:type="default" r:id="rId11"/>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30F2" w:rsidRDefault="00FB30F2" w:rsidP="00FB30F2">
      <w:pPr>
        <w:spacing w:after="0" w:line="240" w:lineRule="auto"/>
      </w:pPr>
      <w:r>
        <w:separator/>
      </w:r>
    </w:p>
  </w:endnote>
  <w:endnote w:type="continuationSeparator" w:id="0">
    <w:p w:rsidR="00FB30F2" w:rsidRDefault="00FB30F2" w:rsidP="00FB3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9766258"/>
      <w:docPartObj>
        <w:docPartGallery w:val="Page Numbers (Bottom of Page)"/>
        <w:docPartUnique/>
      </w:docPartObj>
    </w:sdtPr>
    <w:sdtEndPr>
      <w:rPr>
        <w:noProof/>
      </w:rPr>
    </w:sdtEndPr>
    <w:sdtContent>
      <w:p w:rsidR="00F91A8D" w:rsidRDefault="00F91A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91A8D" w:rsidRDefault="00F91A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688884"/>
      <w:docPartObj>
        <w:docPartGallery w:val="Page Numbers (Bottom of Page)"/>
        <w:docPartUnique/>
      </w:docPartObj>
    </w:sdtPr>
    <w:sdtEndPr>
      <w:rPr>
        <w:noProof/>
      </w:rPr>
    </w:sdtEndPr>
    <w:sdtContent>
      <w:p w:rsidR="00F91A8D" w:rsidRDefault="00F91A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B30F2" w:rsidRDefault="00FB3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30F2" w:rsidRDefault="00FB30F2" w:rsidP="00FB30F2">
      <w:pPr>
        <w:spacing w:after="0" w:line="240" w:lineRule="auto"/>
      </w:pPr>
      <w:r>
        <w:separator/>
      </w:r>
    </w:p>
  </w:footnote>
  <w:footnote w:type="continuationSeparator" w:id="0">
    <w:p w:rsidR="00FB30F2" w:rsidRDefault="00FB30F2" w:rsidP="00FB30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0F2" w:rsidRPr="00FB30F2" w:rsidRDefault="00FB30F2">
    <w:pPr>
      <w:pStyle w:val="Header"/>
      <w:rPr>
        <w:sz w:val="20"/>
        <w:szCs w:val="20"/>
      </w:rPr>
    </w:pPr>
    <w:r w:rsidRPr="00FB30F2">
      <w:rPr>
        <w:sz w:val="20"/>
        <w:szCs w:val="20"/>
      </w:rPr>
      <w:t>Pinellas County Triennial Review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66136"/>
    <w:multiLevelType w:val="hybridMultilevel"/>
    <w:tmpl w:val="CC22C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443E7"/>
    <w:multiLevelType w:val="hybridMultilevel"/>
    <w:tmpl w:val="68FAA3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2072C1"/>
    <w:multiLevelType w:val="hybridMultilevel"/>
    <w:tmpl w:val="5ACE27B8"/>
    <w:lvl w:ilvl="0" w:tplc="0004DF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032AEC"/>
    <w:multiLevelType w:val="hybridMultilevel"/>
    <w:tmpl w:val="BFF6B272"/>
    <w:lvl w:ilvl="0" w:tplc="09846C6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BC64D6"/>
    <w:multiLevelType w:val="hybridMultilevel"/>
    <w:tmpl w:val="D63C61B2"/>
    <w:lvl w:ilvl="0" w:tplc="59A696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1E3BAA"/>
    <w:multiLevelType w:val="hybridMultilevel"/>
    <w:tmpl w:val="500A17FA"/>
    <w:lvl w:ilvl="0" w:tplc="332451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3D522C"/>
    <w:multiLevelType w:val="hybridMultilevel"/>
    <w:tmpl w:val="C736F554"/>
    <w:lvl w:ilvl="0" w:tplc="36A25ED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FB258E"/>
    <w:multiLevelType w:val="hybridMultilevel"/>
    <w:tmpl w:val="00B45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5"/>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37C"/>
    <w:rsid w:val="00003D00"/>
    <w:rsid w:val="00017D82"/>
    <w:rsid w:val="000822D6"/>
    <w:rsid w:val="000B3521"/>
    <w:rsid w:val="000B40AE"/>
    <w:rsid w:val="000F0CF2"/>
    <w:rsid w:val="001276EB"/>
    <w:rsid w:val="001742F5"/>
    <w:rsid w:val="00185FC8"/>
    <w:rsid w:val="001A593B"/>
    <w:rsid w:val="002160DC"/>
    <w:rsid w:val="0025737D"/>
    <w:rsid w:val="002E1513"/>
    <w:rsid w:val="002E5076"/>
    <w:rsid w:val="003176D9"/>
    <w:rsid w:val="00354F80"/>
    <w:rsid w:val="00370052"/>
    <w:rsid w:val="003738CE"/>
    <w:rsid w:val="00373F29"/>
    <w:rsid w:val="003C263F"/>
    <w:rsid w:val="003F3C98"/>
    <w:rsid w:val="004050DE"/>
    <w:rsid w:val="00472567"/>
    <w:rsid w:val="004B7BF3"/>
    <w:rsid w:val="004C5A02"/>
    <w:rsid w:val="005620B7"/>
    <w:rsid w:val="005659AD"/>
    <w:rsid w:val="005D6634"/>
    <w:rsid w:val="005E5666"/>
    <w:rsid w:val="005F178F"/>
    <w:rsid w:val="006020B9"/>
    <w:rsid w:val="00605C34"/>
    <w:rsid w:val="00641C5C"/>
    <w:rsid w:val="00652EF8"/>
    <w:rsid w:val="00656A11"/>
    <w:rsid w:val="00657EE7"/>
    <w:rsid w:val="00664920"/>
    <w:rsid w:val="00685698"/>
    <w:rsid w:val="006A02D6"/>
    <w:rsid w:val="006A2C91"/>
    <w:rsid w:val="006C06A5"/>
    <w:rsid w:val="006E6B46"/>
    <w:rsid w:val="007154FD"/>
    <w:rsid w:val="00725356"/>
    <w:rsid w:val="00727B25"/>
    <w:rsid w:val="00741300"/>
    <w:rsid w:val="00780E43"/>
    <w:rsid w:val="007D5BCF"/>
    <w:rsid w:val="007E6D6B"/>
    <w:rsid w:val="00807BB5"/>
    <w:rsid w:val="008177C7"/>
    <w:rsid w:val="00837714"/>
    <w:rsid w:val="008D4322"/>
    <w:rsid w:val="0091637C"/>
    <w:rsid w:val="0093648A"/>
    <w:rsid w:val="00940A87"/>
    <w:rsid w:val="009527B3"/>
    <w:rsid w:val="009D2D2F"/>
    <w:rsid w:val="009E0AC4"/>
    <w:rsid w:val="009F0BD4"/>
    <w:rsid w:val="00A01DD8"/>
    <w:rsid w:val="00A25190"/>
    <w:rsid w:val="00A75EE8"/>
    <w:rsid w:val="00A974E7"/>
    <w:rsid w:val="00AA4171"/>
    <w:rsid w:val="00AC4D90"/>
    <w:rsid w:val="00B714ED"/>
    <w:rsid w:val="00C27134"/>
    <w:rsid w:val="00C31DF4"/>
    <w:rsid w:val="00C6123D"/>
    <w:rsid w:val="00CF378E"/>
    <w:rsid w:val="00D32174"/>
    <w:rsid w:val="00D37C0A"/>
    <w:rsid w:val="00D8640D"/>
    <w:rsid w:val="00D86B67"/>
    <w:rsid w:val="00DA735D"/>
    <w:rsid w:val="00DC4A51"/>
    <w:rsid w:val="00DE6BE8"/>
    <w:rsid w:val="00E95786"/>
    <w:rsid w:val="00ED4088"/>
    <w:rsid w:val="00F06190"/>
    <w:rsid w:val="00F57350"/>
    <w:rsid w:val="00F91A8D"/>
    <w:rsid w:val="00FB30F2"/>
    <w:rsid w:val="00FC5A15"/>
    <w:rsid w:val="00FE0138"/>
    <w:rsid w:val="00FF03D9"/>
    <w:rsid w:val="00FF3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F36458B-E103-470A-9474-2E7955EB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63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920"/>
    <w:pPr>
      <w:ind w:left="720"/>
      <w:contextualSpacing/>
    </w:pPr>
  </w:style>
  <w:style w:type="paragraph" w:styleId="NormalWeb">
    <w:name w:val="Normal (Web)"/>
    <w:basedOn w:val="Normal"/>
    <w:uiPriority w:val="99"/>
    <w:unhideWhenUsed/>
    <w:rsid w:val="009527B3"/>
    <w:pPr>
      <w:spacing w:after="22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E6B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B46"/>
    <w:rPr>
      <w:rFonts w:ascii="Segoe UI" w:hAnsi="Segoe UI" w:cs="Segoe UI"/>
      <w:sz w:val="18"/>
      <w:szCs w:val="18"/>
    </w:rPr>
  </w:style>
  <w:style w:type="character" w:styleId="Hyperlink">
    <w:name w:val="Hyperlink"/>
    <w:basedOn w:val="DefaultParagraphFont"/>
    <w:uiPriority w:val="99"/>
    <w:unhideWhenUsed/>
    <w:rsid w:val="005620B7"/>
    <w:rPr>
      <w:color w:val="0563C1" w:themeColor="hyperlink"/>
      <w:u w:val="single"/>
    </w:rPr>
  </w:style>
  <w:style w:type="character" w:styleId="UnresolvedMention">
    <w:name w:val="Unresolved Mention"/>
    <w:basedOn w:val="DefaultParagraphFont"/>
    <w:uiPriority w:val="99"/>
    <w:semiHidden/>
    <w:unhideWhenUsed/>
    <w:rsid w:val="005620B7"/>
    <w:rPr>
      <w:color w:val="605E5C"/>
      <w:shd w:val="clear" w:color="auto" w:fill="E1DFDD"/>
    </w:rPr>
  </w:style>
  <w:style w:type="character" w:styleId="FollowedHyperlink">
    <w:name w:val="FollowedHyperlink"/>
    <w:basedOn w:val="DefaultParagraphFont"/>
    <w:uiPriority w:val="99"/>
    <w:semiHidden/>
    <w:unhideWhenUsed/>
    <w:rsid w:val="003C263F"/>
    <w:rPr>
      <w:color w:val="954F72" w:themeColor="followedHyperlink"/>
      <w:u w:val="single"/>
    </w:rPr>
  </w:style>
  <w:style w:type="paragraph" w:styleId="Header">
    <w:name w:val="header"/>
    <w:basedOn w:val="Normal"/>
    <w:link w:val="HeaderChar"/>
    <w:uiPriority w:val="99"/>
    <w:unhideWhenUsed/>
    <w:rsid w:val="00FB3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0F2"/>
  </w:style>
  <w:style w:type="paragraph" w:styleId="Footer">
    <w:name w:val="footer"/>
    <w:basedOn w:val="Normal"/>
    <w:link w:val="FooterChar"/>
    <w:uiPriority w:val="99"/>
    <w:unhideWhenUsed/>
    <w:rsid w:val="00FB3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832489">
      <w:bodyDiv w:val="1"/>
      <w:marLeft w:val="0"/>
      <w:marRight w:val="0"/>
      <w:marTop w:val="0"/>
      <w:marBottom w:val="0"/>
      <w:divBdr>
        <w:top w:val="none" w:sz="0" w:space="0" w:color="auto"/>
        <w:left w:val="none" w:sz="0" w:space="0" w:color="auto"/>
        <w:bottom w:val="none" w:sz="0" w:space="0" w:color="auto"/>
        <w:right w:val="none" w:sz="0" w:space="0" w:color="auto"/>
      </w:divBdr>
    </w:div>
    <w:div w:id="1641961415">
      <w:bodyDiv w:val="1"/>
      <w:marLeft w:val="0"/>
      <w:marRight w:val="0"/>
      <w:marTop w:val="0"/>
      <w:marBottom w:val="0"/>
      <w:divBdr>
        <w:top w:val="none" w:sz="0" w:space="0" w:color="auto"/>
        <w:left w:val="none" w:sz="0" w:space="0" w:color="auto"/>
        <w:bottom w:val="none" w:sz="0" w:space="0" w:color="auto"/>
        <w:right w:val="none" w:sz="0" w:space="0" w:color="auto"/>
      </w:divBdr>
      <w:divsChild>
        <w:div w:id="467359696">
          <w:marLeft w:val="0"/>
          <w:marRight w:val="0"/>
          <w:marTop w:val="0"/>
          <w:marBottom w:val="0"/>
          <w:divBdr>
            <w:top w:val="none" w:sz="0" w:space="0" w:color="auto"/>
            <w:left w:val="none" w:sz="0" w:space="0" w:color="auto"/>
            <w:bottom w:val="none" w:sz="0" w:space="0" w:color="auto"/>
            <w:right w:val="none" w:sz="0" w:space="0" w:color="auto"/>
          </w:divBdr>
          <w:divsChild>
            <w:div w:id="941302066">
              <w:marLeft w:val="0"/>
              <w:marRight w:val="0"/>
              <w:marTop w:val="0"/>
              <w:marBottom w:val="0"/>
              <w:divBdr>
                <w:top w:val="none" w:sz="0" w:space="0" w:color="auto"/>
                <w:left w:val="none" w:sz="0" w:space="0" w:color="auto"/>
                <w:bottom w:val="none" w:sz="0" w:space="0" w:color="auto"/>
                <w:right w:val="none" w:sz="0" w:space="0" w:color="auto"/>
              </w:divBdr>
              <w:divsChild>
                <w:div w:id="1726221141">
                  <w:marLeft w:val="0"/>
                  <w:marRight w:val="0"/>
                  <w:marTop w:val="0"/>
                  <w:marBottom w:val="0"/>
                  <w:divBdr>
                    <w:top w:val="none" w:sz="0" w:space="0" w:color="auto"/>
                    <w:left w:val="none" w:sz="0" w:space="0" w:color="auto"/>
                    <w:bottom w:val="none" w:sz="0" w:space="0" w:color="auto"/>
                    <w:right w:val="none" w:sz="0" w:space="0" w:color="auto"/>
                  </w:divBdr>
                  <w:divsChild>
                    <w:div w:id="1267156996">
                      <w:marLeft w:val="0"/>
                      <w:marRight w:val="0"/>
                      <w:marTop w:val="0"/>
                      <w:marBottom w:val="0"/>
                      <w:divBdr>
                        <w:top w:val="none" w:sz="0" w:space="0" w:color="auto"/>
                        <w:left w:val="none" w:sz="0" w:space="0" w:color="auto"/>
                        <w:bottom w:val="none" w:sz="0" w:space="0" w:color="auto"/>
                        <w:right w:val="none" w:sz="0" w:space="0" w:color="auto"/>
                      </w:divBdr>
                      <w:divsChild>
                        <w:div w:id="528688059">
                          <w:marLeft w:val="0"/>
                          <w:marRight w:val="0"/>
                          <w:marTop w:val="0"/>
                          <w:marBottom w:val="0"/>
                          <w:divBdr>
                            <w:top w:val="none" w:sz="0" w:space="0" w:color="auto"/>
                            <w:left w:val="none" w:sz="0" w:space="0" w:color="auto"/>
                            <w:bottom w:val="none" w:sz="0" w:space="0" w:color="auto"/>
                            <w:right w:val="none" w:sz="0" w:space="0" w:color="auto"/>
                          </w:divBdr>
                          <w:divsChild>
                            <w:div w:id="1928269779">
                              <w:marLeft w:val="0"/>
                              <w:marRight w:val="0"/>
                              <w:marTop w:val="0"/>
                              <w:marBottom w:val="0"/>
                              <w:divBdr>
                                <w:top w:val="none" w:sz="0" w:space="0" w:color="auto"/>
                                <w:left w:val="none" w:sz="0" w:space="0" w:color="auto"/>
                                <w:bottom w:val="none" w:sz="0" w:space="0" w:color="auto"/>
                                <w:right w:val="none" w:sz="0" w:space="0" w:color="auto"/>
                              </w:divBdr>
                              <w:divsChild>
                                <w:div w:id="1531256170">
                                  <w:marLeft w:val="0"/>
                                  <w:marRight w:val="0"/>
                                  <w:marTop w:val="0"/>
                                  <w:marBottom w:val="0"/>
                                  <w:divBdr>
                                    <w:top w:val="none" w:sz="0" w:space="0" w:color="auto"/>
                                    <w:left w:val="none" w:sz="0" w:space="0" w:color="auto"/>
                                    <w:bottom w:val="none" w:sz="0" w:space="0" w:color="auto"/>
                                    <w:right w:val="none" w:sz="0" w:space="0" w:color="auto"/>
                                  </w:divBdr>
                                  <w:divsChild>
                                    <w:div w:id="672028570">
                                      <w:marLeft w:val="0"/>
                                      <w:marRight w:val="0"/>
                                      <w:marTop w:val="0"/>
                                      <w:marBottom w:val="300"/>
                                      <w:divBdr>
                                        <w:top w:val="none" w:sz="0" w:space="0" w:color="auto"/>
                                        <w:left w:val="none" w:sz="0" w:space="0" w:color="auto"/>
                                        <w:bottom w:val="none" w:sz="0" w:space="0" w:color="auto"/>
                                        <w:right w:val="none" w:sz="0" w:space="0" w:color="auto"/>
                                      </w:divBdr>
                                      <w:divsChild>
                                        <w:div w:id="23678559">
                                          <w:marLeft w:val="0"/>
                                          <w:marRight w:val="0"/>
                                          <w:marTop w:val="0"/>
                                          <w:marBottom w:val="0"/>
                                          <w:divBdr>
                                            <w:top w:val="none" w:sz="0" w:space="0" w:color="auto"/>
                                            <w:left w:val="none" w:sz="0" w:space="0" w:color="auto"/>
                                            <w:bottom w:val="none" w:sz="0" w:space="0" w:color="auto"/>
                                            <w:right w:val="none" w:sz="0" w:space="0" w:color="auto"/>
                                          </w:divBdr>
                                          <w:divsChild>
                                            <w:div w:id="625820276">
                                              <w:marLeft w:val="0"/>
                                              <w:marRight w:val="0"/>
                                              <w:marTop w:val="0"/>
                                              <w:marBottom w:val="0"/>
                                              <w:divBdr>
                                                <w:top w:val="none" w:sz="0" w:space="0" w:color="auto"/>
                                                <w:left w:val="none" w:sz="0" w:space="0" w:color="auto"/>
                                                <w:bottom w:val="none" w:sz="0" w:space="0" w:color="auto"/>
                                                <w:right w:val="none" w:sz="0" w:space="0" w:color="auto"/>
                                              </w:divBdr>
                                              <w:divsChild>
                                                <w:div w:id="1398671705">
                                                  <w:marLeft w:val="0"/>
                                                  <w:marRight w:val="0"/>
                                                  <w:marTop w:val="0"/>
                                                  <w:marBottom w:val="0"/>
                                                  <w:divBdr>
                                                    <w:top w:val="none" w:sz="0" w:space="0" w:color="auto"/>
                                                    <w:left w:val="none" w:sz="0" w:space="0" w:color="auto"/>
                                                    <w:bottom w:val="none" w:sz="0" w:space="0" w:color="auto"/>
                                                    <w:right w:val="none" w:sz="0" w:space="0" w:color="auto"/>
                                                  </w:divBdr>
                                                  <w:divsChild>
                                                    <w:div w:id="1802530759">
                                                      <w:marLeft w:val="0"/>
                                                      <w:marRight w:val="0"/>
                                                      <w:marTop w:val="0"/>
                                                      <w:marBottom w:val="0"/>
                                                      <w:divBdr>
                                                        <w:top w:val="none" w:sz="0" w:space="0" w:color="auto"/>
                                                        <w:left w:val="none" w:sz="0" w:space="0" w:color="auto"/>
                                                        <w:bottom w:val="none" w:sz="0" w:space="0" w:color="auto"/>
                                                        <w:right w:val="none" w:sz="0" w:space="0" w:color="auto"/>
                                                      </w:divBdr>
                                                      <w:divsChild>
                                                        <w:div w:id="1652515693">
                                                          <w:marLeft w:val="0"/>
                                                          <w:marRight w:val="0"/>
                                                          <w:marTop w:val="0"/>
                                                          <w:marBottom w:val="0"/>
                                                          <w:divBdr>
                                                            <w:top w:val="none" w:sz="0" w:space="0" w:color="auto"/>
                                                            <w:left w:val="none" w:sz="0" w:space="0" w:color="auto"/>
                                                            <w:bottom w:val="none" w:sz="0" w:space="0" w:color="auto"/>
                                                            <w:right w:val="none" w:sz="0" w:space="0" w:color="auto"/>
                                                          </w:divBdr>
                                                          <w:divsChild>
                                                            <w:div w:id="90140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251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043796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cees.iupui.edu/research/algal-toxicology/bloomfactor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researchgate.net/publication/228754947_Rethinking_Exotic_Plants_Using_Citizen_Observations_in_a_Restoration_Proposal_for_Kings_Bay_Florida" TargetMode="External"/><Relationship Id="rId4" Type="http://schemas.openxmlformats.org/officeDocument/2006/relationships/webSettings" Target="webSettings.xml"/><Relationship Id="rId9" Type="http://schemas.openxmlformats.org/officeDocument/2006/relationships/hyperlink" Target="https://www.ncbi.nlm.nih.gov/pmc/articles/PMC38310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1378</Words>
  <Characters>7855</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 Stacey</dc:creator>
  <cp:keywords/>
  <dc:description/>
  <cp:lastModifiedBy>Sutton, Kaitlyn</cp:lastModifiedBy>
  <cp:revision>2</cp:revision>
  <dcterms:created xsi:type="dcterms:W3CDTF">2019-11-22T21:03:00Z</dcterms:created>
  <dcterms:modified xsi:type="dcterms:W3CDTF">2019-11-22T21:03:00Z</dcterms:modified>
</cp:coreProperties>
</file>