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0CA" w:rsidRPr="006A6C29" w:rsidRDefault="007620CA" w:rsidP="007620CA">
      <w:pPr>
        <w:pStyle w:val="ESOCBody"/>
      </w:pPr>
      <w:bookmarkStart w:id="0" w:name="_GoBack"/>
      <w:r w:rsidRPr="006A6C29">
        <w:t>In 2008, a Florida Department of Environmental Protection (</w:t>
      </w:r>
      <w:r>
        <w:t>DEP</w:t>
      </w:r>
      <w:r w:rsidRPr="006A6C29">
        <w:t xml:space="preserve">) internal workgroup assessed various strategies to address a group of contaminants commonly referred to as emerging </w:t>
      </w:r>
      <w:r>
        <w:t xml:space="preserve">substances of concern (ESOCs). </w:t>
      </w:r>
      <w:r w:rsidRPr="006A6C29">
        <w:t>These substances, which have been detected in low concentrations in surface waters throughout the U.S. and abroad, include chemicals found in pharmaceuticals and personal care products, flame retardants, pesticides and their degradates, fragrances and flavorants, detergent degradates, plasticizers, solvents, and polycyclic aromatic hydrocarbons (</w:t>
      </w:r>
      <w:proofErr w:type="spellStart"/>
      <w:r w:rsidRPr="006A6C29">
        <w:t>Kolpin</w:t>
      </w:r>
      <w:proofErr w:type="spellEnd"/>
      <w:r w:rsidRPr="006A6C29">
        <w:t xml:space="preserve"> et</w:t>
      </w:r>
      <w:r>
        <w:t xml:space="preserve"> al., 2002; Pal et al., 2010). </w:t>
      </w:r>
      <w:r w:rsidRPr="006A6C29">
        <w:t>Several of these contaminants are known mutagenic and endocrine disruptor compounds; however, most them are unregulated (Chemical Abstracts Service, 2013).</w:t>
      </w:r>
      <w:r>
        <w:t xml:space="preserve"> </w:t>
      </w:r>
    </w:p>
    <w:p w:rsidR="007620CA" w:rsidRDefault="007620CA" w:rsidP="007620CA">
      <w:pPr>
        <w:pStyle w:val="ESOCBody"/>
        <w:rPr>
          <w:rFonts w:cs="Times New Roman"/>
          <w:szCs w:val="24"/>
        </w:rPr>
      </w:pPr>
      <w:r w:rsidRPr="006A6C29">
        <w:t xml:space="preserve">The </w:t>
      </w:r>
      <w:r>
        <w:t>DEP</w:t>
      </w:r>
      <w:r w:rsidRPr="006A6C29">
        <w:t xml:space="preserve"> workgroup reconvened January 2013 to evaluate how it can respond to the growing problem now that many of the challenges posed in 2008 are being addressed by the federal govern</w:t>
      </w:r>
      <w:r>
        <w:t xml:space="preserve">ment and scientific community. </w:t>
      </w:r>
      <w:r w:rsidRPr="006A6C29">
        <w:t xml:space="preserve">The 2013 </w:t>
      </w:r>
      <w:r>
        <w:t>DEP</w:t>
      </w:r>
      <w:r>
        <w:t xml:space="preserve"> workgroup recommended</w:t>
      </w:r>
      <w:r w:rsidRPr="006A6C29">
        <w:t xml:space="preserve"> that </w:t>
      </w:r>
      <w:r>
        <w:t>DEP</w:t>
      </w:r>
      <w:r w:rsidRPr="006A6C29">
        <w:t xml:space="preserve"> conduct a </w:t>
      </w:r>
      <w:r>
        <w:t>tiered</w:t>
      </w:r>
      <w:r w:rsidRPr="006A6C29">
        <w:t xml:space="preserve"> study </w:t>
      </w:r>
      <w:r>
        <w:t xml:space="preserve">approach </w:t>
      </w:r>
      <w:r w:rsidRPr="006A6C29">
        <w:t>to determine the potential cause of biological effects on fish, such as intersex, by first employing screening assays to detect potential ecological effects, such as estrogenic activity occurring in Florida’s water. Site selection for this study is determined based on the frequency of sucralose detections at Surface Water Trend sites from January – December 2012.  Studies show that sucralose is not degraded through waste treatment processes (</w:t>
      </w:r>
      <w:proofErr w:type="spellStart"/>
      <w:r w:rsidRPr="006A6C29">
        <w:t>Labare</w:t>
      </w:r>
      <w:proofErr w:type="spellEnd"/>
      <w:r w:rsidRPr="006A6C29">
        <w:t xml:space="preserve"> </w:t>
      </w:r>
      <w:r w:rsidRPr="006A6C29">
        <w:rPr>
          <w:iCs/>
        </w:rPr>
        <w:t>et al</w:t>
      </w:r>
      <w:r w:rsidRPr="006A6C29">
        <w:t>., 1993 and Soh et al., 2011)</w:t>
      </w:r>
      <w:r>
        <w:t>.</w:t>
      </w:r>
      <w:r w:rsidRPr="006A6C29">
        <w:t xml:space="preserve"> Sucralose is being used as a tracer to determine if the site has an influence of human wastewater.</w:t>
      </w:r>
      <w:r>
        <w:t xml:space="preserve"> </w:t>
      </w:r>
      <w:r w:rsidRPr="006A6C29">
        <w:rPr>
          <w:rFonts w:cs="Times New Roman"/>
          <w:szCs w:val="24"/>
        </w:rPr>
        <w:t>The main objective of the pilot project is to evaluate methods utilizing biomarkers which may be employed to assess the biological health of w</w:t>
      </w:r>
      <w:r>
        <w:rPr>
          <w:rFonts w:cs="Times New Roman"/>
          <w:szCs w:val="24"/>
        </w:rPr>
        <w:t>aterbodies. The pilot study</w:t>
      </w:r>
      <w:r w:rsidRPr="006A6C29">
        <w:rPr>
          <w:rFonts w:cs="Times New Roman"/>
          <w:szCs w:val="24"/>
        </w:rPr>
        <w:t xml:space="preserve"> test</w:t>
      </w:r>
      <w:r>
        <w:rPr>
          <w:rFonts w:cs="Times New Roman"/>
          <w:szCs w:val="24"/>
        </w:rPr>
        <w:t>s</w:t>
      </w:r>
      <w:r w:rsidRPr="006A6C29">
        <w:rPr>
          <w:rFonts w:cs="Times New Roman"/>
          <w:szCs w:val="24"/>
        </w:rPr>
        <w:t xml:space="preserve"> the analytical and sampling methods’ effectiveness and efficiency in achieving the objective using a small-scale study design</w:t>
      </w:r>
      <w:r>
        <w:rPr>
          <w:rFonts w:cs="Times New Roman"/>
          <w:szCs w:val="24"/>
        </w:rPr>
        <w:t>. The pilot study was conducted in April 2017.</w:t>
      </w:r>
    </w:p>
    <w:bookmarkEnd w:id="0"/>
    <w:p w:rsidR="007620CA" w:rsidRDefault="007620CA" w:rsidP="007620CA">
      <w:pPr>
        <w:rPr>
          <w:rFonts w:ascii="Times New Roman" w:hAnsi="Times New Roman" w:cs="Times New Roman"/>
          <w:sz w:val="24"/>
          <w:szCs w:val="24"/>
        </w:rPr>
      </w:pPr>
    </w:p>
    <w:p w:rsidR="007620CA" w:rsidRPr="007620CA" w:rsidRDefault="007620CA" w:rsidP="007620CA">
      <w:pPr>
        <w:rPr>
          <w:rFonts w:ascii="Times New Roman" w:hAnsi="Times New Roman" w:cs="Times New Roman"/>
          <w:sz w:val="24"/>
          <w:szCs w:val="24"/>
        </w:rPr>
      </w:pPr>
    </w:p>
    <w:sectPr w:rsidR="007620CA" w:rsidRPr="007620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20CA"/>
    <w:rsid w:val="002579EA"/>
    <w:rsid w:val="007620CA"/>
    <w:rsid w:val="00D40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95AFBF"/>
  <w15:chartTrackingRefBased/>
  <w15:docId w15:val="{960EFB32-C227-4F82-8AF1-773F9BAAB4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SOCBody">
    <w:name w:val="ESOC_Body"/>
    <w:basedOn w:val="Normal"/>
    <w:link w:val="ESOCBodyChar"/>
    <w:autoRedefine/>
    <w:qFormat/>
    <w:rsid w:val="007620CA"/>
    <w:pPr>
      <w:shd w:val="clear" w:color="auto" w:fill="FFFFFF"/>
      <w:autoSpaceDE w:val="0"/>
      <w:autoSpaceDN w:val="0"/>
      <w:adjustRightInd w:val="0"/>
      <w:spacing w:after="0" w:line="252" w:lineRule="auto"/>
      <w:jc w:val="both"/>
    </w:pPr>
    <w:rPr>
      <w:rFonts w:ascii="Times New Roman" w:eastAsiaTheme="minorEastAsia" w:hAnsi="Times New Roman" w:cs="Arial"/>
      <w:color w:val="000000"/>
      <w:sz w:val="24"/>
    </w:rPr>
  </w:style>
  <w:style w:type="character" w:customStyle="1" w:styleId="ESOCBodyChar">
    <w:name w:val="ESOC_Body Char"/>
    <w:basedOn w:val="DefaultParagraphFont"/>
    <w:link w:val="ESOCBody"/>
    <w:rsid w:val="007620CA"/>
    <w:rPr>
      <w:rFonts w:ascii="Times New Roman" w:eastAsiaTheme="minorEastAsia" w:hAnsi="Times New Roman" w:cs="Arial"/>
      <w:color w:val="000000"/>
      <w:sz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295</Words>
  <Characters>1688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Alicia Hogue</dc:creator>
  <cp:keywords/>
  <dc:description/>
  <cp:lastModifiedBy>Hogue, Alicia</cp:lastModifiedBy>
  <cp:revision>1</cp:revision>
  <dcterms:created xsi:type="dcterms:W3CDTF">2018-10-19T18:32:00Z</dcterms:created>
  <dcterms:modified xsi:type="dcterms:W3CDTF">2018-10-22T12:08:00Z</dcterms:modified>
</cp:coreProperties>
</file>