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before="73" w:after="0" w:line="249" w:lineRule="auto"/>
        <w:ind w:left="106"/>
        <w:rPr>
          <w:rFonts w:ascii="Book Antiqua" w:hAnsi="Book Antiqua" w:cs="Book Antiqua"/>
          <w:b/>
          <w:w w:val="115"/>
          <w:sz w:val="16"/>
          <w:szCs w:val="12"/>
        </w:rPr>
      </w:pPr>
      <w:bookmarkStart w:id="0" w:name="_bookmark0"/>
      <w:bookmarkStart w:id="1" w:name="_bookmark1"/>
      <w:bookmarkStart w:id="2" w:name="_bookmark2"/>
      <w:bookmarkEnd w:id="0"/>
      <w:bookmarkEnd w:id="1"/>
      <w:bookmarkEnd w:id="2"/>
      <w:r w:rsidRPr="0096278F">
        <w:rPr>
          <w:rFonts w:ascii="Cambria" w:hAnsi="Cambria" w:cs="Cambria"/>
          <w:b/>
          <w:bCs/>
          <w:w w:val="115"/>
          <w:sz w:val="16"/>
          <w:szCs w:val="12"/>
        </w:rPr>
        <w:t xml:space="preserve">Table 1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Average concentrations (</w:t>
      </w:r>
      <w:r w:rsidRPr="0096278F">
        <w:rPr>
          <w:rFonts w:ascii="Lucida Sans Unicode" w:hAnsi="Lucida Sans Unicode" w:cs="Lucida Sans Unicode"/>
          <w:b/>
          <w:w w:val="115"/>
          <w:sz w:val="16"/>
          <w:szCs w:val="12"/>
        </w:rPr>
        <w:t>±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 xml:space="preserve">SD) of endocrine active chemicals </w:t>
      </w:r>
      <w:bookmarkStart w:id="3" w:name="_bookmark3"/>
      <w:bookmarkEnd w:id="3"/>
      <w:r w:rsidRPr="0096278F">
        <w:rPr>
          <w:rFonts w:ascii="Book Antiqua" w:hAnsi="Book Antiqua" w:cs="Book Antiqua"/>
          <w:b/>
          <w:w w:val="115"/>
          <w:sz w:val="16"/>
          <w:szCs w:val="12"/>
        </w:rPr>
        <w:t xml:space="preserve">detected in the Boulder wastewater treatment plant (WWTP) efﬂuent (EFF) and Boulder Creek upstream from the WWTP outfall (REF). Also shown are chemical speciﬁc </w:t>
      </w:r>
      <w:r w:rsidRPr="0096278F">
        <w:rPr>
          <w:rFonts w:ascii="Book Antiqua" w:hAnsi="Book Antiqua" w:cs="Book Antiqua"/>
          <w:b/>
          <w:i/>
          <w:iCs/>
          <w:w w:val="115"/>
          <w:sz w:val="16"/>
          <w:szCs w:val="12"/>
        </w:rPr>
        <w:t xml:space="preserve">in vitro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 xml:space="preserve">and </w:t>
      </w:r>
      <w:r w:rsidRPr="0096278F">
        <w:rPr>
          <w:rFonts w:ascii="Book Antiqua" w:hAnsi="Book Antiqua" w:cs="Book Antiqua"/>
          <w:b/>
          <w:i/>
          <w:iCs/>
          <w:w w:val="115"/>
          <w:sz w:val="16"/>
          <w:szCs w:val="12"/>
        </w:rPr>
        <w:t xml:space="preserve">in vivo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17</w:t>
      </w:r>
      <w:r w:rsidRPr="0096278F">
        <w:rPr>
          <w:rFonts w:ascii="Century Gothic" w:hAnsi="Century Gothic" w:cs="Century Gothic"/>
          <w:b/>
          <w:i/>
          <w:iCs/>
          <w:w w:val="115"/>
          <w:sz w:val="16"/>
          <w:szCs w:val="12"/>
        </w:rPr>
        <w:t>!3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-estradiol equivalency factors used to calculate 17</w:t>
      </w:r>
      <w:r w:rsidRPr="0096278F">
        <w:rPr>
          <w:rFonts w:ascii="Century Gothic" w:hAnsi="Century Gothic" w:cs="Century Gothic"/>
          <w:b/>
          <w:i/>
          <w:iCs/>
          <w:w w:val="115"/>
          <w:sz w:val="16"/>
          <w:szCs w:val="12"/>
        </w:rPr>
        <w:t>!3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-estradiol equivalency quotients.</w:t>
      </w:r>
    </w:p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Book Antiqua" w:hAnsi="Book Antiqua" w:cs="Book Antiqua"/>
          <w:b/>
          <w:sz w:val="10"/>
          <w:szCs w:val="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7"/>
        <w:gridCol w:w="2113"/>
        <w:gridCol w:w="1575"/>
        <w:gridCol w:w="984"/>
        <w:gridCol w:w="1161"/>
        <w:gridCol w:w="697"/>
        <w:gridCol w:w="1120"/>
        <w:gridCol w:w="676"/>
        <w:gridCol w:w="1002"/>
        <w:gridCol w:w="620"/>
        <w:gridCol w:w="1043"/>
        <w:gridCol w:w="573"/>
      </w:tblGrid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/>
        </w:trPr>
        <w:tc>
          <w:tcPr>
            <w:tcW w:w="2167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119"/>
              <w:rPr>
                <w:rFonts w:ascii="Book Antiqua" w:hAnsi="Book Antiqua" w:cs="Book Antiqua"/>
                <w:b/>
                <w:color w:val="231F20"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color w:val="231F20"/>
                <w:w w:val="110"/>
                <w:sz w:val="16"/>
                <w:szCs w:val="12"/>
              </w:rPr>
              <w:t>Compound</w:t>
            </w:r>
          </w:p>
        </w:tc>
        <w:tc>
          <w:tcPr>
            <w:tcW w:w="2113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170" w:lineRule="atLeast"/>
              <w:ind w:left="740"/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color w:val="231F20"/>
                <w:w w:val="115"/>
                <w:sz w:val="16"/>
                <w:szCs w:val="12"/>
              </w:rPr>
              <w:t xml:space="preserve">In vitro </w:t>
            </w:r>
            <w:r w:rsidRPr="0096278F">
              <w:rPr>
                <w:rFonts w:ascii="Book Antiqua" w:hAnsi="Book Antiqua" w:cs="Book Antiqua"/>
                <w:b/>
                <w:color w:val="231F20"/>
                <w:w w:val="115"/>
                <w:sz w:val="16"/>
                <w:szCs w:val="12"/>
              </w:rPr>
              <w:t>estradiol equivalency factor</w:t>
            </w:r>
            <w:r w:rsidRPr="0096278F"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  <w:t>a</w:t>
            </w:r>
          </w:p>
        </w:tc>
        <w:tc>
          <w:tcPr>
            <w:tcW w:w="1575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170" w:lineRule="atLeast"/>
              <w:ind w:left="202"/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 xml:space="preserve">In vivo 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estradiol equivalency factor</w:t>
            </w:r>
            <w:r w:rsidRPr="0096278F"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  <w:t>a</w:t>
            </w:r>
          </w:p>
        </w:tc>
        <w:tc>
          <w:tcPr>
            <w:tcW w:w="984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202"/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Source</w:t>
            </w:r>
            <w:hyperlink w:anchor="bookmark1" w:history="1">
              <w:r w:rsidRPr="0096278F">
                <w:rPr>
                  <w:rFonts w:ascii="Book Antiqua" w:hAnsi="Book Antiqua" w:cs="Book Antiqua"/>
                  <w:b/>
                  <w:color w:val="000066"/>
                  <w:w w:val="115"/>
                  <w:position w:val="5"/>
                  <w:sz w:val="13"/>
                  <w:szCs w:val="9"/>
                </w:rPr>
                <w:t>b</w:t>
              </w:r>
            </w:hyperlink>
          </w:p>
        </w:tc>
        <w:tc>
          <w:tcPr>
            <w:tcW w:w="1161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315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2005 REF,</w:t>
            </w:r>
          </w:p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130" w:lineRule="exact"/>
              <w:ind w:left="315"/>
              <w:rPr>
                <w:rFonts w:ascii="Book Antiqua" w:hAnsi="Book Antiqua" w:cs="Book Antiqua"/>
                <w:b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 xml:space="preserve">n 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=6</w:t>
            </w:r>
            <w:r w:rsidRPr="0096278F">
              <w:rPr>
                <w:rFonts w:ascii="Book Antiqua" w:hAnsi="Book Antiqua" w:cs="Book Antiqua"/>
                <w:b/>
                <w:sz w:val="16"/>
                <w:szCs w:val="1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233" w:right="259"/>
              <w:jc w:val="center"/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  <w:t>SD</w:t>
            </w:r>
          </w:p>
        </w:tc>
        <w:tc>
          <w:tcPr>
            <w:tcW w:w="1120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283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2005 EFF,</w:t>
            </w:r>
          </w:p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130" w:lineRule="exact"/>
              <w:ind w:left="283"/>
              <w:rPr>
                <w:rFonts w:ascii="Book Antiqua" w:hAnsi="Book Antiqua" w:cs="Book Antiqua"/>
                <w:b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 xml:space="preserve">n 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=7</w:t>
            </w:r>
            <w:r w:rsidRPr="0096278F">
              <w:rPr>
                <w:rFonts w:ascii="Book Antiqua" w:hAnsi="Book Antiqua" w:cs="Book Antiqua"/>
                <w:b/>
                <w:sz w:val="16"/>
                <w:szCs w:val="1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260"/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  <w:t>SD</w:t>
            </w:r>
          </w:p>
        </w:tc>
        <w:tc>
          <w:tcPr>
            <w:tcW w:w="1002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15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2006 REF,</w:t>
            </w:r>
          </w:p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130" w:lineRule="exact"/>
              <w:ind w:left="159"/>
              <w:rPr>
                <w:rFonts w:ascii="Book Antiqua" w:hAnsi="Book Antiqua" w:cs="Book Antiqua"/>
                <w:b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 xml:space="preserve">n 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=6</w:t>
            </w:r>
            <w:r w:rsidRPr="0096278F">
              <w:rPr>
                <w:rFonts w:ascii="Book Antiqua" w:hAnsi="Book Antiqua" w:cs="Book Antiqua"/>
                <w:b/>
                <w:sz w:val="16"/>
                <w:szCs w:val="12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254"/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  <w:t>SD</w:t>
            </w:r>
          </w:p>
        </w:tc>
        <w:tc>
          <w:tcPr>
            <w:tcW w:w="1043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20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2006 EFF,</w:t>
            </w:r>
          </w:p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22" w:after="0" w:line="130" w:lineRule="exact"/>
              <w:ind w:left="209"/>
              <w:rPr>
                <w:rFonts w:ascii="Book Antiqua" w:hAnsi="Book Antiqua" w:cs="Book Antiqua"/>
                <w:b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 xml:space="preserve">n 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=6</w:t>
            </w:r>
            <w:r w:rsidRPr="0096278F">
              <w:rPr>
                <w:rFonts w:ascii="Book Antiqua" w:hAnsi="Book Antiqua" w:cs="Book Antiqua"/>
                <w:b/>
                <w:sz w:val="16"/>
                <w:szCs w:val="12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231F2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57" w:after="0" w:line="240" w:lineRule="auto"/>
              <w:ind w:left="263"/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05"/>
                <w:sz w:val="16"/>
                <w:szCs w:val="12"/>
              </w:rPr>
              <w:t>SD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ind w:left="315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(ng L</w:t>
            </w:r>
            <w:r w:rsidRPr="0096278F">
              <w:rPr>
                <w:rFonts w:ascii="Lucida Sans Unicode" w:hAnsi="Lucida Sans Unicode" w:cs="Lucida Sans Unicode"/>
                <w:b/>
                <w:w w:val="110"/>
                <w:position w:val="5"/>
                <w:sz w:val="13"/>
                <w:szCs w:val="9"/>
              </w:rPr>
              <w:t>−</w:t>
            </w:r>
            <w:r w:rsidRPr="0096278F">
              <w:rPr>
                <w:rFonts w:ascii="Book Antiqua" w:hAnsi="Book Antiqua" w:cs="Book Antiqua"/>
                <w:b/>
                <w:w w:val="110"/>
                <w:position w:val="5"/>
                <w:sz w:val="13"/>
                <w:szCs w:val="9"/>
              </w:rPr>
              <w:t>1</w:t>
            </w: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)</w:t>
            </w: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ind w:right="363"/>
              <w:jc w:val="right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(ng L</w:t>
            </w:r>
            <w:r w:rsidRPr="0096278F">
              <w:rPr>
                <w:rFonts w:ascii="Lucida Sans Unicode" w:hAnsi="Lucida Sans Unicode" w:cs="Lucida Sans Unicode"/>
                <w:b/>
                <w:w w:val="110"/>
                <w:position w:val="5"/>
                <w:sz w:val="13"/>
                <w:szCs w:val="9"/>
              </w:rPr>
              <w:t>−</w:t>
            </w:r>
            <w:r w:rsidRPr="0096278F">
              <w:rPr>
                <w:rFonts w:ascii="Book Antiqua" w:hAnsi="Book Antiqua" w:cs="Book Antiqua"/>
                <w:b/>
                <w:w w:val="110"/>
                <w:position w:val="5"/>
                <w:sz w:val="13"/>
                <w:szCs w:val="9"/>
              </w:rPr>
              <w:t>1</w:t>
            </w: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)</w:t>
            </w: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ind w:left="159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(ng L</w:t>
            </w:r>
            <w:r w:rsidRPr="0096278F">
              <w:rPr>
                <w:rFonts w:ascii="Lucida Sans Unicode" w:hAnsi="Lucida Sans Unicode" w:cs="Lucida Sans Unicode"/>
                <w:b/>
                <w:w w:val="110"/>
                <w:position w:val="5"/>
                <w:sz w:val="13"/>
                <w:szCs w:val="9"/>
              </w:rPr>
              <w:t>−</w:t>
            </w:r>
            <w:r w:rsidRPr="0096278F">
              <w:rPr>
                <w:rFonts w:ascii="Book Antiqua" w:hAnsi="Book Antiqua" w:cs="Book Antiqua"/>
                <w:b/>
                <w:w w:val="110"/>
                <w:position w:val="5"/>
                <w:sz w:val="13"/>
                <w:szCs w:val="9"/>
              </w:rPr>
              <w:t>1</w:t>
            </w: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)</w:t>
            </w: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71" w:lineRule="exact"/>
              <w:ind w:right="360"/>
              <w:jc w:val="right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(ng L</w:t>
            </w:r>
            <w:r w:rsidRPr="0096278F">
              <w:rPr>
                <w:rFonts w:ascii="Lucida Sans Unicode" w:hAnsi="Lucida Sans Unicode" w:cs="Lucida Sans Unicode"/>
                <w:b/>
                <w:w w:val="110"/>
                <w:position w:val="5"/>
                <w:sz w:val="13"/>
                <w:szCs w:val="9"/>
              </w:rPr>
              <w:t>−</w:t>
            </w:r>
            <w:r w:rsidRPr="0096278F">
              <w:rPr>
                <w:rFonts w:ascii="Book Antiqua" w:hAnsi="Book Antiqua" w:cs="Book Antiqua"/>
                <w:b/>
                <w:w w:val="110"/>
                <w:position w:val="5"/>
                <w:sz w:val="13"/>
                <w:szCs w:val="9"/>
              </w:rPr>
              <w:t>1</w:t>
            </w: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)</w:t>
            </w: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/>
        </w:trPr>
        <w:tc>
          <w:tcPr>
            <w:tcW w:w="2167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61" w:after="0" w:line="129" w:lineRule="exact"/>
              <w:ind w:left="119"/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  <w:t>Steroids</w:t>
            </w:r>
          </w:p>
        </w:tc>
        <w:tc>
          <w:tcPr>
            <w:tcW w:w="2113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61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620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3" w:after="0" w:line="140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17</w:t>
            </w:r>
            <w:r w:rsidRPr="0096278F">
              <w:rPr>
                <w:rFonts w:ascii="Century Gothic" w:hAnsi="Century Gothic" w:cs="Century Gothic"/>
                <w:b/>
                <w:i/>
                <w:iCs/>
                <w:w w:val="115"/>
                <w:sz w:val="16"/>
                <w:szCs w:val="12"/>
              </w:rPr>
              <w:t>!3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-Estradiol</w:t>
            </w: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left="740"/>
              <w:rPr>
                <w:rFonts w:ascii="Book Antiqua" w:hAnsi="Book Antiqua" w:cs="Book Antiqua"/>
                <w:b/>
                <w:w w:val="127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7"/>
                <w:sz w:val="16"/>
                <w:szCs w:val="12"/>
              </w:rPr>
              <w:t>1</w:t>
            </w: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left="279"/>
              <w:rPr>
                <w:rFonts w:ascii="Book Antiqua" w:hAnsi="Book Antiqua" w:cs="Book Antiqua"/>
                <w:b/>
                <w:w w:val="127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7"/>
                <w:sz w:val="16"/>
                <w:szCs w:val="12"/>
              </w:rPr>
              <w:t>1</w:t>
            </w: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left="203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1–3</w:t>
            </w: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left="320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right="419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2.1</w:t>
            </w: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right="152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1.0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left="163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right="416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3.2</w:t>
            </w: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8" w:after="0" w:line="134" w:lineRule="exact"/>
              <w:ind w:left="340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3.2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140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17</w:t>
            </w:r>
            <w:r w:rsidRPr="0096278F">
              <w:rPr>
                <w:rFonts w:ascii="Century Gothic" w:hAnsi="Century Gothic" w:cs="Century Gothic"/>
                <w:b/>
                <w:i/>
                <w:iCs/>
                <w:w w:val="115"/>
                <w:sz w:val="16"/>
                <w:szCs w:val="12"/>
              </w:rPr>
              <w:t>a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-Ethynylestradiol</w:t>
            </w: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740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1.2</w:t>
            </w: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202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25</w:t>
            </w: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203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2,3</w:t>
            </w: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320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right="419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1.2</w:t>
            </w: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right="152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0.7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163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right="416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Estrone</w:t>
            </w: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741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0.2</w:t>
            </w: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279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0.4</w:t>
            </w: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203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2,3</w:t>
            </w: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320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417" w:right="507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75</w:t>
            </w: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260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28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163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343" w:right="504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60</w:t>
            </w: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263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75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Estriol</w:t>
            </w: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320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right="419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3.4</w:t>
            </w: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right="152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3.2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left="163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134" w:lineRule="exact"/>
              <w:ind w:right="416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2" w:after="0" w:line="240" w:lineRule="auto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17</w:t>
            </w:r>
            <w:r w:rsidRPr="0096278F">
              <w:rPr>
                <w:rFonts w:ascii="Century Gothic" w:hAnsi="Century Gothic" w:cs="Century Gothic"/>
                <w:b/>
                <w:i/>
                <w:iCs/>
                <w:w w:val="115"/>
                <w:sz w:val="16"/>
                <w:szCs w:val="12"/>
              </w:rPr>
              <w:t>a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-Estradiol</w:t>
            </w: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320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419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0.1</w:t>
            </w: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152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0.3</w:t>
            </w: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left="163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7" w:after="0" w:line="240" w:lineRule="auto"/>
              <w:ind w:right="416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&lt;0.2</w:t>
            </w: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"/>
        </w:trPr>
        <w:tc>
          <w:tcPr>
            <w:tcW w:w="216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70" w:after="0" w:line="141" w:lineRule="exact"/>
              <w:ind w:left="119"/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  <w:t>Other estrogens</w:t>
            </w:r>
          </w:p>
        </w:tc>
        <w:tc>
          <w:tcPr>
            <w:tcW w:w="211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57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69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67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0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6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4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5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</w:tr>
    </w:tbl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26"/>
        <w:rPr>
          <w:rFonts w:ascii="Book Antiqua" w:hAnsi="Book Antiqua" w:cs="Book Antiqua"/>
          <w:b/>
          <w:w w:val="125"/>
          <w:sz w:val="16"/>
          <w:szCs w:val="12"/>
        </w:rPr>
      </w:pPr>
      <w:r w:rsidRPr="0096278F">
        <w:rPr>
          <w:rFonts w:ascii="Book Antiqua" w:hAnsi="Book Antiqua" w:cs="Book Antiqua"/>
          <w:b/>
          <w:w w:val="125"/>
          <w:sz w:val="16"/>
          <w:szCs w:val="12"/>
        </w:rPr>
        <w:t>4-Nonylphenol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  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 5.3E</w:t>
      </w:r>
      <w:r w:rsidRPr="0096278F">
        <w:rPr>
          <w:rFonts w:ascii="Lucida Sans Unicode" w:hAnsi="Lucida Sans Unicode" w:cs="Lucida Sans Unicode"/>
          <w:b/>
          <w:w w:val="125"/>
          <w:sz w:val="16"/>
          <w:szCs w:val="12"/>
        </w:rPr>
        <w:t>−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5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0.003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3,4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210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230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2000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>1300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 73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 34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</w:t>
      </w:r>
      <w:r w:rsidRPr="0096278F">
        <w:rPr>
          <w:rFonts w:ascii="Book Antiqua" w:hAnsi="Book Antiqua" w:cs="Book Antiqua"/>
          <w:b/>
          <w:w w:val="125"/>
          <w:sz w:val="16"/>
          <w:szCs w:val="12"/>
        </w:rPr>
        <w:t xml:space="preserve">240 </w:t>
      </w:r>
      <w:r>
        <w:rPr>
          <w:rFonts w:ascii="Book Antiqua" w:hAnsi="Book Antiqua" w:cs="Book Antiqua"/>
          <w:b/>
          <w:w w:val="125"/>
          <w:sz w:val="16"/>
          <w:szCs w:val="12"/>
        </w:rPr>
        <w:t xml:space="preserve">             </w:t>
      </w:r>
      <w:bookmarkStart w:id="4" w:name="_GoBack"/>
      <w:bookmarkEnd w:id="4"/>
      <w:r w:rsidRPr="0096278F">
        <w:rPr>
          <w:rFonts w:ascii="Book Antiqua" w:hAnsi="Book Antiqua" w:cs="Book Antiqua"/>
          <w:b/>
          <w:w w:val="125"/>
          <w:sz w:val="16"/>
          <w:szCs w:val="12"/>
        </w:rPr>
        <w:t>100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8"/>
        <w:gridCol w:w="1234"/>
        <w:gridCol w:w="1526"/>
        <w:gridCol w:w="1183"/>
        <w:gridCol w:w="1082"/>
        <w:gridCol w:w="952"/>
        <w:gridCol w:w="968"/>
        <w:gridCol w:w="799"/>
        <w:gridCol w:w="838"/>
        <w:gridCol w:w="784"/>
        <w:gridCol w:w="892"/>
        <w:gridCol w:w="773"/>
      </w:tblGrid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19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Bisphenol A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33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46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341" w:right="27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42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41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44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90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18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27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right="64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5.2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1,2-Dichlorobenzene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48"/>
              <w:jc w:val="center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21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120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79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1,4-Dichlorobenzene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  <w:t>81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140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85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2100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3000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4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1200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68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360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  <w:t>tert</w:t>
            </w: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-Butylphenol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27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68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41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73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47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43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  <w:t>tert</w:t>
            </w: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-Pentylphenol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27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65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41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82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34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1.9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64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2.2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4-Nonylphenolmonoethoxylate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480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1200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85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9800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5800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90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68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71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4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1500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68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770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4-Nonylphenoldiethoxylate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150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400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86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5000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4000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90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89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140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21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440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68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380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4-Nonylphenoltriethoxylate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62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160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86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2000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1800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21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280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68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240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4-Nonylphenoltetraethoxylate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52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450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37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730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39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31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4-Nonylphenolmonoethoxycarboxylate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270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330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09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31600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9400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3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370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220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6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50000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2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6800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4-Nonylphenoldiethoxycarboxylate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300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510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09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42000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7300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200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110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6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34000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15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13000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4-Nonylphenoltriethoxycarboxylate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85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1500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37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690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21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510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68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240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4-Nonylphenoltetraethoxycarboxylate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52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890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37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740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&lt;50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21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210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72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>t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-Octylphenol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17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29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51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37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120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14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>t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-Octylphenolmonoethoxylate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17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42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52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290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37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260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22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11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>t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-Octylphenoldiethoxylate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82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210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220</w:t>
            </w: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85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2100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1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2700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67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8.7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11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53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67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>t</w:t>
            </w: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-Octylphenoltriethoxylate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52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260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37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350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90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13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179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33</w:t>
            </w: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17"/>
              <w:jc w:val="center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0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9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4-</w:t>
            </w:r>
            <w:r w:rsidRPr="0096278F">
              <w:rPr>
                <w:rFonts w:ascii="Book Antiqua" w:hAnsi="Book Antiqua" w:cs="Book Antiqua"/>
                <w:b/>
                <w:i/>
                <w:iCs/>
                <w:w w:val="120"/>
                <w:sz w:val="16"/>
                <w:szCs w:val="12"/>
              </w:rPr>
              <w:t>t</w:t>
            </w: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-Octylphenoltetraethoxylate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right="432"/>
              <w:jc w:val="right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341" w:right="348"/>
              <w:jc w:val="center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117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27" w:lineRule="exact"/>
              <w:ind w:left="297" w:right="317"/>
              <w:jc w:val="center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&lt;10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ind w:left="119"/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Estradiol equivalency quotient</w:t>
            </w:r>
            <w:r w:rsidRPr="0096278F"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  <w:t>c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6" w:after="0" w:line="240" w:lineRule="auto"/>
              <w:ind w:left="189"/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>In vitro</w:t>
            </w: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right="432"/>
              <w:jc w:val="right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&lt;1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left="438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13.7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left="414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10.5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left="194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right="234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12.6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before="32" w:after="0" w:line="240" w:lineRule="auto"/>
              <w:ind w:right="64"/>
              <w:jc w:val="right"/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0"/>
                <w:sz w:val="16"/>
                <w:szCs w:val="12"/>
              </w:rPr>
              <w:t>10.8</w:t>
            </w:r>
          </w:p>
        </w:tc>
      </w:tr>
      <w:tr w:rsidR="0096278F" w:rsidRPr="00962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/>
        </w:trPr>
        <w:tc>
          <w:tcPr>
            <w:tcW w:w="2718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left="119"/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Estradiol equivalency quotient</w:t>
            </w:r>
            <w:r w:rsidRPr="0096278F">
              <w:rPr>
                <w:rFonts w:ascii="Book Antiqua" w:hAnsi="Book Antiqua" w:cs="Book Antiqua"/>
                <w:b/>
                <w:color w:val="000066"/>
                <w:w w:val="115"/>
                <w:position w:val="5"/>
                <w:sz w:val="13"/>
                <w:szCs w:val="9"/>
              </w:rPr>
              <w:t>c</w:t>
            </w:r>
          </w:p>
        </w:tc>
        <w:tc>
          <w:tcPr>
            <w:tcW w:w="1234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1" w:lineRule="exact"/>
              <w:ind w:left="189"/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i/>
                <w:iCs/>
                <w:w w:val="115"/>
                <w:sz w:val="16"/>
                <w:szCs w:val="12"/>
              </w:rPr>
              <w:t>In vivo</w:t>
            </w:r>
          </w:p>
        </w:tc>
        <w:tc>
          <w:tcPr>
            <w:tcW w:w="1526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183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1082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right="432"/>
              <w:jc w:val="right"/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0"/>
                <w:sz w:val="16"/>
                <w:szCs w:val="12"/>
              </w:rPr>
              <w:t>&lt;1</w:t>
            </w:r>
          </w:p>
        </w:tc>
        <w:tc>
          <w:tcPr>
            <w:tcW w:w="952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968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left="341" w:right="27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50</w:t>
            </w:r>
          </w:p>
        </w:tc>
        <w:tc>
          <w:tcPr>
            <w:tcW w:w="799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left="414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34</w:t>
            </w:r>
          </w:p>
        </w:tc>
        <w:tc>
          <w:tcPr>
            <w:tcW w:w="838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left="194"/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15"/>
                <w:sz w:val="16"/>
                <w:szCs w:val="12"/>
              </w:rPr>
              <w:t>&lt;1</w:t>
            </w:r>
          </w:p>
        </w:tc>
        <w:tc>
          <w:tcPr>
            <w:tcW w:w="784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2"/>
              </w:rPr>
            </w:pPr>
          </w:p>
        </w:tc>
        <w:tc>
          <w:tcPr>
            <w:tcW w:w="892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left="297" w:right="248"/>
              <w:jc w:val="center"/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30"/>
                <w:sz w:val="16"/>
                <w:szCs w:val="12"/>
              </w:rPr>
              <w:t>23</w:t>
            </w:r>
          </w:p>
        </w:tc>
        <w:tc>
          <w:tcPr>
            <w:tcW w:w="773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none" w:sz="6" w:space="0" w:color="auto"/>
            </w:tcBorders>
          </w:tcPr>
          <w:p w:rsidR="0096278F" w:rsidRPr="0096278F" w:rsidRDefault="0096278F" w:rsidP="0096278F">
            <w:pPr>
              <w:kinsoku w:val="0"/>
              <w:overflowPunct w:val="0"/>
              <w:autoSpaceDE w:val="0"/>
              <w:autoSpaceDN w:val="0"/>
              <w:adjustRightInd w:val="0"/>
              <w:spacing w:after="0" w:line="132" w:lineRule="exact"/>
              <w:ind w:right="172"/>
              <w:jc w:val="right"/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</w:pPr>
            <w:r w:rsidRPr="0096278F">
              <w:rPr>
                <w:rFonts w:ascii="Book Antiqua" w:hAnsi="Book Antiqua" w:cs="Book Antiqua"/>
                <w:b/>
                <w:w w:val="125"/>
                <w:sz w:val="16"/>
                <w:szCs w:val="12"/>
              </w:rPr>
              <w:t>20</w:t>
            </w:r>
          </w:p>
        </w:tc>
      </w:tr>
    </w:tbl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28"/>
        <w:rPr>
          <w:rFonts w:ascii="Book Antiqua" w:hAnsi="Book Antiqua" w:cs="Book Antiqua"/>
          <w:b/>
          <w:w w:val="115"/>
          <w:sz w:val="16"/>
          <w:szCs w:val="12"/>
        </w:rPr>
      </w:pPr>
      <w:r w:rsidRPr="0096278F">
        <w:rPr>
          <w:rFonts w:ascii="Book Antiqua" w:hAnsi="Book Antiqua" w:cs="Book Antiqua"/>
          <w:b/>
          <w:w w:val="115"/>
          <w:position w:val="5"/>
          <w:sz w:val="13"/>
          <w:szCs w:val="9"/>
        </w:rPr>
        <w:t xml:space="preserve">a </w:t>
      </w:r>
      <w:r w:rsidRPr="0096278F">
        <w:rPr>
          <w:rFonts w:ascii="Book Antiqua" w:hAnsi="Book Antiqua" w:cs="Book Antiqua"/>
          <w:b/>
          <w:i/>
          <w:iCs/>
          <w:w w:val="115"/>
          <w:sz w:val="16"/>
          <w:szCs w:val="12"/>
        </w:rPr>
        <w:t xml:space="preserve">In vitro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 xml:space="preserve">and </w:t>
      </w:r>
      <w:r w:rsidRPr="0096278F">
        <w:rPr>
          <w:rFonts w:ascii="Book Antiqua" w:hAnsi="Book Antiqua" w:cs="Book Antiqua"/>
          <w:b/>
          <w:i/>
          <w:iCs/>
          <w:w w:val="115"/>
          <w:sz w:val="16"/>
          <w:szCs w:val="12"/>
        </w:rPr>
        <w:t xml:space="preserve">in vivo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estrogen equivalency factors expressed as ng L</w:t>
      </w:r>
      <w:r w:rsidRPr="0096278F">
        <w:rPr>
          <w:rFonts w:ascii="Lucida Sans Unicode" w:hAnsi="Lucida Sans Unicode" w:cs="Lucida Sans Unicode"/>
          <w:b/>
          <w:w w:val="115"/>
          <w:position w:val="5"/>
          <w:sz w:val="13"/>
          <w:szCs w:val="9"/>
        </w:rPr>
        <w:t>−</w:t>
      </w:r>
      <w:r w:rsidRPr="0096278F">
        <w:rPr>
          <w:rFonts w:ascii="Book Antiqua" w:hAnsi="Book Antiqua" w:cs="Book Antiqua"/>
          <w:b/>
          <w:w w:val="115"/>
          <w:position w:val="5"/>
          <w:sz w:val="13"/>
          <w:szCs w:val="9"/>
        </w:rPr>
        <w:t xml:space="preserve">1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relative to 17</w:t>
      </w:r>
      <w:r w:rsidRPr="0096278F">
        <w:rPr>
          <w:rFonts w:ascii="Century Gothic" w:hAnsi="Century Gothic" w:cs="Century Gothic"/>
          <w:b/>
          <w:i/>
          <w:iCs/>
          <w:w w:val="115"/>
          <w:sz w:val="16"/>
          <w:szCs w:val="12"/>
        </w:rPr>
        <w:t>!3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-estradiol.</w:t>
      </w:r>
    </w:p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before="16" w:after="0" w:line="240" w:lineRule="auto"/>
        <w:ind w:left="222"/>
        <w:rPr>
          <w:rFonts w:ascii="Book Antiqua" w:hAnsi="Book Antiqua" w:cs="Book Antiqua"/>
          <w:b/>
          <w:color w:val="000000"/>
          <w:w w:val="120"/>
          <w:sz w:val="16"/>
          <w:szCs w:val="12"/>
        </w:rPr>
      </w:pPr>
      <w:r w:rsidRPr="0096278F">
        <w:rPr>
          <w:rFonts w:ascii="Book Antiqua" w:hAnsi="Book Antiqua" w:cs="Book Antiqua"/>
          <w:b/>
          <w:w w:val="120"/>
          <w:position w:val="5"/>
          <w:sz w:val="13"/>
          <w:szCs w:val="9"/>
        </w:rPr>
        <w:t xml:space="preserve">b </w:t>
      </w:r>
      <w:r w:rsidRPr="0096278F">
        <w:rPr>
          <w:rFonts w:ascii="Book Antiqua" w:hAnsi="Book Antiqua" w:cs="Book Antiqua"/>
          <w:b/>
          <w:w w:val="120"/>
          <w:sz w:val="16"/>
          <w:szCs w:val="12"/>
        </w:rPr>
        <w:t xml:space="preserve">References for estrogen equivalency factors: (1) </w:t>
      </w:r>
      <w:r w:rsidRPr="0096278F">
        <w:rPr>
          <w:rFonts w:ascii="Book Antiqua" w:hAnsi="Book Antiqua" w:cs="Book Antiqua"/>
          <w:b/>
          <w:color w:val="000066"/>
          <w:w w:val="120"/>
          <w:sz w:val="16"/>
          <w:szCs w:val="12"/>
        </w:rPr>
        <w:t>Jobling and Sumpter (1993)</w:t>
      </w:r>
      <w:r w:rsidRPr="0096278F">
        <w:rPr>
          <w:rFonts w:ascii="Book Antiqua" w:hAnsi="Book Antiqua" w:cs="Book Antiqua"/>
          <w:b/>
          <w:color w:val="000000"/>
          <w:w w:val="120"/>
          <w:sz w:val="16"/>
          <w:szCs w:val="12"/>
        </w:rPr>
        <w:t xml:space="preserve">; (2) </w:t>
      </w:r>
      <w:r w:rsidRPr="0096278F">
        <w:rPr>
          <w:rFonts w:ascii="Book Antiqua" w:hAnsi="Book Antiqua" w:cs="Book Antiqua"/>
          <w:b/>
          <w:color w:val="000066"/>
          <w:w w:val="120"/>
          <w:sz w:val="16"/>
          <w:szCs w:val="12"/>
        </w:rPr>
        <w:t>Soto et al. (1995)</w:t>
      </w:r>
      <w:r w:rsidRPr="0096278F">
        <w:rPr>
          <w:rFonts w:ascii="Book Antiqua" w:hAnsi="Book Antiqua" w:cs="Book Antiqua"/>
          <w:b/>
          <w:color w:val="000000"/>
          <w:w w:val="120"/>
          <w:sz w:val="16"/>
          <w:szCs w:val="12"/>
        </w:rPr>
        <w:t xml:space="preserve">; (3) </w:t>
      </w:r>
      <w:r w:rsidRPr="0096278F">
        <w:rPr>
          <w:rFonts w:ascii="Book Antiqua" w:hAnsi="Book Antiqua" w:cs="Book Antiqua"/>
          <w:b/>
          <w:color w:val="000066"/>
          <w:w w:val="120"/>
          <w:sz w:val="16"/>
          <w:szCs w:val="12"/>
        </w:rPr>
        <w:t>Van Den Belt et al. (2004)</w:t>
      </w:r>
      <w:r w:rsidRPr="0096278F">
        <w:rPr>
          <w:rFonts w:ascii="Book Antiqua" w:hAnsi="Book Antiqua" w:cs="Book Antiqua"/>
          <w:b/>
          <w:color w:val="000000"/>
          <w:w w:val="120"/>
          <w:sz w:val="16"/>
          <w:szCs w:val="12"/>
        </w:rPr>
        <w:t xml:space="preserve">; (4) </w:t>
      </w:r>
      <w:r w:rsidRPr="0096278F">
        <w:rPr>
          <w:rFonts w:ascii="Book Antiqua" w:hAnsi="Book Antiqua" w:cs="Book Antiqua"/>
          <w:b/>
          <w:color w:val="000066"/>
          <w:w w:val="120"/>
          <w:sz w:val="16"/>
          <w:szCs w:val="12"/>
        </w:rPr>
        <w:t>Preuss et al. (2006)</w:t>
      </w:r>
      <w:r w:rsidRPr="0096278F">
        <w:rPr>
          <w:rFonts w:ascii="Book Antiqua" w:hAnsi="Book Antiqua" w:cs="Book Antiqua"/>
          <w:b/>
          <w:color w:val="000000"/>
          <w:w w:val="120"/>
          <w:sz w:val="16"/>
          <w:szCs w:val="12"/>
        </w:rPr>
        <w:t>.</w:t>
      </w:r>
    </w:p>
    <w:p w:rsidR="0096278F" w:rsidRPr="0096278F" w:rsidRDefault="0096278F" w:rsidP="0096278F">
      <w:pPr>
        <w:kinsoku w:val="0"/>
        <w:overflowPunct w:val="0"/>
        <w:autoSpaceDE w:val="0"/>
        <w:autoSpaceDN w:val="0"/>
        <w:adjustRightInd w:val="0"/>
        <w:spacing w:before="3" w:after="0" w:line="244" w:lineRule="auto"/>
        <w:ind w:left="106" w:firstLine="124"/>
        <w:rPr>
          <w:rFonts w:ascii="Book Antiqua" w:hAnsi="Book Antiqua" w:cs="Book Antiqua"/>
          <w:b/>
          <w:w w:val="115"/>
          <w:sz w:val="16"/>
          <w:szCs w:val="12"/>
        </w:rPr>
      </w:pPr>
      <w:r w:rsidRPr="0096278F">
        <w:rPr>
          <w:rFonts w:ascii="Book Antiqua" w:hAnsi="Book Antiqua" w:cs="Book Antiqua"/>
          <w:b/>
          <w:w w:val="115"/>
          <w:position w:val="5"/>
          <w:sz w:val="13"/>
          <w:szCs w:val="9"/>
        </w:rPr>
        <w:t xml:space="preserve">c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Estrogen equivalency quotient in ng 17</w:t>
      </w:r>
      <w:r w:rsidRPr="0096278F">
        <w:rPr>
          <w:rFonts w:ascii="Century Gothic" w:hAnsi="Century Gothic" w:cs="Century Gothic"/>
          <w:b/>
          <w:i/>
          <w:iCs/>
          <w:w w:val="115"/>
          <w:sz w:val="16"/>
          <w:szCs w:val="12"/>
        </w:rPr>
        <w:t>!3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-estradiol L</w:t>
      </w:r>
      <w:r w:rsidRPr="0096278F">
        <w:rPr>
          <w:rFonts w:ascii="Lucida Sans Unicode" w:hAnsi="Lucida Sans Unicode" w:cs="Lucida Sans Unicode"/>
          <w:b/>
          <w:w w:val="115"/>
          <w:position w:val="5"/>
          <w:sz w:val="13"/>
          <w:szCs w:val="9"/>
        </w:rPr>
        <w:t>−</w:t>
      </w:r>
      <w:r w:rsidRPr="0096278F">
        <w:rPr>
          <w:rFonts w:ascii="Book Antiqua" w:hAnsi="Book Antiqua" w:cs="Book Antiqua"/>
          <w:b/>
          <w:w w:val="115"/>
          <w:position w:val="5"/>
          <w:sz w:val="13"/>
          <w:szCs w:val="9"/>
        </w:rPr>
        <w:t xml:space="preserve">1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 xml:space="preserve">calculated by multiplying concentration of compound by the estradiol equivalency factor of the compound and summing. Concentrations reported are the mean </w:t>
      </w:r>
      <w:r w:rsidRPr="0096278F">
        <w:rPr>
          <w:rFonts w:ascii="Lucida Sans Unicode" w:hAnsi="Lucida Sans Unicode" w:cs="Lucida Sans Unicode"/>
          <w:b/>
          <w:w w:val="115"/>
          <w:sz w:val="16"/>
          <w:szCs w:val="12"/>
        </w:rPr>
        <w:t xml:space="preserve">± </w:t>
      </w:r>
      <w:r w:rsidRPr="0096278F">
        <w:rPr>
          <w:rFonts w:ascii="Book Antiqua" w:hAnsi="Book Antiqua" w:cs="Book Antiqua"/>
          <w:b/>
          <w:w w:val="115"/>
          <w:sz w:val="16"/>
          <w:szCs w:val="12"/>
        </w:rPr>
        <w:t>SD from 6 to 10 samples collected throughout the experiment.</w:t>
      </w:r>
    </w:p>
    <w:p w:rsidR="001262EE" w:rsidRDefault="0096278F"/>
    <w:sectPr w:rsidR="001262EE" w:rsidSect="0096278F">
      <w:pgSz w:w="15880" w:h="11910" w:orient="landscape"/>
      <w:pgMar w:top="0" w:right="1000" w:bottom="0" w:left="9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8F"/>
    <w:rsid w:val="005463C7"/>
    <w:rsid w:val="008A36E0"/>
    <w:rsid w:val="0096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B526A1C"/>
  <w15:chartTrackingRefBased/>
  <w15:docId w15:val="{0F827452-7E85-49C5-AD34-4FA185C6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627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62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1</cp:revision>
  <dcterms:created xsi:type="dcterms:W3CDTF">2017-11-17T13:41:00Z</dcterms:created>
  <dcterms:modified xsi:type="dcterms:W3CDTF">2017-11-17T13:45:00Z</dcterms:modified>
</cp:coreProperties>
</file>