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Default="00DE04B8" w:rsidP="004E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recent</w:t>
      </w:r>
      <w:r w:rsidR="004E7A76" w:rsidRPr="004E7A76">
        <w:rPr>
          <w:rFonts w:ascii="Times New Roman" w:hAnsi="Times New Roman" w:cs="Times New Roman"/>
          <w:sz w:val="24"/>
          <w:szCs w:val="18"/>
        </w:rPr>
        <w:t xml:space="preserve"> studies in Europe using a marine copepod (</w:t>
      </w:r>
      <w:r w:rsidR="004E7A76" w:rsidRPr="004E7A76">
        <w:rPr>
          <w:rFonts w:ascii="Times New Roman" w:hAnsi="Times New Roman" w:cs="Times New Roman"/>
          <w:i/>
          <w:iCs/>
          <w:sz w:val="24"/>
          <w:szCs w:val="18"/>
        </w:rPr>
        <w:t xml:space="preserve">Tisbe battagliai </w:t>
      </w:r>
      <w:r w:rsidR="004E7A76">
        <w:rPr>
          <w:rFonts w:ascii="Times New Roman" w:hAnsi="Times New Roman" w:cs="Times New Roman"/>
          <w:sz w:val="24"/>
          <w:szCs w:val="18"/>
        </w:rPr>
        <w:t xml:space="preserve">) life-cycle test have </w:t>
      </w:r>
      <w:r w:rsidR="004E7A76" w:rsidRPr="004E7A76">
        <w:rPr>
          <w:rFonts w:ascii="Times New Roman" w:hAnsi="Times New Roman" w:cs="Times New Roman"/>
          <w:sz w:val="24"/>
          <w:szCs w:val="18"/>
        </w:rPr>
        <w:t>evaluated ecdysteroid agonists (e.g. 20-hydroxyecdysone), oestrogen agonists (e.g. diethylstilbestrol (DES), 17_-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4E7A76" w:rsidRPr="004E7A76">
        <w:rPr>
          <w:rFonts w:ascii="Times New Roman" w:hAnsi="Times New Roman" w:cs="Times New Roman"/>
          <w:sz w:val="24"/>
          <w:szCs w:val="18"/>
        </w:rPr>
        <w:t>oestradiol, oestrone and 17_-ethynylestradiol) and the pharmaceutical anti-oestrogen (ZM189,</w:t>
      </w:r>
      <w:r w:rsidR="004E7A76">
        <w:rPr>
          <w:rFonts w:ascii="Times New Roman" w:hAnsi="Times New Roman" w:cs="Times New Roman"/>
          <w:sz w:val="24"/>
          <w:szCs w:val="18"/>
        </w:rPr>
        <w:t xml:space="preserve"> 154</w:t>
      </w:r>
      <w:r w:rsidR="004E7A76" w:rsidRPr="00DE04B8">
        <w:rPr>
          <w:rFonts w:ascii="Times New Roman" w:hAnsi="Times New Roman" w:cs="Times New Roman"/>
          <w:b/>
          <w:sz w:val="24"/>
          <w:szCs w:val="18"/>
        </w:rPr>
        <w:t>). While 20-hydroxyecdysone and DES were highly toxic, the other compounds tested show no significant toxicity to copepods</w:t>
      </w:r>
      <w:r w:rsidR="004E7A76">
        <w:rPr>
          <w:rFonts w:ascii="Times New Roman" w:hAnsi="Times New Roman" w:cs="Times New Roman"/>
          <w:sz w:val="24"/>
          <w:szCs w:val="18"/>
        </w:rPr>
        <w:t xml:space="preserve">. </w:t>
      </w:r>
      <w:r w:rsidR="004E7A76" w:rsidRPr="004E7A76">
        <w:rPr>
          <w:rFonts w:ascii="Times New Roman" w:hAnsi="Times New Roman" w:cs="Times New Roman"/>
          <w:sz w:val="24"/>
          <w:szCs w:val="18"/>
        </w:rPr>
        <w:t>Furthermore, in vitro studies indicate that these environmental EDCs and several rela</w:t>
      </w:r>
      <w:r w:rsidR="004E7A76">
        <w:rPr>
          <w:rFonts w:ascii="Times New Roman" w:hAnsi="Times New Roman" w:cs="Times New Roman"/>
          <w:sz w:val="24"/>
          <w:szCs w:val="18"/>
        </w:rPr>
        <w:t xml:space="preserve">ted APIs are not active against the ecdysteroid receptor. </w:t>
      </w:r>
      <w:r w:rsidR="004E7A76" w:rsidRPr="004E7A76">
        <w:rPr>
          <w:rFonts w:ascii="Times New Roman" w:hAnsi="Times New Roman" w:cs="Times New Roman"/>
          <w:sz w:val="24"/>
          <w:szCs w:val="18"/>
        </w:rPr>
        <w:t xml:space="preserve">Therefore, </w:t>
      </w:r>
      <w:r w:rsidR="004E7A76" w:rsidRPr="00DE04B8">
        <w:rPr>
          <w:rFonts w:ascii="Times New Roman" w:hAnsi="Times New Roman" w:cs="Times New Roman"/>
          <w:b/>
          <w:sz w:val="24"/>
          <w:szCs w:val="18"/>
        </w:rPr>
        <w:t>other undefined modes of action appear to be responsible for crustacean toxicity</w:t>
      </w:r>
      <w:r w:rsidRPr="00DE04B8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4E7A76" w:rsidRPr="00DE04B8">
        <w:rPr>
          <w:rFonts w:ascii="Times New Roman" w:hAnsi="Times New Roman" w:cs="Times New Roman"/>
          <w:b/>
          <w:sz w:val="24"/>
          <w:szCs w:val="18"/>
        </w:rPr>
        <w:t xml:space="preserve">in vivo </w:t>
      </w:r>
      <w:r w:rsidR="004E7A76" w:rsidRPr="004E7A76">
        <w:rPr>
          <w:rFonts w:ascii="Times New Roman" w:hAnsi="Times New Roman" w:cs="Times New Roman"/>
          <w:sz w:val="24"/>
          <w:szCs w:val="18"/>
        </w:rPr>
        <w:t>and caution should be exercised before ascribing any apical effects to endo</w:t>
      </w:r>
      <w:r w:rsidR="004E7A76">
        <w:rPr>
          <w:rFonts w:ascii="Times New Roman" w:hAnsi="Times New Roman" w:cs="Times New Roman"/>
          <w:sz w:val="24"/>
          <w:szCs w:val="18"/>
        </w:rPr>
        <w:t xml:space="preserve">genous endocrine mechanisms, or </w:t>
      </w:r>
      <w:r w:rsidR="004E7A76" w:rsidRPr="004E7A76">
        <w:rPr>
          <w:rFonts w:ascii="Times New Roman" w:hAnsi="Times New Roman" w:cs="Times New Roman"/>
          <w:sz w:val="24"/>
          <w:szCs w:val="18"/>
        </w:rPr>
        <w:t>before crustacean ‘EDC’ data are extrapolated to other invertebrate taxa.</w:t>
      </w:r>
    </w:p>
    <w:p w:rsidR="00DE04B8" w:rsidRDefault="00DE04B8" w:rsidP="00DE0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 w:rsidRPr="00DE04B8">
        <w:rPr>
          <w:rFonts w:ascii="Times New Roman" w:hAnsi="Times New Roman" w:cs="Times New Roman"/>
          <w:sz w:val="24"/>
          <w:szCs w:val="18"/>
        </w:rPr>
        <w:t>For poten</w:t>
      </w:r>
      <w:r>
        <w:rPr>
          <w:rFonts w:ascii="Times New Roman" w:hAnsi="Times New Roman" w:cs="Times New Roman"/>
          <w:sz w:val="24"/>
          <w:szCs w:val="18"/>
        </w:rPr>
        <w:t xml:space="preserve">tial EDCs, including a minority </w:t>
      </w:r>
      <w:r w:rsidRPr="00DE04B8">
        <w:rPr>
          <w:rFonts w:ascii="Times New Roman" w:hAnsi="Times New Roman" w:cs="Times New Roman"/>
          <w:sz w:val="24"/>
          <w:szCs w:val="18"/>
        </w:rPr>
        <w:t>of APIs, such extra</w:t>
      </w:r>
      <w:r>
        <w:rPr>
          <w:rFonts w:ascii="Times New Roman" w:hAnsi="Times New Roman" w:cs="Times New Roman"/>
          <w:sz w:val="24"/>
          <w:szCs w:val="18"/>
        </w:rPr>
        <w:t xml:space="preserve">polation will be most effective </w:t>
      </w:r>
      <w:r w:rsidRPr="00DE04B8">
        <w:rPr>
          <w:rFonts w:ascii="Times New Roman" w:hAnsi="Times New Roman" w:cs="Times New Roman"/>
          <w:sz w:val="24"/>
          <w:szCs w:val="18"/>
        </w:rPr>
        <w:t>if there ar</w:t>
      </w:r>
      <w:r>
        <w:rPr>
          <w:rFonts w:ascii="Times New Roman" w:hAnsi="Times New Roman" w:cs="Times New Roman"/>
          <w:sz w:val="24"/>
          <w:szCs w:val="18"/>
        </w:rPr>
        <w:t xml:space="preserve">e robust chronic test protocols </w:t>
      </w:r>
      <w:r w:rsidRPr="00DE04B8">
        <w:rPr>
          <w:rFonts w:ascii="Times New Roman" w:hAnsi="Times New Roman" w:cs="Times New Roman"/>
          <w:sz w:val="24"/>
          <w:szCs w:val="18"/>
        </w:rPr>
        <w:t>available using a va</w:t>
      </w:r>
      <w:r>
        <w:rPr>
          <w:rFonts w:ascii="Times New Roman" w:hAnsi="Times New Roman" w:cs="Times New Roman"/>
          <w:sz w:val="24"/>
          <w:szCs w:val="18"/>
        </w:rPr>
        <w:t xml:space="preserve">riety of species that encompass the </w:t>
      </w:r>
      <w:r w:rsidRPr="00DE04B8">
        <w:rPr>
          <w:rFonts w:ascii="Times New Roman" w:hAnsi="Times New Roman" w:cs="Times New Roman"/>
          <w:sz w:val="24"/>
          <w:szCs w:val="18"/>
        </w:rPr>
        <w:t>reproductive e</w:t>
      </w:r>
      <w:r>
        <w:rPr>
          <w:rFonts w:ascii="Times New Roman" w:hAnsi="Times New Roman" w:cs="Times New Roman"/>
          <w:sz w:val="24"/>
          <w:szCs w:val="18"/>
        </w:rPr>
        <w:t xml:space="preserve">ndocrine systems present in the </w:t>
      </w:r>
      <w:r w:rsidRPr="00DE04B8">
        <w:rPr>
          <w:rFonts w:ascii="Times New Roman" w:hAnsi="Times New Roman" w:cs="Times New Roman"/>
          <w:sz w:val="24"/>
          <w:szCs w:val="18"/>
        </w:rPr>
        <w:t>invertebrate fauna (Hutchinson et al., 2000).</w:t>
      </w:r>
    </w:p>
    <w:p w:rsidR="00DE04B8" w:rsidRPr="00DE04B8" w:rsidRDefault="00DE04B8" w:rsidP="00DE0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 w:rsidRPr="00DE04B8">
        <w:rPr>
          <w:rFonts w:ascii="Times New Roman" w:hAnsi="Times New Roman" w:cs="Times New Roman"/>
          <w:sz w:val="24"/>
          <w:szCs w:val="18"/>
        </w:rPr>
        <w:t>In t</w:t>
      </w:r>
      <w:r>
        <w:rPr>
          <w:rFonts w:ascii="Times New Roman" w:hAnsi="Times New Roman" w:cs="Times New Roman"/>
          <w:sz w:val="24"/>
          <w:szCs w:val="18"/>
        </w:rPr>
        <w:t xml:space="preserve">he long-term, a MOA approach to </w:t>
      </w:r>
      <w:r w:rsidRPr="00DE04B8">
        <w:rPr>
          <w:rFonts w:ascii="Times New Roman" w:hAnsi="Times New Roman" w:cs="Times New Roman"/>
          <w:sz w:val="24"/>
          <w:szCs w:val="18"/>
        </w:rPr>
        <w:t xml:space="preserve">species selection </w:t>
      </w:r>
      <w:r>
        <w:rPr>
          <w:rFonts w:ascii="Times New Roman" w:hAnsi="Times New Roman" w:cs="Times New Roman"/>
          <w:sz w:val="24"/>
          <w:szCs w:val="18"/>
        </w:rPr>
        <w:t xml:space="preserve">for API testing is likely to be </w:t>
      </w:r>
      <w:r w:rsidRPr="00DE04B8">
        <w:rPr>
          <w:rFonts w:ascii="Times New Roman" w:hAnsi="Times New Roman" w:cs="Times New Roman"/>
          <w:sz w:val="24"/>
          <w:szCs w:val="18"/>
        </w:rPr>
        <w:t>more cost-effe</w:t>
      </w:r>
      <w:r>
        <w:rPr>
          <w:rFonts w:ascii="Times New Roman" w:hAnsi="Times New Roman" w:cs="Times New Roman"/>
          <w:sz w:val="24"/>
          <w:szCs w:val="18"/>
        </w:rPr>
        <w:t xml:space="preserve">ctive and may also have ethical </w:t>
      </w:r>
      <w:r w:rsidRPr="00DE04B8">
        <w:rPr>
          <w:rFonts w:ascii="Times New Roman" w:hAnsi="Times New Roman" w:cs="Times New Roman"/>
          <w:sz w:val="24"/>
          <w:szCs w:val="18"/>
        </w:rPr>
        <w:t>benefits in reducing the need for vertebrate tests</w:t>
      </w:r>
    </w:p>
    <w:p w:rsidR="00DE04B8" w:rsidRPr="004E7A76" w:rsidRDefault="00DE04B8" w:rsidP="00DE04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 w:rsidRPr="00DE04B8">
        <w:rPr>
          <w:rFonts w:ascii="Times New Roman" w:hAnsi="Times New Roman" w:cs="Times New Roman"/>
          <w:sz w:val="24"/>
          <w:szCs w:val="18"/>
        </w:rPr>
        <w:t>(Vogel et al., 19</w:t>
      </w:r>
      <w:r>
        <w:rPr>
          <w:rFonts w:ascii="Times New Roman" w:hAnsi="Times New Roman" w:cs="Times New Roman"/>
          <w:sz w:val="24"/>
          <w:szCs w:val="18"/>
        </w:rPr>
        <w:t xml:space="preserve">95). More specifically, for the </w:t>
      </w:r>
      <w:r w:rsidRPr="00DE04B8">
        <w:rPr>
          <w:rFonts w:ascii="Times New Roman" w:hAnsi="Times New Roman" w:cs="Times New Roman"/>
          <w:sz w:val="24"/>
          <w:szCs w:val="18"/>
        </w:rPr>
        <w:t>environmental asses</w:t>
      </w:r>
      <w:r>
        <w:rPr>
          <w:rFonts w:ascii="Times New Roman" w:hAnsi="Times New Roman" w:cs="Times New Roman"/>
          <w:sz w:val="24"/>
          <w:szCs w:val="18"/>
        </w:rPr>
        <w:t xml:space="preserve">sment of potential invertebrate </w:t>
      </w:r>
      <w:r w:rsidRPr="00DE04B8">
        <w:rPr>
          <w:rFonts w:ascii="Times New Roman" w:hAnsi="Times New Roman" w:cs="Times New Roman"/>
          <w:sz w:val="24"/>
          <w:szCs w:val="18"/>
        </w:rPr>
        <w:t>EDCs, inclu</w:t>
      </w:r>
      <w:r>
        <w:rPr>
          <w:rFonts w:ascii="Times New Roman" w:hAnsi="Times New Roman" w:cs="Times New Roman"/>
          <w:sz w:val="24"/>
          <w:szCs w:val="18"/>
        </w:rPr>
        <w:t xml:space="preserve">ding neuroendocrine disrupters, </w:t>
      </w:r>
      <w:r w:rsidRPr="00DE04B8">
        <w:rPr>
          <w:rFonts w:ascii="Times New Roman" w:hAnsi="Times New Roman" w:cs="Times New Roman"/>
          <w:sz w:val="24"/>
          <w:szCs w:val="18"/>
        </w:rPr>
        <w:t xml:space="preserve">it is recommended </w:t>
      </w:r>
      <w:r>
        <w:rPr>
          <w:rFonts w:ascii="Times New Roman" w:hAnsi="Times New Roman" w:cs="Times New Roman"/>
          <w:sz w:val="24"/>
          <w:szCs w:val="18"/>
        </w:rPr>
        <w:t xml:space="preserve">that attention be given to: (1) </w:t>
      </w:r>
      <w:r w:rsidRPr="00DE04B8">
        <w:rPr>
          <w:rFonts w:ascii="Times New Roman" w:hAnsi="Times New Roman" w:cs="Times New Roman"/>
          <w:sz w:val="24"/>
          <w:szCs w:val="18"/>
        </w:rPr>
        <w:t>using reference compoun</w:t>
      </w:r>
      <w:r>
        <w:rPr>
          <w:rFonts w:ascii="Times New Roman" w:hAnsi="Times New Roman" w:cs="Times New Roman"/>
          <w:sz w:val="24"/>
          <w:szCs w:val="18"/>
        </w:rPr>
        <w:t xml:space="preserve">ds to validate new invertebrate </w:t>
      </w:r>
      <w:r w:rsidRPr="00DE04B8">
        <w:rPr>
          <w:rFonts w:ascii="Times New Roman" w:hAnsi="Times New Roman" w:cs="Times New Roman"/>
          <w:sz w:val="24"/>
          <w:szCs w:val="18"/>
        </w:rPr>
        <w:t>tests meth</w:t>
      </w:r>
      <w:r>
        <w:rPr>
          <w:rFonts w:ascii="Times New Roman" w:hAnsi="Times New Roman" w:cs="Times New Roman"/>
          <w:sz w:val="24"/>
          <w:szCs w:val="18"/>
        </w:rPr>
        <w:t xml:space="preserve">ods and effect endpoints (Table </w:t>
      </w:r>
      <w:r w:rsidRPr="00DE04B8">
        <w:rPr>
          <w:rFonts w:ascii="Times New Roman" w:hAnsi="Times New Roman" w:cs="Times New Roman"/>
          <w:sz w:val="24"/>
          <w:szCs w:val="18"/>
        </w:rPr>
        <w:t xml:space="preserve">1); (2) evaluating in </w:t>
      </w:r>
      <w:r>
        <w:rPr>
          <w:rFonts w:ascii="Times New Roman" w:hAnsi="Times New Roman" w:cs="Times New Roman"/>
          <w:sz w:val="24"/>
          <w:szCs w:val="18"/>
        </w:rPr>
        <w:t xml:space="preserve">vitro data from both mammalian- type and arthropod hormone receptor </w:t>
      </w:r>
      <w:r w:rsidRPr="00DE04B8">
        <w:rPr>
          <w:rFonts w:ascii="Times New Roman" w:hAnsi="Times New Roman" w:cs="Times New Roman"/>
          <w:sz w:val="24"/>
          <w:szCs w:val="18"/>
        </w:rPr>
        <w:t>binding assays; (3) uti</w:t>
      </w:r>
      <w:r>
        <w:rPr>
          <w:rFonts w:ascii="Times New Roman" w:hAnsi="Times New Roman" w:cs="Times New Roman"/>
          <w:sz w:val="24"/>
          <w:szCs w:val="18"/>
        </w:rPr>
        <w:t xml:space="preserve">lising small-scale test methods </w:t>
      </w:r>
      <w:r w:rsidRPr="00DE04B8">
        <w:rPr>
          <w:rFonts w:ascii="Times New Roman" w:hAnsi="Times New Roman" w:cs="Times New Roman"/>
          <w:sz w:val="24"/>
          <w:szCs w:val="18"/>
        </w:rPr>
        <w:t>which do not gene</w:t>
      </w:r>
      <w:r>
        <w:rPr>
          <w:rFonts w:ascii="Times New Roman" w:hAnsi="Times New Roman" w:cs="Times New Roman"/>
          <w:sz w:val="24"/>
          <w:szCs w:val="18"/>
        </w:rPr>
        <w:t xml:space="preserve">rate effluent handling problems </w:t>
      </w:r>
      <w:r w:rsidRPr="00DE04B8">
        <w:rPr>
          <w:rFonts w:ascii="Times New Roman" w:hAnsi="Times New Roman" w:cs="Times New Roman"/>
          <w:sz w:val="24"/>
          <w:szCs w:val="18"/>
        </w:rPr>
        <w:t>or use large quantities of A</w:t>
      </w:r>
      <w:r>
        <w:rPr>
          <w:rFonts w:ascii="Times New Roman" w:hAnsi="Times New Roman" w:cs="Times New Roman"/>
          <w:sz w:val="24"/>
          <w:szCs w:val="18"/>
        </w:rPr>
        <w:t xml:space="preserve">PIs; (4) using </w:t>
      </w:r>
      <w:r w:rsidRPr="00DE04B8">
        <w:rPr>
          <w:rFonts w:ascii="Times New Roman" w:hAnsi="Times New Roman" w:cs="Times New Roman"/>
          <w:sz w:val="24"/>
          <w:szCs w:val="18"/>
        </w:rPr>
        <w:t>environmentally r</w:t>
      </w:r>
      <w:r>
        <w:rPr>
          <w:rFonts w:ascii="Times New Roman" w:hAnsi="Times New Roman" w:cs="Times New Roman"/>
          <w:sz w:val="24"/>
          <w:szCs w:val="18"/>
        </w:rPr>
        <w:t xml:space="preserve">elevant test concentrations and </w:t>
      </w:r>
      <w:r w:rsidRPr="00DE04B8">
        <w:rPr>
          <w:rFonts w:ascii="Times New Roman" w:hAnsi="Times New Roman" w:cs="Times New Roman"/>
          <w:sz w:val="24"/>
          <w:szCs w:val="18"/>
        </w:rPr>
        <w:t>exposure routes</w:t>
      </w:r>
      <w:r>
        <w:rPr>
          <w:rFonts w:ascii="Times New Roman" w:hAnsi="Times New Roman" w:cs="Times New Roman"/>
          <w:sz w:val="24"/>
          <w:szCs w:val="18"/>
        </w:rPr>
        <w:t xml:space="preserve">, including supporting chemical analyses; (5) considering improved test methods </w:t>
      </w:r>
      <w:r w:rsidRPr="00DE04B8">
        <w:rPr>
          <w:rFonts w:ascii="Times New Roman" w:hAnsi="Times New Roman" w:cs="Times New Roman"/>
          <w:sz w:val="24"/>
          <w:szCs w:val="18"/>
        </w:rPr>
        <w:t>using species for whi</w:t>
      </w:r>
      <w:r>
        <w:rPr>
          <w:rFonts w:ascii="Times New Roman" w:hAnsi="Times New Roman" w:cs="Times New Roman"/>
          <w:sz w:val="24"/>
          <w:szCs w:val="18"/>
        </w:rPr>
        <w:t xml:space="preserve">ch molecular tools are becoming </w:t>
      </w:r>
      <w:bookmarkStart w:id="0" w:name="_GoBack"/>
      <w:bookmarkEnd w:id="0"/>
      <w:r w:rsidRPr="00DE04B8">
        <w:rPr>
          <w:rFonts w:ascii="Times New Roman" w:hAnsi="Times New Roman" w:cs="Times New Roman"/>
          <w:sz w:val="24"/>
          <w:szCs w:val="18"/>
        </w:rPr>
        <w:t>available (e.g. the nematode C. elegans).</w:t>
      </w:r>
    </w:p>
    <w:sectPr w:rsidR="00DE04B8" w:rsidRPr="004E7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A76" w:rsidRDefault="004E7A76" w:rsidP="004E7A76">
      <w:pPr>
        <w:spacing w:after="0" w:line="240" w:lineRule="auto"/>
      </w:pPr>
      <w:r>
        <w:separator/>
      </w:r>
    </w:p>
  </w:endnote>
  <w:end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A76" w:rsidRDefault="004E7A76" w:rsidP="004E7A76">
      <w:pPr>
        <w:spacing w:after="0" w:line="240" w:lineRule="auto"/>
      </w:pPr>
      <w:r>
        <w:separator/>
      </w:r>
    </w:p>
  </w:footnote>
  <w:foot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B6"/>
    <w:rsid w:val="001E14B6"/>
    <w:rsid w:val="004E7A76"/>
    <w:rsid w:val="005463C7"/>
    <w:rsid w:val="008A36E0"/>
    <w:rsid w:val="00D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FBC27"/>
  <w15:chartTrackingRefBased/>
  <w15:docId w15:val="{2305C1A5-339E-473F-A9AC-54D1ED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A76"/>
  </w:style>
  <w:style w:type="paragraph" w:styleId="Footer">
    <w:name w:val="footer"/>
    <w:basedOn w:val="Normal"/>
    <w:link w:val="Foot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3</cp:revision>
  <dcterms:created xsi:type="dcterms:W3CDTF">2017-09-15T14:02:00Z</dcterms:created>
  <dcterms:modified xsi:type="dcterms:W3CDTF">2017-10-16T19:14:00Z</dcterms:modified>
</cp:coreProperties>
</file>