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BD" w:rsidRDefault="00B87FBD" w:rsidP="00B87FBD">
      <w:pPr>
        <w:spacing w:line="480" w:lineRule="auto"/>
      </w:pPr>
      <w:r w:rsidRPr="00B87FBD">
        <w:t xml:space="preserve">A liquid chromatography-tandem mass spectrometry (LC-MS/MS) screening method has been developed targeting 23 pharmaceuticals and 2 metabolites with differing physicochemical properties in fish tissue. Reversed-phase separation of target compounds was achieved using a C18 column and a nonlinear gradient consisting of 0.1% (v/v) formic acid and methanol. Eluted analytes were introduced into the mass analyzer using positive or negative electrospray ionization, as appropriate. A variety of extraction solvents, differing in polarity, pH, or both, were investigated </w:t>
      </w:r>
      <w:proofErr w:type="gramStart"/>
      <w:r w:rsidRPr="00B87FBD">
        <w:t>in order to</w:t>
      </w:r>
      <w:proofErr w:type="gramEnd"/>
      <w:r w:rsidRPr="00B87FBD">
        <w:t xml:space="preserve"> assess recovery of target compounds from 1-g tissue homogenates. Among 10 solvents tested, a 1:1 mixture of 0.1 M aqueous acetic acid (pH 4) and methanol was identified as optimal, resulting in extraction recoveries for 24 of 25 compounds exceeding 60%. Tissue extracts were found to influence the LC-MS/MS response for several analytes. Consequently, matrix-matched calibration standards were employed to determine analyte concentrations in environmental samples. Statistically derived method detection limits were</w:t>
      </w:r>
      <w:r>
        <w:t xml:space="preserve"> &lt;6</w:t>
      </w:r>
      <w:r>
        <w:t>ng/g fo</w:t>
      </w:r>
      <w:r>
        <w:t xml:space="preserve">r most analytes. The method was </w:t>
      </w:r>
      <w:r>
        <w:t>subsequently used to scr</w:t>
      </w:r>
      <w:r>
        <w:t xml:space="preserve">een for target analytes in fish </w:t>
      </w:r>
      <w:r>
        <w:t>from an effluent-dom</w:t>
      </w:r>
      <w:r>
        <w:t xml:space="preserve">inated stream. Diphenhydramine, </w:t>
      </w:r>
      <w:r>
        <w:t xml:space="preserve">diltiazem, carbamazepine, </w:t>
      </w:r>
      <w:r>
        <w:t xml:space="preserve">and norfluoxetine were detected </w:t>
      </w:r>
      <w:r>
        <w:t>in 11 of 11 environm</w:t>
      </w:r>
      <w:r>
        <w:t xml:space="preserve">ental samples at concentrations </w:t>
      </w:r>
      <w:r>
        <w:t>ranging from 0.11 to 5.14 ng/g</w:t>
      </w:r>
    </w:p>
    <w:p w:rsidR="001262EE" w:rsidRDefault="00B87FBD" w:rsidP="00B87FBD">
      <w:pPr>
        <w:spacing w:line="480" w:lineRule="auto"/>
      </w:pPr>
      <w:r>
        <w:t>Presumably, isotop</w:t>
      </w:r>
      <w:r>
        <w:t xml:space="preserve">e effects were not observed for </w:t>
      </w:r>
      <w:r>
        <w:t>acetaminophen (peaks 1 and 2</w:t>
      </w:r>
      <w:r>
        <w:t xml:space="preserve">) and diphenhydramine (peaks 15 </w:t>
      </w:r>
      <w:r>
        <w:t>and 16) due to a lower degre</w:t>
      </w:r>
      <w:r>
        <w:t xml:space="preserve">e of deuterium substitution and </w:t>
      </w:r>
      <w:r>
        <w:t>decreased resolution at shorter retention times</w:t>
      </w:r>
      <w:r>
        <w:t xml:space="preserve">. </w:t>
      </w:r>
      <w:r>
        <w:t>As expected, the degree of m</w:t>
      </w:r>
      <w:r>
        <w:t xml:space="preserve">atrix interference was found to </w:t>
      </w:r>
      <w:r>
        <w:t>depend on both analyte and extraction solven</w:t>
      </w:r>
      <w:r>
        <w:t>t.</w:t>
      </w:r>
      <w:bookmarkStart w:id="0" w:name="_GoBack"/>
      <w:bookmarkEnd w:id="0"/>
    </w:p>
    <w:sectPr w:rsidR="00126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FBD"/>
    <w:rsid w:val="005463C7"/>
    <w:rsid w:val="008A36E0"/>
    <w:rsid w:val="00B8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DA6CA"/>
  <w15:chartTrackingRefBased/>
  <w15:docId w15:val="{F5E9A89B-D155-4853-8212-0F6A3E07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2</cp:revision>
  <dcterms:created xsi:type="dcterms:W3CDTF">2017-09-15T12:16:00Z</dcterms:created>
  <dcterms:modified xsi:type="dcterms:W3CDTF">2017-09-15T12:16:00Z</dcterms:modified>
</cp:coreProperties>
</file>