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25F" w:rsidRPr="00B3725F" w:rsidRDefault="00B3725F" w:rsidP="00B3725F">
      <w:pPr>
        <w:spacing w:before="240" w:after="288" w:line="240" w:lineRule="auto"/>
        <w:rPr>
          <w:rFonts w:ascii="Georgia" w:eastAsia="Times New Roman" w:hAnsi="Georgia" w:cs="Times New Roman"/>
          <w:spacing w:val="1"/>
          <w:sz w:val="24"/>
          <w:szCs w:val="24"/>
          <w:lang w:val="en-GB"/>
        </w:rPr>
      </w:pPr>
      <w:r w:rsidRPr="00B3725F">
        <w:rPr>
          <w:rFonts w:ascii="Georgia" w:eastAsia="Times New Roman" w:hAnsi="Georgia" w:cs="Times New Roman"/>
          <w:spacing w:val="1"/>
          <w:sz w:val="24"/>
          <w:szCs w:val="24"/>
          <w:lang w:val="en-GB"/>
        </w:rPr>
        <w:t>Carbamazepine (CBZ) is a representative of a group of compounds found in our rivers that have been classified as upcoming contaminants. Its pharmacological activity to treat mood and neurological disorders is based on its effects on ion channels, but effects on aquatic organisms have not yet been thoroughly investigated.</w:t>
      </w:r>
    </w:p>
    <w:p w:rsidR="00B3725F" w:rsidRPr="00B3725F" w:rsidRDefault="00B3725F" w:rsidP="00B3725F">
      <w:pPr>
        <w:spacing w:before="240" w:after="288" w:line="240" w:lineRule="auto"/>
        <w:rPr>
          <w:rFonts w:ascii="Georgia" w:eastAsia="Times New Roman" w:hAnsi="Georgia" w:cs="Times New Roman"/>
          <w:spacing w:val="1"/>
          <w:sz w:val="24"/>
          <w:szCs w:val="24"/>
          <w:lang w:val="en-GB"/>
        </w:rPr>
      </w:pPr>
      <w:r w:rsidRPr="00B3725F">
        <w:rPr>
          <w:rFonts w:ascii="Georgia" w:eastAsia="Times New Roman" w:hAnsi="Georgia" w:cs="Times New Roman"/>
          <w:spacing w:val="1"/>
          <w:sz w:val="24"/>
          <w:szCs w:val="24"/>
          <w:lang w:val="en-GB"/>
        </w:rPr>
        <w:t xml:space="preserve">In our initial analysis, we compared CBZ effects on two microalgae species differing in CBZ sensitivity: </w:t>
      </w:r>
      <w:proofErr w:type="spellStart"/>
      <w:r w:rsidRPr="00B3725F">
        <w:rPr>
          <w:rFonts w:ascii="Georgia" w:eastAsia="Times New Roman" w:hAnsi="Georgia" w:cs="Times New Roman"/>
          <w:i/>
          <w:iCs/>
          <w:spacing w:val="1"/>
          <w:sz w:val="24"/>
          <w:szCs w:val="24"/>
          <w:lang w:val="en-GB"/>
        </w:rPr>
        <w:t>Parachlorella</w:t>
      </w:r>
      <w:proofErr w:type="spellEnd"/>
      <w:r w:rsidRPr="00B3725F">
        <w:rPr>
          <w:rFonts w:ascii="Georgia" w:eastAsia="Times New Roman" w:hAnsi="Georgia" w:cs="Times New Roman"/>
          <w:i/>
          <w:iCs/>
          <w:spacing w:val="1"/>
          <w:sz w:val="24"/>
          <w:szCs w:val="24"/>
          <w:lang w:val="en-GB"/>
        </w:rPr>
        <w:t xml:space="preserve"> </w:t>
      </w:r>
      <w:proofErr w:type="spellStart"/>
      <w:r w:rsidRPr="00B3725F">
        <w:rPr>
          <w:rFonts w:ascii="Georgia" w:eastAsia="Times New Roman" w:hAnsi="Georgia" w:cs="Times New Roman"/>
          <w:i/>
          <w:iCs/>
          <w:spacing w:val="1"/>
          <w:sz w:val="24"/>
          <w:szCs w:val="24"/>
          <w:lang w:val="en-GB"/>
        </w:rPr>
        <w:t>kessleri</w:t>
      </w:r>
      <w:proofErr w:type="spellEnd"/>
      <w:r w:rsidRPr="00B3725F">
        <w:rPr>
          <w:rFonts w:ascii="Georgia" w:eastAsia="Times New Roman" w:hAnsi="Georgia" w:cs="Times New Roman"/>
          <w:spacing w:val="1"/>
          <w:sz w:val="24"/>
          <w:szCs w:val="24"/>
          <w:lang w:val="en-GB"/>
        </w:rPr>
        <w:t xml:space="preserve"> and </w:t>
      </w:r>
      <w:proofErr w:type="spellStart"/>
      <w:r w:rsidRPr="00B3725F">
        <w:rPr>
          <w:rFonts w:ascii="Georgia" w:eastAsia="Times New Roman" w:hAnsi="Georgia" w:cs="Times New Roman"/>
          <w:i/>
          <w:iCs/>
          <w:spacing w:val="1"/>
          <w:sz w:val="24"/>
          <w:szCs w:val="24"/>
          <w:lang w:val="en-GB"/>
        </w:rPr>
        <w:t>Neochloris</w:t>
      </w:r>
      <w:proofErr w:type="spellEnd"/>
      <w:r w:rsidRPr="00B3725F">
        <w:rPr>
          <w:rFonts w:ascii="Georgia" w:eastAsia="Times New Roman" w:hAnsi="Georgia" w:cs="Times New Roman"/>
          <w:i/>
          <w:iCs/>
          <w:spacing w:val="1"/>
          <w:sz w:val="24"/>
          <w:szCs w:val="24"/>
          <w:lang w:val="en-GB"/>
        </w:rPr>
        <w:t xml:space="preserve"> </w:t>
      </w:r>
      <w:proofErr w:type="spellStart"/>
      <w:r w:rsidRPr="00B3725F">
        <w:rPr>
          <w:rFonts w:ascii="Georgia" w:eastAsia="Times New Roman" w:hAnsi="Georgia" w:cs="Times New Roman"/>
          <w:i/>
          <w:iCs/>
          <w:spacing w:val="1"/>
          <w:sz w:val="24"/>
          <w:szCs w:val="24"/>
          <w:lang w:val="en-GB"/>
        </w:rPr>
        <w:t>pseudoalveolaris</w:t>
      </w:r>
      <w:proofErr w:type="spellEnd"/>
      <w:r w:rsidRPr="00B3725F">
        <w:rPr>
          <w:rFonts w:ascii="Georgia" w:eastAsia="Times New Roman" w:hAnsi="Georgia" w:cs="Times New Roman"/>
          <w:i/>
          <w:iCs/>
          <w:spacing w:val="1"/>
          <w:sz w:val="24"/>
          <w:szCs w:val="24"/>
          <w:lang w:val="en-GB"/>
        </w:rPr>
        <w:t>.</w:t>
      </w:r>
      <w:r w:rsidRPr="00B3725F">
        <w:rPr>
          <w:rFonts w:ascii="Georgia" w:eastAsia="Times New Roman" w:hAnsi="Georgia" w:cs="Times New Roman"/>
          <w:spacing w:val="1"/>
          <w:sz w:val="24"/>
          <w:szCs w:val="24"/>
          <w:lang w:val="en-GB"/>
        </w:rPr>
        <w:t xml:space="preserve"> While we observed a stimulation in the growth rate in cultures of </w:t>
      </w:r>
      <w:r w:rsidRPr="00B3725F">
        <w:rPr>
          <w:rFonts w:ascii="Georgia" w:eastAsia="Times New Roman" w:hAnsi="Georgia" w:cs="Times New Roman"/>
          <w:i/>
          <w:iCs/>
          <w:spacing w:val="1"/>
          <w:sz w:val="24"/>
          <w:szCs w:val="24"/>
          <w:lang w:val="en-GB"/>
        </w:rPr>
        <w:t xml:space="preserve">P. </w:t>
      </w:r>
      <w:proofErr w:type="spellStart"/>
      <w:r w:rsidRPr="00B3725F">
        <w:rPr>
          <w:rFonts w:ascii="Georgia" w:eastAsia="Times New Roman" w:hAnsi="Georgia" w:cs="Times New Roman"/>
          <w:i/>
          <w:iCs/>
          <w:spacing w:val="1"/>
          <w:sz w:val="24"/>
          <w:szCs w:val="24"/>
          <w:lang w:val="en-GB"/>
        </w:rPr>
        <w:t>kessleri</w:t>
      </w:r>
      <w:proofErr w:type="spellEnd"/>
      <w:r w:rsidRPr="00B3725F">
        <w:rPr>
          <w:rFonts w:ascii="Georgia" w:eastAsia="Times New Roman" w:hAnsi="Georgia" w:cs="Times New Roman"/>
          <w:spacing w:val="1"/>
          <w:sz w:val="24"/>
          <w:szCs w:val="24"/>
          <w:lang w:val="en-GB"/>
        </w:rPr>
        <w:t xml:space="preserve"> in the presence of 10 </w:t>
      </w:r>
      <w:proofErr w:type="spellStart"/>
      <w:r w:rsidRPr="00B3725F">
        <w:rPr>
          <w:rFonts w:ascii="Georgia" w:eastAsia="Times New Roman" w:hAnsi="Georgia" w:cs="Times New Roman"/>
          <w:spacing w:val="1"/>
          <w:sz w:val="24"/>
          <w:szCs w:val="24"/>
          <w:lang w:val="en-GB"/>
        </w:rPr>
        <w:t>μg</w:t>
      </w:r>
      <w:proofErr w:type="spellEnd"/>
      <w:r w:rsidRPr="00B3725F">
        <w:rPr>
          <w:rFonts w:ascii="Georgia" w:eastAsia="Times New Roman" w:hAnsi="Georgia" w:cs="Times New Roman"/>
          <w:spacing w:val="1"/>
          <w:sz w:val="24"/>
          <w:szCs w:val="24"/>
          <w:lang w:val="en-GB"/>
        </w:rPr>
        <w:t> L</w:t>
      </w:r>
      <w:r w:rsidRPr="00B3725F">
        <w:rPr>
          <w:rFonts w:ascii="Georgia" w:eastAsia="Times New Roman" w:hAnsi="Georgia" w:cs="Times New Roman"/>
          <w:spacing w:val="1"/>
          <w:sz w:val="24"/>
          <w:szCs w:val="24"/>
          <w:vertAlign w:val="superscript"/>
          <w:lang w:val="en-GB"/>
        </w:rPr>
        <w:t>−1</w:t>
      </w:r>
      <w:r w:rsidRPr="00B3725F">
        <w:rPr>
          <w:rFonts w:ascii="Georgia" w:eastAsia="Times New Roman" w:hAnsi="Georgia" w:cs="Times New Roman"/>
          <w:spacing w:val="1"/>
          <w:sz w:val="24"/>
          <w:szCs w:val="24"/>
          <w:lang w:val="en-GB"/>
        </w:rPr>
        <w:t xml:space="preserve"> CBZ, no effect on growth rates of </w:t>
      </w:r>
      <w:r w:rsidRPr="00B3725F">
        <w:rPr>
          <w:rFonts w:ascii="Georgia" w:eastAsia="Times New Roman" w:hAnsi="Georgia" w:cs="Times New Roman"/>
          <w:i/>
          <w:iCs/>
          <w:spacing w:val="1"/>
          <w:sz w:val="24"/>
          <w:szCs w:val="24"/>
          <w:lang w:val="en-GB"/>
        </w:rPr>
        <w:t xml:space="preserve">N. </w:t>
      </w:r>
      <w:proofErr w:type="spellStart"/>
      <w:r w:rsidRPr="00B3725F">
        <w:rPr>
          <w:rFonts w:ascii="Georgia" w:eastAsia="Times New Roman" w:hAnsi="Georgia" w:cs="Times New Roman"/>
          <w:i/>
          <w:iCs/>
          <w:spacing w:val="1"/>
          <w:sz w:val="24"/>
          <w:szCs w:val="24"/>
          <w:lang w:val="en-GB"/>
        </w:rPr>
        <w:t>pseudoalveolaris</w:t>
      </w:r>
      <w:proofErr w:type="spellEnd"/>
      <w:r w:rsidRPr="00B3725F">
        <w:rPr>
          <w:rFonts w:ascii="Georgia" w:eastAsia="Times New Roman" w:hAnsi="Georgia" w:cs="Times New Roman"/>
          <w:spacing w:val="1"/>
          <w:sz w:val="24"/>
          <w:szCs w:val="24"/>
          <w:lang w:val="en-GB"/>
        </w:rPr>
        <w:t xml:space="preserve"> cultures could be documented at this concentration. Any higher tested CBZ concentration led to growth inhibition.</w:t>
      </w:r>
    </w:p>
    <w:p w:rsidR="00B3725F" w:rsidRPr="00B3725F" w:rsidRDefault="00B3725F" w:rsidP="00B3725F">
      <w:pPr>
        <w:spacing w:before="240" w:after="288" w:line="240" w:lineRule="auto"/>
        <w:rPr>
          <w:rFonts w:ascii="Georgia" w:eastAsia="Times New Roman" w:hAnsi="Georgia" w:cs="Times New Roman"/>
          <w:spacing w:val="1"/>
          <w:sz w:val="24"/>
          <w:szCs w:val="24"/>
          <w:lang w:val="en-GB"/>
        </w:rPr>
      </w:pPr>
      <w:r w:rsidRPr="00B3725F">
        <w:rPr>
          <w:rFonts w:ascii="Georgia" w:eastAsia="Times New Roman" w:hAnsi="Georgia" w:cs="Times New Roman"/>
          <w:spacing w:val="1"/>
          <w:sz w:val="24"/>
          <w:szCs w:val="24"/>
          <w:lang w:val="en-GB"/>
        </w:rPr>
        <w:t>To gain insight into these effects, biochemical and physiological parameters of these two microalgae species were measured in the presence of CBZ in a concentration-dependent manner.</w:t>
      </w:r>
    </w:p>
    <w:p w:rsidR="00B3725F" w:rsidRPr="00B3725F" w:rsidRDefault="00B3725F" w:rsidP="00B3725F">
      <w:pPr>
        <w:spacing w:before="240" w:after="288" w:line="240" w:lineRule="auto"/>
        <w:rPr>
          <w:rFonts w:ascii="Georgia" w:eastAsia="Times New Roman" w:hAnsi="Georgia" w:cs="Times New Roman"/>
          <w:spacing w:val="1"/>
          <w:sz w:val="24"/>
          <w:szCs w:val="24"/>
          <w:lang w:val="en-GB"/>
        </w:rPr>
      </w:pPr>
      <w:r w:rsidRPr="00B3725F">
        <w:rPr>
          <w:rFonts w:ascii="Georgia" w:eastAsia="Times New Roman" w:hAnsi="Georgia" w:cs="Times New Roman"/>
          <w:spacing w:val="1"/>
          <w:sz w:val="24"/>
          <w:szCs w:val="24"/>
          <w:lang w:val="en-GB"/>
        </w:rPr>
        <w:t xml:space="preserve">As the severe inhibition of growth rate correlated with a significant inhibition of most tested parameters in cultures of </w:t>
      </w:r>
      <w:r w:rsidRPr="00B3725F">
        <w:rPr>
          <w:rFonts w:ascii="Georgia" w:eastAsia="Times New Roman" w:hAnsi="Georgia" w:cs="Times New Roman"/>
          <w:i/>
          <w:iCs/>
          <w:spacing w:val="1"/>
          <w:sz w:val="24"/>
          <w:szCs w:val="24"/>
          <w:lang w:val="en-GB"/>
        </w:rPr>
        <w:t xml:space="preserve">N. </w:t>
      </w:r>
      <w:proofErr w:type="spellStart"/>
      <w:r w:rsidRPr="00B3725F">
        <w:rPr>
          <w:rFonts w:ascii="Georgia" w:eastAsia="Times New Roman" w:hAnsi="Georgia" w:cs="Times New Roman"/>
          <w:i/>
          <w:iCs/>
          <w:spacing w:val="1"/>
          <w:sz w:val="24"/>
          <w:szCs w:val="24"/>
          <w:lang w:val="en-GB"/>
        </w:rPr>
        <w:t>pseudoalveolaris</w:t>
      </w:r>
      <w:proofErr w:type="spellEnd"/>
      <w:r w:rsidRPr="00B3725F">
        <w:rPr>
          <w:rFonts w:ascii="Georgia" w:eastAsia="Times New Roman" w:hAnsi="Georgia" w:cs="Times New Roman"/>
          <w:spacing w:val="1"/>
          <w:sz w:val="24"/>
          <w:szCs w:val="24"/>
          <w:lang w:val="en-GB"/>
        </w:rPr>
        <w:t xml:space="preserve">, the primary reason for the adverse effect of CBZ on cultures of this microalgae species could not be identified. In cultures of </w:t>
      </w:r>
      <w:r w:rsidRPr="00B3725F">
        <w:rPr>
          <w:rFonts w:ascii="Georgia" w:eastAsia="Times New Roman" w:hAnsi="Georgia" w:cs="Times New Roman"/>
          <w:i/>
          <w:iCs/>
          <w:spacing w:val="1"/>
          <w:sz w:val="24"/>
          <w:szCs w:val="24"/>
          <w:lang w:val="en-GB"/>
        </w:rPr>
        <w:t xml:space="preserve">N. </w:t>
      </w:r>
      <w:proofErr w:type="spellStart"/>
      <w:r w:rsidRPr="00B3725F">
        <w:rPr>
          <w:rFonts w:ascii="Georgia" w:eastAsia="Times New Roman" w:hAnsi="Georgia" w:cs="Times New Roman"/>
          <w:i/>
          <w:iCs/>
          <w:spacing w:val="1"/>
          <w:sz w:val="24"/>
          <w:szCs w:val="24"/>
          <w:lang w:val="en-GB"/>
        </w:rPr>
        <w:t>pseudoalveolaris</w:t>
      </w:r>
      <w:proofErr w:type="spellEnd"/>
      <w:r w:rsidRPr="00B3725F">
        <w:rPr>
          <w:rFonts w:ascii="Georgia" w:eastAsia="Times New Roman" w:hAnsi="Georgia" w:cs="Times New Roman"/>
          <w:spacing w:val="1"/>
          <w:sz w:val="24"/>
          <w:szCs w:val="24"/>
          <w:lang w:val="en-GB"/>
        </w:rPr>
        <w:t>, experimental data indicate that inhibition of growth rate occurs when the microalgae are no longer able to compensate for adverse CBZ-induced ROS effects.</w:t>
      </w:r>
    </w:p>
    <w:p w:rsidR="00B3725F" w:rsidRPr="00B3725F" w:rsidRDefault="00B3725F" w:rsidP="00B3725F">
      <w:pPr>
        <w:spacing w:before="240" w:after="288" w:line="240" w:lineRule="auto"/>
        <w:rPr>
          <w:rFonts w:ascii="Georgia" w:eastAsia="Times New Roman" w:hAnsi="Georgia" w:cs="Times New Roman"/>
          <w:spacing w:val="1"/>
          <w:sz w:val="24"/>
          <w:szCs w:val="24"/>
          <w:lang w:val="en-GB"/>
        </w:rPr>
      </w:pPr>
      <w:r w:rsidRPr="00B3725F">
        <w:rPr>
          <w:rFonts w:ascii="Georgia" w:eastAsia="Times New Roman" w:hAnsi="Georgia" w:cs="Times New Roman"/>
          <w:spacing w:val="1"/>
          <w:sz w:val="24"/>
          <w:szCs w:val="24"/>
          <w:lang w:val="en-GB"/>
        </w:rPr>
        <w:t xml:space="preserve">Analysis of the CBZ response of cultures of </w:t>
      </w:r>
      <w:r w:rsidRPr="00B3725F">
        <w:rPr>
          <w:rFonts w:ascii="Georgia" w:eastAsia="Times New Roman" w:hAnsi="Georgia" w:cs="Times New Roman"/>
          <w:i/>
          <w:iCs/>
          <w:spacing w:val="1"/>
          <w:sz w:val="24"/>
          <w:szCs w:val="24"/>
          <w:lang w:val="en-GB"/>
        </w:rPr>
        <w:t xml:space="preserve">P. </w:t>
      </w:r>
      <w:proofErr w:type="spellStart"/>
      <w:r w:rsidRPr="00B3725F">
        <w:rPr>
          <w:rFonts w:ascii="Georgia" w:eastAsia="Times New Roman" w:hAnsi="Georgia" w:cs="Times New Roman"/>
          <w:i/>
          <w:iCs/>
          <w:spacing w:val="1"/>
          <w:sz w:val="24"/>
          <w:szCs w:val="24"/>
          <w:lang w:val="en-GB"/>
        </w:rPr>
        <w:t>kessleri</w:t>
      </w:r>
      <w:proofErr w:type="spellEnd"/>
      <w:r w:rsidRPr="00B3725F">
        <w:rPr>
          <w:rFonts w:ascii="Georgia" w:eastAsia="Times New Roman" w:hAnsi="Georgia" w:cs="Times New Roman"/>
          <w:spacing w:val="1"/>
          <w:sz w:val="24"/>
          <w:szCs w:val="24"/>
          <w:lang w:val="en-GB"/>
        </w:rPr>
        <w:t xml:space="preserve"> showed a reduction of growth stimulatory effect if the CBZ concentration exceeds a threshold value. In general, cultures of </w:t>
      </w:r>
      <w:r w:rsidRPr="00B3725F">
        <w:rPr>
          <w:rFonts w:ascii="Georgia" w:eastAsia="Times New Roman" w:hAnsi="Georgia" w:cs="Times New Roman"/>
          <w:i/>
          <w:iCs/>
          <w:spacing w:val="1"/>
          <w:sz w:val="24"/>
          <w:szCs w:val="24"/>
          <w:lang w:val="en-GB"/>
        </w:rPr>
        <w:t xml:space="preserve">P. </w:t>
      </w:r>
      <w:proofErr w:type="spellStart"/>
      <w:r w:rsidRPr="00B3725F">
        <w:rPr>
          <w:rFonts w:ascii="Georgia" w:eastAsia="Times New Roman" w:hAnsi="Georgia" w:cs="Times New Roman"/>
          <w:i/>
          <w:iCs/>
          <w:spacing w:val="1"/>
          <w:sz w:val="24"/>
          <w:szCs w:val="24"/>
          <w:lang w:val="en-GB"/>
        </w:rPr>
        <w:t>kessleri</w:t>
      </w:r>
      <w:proofErr w:type="spellEnd"/>
      <w:r w:rsidRPr="00B3725F">
        <w:rPr>
          <w:rFonts w:ascii="Georgia" w:eastAsia="Times New Roman" w:hAnsi="Georgia" w:cs="Times New Roman"/>
          <w:spacing w:val="1"/>
          <w:sz w:val="24"/>
          <w:szCs w:val="24"/>
          <w:lang w:val="en-GB"/>
        </w:rPr>
        <w:t xml:space="preserve"> show a great potential to withstand CBZ as an environmental pollutant.</w:t>
      </w:r>
    </w:p>
    <w:p w:rsidR="001262EE" w:rsidRDefault="00B3725F">
      <w:bookmarkStart w:id="0" w:name="_GoBack"/>
      <w:bookmarkEnd w:id="0"/>
    </w:p>
    <w:sectPr w:rsidR="00126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25F"/>
    <w:rsid w:val="005463C7"/>
    <w:rsid w:val="008A36E0"/>
    <w:rsid w:val="00B3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B5B84-1EF2-4A49-9249-098B19B6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526073">
      <w:bodyDiv w:val="1"/>
      <w:marLeft w:val="0"/>
      <w:marRight w:val="0"/>
      <w:marTop w:val="0"/>
      <w:marBottom w:val="0"/>
      <w:divBdr>
        <w:top w:val="none" w:sz="0" w:space="0" w:color="auto"/>
        <w:left w:val="none" w:sz="0" w:space="0" w:color="auto"/>
        <w:bottom w:val="none" w:sz="0" w:space="0" w:color="auto"/>
        <w:right w:val="none" w:sz="0" w:space="0" w:color="auto"/>
      </w:divBdr>
      <w:divsChild>
        <w:div w:id="919484452">
          <w:marLeft w:val="0"/>
          <w:marRight w:val="0"/>
          <w:marTop w:val="0"/>
          <w:marBottom w:val="0"/>
          <w:divBdr>
            <w:top w:val="none" w:sz="0" w:space="0" w:color="auto"/>
            <w:left w:val="none" w:sz="0" w:space="0" w:color="auto"/>
            <w:bottom w:val="none" w:sz="0" w:space="0" w:color="auto"/>
            <w:right w:val="none" w:sz="0" w:space="0" w:color="auto"/>
          </w:divBdr>
          <w:divsChild>
            <w:div w:id="596644780">
              <w:marLeft w:val="0"/>
              <w:marRight w:val="0"/>
              <w:marTop w:val="0"/>
              <w:marBottom w:val="0"/>
              <w:divBdr>
                <w:top w:val="none" w:sz="0" w:space="0" w:color="auto"/>
                <w:left w:val="none" w:sz="0" w:space="0" w:color="auto"/>
                <w:bottom w:val="none" w:sz="0" w:space="0" w:color="auto"/>
                <w:right w:val="none" w:sz="0" w:space="0" w:color="auto"/>
              </w:divBdr>
              <w:divsChild>
                <w:div w:id="1286883467">
                  <w:marLeft w:val="0"/>
                  <w:marRight w:val="0"/>
                  <w:marTop w:val="0"/>
                  <w:marBottom w:val="0"/>
                  <w:divBdr>
                    <w:top w:val="none" w:sz="0" w:space="0" w:color="auto"/>
                    <w:left w:val="none" w:sz="0" w:space="0" w:color="auto"/>
                    <w:bottom w:val="none" w:sz="0" w:space="0" w:color="auto"/>
                    <w:right w:val="none" w:sz="0" w:space="0" w:color="auto"/>
                  </w:divBdr>
                  <w:divsChild>
                    <w:div w:id="1526821908">
                      <w:marLeft w:val="0"/>
                      <w:marRight w:val="0"/>
                      <w:marTop w:val="0"/>
                      <w:marBottom w:val="0"/>
                      <w:divBdr>
                        <w:top w:val="none" w:sz="0" w:space="0" w:color="auto"/>
                        <w:left w:val="none" w:sz="0" w:space="0" w:color="auto"/>
                        <w:bottom w:val="none" w:sz="0" w:space="0" w:color="auto"/>
                        <w:right w:val="none" w:sz="0" w:space="0" w:color="auto"/>
                      </w:divBdr>
                      <w:divsChild>
                        <w:div w:id="156876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1</cp:revision>
  <dcterms:created xsi:type="dcterms:W3CDTF">2017-09-15T12:39:00Z</dcterms:created>
  <dcterms:modified xsi:type="dcterms:W3CDTF">2017-09-15T12:41:00Z</dcterms:modified>
</cp:coreProperties>
</file>