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2EE" w:rsidRPr="00FF1CC5" w:rsidRDefault="00FF1CC5" w:rsidP="00FF1CC5">
      <w:pPr>
        <w:spacing w:line="420" w:lineRule="auto"/>
        <w:rPr>
          <w:rFonts w:ascii="Times New Roman" w:hAnsi="Times New Roman" w:cs="Times New Roman"/>
          <w:sz w:val="24"/>
        </w:rPr>
      </w:pPr>
      <w:r w:rsidRPr="00FF1CC5">
        <w:rPr>
          <w:rFonts w:ascii="Times New Roman" w:hAnsi="Times New Roman" w:cs="Times New Roman"/>
          <w:color w:val="333333"/>
          <w:sz w:val="24"/>
          <w:shd w:val="clear" w:color="auto" w:fill="F9F9F9"/>
        </w:rPr>
        <w:t> A suite of 33 pharmaceuticals and steroid hormones was targeted in the analysis, which consisted of monthly grab sampling of groundwater, surface water, and wastewater, followed by concentration and cleanup via solid phase extraction and separation, detection, and quantification via liquid chromatography coupled with tandem mass spectrometry. More than one-half of all compounds detected in irrigated wastewater were not present in groundwater and subsequent surface water. However, antibiotics, nonsteroidal anti-inflammatory drugs, caffeine, and other prescription and over-the-counter drugs remained in groundwater and were transported into surface water at concentrations up to 10 ng/L. These results provide important documentation for pharmaceutical fate and transport in forest systems irrigated with municipal wastewater, a previously undocumented source of environmental entry</w:t>
      </w:r>
      <w:r>
        <w:rPr>
          <w:rFonts w:ascii="Times New Roman" w:hAnsi="Times New Roman" w:cs="Times New Roman"/>
          <w:color w:val="333333"/>
          <w:sz w:val="24"/>
          <w:shd w:val="clear" w:color="auto" w:fill="F9F9F9"/>
        </w:rPr>
        <w:t>.</w:t>
      </w:r>
      <w:bookmarkStart w:id="0" w:name="_GoBack"/>
      <w:bookmarkEnd w:id="0"/>
    </w:p>
    <w:sectPr w:rsidR="001262EE" w:rsidRPr="00FF1C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C5"/>
    <w:rsid w:val="005463C7"/>
    <w:rsid w:val="008A36E0"/>
    <w:rsid w:val="00FF1C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4DA37"/>
  <w15:chartTrackingRefBased/>
  <w15:docId w15:val="{DA62E704-F791-4CDB-BAF7-6369C9F89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132</Words>
  <Characters>758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Burtchett, Jade</dc:creator>
  <cp:keywords/>
  <dc:description/>
  <cp:lastModifiedBy>Burtchett, Jade</cp:lastModifiedBy>
  <cp:revision>1</cp:revision>
  <dcterms:created xsi:type="dcterms:W3CDTF">2017-09-22T13:29:00Z</dcterms:created>
  <dcterms:modified xsi:type="dcterms:W3CDTF">2017-09-22T13:37:00Z</dcterms:modified>
</cp:coreProperties>
</file>