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2EE" w:rsidRDefault="00C069D2" w:rsidP="00C069D2">
      <w:pPr>
        <w:ind w:firstLine="720"/>
      </w:pPr>
      <w:bookmarkStart w:id="0" w:name="_GoBack"/>
      <w:bookmarkEnd w:id="0"/>
      <w:r>
        <w:rPr>
          <w:color w:val="505050"/>
          <w:lang w:val="en"/>
        </w:rPr>
        <w:t xml:space="preserve">This work investigated the presence of 21 emerging contaminants of various chemical groups (7 estrogens, 3 progestogens, 6 pharmaceuticals and personal care products (PPCPs), and 5 acidic pesticides) in the </w:t>
      </w:r>
      <w:proofErr w:type="spellStart"/>
      <w:r>
        <w:rPr>
          <w:color w:val="505050"/>
          <w:lang w:val="en"/>
        </w:rPr>
        <w:t>Llobregat</w:t>
      </w:r>
      <w:proofErr w:type="spellEnd"/>
      <w:r>
        <w:rPr>
          <w:color w:val="505050"/>
          <w:lang w:val="en"/>
        </w:rPr>
        <w:t xml:space="preserve"> river basin (NE Spain). Waters from the outlet of various sewage treatment plants (STP) and waterworks located along the river basin, as well as water samples from the river or its tributaries upstream and downstream of these plants were </w:t>
      </w:r>
      <w:proofErr w:type="spellStart"/>
      <w:r>
        <w:rPr>
          <w:color w:val="505050"/>
          <w:lang w:val="en"/>
        </w:rPr>
        <w:t>analysed</w:t>
      </w:r>
      <w:proofErr w:type="spellEnd"/>
      <w:r>
        <w:rPr>
          <w:color w:val="505050"/>
          <w:lang w:val="en"/>
        </w:rPr>
        <w:t xml:space="preserve"> in two pilot monitoring studies. Chemical analyses were performed by means of on-line or off-line solid-phase extraction followed by liquid chromatography-electrospray-tandem mass spectrometry. Methods detection limits (in ng/L) were </w:t>
      </w:r>
      <w:r>
        <w:rPr>
          <w:rFonts w:ascii="Cambria Math" w:hAnsi="Cambria Math" w:cs="Cambria Math"/>
          <w:color w:val="505050"/>
          <w:lang w:val="en"/>
        </w:rPr>
        <w:t>⩽</w:t>
      </w:r>
      <w:r>
        <w:rPr>
          <w:color w:val="505050"/>
          <w:lang w:val="en"/>
        </w:rPr>
        <w:t xml:space="preserve">0.85 for estrogens, </w:t>
      </w:r>
      <w:r>
        <w:rPr>
          <w:rFonts w:ascii="Cambria Math" w:hAnsi="Cambria Math" w:cs="Cambria Math"/>
          <w:color w:val="505050"/>
          <w:lang w:val="en"/>
        </w:rPr>
        <w:t>⩽</w:t>
      </w:r>
      <w:r>
        <w:rPr>
          <w:color w:val="505050"/>
          <w:lang w:val="en"/>
        </w:rPr>
        <w:t xml:space="preserve">3.94 for progestogens, </w:t>
      </w:r>
      <w:r>
        <w:rPr>
          <w:rFonts w:ascii="Cambria Math" w:hAnsi="Cambria Math" w:cs="Cambria Math"/>
          <w:color w:val="505050"/>
          <w:lang w:val="en"/>
        </w:rPr>
        <w:t>⩽</w:t>
      </w:r>
      <w:r>
        <w:rPr>
          <w:color w:val="505050"/>
          <w:lang w:val="en"/>
        </w:rPr>
        <w:t xml:space="preserve">30 for PPCPs, and </w:t>
      </w:r>
      <w:r>
        <w:rPr>
          <w:rFonts w:ascii="Cambria Math" w:hAnsi="Cambria Math" w:cs="Cambria Math"/>
          <w:color w:val="505050"/>
          <w:lang w:val="en"/>
        </w:rPr>
        <w:t>⩽</w:t>
      </w:r>
      <w:r>
        <w:rPr>
          <w:color w:val="505050"/>
          <w:lang w:val="en"/>
        </w:rPr>
        <w:t xml:space="preserve">0.99 for pesticides. Of the estrogens and progestogens </w:t>
      </w:r>
      <w:proofErr w:type="spellStart"/>
      <w:r>
        <w:rPr>
          <w:color w:val="505050"/>
          <w:lang w:val="en"/>
        </w:rPr>
        <w:t>analysed</w:t>
      </w:r>
      <w:proofErr w:type="spellEnd"/>
      <w:r>
        <w:rPr>
          <w:color w:val="505050"/>
          <w:lang w:val="en"/>
        </w:rPr>
        <w:t xml:space="preserve">, only estrone-3-sulfate, estrone, estriol and progesterone were found to be present in the low nanogram per liter range in some of the samples investigated. Except for atenolol, all PPCPs studied (ibuprofen, diclofenac, </w:t>
      </w:r>
      <w:proofErr w:type="spellStart"/>
      <w:r>
        <w:rPr>
          <w:color w:val="505050"/>
          <w:lang w:val="en"/>
        </w:rPr>
        <w:t>clofibric</w:t>
      </w:r>
      <w:proofErr w:type="spellEnd"/>
      <w:r>
        <w:rPr>
          <w:color w:val="505050"/>
          <w:lang w:val="en"/>
        </w:rPr>
        <w:t xml:space="preserve"> acid, salicylic acid, and triclosan) could be identified at levels usually lower than 250 ng/L and up to 1200 ng/l (diclofenac). Of the various pesticides investigated (2,4-D, </w:t>
      </w:r>
      <w:proofErr w:type="spellStart"/>
      <w:r>
        <w:rPr>
          <w:color w:val="505050"/>
          <w:lang w:val="en"/>
        </w:rPr>
        <w:t>bentazone</w:t>
      </w:r>
      <w:proofErr w:type="spellEnd"/>
      <w:r>
        <w:rPr>
          <w:color w:val="505050"/>
          <w:lang w:val="en"/>
        </w:rPr>
        <w:t xml:space="preserve">; MCPA, </w:t>
      </w:r>
      <w:proofErr w:type="spellStart"/>
      <w:r>
        <w:rPr>
          <w:color w:val="505050"/>
          <w:lang w:val="en"/>
        </w:rPr>
        <w:t>mecoprop</w:t>
      </w:r>
      <w:proofErr w:type="spellEnd"/>
      <w:r>
        <w:rPr>
          <w:color w:val="505050"/>
          <w:lang w:val="en"/>
        </w:rPr>
        <w:t xml:space="preserve"> and </w:t>
      </w:r>
      <w:proofErr w:type="spellStart"/>
      <w:r>
        <w:rPr>
          <w:color w:val="505050"/>
          <w:lang w:val="en"/>
        </w:rPr>
        <w:t>propanil</w:t>
      </w:r>
      <w:proofErr w:type="spellEnd"/>
      <w:r>
        <w:rPr>
          <w:color w:val="505050"/>
          <w:lang w:val="en"/>
        </w:rPr>
        <w:t xml:space="preserve">) MCPA and 2,4-D were the most ubiquitous and abundant and </w:t>
      </w:r>
      <w:proofErr w:type="spellStart"/>
      <w:r>
        <w:rPr>
          <w:color w:val="505050"/>
          <w:lang w:val="en"/>
        </w:rPr>
        <w:t>bentazone</w:t>
      </w:r>
      <w:proofErr w:type="spellEnd"/>
      <w:r>
        <w:rPr>
          <w:color w:val="505050"/>
          <w:lang w:val="en"/>
        </w:rPr>
        <w:t xml:space="preserve"> the only one not detected. Individual concentrations were most often below 100 ng/L and never surpassed the EU limits.</w:t>
      </w:r>
    </w:p>
    <w:sectPr w:rsidR="001262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D2"/>
    <w:rsid w:val="005463C7"/>
    <w:rsid w:val="008A36E0"/>
    <w:rsid w:val="00C0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B168D"/>
  <w15:chartTrackingRefBased/>
  <w15:docId w15:val="{5DCFE24A-32B0-4349-9026-C2E005201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1</cp:revision>
  <dcterms:created xsi:type="dcterms:W3CDTF">2017-09-15T12:55:00Z</dcterms:created>
  <dcterms:modified xsi:type="dcterms:W3CDTF">2017-09-15T12:57:00Z</dcterms:modified>
</cp:coreProperties>
</file>