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Pr="00066B04" w:rsidRDefault="00066B04" w:rsidP="00066B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6B04">
        <w:rPr>
          <w:rFonts w:ascii="Times New Roman" w:hAnsi="Times New Roman" w:cs="Times New Roman"/>
          <w:b/>
          <w:bCs/>
          <w:sz w:val="24"/>
          <w:szCs w:val="24"/>
        </w:rPr>
        <w:t>Amphibians can be exposed to contaminants in nature by 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ny routes, but perhaps the most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likely route is agricultural runoff in amphibian breeding sites. This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runoff results in high-level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pulses of pesticides. For example, atrazine, the most widely used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pesticide in the United States,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can be present at several parts per million in agricultural runoff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However, pesticide levels are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likely to remain in the environment at low levels for longer peri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ods. Nevertheless, most studies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designed to examine the impacts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contaminants are limited to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short-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term (~ 4 days) tests conducted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at relatively high concentrations. To investigate long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er-term (~ 30 days) exposure of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amphibians to low pesticide levels, we exposed tadpoles of four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species of frogs—spring peepers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Pseudacris</w:t>
      </w:r>
      <w:proofErr w:type="spellEnd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crucifer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), American toads (</w:t>
      </w:r>
      <w:proofErr w:type="spellStart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Bufo</w:t>
      </w:r>
      <w:proofErr w:type="spellEnd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americanus</w:t>
      </w:r>
      <w:proofErr w:type="spellEnd"/>
      <w:r w:rsidRPr="00066B04">
        <w:rPr>
          <w:rFonts w:ascii="Times New Roman" w:hAnsi="Times New Roman" w:cs="Times New Roman"/>
          <w:b/>
          <w:bCs/>
          <w:sz w:val="24"/>
          <w:szCs w:val="24"/>
        </w:rPr>
        <w:t>), green frogs (</w:t>
      </w:r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Rana </w:t>
      </w:r>
      <w:proofErr w:type="spellStart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clamitans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), and wood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frogs (</w:t>
      </w:r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Rana sylvatica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)—at early and late developmental stages to low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concentrations of a commercial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preparation of atrazine (3, 30, or 100 ppb; the U.S. Environme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ntal Protection Agency drinking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water standard is 3 ppb). We found counterintuitive patterns 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rate of survivorship. Survival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was significantly lower for all animals exposed to 3 ppb comp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ared with either 30 or 100 ppb,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except the late stages of </w:t>
      </w:r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B. </w:t>
      </w:r>
      <w:proofErr w:type="spellStart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americanus</w:t>
      </w:r>
      <w:proofErr w:type="spellEnd"/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066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R. sylvatica.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These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survival patterns highlight the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importance of investigating the impacts of contaminants with rea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listic exposures and at various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developmental stages. This may be particularly important 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compounds that produce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 xml:space="preserve">greater </w:t>
      </w:r>
      <w:r w:rsidRPr="00066B04">
        <w:rPr>
          <w:rFonts w:ascii="Times New Roman" w:hAnsi="Times New Roman" w:cs="Times New Roman"/>
          <w:b/>
          <w:bCs/>
          <w:sz w:val="24"/>
          <w:szCs w:val="24"/>
        </w:rPr>
        <w:t>mortality at lower doses than higher doses,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pattern characteristic of many </w:t>
      </w:r>
      <w:bookmarkStart w:id="0" w:name="_GoBack"/>
      <w:bookmarkEnd w:id="0"/>
      <w:r w:rsidRPr="00066B04">
        <w:rPr>
          <w:rFonts w:ascii="Times New Roman" w:hAnsi="Times New Roman" w:cs="Times New Roman"/>
          <w:b/>
          <w:bCs/>
          <w:sz w:val="24"/>
          <w:szCs w:val="24"/>
        </w:rPr>
        <w:t>endocrine disruptors.</w:t>
      </w:r>
    </w:p>
    <w:sectPr w:rsidR="001262EE" w:rsidRPr="00066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D2"/>
    <w:rsid w:val="00066B04"/>
    <w:rsid w:val="005463C7"/>
    <w:rsid w:val="008A36E0"/>
    <w:rsid w:val="00C0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B168D"/>
  <w15:chartTrackingRefBased/>
  <w15:docId w15:val="{5DCFE24A-32B0-4349-9026-C2E00520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2017-09-15T13:03:00Z</dcterms:created>
  <dcterms:modified xsi:type="dcterms:W3CDTF">2017-09-15T13:03:00Z</dcterms:modified>
</cp:coreProperties>
</file>