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62C716" w14:textId="77777777" w:rsidR="00163DD9" w:rsidRPr="00163DD9" w:rsidRDefault="00163DD9" w:rsidP="00163DD9">
      <w:pPr>
        <w:keepNext/>
        <w:spacing w:before="240" w:after="360" w:line="276" w:lineRule="auto"/>
        <w:jc w:val="center"/>
        <w:outlineLvl w:val="0"/>
        <w:rPr>
          <w:rFonts w:ascii="Times New Roman Bold" w:eastAsia="Times New Roman" w:hAnsi="Times New Roman Bold" w:cs="Times New Roman"/>
          <w:b/>
          <w:kern w:val="32"/>
          <w:sz w:val="40"/>
          <w:szCs w:val="40"/>
        </w:rPr>
      </w:pPr>
      <w:bookmarkStart w:id="0" w:name="_Hlk20474896"/>
      <w:bookmarkStart w:id="1" w:name="_Toc3292654"/>
      <w:bookmarkStart w:id="2" w:name="_Toc3292749"/>
      <w:bookmarkEnd w:id="0"/>
      <w:r w:rsidRPr="00163DD9">
        <w:rPr>
          <w:rFonts w:ascii="Times New Roman Bold" w:eastAsia="Times New Roman" w:hAnsi="Times New Roman Bold" w:cs="Times New Roman"/>
          <w:b/>
          <w:kern w:val="32"/>
          <w:sz w:val="40"/>
          <w:szCs w:val="40"/>
        </w:rPr>
        <w:t xml:space="preserve">Chapter 1: </w:t>
      </w:r>
      <w:bookmarkStart w:id="3" w:name="_Hlk20398996"/>
      <w:r w:rsidRPr="00163DD9">
        <w:rPr>
          <w:rFonts w:ascii="Times New Roman Bold" w:eastAsia="Times New Roman" w:hAnsi="Times New Roman Bold" w:cs="Times New Roman"/>
          <w:b/>
          <w:kern w:val="32"/>
          <w:sz w:val="40"/>
          <w:szCs w:val="40"/>
        </w:rPr>
        <w:t xml:space="preserve">Issues of Environmental Interest and Water </w:t>
      </w:r>
      <w:bookmarkStart w:id="4" w:name="_Toc255822504"/>
      <w:bookmarkStart w:id="5" w:name="_Toc351122123"/>
      <w:r w:rsidRPr="00163DD9">
        <w:rPr>
          <w:rFonts w:ascii="Times New Roman Bold" w:eastAsia="Times New Roman" w:hAnsi="Times New Roman Bold" w:cs="Times New Roman"/>
          <w:b/>
          <w:kern w:val="32"/>
          <w:sz w:val="40"/>
          <w:szCs w:val="40"/>
        </w:rPr>
        <w:t>Quality Initiatives</w:t>
      </w:r>
      <w:bookmarkEnd w:id="1"/>
      <w:bookmarkEnd w:id="2"/>
      <w:bookmarkEnd w:id="4"/>
      <w:bookmarkEnd w:id="5"/>
      <w:bookmarkEnd w:id="3"/>
    </w:p>
    <w:p w14:paraId="747C82D0" w14:textId="77777777" w:rsidR="00163DD9" w:rsidRPr="00163DD9" w:rsidRDefault="00163DD9" w:rsidP="00163DD9">
      <w:pPr>
        <w:spacing w:after="240" w:line="276" w:lineRule="auto"/>
        <w:rPr>
          <w:rFonts w:ascii="Times New Roman" w:eastAsia="Times New Roman" w:hAnsi="Times New Roman" w:cs="Times New Roman"/>
          <w:sz w:val="24"/>
          <w:szCs w:val="24"/>
        </w:rPr>
      </w:pPr>
      <w:r w:rsidRPr="00163DD9">
        <w:rPr>
          <w:rFonts w:ascii="Times New Roman" w:eastAsia="Times New Roman" w:hAnsi="Times New Roman" w:cs="Times New Roman"/>
          <w:sz w:val="24"/>
          <w:szCs w:val="24"/>
        </w:rPr>
        <w:t>The Florida Department of Environmental Protection (DEP) works with many different programs and agencies throughout the state to address issues and problems affecting surface water and groundwater quality and quantity. These responsibilities are implemented through a variety of activities, including planning, regulation, watershed management, the assessment and application of water quality standards, nonpoint source pollution management, ambient water quality monitoring, groundwater protection, educational programs and land management. This chapter describes some major issues of environmental interest and ongoing water quality initiatives being undertaken primarily by DEP.</w:t>
      </w:r>
    </w:p>
    <w:p w14:paraId="67B34E16" w14:textId="77777777" w:rsidR="00163DD9" w:rsidRPr="00163DD9" w:rsidRDefault="00163DD9" w:rsidP="00163DD9">
      <w:pPr>
        <w:keepNext/>
        <w:spacing w:before="120" w:after="120" w:line="240" w:lineRule="auto"/>
        <w:outlineLvl w:val="1"/>
        <w:rPr>
          <w:rFonts w:ascii="Times New Roman" w:eastAsia="Times New Roman" w:hAnsi="Times New Roman" w:cs="Times New Roman"/>
          <w:b/>
          <w:sz w:val="32"/>
          <w:szCs w:val="20"/>
        </w:rPr>
      </w:pPr>
      <w:bookmarkStart w:id="6" w:name="_Toc3292655"/>
      <w:bookmarkStart w:id="7" w:name="_Toc3292750"/>
      <w:bookmarkStart w:id="8" w:name="_Toc384103850"/>
      <w:bookmarkStart w:id="9" w:name="_Toc351122125"/>
      <w:bookmarkStart w:id="10" w:name="_Toc376848789"/>
      <w:r w:rsidRPr="00163DD9">
        <w:rPr>
          <w:rFonts w:ascii="Times New Roman" w:eastAsia="Times New Roman" w:hAnsi="Times New Roman" w:cs="Times New Roman"/>
          <w:b/>
          <w:sz w:val="32"/>
          <w:szCs w:val="20"/>
        </w:rPr>
        <w:t>Monitoring Emerging Contaminants (ECs) and Pesticides</w:t>
      </w:r>
      <w:bookmarkEnd w:id="6"/>
      <w:bookmarkEnd w:id="7"/>
      <w:r w:rsidR="00996F6B">
        <w:rPr>
          <w:rFonts w:ascii="Times New Roman" w:eastAsia="Times New Roman" w:hAnsi="Times New Roman" w:cs="Times New Roman"/>
          <w:b/>
          <w:sz w:val="32"/>
          <w:szCs w:val="20"/>
        </w:rPr>
        <w:t>—</w:t>
      </w:r>
      <w:r w:rsidR="00253E05">
        <w:rPr>
          <w:rFonts w:ascii="Times New Roman" w:eastAsia="Times New Roman" w:hAnsi="Times New Roman" w:cs="Times New Roman"/>
          <w:b/>
          <w:sz w:val="32"/>
          <w:szCs w:val="20"/>
        </w:rPr>
        <w:t>Alicia</w:t>
      </w:r>
    </w:p>
    <w:p w14:paraId="64C78AD1" w14:textId="77777777" w:rsidR="00163DD9" w:rsidRPr="00163DD9" w:rsidRDefault="00163DD9" w:rsidP="00163DD9">
      <w:pPr>
        <w:spacing w:after="240" w:line="276" w:lineRule="auto"/>
        <w:rPr>
          <w:rFonts w:ascii="Times New Roman" w:eastAsia="Times New Roman" w:hAnsi="Times New Roman" w:cs="Times New Roman"/>
          <w:sz w:val="24"/>
          <w:szCs w:val="24"/>
        </w:rPr>
      </w:pPr>
      <w:r w:rsidRPr="00163DD9">
        <w:rPr>
          <w:rFonts w:ascii="Times New Roman" w:eastAsia="Times New Roman" w:hAnsi="Times New Roman" w:cs="Times New Roman"/>
          <w:sz w:val="24"/>
          <w:szCs w:val="24"/>
        </w:rPr>
        <w:t>There is public concern that unregulated contaminants, and their degradants, may be causing human health and ecological impacts as low levels of these compounds increasingly are being detected in water resources throughout the world. Commonly are referred to as ECs, they include food additives, pharmaceuticals, personal care products, hormones, pesticides, detergents, plasticizers, flame retardants, and polycyclic aromatic hydrocarbons (PAHs). Some are being introduced into the aquatic environment through treated wastewater, as standard wastewater treatment technologies do not remove many of these types of contaminants.</w:t>
      </w:r>
    </w:p>
    <w:p w14:paraId="5625522F" w14:textId="77777777" w:rsidR="00163DD9" w:rsidRPr="00163DD9" w:rsidRDefault="00163DD9" w:rsidP="00163DD9">
      <w:pPr>
        <w:spacing w:after="240" w:line="276" w:lineRule="auto"/>
        <w:rPr>
          <w:rFonts w:ascii="Times New Roman" w:eastAsia="Times New Roman" w:hAnsi="Times New Roman" w:cs="Times New Roman"/>
          <w:sz w:val="24"/>
          <w:szCs w:val="24"/>
        </w:rPr>
      </w:pPr>
      <w:r w:rsidRPr="00163DD9">
        <w:rPr>
          <w:rFonts w:ascii="Times New Roman" w:eastAsia="Times New Roman" w:hAnsi="Times New Roman" w:cs="Times New Roman"/>
          <w:sz w:val="24"/>
          <w:szCs w:val="24"/>
        </w:rPr>
        <w:t>Based on recommendations from an internal workgroup, in 200</w:t>
      </w:r>
      <w:r w:rsidR="00647381">
        <w:rPr>
          <w:rFonts w:ascii="Times New Roman" w:eastAsia="Times New Roman" w:hAnsi="Times New Roman" w:cs="Times New Roman"/>
          <w:sz w:val="24"/>
          <w:szCs w:val="24"/>
        </w:rPr>
        <w:t>9</w:t>
      </w:r>
      <w:bookmarkStart w:id="11" w:name="_GoBack"/>
      <w:bookmarkEnd w:id="11"/>
      <w:r w:rsidRPr="00163DD9">
        <w:rPr>
          <w:rFonts w:ascii="Times New Roman" w:eastAsia="Times New Roman" w:hAnsi="Times New Roman" w:cs="Times New Roman"/>
          <w:sz w:val="24"/>
          <w:szCs w:val="24"/>
        </w:rPr>
        <w:t xml:space="preserve"> DEP began developing lab methodologies for ultra-trace level analyses of compounds to be used as indicators for wastewater and pesticides. Compounds include the artificial sweetener sucralose; the pharmaceuticals acetaminophen, carbamazepine, and primidone; and the pesticide imidacloprid. These compounds are hydrophilic, or attracted to water, and therefore may be highly mobile in the freshwater environment.</w:t>
      </w:r>
    </w:p>
    <w:p w14:paraId="70CEC23E" w14:textId="77777777" w:rsidR="00163DD9" w:rsidRPr="00163DD9" w:rsidRDefault="00163DD9" w:rsidP="00163DD9">
      <w:pPr>
        <w:spacing w:after="240" w:line="276" w:lineRule="auto"/>
        <w:rPr>
          <w:rFonts w:ascii="Times New Roman" w:eastAsia="Times New Roman" w:hAnsi="Times New Roman" w:cs="Times New Roman"/>
          <w:sz w:val="24"/>
          <w:szCs w:val="24"/>
        </w:rPr>
      </w:pPr>
      <w:r w:rsidRPr="00163DD9">
        <w:rPr>
          <w:rFonts w:ascii="Times New Roman" w:eastAsia="Times New Roman" w:hAnsi="Times New Roman" w:cs="Times New Roman"/>
          <w:sz w:val="24"/>
          <w:szCs w:val="24"/>
        </w:rPr>
        <w:t xml:space="preserve">DEP's Division of Environmental Assessment and Restoration (DEAR) added wastewater tracers and imidacloprid to its Status and Trends Monitoring Networks (discussed in </w:t>
      </w:r>
      <w:r w:rsidRPr="00163DD9">
        <w:rPr>
          <w:rFonts w:ascii="Times New Roman" w:eastAsia="Times New Roman" w:hAnsi="Times New Roman" w:cs="Times New Roman"/>
          <w:b/>
          <w:sz w:val="24"/>
          <w:szCs w:val="24"/>
        </w:rPr>
        <w:t>Chapter 2</w:t>
      </w:r>
      <w:r w:rsidRPr="00163DD9">
        <w:rPr>
          <w:rFonts w:ascii="Times New Roman" w:eastAsia="Times New Roman" w:hAnsi="Times New Roman" w:cs="Times New Roman"/>
          <w:sz w:val="24"/>
          <w:szCs w:val="24"/>
        </w:rPr>
        <w:t>) to investigate the levels</w:t>
      </w:r>
      <w:r w:rsidRPr="00163DD9" w:rsidDel="00752D45">
        <w:rPr>
          <w:rFonts w:ascii="Times New Roman" w:eastAsia="Times New Roman" w:hAnsi="Times New Roman" w:cs="Times New Roman"/>
          <w:sz w:val="24"/>
          <w:szCs w:val="24"/>
        </w:rPr>
        <w:t xml:space="preserve"> </w:t>
      </w:r>
      <w:r w:rsidRPr="00163DD9">
        <w:rPr>
          <w:rFonts w:ascii="Times New Roman" w:eastAsia="Times New Roman" w:hAnsi="Times New Roman" w:cs="Times New Roman"/>
          <w:sz w:val="24"/>
          <w:szCs w:val="24"/>
        </w:rPr>
        <w:t xml:space="preserve">of ECs in Florida's fresh waters. DEAR sampled statewide for sucralose from both monitoring networks in 2012, and for sucralose, acetaminophen, carbamazepine, primidone, and imidacloprid from the Status Monitoring Network in 2015. </w:t>
      </w:r>
    </w:p>
    <w:p w14:paraId="46FEB750" w14:textId="77777777" w:rsidR="00163DD9" w:rsidRPr="00163DD9" w:rsidRDefault="00163DD9" w:rsidP="00163DD9">
      <w:pPr>
        <w:spacing w:after="240" w:line="276" w:lineRule="auto"/>
        <w:rPr>
          <w:rFonts w:ascii="Times New Roman" w:eastAsia="Times New Roman" w:hAnsi="Times New Roman" w:cs="Times New Roman"/>
          <w:bCs/>
          <w:iCs/>
          <w:sz w:val="24"/>
          <w:szCs w:val="24"/>
        </w:rPr>
      </w:pPr>
      <w:r w:rsidRPr="00163DD9">
        <w:rPr>
          <w:rFonts w:ascii="Times New Roman" w:eastAsia="Times New Roman" w:hAnsi="Times New Roman" w:cs="Times New Roman"/>
          <w:bCs/>
          <w:iCs/>
          <w:sz w:val="24"/>
          <w:szCs w:val="24"/>
        </w:rPr>
        <w:t xml:space="preserve">Analyses of the 2015 samples from 528 sites showed sucralose in more than 50 % of the canal, river, stream, and large lake resources. Acetaminophen, carbamazepine, and primidone were most prevalent in rivers, with 30 % of river kilometers containing at least one of these compounds. Imidacloprid was found in 50 % or more of the canal and river resources, and was the only compound found to exceed published toxicity or environmental effects standards. </w:t>
      </w:r>
      <w:r w:rsidRPr="00163DD9">
        <w:rPr>
          <w:rFonts w:ascii="Times New Roman" w:eastAsia="Times New Roman" w:hAnsi="Times New Roman" w:cs="Times New Roman"/>
          <w:bCs/>
          <w:iCs/>
          <w:sz w:val="24"/>
          <w:szCs w:val="24"/>
        </w:rPr>
        <w:lastRenderedPageBreak/>
        <w:t xml:space="preserve">Geospatial analysis showed that the presence of sucralose and imidacloprid were significantly related to the percentage of urban land use, and to the percentage of urban and agricultural land use in watersheds, respectively. </w:t>
      </w:r>
    </w:p>
    <w:p w14:paraId="34CB5C64" w14:textId="77777777" w:rsidR="00865A98" w:rsidRDefault="00163DD9" w:rsidP="00163DD9">
      <w:pPr>
        <w:spacing w:after="240" w:line="276" w:lineRule="auto"/>
        <w:rPr>
          <w:rFonts w:ascii="Times New Roman" w:eastAsia="Times New Roman" w:hAnsi="Times New Roman" w:cs="Times New Roman"/>
          <w:sz w:val="24"/>
          <w:szCs w:val="24"/>
        </w:rPr>
      </w:pPr>
      <w:r w:rsidRPr="00163DD9">
        <w:rPr>
          <w:rFonts w:ascii="Times New Roman" w:eastAsia="Times New Roman" w:hAnsi="Times New Roman" w:cs="Times New Roman"/>
          <w:bCs/>
          <w:iCs/>
          <w:sz w:val="24"/>
          <w:szCs w:val="24"/>
        </w:rPr>
        <w:t>In 2013 a</w:t>
      </w:r>
      <w:r w:rsidRPr="00163DD9">
        <w:rPr>
          <w:rFonts w:ascii="Times New Roman" w:eastAsia="Times New Roman" w:hAnsi="Times New Roman" w:cs="Times New Roman"/>
          <w:sz w:val="24"/>
          <w:szCs w:val="24"/>
        </w:rPr>
        <w:t xml:space="preserve"> DEP workgroup</w:t>
      </w:r>
      <w:r w:rsidRPr="00163DD9">
        <w:rPr>
          <w:rFonts w:ascii="Times New Roman" w:eastAsia="Times New Roman" w:hAnsi="Times New Roman" w:cs="Times New Roman"/>
          <w:bCs/>
          <w:iCs/>
          <w:sz w:val="24"/>
          <w:szCs w:val="24"/>
        </w:rPr>
        <w:t xml:space="preserve"> </w:t>
      </w:r>
      <w:r w:rsidRPr="00163DD9">
        <w:rPr>
          <w:rFonts w:ascii="Times New Roman" w:eastAsia="Times New Roman" w:hAnsi="Times New Roman" w:cs="Times New Roman"/>
          <w:sz w:val="24"/>
          <w:szCs w:val="24"/>
        </w:rPr>
        <w:t xml:space="preserve">recommended a study to determine the potential biological effects of ECs on aquatic organisms by employing screening assays to detect ecological effects, such as estrogenic activity. The priority ECs were selected based on factors such as global presence, exposure to humans and wildlife, bioaccumulative and toxic effects, persistence in the environment, and suspected endocrine disruption. </w:t>
      </w:r>
      <w:r w:rsidRPr="00163DD9">
        <w:rPr>
          <w:rFonts w:ascii="Times New Roman" w:eastAsia="Times New Roman" w:hAnsi="Times New Roman" w:cs="Times New Roman"/>
          <w:bCs/>
          <w:iCs/>
          <w:sz w:val="24"/>
          <w:szCs w:val="24"/>
        </w:rPr>
        <w:t xml:space="preserve">The main objective of the pilot study, </w:t>
      </w:r>
      <w:r w:rsidR="00180A28">
        <w:rPr>
          <w:rFonts w:ascii="Times New Roman" w:eastAsia="Times New Roman" w:hAnsi="Times New Roman" w:cs="Times New Roman"/>
          <w:bCs/>
          <w:iCs/>
          <w:sz w:val="24"/>
          <w:szCs w:val="24"/>
        </w:rPr>
        <w:t>completed</w:t>
      </w:r>
      <w:r w:rsidRPr="00163DD9">
        <w:rPr>
          <w:rFonts w:ascii="Times New Roman" w:eastAsia="Times New Roman" w:hAnsi="Times New Roman" w:cs="Times New Roman"/>
          <w:bCs/>
          <w:iCs/>
          <w:sz w:val="24"/>
          <w:szCs w:val="24"/>
        </w:rPr>
        <w:t xml:space="preserve"> in 2017, evaluate</w:t>
      </w:r>
      <w:r w:rsidR="00180A28">
        <w:rPr>
          <w:rFonts w:ascii="Times New Roman" w:eastAsia="Times New Roman" w:hAnsi="Times New Roman" w:cs="Times New Roman"/>
          <w:bCs/>
          <w:iCs/>
          <w:sz w:val="24"/>
          <w:szCs w:val="24"/>
        </w:rPr>
        <w:t>d</w:t>
      </w:r>
      <w:r w:rsidRPr="00163DD9">
        <w:rPr>
          <w:rFonts w:ascii="Times New Roman" w:eastAsia="Times New Roman" w:hAnsi="Times New Roman" w:cs="Times New Roman"/>
          <w:bCs/>
          <w:iCs/>
          <w:sz w:val="24"/>
          <w:szCs w:val="24"/>
        </w:rPr>
        <w:t xml:space="preserve"> the efficiency and effectiveness of methods using specific biomarkers to assess waterbody biological health. </w:t>
      </w:r>
      <w:r w:rsidRPr="00163DD9">
        <w:rPr>
          <w:rFonts w:ascii="Times New Roman" w:eastAsia="Times New Roman" w:hAnsi="Times New Roman" w:cs="Times New Roman"/>
          <w:sz w:val="24"/>
          <w:szCs w:val="24"/>
        </w:rPr>
        <w:t xml:space="preserve">Site selection was determined based on the frequency and magnitude of sucralose detections at DEAR's Surface Water Trends Monitoring Sites. </w:t>
      </w:r>
      <w:r w:rsidR="00CB656D" w:rsidRPr="00132523">
        <w:rPr>
          <w:rFonts w:ascii="Times New Roman" w:hAnsi="Times New Roman" w:cs="Times New Roman"/>
          <w:sz w:val="24"/>
          <w:szCs w:val="24"/>
        </w:rPr>
        <w:t>Three of the river</w:t>
      </w:r>
      <w:r w:rsidR="00CB656D">
        <w:rPr>
          <w:rFonts w:ascii="Times New Roman" w:hAnsi="Times New Roman" w:cs="Times New Roman"/>
          <w:sz w:val="24"/>
          <w:szCs w:val="24"/>
        </w:rPr>
        <w:t xml:space="preserve"> sites choses were </w:t>
      </w:r>
      <w:r w:rsidR="00CB656D" w:rsidRPr="00132523">
        <w:rPr>
          <w:rFonts w:ascii="Times New Roman" w:hAnsi="Times New Roman" w:cs="Times New Roman"/>
          <w:sz w:val="24"/>
          <w:szCs w:val="24"/>
        </w:rPr>
        <w:t>the Apalachicola, the Withlacoochee and the Ochlockonee</w:t>
      </w:r>
      <w:r w:rsidR="00CB656D">
        <w:rPr>
          <w:rFonts w:ascii="Times New Roman" w:hAnsi="Times New Roman" w:cs="Times New Roman"/>
          <w:sz w:val="24"/>
          <w:szCs w:val="24"/>
        </w:rPr>
        <w:t xml:space="preserve">—all which </w:t>
      </w:r>
      <w:r w:rsidR="00CB656D" w:rsidRPr="00132523">
        <w:rPr>
          <w:rFonts w:ascii="Times New Roman" w:hAnsi="Times New Roman" w:cs="Times New Roman"/>
          <w:sz w:val="24"/>
          <w:szCs w:val="24"/>
        </w:rPr>
        <w:t>flow into Florida from Georgia</w:t>
      </w:r>
      <w:r w:rsidRPr="00163DD9">
        <w:rPr>
          <w:rFonts w:ascii="Times New Roman" w:eastAsia="Times New Roman" w:hAnsi="Times New Roman" w:cs="Times New Roman"/>
          <w:sz w:val="24"/>
          <w:szCs w:val="24"/>
        </w:rPr>
        <w:t xml:space="preserve">. </w:t>
      </w:r>
      <w:r w:rsidR="00CB656D" w:rsidRPr="00132523">
        <w:rPr>
          <w:rFonts w:ascii="Times New Roman" w:hAnsi="Times New Roman" w:cs="Times New Roman"/>
          <w:sz w:val="24"/>
          <w:szCs w:val="24"/>
        </w:rPr>
        <w:t>The fourth site is located on the Alafia River, which flows west into Tampa Bay from the center of the Florida peninsula, with its headwaters near the City of Lakeland.</w:t>
      </w:r>
    </w:p>
    <w:p w14:paraId="78A44A7B" w14:textId="77777777" w:rsidR="00163DD9" w:rsidRPr="00647381" w:rsidRDefault="00AE46A7" w:rsidP="00163DD9">
      <w:pPr>
        <w:spacing w:after="240" w:line="276" w:lineRule="auto"/>
        <w:rPr>
          <w:rFonts w:ascii="Times New Roman" w:hAnsi="Times New Roman" w:cs="Times New Roman"/>
          <w:sz w:val="24"/>
          <w:szCs w:val="24"/>
        </w:rPr>
      </w:pPr>
      <w:r w:rsidRPr="00647381">
        <w:rPr>
          <w:rFonts w:ascii="Times New Roman" w:hAnsi="Times New Roman" w:cs="Times New Roman"/>
          <w:sz w:val="24"/>
          <w:szCs w:val="24"/>
        </w:rPr>
        <w:t xml:space="preserve">Polar organic compound integrative samplers (POCIS) and semi-permeable membrane devices (SPMD) were deployed at each river site in March 2017. One-time whole water grab samples were taken when the devices were retrieved 30 to 35 days later. SGS AXYS Laboratories and the DEP Laboratory conducted chemical analyses. These focused on 6 categories of EC: pesticides, pharmaceuticals and personal care products (PPCPs) perfluorinated compounds (PFCs), polybrominated diphenyl ethers (PBDEs), alkylphenols, and hormones. The University of Florida (UF) and U.S. Geological Survey (USGS) conducted biological evaluations. POCIS and SPMD extracts and whole water samples from each site were screened using </w:t>
      </w:r>
      <w:r w:rsidRPr="00647381">
        <w:rPr>
          <w:rFonts w:ascii="Times New Roman" w:hAnsi="Times New Roman" w:cs="Times New Roman"/>
          <w:i/>
          <w:iCs/>
          <w:sz w:val="24"/>
          <w:szCs w:val="24"/>
        </w:rPr>
        <w:t xml:space="preserve">in vitro </w:t>
      </w:r>
      <w:r w:rsidRPr="00647381">
        <w:rPr>
          <w:rFonts w:ascii="Times New Roman" w:hAnsi="Times New Roman" w:cs="Times New Roman"/>
          <w:sz w:val="24"/>
          <w:szCs w:val="24"/>
        </w:rPr>
        <w:t>receptor assays.</w:t>
      </w:r>
    </w:p>
    <w:p w14:paraId="51CA4EF0" w14:textId="77777777" w:rsidR="00865A98" w:rsidRPr="003900F3" w:rsidRDefault="00865A98" w:rsidP="0029618A">
      <w:pPr>
        <w:pStyle w:val="ESOCBody"/>
        <w:rPr>
          <w:sz w:val="23"/>
          <w:szCs w:val="23"/>
        </w:rPr>
      </w:pPr>
      <w:r w:rsidRPr="00865A98">
        <w:rPr>
          <w:b/>
          <w:bCs/>
          <w:sz w:val="23"/>
          <w:szCs w:val="23"/>
        </w:rPr>
        <w:t xml:space="preserve">Table 1 </w:t>
      </w:r>
      <w:r w:rsidRPr="00865A98">
        <w:rPr>
          <w:sz w:val="23"/>
          <w:szCs w:val="23"/>
        </w:rPr>
        <w:t>lists the chemistry results for the study by EC category and by analytical laboratory. Qualitative results are used so that comparisons can be made between sampling types. All compound categories were detected at all sites in at least one sampling type.</w:t>
      </w:r>
      <w:r w:rsidR="00876FAA">
        <w:rPr>
          <w:sz w:val="23"/>
          <w:szCs w:val="23"/>
        </w:rPr>
        <w:t xml:space="preserve"> </w:t>
      </w:r>
      <w:r w:rsidR="0029618A" w:rsidRPr="009E5E8D">
        <w:rPr>
          <w:b/>
          <w:bCs/>
        </w:rPr>
        <w:t xml:space="preserve">Table </w:t>
      </w:r>
      <w:r w:rsidR="00647381">
        <w:rPr>
          <w:b/>
          <w:bCs/>
        </w:rPr>
        <w:t>2</w:t>
      </w:r>
      <w:r w:rsidR="0029618A">
        <w:t xml:space="preserve"> lists t</w:t>
      </w:r>
      <w:r w:rsidR="0029618A" w:rsidRPr="000F6650">
        <w:t xml:space="preserve">he biology </w:t>
      </w:r>
      <w:r w:rsidR="0029618A">
        <w:t>categories</w:t>
      </w:r>
      <w:r w:rsidR="0029618A" w:rsidRPr="000F6650">
        <w:t xml:space="preserve"> by test type</w:t>
      </w:r>
      <w:r w:rsidR="0029618A">
        <w:t xml:space="preserve"> and laboratory</w:t>
      </w:r>
      <w:r w:rsidR="0029618A">
        <w:rPr>
          <w:sz w:val="23"/>
          <w:szCs w:val="23"/>
        </w:rPr>
        <w:t>.</w:t>
      </w:r>
      <w:r w:rsidR="003900F3">
        <w:t xml:space="preserve"> </w:t>
      </w:r>
    </w:p>
    <w:p w14:paraId="59432993" w14:textId="77777777" w:rsidR="00865A98" w:rsidRPr="006F2483" w:rsidRDefault="00865A98" w:rsidP="00865A98">
      <w:pPr>
        <w:pStyle w:val="Default"/>
      </w:pPr>
      <w:r w:rsidRPr="006F2483">
        <w:rPr>
          <w:b/>
          <w:bCs/>
        </w:rPr>
        <w:t xml:space="preserve">Table 1. Number of compounds analyzed in each category </w:t>
      </w:r>
    </w:p>
    <w:p w14:paraId="009EC4D2" w14:textId="77777777" w:rsidR="00865A98" w:rsidRDefault="00865A98" w:rsidP="00865A98">
      <w:pPr>
        <w:pStyle w:val="Default"/>
        <w:rPr>
          <w:sz w:val="16"/>
          <w:szCs w:val="16"/>
        </w:rPr>
      </w:pPr>
      <w:r>
        <w:rPr>
          <w:sz w:val="16"/>
          <w:szCs w:val="16"/>
        </w:rPr>
        <w:t xml:space="preserve">* The DEP Lab used a reduced analyte list for some sampling devices. POCIS samples were not analyzed for 29 pesticide compounds. SPMD samples were not analyzed for 1 pesticide compound. </w:t>
      </w:r>
    </w:p>
    <w:p w14:paraId="65F16CA7" w14:textId="77777777" w:rsidR="00865A98" w:rsidRDefault="00865A98" w:rsidP="00865A98">
      <w:pPr>
        <w:pStyle w:val="Default"/>
        <w:rPr>
          <w:sz w:val="16"/>
          <w:szCs w:val="16"/>
        </w:rPr>
      </w:pPr>
      <w:r>
        <w:rPr>
          <w:sz w:val="16"/>
          <w:szCs w:val="16"/>
        </w:rPr>
        <w:t xml:space="preserve">**SPMD samples were not analyzed for PPCPs by the SGS AXYS Lab. </w:t>
      </w:r>
    </w:p>
    <w:tbl>
      <w:tblPr>
        <w:tblStyle w:val="TableGrid"/>
        <w:tblW w:w="8233" w:type="dxa"/>
        <w:jc w:val="center"/>
        <w:tblCellMar>
          <w:top w:w="29" w:type="dxa"/>
          <w:left w:w="115" w:type="dxa"/>
          <w:bottom w:w="29" w:type="dxa"/>
          <w:right w:w="115" w:type="dxa"/>
        </w:tblCellMar>
        <w:tblLook w:val="04A0" w:firstRow="1" w:lastRow="0" w:firstColumn="1" w:lastColumn="0" w:noHBand="0" w:noVBand="1"/>
      </w:tblPr>
      <w:tblGrid>
        <w:gridCol w:w="2160"/>
        <w:gridCol w:w="2483"/>
        <w:gridCol w:w="1975"/>
        <w:gridCol w:w="1615"/>
      </w:tblGrid>
      <w:tr w:rsidR="00865A98" w:rsidRPr="00E8433D" w14:paraId="553E240A" w14:textId="77777777" w:rsidTr="00805D14">
        <w:trPr>
          <w:trHeight w:val="78"/>
          <w:tblHeader/>
          <w:jc w:val="center"/>
        </w:trPr>
        <w:tc>
          <w:tcPr>
            <w:tcW w:w="2160" w:type="dxa"/>
            <w:shd w:val="clear" w:color="auto" w:fill="B4C6E7" w:themeFill="accent1" w:themeFillTint="66"/>
            <w:vAlign w:val="bottom"/>
          </w:tcPr>
          <w:p w14:paraId="79E21DA1" w14:textId="77777777" w:rsidR="00865A98" w:rsidRPr="00314710" w:rsidRDefault="00865A98" w:rsidP="00805D14">
            <w:pPr>
              <w:pStyle w:val="TT"/>
              <w:rPr>
                <w:b/>
              </w:rPr>
            </w:pPr>
            <w:r w:rsidRPr="00314710">
              <w:rPr>
                <w:b/>
                <w:bCs w:val="0"/>
              </w:rPr>
              <w:t>Category</w:t>
            </w:r>
          </w:p>
        </w:tc>
        <w:tc>
          <w:tcPr>
            <w:tcW w:w="2483" w:type="dxa"/>
            <w:shd w:val="clear" w:color="auto" w:fill="B4C6E7" w:themeFill="accent1" w:themeFillTint="66"/>
            <w:vAlign w:val="bottom"/>
          </w:tcPr>
          <w:p w14:paraId="7297A26B" w14:textId="77777777" w:rsidR="00865A98" w:rsidRPr="00314710" w:rsidRDefault="00865A98" w:rsidP="00805D14">
            <w:pPr>
              <w:pStyle w:val="TT"/>
              <w:rPr>
                <w:b/>
              </w:rPr>
            </w:pPr>
            <w:r w:rsidRPr="00314710">
              <w:rPr>
                <w:b/>
                <w:bCs w:val="0"/>
              </w:rPr>
              <w:t>Sampling Devices Used</w:t>
            </w:r>
          </w:p>
        </w:tc>
        <w:tc>
          <w:tcPr>
            <w:tcW w:w="1975" w:type="dxa"/>
            <w:shd w:val="clear" w:color="auto" w:fill="B4C6E7" w:themeFill="accent1" w:themeFillTint="66"/>
            <w:vAlign w:val="bottom"/>
          </w:tcPr>
          <w:p w14:paraId="3E3EE9AB" w14:textId="77777777" w:rsidR="00865A98" w:rsidRPr="00314710" w:rsidRDefault="00865A98" w:rsidP="00805D14">
            <w:pPr>
              <w:pStyle w:val="TT"/>
              <w:rPr>
                <w:b/>
              </w:rPr>
            </w:pPr>
            <w:r w:rsidRPr="00314710">
              <w:rPr>
                <w:b/>
                <w:bCs w:val="0"/>
              </w:rPr>
              <w:t xml:space="preserve">Number of Compounds Analyzed by SGS AXYS </w:t>
            </w:r>
            <w:r>
              <w:rPr>
                <w:b/>
                <w:bCs w:val="0"/>
              </w:rPr>
              <w:t>L</w:t>
            </w:r>
            <w:r w:rsidRPr="00314710">
              <w:rPr>
                <w:b/>
                <w:bCs w:val="0"/>
              </w:rPr>
              <w:t>ab</w:t>
            </w:r>
          </w:p>
        </w:tc>
        <w:tc>
          <w:tcPr>
            <w:tcW w:w="1615" w:type="dxa"/>
            <w:shd w:val="clear" w:color="auto" w:fill="B4C6E7" w:themeFill="accent1" w:themeFillTint="66"/>
            <w:vAlign w:val="bottom"/>
          </w:tcPr>
          <w:p w14:paraId="0E971646" w14:textId="77777777" w:rsidR="00865A98" w:rsidRPr="00314710" w:rsidRDefault="00865A98" w:rsidP="00805D14">
            <w:pPr>
              <w:pStyle w:val="TT"/>
              <w:rPr>
                <w:b/>
              </w:rPr>
            </w:pPr>
            <w:r w:rsidRPr="00314710">
              <w:rPr>
                <w:b/>
                <w:bCs w:val="0"/>
              </w:rPr>
              <w:t xml:space="preserve">Number of Compounds Analyzed by DEP </w:t>
            </w:r>
            <w:r>
              <w:rPr>
                <w:b/>
                <w:bCs w:val="0"/>
              </w:rPr>
              <w:t>L</w:t>
            </w:r>
            <w:r w:rsidRPr="00314710">
              <w:rPr>
                <w:b/>
                <w:bCs w:val="0"/>
              </w:rPr>
              <w:t>ab</w:t>
            </w:r>
          </w:p>
        </w:tc>
      </w:tr>
      <w:tr w:rsidR="00865A98" w:rsidRPr="00D70E7A" w14:paraId="3A23DC5A" w14:textId="77777777" w:rsidTr="00805D14">
        <w:trPr>
          <w:cantSplit/>
          <w:trHeight w:val="78"/>
          <w:jc w:val="center"/>
        </w:trPr>
        <w:tc>
          <w:tcPr>
            <w:tcW w:w="2160" w:type="dxa"/>
            <w:vAlign w:val="center"/>
            <w:hideMark/>
          </w:tcPr>
          <w:p w14:paraId="4BF97EB4" w14:textId="77777777" w:rsidR="00865A98" w:rsidRPr="00314710" w:rsidRDefault="00865A98" w:rsidP="00805D14">
            <w:pPr>
              <w:pStyle w:val="TT"/>
              <w:rPr>
                <w:b/>
              </w:rPr>
            </w:pPr>
            <w:r w:rsidRPr="00314710">
              <w:rPr>
                <w:b/>
                <w:bCs w:val="0"/>
              </w:rPr>
              <w:t>Pesticides</w:t>
            </w:r>
          </w:p>
        </w:tc>
        <w:tc>
          <w:tcPr>
            <w:tcW w:w="2483" w:type="dxa"/>
            <w:vAlign w:val="center"/>
            <w:hideMark/>
          </w:tcPr>
          <w:p w14:paraId="3D7EAEE2" w14:textId="77777777" w:rsidR="00865A98" w:rsidRPr="00D70E7A" w:rsidRDefault="00865A98" w:rsidP="00805D14">
            <w:pPr>
              <w:pStyle w:val="TT"/>
            </w:pPr>
            <w:r w:rsidRPr="00D70E7A">
              <w:t xml:space="preserve">POCIS, SPMD, </w:t>
            </w:r>
            <w:r>
              <w:t>and</w:t>
            </w:r>
            <w:r w:rsidRPr="00D70E7A">
              <w:t xml:space="preserve"> Grab</w:t>
            </w:r>
          </w:p>
        </w:tc>
        <w:tc>
          <w:tcPr>
            <w:tcW w:w="1975" w:type="dxa"/>
            <w:vAlign w:val="center"/>
          </w:tcPr>
          <w:p w14:paraId="4007F8BB" w14:textId="77777777" w:rsidR="00865A98" w:rsidRPr="00D70E7A" w:rsidRDefault="00865A98" w:rsidP="00805D14">
            <w:pPr>
              <w:pStyle w:val="TT"/>
            </w:pPr>
            <w:r w:rsidRPr="00D70E7A">
              <w:t>76</w:t>
            </w:r>
          </w:p>
        </w:tc>
        <w:tc>
          <w:tcPr>
            <w:tcW w:w="1615" w:type="dxa"/>
            <w:vAlign w:val="center"/>
          </w:tcPr>
          <w:p w14:paraId="0CDDF59A" w14:textId="77777777" w:rsidR="00865A98" w:rsidRPr="00D70E7A" w:rsidRDefault="00865A98" w:rsidP="00805D14">
            <w:pPr>
              <w:pStyle w:val="TT"/>
            </w:pPr>
            <w:r w:rsidRPr="00D70E7A">
              <w:t>88*</w:t>
            </w:r>
          </w:p>
        </w:tc>
      </w:tr>
      <w:tr w:rsidR="00865A98" w:rsidRPr="00D70E7A" w14:paraId="5755561A" w14:textId="77777777" w:rsidTr="00805D14">
        <w:trPr>
          <w:cantSplit/>
          <w:trHeight w:val="366"/>
          <w:jc w:val="center"/>
        </w:trPr>
        <w:tc>
          <w:tcPr>
            <w:tcW w:w="2160" w:type="dxa"/>
            <w:vAlign w:val="center"/>
            <w:hideMark/>
          </w:tcPr>
          <w:p w14:paraId="0CC94682" w14:textId="77777777" w:rsidR="00865A98" w:rsidRPr="00314710" w:rsidRDefault="00865A98" w:rsidP="00805D14">
            <w:pPr>
              <w:pStyle w:val="TT"/>
              <w:rPr>
                <w:b/>
              </w:rPr>
            </w:pPr>
            <w:r w:rsidRPr="00314710">
              <w:rPr>
                <w:b/>
                <w:bCs w:val="0"/>
              </w:rPr>
              <w:t>PPCP</w:t>
            </w:r>
            <w:r>
              <w:rPr>
                <w:b/>
                <w:bCs w:val="0"/>
              </w:rPr>
              <w:t>s</w:t>
            </w:r>
          </w:p>
        </w:tc>
        <w:tc>
          <w:tcPr>
            <w:tcW w:w="2483" w:type="dxa"/>
            <w:vAlign w:val="center"/>
            <w:hideMark/>
          </w:tcPr>
          <w:p w14:paraId="20A2AC97" w14:textId="77777777" w:rsidR="00865A98" w:rsidRPr="00D70E7A" w:rsidRDefault="00865A98" w:rsidP="00805D14">
            <w:pPr>
              <w:pStyle w:val="TT"/>
            </w:pPr>
            <w:r w:rsidRPr="00D70E7A">
              <w:t xml:space="preserve">POCIS, </w:t>
            </w:r>
            <w:proofErr w:type="gramStart"/>
            <w:r w:rsidRPr="00D70E7A">
              <w:t>SPMD</w:t>
            </w:r>
            <w:r>
              <w:t>,</w:t>
            </w:r>
            <w:r w:rsidRPr="00D70E7A">
              <w:t>*</w:t>
            </w:r>
            <w:proofErr w:type="gramEnd"/>
            <w:r w:rsidRPr="00D70E7A">
              <w:t xml:space="preserve">* </w:t>
            </w:r>
            <w:r>
              <w:t>and</w:t>
            </w:r>
            <w:r w:rsidRPr="00D70E7A">
              <w:t xml:space="preserve"> Grab</w:t>
            </w:r>
          </w:p>
        </w:tc>
        <w:tc>
          <w:tcPr>
            <w:tcW w:w="1975" w:type="dxa"/>
            <w:vAlign w:val="center"/>
          </w:tcPr>
          <w:p w14:paraId="1BC3DBA6" w14:textId="77777777" w:rsidR="00865A98" w:rsidRPr="00D70E7A" w:rsidRDefault="00865A98" w:rsidP="00805D14">
            <w:pPr>
              <w:pStyle w:val="TT"/>
            </w:pPr>
            <w:r w:rsidRPr="00D70E7A">
              <w:t>127</w:t>
            </w:r>
          </w:p>
        </w:tc>
        <w:tc>
          <w:tcPr>
            <w:tcW w:w="1615" w:type="dxa"/>
            <w:vAlign w:val="center"/>
          </w:tcPr>
          <w:p w14:paraId="43CE2B06" w14:textId="77777777" w:rsidR="00865A98" w:rsidRPr="00D70E7A" w:rsidRDefault="00865A98" w:rsidP="00805D14">
            <w:pPr>
              <w:pStyle w:val="TT"/>
            </w:pPr>
            <w:r w:rsidRPr="00D70E7A">
              <w:t>4</w:t>
            </w:r>
          </w:p>
        </w:tc>
      </w:tr>
      <w:tr w:rsidR="00865A98" w:rsidRPr="00D70E7A" w14:paraId="7896528C" w14:textId="77777777" w:rsidTr="00805D14">
        <w:trPr>
          <w:cantSplit/>
          <w:trHeight w:val="123"/>
          <w:jc w:val="center"/>
        </w:trPr>
        <w:tc>
          <w:tcPr>
            <w:tcW w:w="2160" w:type="dxa"/>
            <w:vAlign w:val="center"/>
            <w:hideMark/>
          </w:tcPr>
          <w:p w14:paraId="7FD503E0" w14:textId="77777777" w:rsidR="00865A98" w:rsidRPr="00314710" w:rsidRDefault="00865A98" w:rsidP="00805D14">
            <w:pPr>
              <w:pStyle w:val="TT"/>
              <w:rPr>
                <w:b/>
              </w:rPr>
            </w:pPr>
            <w:r w:rsidRPr="00314710">
              <w:rPr>
                <w:b/>
                <w:bCs w:val="0"/>
              </w:rPr>
              <w:t>Hormones</w:t>
            </w:r>
          </w:p>
        </w:tc>
        <w:tc>
          <w:tcPr>
            <w:tcW w:w="2483" w:type="dxa"/>
            <w:vAlign w:val="center"/>
            <w:hideMark/>
          </w:tcPr>
          <w:p w14:paraId="2A029FD0" w14:textId="77777777" w:rsidR="00865A98" w:rsidRPr="00D70E7A" w:rsidRDefault="00865A98" w:rsidP="00805D14">
            <w:pPr>
              <w:pStyle w:val="TT"/>
            </w:pPr>
            <w:r w:rsidRPr="00D70E7A">
              <w:t xml:space="preserve">POCIS </w:t>
            </w:r>
            <w:r>
              <w:t>and</w:t>
            </w:r>
            <w:r w:rsidRPr="00D70E7A">
              <w:t xml:space="preserve"> Grab</w:t>
            </w:r>
          </w:p>
        </w:tc>
        <w:tc>
          <w:tcPr>
            <w:tcW w:w="1975" w:type="dxa"/>
            <w:vAlign w:val="center"/>
          </w:tcPr>
          <w:p w14:paraId="41B9B6B8" w14:textId="77777777" w:rsidR="00865A98" w:rsidRPr="00D70E7A" w:rsidRDefault="00865A98" w:rsidP="00805D14">
            <w:pPr>
              <w:pStyle w:val="TT"/>
            </w:pPr>
            <w:r w:rsidRPr="00D70E7A">
              <w:t>17</w:t>
            </w:r>
          </w:p>
        </w:tc>
        <w:tc>
          <w:tcPr>
            <w:tcW w:w="1615" w:type="dxa"/>
            <w:vAlign w:val="center"/>
          </w:tcPr>
          <w:p w14:paraId="0CA3879D" w14:textId="77777777" w:rsidR="00865A98" w:rsidRPr="00D70E7A" w:rsidRDefault="00865A98" w:rsidP="00805D14">
            <w:pPr>
              <w:pStyle w:val="TT"/>
            </w:pPr>
            <w:r w:rsidRPr="00D70E7A">
              <w:t>N/A</w:t>
            </w:r>
          </w:p>
        </w:tc>
      </w:tr>
      <w:tr w:rsidR="00865A98" w:rsidRPr="00D70E7A" w14:paraId="1311FD01" w14:textId="77777777" w:rsidTr="00805D14">
        <w:trPr>
          <w:cantSplit/>
          <w:trHeight w:val="231"/>
          <w:jc w:val="center"/>
        </w:trPr>
        <w:tc>
          <w:tcPr>
            <w:tcW w:w="2160" w:type="dxa"/>
            <w:vAlign w:val="center"/>
            <w:hideMark/>
          </w:tcPr>
          <w:p w14:paraId="39E9ADC2" w14:textId="77777777" w:rsidR="00865A98" w:rsidRPr="00314710" w:rsidRDefault="00865A98" w:rsidP="00805D14">
            <w:pPr>
              <w:pStyle w:val="TT"/>
              <w:rPr>
                <w:b/>
              </w:rPr>
            </w:pPr>
            <w:r w:rsidRPr="00314710">
              <w:rPr>
                <w:b/>
                <w:bCs w:val="0"/>
              </w:rPr>
              <w:t>PFC</w:t>
            </w:r>
            <w:r>
              <w:rPr>
                <w:b/>
                <w:bCs w:val="0"/>
              </w:rPr>
              <w:t>s</w:t>
            </w:r>
          </w:p>
        </w:tc>
        <w:tc>
          <w:tcPr>
            <w:tcW w:w="2483" w:type="dxa"/>
            <w:vAlign w:val="center"/>
            <w:hideMark/>
          </w:tcPr>
          <w:p w14:paraId="54BBD0B4" w14:textId="77777777" w:rsidR="00865A98" w:rsidRPr="00D70E7A" w:rsidRDefault="00865A98" w:rsidP="00805D14">
            <w:pPr>
              <w:pStyle w:val="TT"/>
            </w:pPr>
            <w:r w:rsidRPr="00D70E7A">
              <w:t xml:space="preserve">POCIS </w:t>
            </w:r>
            <w:r>
              <w:t>and</w:t>
            </w:r>
            <w:r w:rsidRPr="00D70E7A">
              <w:t xml:space="preserve"> Grab</w:t>
            </w:r>
          </w:p>
        </w:tc>
        <w:tc>
          <w:tcPr>
            <w:tcW w:w="1975" w:type="dxa"/>
            <w:vAlign w:val="center"/>
          </w:tcPr>
          <w:p w14:paraId="44427271" w14:textId="77777777" w:rsidR="00865A98" w:rsidRPr="00D70E7A" w:rsidRDefault="00865A98" w:rsidP="00805D14">
            <w:pPr>
              <w:pStyle w:val="TT"/>
            </w:pPr>
            <w:r w:rsidRPr="00D70E7A">
              <w:t>13</w:t>
            </w:r>
          </w:p>
        </w:tc>
        <w:tc>
          <w:tcPr>
            <w:tcW w:w="1615" w:type="dxa"/>
            <w:vAlign w:val="center"/>
          </w:tcPr>
          <w:p w14:paraId="442D25DA" w14:textId="77777777" w:rsidR="00865A98" w:rsidRPr="00D70E7A" w:rsidRDefault="00865A98" w:rsidP="00805D14">
            <w:pPr>
              <w:pStyle w:val="TT"/>
            </w:pPr>
            <w:r w:rsidRPr="00D70E7A">
              <w:t>N/A</w:t>
            </w:r>
          </w:p>
        </w:tc>
      </w:tr>
      <w:tr w:rsidR="00865A98" w:rsidRPr="00D70E7A" w14:paraId="05EFA5A4" w14:textId="77777777" w:rsidTr="00805D14">
        <w:trPr>
          <w:cantSplit/>
          <w:trHeight w:val="258"/>
          <w:jc w:val="center"/>
        </w:trPr>
        <w:tc>
          <w:tcPr>
            <w:tcW w:w="2160" w:type="dxa"/>
            <w:vAlign w:val="center"/>
            <w:hideMark/>
          </w:tcPr>
          <w:p w14:paraId="3423DCEA" w14:textId="77777777" w:rsidR="00865A98" w:rsidRPr="00314710" w:rsidRDefault="00865A98" w:rsidP="00805D14">
            <w:pPr>
              <w:pStyle w:val="TT"/>
              <w:rPr>
                <w:b/>
              </w:rPr>
            </w:pPr>
            <w:r w:rsidRPr="00314710">
              <w:rPr>
                <w:b/>
                <w:bCs w:val="0"/>
              </w:rPr>
              <w:lastRenderedPageBreak/>
              <w:t>PBDE</w:t>
            </w:r>
            <w:r>
              <w:rPr>
                <w:b/>
                <w:bCs w:val="0"/>
              </w:rPr>
              <w:t>s</w:t>
            </w:r>
          </w:p>
        </w:tc>
        <w:tc>
          <w:tcPr>
            <w:tcW w:w="2483" w:type="dxa"/>
            <w:vAlign w:val="center"/>
            <w:hideMark/>
          </w:tcPr>
          <w:p w14:paraId="5EDED6C5" w14:textId="77777777" w:rsidR="00865A98" w:rsidRPr="00D70E7A" w:rsidRDefault="00865A98" w:rsidP="00805D14">
            <w:pPr>
              <w:pStyle w:val="TT"/>
            </w:pPr>
            <w:r w:rsidRPr="00D70E7A">
              <w:t xml:space="preserve">SPMD </w:t>
            </w:r>
            <w:r>
              <w:t>and</w:t>
            </w:r>
            <w:r w:rsidRPr="00D70E7A">
              <w:t xml:space="preserve"> Grab</w:t>
            </w:r>
          </w:p>
        </w:tc>
        <w:tc>
          <w:tcPr>
            <w:tcW w:w="1975" w:type="dxa"/>
            <w:vAlign w:val="center"/>
          </w:tcPr>
          <w:p w14:paraId="25E234A3" w14:textId="77777777" w:rsidR="00865A98" w:rsidRPr="00D70E7A" w:rsidRDefault="00865A98" w:rsidP="00805D14">
            <w:pPr>
              <w:pStyle w:val="TT"/>
            </w:pPr>
            <w:r w:rsidRPr="00D70E7A">
              <w:t>8</w:t>
            </w:r>
          </w:p>
        </w:tc>
        <w:tc>
          <w:tcPr>
            <w:tcW w:w="1615" w:type="dxa"/>
            <w:vAlign w:val="center"/>
          </w:tcPr>
          <w:p w14:paraId="720A085C" w14:textId="77777777" w:rsidR="00865A98" w:rsidRPr="00D70E7A" w:rsidRDefault="00865A98" w:rsidP="00805D14">
            <w:pPr>
              <w:pStyle w:val="TT"/>
            </w:pPr>
            <w:r w:rsidRPr="00D70E7A">
              <w:t>N/A</w:t>
            </w:r>
          </w:p>
        </w:tc>
      </w:tr>
      <w:tr w:rsidR="00865A98" w:rsidRPr="00D70E7A" w14:paraId="042BEC79" w14:textId="77777777" w:rsidTr="00805D14">
        <w:trPr>
          <w:cantSplit/>
          <w:trHeight w:val="41"/>
          <w:jc w:val="center"/>
        </w:trPr>
        <w:tc>
          <w:tcPr>
            <w:tcW w:w="2160" w:type="dxa"/>
            <w:vAlign w:val="center"/>
            <w:hideMark/>
          </w:tcPr>
          <w:p w14:paraId="55B22D90" w14:textId="77777777" w:rsidR="00865A98" w:rsidRPr="00314710" w:rsidRDefault="00865A98" w:rsidP="00805D14">
            <w:pPr>
              <w:pStyle w:val="TT"/>
              <w:rPr>
                <w:b/>
              </w:rPr>
            </w:pPr>
            <w:r w:rsidRPr="00314710">
              <w:rPr>
                <w:b/>
                <w:bCs w:val="0"/>
              </w:rPr>
              <w:t>Alkylphenols</w:t>
            </w:r>
          </w:p>
        </w:tc>
        <w:tc>
          <w:tcPr>
            <w:tcW w:w="2483" w:type="dxa"/>
            <w:vAlign w:val="center"/>
            <w:hideMark/>
          </w:tcPr>
          <w:p w14:paraId="2F8AD4DD" w14:textId="77777777" w:rsidR="00865A98" w:rsidRPr="00D70E7A" w:rsidRDefault="00865A98" w:rsidP="00805D14">
            <w:pPr>
              <w:pStyle w:val="TT"/>
            </w:pPr>
            <w:r w:rsidRPr="00D70E7A">
              <w:t xml:space="preserve">SPMD </w:t>
            </w:r>
            <w:r>
              <w:t>and</w:t>
            </w:r>
            <w:r w:rsidRPr="00D70E7A">
              <w:t xml:space="preserve"> Grab</w:t>
            </w:r>
          </w:p>
        </w:tc>
        <w:tc>
          <w:tcPr>
            <w:tcW w:w="1975" w:type="dxa"/>
            <w:vAlign w:val="center"/>
          </w:tcPr>
          <w:p w14:paraId="7C14FD2B" w14:textId="77777777" w:rsidR="00865A98" w:rsidRPr="00D70E7A" w:rsidRDefault="00865A98" w:rsidP="00805D14">
            <w:pPr>
              <w:pStyle w:val="TT"/>
            </w:pPr>
            <w:r w:rsidRPr="00D70E7A">
              <w:t>4</w:t>
            </w:r>
          </w:p>
        </w:tc>
        <w:tc>
          <w:tcPr>
            <w:tcW w:w="1615" w:type="dxa"/>
            <w:vAlign w:val="center"/>
          </w:tcPr>
          <w:p w14:paraId="4C41677C" w14:textId="77777777" w:rsidR="00865A98" w:rsidRPr="00D70E7A" w:rsidRDefault="00865A98" w:rsidP="00805D14">
            <w:pPr>
              <w:pStyle w:val="TT"/>
            </w:pPr>
            <w:r w:rsidRPr="00D70E7A">
              <w:t>N/A</w:t>
            </w:r>
          </w:p>
        </w:tc>
      </w:tr>
    </w:tbl>
    <w:p w14:paraId="241B8B11" w14:textId="77777777" w:rsidR="00865A98" w:rsidRDefault="00865A98" w:rsidP="00163DD9">
      <w:pPr>
        <w:spacing w:after="240" w:line="276" w:lineRule="auto"/>
        <w:rPr>
          <w:rFonts w:ascii="Times New Roman" w:eastAsia="Times New Roman" w:hAnsi="Times New Roman" w:cs="Times New Roman"/>
          <w:bCs/>
          <w:iCs/>
          <w:sz w:val="24"/>
          <w:szCs w:val="24"/>
        </w:rPr>
      </w:pPr>
    </w:p>
    <w:p w14:paraId="4FB2CBFD" w14:textId="77777777" w:rsidR="0029618A" w:rsidRPr="00252EFE" w:rsidRDefault="0029618A" w:rsidP="0029618A">
      <w:pPr>
        <w:pStyle w:val="Tableheader"/>
      </w:pPr>
      <w:bookmarkStart w:id="12" w:name="_Toc15372195"/>
      <w:r w:rsidRPr="00132523">
        <w:t xml:space="preserve">Table </w:t>
      </w:r>
      <w:r w:rsidR="00647381">
        <w:t>2</w:t>
      </w:r>
      <w:r w:rsidRPr="00132523">
        <w:t>.</w:t>
      </w:r>
      <w:r>
        <w:t xml:space="preserve"> Assay categories with assay name and entity conducting assay</w:t>
      </w:r>
      <w:bookmarkEnd w:id="12"/>
    </w:p>
    <w:tbl>
      <w:tblPr>
        <w:tblStyle w:val="TableGrid"/>
        <w:tblW w:w="0" w:type="auto"/>
        <w:jc w:val="center"/>
        <w:tblLook w:val="04A0" w:firstRow="1" w:lastRow="0" w:firstColumn="1" w:lastColumn="0" w:noHBand="0" w:noVBand="1"/>
      </w:tblPr>
      <w:tblGrid>
        <w:gridCol w:w="3116"/>
        <w:gridCol w:w="3117"/>
        <w:gridCol w:w="1772"/>
      </w:tblGrid>
      <w:tr w:rsidR="0029618A" w:rsidRPr="00E8433D" w14:paraId="082CE5B9" w14:textId="77777777" w:rsidTr="00805D14">
        <w:trPr>
          <w:tblHeader/>
          <w:jc w:val="center"/>
        </w:trPr>
        <w:tc>
          <w:tcPr>
            <w:tcW w:w="3116" w:type="dxa"/>
            <w:shd w:val="clear" w:color="auto" w:fill="B4C6E7" w:themeFill="accent1" w:themeFillTint="66"/>
            <w:vAlign w:val="bottom"/>
          </w:tcPr>
          <w:p w14:paraId="19488753" w14:textId="77777777" w:rsidR="0029618A" w:rsidRPr="00314710" w:rsidRDefault="0029618A" w:rsidP="00805D14">
            <w:pPr>
              <w:pStyle w:val="TT"/>
              <w:rPr>
                <w:b/>
              </w:rPr>
            </w:pPr>
            <w:r w:rsidRPr="00314710">
              <w:rPr>
                <w:b/>
                <w:bCs w:val="0"/>
              </w:rPr>
              <w:t>Assay Category</w:t>
            </w:r>
          </w:p>
        </w:tc>
        <w:tc>
          <w:tcPr>
            <w:tcW w:w="3117" w:type="dxa"/>
            <w:shd w:val="clear" w:color="auto" w:fill="B4C6E7" w:themeFill="accent1" w:themeFillTint="66"/>
            <w:vAlign w:val="bottom"/>
          </w:tcPr>
          <w:p w14:paraId="0E7C2989" w14:textId="77777777" w:rsidR="0029618A" w:rsidRPr="00314710" w:rsidRDefault="0029618A" w:rsidP="00805D14">
            <w:pPr>
              <w:pStyle w:val="TT"/>
              <w:rPr>
                <w:b/>
              </w:rPr>
            </w:pPr>
            <w:r w:rsidRPr="00314710">
              <w:rPr>
                <w:b/>
                <w:bCs w:val="0"/>
              </w:rPr>
              <w:t>Assay Name</w:t>
            </w:r>
          </w:p>
        </w:tc>
        <w:tc>
          <w:tcPr>
            <w:tcW w:w="1772" w:type="dxa"/>
            <w:shd w:val="clear" w:color="auto" w:fill="B4C6E7" w:themeFill="accent1" w:themeFillTint="66"/>
            <w:vAlign w:val="bottom"/>
          </w:tcPr>
          <w:p w14:paraId="4C5230F4" w14:textId="77777777" w:rsidR="0029618A" w:rsidRPr="00314710" w:rsidRDefault="0029618A" w:rsidP="00805D14">
            <w:pPr>
              <w:pStyle w:val="TT"/>
              <w:rPr>
                <w:b/>
              </w:rPr>
            </w:pPr>
            <w:r w:rsidRPr="00314710">
              <w:rPr>
                <w:b/>
                <w:bCs w:val="0"/>
              </w:rPr>
              <w:t xml:space="preserve">Entity </w:t>
            </w:r>
            <w:r>
              <w:rPr>
                <w:b/>
                <w:bCs w:val="0"/>
              </w:rPr>
              <w:t>C</w:t>
            </w:r>
            <w:r w:rsidRPr="00314710">
              <w:rPr>
                <w:b/>
                <w:bCs w:val="0"/>
              </w:rPr>
              <w:t>onduct</w:t>
            </w:r>
            <w:r>
              <w:rPr>
                <w:b/>
                <w:bCs w:val="0"/>
              </w:rPr>
              <w:t>ing</w:t>
            </w:r>
            <w:r w:rsidRPr="00314710">
              <w:rPr>
                <w:b/>
                <w:bCs w:val="0"/>
              </w:rPr>
              <w:t xml:space="preserve"> </w:t>
            </w:r>
            <w:r>
              <w:rPr>
                <w:b/>
                <w:bCs w:val="0"/>
              </w:rPr>
              <w:t>A</w:t>
            </w:r>
            <w:r w:rsidRPr="00314710">
              <w:rPr>
                <w:b/>
                <w:bCs w:val="0"/>
              </w:rPr>
              <w:t>ssay</w:t>
            </w:r>
          </w:p>
        </w:tc>
      </w:tr>
      <w:tr w:rsidR="0029618A" w14:paraId="4FF85B77" w14:textId="77777777" w:rsidTr="00805D14">
        <w:trPr>
          <w:cantSplit/>
          <w:jc w:val="center"/>
        </w:trPr>
        <w:tc>
          <w:tcPr>
            <w:tcW w:w="3116" w:type="dxa"/>
            <w:vAlign w:val="center"/>
          </w:tcPr>
          <w:p w14:paraId="3D759EF5" w14:textId="77777777" w:rsidR="0029618A" w:rsidRPr="00314710" w:rsidRDefault="0029618A" w:rsidP="00805D14">
            <w:pPr>
              <w:pStyle w:val="TT"/>
              <w:rPr>
                <w:b/>
              </w:rPr>
            </w:pPr>
            <w:r w:rsidRPr="00314710">
              <w:rPr>
                <w:b/>
                <w:bCs w:val="0"/>
              </w:rPr>
              <w:t>Receptor Binding Assay</w:t>
            </w:r>
          </w:p>
        </w:tc>
        <w:tc>
          <w:tcPr>
            <w:tcW w:w="3117" w:type="dxa"/>
            <w:vAlign w:val="center"/>
          </w:tcPr>
          <w:p w14:paraId="645FF20C" w14:textId="77777777" w:rsidR="0029618A" w:rsidRDefault="0029618A" w:rsidP="00805D14">
            <w:pPr>
              <w:pStyle w:val="TT"/>
            </w:pPr>
            <w:r>
              <w:t>Estrogen and androgen receptor binding by fluorescence polarization</w:t>
            </w:r>
          </w:p>
        </w:tc>
        <w:tc>
          <w:tcPr>
            <w:tcW w:w="1772" w:type="dxa"/>
            <w:vAlign w:val="center"/>
          </w:tcPr>
          <w:p w14:paraId="4FD5966B" w14:textId="77777777" w:rsidR="0029618A" w:rsidRDefault="0029618A" w:rsidP="00805D14">
            <w:pPr>
              <w:pStyle w:val="TT"/>
            </w:pPr>
            <w:r>
              <w:t>UF</w:t>
            </w:r>
          </w:p>
        </w:tc>
      </w:tr>
      <w:tr w:rsidR="0029618A" w14:paraId="0AC99975" w14:textId="77777777" w:rsidTr="00805D14">
        <w:trPr>
          <w:cantSplit/>
          <w:jc w:val="center"/>
        </w:trPr>
        <w:tc>
          <w:tcPr>
            <w:tcW w:w="3116" w:type="dxa"/>
            <w:vAlign w:val="center"/>
          </w:tcPr>
          <w:p w14:paraId="05D9C0D9" w14:textId="77777777" w:rsidR="0029618A" w:rsidRPr="00314710" w:rsidRDefault="0029618A" w:rsidP="00805D14">
            <w:pPr>
              <w:pStyle w:val="TT"/>
              <w:rPr>
                <w:b/>
              </w:rPr>
            </w:pPr>
            <w:r w:rsidRPr="00314710">
              <w:rPr>
                <w:b/>
                <w:bCs w:val="0"/>
              </w:rPr>
              <w:t>Receptor Transactivation Assay</w:t>
            </w:r>
          </w:p>
        </w:tc>
        <w:tc>
          <w:tcPr>
            <w:tcW w:w="3117" w:type="dxa"/>
            <w:vAlign w:val="center"/>
          </w:tcPr>
          <w:p w14:paraId="0DC7E56E" w14:textId="77777777" w:rsidR="0029618A" w:rsidRDefault="0029618A" w:rsidP="00805D14">
            <w:pPr>
              <w:pStyle w:val="TT"/>
            </w:pPr>
            <w:r>
              <w:t>Estrogen and androgen transactivation assay by using both agonist and antagonist modes</w:t>
            </w:r>
          </w:p>
        </w:tc>
        <w:tc>
          <w:tcPr>
            <w:tcW w:w="1772" w:type="dxa"/>
            <w:vAlign w:val="center"/>
          </w:tcPr>
          <w:p w14:paraId="48B960F6" w14:textId="77777777" w:rsidR="0029618A" w:rsidRDefault="0029618A" w:rsidP="00805D14">
            <w:pPr>
              <w:pStyle w:val="TT"/>
            </w:pPr>
            <w:r>
              <w:t>UF</w:t>
            </w:r>
          </w:p>
        </w:tc>
      </w:tr>
      <w:tr w:rsidR="0029618A" w14:paraId="4ABB30E8" w14:textId="77777777" w:rsidTr="00805D14">
        <w:trPr>
          <w:cantSplit/>
          <w:jc w:val="center"/>
        </w:trPr>
        <w:tc>
          <w:tcPr>
            <w:tcW w:w="3116" w:type="dxa"/>
            <w:vAlign w:val="center"/>
          </w:tcPr>
          <w:p w14:paraId="7310DA0B" w14:textId="77777777" w:rsidR="0029618A" w:rsidRPr="00314710" w:rsidRDefault="0029618A" w:rsidP="00805D14">
            <w:pPr>
              <w:pStyle w:val="TT"/>
              <w:rPr>
                <w:b/>
              </w:rPr>
            </w:pPr>
            <w:r w:rsidRPr="00314710">
              <w:rPr>
                <w:b/>
                <w:bCs w:val="0"/>
              </w:rPr>
              <w:t>Receptor Binding Assay</w:t>
            </w:r>
          </w:p>
        </w:tc>
        <w:tc>
          <w:tcPr>
            <w:tcW w:w="3117" w:type="dxa"/>
            <w:vAlign w:val="center"/>
          </w:tcPr>
          <w:p w14:paraId="6889CF34" w14:textId="77777777" w:rsidR="0029618A" w:rsidRDefault="0029618A" w:rsidP="00805D14">
            <w:pPr>
              <w:pStyle w:val="TT"/>
            </w:pPr>
            <w:r w:rsidRPr="003630C3">
              <w:t>Bioluminescent yeast estrogen and androgen screens (BLYES and BLYAS)</w:t>
            </w:r>
          </w:p>
        </w:tc>
        <w:tc>
          <w:tcPr>
            <w:tcW w:w="1772" w:type="dxa"/>
            <w:vAlign w:val="center"/>
          </w:tcPr>
          <w:p w14:paraId="09DEFDCC" w14:textId="77777777" w:rsidR="0029618A" w:rsidRDefault="0029618A" w:rsidP="00805D14">
            <w:pPr>
              <w:pStyle w:val="TT"/>
            </w:pPr>
            <w:r>
              <w:t>USGS</w:t>
            </w:r>
          </w:p>
        </w:tc>
      </w:tr>
      <w:tr w:rsidR="0029618A" w14:paraId="6E1DC598" w14:textId="77777777" w:rsidTr="00805D14">
        <w:trPr>
          <w:cantSplit/>
          <w:trHeight w:val="278"/>
          <w:jc w:val="center"/>
        </w:trPr>
        <w:tc>
          <w:tcPr>
            <w:tcW w:w="3116" w:type="dxa"/>
            <w:vAlign w:val="center"/>
          </w:tcPr>
          <w:p w14:paraId="0A501E29" w14:textId="77777777" w:rsidR="0029618A" w:rsidRPr="00314710" w:rsidRDefault="0029618A" w:rsidP="00805D14">
            <w:pPr>
              <w:pStyle w:val="TT"/>
              <w:rPr>
                <w:b/>
              </w:rPr>
            </w:pPr>
            <w:r w:rsidRPr="00314710">
              <w:rPr>
                <w:b/>
                <w:bCs w:val="0"/>
              </w:rPr>
              <w:t>Genotoxicity Assay</w:t>
            </w:r>
          </w:p>
        </w:tc>
        <w:tc>
          <w:tcPr>
            <w:tcW w:w="3117" w:type="dxa"/>
            <w:vAlign w:val="center"/>
          </w:tcPr>
          <w:p w14:paraId="3EA1B142" w14:textId="77777777" w:rsidR="0029618A" w:rsidRDefault="0029618A" w:rsidP="00805D14">
            <w:pPr>
              <w:pStyle w:val="TT"/>
            </w:pPr>
            <w:r w:rsidRPr="003630C3">
              <w:t>SOS Chromotest</w:t>
            </w:r>
          </w:p>
        </w:tc>
        <w:tc>
          <w:tcPr>
            <w:tcW w:w="1772" w:type="dxa"/>
            <w:vAlign w:val="center"/>
          </w:tcPr>
          <w:p w14:paraId="5C1A0AD0" w14:textId="77777777" w:rsidR="0029618A" w:rsidRDefault="0029618A" w:rsidP="00805D14">
            <w:pPr>
              <w:pStyle w:val="TT"/>
            </w:pPr>
            <w:r>
              <w:t>USGS</w:t>
            </w:r>
          </w:p>
        </w:tc>
      </w:tr>
    </w:tbl>
    <w:p w14:paraId="073257FA" w14:textId="77777777" w:rsidR="0029618A" w:rsidRDefault="0029618A" w:rsidP="00163DD9">
      <w:pPr>
        <w:spacing w:after="240" w:line="276" w:lineRule="auto"/>
        <w:rPr>
          <w:rFonts w:ascii="Times New Roman" w:eastAsia="Times New Roman" w:hAnsi="Times New Roman" w:cs="Times New Roman"/>
          <w:bCs/>
          <w:iCs/>
          <w:sz w:val="24"/>
          <w:szCs w:val="24"/>
        </w:rPr>
      </w:pPr>
    </w:p>
    <w:p w14:paraId="3165B9C2" w14:textId="77777777" w:rsidR="0029618A" w:rsidRDefault="0029618A" w:rsidP="0029618A">
      <w:pPr>
        <w:pStyle w:val="ESOCBody"/>
      </w:pPr>
      <w:r>
        <w:t>UF</w:t>
      </w:r>
      <w:r w:rsidRPr="00132523">
        <w:t xml:space="preserve">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 This interference was likely </w:t>
      </w:r>
      <w:r>
        <w:t>because of</w:t>
      </w:r>
      <w:r w:rsidRPr="00132523">
        <w:t xml:space="preserve"> the naturally high </w:t>
      </w:r>
      <w:r>
        <w:t>t</w:t>
      </w:r>
      <w:r w:rsidRPr="00132523">
        <w:t xml:space="preserve">otal </w:t>
      </w:r>
      <w:r>
        <w:t>o</w:t>
      </w:r>
      <w:r w:rsidRPr="00132523">
        <w:t xml:space="preserve">rganic </w:t>
      </w:r>
      <w:r>
        <w:t>c</w:t>
      </w:r>
      <w:r w:rsidRPr="00132523">
        <w:t xml:space="preserve">arbon (TOC) and </w:t>
      </w:r>
      <w:proofErr w:type="spellStart"/>
      <w:r w:rsidRPr="00132523">
        <w:t>humic</w:t>
      </w:r>
      <w:proofErr w:type="spellEnd"/>
      <w:r w:rsidRPr="00132523">
        <w:t xml:space="preserve"> acids in the water present at the study sites. The</w:t>
      </w:r>
      <w:r>
        <w:t>se</w:t>
      </w:r>
      <w:r w:rsidRPr="00132523">
        <w:t xml:space="preserve"> preclude any conclusions from being drawn concerning the presence or absence of estrogenic or androgenic compounds in POCIS and grab samples.</w:t>
      </w:r>
    </w:p>
    <w:p w14:paraId="26941A33" w14:textId="77777777" w:rsidR="0029618A" w:rsidRDefault="0029618A" w:rsidP="0029618A">
      <w:pPr>
        <w:pStyle w:val="ESOCBody"/>
      </w:pPr>
      <w:r w:rsidRPr="00132523">
        <w:t>However, background fluorescence did not cause notable interference in the interpretation of the binding assay results for the SPMD extracts. For the</w:t>
      </w:r>
      <w:r>
        <w:t xml:space="preserve">se </w:t>
      </w:r>
      <w:r w:rsidRPr="00132523">
        <w:t xml:space="preserve">extracts, on a qualitative basis, there was a positive indication of estrogen receptor and androgen receptor binding chemicals at each of the study sites. The transactivation assays also yielded variable results </w:t>
      </w:r>
      <w:r>
        <w:t>most likely because of</w:t>
      </w:r>
      <w:r w:rsidRPr="00132523">
        <w:t xml:space="preserve"> interference. </w:t>
      </w:r>
      <w:r>
        <w:t>F</w:t>
      </w:r>
      <w:r w:rsidRPr="00132523">
        <w:t xml:space="preserve">urther analysis of additional river sites and </w:t>
      </w:r>
      <w:r>
        <w:t xml:space="preserve">the </w:t>
      </w:r>
      <w:r w:rsidRPr="00132523">
        <w:t>use of additional sample clean-up steps for dark</w:t>
      </w:r>
      <w:r>
        <w:t>-</w:t>
      </w:r>
      <w:r w:rsidRPr="00132523">
        <w:t>water rivers are needed before conclusions about the presence or absence and effects of estrogenic or androgenic compounds can be drawn with confidence.</w:t>
      </w:r>
      <w:r>
        <w:t xml:space="preserve"> </w:t>
      </w:r>
    </w:p>
    <w:p w14:paraId="1ABDDE63" w14:textId="77777777" w:rsidR="0029618A" w:rsidRPr="00132523" w:rsidRDefault="0029618A" w:rsidP="0029618A">
      <w:pPr>
        <w:pStyle w:val="ESOCBody"/>
      </w:pPr>
      <w:r w:rsidRPr="00132523">
        <w:t>USGS used the SOS Chromotest to test each of the sample types (POCIS, SPMD, grab) at each river site and on a field blank. All sites were negative for genotoxicity in all sample types, except at the Alafia River site, where the POCIS and SPMD samples tested positive.</w:t>
      </w:r>
    </w:p>
    <w:p w14:paraId="010936DD" w14:textId="77777777" w:rsidR="00C87825" w:rsidRDefault="0029618A" w:rsidP="0029618A">
      <w:pPr>
        <w:pStyle w:val="ESOCBody"/>
      </w:pPr>
      <w:r w:rsidRPr="00132523">
        <w:t xml:space="preserve">USGS also tested samples at all sites and from all sample types using BLYES and BLYAS. The grab samples from the Alafia, Apalachicola, </w:t>
      </w:r>
      <w:r>
        <w:t xml:space="preserve">and </w:t>
      </w:r>
      <w:r w:rsidRPr="00132523">
        <w:t>Withlacoochee River sites were found to be estrogenic. POCIS samples were found to be estrogenic at all sites, while SPMD samples were not estrogenic at any site. No androgenic activity was found</w:t>
      </w:r>
      <w:r>
        <w:t xml:space="preserve"> </w:t>
      </w:r>
      <w:r w:rsidRPr="00132523">
        <w:t xml:space="preserve">in any sample type or </w:t>
      </w:r>
      <w:r>
        <w:t xml:space="preserve">at </w:t>
      </w:r>
      <w:r w:rsidRPr="00132523">
        <w:t>any site.</w:t>
      </w:r>
    </w:p>
    <w:p w14:paraId="598A66EB" w14:textId="77777777" w:rsidR="00163DD9" w:rsidRPr="00163DD9" w:rsidRDefault="00163DD9" w:rsidP="00163DD9">
      <w:pPr>
        <w:spacing w:after="240" w:line="276" w:lineRule="auto"/>
        <w:rPr>
          <w:rFonts w:ascii="Times New Roman" w:eastAsia="Times New Roman" w:hAnsi="Times New Roman" w:cs="Times New Roman"/>
          <w:sz w:val="24"/>
          <w:szCs w:val="24"/>
        </w:rPr>
      </w:pPr>
      <w:commentRangeStart w:id="13"/>
      <w:r w:rsidRPr="00163DD9">
        <w:rPr>
          <w:rFonts w:ascii="Times New Roman" w:eastAsia="Times New Roman" w:hAnsi="Times New Roman" w:cs="Times New Roman"/>
          <w:sz w:val="24"/>
          <w:szCs w:val="24"/>
        </w:rPr>
        <w:lastRenderedPageBreak/>
        <w:t xml:space="preserve">DEAR also sampled the Status Monitoring Network unconfined aquifers in 2015, flowing waters in 2016, and lakes in 2017 for a full suite of organo-nitrogen and organo-phosphorus pesticides, in addition to wastewater indicators. Ultra-trace concentrations of at least one pesticide compound were commonly found (59 of 120 wells, 222 of 240 flowing surface water sites, and 157 of 168 lake sites). The most frequently detected pesticide compounds were (1) the herbicides atrazine, metolachlor, hexazinone, </w:t>
      </w:r>
      <w:proofErr w:type="spellStart"/>
      <w:r w:rsidRPr="00163DD9">
        <w:rPr>
          <w:rFonts w:ascii="Times New Roman" w:eastAsia="Times New Roman" w:hAnsi="Times New Roman" w:cs="Times New Roman"/>
          <w:sz w:val="24"/>
          <w:szCs w:val="24"/>
        </w:rPr>
        <w:t>fluridone</w:t>
      </w:r>
      <w:proofErr w:type="spellEnd"/>
      <w:r w:rsidRPr="00163DD9">
        <w:rPr>
          <w:rFonts w:ascii="Times New Roman" w:eastAsia="Times New Roman" w:hAnsi="Times New Roman" w:cs="Times New Roman"/>
          <w:sz w:val="24"/>
          <w:szCs w:val="24"/>
        </w:rPr>
        <w:t xml:space="preserve">, </w:t>
      </w:r>
      <w:proofErr w:type="spellStart"/>
      <w:r w:rsidRPr="00163DD9">
        <w:rPr>
          <w:rFonts w:ascii="Times New Roman" w:eastAsia="Times New Roman" w:hAnsi="Times New Roman" w:cs="Times New Roman"/>
          <w:sz w:val="24"/>
          <w:szCs w:val="24"/>
        </w:rPr>
        <w:t>bromacil</w:t>
      </w:r>
      <w:proofErr w:type="spellEnd"/>
      <w:r w:rsidRPr="00163DD9">
        <w:rPr>
          <w:rFonts w:ascii="Times New Roman" w:eastAsia="Times New Roman" w:hAnsi="Times New Roman" w:cs="Times New Roman"/>
          <w:sz w:val="24"/>
          <w:szCs w:val="24"/>
        </w:rPr>
        <w:t xml:space="preserve">, simazine, </w:t>
      </w:r>
      <w:proofErr w:type="spellStart"/>
      <w:r w:rsidRPr="00163DD9">
        <w:rPr>
          <w:rFonts w:ascii="Times New Roman" w:eastAsia="Times New Roman" w:hAnsi="Times New Roman" w:cs="Times New Roman"/>
          <w:sz w:val="24"/>
          <w:szCs w:val="24"/>
        </w:rPr>
        <w:t>metibuzin</w:t>
      </w:r>
      <w:proofErr w:type="spellEnd"/>
      <w:r w:rsidRPr="00163DD9">
        <w:rPr>
          <w:rFonts w:ascii="Times New Roman" w:eastAsia="Times New Roman" w:hAnsi="Times New Roman" w:cs="Times New Roman"/>
          <w:sz w:val="24"/>
          <w:szCs w:val="24"/>
        </w:rPr>
        <w:t xml:space="preserve">, and </w:t>
      </w:r>
      <w:proofErr w:type="spellStart"/>
      <w:r w:rsidRPr="00163DD9">
        <w:rPr>
          <w:rFonts w:ascii="Times New Roman" w:eastAsia="Times New Roman" w:hAnsi="Times New Roman" w:cs="Times New Roman"/>
          <w:sz w:val="24"/>
          <w:szCs w:val="24"/>
        </w:rPr>
        <w:t>ametryn</w:t>
      </w:r>
      <w:proofErr w:type="spellEnd"/>
      <w:r w:rsidRPr="00163DD9">
        <w:rPr>
          <w:rFonts w:ascii="Times New Roman" w:eastAsia="Times New Roman" w:hAnsi="Times New Roman" w:cs="Times New Roman"/>
          <w:sz w:val="24"/>
          <w:szCs w:val="24"/>
        </w:rPr>
        <w:t xml:space="preserve">; (2) the fungicide </w:t>
      </w:r>
      <w:proofErr w:type="spellStart"/>
      <w:r w:rsidRPr="00163DD9">
        <w:rPr>
          <w:rFonts w:ascii="Times New Roman" w:eastAsia="Times New Roman" w:hAnsi="Times New Roman" w:cs="Times New Roman"/>
          <w:sz w:val="24"/>
          <w:szCs w:val="24"/>
        </w:rPr>
        <w:t>metalaxyl</w:t>
      </w:r>
      <w:proofErr w:type="spellEnd"/>
      <w:r w:rsidRPr="00163DD9">
        <w:rPr>
          <w:rFonts w:ascii="Times New Roman" w:eastAsia="Times New Roman" w:hAnsi="Times New Roman" w:cs="Times New Roman"/>
          <w:sz w:val="24"/>
          <w:szCs w:val="24"/>
        </w:rPr>
        <w:t xml:space="preserve">; and (3) the insecticides imidacloprid and fipronil. While none of the compounds exceeded published acute toxicity standards for aquatic organisms, or human drinking water standards, imidacloprid was found in concentrations known to impact the mayfly family </w:t>
      </w:r>
      <w:proofErr w:type="spellStart"/>
      <w:r w:rsidRPr="00163DD9">
        <w:rPr>
          <w:rFonts w:ascii="Times New Roman" w:eastAsia="Times New Roman" w:hAnsi="Times New Roman" w:cs="Times New Roman"/>
          <w:sz w:val="24"/>
          <w:szCs w:val="24"/>
        </w:rPr>
        <w:t>Baetidae</w:t>
      </w:r>
      <w:proofErr w:type="spellEnd"/>
      <w:r w:rsidRPr="00163DD9">
        <w:rPr>
          <w:rFonts w:ascii="Times New Roman" w:eastAsia="Times New Roman" w:hAnsi="Times New Roman" w:cs="Times New Roman"/>
          <w:sz w:val="24"/>
          <w:szCs w:val="24"/>
        </w:rPr>
        <w:t>.</w:t>
      </w:r>
      <w:bookmarkEnd w:id="8"/>
      <w:bookmarkEnd w:id="9"/>
      <w:bookmarkEnd w:id="10"/>
      <w:commentRangeEnd w:id="13"/>
      <w:r w:rsidR="00647381">
        <w:rPr>
          <w:rStyle w:val="CommentReference"/>
        </w:rPr>
        <w:commentReference w:id="13"/>
      </w:r>
    </w:p>
    <w:sectPr w:rsidR="00163DD9" w:rsidRPr="00163DD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3" w:author="Hogue, Alicia" w:date="2019-10-04T14:21:00Z" w:initials="HA">
    <w:p w14:paraId="4A4C6D67" w14:textId="77777777" w:rsidR="00647381" w:rsidRDefault="00647381">
      <w:pPr>
        <w:pStyle w:val="CommentText"/>
      </w:pPr>
      <w:r>
        <w:rPr>
          <w:rStyle w:val="CommentReference"/>
        </w:rPr>
        <w:annotationRef/>
      </w:r>
      <w:r>
        <w:t xml:space="preserve">I wasn’t sure if some of the studies from the last IR needed to stay in this report as well.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A4C6D6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4C6D67" w16cid:durableId="2141D3C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A1F47" w14:textId="77777777" w:rsidR="00163DD9" w:rsidRDefault="00163DD9" w:rsidP="00163DD9">
      <w:pPr>
        <w:spacing w:after="0" w:line="240" w:lineRule="auto"/>
      </w:pPr>
      <w:r>
        <w:separator/>
      </w:r>
    </w:p>
  </w:endnote>
  <w:endnote w:type="continuationSeparator" w:id="0">
    <w:p w14:paraId="20D4F79F" w14:textId="77777777" w:rsidR="00163DD9" w:rsidRDefault="00163DD9" w:rsidP="00163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C75777" w14:textId="77777777" w:rsidR="00163DD9" w:rsidRDefault="00163DD9" w:rsidP="00163DD9">
      <w:pPr>
        <w:spacing w:after="0" w:line="240" w:lineRule="auto"/>
      </w:pPr>
      <w:r>
        <w:separator/>
      </w:r>
    </w:p>
  </w:footnote>
  <w:footnote w:type="continuationSeparator" w:id="0">
    <w:p w14:paraId="615DACAD" w14:textId="77777777" w:rsidR="00163DD9" w:rsidRDefault="00163DD9" w:rsidP="00163D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C11DF"/>
    <w:multiLevelType w:val="hybridMultilevel"/>
    <w:tmpl w:val="0C30EC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58092084"/>
    <w:multiLevelType w:val="hybridMultilevel"/>
    <w:tmpl w:val="305A64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gue, Alicia">
    <w15:presenceInfo w15:providerId="AD" w15:userId="S::Alicia.Hogue@FloridaDEP.gov::0f157eb9-5b78-4d19-9ecc-9752a11470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D9"/>
    <w:rsid w:val="00067F3B"/>
    <w:rsid w:val="000D5515"/>
    <w:rsid w:val="00163DD9"/>
    <w:rsid w:val="00180A28"/>
    <w:rsid w:val="00253E05"/>
    <w:rsid w:val="0029618A"/>
    <w:rsid w:val="003900F3"/>
    <w:rsid w:val="00401DFD"/>
    <w:rsid w:val="00420C14"/>
    <w:rsid w:val="00610D5D"/>
    <w:rsid w:val="00647381"/>
    <w:rsid w:val="006F2483"/>
    <w:rsid w:val="00764255"/>
    <w:rsid w:val="00865A98"/>
    <w:rsid w:val="00876FAA"/>
    <w:rsid w:val="00996F6B"/>
    <w:rsid w:val="00AE46A7"/>
    <w:rsid w:val="00C87825"/>
    <w:rsid w:val="00CB656D"/>
    <w:rsid w:val="00D404AD"/>
    <w:rsid w:val="00D45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2B93A"/>
  <w15:chartTrackingRefBased/>
  <w15:docId w15:val="{AEEE1100-B642-43EF-A018-56235B71F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63D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3DD9"/>
    <w:rPr>
      <w:sz w:val="20"/>
      <w:szCs w:val="20"/>
    </w:rPr>
  </w:style>
  <w:style w:type="character" w:styleId="FootnoteReference">
    <w:name w:val="footnote reference"/>
    <w:basedOn w:val="DefaultParagraphFont"/>
    <w:uiPriority w:val="99"/>
    <w:rsid w:val="00163DD9"/>
    <w:rPr>
      <w:rFonts w:cs="Times New Roman"/>
      <w:vertAlign w:val="superscript"/>
    </w:rPr>
  </w:style>
  <w:style w:type="paragraph" w:customStyle="1" w:styleId="Footnotetextbulleted">
    <w:name w:val="Footnote text bulleted"/>
    <w:basedOn w:val="FootnoteText"/>
    <w:qFormat/>
    <w:locked/>
    <w:rsid w:val="00163DD9"/>
    <w:pPr>
      <w:spacing w:after="60"/>
    </w:pPr>
    <w:rPr>
      <w:rFonts w:ascii="Times New Roman" w:eastAsia="Times New Roman" w:hAnsi="Times New Roman" w:cs="Times New Roman"/>
      <w:sz w:val="16"/>
    </w:rPr>
  </w:style>
  <w:style w:type="paragraph" w:customStyle="1" w:styleId="Default">
    <w:name w:val="Default"/>
    <w:rsid w:val="00865A98"/>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865A98"/>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
    <w:name w:val="TT"/>
    <w:basedOn w:val="Normal"/>
    <w:qFormat/>
    <w:rsid w:val="00865A98"/>
    <w:pPr>
      <w:spacing w:after="0" w:line="240" w:lineRule="auto"/>
      <w:jc w:val="center"/>
    </w:pPr>
    <w:rPr>
      <w:rFonts w:ascii="Times New Roman" w:hAnsi="Times New Roman" w:cs="Times New Roman"/>
      <w:bCs/>
      <w:sz w:val="20"/>
    </w:rPr>
  </w:style>
  <w:style w:type="paragraph" w:customStyle="1" w:styleId="ESOCBody">
    <w:name w:val="ESOC_Body"/>
    <w:basedOn w:val="Normal"/>
    <w:link w:val="ESOCBodyChar"/>
    <w:autoRedefine/>
    <w:qFormat/>
    <w:rsid w:val="003900F3"/>
    <w:pPr>
      <w:shd w:val="clear" w:color="auto" w:fill="FFFFFF"/>
      <w:autoSpaceDE w:val="0"/>
      <w:autoSpaceDN w:val="0"/>
      <w:adjustRightInd w:val="0"/>
      <w:spacing w:after="240"/>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3900F3"/>
    <w:rPr>
      <w:rFonts w:ascii="Times New Roman" w:eastAsiaTheme="minorEastAsia" w:hAnsi="Times New Roman" w:cs="Times New Roman"/>
      <w:color w:val="000000"/>
      <w:sz w:val="24"/>
      <w:szCs w:val="24"/>
      <w:shd w:val="clear" w:color="auto" w:fill="FFFFFF"/>
    </w:rPr>
  </w:style>
  <w:style w:type="paragraph" w:styleId="BalloonText">
    <w:name w:val="Balloon Text"/>
    <w:basedOn w:val="Normal"/>
    <w:link w:val="BalloonTextChar"/>
    <w:uiPriority w:val="99"/>
    <w:semiHidden/>
    <w:unhideWhenUsed/>
    <w:rsid w:val="003900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00F3"/>
    <w:rPr>
      <w:rFonts w:ascii="Segoe UI" w:hAnsi="Segoe UI" w:cs="Segoe UI"/>
      <w:sz w:val="18"/>
      <w:szCs w:val="18"/>
    </w:rPr>
  </w:style>
  <w:style w:type="table" w:customStyle="1" w:styleId="TableGrid1">
    <w:name w:val="Table Grid1"/>
    <w:basedOn w:val="TableNormal"/>
    <w:next w:val="TableGrid"/>
    <w:uiPriority w:val="39"/>
    <w:rsid w:val="00C87825"/>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29618A"/>
    <w:pPr>
      <w:spacing w:after="120" w:line="240" w:lineRule="auto"/>
      <w:jc w:val="center"/>
    </w:pPr>
    <w:rPr>
      <w:rFonts w:ascii="Times New Roman" w:hAnsi="Times New Roman" w:cs="Times New Roman"/>
      <w:b/>
      <w:sz w:val="24"/>
    </w:rPr>
  </w:style>
  <w:style w:type="character" w:styleId="CommentReference">
    <w:name w:val="annotation reference"/>
    <w:basedOn w:val="DefaultParagraphFont"/>
    <w:uiPriority w:val="99"/>
    <w:semiHidden/>
    <w:unhideWhenUsed/>
    <w:rsid w:val="00647381"/>
    <w:rPr>
      <w:sz w:val="16"/>
      <w:szCs w:val="16"/>
    </w:rPr>
  </w:style>
  <w:style w:type="paragraph" w:styleId="CommentText">
    <w:name w:val="annotation text"/>
    <w:basedOn w:val="Normal"/>
    <w:link w:val="CommentTextChar"/>
    <w:uiPriority w:val="99"/>
    <w:semiHidden/>
    <w:unhideWhenUsed/>
    <w:rsid w:val="00647381"/>
    <w:pPr>
      <w:spacing w:line="240" w:lineRule="auto"/>
    </w:pPr>
    <w:rPr>
      <w:sz w:val="20"/>
      <w:szCs w:val="20"/>
    </w:rPr>
  </w:style>
  <w:style w:type="character" w:customStyle="1" w:styleId="CommentTextChar">
    <w:name w:val="Comment Text Char"/>
    <w:basedOn w:val="DefaultParagraphFont"/>
    <w:link w:val="CommentText"/>
    <w:uiPriority w:val="99"/>
    <w:semiHidden/>
    <w:rsid w:val="00647381"/>
    <w:rPr>
      <w:sz w:val="20"/>
      <w:szCs w:val="20"/>
    </w:rPr>
  </w:style>
  <w:style w:type="paragraph" w:styleId="CommentSubject">
    <w:name w:val="annotation subject"/>
    <w:basedOn w:val="CommentText"/>
    <w:next w:val="CommentText"/>
    <w:link w:val="CommentSubjectChar"/>
    <w:uiPriority w:val="99"/>
    <w:semiHidden/>
    <w:unhideWhenUsed/>
    <w:rsid w:val="00647381"/>
    <w:rPr>
      <w:b/>
      <w:bCs/>
    </w:rPr>
  </w:style>
  <w:style w:type="character" w:customStyle="1" w:styleId="CommentSubjectChar">
    <w:name w:val="Comment Subject Char"/>
    <w:basedOn w:val="CommentTextChar"/>
    <w:link w:val="CommentSubject"/>
    <w:uiPriority w:val="99"/>
    <w:semiHidden/>
    <w:rsid w:val="0064738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4</Pages>
  <Words>1337</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Voyles, Carolyn</dc:creator>
  <cp:keywords/>
  <dc:description/>
  <cp:lastModifiedBy>Hogue, Alicia</cp:lastModifiedBy>
  <cp:revision>11</cp:revision>
  <dcterms:created xsi:type="dcterms:W3CDTF">2019-09-27T13:47:00Z</dcterms:created>
  <dcterms:modified xsi:type="dcterms:W3CDTF">2019-10-04T18:23:00Z</dcterms:modified>
</cp:coreProperties>
</file>