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commentRangeStart w:id="0"/>
      <w:r w:rsidR="0066122E">
        <w:rPr>
          <w:rFonts w:ascii="Times New Roman" w:hAnsi="Times New Roman" w:cs="Times New Roman"/>
          <w:b/>
          <w:i/>
          <w:sz w:val="56"/>
          <w:szCs w:val="56"/>
        </w:rPr>
        <w:t>S</w:t>
      </w:r>
      <w:r>
        <w:rPr>
          <w:rFonts w:ascii="Times New Roman" w:hAnsi="Times New Roman" w:cs="Times New Roman"/>
          <w:b/>
          <w:i/>
          <w:sz w:val="56"/>
          <w:szCs w:val="56"/>
        </w:rPr>
        <w:t xml:space="preserve">elect </w:t>
      </w:r>
      <w:commentRangeEnd w:id="0"/>
      <w:r w:rsidR="00267A3E">
        <w:rPr>
          <w:rStyle w:val="CommentReference"/>
        </w:rPr>
        <w:commentReference w:id="0"/>
      </w:r>
      <w:r>
        <w:rPr>
          <w:rFonts w:ascii="Times New Roman" w:hAnsi="Times New Roman" w:cs="Times New Roman"/>
          <w:b/>
          <w:i/>
          <w:sz w:val="56"/>
          <w:szCs w:val="56"/>
        </w:rPr>
        <w:t>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4C95A375" w:rsidR="00644B41" w:rsidRPr="00644B41" w:rsidRDefault="00917AEC" w:rsidP="00644B41">
      <w:pPr>
        <w:jc w:val="center"/>
        <w:rPr>
          <w:rFonts w:ascii="Times New Roman" w:hAnsi="Times New Roman" w:cs="Times New Roman"/>
          <w:b/>
          <w:sz w:val="32"/>
          <w:szCs w:val="32"/>
        </w:rPr>
      </w:pPr>
      <w:r>
        <w:rPr>
          <w:rFonts w:ascii="Times New Roman" w:hAnsi="Times New Roman" w:cs="Times New Roman"/>
          <w:b/>
          <w:sz w:val="32"/>
          <w:szCs w:val="32"/>
        </w:rPr>
        <w:t xml:space="preserve">June </w:t>
      </w:r>
      <w:r w:rsidR="000F6650" w:rsidRPr="000F6650">
        <w:rPr>
          <w:rFonts w:ascii="Times New Roman" w:hAnsi="Times New Roman" w:cs="Times New Roman"/>
          <w:b/>
          <w:sz w:val="32"/>
          <w:szCs w:val="32"/>
        </w:rPr>
        <w:t>28</w:t>
      </w:r>
      <w:r w:rsidR="00A10001">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56B62EE1"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0637FE">
            <w:rPr>
              <w:rStyle w:val="Hyperlink"/>
              <w:rFonts w:ascii="Times New Roman" w:hAnsi="Times New Roman" w:cs="Times New Roman"/>
              <w:b/>
              <w:noProof/>
              <w:color w:val="auto"/>
              <w:sz w:val="24"/>
              <w:szCs w:val="24"/>
            </w:rPr>
            <w:t>Introduction</w:t>
          </w:r>
          <w:r w:rsidRPr="000637FE">
            <w:rPr>
              <w:rFonts w:ascii="Times New Roman" w:hAnsi="Times New Roman" w:cs="Times New Roman"/>
              <w:noProof/>
              <w:webHidden/>
              <w:sz w:val="24"/>
              <w:szCs w:val="24"/>
            </w:rPr>
            <w:tab/>
            <w:t>4</w:t>
          </w:r>
        </w:p>
        <w:p w14:paraId="4CF4F3F4" w14:textId="4891BC15"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1: Study Design</w:t>
          </w:r>
          <w:r w:rsidRPr="000637FE">
            <w:rPr>
              <w:rFonts w:ascii="Times New Roman" w:hAnsi="Times New Roman" w:cs="Times New Roman"/>
              <w:noProof/>
              <w:webHidden/>
              <w:sz w:val="24"/>
              <w:szCs w:val="24"/>
            </w:rPr>
            <w:tab/>
            <w:t>6</w:t>
          </w:r>
        </w:p>
        <w:p w14:paraId="6C3FC243" w14:textId="0D914081"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Selection</w:t>
          </w:r>
          <w:r w:rsidRPr="000637FE">
            <w:rPr>
              <w:rFonts w:ascii="Times New Roman" w:hAnsi="Times New Roman" w:cs="Times New Roman"/>
              <w:noProof/>
              <w:webHidden/>
              <w:sz w:val="24"/>
              <w:szCs w:val="24"/>
            </w:rPr>
            <w:tab/>
            <w:t>6</w:t>
          </w:r>
        </w:p>
        <w:p w14:paraId="650C7062" w14:textId="316DCE2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Characterization</w:t>
          </w:r>
          <w:r w:rsidRPr="000637FE">
            <w:rPr>
              <w:rFonts w:ascii="Times New Roman" w:hAnsi="Times New Roman" w:cs="Times New Roman"/>
              <w:noProof/>
              <w:webHidden/>
              <w:sz w:val="24"/>
              <w:szCs w:val="24"/>
            </w:rPr>
            <w:tab/>
            <w:t>7</w:t>
          </w:r>
        </w:p>
        <w:p w14:paraId="29405D1C" w14:textId="2CF98A85"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Sampling Technique</w:t>
          </w:r>
          <w:r w:rsidRPr="000637FE">
            <w:rPr>
              <w:rFonts w:ascii="Times New Roman" w:hAnsi="Times New Roman" w:cs="Times New Roman"/>
              <w:noProof/>
              <w:webHidden/>
              <w:sz w:val="24"/>
              <w:szCs w:val="24"/>
            </w:rPr>
            <w:tab/>
            <w:t>7</w:t>
          </w:r>
        </w:p>
        <w:p w14:paraId="2540B82A" w14:textId="21E19809"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EC Categories</w:t>
          </w:r>
          <w:r w:rsidRPr="000637FE">
            <w:rPr>
              <w:rFonts w:ascii="Times New Roman" w:hAnsi="Times New Roman" w:cs="Times New Roman"/>
              <w:noProof/>
              <w:webHidden/>
              <w:sz w:val="24"/>
              <w:szCs w:val="24"/>
            </w:rPr>
            <w:tab/>
            <w:t>8</w:t>
          </w:r>
        </w:p>
        <w:p w14:paraId="3EE5F78D" w14:textId="64089BA4"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Overview of Laboratory Analysis</w:t>
          </w:r>
          <w:r w:rsidRPr="000637FE">
            <w:rPr>
              <w:rFonts w:ascii="Times New Roman" w:hAnsi="Times New Roman" w:cs="Times New Roman"/>
              <w:noProof/>
              <w:webHidden/>
              <w:sz w:val="24"/>
              <w:szCs w:val="24"/>
            </w:rPr>
            <w:tab/>
            <w:t>9</w:t>
          </w:r>
        </w:p>
        <w:p w14:paraId="1756C354" w14:textId="4F06065E"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2: Results</w:t>
          </w:r>
          <w:r w:rsidRPr="000637FE">
            <w:rPr>
              <w:rFonts w:ascii="Times New Roman" w:hAnsi="Times New Roman" w:cs="Times New Roman"/>
              <w:noProof/>
              <w:webHidden/>
              <w:sz w:val="24"/>
              <w:szCs w:val="24"/>
            </w:rPr>
            <w:tab/>
            <w:t>9</w:t>
          </w:r>
        </w:p>
        <w:p w14:paraId="76901E97" w14:textId="070EF04F"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Pharmaceuticals and Personal Care Products (PPCPs)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10</w:t>
          </w:r>
        </w:p>
        <w:p w14:paraId="11F28616" w14:textId="11976EB4"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Hormones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200EBDF4" w14:textId="560EC932"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Perfluorinated Compounds (PFC)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709A09D0" w14:textId="6B45F69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Polybrominated Diphenyl Ethers (PBDE)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0775809" w14:textId="383B4459"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Alkylphenols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5D794BA0" w14:textId="76C0D27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Pesticides and PPCP - FDEP lab</w:t>
          </w:r>
          <w:r w:rsidRPr="000637FE">
            <w:rPr>
              <w:rFonts w:ascii="Times New Roman" w:hAnsi="Times New Roman" w:cs="Times New Roman"/>
              <w:noProof/>
              <w:webHidden/>
              <w:sz w:val="24"/>
              <w:szCs w:val="24"/>
            </w:rPr>
            <w:tab/>
            <w:t>11</w:t>
          </w:r>
        </w:p>
        <w:p w14:paraId="11572AB8" w14:textId="48B28641"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University of Florida Results</w:t>
          </w:r>
          <w:r w:rsidRPr="000637FE">
            <w:rPr>
              <w:rFonts w:ascii="Times New Roman" w:hAnsi="Times New Roman" w:cs="Times New Roman"/>
              <w:noProof/>
              <w:webHidden/>
              <w:sz w:val="24"/>
              <w:szCs w:val="24"/>
            </w:rPr>
            <w:tab/>
            <w:t>12</w:t>
          </w:r>
        </w:p>
        <w:p w14:paraId="580E9668" w14:textId="4B692495"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USGS Results</w:t>
          </w:r>
          <w:r w:rsidRPr="000637FE">
            <w:rPr>
              <w:rFonts w:ascii="Times New Roman" w:hAnsi="Times New Roman" w:cs="Times New Roman"/>
              <w:noProof/>
              <w:webHidden/>
              <w:sz w:val="24"/>
              <w:szCs w:val="24"/>
            </w:rPr>
            <w:tab/>
            <w:t>12</w:t>
          </w:r>
        </w:p>
        <w:p w14:paraId="42ACEB26" w14:textId="552F2BBA"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3:</w:t>
          </w:r>
          <w:r w:rsidRPr="000637FE">
            <w:rPr>
              <w:rStyle w:val="Hyperlink"/>
              <w:rFonts w:ascii="Times New Roman" w:hAnsi="Times New Roman" w:cs="Times New Roman"/>
              <w:noProof/>
              <w:color w:val="auto"/>
              <w:sz w:val="24"/>
              <w:szCs w:val="24"/>
            </w:rPr>
            <w:t xml:space="preserve"> </w:t>
          </w:r>
          <w:r w:rsidRPr="000637FE">
            <w:rPr>
              <w:rStyle w:val="Hyperlink"/>
              <w:rFonts w:ascii="Times New Roman" w:hAnsi="Times New Roman" w:cs="Times New Roman"/>
              <w:b/>
              <w:noProof/>
              <w:color w:val="auto"/>
              <w:sz w:val="24"/>
              <w:szCs w:val="24"/>
            </w:rPr>
            <w:t>Lessons Learned and Recommendations</w:t>
          </w:r>
          <w:r w:rsidRPr="000637FE">
            <w:rPr>
              <w:rFonts w:ascii="Times New Roman" w:hAnsi="Times New Roman" w:cs="Times New Roman"/>
              <w:noProof/>
              <w:webHidden/>
              <w:sz w:val="24"/>
              <w:szCs w:val="24"/>
            </w:rPr>
            <w:tab/>
            <w:t>13</w:t>
          </w:r>
        </w:p>
        <w:p w14:paraId="7EC5E2B3" w14:textId="4527769F"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Acknowledgement</w:t>
          </w:r>
          <w:r w:rsidRPr="000637FE">
            <w:rPr>
              <w:rStyle w:val="Hyperlink"/>
              <w:rFonts w:ascii="Times New Roman" w:hAnsi="Times New Roman" w:cs="Times New Roman"/>
              <w:noProof/>
              <w:color w:val="auto"/>
              <w:sz w:val="24"/>
              <w:szCs w:val="24"/>
            </w:rPr>
            <w:t>s</w:t>
          </w:r>
          <w:r w:rsidRPr="000637FE">
            <w:rPr>
              <w:rFonts w:ascii="Times New Roman" w:hAnsi="Times New Roman" w:cs="Times New Roman"/>
              <w:noProof/>
              <w:webHidden/>
              <w:sz w:val="24"/>
              <w:szCs w:val="24"/>
            </w:rPr>
            <w:tab/>
            <w:t>13</w:t>
          </w:r>
        </w:p>
        <w:p w14:paraId="0896DB53" w14:textId="4D451C94"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References</w:t>
          </w:r>
          <w:r w:rsidRPr="000637FE">
            <w:rPr>
              <w:rFonts w:ascii="Times New Roman" w:hAnsi="Times New Roman" w:cs="Times New Roman"/>
              <w:noProof/>
              <w:webHidden/>
              <w:sz w:val="24"/>
              <w:szCs w:val="24"/>
            </w:rPr>
            <w:tab/>
            <w:t>14</w:t>
          </w:r>
        </w:p>
        <w:p w14:paraId="1E68C104" w14:textId="148EDA4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Appendix A. All Compounds Included in this Study</w:t>
          </w:r>
          <w:r w:rsidRPr="00ED48DA">
            <w:rPr>
              <w:rFonts w:ascii="Times New Roman" w:hAnsi="Times New Roman" w:cs="Times New Roman"/>
              <w:noProof/>
              <w:webHidden/>
              <w:sz w:val="24"/>
              <w:szCs w:val="24"/>
            </w:rPr>
            <w:tab/>
            <w:t>16</w:t>
          </w:r>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bookmarkStart w:id="1" w:name="_Toc12446711"/>
      <w:r w:rsidRPr="008A2E93">
        <w:t xml:space="preserve">Executive </w:t>
      </w:r>
      <w:r w:rsidRPr="00523558">
        <w:t>Summary</w:t>
      </w:r>
      <w:bookmarkEnd w:id="1"/>
    </w:p>
    <w:p w14:paraId="74DC3E3E" w14:textId="77777777" w:rsidR="00580C51" w:rsidRPr="00580C51" w:rsidRDefault="00580C51" w:rsidP="00C41993"/>
    <w:p w14:paraId="642F0957" w14:textId="77777777" w:rsidR="007B29EC" w:rsidRDefault="007B29EC" w:rsidP="007B29EC">
      <w:pPr>
        <w:pStyle w:val="ESOCBody"/>
      </w:pPr>
    </w:p>
    <w:p w14:paraId="1AEC45E4" w14:textId="0DB04117" w:rsidR="00783FA2" w:rsidRDefault="00783FA2" w:rsidP="00783FA2">
      <w:pPr>
        <w:pStyle w:val="ESOCBody"/>
      </w:pPr>
      <w:r>
        <w:t xml:space="preserve">The Florida Department of Environmental Protection performed a study </w:t>
      </w:r>
      <w:r w:rsidRPr="00160625">
        <w:t xml:space="preserve">to evaluate sampling techniques and technologies, analytical methods, and toxicological assays </w:t>
      </w:r>
      <w:r w:rsidR="006F7499">
        <w:t>to</w:t>
      </w:r>
      <w:r w:rsidRPr="00160625">
        <w:t xml:space="preserve"> study</w:t>
      </w:r>
      <w:r w:rsidR="006F7499">
        <w:t xml:space="preserve"> </w:t>
      </w:r>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rsidR="006E6391">
        <w:t>Seventy-</w:t>
      </w:r>
      <w:r w:rsidR="004728DF">
        <w:t>five</w:t>
      </w:r>
      <w:r w:rsidR="006E6391">
        <w:t xml:space="preserve"> surface water trend monitoring sites were sampled monthly during</w:t>
      </w:r>
      <w:r w:rsidR="006E6391" w:rsidRPr="00132523">
        <w:t xml:space="preserve"> </w:t>
      </w:r>
      <w:r w:rsidR="006E6391">
        <w:t>2012 and 2015</w:t>
      </w:r>
      <w:r w:rsidR="00560BCD">
        <w:t xml:space="preserve"> by t</w:t>
      </w:r>
      <w:r w:rsidR="00560BCD" w:rsidRPr="00F6649F">
        <w:t>he Division of Environmental Assessment &amp; 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r w:rsidR="004337A8">
        <w:t>chosen were</w:t>
      </w:r>
      <w:r>
        <w:t xml:space="preserve"> the </w:t>
      </w:r>
      <w:r w:rsidRPr="00132523">
        <w:t>Apalachicola, Withlacoochee</w:t>
      </w:r>
      <w:r>
        <w:t>,</w:t>
      </w:r>
      <w:r w:rsidRPr="00132523">
        <w:t xml:space="preserve"> Ochlockonee, </w:t>
      </w:r>
      <w:r>
        <w:t xml:space="preserve">and </w:t>
      </w:r>
      <w:r w:rsidRPr="00132523">
        <w:t>Alafia</w:t>
      </w:r>
      <w:r>
        <w:t xml:space="preserve"> Rivers.</w:t>
      </w:r>
    </w:p>
    <w:p w14:paraId="75420149" w14:textId="77777777" w:rsidR="00783FA2" w:rsidRDefault="00783FA2" w:rsidP="00783FA2">
      <w:pPr>
        <w:pStyle w:val="ESOCBody"/>
      </w:pPr>
    </w:p>
    <w:p w14:paraId="4925FFB9" w14:textId="79454756"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B7342B">
        <w:rPr>
          <w:rFonts w:ascii="Times New Roman" w:hAnsi="Times New Roman" w:cs="Times New Roman"/>
          <w:sz w:val="24"/>
          <w:szCs w:val="24"/>
        </w:rPr>
        <w:t xml:space="preserve">at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366C78">
        <w:rPr>
          <w:rFonts w:ascii="Times New Roman" w:hAnsi="Times New Roman" w:cs="Times New Roman"/>
          <w:sz w:val="24"/>
          <w:szCs w:val="24"/>
        </w:rPr>
        <w:t xml:space="preserve">in March </w:t>
      </w:r>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9F6FDE">
        <w:rPr>
          <w:rFonts w:ascii="Times New Roman" w:hAnsi="Times New Roman" w:cs="Times New Roman"/>
          <w:sz w:val="24"/>
          <w:szCs w:val="24"/>
        </w:rPr>
        <w:t xml:space="preserve"> 30-35 days later</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w:t>
      </w:r>
      <w:r w:rsidR="00B7342B">
        <w:rPr>
          <w:rFonts w:ascii="Times New Roman" w:hAnsi="Times New Roman" w:cs="Times New Roman"/>
          <w:sz w:val="24"/>
          <w:szCs w:val="24"/>
        </w:rPr>
        <w:t xml:space="preserve">chemical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173747">
        <w:rPr>
          <w:rFonts w:ascii="Times New Roman" w:hAnsi="Times New Roman" w:cs="Times New Roman"/>
          <w:sz w:val="24"/>
          <w:szCs w:val="24"/>
        </w:rPr>
        <w:t>B</w:t>
      </w:r>
      <w:r w:rsidR="00C71BB5" w:rsidRPr="00132523">
        <w:rPr>
          <w:rFonts w:ascii="Times New Roman" w:hAnsi="Times New Roman" w:cs="Times New Roman"/>
          <w:sz w:val="24"/>
          <w:szCs w:val="24"/>
        </w:rPr>
        <w:t xml:space="preserve">iological </w:t>
      </w:r>
      <w:r w:rsidR="00C71BB5">
        <w:rPr>
          <w:rFonts w:ascii="Times New Roman" w:hAnsi="Times New Roman" w:cs="Times New Roman"/>
          <w:sz w:val="24"/>
          <w:szCs w:val="24"/>
        </w:rPr>
        <w:t>evaluation</w:t>
      </w:r>
      <w:r w:rsidR="004337A8">
        <w:rPr>
          <w:rFonts w:ascii="Times New Roman" w:hAnsi="Times New Roman" w:cs="Times New Roman"/>
          <w:sz w:val="24"/>
          <w:szCs w:val="24"/>
        </w:rPr>
        <w:t>s</w:t>
      </w:r>
      <w:r w:rsidR="00C71BB5" w:rsidRPr="00132523">
        <w:rPr>
          <w:rFonts w:ascii="Times New Roman" w:hAnsi="Times New Roman" w:cs="Times New Roman"/>
          <w:sz w:val="24"/>
          <w:szCs w:val="24"/>
        </w:rPr>
        <w:t xml:space="preserve"> </w:t>
      </w:r>
      <w:r w:rsidR="004337A8">
        <w:rPr>
          <w:rFonts w:ascii="Times New Roman" w:hAnsi="Times New Roman" w:cs="Times New Roman"/>
          <w:sz w:val="24"/>
          <w:szCs w:val="24"/>
        </w:rPr>
        <w:t>were</w:t>
      </w:r>
      <w:r w:rsidR="004337A8"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 xml:space="preserve">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and </w:t>
      </w:r>
      <w:r w:rsidR="00C71BB5" w:rsidRPr="00132523">
        <w:rPr>
          <w:rFonts w:ascii="Times New Roman" w:hAnsi="Times New Roman" w:cs="Times New Roman"/>
          <w:sz w:val="24"/>
          <w:szCs w:val="24"/>
        </w:rPr>
        <w:t>SPMD extracts</w:t>
      </w:r>
      <w:r w:rsidR="008E7101">
        <w:rPr>
          <w:rFonts w:ascii="Times New Roman" w:hAnsi="Times New Roman" w:cs="Times New Roman"/>
          <w:sz w:val="24"/>
          <w:szCs w:val="24"/>
        </w:rPr>
        <w:t xml:space="preserve"> </w:t>
      </w:r>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45AEC09C"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in part due to the 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r w:rsidR="00560BCD">
        <w:rPr>
          <w:rFonts w:ascii="Times New Roman" w:hAnsi="Times New Roman" w:cs="Times New Roman"/>
          <w:sz w:val="24"/>
          <w:szCs w:val="24"/>
        </w:rPr>
        <w:t xml:space="preserve">used </w:t>
      </w:r>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sufficient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572A0AB3" w14:textId="19094CA6" w:rsidR="00173747" w:rsidRDefault="00DC612D" w:rsidP="00B169EC">
      <w:pPr>
        <w:pStyle w:val="ListParagraph"/>
        <w:numPr>
          <w:ilvl w:val="0"/>
          <w:numId w:val="13"/>
        </w:numPr>
        <w:rPr>
          <w:rFonts w:ascii="Times New Roman" w:hAnsi="Times New Roman" w:cs="Times New Roman"/>
          <w:sz w:val="24"/>
          <w:szCs w:val="24"/>
        </w:rPr>
      </w:pPr>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 xml:space="preserve">e.g. river segments continually impacted by </w:t>
      </w:r>
      <w:r w:rsidRPr="00132523">
        <w:rPr>
          <w:rFonts w:ascii="Times New Roman" w:hAnsi="Times New Roman" w:cs="Times New Roman"/>
          <w:sz w:val="24"/>
          <w:szCs w:val="24"/>
        </w:rPr>
        <w:lastRenderedPageBreak/>
        <w:t>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2" w:name="_Toc12446712"/>
      <w:r w:rsidRPr="00523558">
        <w:t xml:space="preserve">1.0 </w:t>
      </w:r>
      <w:r w:rsidR="00575723" w:rsidRPr="00523558">
        <w:t>Introduction</w:t>
      </w:r>
      <w:bookmarkEnd w:id="2"/>
    </w:p>
    <w:p w14:paraId="26167F6F" w14:textId="77777777" w:rsidR="00622F73" w:rsidRPr="00622F73" w:rsidRDefault="00622F73" w:rsidP="00622F73">
      <w:pPr>
        <w:spacing w:after="0"/>
      </w:pPr>
    </w:p>
    <w:p w14:paraId="1088E964" w14:textId="1465A9BE" w:rsidR="001A4CFD" w:rsidRPr="00132523" w:rsidRDefault="001A4CFD" w:rsidP="00132523">
      <w:pPr>
        <w:pStyle w:val="ESOCBody"/>
        <w:spacing w:after="160" w:line="259" w:lineRule="auto"/>
      </w:pPr>
      <w:bookmarkStart w:id="3"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r w:rsidR="006C258F">
        <w:t xml:space="preserve">By 2016, the workgroup developed a study design that was deployed in </w:t>
      </w:r>
      <w:r w:rsidR="00173747">
        <w:t xml:space="preserve">March </w:t>
      </w:r>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3"/>
    </w:p>
    <w:p w14:paraId="6D1138C7" w14:textId="2CFEA676" w:rsidR="007F2FC1" w:rsidRPr="00523558" w:rsidRDefault="00523558" w:rsidP="00523558">
      <w:pPr>
        <w:pStyle w:val="Heading2"/>
      </w:pPr>
      <w:bookmarkStart w:id="4" w:name="_Toc12446713"/>
      <w:r w:rsidRPr="00523558">
        <w:t xml:space="preserve">1.1 </w:t>
      </w:r>
      <w:r w:rsidR="007F2FC1" w:rsidRPr="00523558">
        <w:t>Historical context</w:t>
      </w:r>
      <w:bookmarkEnd w:id="4"/>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7F00511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networks in 2012 (Seal et al. 2016) and for sucralose, the pharmaceuticals acetaminophen, </w:t>
      </w:r>
      <w:r w:rsidRPr="00132523">
        <w:rPr>
          <w:rFonts w:ascii="Times New Roman" w:hAnsi="Times New Roman" w:cs="Times New Roman"/>
          <w:sz w:val="24"/>
          <w:szCs w:val="24"/>
        </w:rPr>
        <w:lastRenderedPageBreak/>
        <w:t>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41CD8CF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5" w:name="_Toc12446714"/>
      <w:r w:rsidRPr="00523558">
        <w:lastRenderedPageBreak/>
        <w:t xml:space="preserve">2.0 </w:t>
      </w:r>
      <w:r w:rsidR="008A0F66" w:rsidRPr="00523558">
        <w:t>Study Design</w:t>
      </w:r>
      <w:bookmarkEnd w:id="5"/>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6" w:name="_Toc12446715"/>
      <w:r w:rsidRPr="00523558">
        <w:t xml:space="preserve">2.1 </w:t>
      </w:r>
      <w:r w:rsidR="008A0F66" w:rsidRPr="00523558">
        <w:t>Site Selection</w:t>
      </w:r>
      <w:bookmarkEnd w:id="6"/>
    </w:p>
    <w:p w14:paraId="096AA3F7" w14:textId="41887F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stations sampled (</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5B69EA6C" w14:textId="1B28D30B" w:rsidR="007F2FC1" w:rsidRPr="00523558" w:rsidRDefault="00523558" w:rsidP="00523558">
      <w:pPr>
        <w:pStyle w:val="Heading2"/>
      </w:pPr>
      <w:bookmarkStart w:id="7" w:name="_Toc12446716"/>
      <w:r w:rsidRPr="00523558">
        <w:lastRenderedPageBreak/>
        <w:t xml:space="preserve">2.2 </w:t>
      </w:r>
      <w:r w:rsidR="007F2FC1" w:rsidRPr="00523558">
        <w:t>Site Characterization</w:t>
      </w:r>
      <w:bookmarkEnd w:id="7"/>
    </w:p>
    <w:p w14:paraId="586411E1" w14:textId="358E224E"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Ochlockonee and Withlacoochee Rivers each have significant amounts of agricultural and sylvicultural 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8" w:name="_Toc12446717"/>
      <w:r w:rsidRPr="00523558">
        <w:t xml:space="preserve">2.3 </w:t>
      </w:r>
      <w:r w:rsidR="005870A3" w:rsidRPr="00523558">
        <w:t xml:space="preserve">Sampling </w:t>
      </w:r>
      <w:r w:rsidR="007F2FC1" w:rsidRPr="00523558">
        <w:t>Technique</w:t>
      </w:r>
      <w:bookmarkEnd w:id="8"/>
    </w:p>
    <w:p w14:paraId="1CFA31E2" w14:textId="7DCD51D4"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30 -35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5064E46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4"/>
          <w:footerReference w:type="default" r:id="rId15"/>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9" w:name="_Toc12446718"/>
      <w:r w:rsidRPr="00523558">
        <w:lastRenderedPageBreak/>
        <w:t xml:space="preserve">2.4 </w:t>
      </w:r>
      <w:r w:rsidR="00671E17" w:rsidRPr="00523558">
        <w:t>EC Categories</w:t>
      </w:r>
      <w:bookmarkEnd w:id="9"/>
    </w:p>
    <w:p w14:paraId="238D7399" w14:textId="58E5C136"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 are categorized based on their manufacturing or commercial</w:t>
      </w:r>
      <w:r w:rsidRPr="00132523">
        <w:rPr>
          <w:rFonts w:ascii="Times New Roman" w:hAnsi="Times New Roman" w:cs="Times New Roman"/>
          <w:sz w:val="24"/>
          <w:szCs w:val="24"/>
        </w:rPr>
        <w:t xml:space="preserve"> use.  Each category of EC compounds </w:t>
      </w:r>
      <w:r w:rsidR="005E5670" w:rsidRPr="00132523">
        <w:rPr>
          <w:rFonts w:ascii="Times New Roman" w:hAnsi="Times New Roman" w:cs="Times New Roman"/>
          <w:sz w:val="24"/>
          <w:szCs w:val="24"/>
        </w:rPr>
        <w:t>tends</w:t>
      </w:r>
      <w:r w:rsidRPr="00132523">
        <w:rPr>
          <w:rFonts w:ascii="Times New Roman" w:hAnsi="Times New Roman" w:cs="Times New Roman"/>
          <w:sz w:val="24"/>
          <w:szCs w:val="24"/>
        </w:rPr>
        <w:t xml:space="preserve"> to have similar exposure routes, aquatic life effects, and chemical characteristics (</w:t>
      </w:r>
      <w:r w:rsidRPr="00D15C01">
        <w:rPr>
          <w:rFonts w:ascii="Times New Roman" w:hAnsi="Times New Roman" w:cs="Times New Roman"/>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10" w:name="_Toc12446719"/>
      <w:r>
        <w:lastRenderedPageBreak/>
        <w:t xml:space="preserve">2.5 </w:t>
      </w:r>
      <w:r w:rsidR="00671E17">
        <w:t>Overview of Laboratory Analysis</w:t>
      </w:r>
      <w:bookmarkEnd w:id="10"/>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D15C01">
        <w:rPr>
          <w:rFonts w:ascii="Times New Roman" w:hAnsi="Times New Roman" w:cs="Times New Roman"/>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11" w:name="_Toc12446720"/>
      <w:r w:rsidRPr="00523558">
        <w:t xml:space="preserve">3.0 </w:t>
      </w:r>
      <w:r w:rsidR="00D70E7A" w:rsidRPr="00523558">
        <w:t>Results</w:t>
      </w:r>
      <w:bookmarkEnd w:id="11"/>
    </w:p>
    <w:p w14:paraId="4FAEFDBC" w14:textId="77777777" w:rsidR="00622F73" w:rsidRPr="00622F73" w:rsidRDefault="00622F73" w:rsidP="00622F73">
      <w:pPr>
        <w:spacing w:after="0"/>
      </w:pPr>
    </w:p>
    <w:p w14:paraId="36F05142" w14:textId="68C3F87E" w:rsidR="00D70E7A" w:rsidRPr="000F6650" w:rsidRDefault="00D70E7A" w:rsidP="00D70E7A">
      <w:pPr>
        <w:rPr>
          <w:rFonts w:ascii="Times New Roman" w:hAnsi="Times New Roman" w:cs="Times New Roman"/>
          <w:sz w:val="24"/>
          <w:szCs w:val="24"/>
        </w:rPr>
      </w:pPr>
      <w:r>
        <w:rPr>
          <w:rFonts w:ascii="Times New Roman" w:hAnsi="Times New Roman" w:cs="Times New Roman"/>
          <w:sz w:val="24"/>
          <w:szCs w:val="24"/>
        </w:rPr>
        <w:t xml:space="preserve">The chemistry results for the study are presented by the EC categories and by analytical </w:t>
      </w:r>
      <w:r w:rsidRPr="000F6650">
        <w:rPr>
          <w:rFonts w:ascii="Times New Roman" w:hAnsi="Times New Roman" w:cs="Times New Roman"/>
          <w:sz w:val="24"/>
          <w:szCs w:val="24"/>
        </w:rPr>
        <w:t>laboratory (</w:t>
      </w:r>
      <w:r w:rsidRPr="00D15C01">
        <w:rPr>
          <w:rFonts w:ascii="Times New Roman" w:hAnsi="Times New Roman" w:cs="Times New Roman"/>
          <w:sz w:val="24"/>
          <w:szCs w:val="24"/>
        </w:rPr>
        <w:t>Table 2</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Combined chemistry results per station are listed in </w:t>
      </w:r>
      <w:r w:rsidR="00813656" w:rsidRPr="00D15C01">
        <w:rPr>
          <w:rFonts w:ascii="Times New Roman" w:hAnsi="Times New Roman" w:cs="Times New Roman"/>
          <w:sz w:val="24"/>
          <w:szCs w:val="24"/>
        </w:rPr>
        <w:t>Table 4</w:t>
      </w:r>
      <w:r w:rsidR="00813656" w:rsidRPr="000F6650">
        <w:rPr>
          <w:rFonts w:ascii="Times New Roman" w:hAnsi="Times New Roman" w:cs="Times New Roman"/>
          <w:sz w:val="24"/>
          <w:szCs w:val="24"/>
        </w:rPr>
        <w:t xml:space="preserve">. </w:t>
      </w:r>
      <w:r w:rsidRPr="000F6650">
        <w:rPr>
          <w:rFonts w:ascii="Times New Roman" w:hAnsi="Times New Roman" w:cs="Times New Roman"/>
          <w:sz w:val="24"/>
          <w:szCs w:val="24"/>
        </w:rPr>
        <w:t>The biology results are presented by laboratory and test type (</w:t>
      </w:r>
      <w:r w:rsidRPr="00D15C01">
        <w:rPr>
          <w:rFonts w:ascii="Times New Roman" w:hAnsi="Times New Roman" w:cs="Times New Roman"/>
          <w:sz w:val="24"/>
          <w:szCs w:val="24"/>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p>
    <w:p w14:paraId="3C6A0FC4" w14:textId="194D6BC4" w:rsidR="00D70E7A" w:rsidRPr="00132523" w:rsidRDefault="00523558" w:rsidP="00B169EC">
      <w:pPr>
        <w:pStyle w:val="Heading2"/>
      </w:pPr>
      <w:bookmarkStart w:id="12" w:name="_Toc12446721"/>
      <w:r>
        <w:t xml:space="preserve">3.1 </w:t>
      </w:r>
      <w:r w:rsidR="00D70E7A" w:rsidRPr="00132523">
        <w:t xml:space="preserve">Pesticides – SGS </w:t>
      </w:r>
      <w:r w:rsidR="008A390B">
        <w:t xml:space="preserve">AXYS </w:t>
      </w:r>
      <w:r w:rsidR="00D70E7A" w:rsidRPr="00132523">
        <w:t>Lab</w:t>
      </w:r>
      <w:bookmarkEnd w:id="12"/>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13"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13"/>
    <w:p w14:paraId="3AAE9DB3" w14:textId="359B94D3"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r w:rsidR="008A390B">
        <w:rPr>
          <w:rFonts w:ascii="Times New Roman" w:hAnsi="Times New Roman" w:cs="Times New Roman"/>
          <w:sz w:val="24"/>
        </w:rPr>
        <w:t xml:space="preserve">AXYS </w:t>
      </w:r>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483"/>
        <w:gridCol w:w="1975"/>
        <w:gridCol w:w="1615"/>
      </w:tblGrid>
      <w:tr w:rsidR="00173747" w:rsidRPr="00D70E7A" w14:paraId="0F3DBF27" w14:textId="77777777" w:rsidTr="00D15C01">
        <w:trPr>
          <w:cantSplit/>
          <w:trHeight w:val="78"/>
          <w:tblHeader/>
        </w:trPr>
        <w:tc>
          <w:tcPr>
            <w:tcW w:w="3277" w:type="dxa"/>
            <w:shd w:val="clear" w:color="auto" w:fill="D9D9D9" w:themeFill="background1" w:themeFillShade="D9"/>
            <w:vAlign w:val="center"/>
          </w:tcPr>
          <w:p w14:paraId="41F30649" w14:textId="3E91156B"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Category</w:t>
            </w:r>
          </w:p>
        </w:tc>
        <w:tc>
          <w:tcPr>
            <w:tcW w:w="2483" w:type="dxa"/>
            <w:shd w:val="clear" w:color="auto" w:fill="D9D9D9" w:themeFill="background1" w:themeFillShade="D9"/>
            <w:vAlign w:val="center"/>
          </w:tcPr>
          <w:p w14:paraId="234501E0" w14:textId="5EEF8F3F"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1975" w:type="dxa"/>
            <w:shd w:val="clear" w:color="auto" w:fill="D9D9D9" w:themeFill="background1" w:themeFillShade="D9"/>
            <w:vAlign w:val="center"/>
          </w:tcPr>
          <w:p w14:paraId="2965C2AC" w14:textId="35A92B92"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SGS AXYS lab</w:t>
            </w:r>
          </w:p>
        </w:tc>
        <w:tc>
          <w:tcPr>
            <w:tcW w:w="1615" w:type="dxa"/>
            <w:shd w:val="clear" w:color="auto" w:fill="D9D9D9" w:themeFill="background1" w:themeFillShade="D9"/>
            <w:vAlign w:val="center"/>
          </w:tcPr>
          <w:p w14:paraId="3FEA0139" w14:textId="5D4607EF"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FDEP lab</w:t>
            </w:r>
          </w:p>
        </w:tc>
      </w:tr>
      <w:tr w:rsidR="00096B99" w:rsidRPr="00D70E7A" w14:paraId="0E683CE2" w14:textId="77777777" w:rsidTr="00D15C01">
        <w:trPr>
          <w:cantSplit/>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483"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D15C01">
        <w:trPr>
          <w:cantSplit/>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483"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D15C01">
        <w:trPr>
          <w:cantSplit/>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483"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D15C01">
        <w:trPr>
          <w:cantSplit/>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483"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D15C01">
        <w:trPr>
          <w:cantSplit/>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483"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D15C01">
        <w:trPr>
          <w:cantSplit/>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483"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 xml:space="preserve">Assay Categories with Assay Name and Entity that Conducted </w:t>
      </w:r>
      <w:bookmarkStart w:id="14" w:name="_GoBack"/>
      <w:r w:rsidR="00252EFE">
        <w:rPr>
          <w:rFonts w:ascii="Times New Roman" w:hAnsi="Times New Roman" w:cs="Times New Roman"/>
          <w:sz w:val="24"/>
          <w:szCs w:val="24"/>
        </w:rPr>
        <w:t>Assay</w:t>
      </w:r>
      <w:bookmarkEnd w:id="14"/>
      <w:r w:rsidR="00252EF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D15C01">
        <w:trPr>
          <w:cantSplit/>
          <w:tblHeader/>
        </w:trPr>
        <w:tc>
          <w:tcPr>
            <w:tcW w:w="3116" w:type="dxa"/>
            <w:shd w:val="clear" w:color="auto" w:fill="D9D9D9" w:themeFill="background1" w:themeFillShade="D9"/>
          </w:tcPr>
          <w:p w14:paraId="792D5261"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Category</w:t>
            </w:r>
          </w:p>
        </w:tc>
        <w:tc>
          <w:tcPr>
            <w:tcW w:w="3117" w:type="dxa"/>
            <w:shd w:val="clear" w:color="auto" w:fill="D9D9D9" w:themeFill="background1" w:themeFillShade="D9"/>
          </w:tcPr>
          <w:p w14:paraId="5ABE5E4E"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Name</w:t>
            </w:r>
          </w:p>
        </w:tc>
        <w:tc>
          <w:tcPr>
            <w:tcW w:w="3117" w:type="dxa"/>
            <w:shd w:val="clear" w:color="auto" w:fill="D9D9D9" w:themeFill="background1" w:themeFillShade="D9"/>
          </w:tcPr>
          <w:p w14:paraId="5434B4F8"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Entity that conducted assay</w:t>
            </w:r>
          </w:p>
        </w:tc>
      </w:tr>
      <w:tr w:rsidR="00ED1E59" w14:paraId="48AAD4AD" w14:textId="77777777" w:rsidTr="00D15C01">
        <w:trPr>
          <w:cantSplit/>
        </w:trPr>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D15C01">
        <w:trPr>
          <w:cantSplit/>
        </w:trPr>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D15C01">
        <w:trPr>
          <w:cantSplit/>
        </w:trPr>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D15C01">
        <w:trPr>
          <w:cantSplit/>
        </w:trPr>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D0AD6F9" w:rsidR="008F6F42" w:rsidRPr="00523558" w:rsidRDefault="00523558" w:rsidP="00523558">
      <w:pPr>
        <w:pStyle w:val="Heading2"/>
      </w:pPr>
      <w:bookmarkStart w:id="15" w:name="_Toc12446722"/>
      <w:r w:rsidRPr="00523558">
        <w:t xml:space="preserve">3.2 </w:t>
      </w:r>
      <w:r w:rsidR="008F6F42" w:rsidRPr="00523558">
        <w:t>Pharmaceuticals and Personal Care Products (PPCPs) – SGS</w:t>
      </w:r>
      <w:r w:rsidR="008A390B">
        <w:t xml:space="preserve"> AXYS</w:t>
      </w:r>
      <w:r w:rsidR="008F6F42" w:rsidRPr="00523558">
        <w:t xml:space="preserve"> Lab</w:t>
      </w:r>
      <w:bookmarkEnd w:id="15"/>
    </w:p>
    <w:p w14:paraId="4760DB77" w14:textId="77777777" w:rsidR="00622F73" w:rsidRPr="00622F73" w:rsidRDefault="00622F73" w:rsidP="00622F73">
      <w:pPr>
        <w:spacing w:after="0"/>
      </w:pPr>
    </w:p>
    <w:p w14:paraId="37C66723" w14:textId="7E75EC4C" w:rsidR="008F6F42" w:rsidRPr="00132523" w:rsidRDefault="008F6F42" w:rsidP="00D15C01">
      <w:pPr>
        <w:spacing w:after="0"/>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2B721183" w:rsidR="0016249D" w:rsidRPr="00523558" w:rsidRDefault="00523558" w:rsidP="00523558">
      <w:pPr>
        <w:pStyle w:val="Heading2"/>
      </w:pPr>
      <w:bookmarkStart w:id="16" w:name="_Toc12446723"/>
      <w:r w:rsidRPr="00523558">
        <w:t xml:space="preserve">3.3 </w:t>
      </w:r>
      <w:r w:rsidR="0016249D" w:rsidRPr="00523558">
        <w:t>Hormones</w:t>
      </w:r>
      <w:r w:rsidR="00393179" w:rsidRPr="00523558">
        <w:t xml:space="preserve"> – SGS </w:t>
      </w:r>
      <w:r w:rsidR="008A390B">
        <w:t xml:space="preserve">AXYS </w:t>
      </w:r>
      <w:r w:rsidR="00393179" w:rsidRPr="00523558">
        <w:t>Lab</w:t>
      </w:r>
      <w:bookmarkEnd w:id="16"/>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815B449" w:rsidR="0016249D" w:rsidRPr="00523558" w:rsidRDefault="00523558" w:rsidP="00523558">
      <w:pPr>
        <w:pStyle w:val="Heading2"/>
      </w:pPr>
      <w:bookmarkStart w:id="17" w:name="_Toc12446724"/>
      <w:r w:rsidRPr="00523558">
        <w:t xml:space="preserve">3.4 </w:t>
      </w:r>
      <w:r w:rsidR="0016249D" w:rsidRPr="00523558">
        <w:t>Perfluorinated Compounds (PFC)</w:t>
      </w:r>
      <w:r w:rsidR="00393179" w:rsidRPr="00523558">
        <w:t xml:space="preserve"> – SGS </w:t>
      </w:r>
      <w:r w:rsidR="008A390B">
        <w:t xml:space="preserve">AXYS </w:t>
      </w:r>
      <w:r w:rsidR="00393179" w:rsidRPr="00523558">
        <w:t>Lab</w:t>
      </w:r>
      <w:bookmarkEnd w:id="17"/>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BB79A81" w:rsidR="0016249D" w:rsidRPr="00523558" w:rsidRDefault="00523558" w:rsidP="00523558">
      <w:pPr>
        <w:pStyle w:val="Heading2"/>
      </w:pPr>
      <w:bookmarkStart w:id="18"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r w:rsidR="008A390B">
        <w:t xml:space="preserve">AXYS </w:t>
      </w:r>
      <w:r w:rsidR="00393179" w:rsidRPr="00523558">
        <w:t>Lab</w:t>
      </w:r>
      <w:bookmarkEnd w:id="18"/>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23E758F8" w:rsidR="0016249D" w:rsidRDefault="00523558" w:rsidP="00622F73">
      <w:pPr>
        <w:pStyle w:val="Heading2"/>
      </w:pPr>
      <w:bookmarkStart w:id="19" w:name="_Toc12446726"/>
      <w:r>
        <w:t xml:space="preserve">3.6 </w:t>
      </w:r>
      <w:r w:rsidR="0016249D" w:rsidRPr="00132523">
        <w:t>Alkylphenols</w:t>
      </w:r>
      <w:r w:rsidR="008C0C56" w:rsidRPr="00132523">
        <w:t xml:space="preserve"> – SGS </w:t>
      </w:r>
      <w:r w:rsidR="008A390B">
        <w:t xml:space="preserve">AXYS </w:t>
      </w:r>
      <w:r w:rsidR="008C0C56" w:rsidRPr="00132523">
        <w:t>lab</w:t>
      </w:r>
      <w:bookmarkEnd w:id="19"/>
    </w:p>
    <w:p w14:paraId="1B729C06" w14:textId="77777777" w:rsidR="00622F73" w:rsidRPr="00622F73" w:rsidRDefault="00622F73" w:rsidP="00622F73">
      <w:pPr>
        <w:spacing w:after="0"/>
      </w:pPr>
    </w:p>
    <w:p w14:paraId="3BE1E806" w14:textId="64439178"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r w:rsidR="002B027A" w:rsidRPr="00132523">
        <w:rPr>
          <w:rFonts w:ascii="Times New Roman" w:hAnsi="Times New Roman" w:cs="Times New Roman"/>
          <w:sz w:val="24"/>
          <w:szCs w:val="24"/>
        </w:rPr>
        <w:t>alkylphenol</w:t>
      </w:r>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20"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20"/>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lastRenderedPageBreak/>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1F985BF3"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2B027A">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1E5981C5"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r w:rsidR="008A390B">
        <w:rPr>
          <w:rFonts w:ascii="Times New Roman" w:hAnsi="Times New Roman" w:cs="Times New Roman"/>
          <w:sz w:val="24"/>
          <w:szCs w:val="24"/>
        </w:rPr>
        <w:t xml:space="preserve">AXYS </w:t>
      </w:r>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21" w:name="_Toc12446728"/>
      <w:r>
        <w:t xml:space="preserve">3.8 </w:t>
      </w:r>
      <w:r w:rsidR="009F3EA9" w:rsidRPr="00132523">
        <w:t>University of Florida Results</w:t>
      </w:r>
      <w:bookmarkEnd w:id="21"/>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22" w:name="_Toc12446729"/>
      <w:r>
        <w:t xml:space="preserve">3.9 </w:t>
      </w:r>
      <w:r w:rsidR="009F3EA9" w:rsidRPr="00132523">
        <w:t>USGS Result</w:t>
      </w:r>
      <w:r w:rsidR="00CF4B91" w:rsidRPr="00132523">
        <w:t>s</w:t>
      </w:r>
      <w:bookmarkEnd w:id="22"/>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0F3081FD"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23"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23"/>
    </w:p>
    <w:p w14:paraId="438A1E7C" w14:textId="77777777" w:rsidR="00622F73" w:rsidRPr="00622F73" w:rsidRDefault="00622F73" w:rsidP="00622F73">
      <w:pPr>
        <w:spacing w:after="0"/>
      </w:pPr>
    </w:p>
    <w:p w14:paraId="5E8C4A3D" w14:textId="60673F27" w:rsidR="001F6E34" w:rsidRPr="00132523" w:rsidRDefault="00757E62" w:rsidP="001F6E34">
      <w:pPr>
        <w:rPr>
          <w:rFonts w:ascii="Times New Roman" w:hAnsi="Times New Roman" w:cs="Times New Roman"/>
          <w:sz w:val="24"/>
          <w:szCs w:val="24"/>
        </w:rPr>
      </w:pPr>
      <w:bookmarkStart w:id="24"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w:t>
      </w:r>
      <w:r w:rsidR="0036378F">
        <w:rPr>
          <w:rFonts w:ascii="Times New Roman" w:hAnsi="Times New Roman" w:cs="Times New Roman"/>
          <w:sz w:val="24"/>
          <w:szCs w:val="24"/>
        </w:rPr>
        <w:t xml:space="preserve"> the</w:t>
      </w:r>
      <w:r w:rsidR="001F6E34" w:rsidRPr="0098445F">
        <w:rPr>
          <w:rFonts w:ascii="Times New Roman" w:hAnsi="Times New Roman" w:cs="Times New Roman"/>
          <w:sz w:val="24"/>
          <w:szCs w:val="24"/>
        </w:rPr>
        <w:t xml:space="preserve">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53E5B461"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r w:rsidR="00DD267A">
        <w:rPr>
          <w:rFonts w:ascii="Times New Roman" w:hAnsi="Times New Roman" w:cs="Times New Roman"/>
          <w:sz w:val="24"/>
          <w:szCs w:val="24"/>
        </w:rPr>
        <w:t xml:space="preserve">Alvarez </w:t>
      </w:r>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E62B47">
        <w:rPr>
          <w:rFonts w:ascii="Times New Roman" w:hAnsi="Times New Roman" w:cs="Times New Roman"/>
          <w:sz w:val="24"/>
          <w:szCs w:val="24"/>
        </w:rPr>
        <w:t xml:space="preserve">performance reference compounds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the address these environmental variables. </w:t>
      </w:r>
      <w:r w:rsidR="00BF0470">
        <w:rPr>
          <w:color w:val="000000"/>
        </w:rPr>
        <w:t xml:space="preserve"> </w:t>
      </w:r>
      <w:r w:rsidR="00BF0470" w:rsidRPr="00D15C01">
        <w:rPr>
          <w:rFonts w:ascii="Times New Roman" w:hAnsi="Times New Roman" w:cs="Times New Roman"/>
          <w:color w:val="000000"/>
          <w:sz w:val="24"/>
          <w:szCs w:val="24"/>
        </w:rPr>
        <w:t xml:space="preserve">PRC is a chemical </w:t>
      </w:r>
      <w:r w:rsidR="00E617A4" w:rsidRPr="00D15C01">
        <w:rPr>
          <w:rFonts w:ascii="Times New Roman" w:hAnsi="Times New Roman" w:cs="Times New Roman"/>
          <w:color w:val="000000"/>
          <w:sz w:val="24"/>
          <w:szCs w:val="24"/>
        </w:rPr>
        <w:t xml:space="preserve">added </w:t>
      </w:r>
      <w:r w:rsidR="00BF0470" w:rsidRPr="00D15C01">
        <w:rPr>
          <w:rFonts w:ascii="Times New Roman" w:hAnsi="Times New Roman" w:cs="Times New Roman"/>
          <w:color w:val="000000"/>
          <w:sz w:val="24"/>
          <w:szCs w:val="24"/>
        </w:rPr>
        <w:t>to the sampler during fabrication. By measuring the amount of PRC loss during deployment in the field, adjustments to the sampling rates of targeted chemicals can be made to reflect the site-specific sampling rates</w:t>
      </w:r>
      <w:r w:rsidR="00E617A4" w:rsidRPr="00D15C01">
        <w:rPr>
          <w:rFonts w:ascii="Times New Roman" w:hAnsi="Times New Roman" w:cs="Times New Roman"/>
          <w:color w:val="000000"/>
          <w:sz w:val="24"/>
          <w:szCs w:val="24"/>
        </w:rPr>
        <w:t xml:space="preserve"> (Alvarez, 2010)</w:t>
      </w:r>
      <w:r w:rsidR="00BF0470" w:rsidRPr="00D15C01">
        <w:rPr>
          <w:rFonts w:ascii="Times New Roman" w:hAnsi="Times New Roman" w:cs="Times New Roman"/>
          <w:color w:val="000000"/>
          <w:sz w:val="24"/>
          <w:szCs w:val="24"/>
        </w:rPr>
        <w:t>.</w:t>
      </w:r>
      <w:r w:rsidR="00BF0470" w:rsidRPr="000F6650">
        <w:rPr>
          <w:rFonts w:ascii="Times New Roman" w:hAnsi="Times New Roman" w:cs="Times New Roman"/>
          <w:sz w:val="24"/>
          <w:szCs w:val="24"/>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sufficient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w:t>
      </w:r>
      <w:r w:rsidR="007B6BC2" w:rsidRPr="00132523">
        <w:rPr>
          <w:rFonts w:ascii="Times New Roman" w:hAnsi="Times New Roman" w:cs="Times New Roman"/>
          <w:sz w:val="24"/>
          <w:szCs w:val="24"/>
        </w:rPr>
        <w:lastRenderedPageBreak/>
        <w:t xml:space="preserve">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3C0C3CDD" w:rsidR="004A6E83" w:rsidRPr="00132523" w:rsidRDefault="004A6E83" w:rsidP="00132523">
      <w:pPr>
        <w:rPr>
          <w:rFonts w:ascii="Times New Roman" w:hAnsi="Times New Roman" w:cs="Times New Roman"/>
          <w:sz w:val="24"/>
          <w:szCs w:val="24"/>
        </w:rPr>
      </w:pPr>
      <w:commentRangeStart w:id="25"/>
      <w:r>
        <w:rPr>
          <w:rFonts w:ascii="Times New Roman" w:hAnsi="Times New Roman" w:cs="Times New Roman"/>
          <w:sz w:val="24"/>
          <w:szCs w:val="24"/>
        </w:rPr>
        <w:t xml:space="preserve">Supplemental information including a summary of </w:t>
      </w:r>
      <w:r w:rsidR="005B36A4">
        <w:rPr>
          <w:rFonts w:ascii="Times New Roman" w:hAnsi="Times New Roman" w:cs="Times New Roman"/>
          <w:sz w:val="24"/>
          <w:szCs w:val="24"/>
        </w:rPr>
        <w:t xml:space="preserve">EC </w:t>
      </w:r>
      <w:r>
        <w:rPr>
          <w:rFonts w:ascii="Times New Roman" w:hAnsi="Times New Roman" w:cs="Times New Roman"/>
          <w:sz w:val="24"/>
          <w:szCs w:val="24"/>
        </w:rPr>
        <w:t>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commentRangeEnd w:id="25"/>
      <w:r w:rsidR="0036378F">
        <w:rPr>
          <w:rStyle w:val="CommentReference"/>
        </w:rPr>
        <w:commentReference w:id="25"/>
      </w:r>
    </w:p>
    <w:bookmarkEnd w:id="24"/>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26" w:name="_Toc12446731"/>
      <w:r w:rsidRPr="00132523">
        <w:t>Acknowledgements</w:t>
      </w:r>
      <w:bookmarkEnd w:id="26"/>
    </w:p>
    <w:p w14:paraId="215A34A0" w14:textId="77777777" w:rsidR="00622F73" w:rsidRPr="00622F73" w:rsidRDefault="00622F73" w:rsidP="00622F73">
      <w:pPr>
        <w:spacing w:after="0"/>
      </w:pPr>
    </w:p>
    <w:p w14:paraId="086839CE" w14:textId="0452AAFE" w:rsidR="00A30D44" w:rsidRDefault="0036378F">
      <w:pPr>
        <w:rPr>
          <w:rFonts w:ascii="Times New Roman" w:hAnsi="Times New Roman" w:cs="Times New Roman"/>
          <w:sz w:val="24"/>
          <w:szCs w:val="24"/>
        </w:rPr>
      </w:pPr>
      <w:r>
        <w:rPr>
          <w:rFonts w:ascii="Times New Roman" w:hAnsi="Times New Roman" w:cs="Times New Roman"/>
          <w:sz w:val="24"/>
          <w:szCs w:val="24"/>
        </w:rPr>
        <w:t xml:space="preserve"> The </w:t>
      </w:r>
      <w:r w:rsidR="00076D12" w:rsidRPr="00132523">
        <w:rPr>
          <w:rFonts w:ascii="Times New Roman" w:hAnsi="Times New Roman" w:cs="Times New Roman"/>
          <w:sz w:val="24"/>
          <w:szCs w:val="24"/>
        </w:rPr>
        <w:t xml:space="preserve">Florida Department of Environmental Protection </w:t>
      </w:r>
      <w:r>
        <w:rPr>
          <w:rFonts w:ascii="Times New Roman" w:hAnsi="Times New Roman" w:cs="Times New Roman"/>
          <w:sz w:val="24"/>
          <w:szCs w:val="24"/>
        </w:rPr>
        <w:t>thanks</w:t>
      </w:r>
      <w:r w:rsidR="00076D12" w:rsidRPr="00132523">
        <w:rPr>
          <w:rFonts w:ascii="Times New Roman" w:hAnsi="Times New Roman" w:cs="Times New Roman"/>
          <w:sz w:val="24"/>
          <w:szCs w:val="24"/>
        </w:rPr>
        <w:t xml:space="preserve">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00076D12"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00076D12"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r w:rsidR="00AA7EF9">
        <w:rPr>
          <w:rFonts w:ascii="Times New Roman" w:hAnsi="Times New Roman" w:cs="Times New Roman"/>
          <w:sz w:val="24"/>
          <w:szCs w:val="24"/>
        </w:rPr>
        <w:t xml:space="preserve"> </w:t>
      </w:r>
      <w:r w:rsidR="00076D12"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00076D12"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27" w:name="_Toc12446732"/>
      <w:r w:rsidRPr="00523558">
        <w:t xml:space="preserve">5.0 </w:t>
      </w:r>
      <w:r w:rsidR="007F2FC1" w:rsidRPr="00523558">
        <w:t>References</w:t>
      </w:r>
      <w:bookmarkEnd w:id="27"/>
    </w:p>
    <w:p w14:paraId="6BA0241B" w14:textId="7996143E" w:rsidR="00DF4BF6" w:rsidRDefault="00DF4BF6" w:rsidP="00DF4BF6"/>
    <w:p w14:paraId="0D939938" w14:textId="6032D116" w:rsidR="00DF4BF6" w:rsidRPr="00D15C01" w:rsidRDefault="00DF4BF6" w:rsidP="00B169EC">
      <w:pPr>
        <w:rPr>
          <w:rFonts w:ascii="Times New Roman" w:hAnsi="Times New Roman" w:cs="Times New Roman"/>
          <w:sz w:val="24"/>
          <w:szCs w:val="24"/>
        </w:rPr>
      </w:pPr>
      <w:r w:rsidRPr="00D15C01">
        <w:rPr>
          <w:rFonts w:ascii="Times New Roman" w:hAnsi="Times New Roman" w:cs="Times New Roman"/>
          <w:sz w:val="24"/>
          <w:szCs w:val="24"/>
        </w:rPr>
        <w:t>Alvarez, D.A., 2010. 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4877429A"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28"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28"/>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29"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29"/>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lastRenderedPageBreak/>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30" w:name="_Toc12446733"/>
      <w:r w:rsidRPr="00523558">
        <w:lastRenderedPageBreak/>
        <w:t>Appendix A. All Compounds Included in this Study</w:t>
      </w:r>
      <w:bookmarkEnd w:id="30"/>
    </w:p>
    <w:p w14:paraId="12DDE804" w14:textId="77777777" w:rsidR="00622F73" w:rsidRPr="00622F73" w:rsidRDefault="00622F73" w:rsidP="00622F73">
      <w:pPr>
        <w:spacing w:after="0"/>
      </w:pPr>
    </w:p>
    <w:p w14:paraId="794F8F08" w14:textId="2B1F4C4D"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27A28185"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56F68D5F"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5E2D453"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DCC433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6A18294"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r w:rsidR="008A390B">
        <w:rPr>
          <w:rFonts w:ascii="Times New Roman" w:hAnsi="Times New Roman" w:cs="Times New Roman"/>
          <w:sz w:val="24"/>
          <w:szCs w:val="24"/>
        </w:rPr>
        <w:t xml:space="preserve"> AXYS</w:t>
      </w:r>
      <w:r w:rsidRPr="00D50219">
        <w:rPr>
          <w:rFonts w:ascii="Times New Roman" w:hAnsi="Times New Roman" w:cs="Times New Roman"/>
          <w:sz w:val="24"/>
          <w:szCs w:val="24"/>
        </w:rPr>
        <w:t xml:space="preserve">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26B20719"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Pesticide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B2B6C5A" w14:textId="16C7123E"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ogue, Alicia" w:date="2019-06-27T15:09:00Z" w:initials="HA">
    <w:p w14:paraId="208C5C06" w14:textId="6F3F7D0E" w:rsidR="00267A3E" w:rsidRDefault="00267A3E">
      <w:pPr>
        <w:pStyle w:val="CommentText"/>
      </w:pPr>
      <w:r>
        <w:rPr>
          <w:rStyle w:val="CommentReference"/>
        </w:rPr>
        <w:annotationRef/>
      </w:r>
      <w:r w:rsidR="000637FE">
        <w:t>Should we use the word “Select?” We could use a tie breaker in the group. Also, do you have other ideas for the title?</w:t>
      </w:r>
    </w:p>
  </w:comment>
  <w:comment w:id="25" w:author="Sutton, Kaitlyn" w:date="2019-06-27T12:35:00Z" w:initials="SK">
    <w:p w14:paraId="73EEACD5" w14:textId="2C38E779" w:rsidR="00D15C01" w:rsidRDefault="00D15C01">
      <w:pPr>
        <w:pStyle w:val="CommentText"/>
      </w:pPr>
      <w:r>
        <w:rPr>
          <w:rStyle w:val="CommentReference"/>
        </w:rPr>
        <w:annotationRef/>
      </w:r>
      <w:r>
        <w:t>Don’t forget to create the link and place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8C5C06" w15:done="0"/>
  <w15:commentEx w15:paraId="73EEAC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8C5C06" w16cid:durableId="20BF5A9D"/>
  <w16cid:commentId w16cid:paraId="73EEACD5" w16cid:durableId="20BF36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93A25" w14:textId="77777777" w:rsidR="00D15C01" w:rsidRDefault="00D15C01" w:rsidP="00E131FC">
      <w:pPr>
        <w:spacing w:after="0" w:line="240" w:lineRule="auto"/>
      </w:pPr>
      <w:r>
        <w:separator/>
      </w:r>
    </w:p>
  </w:endnote>
  <w:endnote w:type="continuationSeparator" w:id="0">
    <w:p w14:paraId="41D4E762" w14:textId="77777777" w:rsidR="00D15C01" w:rsidRDefault="00D15C01"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D15C01" w:rsidRDefault="00D15C0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D15C01" w:rsidRDefault="00D15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3015C" w14:textId="77777777" w:rsidR="00D15C01" w:rsidRDefault="00D15C01" w:rsidP="00E131FC">
      <w:pPr>
        <w:spacing w:after="0" w:line="240" w:lineRule="auto"/>
      </w:pPr>
      <w:r>
        <w:separator/>
      </w:r>
    </w:p>
  </w:footnote>
  <w:footnote w:type="continuationSeparator" w:id="0">
    <w:p w14:paraId="30936D15" w14:textId="77777777" w:rsidR="00D15C01" w:rsidRDefault="00D15C01"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D15C01" w:rsidRDefault="00D15C01">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Sutton, Kaitlyn">
    <w15:presenceInfo w15:providerId="AD" w15:userId="S-1-5-21-1004336348-1214440339-1801674531-83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904ED"/>
    <w:rsid w:val="00096B99"/>
    <w:rsid w:val="000B5F07"/>
    <w:rsid w:val="000C3370"/>
    <w:rsid w:val="000C746C"/>
    <w:rsid w:val="000D50D4"/>
    <w:rsid w:val="000E55FF"/>
    <w:rsid w:val="000E7C6E"/>
    <w:rsid w:val="000F142C"/>
    <w:rsid w:val="000F6650"/>
    <w:rsid w:val="000F7E4C"/>
    <w:rsid w:val="00100244"/>
    <w:rsid w:val="001043B7"/>
    <w:rsid w:val="001055E1"/>
    <w:rsid w:val="001134C4"/>
    <w:rsid w:val="00116D36"/>
    <w:rsid w:val="001217D7"/>
    <w:rsid w:val="001232B8"/>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3747"/>
    <w:rsid w:val="001743F0"/>
    <w:rsid w:val="001760C9"/>
    <w:rsid w:val="001767B1"/>
    <w:rsid w:val="00180071"/>
    <w:rsid w:val="00182F34"/>
    <w:rsid w:val="00185AE5"/>
    <w:rsid w:val="001A3EA5"/>
    <w:rsid w:val="001A4CFD"/>
    <w:rsid w:val="001A6071"/>
    <w:rsid w:val="001B4A55"/>
    <w:rsid w:val="001B55D5"/>
    <w:rsid w:val="001B6BE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67A3E"/>
    <w:rsid w:val="00270B04"/>
    <w:rsid w:val="00270FED"/>
    <w:rsid w:val="002752C5"/>
    <w:rsid w:val="00276EE0"/>
    <w:rsid w:val="00277705"/>
    <w:rsid w:val="0028306A"/>
    <w:rsid w:val="002853DF"/>
    <w:rsid w:val="00286609"/>
    <w:rsid w:val="00291288"/>
    <w:rsid w:val="00291418"/>
    <w:rsid w:val="00296EF9"/>
    <w:rsid w:val="002A0C1C"/>
    <w:rsid w:val="002A3FEC"/>
    <w:rsid w:val="002B027A"/>
    <w:rsid w:val="002B0F3A"/>
    <w:rsid w:val="002B1B5F"/>
    <w:rsid w:val="002B4D4E"/>
    <w:rsid w:val="002D05A4"/>
    <w:rsid w:val="002D2063"/>
    <w:rsid w:val="002D7A00"/>
    <w:rsid w:val="002E1339"/>
    <w:rsid w:val="002E7587"/>
    <w:rsid w:val="002E78BA"/>
    <w:rsid w:val="00313FD3"/>
    <w:rsid w:val="003143E8"/>
    <w:rsid w:val="003209BF"/>
    <w:rsid w:val="00320D46"/>
    <w:rsid w:val="0032473B"/>
    <w:rsid w:val="0032786A"/>
    <w:rsid w:val="003312E6"/>
    <w:rsid w:val="00343D77"/>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36E1"/>
    <w:rsid w:val="004067A3"/>
    <w:rsid w:val="0041223B"/>
    <w:rsid w:val="00412A39"/>
    <w:rsid w:val="00415C71"/>
    <w:rsid w:val="0041603D"/>
    <w:rsid w:val="00430DDD"/>
    <w:rsid w:val="004337A8"/>
    <w:rsid w:val="00437D73"/>
    <w:rsid w:val="004454BC"/>
    <w:rsid w:val="004503B5"/>
    <w:rsid w:val="00455637"/>
    <w:rsid w:val="004728DF"/>
    <w:rsid w:val="00472E85"/>
    <w:rsid w:val="0048326C"/>
    <w:rsid w:val="00486AF4"/>
    <w:rsid w:val="004A23A9"/>
    <w:rsid w:val="004A2CCD"/>
    <w:rsid w:val="004A6E83"/>
    <w:rsid w:val="004B5B8C"/>
    <w:rsid w:val="004B7B9F"/>
    <w:rsid w:val="004C253F"/>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E5670"/>
    <w:rsid w:val="005F1476"/>
    <w:rsid w:val="006011BE"/>
    <w:rsid w:val="00605CBF"/>
    <w:rsid w:val="00612085"/>
    <w:rsid w:val="00622E0A"/>
    <w:rsid w:val="00622F73"/>
    <w:rsid w:val="00625994"/>
    <w:rsid w:val="00636D6A"/>
    <w:rsid w:val="00644B41"/>
    <w:rsid w:val="006450F3"/>
    <w:rsid w:val="00656661"/>
    <w:rsid w:val="00660A94"/>
    <w:rsid w:val="0066122E"/>
    <w:rsid w:val="00662960"/>
    <w:rsid w:val="00664C4F"/>
    <w:rsid w:val="00671E17"/>
    <w:rsid w:val="0067507E"/>
    <w:rsid w:val="00680A44"/>
    <w:rsid w:val="006810E4"/>
    <w:rsid w:val="0068244F"/>
    <w:rsid w:val="00686B56"/>
    <w:rsid w:val="00687FE9"/>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688D"/>
    <w:rsid w:val="006F7499"/>
    <w:rsid w:val="006F7B75"/>
    <w:rsid w:val="00714073"/>
    <w:rsid w:val="007163E5"/>
    <w:rsid w:val="007218AD"/>
    <w:rsid w:val="0072208A"/>
    <w:rsid w:val="007324E2"/>
    <w:rsid w:val="00732CC7"/>
    <w:rsid w:val="007336C1"/>
    <w:rsid w:val="00734EBB"/>
    <w:rsid w:val="00741BE3"/>
    <w:rsid w:val="007430B7"/>
    <w:rsid w:val="00755279"/>
    <w:rsid w:val="00755804"/>
    <w:rsid w:val="007564D0"/>
    <w:rsid w:val="00757E62"/>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CED"/>
    <w:rsid w:val="008A4ED2"/>
    <w:rsid w:val="008A654A"/>
    <w:rsid w:val="008B19E3"/>
    <w:rsid w:val="008C0075"/>
    <w:rsid w:val="008C0C56"/>
    <w:rsid w:val="008C5F05"/>
    <w:rsid w:val="008D1036"/>
    <w:rsid w:val="008D1683"/>
    <w:rsid w:val="008D5EB8"/>
    <w:rsid w:val="008E6667"/>
    <w:rsid w:val="008E7101"/>
    <w:rsid w:val="008E726A"/>
    <w:rsid w:val="008F1160"/>
    <w:rsid w:val="008F2464"/>
    <w:rsid w:val="008F6F42"/>
    <w:rsid w:val="00914885"/>
    <w:rsid w:val="00917AEC"/>
    <w:rsid w:val="00920EB6"/>
    <w:rsid w:val="009241F6"/>
    <w:rsid w:val="00926BC5"/>
    <w:rsid w:val="00951448"/>
    <w:rsid w:val="00951DC8"/>
    <w:rsid w:val="00956137"/>
    <w:rsid w:val="009618BE"/>
    <w:rsid w:val="00962CD7"/>
    <w:rsid w:val="00966C6E"/>
    <w:rsid w:val="009707D1"/>
    <w:rsid w:val="009710A9"/>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187D"/>
    <w:rsid w:val="00B256FE"/>
    <w:rsid w:val="00B25F60"/>
    <w:rsid w:val="00B31357"/>
    <w:rsid w:val="00B319F9"/>
    <w:rsid w:val="00B3520A"/>
    <w:rsid w:val="00B521B1"/>
    <w:rsid w:val="00B523E7"/>
    <w:rsid w:val="00B52C6F"/>
    <w:rsid w:val="00B57697"/>
    <w:rsid w:val="00B60F21"/>
    <w:rsid w:val="00B7342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5C01"/>
    <w:rsid w:val="00D174D8"/>
    <w:rsid w:val="00D364DC"/>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10D3B"/>
    <w:rsid w:val="00E131FC"/>
    <w:rsid w:val="00E2070A"/>
    <w:rsid w:val="00E217D4"/>
    <w:rsid w:val="00E22E05"/>
    <w:rsid w:val="00E25EEA"/>
    <w:rsid w:val="00E360F1"/>
    <w:rsid w:val="00E37B11"/>
    <w:rsid w:val="00E44802"/>
    <w:rsid w:val="00E54BBB"/>
    <w:rsid w:val="00E617A4"/>
    <w:rsid w:val="00E62B47"/>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44CC6"/>
    <w:rsid w:val="00F47E06"/>
    <w:rsid w:val="00F51C36"/>
    <w:rsid w:val="00F630BA"/>
    <w:rsid w:val="00F63B8B"/>
    <w:rsid w:val="00F67C60"/>
    <w:rsid w:val="00F825DE"/>
    <w:rsid w:val="00F84DA3"/>
    <w:rsid w:val="00F94318"/>
    <w:rsid w:val="00F96FE9"/>
    <w:rsid w:val="00FC0082"/>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emf"/><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4665C-9FBD-40D8-8024-776846EA6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5467</Words>
  <Characters>31163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cp:lastPrinted>2019-06-12T16:59:00Z</cp:lastPrinted>
  <dcterms:created xsi:type="dcterms:W3CDTF">2019-06-27T19:14:00Z</dcterms:created>
  <dcterms:modified xsi:type="dcterms:W3CDTF">2019-06-27T19:14:00Z</dcterms:modified>
</cp:coreProperties>
</file>