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5492B" w14:textId="3D3E19DA" w:rsidR="003E7CCE" w:rsidRPr="00186962" w:rsidRDefault="00186962">
      <w:pPr>
        <w:rPr>
          <w:rFonts w:ascii="Times New Roman" w:hAnsi="Times New Roman" w:cs="Times New Roman"/>
          <w:sz w:val="24"/>
          <w:szCs w:val="24"/>
        </w:rPr>
      </w:pPr>
      <w:r w:rsidRPr="00186962">
        <w:rPr>
          <w:rFonts w:ascii="Times New Roman" w:hAnsi="Times New Roman" w:cs="Times New Roman"/>
          <w:sz w:val="24"/>
          <w:szCs w:val="24"/>
        </w:rPr>
        <w:t>Defining E</w:t>
      </w:r>
      <w:r w:rsidR="00124FB8">
        <w:rPr>
          <w:rFonts w:ascii="Times New Roman" w:hAnsi="Times New Roman" w:cs="Times New Roman"/>
          <w:sz w:val="24"/>
          <w:szCs w:val="24"/>
        </w:rPr>
        <w:t>Cs</w:t>
      </w:r>
    </w:p>
    <w:p w14:paraId="12F4E212" w14:textId="08AB0F01" w:rsidR="00186962" w:rsidRDefault="00186962" w:rsidP="00186962">
      <w:pPr>
        <w:pStyle w:val="ESOCBody"/>
      </w:pPr>
      <w:r w:rsidRPr="006A6C29">
        <w:t>In 2008, a Florida Department of Environmental Protection (</w:t>
      </w:r>
      <w:r w:rsidR="00F91899">
        <w:t>F</w:t>
      </w:r>
      <w:r>
        <w:t>DEP</w:t>
      </w:r>
      <w:r w:rsidRPr="006A6C29">
        <w:t xml:space="preserve">) internal workgroup assessed various strategies to address a group of </w:t>
      </w:r>
      <w:r w:rsidR="00D265E0">
        <w:t>compounds</w:t>
      </w:r>
      <w:r w:rsidRPr="006A6C29">
        <w:t xml:space="preserve"> commonly referred to as emerging </w:t>
      </w:r>
      <w:r w:rsidR="00124FB8">
        <w:t>contaminants</w:t>
      </w:r>
      <w:r>
        <w:t xml:space="preserve"> (E</w:t>
      </w:r>
      <w:bookmarkStart w:id="0" w:name="_GoBack"/>
      <w:bookmarkEnd w:id="0"/>
      <w:r>
        <w:t xml:space="preserve">C).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 xml:space="preserve">Several of these </w:t>
      </w:r>
      <w:r w:rsidR="00D265E0">
        <w:t>compounds</w:t>
      </w:r>
      <w:r w:rsidRPr="006A6C29">
        <w:t xml:space="preserve"> are known mutagenic and endocrine disruptor</w:t>
      </w:r>
      <w:r w:rsidR="00D265E0">
        <w:t>s</w:t>
      </w:r>
      <w:r w:rsidRPr="006A6C29">
        <w:t>; however, most them are unregulated (</w:t>
      </w:r>
      <w:r w:rsidR="00D265E0">
        <w:t>CAS</w:t>
      </w:r>
      <w:r w:rsidRPr="006A6C29">
        <w:t>, 2013)</w:t>
      </w:r>
      <w:r w:rsidR="0094206F">
        <w:t>.</w:t>
      </w:r>
      <w:r w:rsidR="0094206F" w:rsidRPr="006A6C29">
        <w:t xml:space="preserve"> </w:t>
      </w:r>
    </w:p>
    <w:p w14:paraId="57919225" w14:textId="77777777" w:rsidR="0094206F" w:rsidRDefault="0094206F" w:rsidP="00186962">
      <w:pPr>
        <w:pStyle w:val="ESOCBody"/>
      </w:pPr>
    </w:p>
    <w:p w14:paraId="36728FD1" w14:textId="0898D9BD" w:rsidR="005755CD" w:rsidRDefault="0094206F" w:rsidP="005755CD">
      <w:pPr>
        <w:pStyle w:val="ListParagraph"/>
        <w:spacing w:before="240"/>
        <w:ind w:left="0"/>
        <w:rPr>
          <w:rFonts w:ascii="Times New Roman" w:hAnsi="Times New Roman" w:cs="Times New Roman"/>
          <w:sz w:val="24"/>
          <w:szCs w:val="24"/>
        </w:rPr>
      </w:pPr>
      <w:r w:rsidRPr="005755CD">
        <w:rPr>
          <w:rFonts w:ascii="Times New Roman" w:hAnsi="Times New Roman" w:cs="Times New Roman"/>
          <w:sz w:val="24"/>
          <w:szCs w:val="24"/>
        </w:rPr>
        <w:t xml:space="preserve">Synthetic estrogen from human birth control and estrogen-mimicking synthetic compounds are of concern because of links with intersex (gender-changing) fish (Guy et al., 2009). There are other studies linking wastewater with reproductive disruption in fish. A study on yellow perch in Maryland found fish from urbanized watersheds had abnormal reproductive development, </w:t>
      </w:r>
      <w:r w:rsidR="00D265E0">
        <w:rPr>
          <w:rFonts w:ascii="Times New Roman" w:hAnsi="Times New Roman" w:cs="Times New Roman"/>
          <w:sz w:val="24"/>
          <w:szCs w:val="24"/>
        </w:rPr>
        <w:t>and</w:t>
      </w:r>
      <w:r w:rsidRPr="005755CD">
        <w:rPr>
          <w:rFonts w:ascii="Times New Roman" w:hAnsi="Times New Roman" w:cs="Times New Roman"/>
          <w:sz w:val="24"/>
          <w:szCs w:val="24"/>
        </w:rPr>
        <w:t xml:space="preserve"> a higher percentage of DNA fragmentation than fish from less developed watersheds (Blazer et al., 2013). </w:t>
      </w:r>
      <w:r w:rsidR="00413EF4">
        <w:rPr>
          <w:rFonts w:ascii="Times New Roman" w:hAnsi="Times New Roman" w:cs="Times New Roman"/>
          <w:sz w:val="24"/>
          <w:szCs w:val="24"/>
        </w:rPr>
        <w:t>Cumulative impacts</w:t>
      </w:r>
      <w:r w:rsidRPr="005755CD">
        <w:rPr>
          <w:rFonts w:ascii="Times New Roman" w:hAnsi="Times New Roman" w:cs="Times New Roman"/>
          <w:sz w:val="24"/>
          <w:szCs w:val="24"/>
        </w:rPr>
        <w:t xml:space="preserve"> from anthropogenic and natural stressors can result in ecological </w:t>
      </w:r>
      <w:r w:rsidR="001411E7">
        <w:rPr>
          <w:rFonts w:ascii="Times New Roman" w:hAnsi="Times New Roman" w:cs="Times New Roman"/>
          <w:sz w:val="24"/>
          <w:szCs w:val="24"/>
        </w:rPr>
        <w:t>effects</w:t>
      </w:r>
      <w:r w:rsidRPr="005755CD">
        <w:rPr>
          <w:rFonts w:ascii="Times New Roman" w:hAnsi="Times New Roman" w:cs="Times New Roman"/>
          <w:sz w:val="24"/>
          <w:szCs w:val="24"/>
        </w:rPr>
        <w:t xml:space="preserve"> that cannot be predicted by chemical concentrations alone (e.g., the impact of compounds on fish in the Potomac River study of Alvarez et al., 2009).</w:t>
      </w:r>
      <w:r w:rsidR="005755CD" w:rsidRPr="006A6C29">
        <w:rPr>
          <w:rFonts w:ascii="Times New Roman" w:hAnsi="Times New Roman" w:cs="Times New Roman"/>
          <w:sz w:val="24"/>
          <w:szCs w:val="24"/>
        </w:rPr>
        <w:t xml:space="preserve"> </w:t>
      </w:r>
      <w:r w:rsidR="001411E7">
        <w:rPr>
          <w:rFonts w:ascii="Times New Roman" w:hAnsi="Times New Roman" w:cs="Times New Roman"/>
          <w:sz w:val="24"/>
          <w:szCs w:val="24"/>
        </w:rPr>
        <w:t>A</w:t>
      </w:r>
      <w:r w:rsidR="005755CD" w:rsidRPr="006A6C29">
        <w:rPr>
          <w:rFonts w:ascii="Times New Roman" w:hAnsi="Times New Roman" w:cs="Times New Roman"/>
          <w:sz w:val="24"/>
          <w:szCs w:val="24"/>
        </w:rPr>
        <w:t xml:space="preserve">n approach that </w:t>
      </w:r>
      <w:r w:rsidR="001411E7">
        <w:rPr>
          <w:rFonts w:ascii="Times New Roman" w:hAnsi="Times New Roman" w:cs="Times New Roman"/>
          <w:sz w:val="24"/>
          <w:szCs w:val="24"/>
        </w:rPr>
        <w:t>evaluates</w:t>
      </w:r>
      <w:r w:rsidR="005755CD" w:rsidRPr="006A6C29">
        <w:rPr>
          <w:rFonts w:ascii="Times New Roman" w:hAnsi="Times New Roman" w:cs="Times New Roman"/>
          <w:sz w:val="24"/>
          <w:szCs w:val="24"/>
        </w:rPr>
        <w:t xml:space="preserve"> </w:t>
      </w:r>
      <w:r w:rsidR="001411E7">
        <w:rPr>
          <w:rFonts w:ascii="Times New Roman" w:hAnsi="Times New Roman" w:cs="Times New Roman"/>
          <w:sz w:val="24"/>
          <w:szCs w:val="24"/>
        </w:rPr>
        <w:t xml:space="preserve">beyond </w:t>
      </w:r>
      <w:r w:rsidR="005755CD" w:rsidRPr="006A6C29">
        <w:rPr>
          <w:rFonts w:ascii="Times New Roman" w:hAnsi="Times New Roman" w:cs="Times New Roman"/>
          <w:sz w:val="24"/>
          <w:szCs w:val="24"/>
        </w:rPr>
        <w:t xml:space="preserve">the physical and chemical characteristics of the aquatic ecosystem is </w:t>
      </w:r>
      <w:r w:rsidR="005755CD">
        <w:rPr>
          <w:rFonts w:ascii="Times New Roman" w:hAnsi="Times New Roman" w:cs="Times New Roman"/>
          <w:sz w:val="24"/>
          <w:szCs w:val="24"/>
        </w:rPr>
        <w:t>warranted</w:t>
      </w:r>
      <w:r w:rsidR="001411E7">
        <w:rPr>
          <w:rFonts w:ascii="Times New Roman" w:hAnsi="Times New Roman" w:cs="Times New Roman"/>
          <w:sz w:val="24"/>
          <w:szCs w:val="24"/>
        </w:rPr>
        <w:t xml:space="preserve"> t</w:t>
      </w:r>
      <w:r w:rsidR="001411E7" w:rsidRPr="006A6C29">
        <w:rPr>
          <w:rFonts w:ascii="Times New Roman" w:hAnsi="Times New Roman" w:cs="Times New Roman"/>
          <w:sz w:val="24"/>
          <w:szCs w:val="24"/>
        </w:rPr>
        <w:t xml:space="preserve">o </w:t>
      </w:r>
      <w:r w:rsidR="001411E7">
        <w:rPr>
          <w:rFonts w:ascii="Times New Roman" w:hAnsi="Times New Roman" w:cs="Times New Roman"/>
          <w:sz w:val="24"/>
          <w:szCs w:val="24"/>
        </w:rPr>
        <w:t xml:space="preserve">adequately </w:t>
      </w:r>
      <w:r w:rsidR="001411E7" w:rsidRPr="006A6C29">
        <w:rPr>
          <w:rFonts w:ascii="Times New Roman" w:hAnsi="Times New Roman" w:cs="Times New Roman"/>
          <w:sz w:val="24"/>
          <w:szCs w:val="24"/>
        </w:rPr>
        <w:t>monitor ESOC</w:t>
      </w:r>
      <w:r w:rsidR="005755CD">
        <w:rPr>
          <w:rFonts w:ascii="Times New Roman" w:hAnsi="Times New Roman" w:cs="Times New Roman"/>
          <w:sz w:val="24"/>
          <w:szCs w:val="24"/>
        </w:rPr>
        <w:t xml:space="preserve"> (</w:t>
      </w:r>
      <w:proofErr w:type="spellStart"/>
      <w:r w:rsidR="005755CD">
        <w:rPr>
          <w:rFonts w:ascii="Times New Roman" w:hAnsi="Times New Roman" w:cs="Times New Roman"/>
          <w:sz w:val="24"/>
          <w:szCs w:val="24"/>
        </w:rPr>
        <w:t>Kocak</w:t>
      </w:r>
      <w:proofErr w:type="spellEnd"/>
      <w:r w:rsidR="005755CD">
        <w:rPr>
          <w:rFonts w:ascii="Times New Roman" w:hAnsi="Times New Roman" w:cs="Times New Roman"/>
          <w:sz w:val="24"/>
          <w:szCs w:val="24"/>
        </w:rPr>
        <w:t xml:space="preserve"> et al. 2010). </w:t>
      </w:r>
      <w:r w:rsidR="005755CD" w:rsidRPr="006A6C29">
        <w:rPr>
          <w:rFonts w:ascii="Times New Roman" w:hAnsi="Times New Roman" w:cs="Times New Roman"/>
          <w:sz w:val="24"/>
          <w:szCs w:val="24"/>
        </w:rPr>
        <w:t>There are several factors to consider when determining methods to survey ESOC and their potential estrogenic and mutagenic effects in the aqua</w:t>
      </w:r>
      <w:r w:rsidR="005755CD">
        <w:rPr>
          <w:rFonts w:ascii="Times New Roman" w:hAnsi="Times New Roman" w:cs="Times New Roman"/>
          <w:sz w:val="24"/>
          <w:szCs w:val="24"/>
        </w:rPr>
        <w:t xml:space="preserve">tic ecosystem (Alvarez, 2010). </w:t>
      </w:r>
      <w:r w:rsidR="005755CD" w:rsidRPr="006A6C29">
        <w:rPr>
          <w:rFonts w:ascii="Times New Roman" w:hAnsi="Times New Roman" w:cs="Times New Roman"/>
          <w:sz w:val="24"/>
          <w:szCs w:val="24"/>
        </w:rPr>
        <w:t>These factors include the:</w:t>
      </w:r>
    </w:p>
    <w:p w14:paraId="64040B22" w14:textId="77777777" w:rsidR="005755CD" w:rsidRPr="006A6C29" w:rsidRDefault="005755CD" w:rsidP="005755CD">
      <w:pPr>
        <w:pStyle w:val="ListParagraph"/>
        <w:numPr>
          <w:ilvl w:val="0"/>
          <w:numId w:val="1"/>
        </w:numPr>
        <w:rPr>
          <w:rFonts w:ascii="Times New Roman" w:hAnsi="Times New Roman" w:cs="Times New Roman"/>
          <w:sz w:val="24"/>
          <w:szCs w:val="24"/>
        </w:rPr>
      </w:pPr>
      <w:r w:rsidRPr="006A6C29">
        <w:rPr>
          <w:rFonts w:ascii="Times New Roman" w:hAnsi="Times New Roman" w:cs="Times New Roman"/>
          <w:sz w:val="24"/>
          <w:szCs w:val="24"/>
        </w:rPr>
        <w:t>Ability to screen for presence or absence of chemicals.</w:t>
      </w:r>
    </w:p>
    <w:p w14:paraId="0A2C043A" w14:textId="77777777" w:rsidR="005755CD" w:rsidRPr="006A6C29" w:rsidRDefault="005755CD" w:rsidP="005755CD">
      <w:pPr>
        <w:pStyle w:val="ListParagraph"/>
        <w:numPr>
          <w:ilvl w:val="0"/>
          <w:numId w:val="1"/>
        </w:numPr>
        <w:rPr>
          <w:rFonts w:ascii="Times New Roman" w:hAnsi="Times New Roman" w:cs="Times New Roman"/>
          <w:sz w:val="24"/>
          <w:szCs w:val="24"/>
        </w:rPr>
      </w:pPr>
      <w:r w:rsidRPr="006A6C29">
        <w:rPr>
          <w:rFonts w:ascii="Times New Roman" w:hAnsi="Times New Roman" w:cs="Times New Roman"/>
          <w:sz w:val="24"/>
          <w:szCs w:val="24"/>
        </w:rPr>
        <w:t>Ability to capture time-integrated samples.</w:t>
      </w:r>
    </w:p>
    <w:p w14:paraId="55AAD59F" w14:textId="77777777" w:rsidR="005755CD" w:rsidRPr="006A6C29" w:rsidRDefault="005755CD" w:rsidP="005755CD">
      <w:pPr>
        <w:pStyle w:val="ListParagraph"/>
        <w:numPr>
          <w:ilvl w:val="0"/>
          <w:numId w:val="1"/>
        </w:numPr>
        <w:rPr>
          <w:rFonts w:ascii="Times New Roman" w:hAnsi="Times New Roman" w:cs="Times New Roman"/>
          <w:sz w:val="24"/>
          <w:szCs w:val="24"/>
        </w:rPr>
      </w:pPr>
      <w:r w:rsidRPr="006A6C29">
        <w:rPr>
          <w:rFonts w:ascii="Times New Roman" w:hAnsi="Times New Roman" w:cs="Times New Roman"/>
          <w:sz w:val="24"/>
          <w:szCs w:val="24"/>
        </w:rPr>
        <w:t>Ability to determine ambient concentrations.</w:t>
      </w:r>
    </w:p>
    <w:p w14:paraId="15D22994" w14:textId="77777777" w:rsidR="005755CD" w:rsidRPr="006A6C29" w:rsidRDefault="005755CD" w:rsidP="005755CD">
      <w:pPr>
        <w:pStyle w:val="ListParagraph"/>
        <w:numPr>
          <w:ilvl w:val="0"/>
          <w:numId w:val="1"/>
        </w:numPr>
        <w:rPr>
          <w:rFonts w:ascii="Times New Roman" w:hAnsi="Times New Roman" w:cs="Times New Roman"/>
          <w:sz w:val="24"/>
          <w:szCs w:val="24"/>
        </w:rPr>
      </w:pPr>
      <w:r w:rsidRPr="006A6C29">
        <w:rPr>
          <w:rFonts w:ascii="Times New Roman" w:hAnsi="Times New Roman" w:cs="Times New Roman"/>
          <w:sz w:val="24"/>
          <w:szCs w:val="24"/>
        </w:rPr>
        <w:t>Ability to determine possible estrogenic and mutagenic exposure to fish.</w:t>
      </w:r>
    </w:p>
    <w:p w14:paraId="3A91CD0F" w14:textId="77777777" w:rsidR="005755CD" w:rsidRPr="006A6C29" w:rsidRDefault="005755CD" w:rsidP="005755CD">
      <w:pPr>
        <w:pStyle w:val="ListParagraph"/>
        <w:numPr>
          <w:ilvl w:val="0"/>
          <w:numId w:val="1"/>
        </w:numPr>
        <w:rPr>
          <w:rFonts w:ascii="Times New Roman" w:hAnsi="Times New Roman" w:cs="Times New Roman"/>
          <w:sz w:val="24"/>
          <w:szCs w:val="24"/>
        </w:rPr>
      </w:pPr>
      <w:r w:rsidRPr="006A6C29">
        <w:rPr>
          <w:rFonts w:ascii="Times New Roman" w:hAnsi="Times New Roman" w:cs="Times New Roman"/>
          <w:sz w:val="24"/>
          <w:szCs w:val="24"/>
        </w:rPr>
        <w:t>Ability to effectively determine suitable sampling site characteristics.</w:t>
      </w:r>
    </w:p>
    <w:p w14:paraId="06A08BD5" w14:textId="0118FB6F" w:rsidR="0094206F" w:rsidRPr="006A6C29" w:rsidRDefault="0094206F" w:rsidP="0094206F">
      <w:pPr>
        <w:pStyle w:val="ESOCBody"/>
        <w:rPr>
          <w:b/>
        </w:rPr>
      </w:pPr>
    </w:p>
    <w:p w14:paraId="58211D8E" w14:textId="77777777" w:rsidR="0094206F" w:rsidRPr="006A6C29" w:rsidRDefault="0094206F" w:rsidP="00186962">
      <w:pPr>
        <w:pStyle w:val="ESOCBody"/>
      </w:pPr>
    </w:p>
    <w:p w14:paraId="0977ACC0" w14:textId="60B27CAC" w:rsidR="00186962" w:rsidRDefault="00B47485">
      <w:pPr>
        <w:rPr>
          <w:rFonts w:ascii="Times New Roman" w:hAnsi="Times New Roman" w:cs="Times New Roman"/>
          <w:sz w:val="24"/>
          <w:szCs w:val="24"/>
        </w:rPr>
      </w:pPr>
      <w:r>
        <w:rPr>
          <w:rFonts w:ascii="Times New Roman" w:hAnsi="Times New Roman" w:cs="Times New Roman"/>
          <w:sz w:val="24"/>
          <w:szCs w:val="24"/>
        </w:rPr>
        <w:t>References:</w:t>
      </w:r>
    </w:p>
    <w:p w14:paraId="6EBAEE5D" w14:textId="1DBC4FB9" w:rsidR="00F91899" w:rsidRPr="006A6C29" w:rsidRDefault="00F91899" w:rsidP="00F91899">
      <w:pPr>
        <w:pStyle w:val="ESOCBody"/>
      </w:pPr>
      <w:r w:rsidRPr="006A6C29">
        <w:t xml:space="preserve">Alvarez, D.A., W.L. </w:t>
      </w:r>
      <w:proofErr w:type="spellStart"/>
      <w:r w:rsidRPr="006A6C29">
        <w:t>Cranor</w:t>
      </w:r>
      <w:proofErr w:type="spellEnd"/>
      <w:r w:rsidRPr="006A6C29">
        <w:t xml:space="preserve">, S.D. Perkins, V. Schroeder, L.R. Iwanowicz, R.C. Clark, C.P. Guy, A.E. Pinkney, V.S. Blazer, and J.E. </w:t>
      </w:r>
      <w:proofErr w:type="spellStart"/>
      <w:r w:rsidRPr="006A6C29">
        <w:t>Mullican</w:t>
      </w:r>
      <w:proofErr w:type="spellEnd"/>
      <w:r w:rsidRPr="006A6C29">
        <w:t xml:space="preserve">. 2009.  Reproductive health of bass in the Potomac, USA Drainage: Part 2.  Seasonal occurrence of persistent and emerging organic </w:t>
      </w:r>
      <w:r w:rsidR="00D265E0">
        <w:t>compounds</w:t>
      </w:r>
      <w:r w:rsidRPr="006A6C29">
        <w:t xml:space="preserve">.  </w:t>
      </w:r>
      <w:r w:rsidRPr="006A6C29">
        <w:rPr>
          <w:iCs/>
        </w:rPr>
        <w:t>Environmental Toxicology and Chemistry 28:1084-1095.</w:t>
      </w:r>
    </w:p>
    <w:p w14:paraId="55A67A9E" w14:textId="77777777" w:rsidR="00F91899" w:rsidRDefault="00F91899" w:rsidP="00F91899">
      <w:pPr>
        <w:pStyle w:val="ESOCBody"/>
      </w:pPr>
    </w:p>
    <w:p w14:paraId="64ADB8D1" w14:textId="3DC8A674" w:rsidR="00F91899" w:rsidRPr="006A6C29" w:rsidRDefault="00F91899" w:rsidP="00F91899">
      <w:pPr>
        <w:pStyle w:val="ESOCBody"/>
      </w:pPr>
      <w:r w:rsidRPr="006A6C29">
        <w:t>Alvarez, D.A., 2010, Guidelines for the use of the semipermeable membrane device (SPMD) and the polar organic chemical integrative sampler (POCIS) in environmental monitoring studies: U.S. Geological Survey, Techniques and Methods 1–D4, p 28.</w:t>
      </w:r>
    </w:p>
    <w:p w14:paraId="3A65B34B" w14:textId="779811EC" w:rsidR="00B47485" w:rsidRDefault="00B47485">
      <w:pPr>
        <w:rPr>
          <w:rFonts w:ascii="Times New Roman" w:hAnsi="Times New Roman" w:cs="Times New Roman"/>
          <w:sz w:val="24"/>
          <w:szCs w:val="24"/>
        </w:rPr>
      </w:pPr>
    </w:p>
    <w:p w14:paraId="28FC84A0" w14:textId="77777777" w:rsidR="00F91899" w:rsidRPr="006A6C29" w:rsidRDefault="00F91899" w:rsidP="00F91899">
      <w:pPr>
        <w:pStyle w:val="ESOCBody"/>
      </w:pPr>
      <w:r w:rsidRPr="006A6C29">
        <w:t xml:space="preserve">Chemical Abstracts Service, 2013.  CAS Content at a Glance.  Accessed July 3, 2013 at </w:t>
      </w:r>
      <w:hyperlink r:id="rId5" w:history="1">
        <w:r w:rsidRPr="006A6C29">
          <w:rPr>
            <w:rStyle w:val="Hyperlink"/>
            <w:szCs w:val="24"/>
          </w:rPr>
          <w:t>http://www.cas.org/content/at-a-glance</w:t>
        </w:r>
      </w:hyperlink>
      <w:r w:rsidRPr="006A6C29">
        <w:t>.</w:t>
      </w:r>
    </w:p>
    <w:p w14:paraId="1FF48F6F" w14:textId="77FECBEF" w:rsidR="00F91899" w:rsidRDefault="00F91899">
      <w:pPr>
        <w:rPr>
          <w:rFonts w:ascii="Times New Roman" w:hAnsi="Times New Roman" w:cs="Times New Roman"/>
          <w:sz w:val="24"/>
          <w:szCs w:val="24"/>
        </w:rPr>
      </w:pPr>
    </w:p>
    <w:p w14:paraId="7F9472B4" w14:textId="77777777" w:rsidR="00F91899" w:rsidRPr="006A6C29" w:rsidRDefault="00F91899" w:rsidP="00F91899">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04E27AFA" w14:textId="7D0151D5" w:rsidR="00F91899" w:rsidRDefault="00F91899">
      <w:pPr>
        <w:rPr>
          <w:rFonts w:ascii="Times New Roman" w:hAnsi="Times New Roman" w:cs="Times New Roman"/>
          <w:sz w:val="24"/>
          <w:szCs w:val="24"/>
        </w:rPr>
      </w:pPr>
    </w:p>
    <w:p w14:paraId="6234612A" w14:textId="77777777" w:rsidR="00F91899" w:rsidRPr="006A6C29" w:rsidRDefault="00F91899" w:rsidP="00F91899">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36AD4EB1" w14:textId="0E806DA4" w:rsidR="00F91899" w:rsidRDefault="00F91899">
      <w:pPr>
        <w:rPr>
          <w:rFonts w:ascii="Times New Roman" w:hAnsi="Times New Roman" w:cs="Times New Roman"/>
          <w:sz w:val="24"/>
          <w:szCs w:val="24"/>
        </w:rPr>
      </w:pPr>
    </w:p>
    <w:p w14:paraId="56DB946B" w14:textId="77777777" w:rsidR="00F91899" w:rsidRDefault="00F91899" w:rsidP="00F91899">
      <w:pPr>
        <w:spacing w:after="0"/>
        <w:rPr>
          <w:rFonts w:ascii="Times New Roman" w:hAnsi="Times New Roman" w:cs="Times New Roman"/>
          <w:sz w:val="24"/>
          <w:szCs w:val="24"/>
        </w:rPr>
      </w:pPr>
      <w:proofErr w:type="spellStart"/>
      <w:r w:rsidRPr="006A6C29">
        <w:rPr>
          <w:rFonts w:ascii="Times New Roman" w:hAnsi="Times New Roman" w:cs="Times New Roman"/>
          <w:sz w:val="24"/>
          <w:szCs w:val="24"/>
        </w:rPr>
        <w:t>Kocak</w:t>
      </w:r>
      <w:proofErr w:type="spellEnd"/>
      <w:r w:rsidRPr="006A6C29">
        <w:rPr>
          <w:rFonts w:ascii="Times New Roman" w:hAnsi="Times New Roman" w:cs="Times New Roman"/>
          <w:sz w:val="24"/>
          <w:szCs w:val="24"/>
        </w:rPr>
        <w:t xml:space="preserve">, E., </w:t>
      </w:r>
      <w:proofErr w:type="spellStart"/>
      <w:r w:rsidRPr="006A6C29">
        <w:rPr>
          <w:rFonts w:ascii="Times New Roman" w:hAnsi="Times New Roman" w:cs="Times New Roman"/>
          <w:sz w:val="24"/>
          <w:szCs w:val="24"/>
        </w:rPr>
        <w:t>Yetilmezsoy</w:t>
      </w:r>
      <w:proofErr w:type="spellEnd"/>
      <w:r w:rsidRPr="006A6C29">
        <w:rPr>
          <w:rFonts w:ascii="Times New Roman" w:hAnsi="Times New Roman" w:cs="Times New Roman"/>
          <w:sz w:val="24"/>
          <w:szCs w:val="24"/>
        </w:rPr>
        <w:t xml:space="preserve">, K., </w:t>
      </w:r>
      <w:proofErr w:type="spellStart"/>
      <w:r w:rsidRPr="006A6C29">
        <w:rPr>
          <w:rFonts w:ascii="Times New Roman" w:hAnsi="Times New Roman" w:cs="Times New Roman"/>
          <w:sz w:val="24"/>
          <w:szCs w:val="24"/>
        </w:rPr>
        <w:t>Gonullu</w:t>
      </w:r>
      <w:proofErr w:type="spellEnd"/>
      <w:r w:rsidRPr="006A6C29">
        <w:rPr>
          <w:rFonts w:ascii="Times New Roman" w:hAnsi="Times New Roman" w:cs="Times New Roman"/>
          <w:sz w:val="24"/>
          <w:szCs w:val="24"/>
        </w:rPr>
        <w:t xml:space="preserve">, M.T., </w:t>
      </w:r>
      <w:proofErr w:type="spellStart"/>
      <w:r w:rsidRPr="006A6C29">
        <w:rPr>
          <w:rFonts w:ascii="Times New Roman" w:hAnsi="Times New Roman" w:cs="Times New Roman"/>
          <w:sz w:val="24"/>
          <w:szCs w:val="24"/>
        </w:rPr>
        <w:t>Petek</w:t>
      </w:r>
      <w:proofErr w:type="spellEnd"/>
      <w:r w:rsidRPr="006A6C29">
        <w:rPr>
          <w:rFonts w:ascii="Times New Roman" w:hAnsi="Times New Roman" w:cs="Times New Roman"/>
          <w:sz w:val="24"/>
          <w:szCs w:val="24"/>
        </w:rPr>
        <w:t xml:space="preserve">, M. 2010. A statistical evaluation of the potential genotoxic activity in the surface waters of the Golden Horn Estuary. Marine Pollution Bulletin. Vol. 60, pp. 1708 – 1717. </w:t>
      </w:r>
    </w:p>
    <w:p w14:paraId="6FFAD6D6" w14:textId="781FAE52" w:rsidR="00F91899" w:rsidRDefault="00F91899">
      <w:pPr>
        <w:rPr>
          <w:rFonts w:ascii="Times New Roman" w:hAnsi="Times New Roman" w:cs="Times New Roman"/>
          <w:sz w:val="24"/>
          <w:szCs w:val="24"/>
        </w:rPr>
      </w:pPr>
    </w:p>
    <w:p w14:paraId="3B00FFD9" w14:textId="4CDF8225" w:rsidR="00F91899" w:rsidRPr="006A6C29" w:rsidRDefault="00F91899" w:rsidP="00F91899">
      <w:pPr>
        <w:pStyle w:val="ESOCBody"/>
      </w:pPr>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w:t>
      </w:r>
      <w:r w:rsidR="00D265E0">
        <w:t>compounds</w:t>
      </w:r>
      <w:r w:rsidRPr="006A6C29">
        <w:t xml:space="preserve"> in U.S. streams, 1999-2000—A national reconnaissance. Environmental Science and Technology, Vol. 36, pp. 1202-1211. </w:t>
      </w:r>
    </w:p>
    <w:p w14:paraId="726F82FC" w14:textId="3063FCE0" w:rsidR="00F91899" w:rsidRDefault="00F91899">
      <w:pPr>
        <w:rPr>
          <w:rFonts w:ascii="Times New Roman" w:hAnsi="Times New Roman" w:cs="Times New Roman"/>
          <w:sz w:val="24"/>
          <w:szCs w:val="24"/>
        </w:rPr>
      </w:pPr>
    </w:p>
    <w:p w14:paraId="071F96FC" w14:textId="0A49672A" w:rsidR="00F91899" w:rsidRPr="006A6C29" w:rsidRDefault="00F91899" w:rsidP="00F91899">
      <w:pPr>
        <w:pStyle w:val="ESOCBody"/>
      </w:pPr>
      <w:r w:rsidRPr="006A6C29">
        <w:t>Pal, A., Yew-</w:t>
      </w:r>
      <w:proofErr w:type="spellStart"/>
      <w:r w:rsidRPr="006A6C29">
        <w:t>Hoong</w:t>
      </w:r>
      <w:proofErr w:type="spellEnd"/>
      <w:r w:rsidRPr="006A6C29">
        <w:t xml:space="preserve"> Gin, K., Y-Chen Lin, A., and Reinhard, M., 2010. Impacts of emerging </w:t>
      </w:r>
      <w:r w:rsidR="00D265E0">
        <w:t>compounds</w:t>
      </w:r>
      <w:r w:rsidRPr="006A6C29">
        <w:t xml:space="preserve"> on freshwater resources: Review of recent occurrences, sources, fate and effects. Sci</w:t>
      </w:r>
      <w:r>
        <w:t>ence of the Total Environment, Vol</w:t>
      </w:r>
      <w:r w:rsidRPr="006A6C29">
        <w:t>. 408, pp. 6062-6069.</w:t>
      </w:r>
    </w:p>
    <w:p w14:paraId="06E8FD70" w14:textId="77777777" w:rsidR="00F91899" w:rsidRDefault="00F91899">
      <w:pPr>
        <w:rPr>
          <w:rFonts w:ascii="Times New Roman" w:hAnsi="Times New Roman" w:cs="Times New Roman"/>
          <w:sz w:val="24"/>
          <w:szCs w:val="24"/>
        </w:rPr>
      </w:pPr>
    </w:p>
    <w:p w14:paraId="01DF16FB" w14:textId="77777777" w:rsidR="00F91899" w:rsidRPr="00186962" w:rsidRDefault="00F91899">
      <w:pPr>
        <w:rPr>
          <w:rFonts w:ascii="Times New Roman" w:hAnsi="Times New Roman" w:cs="Times New Roman"/>
          <w:sz w:val="24"/>
          <w:szCs w:val="24"/>
        </w:rPr>
      </w:pPr>
    </w:p>
    <w:sectPr w:rsidR="00F91899" w:rsidRPr="00186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BE5B1B"/>
    <w:multiLevelType w:val="hybridMultilevel"/>
    <w:tmpl w:val="CA34BA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962"/>
    <w:rsid w:val="00124FB8"/>
    <w:rsid w:val="001411E7"/>
    <w:rsid w:val="00186962"/>
    <w:rsid w:val="003E7CCE"/>
    <w:rsid w:val="00413EF4"/>
    <w:rsid w:val="005755CD"/>
    <w:rsid w:val="006540AD"/>
    <w:rsid w:val="0094206F"/>
    <w:rsid w:val="00B47485"/>
    <w:rsid w:val="00D0371D"/>
    <w:rsid w:val="00D265E0"/>
    <w:rsid w:val="00EC50D2"/>
    <w:rsid w:val="00F91899"/>
    <w:rsid w:val="00FC2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B595E"/>
  <w15:chartTrackingRefBased/>
  <w15:docId w15:val="{318AD85C-FF8C-48F0-BB14-40657112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OCBody">
    <w:name w:val="ESOC_Body"/>
    <w:basedOn w:val="Normal"/>
    <w:link w:val="ESOCBodyChar"/>
    <w:autoRedefine/>
    <w:qFormat/>
    <w:rsid w:val="00186962"/>
    <w:pPr>
      <w:shd w:val="clear" w:color="auto" w:fill="FFFFFF"/>
      <w:autoSpaceDE w:val="0"/>
      <w:autoSpaceDN w:val="0"/>
      <w:adjustRightInd w:val="0"/>
      <w:spacing w:after="0" w:line="252" w:lineRule="auto"/>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186962"/>
    <w:rPr>
      <w:rFonts w:ascii="Times New Roman" w:eastAsiaTheme="minorEastAsia" w:hAnsi="Times New Roman" w:cs="Arial"/>
      <w:color w:val="000000"/>
      <w:sz w:val="24"/>
      <w:shd w:val="clear" w:color="auto" w:fill="FFFFFF"/>
    </w:rPr>
  </w:style>
  <w:style w:type="character" w:styleId="CommentReference">
    <w:name w:val="annotation reference"/>
    <w:basedOn w:val="DefaultParagraphFont"/>
    <w:uiPriority w:val="99"/>
    <w:semiHidden/>
    <w:rsid w:val="0094206F"/>
    <w:rPr>
      <w:rFonts w:cs="Times New Roman"/>
      <w:sz w:val="16"/>
      <w:szCs w:val="16"/>
    </w:rPr>
  </w:style>
  <w:style w:type="paragraph" w:styleId="CommentText">
    <w:name w:val="annotation text"/>
    <w:basedOn w:val="Normal"/>
    <w:link w:val="CommentTextChar"/>
    <w:uiPriority w:val="99"/>
    <w:semiHidden/>
    <w:rsid w:val="0094206F"/>
    <w:pPr>
      <w:spacing w:line="252" w:lineRule="auto"/>
      <w:jc w:val="both"/>
    </w:pPr>
    <w:rPr>
      <w:rFonts w:eastAsiaTheme="minorEastAsia"/>
      <w:sz w:val="20"/>
      <w:szCs w:val="20"/>
    </w:rPr>
  </w:style>
  <w:style w:type="character" w:customStyle="1" w:styleId="CommentTextChar">
    <w:name w:val="Comment Text Char"/>
    <w:basedOn w:val="DefaultParagraphFont"/>
    <w:link w:val="CommentText"/>
    <w:uiPriority w:val="99"/>
    <w:semiHidden/>
    <w:rsid w:val="0094206F"/>
    <w:rPr>
      <w:rFonts w:eastAsiaTheme="minorEastAsia"/>
      <w:sz w:val="20"/>
      <w:szCs w:val="20"/>
    </w:rPr>
  </w:style>
  <w:style w:type="paragraph" w:styleId="BalloonText">
    <w:name w:val="Balloon Text"/>
    <w:basedOn w:val="Normal"/>
    <w:link w:val="BalloonTextChar"/>
    <w:uiPriority w:val="99"/>
    <w:semiHidden/>
    <w:unhideWhenUsed/>
    <w:rsid w:val="00942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06F"/>
    <w:rPr>
      <w:rFonts w:ascii="Segoe UI" w:hAnsi="Segoe UI" w:cs="Segoe UI"/>
      <w:sz w:val="18"/>
      <w:szCs w:val="18"/>
    </w:rPr>
  </w:style>
  <w:style w:type="paragraph" w:styleId="ListParagraph">
    <w:name w:val="List Paragraph"/>
    <w:basedOn w:val="Normal"/>
    <w:uiPriority w:val="34"/>
    <w:qFormat/>
    <w:rsid w:val="005755CD"/>
    <w:pPr>
      <w:spacing w:line="252" w:lineRule="auto"/>
      <w:ind w:left="720"/>
      <w:contextualSpacing/>
      <w:jc w:val="both"/>
    </w:pPr>
    <w:rPr>
      <w:rFonts w:eastAsiaTheme="minorEastAsia"/>
    </w:rPr>
  </w:style>
  <w:style w:type="character" w:styleId="Hyperlink">
    <w:name w:val="Hyperlink"/>
    <w:basedOn w:val="DefaultParagraphFont"/>
    <w:uiPriority w:val="99"/>
    <w:rsid w:val="00F9189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s.org/content/at-a-gl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11</cp:revision>
  <cp:lastPrinted>2019-02-15T14:23:00Z</cp:lastPrinted>
  <dcterms:created xsi:type="dcterms:W3CDTF">2019-02-08T16:36:00Z</dcterms:created>
  <dcterms:modified xsi:type="dcterms:W3CDTF">2019-02-28T20:09:00Z</dcterms:modified>
</cp:coreProperties>
</file>