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9A" w:rsidRPr="00EE708C" w:rsidRDefault="000F5F2B" w:rsidP="000F5F2B">
      <w:pPr>
        <w:pStyle w:val="NormalIndent"/>
        <w:spacing w:after="0"/>
        <w:rPr>
          <w:u w:val="single"/>
        </w:rPr>
      </w:pPr>
      <w:r w:rsidRPr="00EE708C">
        <w:rPr>
          <w:u w:val="single"/>
        </w:rPr>
        <w:t>Follow up questions:</w:t>
      </w:r>
    </w:p>
    <w:p w:rsidR="000F5F2B" w:rsidRDefault="000F5F2B">
      <w:pPr>
        <w:pStyle w:val="NormalIndent"/>
      </w:pPr>
    </w:p>
    <w:p w:rsidR="000F5F2B" w:rsidRPr="000F5F2B" w:rsidRDefault="000F5F2B">
      <w:pPr>
        <w:pStyle w:val="NormalIndent"/>
        <w:rPr>
          <w:i/>
        </w:rPr>
      </w:pPr>
      <w:r w:rsidRPr="000F5F2B">
        <w:rPr>
          <w:i/>
        </w:rPr>
        <w:t>Quality Assurance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We have a question from the QA section on page 6 about the sample “must be stabilized over at least 2 dilution…” The concern is that in the results section on page 9, the authors state that the SPMD has 2 dilutions, but there is no mention of the dilutions for grab or POCIS.</w:t>
      </w:r>
    </w:p>
    <w:p w:rsidR="000F5F2B" w:rsidRPr="000F5F2B" w:rsidRDefault="000F5F2B" w:rsidP="000F5F2B">
      <w:pPr>
        <w:pStyle w:val="NormalIndent"/>
        <w:rPr>
          <w:i/>
        </w:rPr>
      </w:pPr>
      <w:r w:rsidRPr="000F5F2B">
        <w:rPr>
          <w:i/>
        </w:rPr>
        <w:t>Results</w:t>
      </w:r>
      <w:r w:rsidR="00AF7942">
        <w:rPr>
          <w:i/>
        </w:rPr>
        <w:t xml:space="preserve"> – Binding assays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was a discussion about the results for the estrogen binding assays shown on figure 2, page 8. There was a question as to why there was no activity in the QA/QC SMPD test sample, but there was activity found in the QA/QC test samples of grab and POCIS. The thought was that the SPMD does not take up hormones/mimics, but then that would not explain the estrogen mimicry of the pesticides. The difference in background fluorescence may also account for the difference in the QA/QC blank results between SPMD vs the other two sample types. Could you please confirm our interpretation or provide a correct interpretation for these results?</w:t>
      </w:r>
    </w:p>
    <w:p w:rsidR="0023050C" w:rsidRDefault="0023050C" w:rsidP="000F5F2B">
      <w:pPr>
        <w:pStyle w:val="NormalIndent"/>
        <w:numPr>
          <w:ilvl w:val="0"/>
          <w:numId w:val="11"/>
        </w:numPr>
      </w:pPr>
      <w:r>
        <w:t>Why are there different EEQs for each sampling method in figure 1, page 8? For example, SPMD minimum is 120000 v. grab max at 650000.</w:t>
      </w:r>
    </w:p>
    <w:p w:rsidR="0023050C" w:rsidRDefault="0023050C" w:rsidP="000F5F2B">
      <w:pPr>
        <w:pStyle w:val="NormalIndent"/>
        <w:numPr>
          <w:ilvl w:val="0"/>
          <w:numId w:val="11"/>
        </w:numPr>
      </w:pPr>
      <w:r>
        <w:t>Can you please confirm the detection limit?</w:t>
      </w:r>
    </w:p>
    <w:p w:rsidR="00AF7942" w:rsidRDefault="00AF7942" w:rsidP="00AF7942">
      <w:pPr>
        <w:pStyle w:val="NormalIndent"/>
      </w:pPr>
      <w:r>
        <w:rPr>
          <w:i/>
        </w:rPr>
        <w:t>Results – Background fluorescence testing</w:t>
      </w:r>
    </w:p>
    <w:p w:rsidR="00AF7942" w:rsidRPr="00AF7942" w:rsidRDefault="00AF7942" w:rsidP="00AF7942">
      <w:pPr>
        <w:pStyle w:val="NormalIndent"/>
        <w:numPr>
          <w:ilvl w:val="0"/>
          <w:numId w:val="11"/>
        </w:numPr>
      </w:pPr>
      <w:r>
        <w:t>Why were POCIS not tested? It was found that interferences in grab and POCIS test samples were due to pigmentation (i.e. TOC). Please interpret how pigmentation was determined.</w:t>
      </w:r>
    </w:p>
    <w:p w:rsidR="000F5F2B" w:rsidRPr="0028404F" w:rsidRDefault="000F5F2B" w:rsidP="000F5F2B">
      <w:pPr>
        <w:pStyle w:val="NormalIndent"/>
        <w:rPr>
          <w:i/>
        </w:rPr>
      </w:pPr>
      <w:r>
        <w:rPr>
          <w:i/>
        </w:rPr>
        <w:t>Results – ER transactivation assay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is a question about interpreting the estrogen receptor assay results shown in figure 7 on page 12. The question is, what amount of change (i.e. is there a threshold?) is required between dilutions for results to indicate presence of anti-agonists and agonists in the water/extract sample being tested?</w:t>
      </w:r>
    </w:p>
    <w:p w:rsidR="0023652E" w:rsidRDefault="0023652E" w:rsidP="0023652E">
      <w:pPr>
        <w:pStyle w:val="NormalIndent"/>
        <w:rPr>
          <w:i/>
        </w:rPr>
      </w:pPr>
      <w:r>
        <w:rPr>
          <w:i/>
        </w:rPr>
        <w:t>Results – Androgen receptor transactivation</w:t>
      </w:r>
    </w:p>
    <w:p w:rsidR="0023652E" w:rsidRDefault="0023652E" w:rsidP="0023652E">
      <w:pPr>
        <w:pStyle w:val="NormalIndent"/>
      </w:pP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>Considerable anti-androgenicity in extracts from Apalachicola. (What does this mean?)</w:t>
      </w: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 xml:space="preserve">On page 19, the authors describe that the “calculated values from the various dilutions, when possible, were averaged. </w:t>
      </w:r>
    </w:p>
    <w:p w:rsidR="0023652E" w:rsidRDefault="0023652E" w:rsidP="0023652E">
      <w:pPr>
        <w:pStyle w:val="NormalIndent"/>
        <w:numPr>
          <w:ilvl w:val="1"/>
          <w:numId w:val="11"/>
        </w:numPr>
      </w:pPr>
      <w:r>
        <w:t xml:space="preserve">Questions were raised by group members. </w:t>
      </w:r>
    </w:p>
    <w:p w:rsidR="0023652E" w:rsidRPr="005820FC" w:rsidRDefault="0023652E" w:rsidP="0023652E">
      <w:pPr>
        <w:pStyle w:val="NormalIndent"/>
        <w:numPr>
          <w:ilvl w:val="2"/>
          <w:numId w:val="11"/>
        </w:numPr>
      </w:pPr>
      <w:r>
        <w:lastRenderedPageBreak/>
        <w:t>What does “when possible” mean?</w:t>
      </w:r>
    </w:p>
    <w:p w:rsidR="000F5F2B" w:rsidRDefault="0023652E" w:rsidP="0023652E">
      <w:pPr>
        <w:pStyle w:val="NormalIndent"/>
        <w:numPr>
          <w:ilvl w:val="2"/>
          <w:numId w:val="11"/>
        </w:numPr>
      </w:pPr>
      <w:r>
        <w:t xml:space="preserve">Question (in response to above question): Is it correct that the calculated values from all dilutions are averaged, except those that are below the detection limit (or below the quantification limit)? </w:t>
      </w:r>
    </w:p>
    <w:p w:rsidR="00AF7942" w:rsidRDefault="00AF7942" w:rsidP="00C15C6D">
      <w:pPr>
        <w:pStyle w:val="NormalIndent"/>
        <w:ind w:left="0"/>
      </w:pPr>
      <w:bookmarkStart w:id="0" w:name="_GoBack"/>
      <w:bookmarkEnd w:id="0"/>
      <w:r>
        <w:rPr>
          <w:i/>
        </w:rPr>
        <w:t>Conclusions</w:t>
      </w:r>
    </w:p>
    <w:p w:rsidR="00AF7942" w:rsidRDefault="00AF7942" w:rsidP="00AF7942">
      <w:pPr>
        <w:pStyle w:val="NormalIndent"/>
        <w:numPr>
          <w:ilvl w:val="0"/>
          <w:numId w:val="14"/>
        </w:numPr>
      </w:pPr>
      <w:r>
        <w:t>In the 1</w:t>
      </w:r>
      <w:r w:rsidRPr="00AF7942">
        <w:rPr>
          <w:vertAlign w:val="superscript"/>
        </w:rPr>
        <w:t>st</w:t>
      </w:r>
      <w:r>
        <w:t xml:space="preserve"> paragraph</w:t>
      </w:r>
      <w:r w:rsidR="004C3B25">
        <w:t>,</w:t>
      </w:r>
      <w:r>
        <w:t xml:space="preserve"> why is it assumed that the concentration factors between the integrative samplers and the grab samples are similar? </w:t>
      </w:r>
    </w:p>
    <w:p w:rsidR="004C3B25" w:rsidRDefault="004C3B25" w:rsidP="00AF7942">
      <w:pPr>
        <w:pStyle w:val="NormalIndent"/>
        <w:numPr>
          <w:ilvl w:val="0"/>
          <w:numId w:val="14"/>
        </w:numPr>
      </w:pPr>
      <w:r>
        <w:t>In the 2</w:t>
      </w:r>
      <w:r w:rsidRPr="004C3B25">
        <w:rPr>
          <w:vertAlign w:val="superscript"/>
        </w:rPr>
        <w:t>nd</w:t>
      </w:r>
      <w:r>
        <w:t xml:space="preserve"> paragraph, given the amount of interference, how can we determine that one sampling method is advantageous over the other?</w:t>
      </w:r>
    </w:p>
    <w:p w:rsidR="000F5F2B" w:rsidRDefault="000F5F2B">
      <w:pPr>
        <w:pStyle w:val="NormalIndent"/>
      </w:pPr>
    </w:p>
    <w:p w:rsidR="00A05EF7" w:rsidRDefault="00DB33A2" w:rsidP="0023652E">
      <w:pPr>
        <w:pStyle w:val="NormalIndent"/>
        <w:ind w:left="0"/>
      </w:pPr>
      <w:r>
        <w:rPr>
          <w:i/>
        </w:rPr>
        <w:t>Discussion</w:t>
      </w:r>
    </w:p>
    <w:p w:rsidR="00DB33A2" w:rsidRDefault="00DB33A2" w:rsidP="00DB33A2">
      <w:pPr>
        <w:pStyle w:val="NormalIndent"/>
        <w:numPr>
          <w:ilvl w:val="0"/>
          <w:numId w:val="13"/>
        </w:numPr>
      </w:pPr>
      <w:r>
        <w:t>Reason for interference in the transactivation assay.</w:t>
      </w:r>
    </w:p>
    <w:p w:rsidR="00DB33A2" w:rsidRDefault="0000429C" w:rsidP="00DB33A2">
      <w:pPr>
        <w:pStyle w:val="NormalIndent"/>
        <w:numPr>
          <w:ilvl w:val="1"/>
          <w:numId w:val="13"/>
        </w:numPr>
      </w:pPr>
      <w:r>
        <w:t>“</w:t>
      </w:r>
      <w:proofErr w:type="spellStart"/>
      <w:r w:rsidR="00DB33A2">
        <w:t>Humic</w:t>
      </w:r>
      <w:proofErr w:type="spellEnd"/>
      <w:r w:rsidR="00DB33A2">
        <w:t xml:space="preserve"> acids could</w:t>
      </w:r>
      <w:r>
        <w:t>…</w:t>
      </w:r>
      <w:r w:rsidR="00DB33A2">
        <w:t>interfere</w:t>
      </w:r>
      <w:r>
        <w:t>…</w:t>
      </w:r>
      <w:r w:rsidR="00DB33A2">
        <w:t>at higher concentrations tested for the water grab samples.</w:t>
      </w:r>
      <w:r>
        <w:t>”</w:t>
      </w:r>
    </w:p>
    <w:p w:rsidR="0000429C" w:rsidRDefault="0000429C" w:rsidP="00DB33A2">
      <w:pPr>
        <w:pStyle w:val="NormalIndent"/>
        <w:numPr>
          <w:ilvl w:val="1"/>
          <w:numId w:val="13"/>
        </w:numPr>
      </w:pPr>
      <w:r>
        <w:t>Samples tested were about 10X more dilute. (Is this a reason for interference or less interference than binding assay?)</w:t>
      </w:r>
    </w:p>
    <w:p w:rsidR="0000429C" w:rsidRDefault="0000429C" w:rsidP="0000429C">
      <w:pPr>
        <w:pStyle w:val="NormalIndent"/>
        <w:numPr>
          <w:ilvl w:val="0"/>
          <w:numId w:val="13"/>
        </w:numPr>
      </w:pPr>
      <w:r>
        <w:t>Higher androgenicity in the grab field collection method type.</w:t>
      </w:r>
    </w:p>
    <w:p w:rsidR="0000429C" w:rsidRDefault="0023050C" w:rsidP="0000429C">
      <w:pPr>
        <w:pStyle w:val="NormalIndent"/>
        <w:numPr>
          <w:ilvl w:val="1"/>
          <w:numId w:val="13"/>
        </w:numPr>
      </w:pPr>
      <w:r>
        <w:t>Is this</w:t>
      </w:r>
      <w:r w:rsidR="0000429C">
        <w:t xml:space="preserve"> due to field blank contamination from the gr</w:t>
      </w:r>
      <w:r>
        <w:t xml:space="preserve">ab field collection method type? There was no </w:t>
      </w:r>
      <w:r w:rsidR="00B45296">
        <w:t>discussion</w:t>
      </w:r>
      <w:r>
        <w:t xml:space="preserve"> of the 10.8ng/L</w:t>
      </w:r>
      <w:r w:rsidR="00B45296">
        <w:t xml:space="preserve"> detection in the field blank.</w:t>
      </w:r>
    </w:p>
    <w:p w:rsidR="00D62D1E" w:rsidRDefault="00D62D1E" w:rsidP="00D62D1E">
      <w:pPr>
        <w:pStyle w:val="NormalIndent"/>
        <w:numPr>
          <w:ilvl w:val="0"/>
          <w:numId w:val="13"/>
        </w:numPr>
      </w:pPr>
      <w:r>
        <w:t>Pros/cons for using POCIS/SPMD v. Grab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“Hard to estimate advantage of using POCIS and SPMD compared to grab samples since concentration factors are unknown.”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POCIS and SPMD seemed to include interference materials at the highest concentration tested, but removed quickly with increased dilutions of the extract.</w:t>
      </w:r>
    </w:p>
    <w:p w:rsidR="0000429C" w:rsidRDefault="007904D8" w:rsidP="0000429C">
      <w:pPr>
        <w:pStyle w:val="NormalIndent"/>
        <w:numPr>
          <w:ilvl w:val="0"/>
          <w:numId w:val="13"/>
        </w:numPr>
      </w:pPr>
      <w:r>
        <w:t xml:space="preserve">Conclusion </w:t>
      </w:r>
      <w:r w:rsidR="00EB5831">
        <w:t xml:space="preserve">on biological effects </w:t>
      </w:r>
    </w:p>
    <w:p w:rsidR="00EB5831" w:rsidRDefault="00EB5831" w:rsidP="00EB5831">
      <w:pPr>
        <w:pStyle w:val="NormalIndent"/>
        <w:numPr>
          <w:ilvl w:val="1"/>
          <w:numId w:val="13"/>
        </w:numPr>
      </w:pPr>
      <w:r>
        <w:t>“Acute toxicity is not expected from the concentrations found; however chronic exposure could be an issue for some fish species.”</w:t>
      </w:r>
    </w:p>
    <w:p w:rsidR="00EB5831" w:rsidRDefault="00B45296" w:rsidP="00EB5831">
      <w:pPr>
        <w:pStyle w:val="NormalIndent"/>
      </w:pPr>
      <w:r>
        <w:rPr>
          <w:i/>
        </w:rPr>
        <w:t>Conclusion</w:t>
      </w:r>
    </w:p>
    <w:p w:rsidR="00B45296" w:rsidRDefault="00B45296" w:rsidP="00B45296">
      <w:pPr>
        <w:pStyle w:val="NormalIndent"/>
        <w:numPr>
          <w:ilvl w:val="0"/>
          <w:numId w:val="15"/>
        </w:numPr>
      </w:pPr>
      <w:r>
        <w:t>Future studies</w:t>
      </w:r>
    </w:p>
    <w:p w:rsidR="00B45296" w:rsidRDefault="00B45296" w:rsidP="00B45296">
      <w:pPr>
        <w:pStyle w:val="NormalIndent"/>
        <w:numPr>
          <w:ilvl w:val="1"/>
          <w:numId w:val="15"/>
        </w:numPr>
      </w:pPr>
      <w:r>
        <w:t>Sediments “should be targeted.”</w:t>
      </w:r>
    </w:p>
    <w:p w:rsidR="00B45296" w:rsidRDefault="00B45296" w:rsidP="00B45296">
      <w:pPr>
        <w:pStyle w:val="NormalIndent"/>
        <w:numPr>
          <w:ilvl w:val="2"/>
          <w:numId w:val="15"/>
        </w:numPr>
      </w:pPr>
      <w:r>
        <w:t>Most estrogenic/androgenic compounds are hydrophobic</w:t>
      </w:r>
    </w:p>
    <w:p w:rsidR="00B45296" w:rsidRPr="00B45296" w:rsidRDefault="00B45296" w:rsidP="00B45296">
      <w:pPr>
        <w:pStyle w:val="NormalIndent"/>
        <w:numPr>
          <w:ilvl w:val="1"/>
          <w:numId w:val="15"/>
        </w:numPr>
      </w:pPr>
      <w:r>
        <w:t xml:space="preserve">“This work could be compared to measurements of </w:t>
      </w:r>
      <w:proofErr w:type="spellStart"/>
      <w:r>
        <w:t>vitellogen</w:t>
      </w:r>
      <w:proofErr w:type="spellEnd"/>
      <w:r>
        <w:t>…at various locations”</w:t>
      </w:r>
    </w:p>
    <w:p w:rsidR="0000429C" w:rsidRPr="00DB33A2" w:rsidRDefault="0000429C" w:rsidP="0000429C">
      <w:pPr>
        <w:pStyle w:val="NormalIndent"/>
        <w:ind w:left="1440"/>
      </w:pPr>
    </w:p>
    <w:sectPr w:rsidR="0000429C" w:rsidRPr="00DB33A2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endnote>
  <w:end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footnote>
  <w:foot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86795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15C6D" w:rsidRDefault="00C15C6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5C6D" w:rsidRDefault="00C15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E3F86"/>
    <w:multiLevelType w:val="hybridMultilevel"/>
    <w:tmpl w:val="97F0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F6869"/>
    <w:multiLevelType w:val="hybridMultilevel"/>
    <w:tmpl w:val="A0E4D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1727D"/>
    <w:multiLevelType w:val="hybridMultilevel"/>
    <w:tmpl w:val="0D8E7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7B55B6"/>
    <w:multiLevelType w:val="hybridMultilevel"/>
    <w:tmpl w:val="76EE0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2B"/>
    <w:rsid w:val="0000429C"/>
    <w:rsid w:val="00053CAE"/>
    <w:rsid w:val="00082086"/>
    <w:rsid w:val="00084341"/>
    <w:rsid w:val="00096ECE"/>
    <w:rsid w:val="000F5F2B"/>
    <w:rsid w:val="0010443C"/>
    <w:rsid w:val="00164BA3"/>
    <w:rsid w:val="001B49A6"/>
    <w:rsid w:val="002128C8"/>
    <w:rsid w:val="00217F5E"/>
    <w:rsid w:val="0023050C"/>
    <w:rsid w:val="0023652E"/>
    <w:rsid w:val="002A7720"/>
    <w:rsid w:val="002B5A3C"/>
    <w:rsid w:val="00307891"/>
    <w:rsid w:val="0034332A"/>
    <w:rsid w:val="003C17E2"/>
    <w:rsid w:val="00416A86"/>
    <w:rsid w:val="004C3B25"/>
    <w:rsid w:val="004D4719"/>
    <w:rsid w:val="005D6175"/>
    <w:rsid w:val="006A2514"/>
    <w:rsid w:val="006A6EE0"/>
    <w:rsid w:val="006B1778"/>
    <w:rsid w:val="006B674E"/>
    <w:rsid w:val="006E6AA5"/>
    <w:rsid w:val="007123B4"/>
    <w:rsid w:val="007904D8"/>
    <w:rsid w:val="00884772"/>
    <w:rsid w:val="00934E9A"/>
    <w:rsid w:val="009A27A1"/>
    <w:rsid w:val="00A05EF7"/>
    <w:rsid w:val="00A7005F"/>
    <w:rsid w:val="00A8223B"/>
    <w:rsid w:val="00AF7942"/>
    <w:rsid w:val="00B16ECE"/>
    <w:rsid w:val="00B273A3"/>
    <w:rsid w:val="00B45296"/>
    <w:rsid w:val="00B93153"/>
    <w:rsid w:val="00BF513F"/>
    <w:rsid w:val="00C15C6D"/>
    <w:rsid w:val="00C208FD"/>
    <w:rsid w:val="00C9192D"/>
    <w:rsid w:val="00CB4FBB"/>
    <w:rsid w:val="00D03E76"/>
    <w:rsid w:val="00D62D1E"/>
    <w:rsid w:val="00DB33A2"/>
    <w:rsid w:val="00E31AB2"/>
    <w:rsid w:val="00E31F9C"/>
    <w:rsid w:val="00E45BB9"/>
    <w:rsid w:val="00E81D49"/>
    <w:rsid w:val="00EB5064"/>
    <w:rsid w:val="00EB5831"/>
    <w:rsid w:val="00EE708C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D2B1D9"/>
  <w15:chartTrackingRefBased/>
  <w15:docId w15:val="{86C0885C-41EC-4AD2-AB5B-38B212DB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F"/>
    <w:rsid w:val="002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66DCEFB98046489EF1BB480D79F348">
    <w:name w:val="5166DCEFB98046489EF1BB480D79F348"/>
  </w:style>
  <w:style w:type="paragraph" w:customStyle="1" w:styleId="C7FD60AE0E22464ABD8914F77252355A">
    <w:name w:val="C7FD60AE0E22464ABD8914F77252355A"/>
  </w:style>
  <w:style w:type="paragraph" w:customStyle="1" w:styleId="B20203559F3045D1B65773D5BCB56024">
    <w:name w:val="B20203559F3045D1B65773D5BCB56024"/>
  </w:style>
  <w:style w:type="paragraph" w:customStyle="1" w:styleId="66119D7CBFB94404B237CCAE4410C21B">
    <w:name w:val="66119D7CBFB94404B237CCAE4410C21B"/>
  </w:style>
  <w:style w:type="paragraph" w:customStyle="1" w:styleId="B29ED54BD202400CBB6D588DBAAF1121">
    <w:name w:val="B29ED54BD202400CBB6D588DBAAF1121"/>
  </w:style>
  <w:style w:type="paragraph" w:customStyle="1" w:styleId="68D770EB91384676B40EBCA540AADD3B">
    <w:name w:val="68D770EB91384676B40EBCA540AADD3B"/>
  </w:style>
  <w:style w:type="paragraph" w:customStyle="1" w:styleId="93F4F66824EB4BB1B6167DE53FA46A61">
    <w:name w:val="93F4F66824EB4BB1B6167DE53FA46A61"/>
  </w:style>
  <w:style w:type="paragraph" w:customStyle="1" w:styleId="03D86FDEB697454C9F51E567D66BBB34">
    <w:name w:val="03D86FDEB697454C9F51E567D66BBB34"/>
  </w:style>
  <w:style w:type="paragraph" w:customStyle="1" w:styleId="4CAB78E630634BB9AD479041EE515E5D">
    <w:name w:val="4CAB78E630634BB9AD479041EE515E5D"/>
  </w:style>
  <w:style w:type="paragraph" w:customStyle="1" w:styleId="2FE033AC1C2941A18E4A89C47177342A">
    <w:name w:val="2FE033AC1C2941A18E4A89C47177342A"/>
  </w:style>
  <w:style w:type="paragraph" w:customStyle="1" w:styleId="B135CC5430684BBC8F57EEAB5E1A2A0D">
    <w:name w:val="B135CC5430684BBC8F57EEAB5E1A2A0D"/>
  </w:style>
  <w:style w:type="paragraph" w:customStyle="1" w:styleId="D483B5EC128D4A53874280F19DC4F13B">
    <w:name w:val="D483B5EC128D4A53874280F19DC4F13B"/>
  </w:style>
  <w:style w:type="paragraph" w:customStyle="1" w:styleId="D3210ED82B09470299B4C2E280521358">
    <w:name w:val="D3210ED82B09470299B4C2E280521358"/>
  </w:style>
  <w:style w:type="paragraph" w:customStyle="1" w:styleId="49EDD0194B9847BBAE6C7DB438EA0F44">
    <w:name w:val="49EDD0194B9847BBAE6C7DB438EA0F44"/>
  </w:style>
  <w:style w:type="paragraph" w:customStyle="1" w:styleId="575E4D3ECC274298A13C91D84232D75D">
    <w:name w:val="575E4D3ECC274298A13C91D84232D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2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September 14, 2018</cp:keywords>
  <dc:description>ESOC Pilot Sub-Group</dc:description>
  <cp:lastModifiedBy>Hogue, Alicia</cp:lastModifiedBy>
  <cp:revision>3</cp:revision>
  <dcterms:created xsi:type="dcterms:W3CDTF">2018-09-27T15:00:00Z</dcterms:created>
  <dcterms:modified xsi:type="dcterms:W3CDTF">2018-09-27T15:02:00Z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