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0BE5" w:rsidRDefault="000D6F1A" w:rsidP="007D1F03">
      <w:pPr>
        <w:jc w:val="center"/>
      </w:pPr>
      <w:r w:rsidRPr="00417909">
        <w:object w:dxaOrig="5145" w:dyaOrig="31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2.85pt;height:94.4pt" o:ole="" fillcolor="window">
            <v:imagedata r:id="rId8" o:title=""/>
          </v:shape>
          <o:OLEObject Type="Embed" ProgID="Word.Picture.8" ShapeID="_x0000_i1025" DrawAspect="Content" ObjectID="_1339476674" r:id="rId9"/>
        </w:object>
      </w:r>
    </w:p>
    <w:p w:rsidR="006E0BE5" w:rsidRDefault="006E0BE5" w:rsidP="00A92004">
      <w:pPr>
        <w:jc w:val="center"/>
        <w:rPr>
          <w:rFonts w:ascii="Arial" w:hAnsi="Arial" w:cs="Arial"/>
          <w:sz w:val="24"/>
          <w:szCs w:val="24"/>
        </w:rPr>
      </w:pPr>
      <w:r w:rsidRPr="006E0BE5">
        <w:rPr>
          <w:rFonts w:ascii="Arial" w:hAnsi="Arial" w:cs="Arial"/>
          <w:sz w:val="24"/>
          <w:szCs w:val="24"/>
        </w:rPr>
        <w:t>Site Specific Information</w:t>
      </w:r>
      <w:r>
        <w:rPr>
          <w:rFonts w:ascii="Arial" w:hAnsi="Arial" w:cs="Arial"/>
          <w:sz w:val="24"/>
          <w:szCs w:val="24"/>
        </w:rPr>
        <w:t xml:space="preserve"> </w:t>
      </w:r>
      <w:r w:rsidRPr="006E0BE5">
        <w:rPr>
          <w:rFonts w:ascii="Arial" w:hAnsi="Arial" w:cs="Arial"/>
          <w:sz w:val="24"/>
          <w:szCs w:val="24"/>
        </w:rPr>
        <w:t xml:space="preserve">In Support of </w:t>
      </w:r>
    </w:p>
    <w:p w:rsidR="006E0BE5" w:rsidRDefault="006E0BE5" w:rsidP="00A92004">
      <w:pPr>
        <w:jc w:val="center"/>
        <w:rPr>
          <w:rFonts w:ascii="Arial" w:hAnsi="Arial" w:cs="Arial"/>
          <w:sz w:val="24"/>
          <w:szCs w:val="24"/>
        </w:rPr>
      </w:pPr>
      <w:r w:rsidRPr="006E0BE5">
        <w:rPr>
          <w:rFonts w:ascii="Arial" w:hAnsi="Arial" w:cs="Arial"/>
          <w:sz w:val="24"/>
          <w:szCs w:val="24"/>
        </w:rPr>
        <w:t>Establishing</w:t>
      </w:r>
      <w:r>
        <w:rPr>
          <w:rFonts w:ascii="Arial" w:hAnsi="Arial" w:cs="Arial"/>
          <w:sz w:val="24"/>
          <w:szCs w:val="24"/>
        </w:rPr>
        <w:t xml:space="preserve"> </w:t>
      </w:r>
      <w:r w:rsidRPr="006E0BE5">
        <w:rPr>
          <w:rFonts w:ascii="Arial" w:hAnsi="Arial" w:cs="Arial"/>
          <w:sz w:val="24"/>
          <w:szCs w:val="24"/>
        </w:rPr>
        <w:t>Numeric Nutrient Criteria</w:t>
      </w:r>
      <w:r>
        <w:rPr>
          <w:rFonts w:ascii="Arial" w:hAnsi="Arial" w:cs="Arial"/>
          <w:sz w:val="24"/>
          <w:szCs w:val="24"/>
        </w:rPr>
        <w:t xml:space="preserve"> in</w:t>
      </w:r>
      <w:r w:rsidR="00B94F4D">
        <w:rPr>
          <w:rFonts w:ascii="Arial" w:hAnsi="Arial" w:cs="Arial"/>
          <w:sz w:val="24"/>
          <w:szCs w:val="24"/>
        </w:rPr>
        <w:t xml:space="preserve"> the</w:t>
      </w:r>
    </w:p>
    <w:p w:rsidR="0093172C" w:rsidRPr="007E2405" w:rsidRDefault="00B94F4D" w:rsidP="00A92004">
      <w:pPr>
        <w:jc w:val="center"/>
        <w:rPr>
          <w:rFonts w:ascii="Arial" w:hAnsi="Arial" w:cs="Arial"/>
          <w:sz w:val="24"/>
          <w:szCs w:val="24"/>
        </w:rPr>
      </w:pPr>
      <w:r w:rsidRPr="007E2405">
        <w:rPr>
          <w:rFonts w:ascii="Arial" w:hAnsi="Arial" w:cs="Arial"/>
          <w:sz w:val="24"/>
          <w:szCs w:val="24"/>
        </w:rPr>
        <w:t>Florida Keys</w:t>
      </w:r>
    </w:p>
    <w:p w:rsidR="00B53807" w:rsidRDefault="00B53807" w:rsidP="00B53807">
      <w:pPr>
        <w:pStyle w:val="EstuaryHeading"/>
      </w:pPr>
      <w:bookmarkStart w:id="0" w:name="_Toc263862792"/>
      <w:r>
        <w:t>Table of Contents</w:t>
      </w:r>
      <w:bookmarkEnd w:id="0"/>
    </w:p>
    <w:p w:rsidR="00B53807" w:rsidRDefault="00E01BCF">
      <w:pPr>
        <w:pStyle w:val="TOC1"/>
        <w:tabs>
          <w:tab w:val="right" w:leader="dot" w:pos="9350"/>
        </w:tabs>
        <w:rPr>
          <w:rFonts w:eastAsiaTheme="minorEastAsia"/>
          <w:noProof/>
        </w:rPr>
      </w:pPr>
      <w:r w:rsidRPr="00E01BCF">
        <w:rPr>
          <w:b/>
        </w:rPr>
        <w:fldChar w:fldCharType="begin"/>
      </w:r>
      <w:r w:rsidR="00B53807">
        <w:rPr>
          <w:b/>
        </w:rPr>
        <w:instrText xml:space="preserve"> TOC \o "1-1" \t "Estuary Heading,1,Estuary Subheading,2" </w:instrText>
      </w:r>
      <w:r w:rsidRPr="00E01BCF">
        <w:rPr>
          <w:b/>
        </w:rPr>
        <w:fldChar w:fldCharType="separate"/>
      </w:r>
      <w:r w:rsidR="00B53807">
        <w:rPr>
          <w:noProof/>
        </w:rPr>
        <w:t>Table of Contents</w:t>
      </w:r>
      <w:r w:rsidR="00B53807">
        <w:rPr>
          <w:noProof/>
        </w:rPr>
        <w:tab/>
      </w:r>
      <w:r>
        <w:rPr>
          <w:noProof/>
        </w:rPr>
        <w:fldChar w:fldCharType="begin"/>
      </w:r>
      <w:r w:rsidR="00B53807">
        <w:rPr>
          <w:noProof/>
        </w:rPr>
        <w:instrText xml:space="preserve"> PAGEREF _Toc263862792 \h </w:instrText>
      </w:r>
      <w:r>
        <w:rPr>
          <w:noProof/>
        </w:rPr>
      </w:r>
      <w:r>
        <w:rPr>
          <w:noProof/>
        </w:rPr>
        <w:fldChar w:fldCharType="separate"/>
      </w:r>
      <w:r w:rsidR="008C7E44">
        <w:rPr>
          <w:noProof/>
        </w:rPr>
        <w:t>1</w:t>
      </w:r>
      <w:r>
        <w:rPr>
          <w:noProof/>
        </w:rPr>
        <w:fldChar w:fldCharType="end"/>
      </w:r>
    </w:p>
    <w:p w:rsidR="00B53807" w:rsidRDefault="00B53807">
      <w:pPr>
        <w:pStyle w:val="TOC1"/>
        <w:tabs>
          <w:tab w:val="right" w:leader="dot" w:pos="9350"/>
        </w:tabs>
        <w:rPr>
          <w:rFonts w:eastAsiaTheme="minorEastAsia"/>
          <w:noProof/>
        </w:rPr>
      </w:pPr>
      <w:r>
        <w:rPr>
          <w:noProof/>
        </w:rPr>
        <w:t>Executive Summary</w:t>
      </w:r>
      <w:r>
        <w:rPr>
          <w:noProof/>
        </w:rPr>
        <w:tab/>
      </w:r>
      <w:r w:rsidR="00E01BCF">
        <w:rPr>
          <w:noProof/>
        </w:rPr>
        <w:fldChar w:fldCharType="begin"/>
      </w:r>
      <w:r>
        <w:rPr>
          <w:noProof/>
        </w:rPr>
        <w:instrText xml:space="preserve"> PAGEREF _Toc263862793 \h </w:instrText>
      </w:r>
      <w:r w:rsidR="00E01BCF">
        <w:rPr>
          <w:noProof/>
        </w:rPr>
      </w:r>
      <w:r w:rsidR="00E01BCF">
        <w:rPr>
          <w:noProof/>
        </w:rPr>
        <w:fldChar w:fldCharType="separate"/>
      </w:r>
      <w:r w:rsidR="008C7E44">
        <w:rPr>
          <w:noProof/>
        </w:rPr>
        <w:t>2</w:t>
      </w:r>
      <w:r w:rsidR="00E01BCF">
        <w:rPr>
          <w:noProof/>
        </w:rPr>
        <w:fldChar w:fldCharType="end"/>
      </w:r>
    </w:p>
    <w:p w:rsidR="00B53807" w:rsidRDefault="00B53807">
      <w:pPr>
        <w:pStyle w:val="TOC1"/>
        <w:tabs>
          <w:tab w:val="right" w:leader="dot" w:pos="9350"/>
        </w:tabs>
        <w:rPr>
          <w:rFonts w:eastAsiaTheme="minorEastAsia"/>
          <w:noProof/>
        </w:rPr>
      </w:pPr>
      <w:r>
        <w:rPr>
          <w:noProof/>
        </w:rPr>
        <w:t>Geographical and Physical Description</w:t>
      </w:r>
      <w:r>
        <w:rPr>
          <w:noProof/>
        </w:rPr>
        <w:tab/>
      </w:r>
      <w:r w:rsidR="00E01BCF">
        <w:rPr>
          <w:noProof/>
        </w:rPr>
        <w:fldChar w:fldCharType="begin"/>
      </w:r>
      <w:r>
        <w:rPr>
          <w:noProof/>
        </w:rPr>
        <w:instrText xml:space="preserve"> PAGEREF _Toc263862794 \h </w:instrText>
      </w:r>
      <w:r w:rsidR="00E01BCF">
        <w:rPr>
          <w:noProof/>
        </w:rPr>
      </w:r>
      <w:r w:rsidR="00E01BCF">
        <w:rPr>
          <w:noProof/>
        </w:rPr>
        <w:fldChar w:fldCharType="separate"/>
      </w:r>
      <w:r w:rsidR="008C7E44">
        <w:rPr>
          <w:noProof/>
        </w:rPr>
        <w:t>5</w:t>
      </w:r>
      <w:r w:rsidR="00E01BCF">
        <w:rPr>
          <w:noProof/>
        </w:rPr>
        <w:fldChar w:fldCharType="end"/>
      </w:r>
    </w:p>
    <w:p w:rsidR="00B53807" w:rsidRDefault="00B53807">
      <w:pPr>
        <w:pStyle w:val="TOC1"/>
        <w:tabs>
          <w:tab w:val="right" w:leader="dot" w:pos="9350"/>
        </w:tabs>
        <w:rPr>
          <w:rFonts w:eastAsiaTheme="minorEastAsia"/>
          <w:noProof/>
        </w:rPr>
      </w:pPr>
      <w:r>
        <w:rPr>
          <w:noProof/>
        </w:rPr>
        <w:t>Sources and Fates of Nutrients</w:t>
      </w:r>
      <w:r>
        <w:rPr>
          <w:noProof/>
        </w:rPr>
        <w:tab/>
      </w:r>
      <w:r w:rsidR="00E01BCF">
        <w:rPr>
          <w:noProof/>
        </w:rPr>
        <w:fldChar w:fldCharType="begin"/>
      </w:r>
      <w:r>
        <w:rPr>
          <w:noProof/>
        </w:rPr>
        <w:instrText xml:space="preserve"> PAGEREF _Toc263862795 \h </w:instrText>
      </w:r>
      <w:r w:rsidR="00E01BCF">
        <w:rPr>
          <w:noProof/>
        </w:rPr>
      </w:r>
      <w:r w:rsidR="00E01BCF">
        <w:rPr>
          <w:noProof/>
        </w:rPr>
        <w:fldChar w:fldCharType="separate"/>
      </w:r>
      <w:r w:rsidR="008C7E44">
        <w:rPr>
          <w:noProof/>
        </w:rPr>
        <w:t>8</w:t>
      </w:r>
      <w:r w:rsidR="00E01BCF">
        <w:rPr>
          <w:noProof/>
        </w:rPr>
        <w:fldChar w:fldCharType="end"/>
      </w:r>
    </w:p>
    <w:p w:rsidR="00B53807" w:rsidRDefault="00B53807">
      <w:pPr>
        <w:pStyle w:val="TOC2"/>
        <w:tabs>
          <w:tab w:val="right" w:leader="dot" w:pos="9350"/>
        </w:tabs>
        <w:rPr>
          <w:rFonts w:eastAsiaTheme="minorEastAsia"/>
          <w:noProof/>
        </w:rPr>
      </w:pPr>
      <w:r>
        <w:rPr>
          <w:noProof/>
        </w:rPr>
        <w:t>Nutrient sources and loading estimates</w:t>
      </w:r>
      <w:r>
        <w:rPr>
          <w:noProof/>
        </w:rPr>
        <w:tab/>
      </w:r>
      <w:r w:rsidR="00E01BCF">
        <w:rPr>
          <w:noProof/>
        </w:rPr>
        <w:fldChar w:fldCharType="begin"/>
      </w:r>
      <w:r>
        <w:rPr>
          <w:noProof/>
        </w:rPr>
        <w:instrText xml:space="preserve"> PAGEREF _Toc263862796 \h </w:instrText>
      </w:r>
      <w:r w:rsidR="00E01BCF">
        <w:rPr>
          <w:noProof/>
        </w:rPr>
      </w:r>
      <w:r w:rsidR="00E01BCF">
        <w:rPr>
          <w:noProof/>
        </w:rPr>
        <w:fldChar w:fldCharType="separate"/>
      </w:r>
      <w:r w:rsidR="008C7E44">
        <w:rPr>
          <w:noProof/>
        </w:rPr>
        <w:t>8</w:t>
      </w:r>
      <w:r w:rsidR="00E01BCF">
        <w:rPr>
          <w:noProof/>
        </w:rPr>
        <w:fldChar w:fldCharType="end"/>
      </w:r>
    </w:p>
    <w:p w:rsidR="00B53807" w:rsidRDefault="00B53807">
      <w:pPr>
        <w:pStyle w:val="TOC2"/>
        <w:tabs>
          <w:tab w:val="right" w:leader="dot" w:pos="9350"/>
        </w:tabs>
        <w:rPr>
          <w:rFonts w:eastAsiaTheme="minorEastAsia"/>
          <w:noProof/>
        </w:rPr>
      </w:pPr>
      <w:r>
        <w:rPr>
          <w:noProof/>
        </w:rPr>
        <w:t>Assimilative capacity and productivity</w:t>
      </w:r>
      <w:r>
        <w:rPr>
          <w:noProof/>
        </w:rPr>
        <w:tab/>
      </w:r>
      <w:r w:rsidR="00E01BCF">
        <w:rPr>
          <w:noProof/>
        </w:rPr>
        <w:fldChar w:fldCharType="begin"/>
      </w:r>
      <w:r>
        <w:rPr>
          <w:noProof/>
        </w:rPr>
        <w:instrText xml:space="preserve"> PAGEREF _Toc263862797 \h </w:instrText>
      </w:r>
      <w:r w:rsidR="00E01BCF">
        <w:rPr>
          <w:noProof/>
        </w:rPr>
      </w:r>
      <w:r w:rsidR="00E01BCF">
        <w:rPr>
          <w:noProof/>
        </w:rPr>
        <w:fldChar w:fldCharType="separate"/>
      </w:r>
      <w:r w:rsidR="008C7E44">
        <w:rPr>
          <w:noProof/>
        </w:rPr>
        <w:t>11</w:t>
      </w:r>
      <w:r w:rsidR="00E01BCF">
        <w:rPr>
          <w:noProof/>
        </w:rPr>
        <w:fldChar w:fldCharType="end"/>
      </w:r>
    </w:p>
    <w:p w:rsidR="00B53807" w:rsidRDefault="00B53807">
      <w:pPr>
        <w:pStyle w:val="TOC1"/>
        <w:tabs>
          <w:tab w:val="right" w:leader="dot" w:pos="9350"/>
        </w:tabs>
        <w:rPr>
          <w:rFonts w:eastAsiaTheme="minorEastAsia"/>
          <w:noProof/>
        </w:rPr>
      </w:pPr>
      <w:r>
        <w:rPr>
          <w:noProof/>
        </w:rPr>
        <w:t>Biological Summary</w:t>
      </w:r>
      <w:r>
        <w:rPr>
          <w:noProof/>
        </w:rPr>
        <w:tab/>
      </w:r>
      <w:r w:rsidR="00E01BCF">
        <w:rPr>
          <w:noProof/>
        </w:rPr>
        <w:fldChar w:fldCharType="begin"/>
      </w:r>
      <w:r>
        <w:rPr>
          <w:noProof/>
        </w:rPr>
        <w:instrText xml:space="preserve"> PAGEREF _Toc263862798 \h </w:instrText>
      </w:r>
      <w:r w:rsidR="00E01BCF">
        <w:rPr>
          <w:noProof/>
        </w:rPr>
      </w:r>
      <w:r w:rsidR="00E01BCF">
        <w:rPr>
          <w:noProof/>
        </w:rPr>
        <w:fldChar w:fldCharType="separate"/>
      </w:r>
      <w:r w:rsidR="008C7E44">
        <w:rPr>
          <w:noProof/>
        </w:rPr>
        <w:t>12</w:t>
      </w:r>
      <w:r w:rsidR="00E01BCF">
        <w:rPr>
          <w:noProof/>
        </w:rPr>
        <w:fldChar w:fldCharType="end"/>
      </w:r>
    </w:p>
    <w:p w:rsidR="00B53807" w:rsidRDefault="00B53807">
      <w:pPr>
        <w:pStyle w:val="TOC2"/>
        <w:tabs>
          <w:tab w:val="right" w:leader="dot" w:pos="9350"/>
        </w:tabs>
        <w:rPr>
          <w:rFonts w:eastAsiaTheme="minorEastAsia"/>
          <w:noProof/>
        </w:rPr>
      </w:pPr>
      <w:r>
        <w:rPr>
          <w:noProof/>
        </w:rPr>
        <w:t>Seagrasses</w:t>
      </w:r>
      <w:r>
        <w:rPr>
          <w:noProof/>
        </w:rPr>
        <w:tab/>
      </w:r>
      <w:r w:rsidR="00E01BCF">
        <w:rPr>
          <w:noProof/>
        </w:rPr>
        <w:fldChar w:fldCharType="begin"/>
      </w:r>
      <w:r>
        <w:rPr>
          <w:noProof/>
        </w:rPr>
        <w:instrText xml:space="preserve"> PAGEREF _Toc263862799 \h </w:instrText>
      </w:r>
      <w:r w:rsidR="00E01BCF">
        <w:rPr>
          <w:noProof/>
        </w:rPr>
      </w:r>
      <w:r w:rsidR="00E01BCF">
        <w:rPr>
          <w:noProof/>
        </w:rPr>
        <w:fldChar w:fldCharType="separate"/>
      </w:r>
      <w:r w:rsidR="008C7E44">
        <w:rPr>
          <w:noProof/>
        </w:rPr>
        <w:t>12</w:t>
      </w:r>
      <w:r w:rsidR="00E01BCF">
        <w:rPr>
          <w:noProof/>
        </w:rPr>
        <w:fldChar w:fldCharType="end"/>
      </w:r>
    </w:p>
    <w:p w:rsidR="00B53807" w:rsidRDefault="00B53807">
      <w:pPr>
        <w:pStyle w:val="TOC2"/>
        <w:tabs>
          <w:tab w:val="right" w:leader="dot" w:pos="9350"/>
        </w:tabs>
        <w:rPr>
          <w:rFonts w:eastAsiaTheme="minorEastAsia"/>
          <w:noProof/>
        </w:rPr>
      </w:pPr>
      <w:r>
        <w:rPr>
          <w:noProof/>
        </w:rPr>
        <w:t>Coral Reefs</w:t>
      </w:r>
      <w:r>
        <w:rPr>
          <w:noProof/>
        </w:rPr>
        <w:tab/>
      </w:r>
      <w:r w:rsidR="00E01BCF">
        <w:rPr>
          <w:noProof/>
        </w:rPr>
        <w:fldChar w:fldCharType="begin"/>
      </w:r>
      <w:r>
        <w:rPr>
          <w:noProof/>
        </w:rPr>
        <w:instrText xml:space="preserve"> PAGEREF _Toc263862800 \h </w:instrText>
      </w:r>
      <w:r w:rsidR="00E01BCF">
        <w:rPr>
          <w:noProof/>
        </w:rPr>
      </w:r>
      <w:r w:rsidR="00E01BCF">
        <w:rPr>
          <w:noProof/>
        </w:rPr>
        <w:fldChar w:fldCharType="separate"/>
      </w:r>
      <w:r w:rsidR="008C7E44">
        <w:rPr>
          <w:noProof/>
        </w:rPr>
        <w:t>16</w:t>
      </w:r>
      <w:r w:rsidR="00E01BCF">
        <w:rPr>
          <w:noProof/>
        </w:rPr>
        <w:fldChar w:fldCharType="end"/>
      </w:r>
    </w:p>
    <w:p w:rsidR="00B53807" w:rsidRDefault="00B53807">
      <w:pPr>
        <w:pStyle w:val="TOC2"/>
        <w:tabs>
          <w:tab w:val="right" w:leader="dot" w:pos="9350"/>
        </w:tabs>
        <w:rPr>
          <w:rFonts w:eastAsiaTheme="minorEastAsia"/>
          <w:noProof/>
        </w:rPr>
      </w:pPr>
      <w:r>
        <w:rPr>
          <w:noProof/>
        </w:rPr>
        <w:t>Mangroves</w:t>
      </w:r>
      <w:r>
        <w:rPr>
          <w:noProof/>
        </w:rPr>
        <w:tab/>
      </w:r>
      <w:r w:rsidR="00E01BCF">
        <w:rPr>
          <w:noProof/>
        </w:rPr>
        <w:fldChar w:fldCharType="begin"/>
      </w:r>
      <w:r>
        <w:rPr>
          <w:noProof/>
        </w:rPr>
        <w:instrText xml:space="preserve"> PAGEREF _Toc263862801 \h </w:instrText>
      </w:r>
      <w:r w:rsidR="00E01BCF">
        <w:rPr>
          <w:noProof/>
        </w:rPr>
      </w:r>
      <w:r w:rsidR="00E01BCF">
        <w:rPr>
          <w:noProof/>
        </w:rPr>
        <w:fldChar w:fldCharType="separate"/>
      </w:r>
      <w:r w:rsidR="008C7E44">
        <w:rPr>
          <w:noProof/>
        </w:rPr>
        <w:t>16</w:t>
      </w:r>
      <w:r w:rsidR="00E01BCF">
        <w:rPr>
          <w:noProof/>
        </w:rPr>
        <w:fldChar w:fldCharType="end"/>
      </w:r>
    </w:p>
    <w:p w:rsidR="00B53807" w:rsidRDefault="00B53807">
      <w:pPr>
        <w:pStyle w:val="TOC2"/>
        <w:tabs>
          <w:tab w:val="right" w:leader="dot" w:pos="9350"/>
        </w:tabs>
        <w:rPr>
          <w:rFonts w:eastAsiaTheme="minorEastAsia"/>
          <w:noProof/>
        </w:rPr>
      </w:pPr>
      <w:r>
        <w:rPr>
          <w:noProof/>
        </w:rPr>
        <w:t>Additional Biological Resources</w:t>
      </w:r>
      <w:r>
        <w:rPr>
          <w:noProof/>
        </w:rPr>
        <w:tab/>
      </w:r>
      <w:r w:rsidR="00E01BCF">
        <w:rPr>
          <w:noProof/>
        </w:rPr>
        <w:fldChar w:fldCharType="begin"/>
      </w:r>
      <w:r>
        <w:rPr>
          <w:noProof/>
        </w:rPr>
        <w:instrText xml:space="preserve"> PAGEREF _Toc263862802 \h </w:instrText>
      </w:r>
      <w:r w:rsidR="00E01BCF">
        <w:rPr>
          <w:noProof/>
        </w:rPr>
      </w:r>
      <w:r w:rsidR="00E01BCF">
        <w:rPr>
          <w:noProof/>
        </w:rPr>
        <w:fldChar w:fldCharType="separate"/>
      </w:r>
      <w:r w:rsidR="008C7E44">
        <w:rPr>
          <w:noProof/>
        </w:rPr>
        <w:t>16</w:t>
      </w:r>
      <w:r w:rsidR="00E01BCF">
        <w:rPr>
          <w:noProof/>
        </w:rPr>
        <w:fldChar w:fldCharType="end"/>
      </w:r>
    </w:p>
    <w:p w:rsidR="00B53807" w:rsidRDefault="00B53807">
      <w:pPr>
        <w:pStyle w:val="TOC1"/>
        <w:tabs>
          <w:tab w:val="right" w:leader="dot" w:pos="9350"/>
        </w:tabs>
        <w:rPr>
          <w:rFonts w:eastAsiaTheme="minorEastAsia"/>
          <w:noProof/>
        </w:rPr>
      </w:pPr>
      <w:r>
        <w:rPr>
          <w:noProof/>
        </w:rPr>
        <w:t>Water Quality Studies</w:t>
      </w:r>
      <w:r>
        <w:rPr>
          <w:noProof/>
        </w:rPr>
        <w:tab/>
      </w:r>
      <w:r w:rsidR="00E01BCF">
        <w:rPr>
          <w:noProof/>
        </w:rPr>
        <w:fldChar w:fldCharType="begin"/>
      </w:r>
      <w:r>
        <w:rPr>
          <w:noProof/>
        </w:rPr>
        <w:instrText xml:space="preserve"> PAGEREF _Toc263862803 \h </w:instrText>
      </w:r>
      <w:r w:rsidR="00E01BCF">
        <w:rPr>
          <w:noProof/>
        </w:rPr>
      </w:r>
      <w:r w:rsidR="00E01BCF">
        <w:rPr>
          <w:noProof/>
        </w:rPr>
        <w:fldChar w:fldCharType="separate"/>
      </w:r>
      <w:r w:rsidR="008C7E44">
        <w:rPr>
          <w:noProof/>
        </w:rPr>
        <w:t>16</w:t>
      </w:r>
      <w:r w:rsidR="00E01BCF">
        <w:rPr>
          <w:noProof/>
        </w:rPr>
        <w:fldChar w:fldCharType="end"/>
      </w:r>
    </w:p>
    <w:p w:rsidR="00B53807" w:rsidRDefault="00B53807">
      <w:pPr>
        <w:pStyle w:val="TOC1"/>
        <w:tabs>
          <w:tab w:val="right" w:leader="dot" w:pos="9350"/>
        </w:tabs>
        <w:rPr>
          <w:rFonts w:eastAsiaTheme="minorEastAsia"/>
          <w:noProof/>
        </w:rPr>
      </w:pPr>
      <w:r>
        <w:rPr>
          <w:noProof/>
        </w:rPr>
        <w:t>Waters on 303(d) List</w:t>
      </w:r>
      <w:r>
        <w:rPr>
          <w:noProof/>
        </w:rPr>
        <w:tab/>
      </w:r>
      <w:r w:rsidR="00E01BCF">
        <w:rPr>
          <w:noProof/>
        </w:rPr>
        <w:fldChar w:fldCharType="begin"/>
      </w:r>
      <w:r>
        <w:rPr>
          <w:noProof/>
        </w:rPr>
        <w:instrText xml:space="preserve"> PAGEREF _Toc263862804 \h </w:instrText>
      </w:r>
      <w:r w:rsidR="00E01BCF">
        <w:rPr>
          <w:noProof/>
        </w:rPr>
      </w:r>
      <w:r w:rsidR="00E01BCF">
        <w:rPr>
          <w:noProof/>
        </w:rPr>
        <w:fldChar w:fldCharType="separate"/>
      </w:r>
      <w:r w:rsidR="008C7E44">
        <w:rPr>
          <w:noProof/>
        </w:rPr>
        <w:t>16</w:t>
      </w:r>
      <w:r w:rsidR="00E01BCF">
        <w:rPr>
          <w:noProof/>
        </w:rPr>
        <w:fldChar w:fldCharType="end"/>
      </w:r>
    </w:p>
    <w:p w:rsidR="00B53807" w:rsidRDefault="00B53807">
      <w:pPr>
        <w:pStyle w:val="TOC2"/>
        <w:tabs>
          <w:tab w:val="right" w:leader="dot" w:pos="9350"/>
        </w:tabs>
        <w:rPr>
          <w:rFonts w:eastAsiaTheme="minorEastAsia"/>
          <w:noProof/>
        </w:rPr>
      </w:pPr>
      <w:r>
        <w:rPr>
          <w:noProof/>
        </w:rPr>
        <w:t>Northern Keys</w:t>
      </w:r>
      <w:r>
        <w:rPr>
          <w:noProof/>
        </w:rPr>
        <w:tab/>
      </w:r>
      <w:r w:rsidR="00E01BCF">
        <w:rPr>
          <w:noProof/>
        </w:rPr>
        <w:fldChar w:fldCharType="begin"/>
      </w:r>
      <w:r>
        <w:rPr>
          <w:noProof/>
        </w:rPr>
        <w:instrText xml:space="preserve"> PAGEREF _Toc263862805 \h </w:instrText>
      </w:r>
      <w:r w:rsidR="00E01BCF">
        <w:rPr>
          <w:noProof/>
        </w:rPr>
      </w:r>
      <w:r w:rsidR="00E01BCF">
        <w:rPr>
          <w:noProof/>
        </w:rPr>
        <w:fldChar w:fldCharType="separate"/>
      </w:r>
      <w:r w:rsidR="008C7E44">
        <w:rPr>
          <w:noProof/>
        </w:rPr>
        <w:t>16</w:t>
      </w:r>
      <w:r w:rsidR="00E01BCF">
        <w:rPr>
          <w:noProof/>
        </w:rPr>
        <w:fldChar w:fldCharType="end"/>
      </w:r>
    </w:p>
    <w:p w:rsidR="00B53807" w:rsidRDefault="00B53807">
      <w:pPr>
        <w:pStyle w:val="TOC2"/>
        <w:tabs>
          <w:tab w:val="right" w:leader="dot" w:pos="9350"/>
        </w:tabs>
        <w:rPr>
          <w:rFonts w:eastAsiaTheme="minorEastAsia"/>
          <w:noProof/>
        </w:rPr>
      </w:pPr>
      <w:r>
        <w:rPr>
          <w:noProof/>
        </w:rPr>
        <w:t>Central Keys</w:t>
      </w:r>
      <w:r>
        <w:rPr>
          <w:noProof/>
        </w:rPr>
        <w:tab/>
      </w:r>
      <w:r w:rsidR="00E01BCF">
        <w:rPr>
          <w:noProof/>
        </w:rPr>
        <w:fldChar w:fldCharType="begin"/>
      </w:r>
      <w:r>
        <w:rPr>
          <w:noProof/>
        </w:rPr>
        <w:instrText xml:space="preserve"> PAGEREF _Toc263862806 \h </w:instrText>
      </w:r>
      <w:r w:rsidR="00E01BCF">
        <w:rPr>
          <w:noProof/>
        </w:rPr>
      </w:r>
      <w:r w:rsidR="00E01BCF">
        <w:rPr>
          <w:noProof/>
        </w:rPr>
        <w:fldChar w:fldCharType="separate"/>
      </w:r>
      <w:r w:rsidR="008C7E44">
        <w:rPr>
          <w:noProof/>
        </w:rPr>
        <w:t>16</w:t>
      </w:r>
      <w:r w:rsidR="00E01BCF">
        <w:rPr>
          <w:noProof/>
        </w:rPr>
        <w:fldChar w:fldCharType="end"/>
      </w:r>
    </w:p>
    <w:p w:rsidR="00B53807" w:rsidRDefault="00B53807">
      <w:pPr>
        <w:pStyle w:val="TOC2"/>
        <w:tabs>
          <w:tab w:val="right" w:leader="dot" w:pos="9350"/>
        </w:tabs>
        <w:rPr>
          <w:rFonts w:eastAsiaTheme="minorEastAsia"/>
          <w:noProof/>
        </w:rPr>
      </w:pPr>
      <w:r>
        <w:rPr>
          <w:noProof/>
        </w:rPr>
        <w:t>South-Central Keys</w:t>
      </w:r>
      <w:r>
        <w:rPr>
          <w:noProof/>
        </w:rPr>
        <w:tab/>
      </w:r>
      <w:r w:rsidR="00E01BCF">
        <w:rPr>
          <w:noProof/>
        </w:rPr>
        <w:fldChar w:fldCharType="begin"/>
      </w:r>
      <w:r>
        <w:rPr>
          <w:noProof/>
        </w:rPr>
        <w:instrText xml:space="preserve"> PAGEREF _Toc263862807 \h </w:instrText>
      </w:r>
      <w:r w:rsidR="00E01BCF">
        <w:rPr>
          <w:noProof/>
        </w:rPr>
      </w:r>
      <w:r w:rsidR="00E01BCF">
        <w:rPr>
          <w:noProof/>
        </w:rPr>
        <w:fldChar w:fldCharType="separate"/>
      </w:r>
      <w:r w:rsidR="008C7E44">
        <w:rPr>
          <w:noProof/>
        </w:rPr>
        <w:t>16</w:t>
      </w:r>
      <w:r w:rsidR="00E01BCF">
        <w:rPr>
          <w:noProof/>
        </w:rPr>
        <w:fldChar w:fldCharType="end"/>
      </w:r>
    </w:p>
    <w:p w:rsidR="00B53807" w:rsidRDefault="00B53807">
      <w:pPr>
        <w:pStyle w:val="TOC2"/>
        <w:tabs>
          <w:tab w:val="right" w:leader="dot" w:pos="9350"/>
        </w:tabs>
        <w:rPr>
          <w:rFonts w:eastAsiaTheme="minorEastAsia"/>
          <w:noProof/>
        </w:rPr>
      </w:pPr>
      <w:r>
        <w:rPr>
          <w:noProof/>
        </w:rPr>
        <w:t>Southern Keys</w:t>
      </w:r>
      <w:r>
        <w:rPr>
          <w:noProof/>
        </w:rPr>
        <w:tab/>
      </w:r>
      <w:r w:rsidR="00E01BCF">
        <w:rPr>
          <w:noProof/>
        </w:rPr>
        <w:fldChar w:fldCharType="begin"/>
      </w:r>
      <w:r>
        <w:rPr>
          <w:noProof/>
        </w:rPr>
        <w:instrText xml:space="preserve"> PAGEREF _Toc263862808 \h </w:instrText>
      </w:r>
      <w:r w:rsidR="00E01BCF">
        <w:rPr>
          <w:noProof/>
        </w:rPr>
      </w:r>
      <w:r w:rsidR="00E01BCF">
        <w:rPr>
          <w:noProof/>
        </w:rPr>
        <w:fldChar w:fldCharType="separate"/>
      </w:r>
      <w:r w:rsidR="008C7E44">
        <w:rPr>
          <w:noProof/>
        </w:rPr>
        <w:t>16</w:t>
      </w:r>
      <w:r w:rsidR="00E01BCF">
        <w:rPr>
          <w:noProof/>
        </w:rPr>
        <w:fldChar w:fldCharType="end"/>
      </w:r>
    </w:p>
    <w:p w:rsidR="00B53807" w:rsidRDefault="00B53807">
      <w:pPr>
        <w:pStyle w:val="TOC1"/>
        <w:tabs>
          <w:tab w:val="right" w:leader="dot" w:pos="9350"/>
        </w:tabs>
        <w:rPr>
          <w:rFonts w:eastAsiaTheme="minorEastAsia"/>
          <w:noProof/>
        </w:rPr>
      </w:pPr>
      <w:r>
        <w:rPr>
          <w:noProof/>
        </w:rPr>
        <w:t>Numeric Nutrient Criteria Recommendations</w:t>
      </w:r>
      <w:r>
        <w:rPr>
          <w:noProof/>
        </w:rPr>
        <w:tab/>
      </w:r>
      <w:r w:rsidR="00E01BCF">
        <w:rPr>
          <w:noProof/>
        </w:rPr>
        <w:fldChar w:fldCharType="begin"/>
      </w:r>
      <w:r>
        <w:rPr>
          <w:noProof/>
        </w:rPr>
        <w:instrText xml:space="preserve"> PAGEREF _Toc263862809 \h </w:instrText>
      </w:r>
      <w:r w:rsidR="00E01BCF">
        <w:rPr>
          <w:noProof/>
        </w:rPr>
      </w:r>
      <w:r w:rsidR="00E01BCF">
        <w:rPr>
          <w:noProof/>
        </w:rPr>
        <w:fldChar w:fldCharType="separate"/>
      </w:r>
      <w:r w:rsidR="008C7E44">
        <w:rPr>
          <w:noProof/>
        </w:rPr>
        <w:t>16</w:t>
      </w:r>
      <w:r w:rsidR="00E01BCF">
        <w:rPr>
          <w:noProof/>
        </w:rPr>
        <w:fldChar w:fldCharType="end"/>
      </w:r>
    </w:p>
    <w:p w:rsidR="00B53807" w:rsidRDefault="00B53807">
      <w:pPr>
        <w:pStyle w:val="TOC1"/>
        <w:tabs>
          <w:tab w:val="right" w:leader="dot" w:pos="9350"/>
        </w:tabs>
        <w:rPr>
          <w:rFonts w:eastAsiaTheme="minorEastAsia"/>
          <w:noProof/>
        </w:rPr>
      </w:pPr>
      <w:r>
        <w:rPr>
          <w:noProof/>
        </w:rPr>
        <w:t>Key Contact People and Organizations</w:t>
      </w:r>
      <w:r>
        <w:rPr>
          <w:noProof/>
        </w:rPr>
        <w:tab/>
      </w:r>
      <w:r w:rsidR="00E01BCF">
        <w:rPr>
          <w:noProof/>
        </w:rPr>
        <w:fldChar w:fldCharType="begin"/>
      </w:r>
      <w:r>
        <w:rPr>
          <w:noProof/>
        </w:rPr>
        <w:instrText xml:space="preserve"> PAGEREF _Toc263862810 \h </w:instrText>
      </w:r>
      <w:r w:rsidR="00E01BCF">
        <w:rPr>
          <w:noProof/>
        </w:rPr>
      </w:r>
      <w:r w:rsidR="00E01BCF">
        <w:rPr>
          <w:noProof/>
        </w:rPr>
        <w:fldChar w:fldCharType="separate"/>
      </w:r>
      <w:r w:rsidR="008C7E44">
        <w:rPr>
          <w:noProof/>
        </w:rPr>
        <w:t>16</w:t>
      </w:r>
      <w:r w:rsidR="00E01BCF">
        <w:rPr>
          <w:noProof/>
        </w:rPr>
        <w:fldChar w:fldCharType="end"/>
      </w:r>
    </w:p>
    <w:p w:rsidR="00B53807" w:rsidRDefault="00B53807">
      <w:pPr>
        <w:pStyle w:val="TOC1"/>
        <w:tabs>
          <w:tab w:val="right" w:leader="dot" w:pos="9350"/>
        </w:tabs>
        <w:rPr>
          <w:rFonts w:eastAsiaTheme="minorEastAsia"/>
          <w:noProof/>
        </w:rPr>
      </w:pPr>
      <w:r>
        <w:rPr>
          <w:noProof/>
        </w:rPr>
        <w:t>References</w:t>
      </w:r>
      <w:r>
        <w:rPr>
          <w:noProof/>
        </w:rPr>
        <w:tab/>
      </w:r>
      <w:r w:rsidR="00E01BCF">
        <w:rPr>
          <w:noProof/>
        </w:rPr>
        <w:fldChar w:fldCharType="begin"/>
      </w:r>
      <w:r>
        <w:rPr>
          <w:noProof/>
        </w:rPr>
        <w:instrText xml:space="preserve"> PAGEREF _Toc263862811 \h </w:instrText>
      </w:r>
      <w:r w:rsidR="00E01BCF">
        <w:rPr>
          <w:noProof/>
        </w:rPr>
      </w:r>
      <w:r w:rsidR="00E01BCF">
        <w:rPr>
          <w:noProof/>
        </w:rPr>
        <w:fldChar w:fldCharType="separate"/>
      </w:r>
      <w:r w:rsidR="008C7E44">
        <w:rPr>
          <w:noProof/>
        </w:rPr>
        <w:t>16</w:t>
      </w:r>
      <w:r w:rsidR="00E01BCF">
        <w:rPr>
          <w:noProof/>
        </w:rPr>
        <w:fldChar w:fldCharType="end"/>
      </w:r>
    </w:p>
    <w:p w:rsidR="00B53807" w:rsidRDefault="00E01BCF" w:rsidP="009D1F25">
      <w:pPr>
        <w:pStyle w:val="EstuaryHeading"/>
        <w:spacing w:after="120"/>
        <w:sectPr w:rsidR="00B53807" w:rsidSect="00CD2D6D">
          <w:headerReference w:type="default" r:id="rId10"/>
          <w:footerReference w:type="default" r:id="rId11"/>
          <w:pgSz w:w="12240" w:h="15840"/>
          <w:pgMar w:top="1440" w:right="1440" w:bottom="1440" w:left="1440" w:header="720" w:footer="720" w:gutter="0"/>
          <w:cols w:space="720"/>
          <w:docGrid w:linePitch="360"/>
        </w:sectPr>
      </w:pPr>
      <w:r>
        <w:rPr>
          <w:b w:val="0"/>
          <w:sz w:val="22"/>
        </w:rPr>
        <w:fldChar w:fldCharType="end"/>
      </w:r>
    </w:p>
    <w:p w:rsidR="0027730B" w:rsidRPr="002708E9" w:rsidRDefault="0027730B" w:rsidP="009D1F25">
      <w:pPr>
        <w:pStyle w:val="EstuaryHeading"/>
        <w:spacing w:after="120"/>
      </w:pPr>
      <w:bookmarkStart w:id="1" w:name="_Toc263862793"/>
      <w:r w:rsidRPr="002708E9">
        <w:lastRenderedPageBreak/>
        <w:t>Executive Summary</w:t>
      </w:r>
      <w:bookmarkEnd w:id="1"/>
    </w:p>
    <w:p w:rsidR="00C15F8D" w:rsidRDefault="0027730B" w:rsidP="009D1F25">
      <w:pPr>
        <w:spacing w:after="120"/>
      </w:pPr>
      <w:r w:rsidRPr="00325FED">
        <w:t xml:space="preserve">This report was prepared </w:t>
      </w:r>
      <w:r>
        <w:t>by t</w:t>
      </w:r>
      <w:r w:rsidRPr="00325FED">
        <w:t>he</w:t>
      </w:r>
      <w:r>
        <w:t xml:space="preserve"> Florida Department of Environmental Protection (FDEP), in cooperation with the Environmental Protection Agency (EPA) and local scientists, to support the development of site specific numeric nutrient criteria for </w:t>
      </w:r>
      <w:r w:rsidR="007E2405">
        <w:t xml:space="preserve">the Florida Keys.  </w:t>
      </w:r>
      <w:r>
        <w:t xml:space="preserve">The primary purpose of the proposed numeric nutrient criteria is to protect healthy well-balanced natural populations of flora and fauna from the effects of excess nutrient enrichment. </w:t>
      </w:r>
      <w:r w:rsidR="00C15F8D">
        <w:t xml:space="preserve">  </w:t>
      </w:r>
      <w:r w:rsidR="00C15F8D" w:rsidRPr="007E31A0">
        <w:t xml:space="preserve">This report presents approaches </w:t>
      </w:r>
      <w:r w:rsidR="007E2405" w:rsidRPr="007E31A0">
        <w:t>for</w:t>
      </w:r>
      <w:r w:rsidR="00C15F8D" w:rsidRPr="007E31A0">
        <w:t xml:space="preserve"> setting criteria for the Florida Keys</w:t>
      </w:r>
      <w:r w:rsidR="007E31A0" w:rsidRPr="007E31A0">
        <w:t xml:space="preserve"> in both the nearshore (</w:t>
      </w:r>
      <w:proofErr w:type="gramStart"/>
      <w:r w:rsidR="00EC5DAF">
        <w:t xml:space="preserve">at </w:t>
      </w:r>
      <w:r w:rsidR="007E31A0" w:rsidRPr="007E31A0">
        <w:t xml:space="preserve"> 500</w:t>
      </w:r>
      <w:proofErr w:type="gramEnd"/>
      <w:r w:rsidR="007E31A0" w:rsidRPr="007E31A0">
        <w:t xml:space="preserve"> m from shore) and offshore (500-12,100 m) waters</w:t>
      </w:r>
      <w:r w:rsidR="00C15F8D" w:rsidRPr="007E31A0">
        <w:t>.</w:t>
      </w:r>
      <w:r w:rsidR="00C15F8D">
        <w:t xml:space="preserve">  </w:t>
      </w:r>
    </w:p>
    <w:p w:rsidR="00724691" w:rsidRDefault="00F76994" w:rsidP="009D1F25">
      <w:pPr>
        <w:spacing w:after="120"/>
      </w:pPr>
      <w:r>
        <w:t>The Florida Keys are an archipelago of islands in Monroe County, FL that extend from the southern tip of Florida over 354 km to the southwest (</w:t>
      </w:r>
      <w:proofErr w:type="spellStart"/>
      <w:r>
        <w:t>Collado</w:t>
      </w:r>
      <w:proofErr w:type="spellEnd"/>
      <w:r>
        <w:t xml:space="preserve">-Vides </w:t>
      </w:r>
      <w:r w:rsidR="007E2405" w:rsidRPr="007E2405">
        <w:rPr>
          <w:i/>
        </w:rPr>
        <w:t xml:space="preserve">et al. </w:t>
      </w:r>
      <w:r>
        <w:t xml:space="preserve">2007, Figure 1).  </w:t>
      </w:r>
      <w:r w:rsidRPr="00262FCF">
        <w:rPr>
          <w:rFonts w:cs="Arial"/>
        </w:rPr>
        <w:t>Consisting of 822</w:t>
      </w:r>
      <w:r>
        <w:rPr>
          <w:rFonts w:cs="Arial"/>
        </w:rPr>
        <w:t xml:space="preserve"> </w:t>
      </w:r>
      <w:r w:rsidRPr="00262FCF">
        <w:rPr>
          <w:rFonts w:cs="Arial"/>
        </w:rPr>
        <w:t>islands, of which about 30 are inhabited, the Florida Keys are traversed by U.S. Highway 1</w:t>
      </w:r>
      <w:r>
        <w:rPr>
          <w:rFonts w:cs="Arial"/>
        </w:rPr>
        <w:t xml:space="preserve"> </w:t>
      </w:r>
      <w:r w:rsidRPr="00262FCF">
        <w:rPr>
          <w:rFonts w:cs="Arial"/>
        </w:rPr>
        <w:t>(a.k.a., US 1 or Overseas Highway) with 19 miles of bridges</w:t>
      </w:r>
      <w:r>
        <w:rPr>
          <w:rFonts w:cs="Arial"/>
        </w:rPr>
        <w:t xml:space="preserve"> (FDEP 2008)</w:t>
      </w:r>
      <w:r w:rsidRPr="00262FCF">
        <w:rPr>
          <w:rFonts w:cs="Arial"/>
        </w:rPr>
        <w:t xml:space="preserve">. </w:t>
      </w:r>
      <w:r w:rsidR="007E2405">
        <w:t>The</w:t>
      </w:r>
      <w:r w:rsidR="00724691">
        <w:t xml:space="preserve"> Florida Keys National Marine Sanctuary (FKNMS),  consisting of 9500 </w:t>
      </w:r>
      <w:r w:rsidR="00724691" w:rsidRPr="00542ECA">
        <w:t>km</w:t>
      </w:r>
      <w:r w:rsidR="00724691">
        <w:rPr>
          <w:vertAlign w:val="superscript"/>
        </w:rPr>
        <w:t>2</w:t>
      </w:r>
      <w:r w:rsidR="00724691">
        <w:t xml:space="preserve"> of coastal and oceanic waters and submerged lands that surround the entire Florida Keys isl</w:t>
      </w:r>
      <w:r w:rsidR="003628D0">
        <w:t>and chain, was established</w:t>
      </w:r>
      <w:r w:rsidR="007E2405">
        <w:t xml:space="preserve"> in 1990 </w:t>
      </w:r>
      <w:r w:rsidR="003628D0">
        <w:t>(</w:t>
      </w:r>
      <w:r w:rsidR="00724691">
        <w:t xml:space="preserve">Figure 1).  </w:t>
      </w:r>
      <w:r>
        <w:t xml:space="preserve">The Keys are generally divided into three geographical areas which include the Upper, Middle, and Lower Keys (Figure 2).  </w:t>
      </w:r>
      <w:r w:rsidR="00724691">
        <w:t xml:space="preserve">The three regions are further divided into ocean-side and bay-side.  The bay-side regions of the Lower and Middle Keys are known as Backcountry and Sluiceway respectively.  </w:t>
      </w:r>
    </w:p>
    <w:p w:rsidR="00D26671" w:rsidRDefault="00D26671" w:rsidP="009D1F25">
      <w:pPr>
        <w:spacing w:after="120"/>
        <w:rPr>
          <w:rFonts w:cs="TimesNewRomanPSMT"/>
        </w:rPr>
      </w:pPr>
      <w:r>
        <w:rPr>
          <w:rFonts w:cs="TimesNewRomanPSMT"/>
        </w:rPr>
        <w:t xml:space="preserve">There are both anthropogenic and natural sources for the local and external nutrient loads.  </w:t>
      </w:r>
      <w:r w:rsidRPr="006078E4">
        <w:rPr>
          <w:rFonts w:cs="TimesNewRomanPSMT"/>
        </w:rPr>
        <w:t>The F</w:t>
      </w:r>
      <w:r>
        <w:rPr>
          <w:rFonts w:cs="TimesNewRomanPSMT"/>
        </w:rPr>
        <w:t>lorida Keys are</w:t>
      </w:r>
      <w:r w:rsidRPr="006078E4">
        <w:rPr>
          <w:rFonts w:cs="TimesNewRomanPSMT"/>
        </w:rPr>
        <w:t xml:space="preserve"> directly influenced by the Florida Current, the Gulf of Mexico Loop Current, inshore currents of the SW Florida Shelf (Shelf), discharge from the Everglades through the Shark River Slough, and by tidal exchange with both Florida </w:t>
      </w:r>
      <w:r>
        <w:rPr>
          <w:rFonts w:cs="TimesNewRomanPSMT"/>
        </w:rPr>
        <w:t>Bay and Biscayne Bay (</w:t>
      </w:r>
      <w:r w:rsidRPr="006078E4">
        <w:rPr>
          <w:rFonts w:cs="TimesNewRomanPSMT"/>
        </w:rPr>
        <w:t xml:space="preserve">Lee </w:t>
      </w:r>
      <w:r w:rsidR="007E2405" w:rsidRPr="007E2405">
        <w:rPr>
          <w:rFonts w:cs="TimesNewRomanPSMT"/>
          <w:i/>
        </w:rPr>
        <w:t xml:space="preserve">et al. </w:t>
      </w:r>
      <w:r w:rsidRPr="006078E4">
        <w:rPr>
          <w:rFonts w:cs="TimesNewRomanPSMT"/>
        </w:rPr>
        <w:t>2002).</w:t>
      </w:r>
      <w:r>
        <w:rPr>
          <w:rFonts w:cs="TimesNewRomanPSMT"/>
        </w:rPr>
        <w:t xml:space="preserve">  </w:t>
      </w:r>
      <w:r w:rsidRPr="00D242BF">
        <w:rPr>
          <w:rFonts w:cs="TimesNewRomanPSMT"/>
        </w:rPr>
        <w:t xml:space="preserve">The </w:t>
      </w:r>
      <w:r>
        <w:rPr>
          <w:rFonts w:cs="TimesNewRomanPSMT"/>
        </w:rPr>
        <w:t>Florida Keys Reasonable Assurance Documentation (</w:t>
      </w:r>
      <w:r w:rsidRPr="00D242BF">
        <w:rPr>
          <w:rFonts w:cs="TimesNewRomanPSMT"/>
        </w:rPr>
        <w:t>FKRAD</w:t>
      </w:r>
      <w:r>
        <w:rPr>
          <w:rFonts w:cs="TimesNewRomanPSMT"/>
        </w:rPr>
        <w:t>)</w:t>
      </w:r>
      <w:r w:rsidRPr="00D242BF">
        <w:rPr>
          <w:rFonts w:cs="TimesNewRomanPSMT"/>
        </w:rPr>
        <w:t xml:space="preserve"> (</w:t>
      </w:r>
      <w:r>
        <w:rPr>
          <w:rFonts w:cs="TimesNewRomanPSMT"/>
        </w:rPr>
        <w:t xml:space="preserve">FDEP </w:t>
      </w:r>
      <w:r w:rsidRPr="00D242BF">
        <w:rPr>
          <w:rFonts w:cs="TimesNewRomanPSMT"/>
        </w:rPr>
        <w:t>2008) identified local nutrient sources in the Keys including wastewater and stormwater originating in the unincorporated Monroe County in the Key Largo area, the Villages of Islamorada, Marathon, Key Colony Beach, Layton, the City of Key West, the Florida Department of Transportation (FDOT), and the Florida State Park Service.  Additionally, in the south-central and southern Keys</w:t>
      </w:r>
      <w:r w:rsidR="007E2405">
        <w:rPr>
          <w:rFonts w:cs="TimesNewRomanPSMT"/>
        </w:rPr>
        <w:t>,</w:t>
      </w:r>
      <w:r w:rsidRPr="00D242BF">
        <w:rPr>
          <w:rFonts w:cs="TimesNewRomanPSMT"/>
        </w:rPr>
        <w:t xml:space="preserve"> there is stormwater and wastewater originating in the U.S. Navy facilities in Boca Chico and </w:t>
      </w:r>
      <w:r w:rsidR="007E2405">
        <w:rPr>
          <w:rFonts w:cs="TimesNewRomanPSMT"/>
        </w:rPr>
        <w:t xml:space="preserve">those </w:t>
      </w:r>
      <w:r w:rsidRPr="00D242BF">
        <w:rPr>
          <w:rFonts w:cs="TimesNewRomanPSMT"/>
        </w:rPr>
        <w:t>adjacent to the City of Key West.</w:t>
      </w:r>
    </w:p>
    <w:p w:rsidR="00724691" w:rsidRDefault="00D26671" w:rsidP="009D1F25">
      <w:pPr>
        <w:spacing w:after="120"/>
      </w:pPr>
      <w:r>
        <w:rPr>
          <w:rFonts w:cs="Times New Roman"/>
        </w:rPr>
        <w:t xml:space="preserve">The three dominant habitats that make up the </w:t>
      </w:r>
      <w:r w:rsidRPr="003B2097">
        <w:rPr>
          <w:rFonts w:cs="Times New Roman"/>
        </w:rPr>
        <w:t xml:space="preserve">coastal marine ecosystems of the Florida Keys </w:t>
      </w:r>
      <w:r>
        <w:rPr>
          <w:rFonts w:cs="Times New Roman"/>
        </w:rPr>
        <w:t xml:space="preserve">are seagrass meadows, coral reefs, and </w:t>
      </w:r>
      <w:r w:rsidRPr="003B2097">
        <w:rPr>
          <w:rFonts w:cs="Times New Roman"/>
        </w:rPr>
        <w:t>mangroves.</w:t>
      </w:r>
      <w:r>
        <w:rPr>
          <w:rFonts w:cs="Times New Roman"/>
        </w:rPr>
        <w:t xml:space="preserve"> </w:t>
      </w:r>
      <w:r w:rsidRPr="003B2097">
        <w:rPr>
          <w:rFonts w:cs="Times New Roman"/>
        </w:rPr>
        <w:t xml:space="preserve"> Seagrasses are the principle component of</w:t>
      </w:r>
      <w:r>
        <w:rPr>
          <w:rFonts w:cs="Times New Roman"/>
        </w:rPr>
        <w:t xml:space="preserve"> </w:t>
      </w:r>
      <w:r w:rsidRPr="003B2097">
        <w:rPr>
          <w:rFonts w:cs="Times New Roman"/>
        </w:rPr>
        <w:t xml:space="preserve">benthic marine </w:t>
      </w:r>
      <w:r>
        <w:rPr>
          <w:rFonts w:cs="Times New Roman"/>
        </w:rPr>
        <w:t>habitats in the Florida Keys and</w:t>
      </w:r>
      <w:r w:rsidRPr="003B2097">
        <w:rPr>
          <w:rFonts w:cs="Times New Roman"/>
        </w:rPr>
        <w:t xml:space="preserve"> they occupy over 70% of the FKNMS</w:t>
      </w:r>
      <w:r>
        <w:rPr>
          <w:rFonts w:cs="Times New Roman"/>
        </w:rPr>
        <w:t xml:space="preserve"> (Fourqurean </w:t>
      </w:r>
      <w:r w:rsidR="007E2405" w:rsidRPr="007E2405">
        <w:rPr>
          <w:rFonts w:cs="Times New Roman"/>
          <w:i/>
        </w:rPr>
        <w:t>et al.</w:t>
      </w:r>
      <w:r w:rsidR="007E2405">
        <w:rPr>
          <w:rFonts w:cs="Times New Roman"/>
          <w:i/>
        </w:rPr>
        <w:t xml:space="preserve">, </w:t>
      </w:r>
      <w:r>
        <w:rPr>
          <w:rFonts w:cs="Times New Roman"/>
        </w:rPr>
        <w:t>FL Keys Carrying Capacity Study)</w:t>
      </w:r>
      <w:r w:rsidRPr="003B2097">
        <w:rPr>
          <w:rFonts w:cs="Times New Roman"/>
        </w:rPr>
        <w:t xml:space="preserve">. </w:t>
      </w:r>
      <w:r>
        <w:rPr>
          <w:rFonts w:cs="Times New Roman"/>
        </w:rPr>
        <w:t xml:space="preserve">  </w:t>
      </w:r>
      <w:r w:rsidRPr="00F73EFA">
        <w:rPr>
          <w:rFonts w:cs="Times New Roman"/>
        </w:rPr>
        <w:t xml:space="preserve">Coral reefs, patch reefs, and </w:t>
      </w:r>
      <w:proofErr w:type="spellStart"/>
      <w:r w:rsidRPr="00F73EFA">
        <w:rPr>
          <w:rFonts w:cs="Times New Roman"/>
        </w:rPr>
        <w:t>hardbottom</w:t>
      </w:r>
      <w:proofErr w:type="spellEnd"/>
      <w:r w:rsidRPr="00F73EFA">
        <w:rPr>
          <w:rFonts w:cs="Times New Roman"/>
        </w:rPr>
        <w:t xml:space="preserve"> habitats cover approximately 7%, 1% and 19% of the FKNMS, respectively</w:t>
      </w:r>
      <w:r>
        <w:rPr>
          <w:rFonts w:cs="Times New Roman"/>
        </w:rPr>
        <w:t xml:space="preserve">.  </w:t>
      </w:r>
      <w:r w:rsidRPr="00F73EFA">
        <w:rPr>
          <w:rFonts w:cs="Times New Roman"/>
        </w:rPr>
        <w:t>Mangroves are a dominant feature of the land-sea margin throughout the Florida Keys.</w:t>
      </w:r>
    </w:p>
    <w:p w:rsidR="00F72269" w:rsidRDefault="00724691" w:rsidP="009D1F25">
      <w:pPr>
        <w:spacing w:after="120"/>
      </w:pPr>
      <w:r>
        <w:t xml:space="preserve">Long term monitoring of water quality </w:t>
      </w:r>
      <w:r w:rsidR="007E2405">
        <w:t>indicates that nitrate and TOC follow a concentration gradient, with higher levels in the</w:t>
      </w:r>
      <w:r>
        <w:t xml:space="preserve"> near shore area and declining concentrations away from shore, </w:t>
      </w:r>
      <w:r w:rsidR="007E2405">
        <w:t>implying</w:t>
      </w:r>
      <w:r>
        <w:t xml:space="preserve"> a land</w:t>
      </w:r>
      <w:r w:rsidR="007E2405">
        <w:t>-</w:t>
      </w:r>
      <w:r>
        <w:t xml:space="preserve">based source (Boyer and </w:t>
      </w:r>
      <w:proofErr w:type="spellStart"/>
      <w:r>
        <w:t>Briceño</w:t>
      </w:r>
      <w:proofErr w:type="spellEnd"/>
      <w:r>
        <w:t xml:space="preserve"> 2009).  However, neither TP nor chlorophyll a concentrations show a trend with distance from land.</w:t>
      </w:r>
      <w:r w:rsidR="009E1633">
        <w:t xml:space="preserve">  The </w:t>
      </w:r>
      <w:r w:rsidR="00EC5DAF">
        <w:t xml:space="preserve">nearshore </w:t>
      </w:r>
      <w:r w:rsidR="009E1633">
        <w:t>Florida Keys waters are considere</w:t>
      </w:r>
      <w:r w:rsidR="00757D89">
        <w:t xml:space="preserve">d impaired for nutrients based on the 1998 </w:t>
      </w:r>
      <w:r w:rsidR="009E1633">
        <w:t xml:space="preserve">303(d) list.  </w:t>
      </w:r>
      <w:r w:rsidR="007E2405">
        <w:t>As provided for in the Impaired Waters Rule (Chapter 62-303), t</w:t>
      </w:r>
      <w:r w:rsidR="009E1633">
        <w:t>he Florida Keys Re</w:t>
      </w:r>
      <w:r w:rsidR="00960155">
        <w:t>asonable Assurance Document</w:t>
      </w:r>
      <w:r w:rsidR="009E1633">
        <w:t xml:space="preserve"> </w:t>
      </w:r>
      <w:r w:rsidR="00EC5DAF">
        <w:t xml:space="preserve">(FKRAD) </w:t>
      </w:r>
      <w:r w:rsidR="009E1633">
        <w:t>was developed in place of a T</w:t>
      </w:r>
      <w:r w:rsidR="007E2405">
        <w:t xml:space="preserve">otal </w:t>
      </w:r>
      <w:r w:rsidR="009E1633">
        <w:t>M</w:t>
      </w:r>
      <w:r w:rsidR="007E2405">
        <w:t xml:space="preserve">aximum </w:t>
      </w:r>
      <w:r w:rsidR="009E1633">
        <w:t>D</w:t>
      </w:r>
      <w:r w:rsidR="007E2405">
        <w:t xml:space="preserve">aily </w:t>
      </w:r>
      <w:r w:rsidR="009E1633">
        <w:t>L</w:t>
      </w:r>
      <w:r w:rsidR="007E2405">
        <w:t>oad (TMDL)</w:t>
      </w:r>
      <w:r w:rsidR="009E1633">
        <w:t xml:space="preserve"> </w:t>
      </w:r>
      <w:r w:rsidR="00757D89">
        <w:t xml:space="preserve">by FDEP </w:t>
      </w:r>
      <w:r w:rsidR="007E2405">
        <w:t xml:space="preserve">to ensure reductions of </w:t>
      </w:r>
      <w:r w:rsidR="009E1633">
        <w:t>nutrient loads</w:t>
      </w:r>
      <w:r w:rsidR="00757D89">
        <w:t xml:space="preserve"> from local sources</w:t>
      </w:r>
      <w:r w:rsidR="009E1633">
        <w:t>.</w:t>
      </w:r>
      <w:r w:rsidR="00757D89">
        <w:t xml:space="preserve">  </w:t>
      </w:r>
    </w:p>
    <w:p w:rsidR="001D6036" w:rsidRDefault="001D6036" w:rsidP="009D1F25">
      <w:pPr>
        <w:spacing w:after="120"/>
      </w:pPr>
      <w:r>
        <w:lastRenderedPageBreak/>
        <w:t xml:space="preserve">Table 1 </w:t>
      </w:r>
      <w:proofErr w:type="gramStart"/>
      <w:r>
        <w:t>shows</w:t>
      </w:r>
      <w:proofErr w:type="gramEnd"/>
      <w:r>
        <w:t xml:space="preserve"> a checklist of nutrient enrichment symptoms and describes whether or not each symptom has been historically or is currently observed in the Florida Keys.</w:t>
      </w:r>
      <w:r w:rsidR="00C15F8D">
        <w:t xml:space="preserve">  </w:t>
      </w:r>
      <w:r>
        <w:t xml:space="preserve">  </w:t>
      </w:r>
    </w:p>
    <w:p w:rsidR="00724691" w:rsidRDefault="00757D89" w:rsidP="009D1F25">
      <w:pPr>
        <w:spacing w:after="120"/>
        <w:sectPr w:rsidR="00724691" w:rsidSect="00CD2D6D">
          <w:pgSz w:w="12240" w:h="15840"/>
          <w:pgMar w:top="1440" w:right="1440" w:bottom="1440" w:left="1440" w:header="720" w:footer="720" w:gutter="0"/>
          <w:cols w:space="720"/>
          <w:docGrid w:linePitch="360"/>
        </w:sectPr>
      </w:pPr>
      <w:r>
        <w:t xml:space="preserve">FDEP recommends two approaches to numeric nutrient criteria in the Keys.  One is to use the criteria established in the FK RAD which are based on </w:t>
      </w:r>
      <w:r w:rsidR="00D35359">
        <w:t xml:space="preserve">improving </w:t>
      </w:r>
      <w:r>
        <w:t>water quality</w:t>
      </w:r>
      <w:r w:rsidR="00D35359">
        <w:t xml:space="preserve"> </w:t>
      </w:r>
      <w:r w:rsidR="00BB7ADD">
        <w:t xml:space="preserve">in the inshore halo zone (up to 500 m offshore) </w:t>
      </w:r>
      <w:r w:rsidR="00D35359">
        <w:t>to targets based on conditions</w:t>
      </w:r>
      <w:r>
        <w:t xml:space="preserve"> from 1985 at the time of OFW designation.  </w:t>
      </w:r>
      <w:r w:rsidR="007E31A0">
        <w:t xml:space="preserve">The second approach is to subdivide the offshore waters (500-12,100 m) into </w:t>
      </w:r>
      <w:r w:rsidR="00EC5DAF">
        <w:t>zones of similar water quality</w:t>
      </w:r>
      <w:r w:rsidR="007E31A0">
        <w:t xml:space="preserve"> and set the criteria to maintain the existing healthy condition.  </w:t>
      </w:r>
    </w:p>
    <w:p w:rsidR="008C238F" w:rsidRPr="007640DC" w:rsidRDefault="008C238F" w:rsidP="008C238F">
      <w:pPr>
        <w:pStyle w:val="Header"/>
        <w:spacing w:after="200" w:line="276" w:lineRule="auto"/>
      </w:pPr>
      <w:proofErr w:type="gramStart"/>
      <w:r w:rsidRPr="00883CE0">
        <w:rPr>
          <w:b/>
        </w:rPr>
        <w:lastRenderedPageBreak/>
        <w:t>Table 1.</w:t>
      </w:r>
      <w:proofErr w:type="gramEnd"/>
      <w:r>
        <w:t xml:space="preserve">  </w:t>
      </w:r>
      <w:proofErr w:type="gramStart"/>
      <w:r w:rsidRPr="007640DC">
        <w:t>Checklist of nutrient enrichment symptoms</w:t>
      </w:r>
      <w:r>
        <w:t xml:space="preserve"> in the Florida Keys</w:t>
      </w:r>
      <w:r w:rsidR="007D6800">
        <w:t>.</w:t>
      </w:r>
      <w:proofErr w:type="gramEnd"/>
    </w:p>
    <w:tbl>
      <w:tblPr>
        <w:tblStyle w:val="MediumShading1-Accent3"/>
        <w:tblW w:w="13068" w:type="dxa"/>
        <w:tblLayout w:type="fixed"/>
        <w:tblLook w:val="04A0"/>
      </w:tblPr>
      <w:tblGrid>
        <w:gridCol w:w="2178"/>
        <w:gridCol w:w="1260"/>
        <w:gridCol w:w="7290"/>
        <w:gridCol w:w="2340"/>
      </w:tblGrid>
      <w:tr w:rsidR="007E31A0" w:rsidRPr="007F3E05" w:rsidTr="007E31A0">
        <w:trPr>
          <w:cnfStyle w:val="100000000000"/>
        </w:trPr>
        <w:tc>
          <w:tcPr>
            <w:cnfStyle w:val="001000000000"/>
            <w:tcW w:w="2178" w:type="dxa"/>
          </w:tcPr>
          <w:p w:rsidR="007E31A0" w:rsidRPr="007F3E05" w:rsidRDefault="007E31A0" w:rsidP="00883CE0">
            <w:pPr>
              <w:rPr>
                <w:color w:val="auto"/>
                <w:sz w:val="18"/>
                <w:szCs w:val="18"/>
              </w:rPr>
            </w:pPr>
            <w:r w:rsidRPr="007F3E05">
              <w:rPr>
                <w:color w:val="auto"/>
                <w:sz w:val="18"/>
                <w:szCs w:val="18"/>
              </w:rPr>
              <w:t xml:space="preserve">Response variable </w:t>
            </w:r>
          </w:p>
        </w:tc>
        <w:tc>
          <w:tcPr>
            <w:tcW w:w="1260" w:type="dxa"/>
          </w:tcPr>
          <w:p w:rsidR="007E31A0" w:rsidRPr="007F3E05" w:rsidRDefault="007E31A0" w:rsidP="00883CE0">
            <w:pPr>
              <w:cnfStyle w:val="100000000000"/>
              <w:rPr>
                <w:color w:val="auto"/>
                <w:sz w:val="18"/>
                <w:szCs w:val="18"/>
              </w:rPr>
            </w:pPr>
            <w:r w:rsidRPr="007F3E05">
              <w:rPr>
                <w:color w:val="auto"/>
                <w:sz w:val="18"/>
                <w:szCs w:val="18"/>
              </w:rPr>
              <w:t>Observed historically</w:t>
            </w:r>
            <w:r>
              <w:rPr>
                <w:color w:val="auto"/>
                <w:sz w:val="18"/>
                <w:szCs w:val="18"/>
              </w:rPr>
              <w:t xml:space="preserve"> or currently</w:t>
            </w:r>
            <w:r w:rsidRPr="007F3E05">
              <w:rPr>
                <w:color w:val="auto"/>
                <w:sz w:val="18"/>
                <w:szCs w:val="18"/>
              </w:rPr>
              <w:t>?</w:t>
            </w:r>
          </w:p>
        </w:tc>
        <w:tc>
          <w:tcPr>
            <w:tcW w:w="7290" w:type="dxa"/>
          </w:tcPr>
          <w:p w:rsidR="007E31A0" w:rsidRPr="007F3E05" w:rsidRDefault="007E31A0" w:rsidP="00883CE0">
            <w:pPr>
              <w:cnfStyle w:val="100000000000"/>
              <w:rPr>
                <w:color w:val="auto"/>
                <w:sz w:val="18"/>
                <w:szCs w:val="18"/>
              </w:rPr>
            </w:pPr>
            <w:r w:rsidRPr="007F3E05">
              <w:rPr>
                <w:color w:val="auto"/>
                <w:sz w:val="18"/>
                <w:szCs w:val="18"/>
              </w:rPr>
              <w:t xml:space="preserve">Explanation </w:t>
            </w:r>
          </w:p>
        </w:tc>
        <w:tc>
          <w:tcPr>
            <w:tcW w:w="2340" w:type="dxa"/>
          </w:tcPr>
          <w:p w:rsidR="007E31A0" w:rsidRPr="007F3E05" w:rsidRDefault="007E31A0" w:rsidP="00883CE0">
            <w:pPr>
              <w:cnfStyle w:val="100000000000"/>
              <w:rPr>
                <w:color w:val="auto"/>
                <w:sz w:val="18"/>
                <w:szCs w:val="18"/>
              </w:rPr>
            </w:pPr>
            <w:r w:rsidRPr="007F3E05">
              <w:rPr>
                <w:color w:val="auto"/>
                <w:sz w:val="18"/>
                <w:szCs w:val="18"/>
              </w:rPr>
              <w:t>Source</w:t>
            </w:r>
          </w:p>
        </w:tc>
      </w:tr>
      <w:tr w:rsidR="007E31A0" w:rsidRPr="007F3E05" w:rsidTr="007E31A0">
        <w:trPr>
          <w:cnfStyle w:val="000000100000"/>
        </w:trPr>
        <w:tc>
          <w:tcPr>
            <w:cnfStyle w:val="001000000000"/>
            <w:tcW w:w="2178" w:type="dxa"/>
          </w:tcPr>
          <w:p w:rsidR="007E31A0" w:rsidRPr="007F3E05" w:rsidRDefault="007E31A0" w:rsidP="00883CE0">
            <w:pPr>
              <w:rPr>
                <w:b w:val="0"/>
                <w:i/>
                <w:sz w:val="18"/>
                <w:szCs w:val="18"/>
              </w:rPr>
            </w:pPr>
            <w:r w:rsidRPr="007F3E05">
              <w:rPr>
                <w:sz w:val="18"/>
                <w:szCs w:val="18"/>
              </w:rPr>
              <w:t xml:space="preserve"> Low DO (hypoxia/anoxia)</w:t>
            </w:r>
          </w:p>
        </w:tc>
        <w:tc>
          <w:tcPr>
            <w:tcW w:w="1260" w:type="dxa"/>
          </w:tcPr>
          <w:p w:rsidR="007E31A0" w:rsidRPr="007F3E05" w:rsidRDefault="007E31A0" w:rsidP="00883CE0">
            <w:pPr>
              <w:jc w:val="center"/>
              <w:cnfStyle w:val="000000100000"/>
              <w:rPr>
                <w:sz w:val="18"/>
                <w:szCs w:val="18"/>
              </w:rPr>
            </w:pPr>
            <w:r w:rsidRPr="007F3E05">
              <w:rPr>
                <w:sz w:val="18"/>
                <w:szCs w:val="18"/>
              </w:rPr>
              <w:t>Yes</w:t>
            </w:r>
          </w:p>
        </w:tc>
        <w:tc>
          <w:tcPr>
            <w:tcW w:w="7290" w:type="dxa"/>
          </w:tcPr>
          <w:p w:rsidR="007E31A0" w:rsidRPr="007F3E05" w:rsidRDefault="007E31A0" w:rsidP="00883CE0">
            <w:pPr>
              <w:cnfStyle w:val="000000100000"/>
              <w:rPr>
                <w:sz w:val="18"/>
                <w:szCs w:val="18"/>
              </w:rPr>
            </w:pPr>
            <w:r w:rsidRPr="007F3E05">
              <w:rPr>
                <w:sz w:val="18"/>
                <w:szCs w:val="18"/>
              </w:rPr>
              <w:t>Low DO concentrations have been observed in canals in the Keys and were observed at several nearshore stations during sampling in 1985 for the OFW designation.</w:t>
            </w:r>
          </w:p>
        </w:tc>
        <w:tc>
          <w:tcPr>
            <w:tcW w:w="2340" w:type="dxa"/>
          </w:tcPr>
          <w:p w:rsidR="007E31A0" w:rsidRPr="007F3E05" w:rsidRDefault="007E31A0" w:rsidP="00883CE0">
            <w:pPr>
              <w:cnfStyle w:val="000000100000"/>
              <w:rPr>
                <w:sz w:val="18"/>
                <w:szCs w:val="18"/>
              </w:rPr>
            </w:pPr>
            <w:r w:rsidRPr="007F3E05">
              <w:rPr>
                <w:sz w:val="18"/>
                <w:szCs w:val="18"/>
              </w:rPr>
              <w:t>FDEP (2008)</w:t>
            </w:r>
          </w:p>
        </w:tc>
      </w:tr>
      <w:tr w:rsidR="007E31A0" w:rsidRPr="007F3E05" w:rsidTr="007E31A0">
        <w:trPr>
          <w:cnfStyle w:val="000000010000"/>
        </w:trPr>
        <w:tc>
          <w:tcPr>
            <w:cnfStyle w:val="001000000000"/>
            <w:tcW w:w="2178" w:type="dxa"/>
          </w:tcPr>
          <w:p w:rsidR="007E31A0" w:rsidRPr="007F3E05" w:rsidRDefault="007E31A0" w:rsidP="00883CE0">
            <w:pPr>
              <w:rPr>
                <w:sz w:val="18"/>
                <w:szCs w:val="18"/>
              </w:rPr>
            </w:pPr>
            <w:r w:rsidRPr="007F3E05">
              <w:rPr>
                <w:sz w:val="18"/>
                <w:szCs w:val="18"/>
              </w:rPr>
              <w:t xml:space="preserve">Reduced clarity </w:t>
            </w:r>
          </w:p>
        </w:tc>
        <w:tc>
          <w:tcPr>
            <w:tcW w:w="1260" w:type="dxa"/>
          </w:tcPr>
          <w:p w:rsidR="007E31A0" w:rsidRPr="007F3E05" w:rsidRDefault="007E31A0" w:rsidP="00883CE0">
            <w:pPr>
              <w:jc w:val="center"/>
              <w:cnfStyle w:val="000000010000"/>
              <w:rPr>
                <w:sz w:val="18"/>
                <w:szCs w:val="18"/>
              </w:rPr>
            </w:pPr>
          </w:p>
        </w:tc>
        <w:tc>
          <w:tcPr>
            <w:tcW w:w="7290" w:type="dxa"/>
          </w:tcPr>
          <w:p w:rsidR="007E31A0" w:rsidRPr="007F3E05" w:rsidRDefault="007E31A0" w:rsidP="00883CE0">
            <w:pPr>
              <w:cnfStyle w:val="000000010000"/>
              <w:rPr>
                <w:sz w:val="18"/>
                <w:szCs w:val="18"/>
              </w:rPr>
            </w:pPr>
            <w:r>
              <w:rPr>
                <w:sz w:val="18"/>
                <w:szCs w:val="18"/>
              </w:rPr>
              <w:t>Turbidity declines with distance from shore.</w:t>
            </w:r>
          </w:p>
        </w:tc>
        <w:tc>
          <w:tcPr>
            <w:tcW w:w="2340" w:type="dxa"/>
          </w:tcPr>
          <w:p w:rsidR="007E31A0" w:rsidRPr="007F3E05" w:rsidRDefault="007E31A0" w:rsidP="00883CE0">
            <w:pPr>
              <w:cnfStyle w:val="000000010000"/>
              <w:rPr>
                <w:sz w:val="18"/>
                <w:szCs w:val="18"/>
              </w:rPr>
            </w:pPr>
            <w:r>
              <w:rPr>
                <w:sz w:val="18"/>
                <w:szCs w:val="18"/>
              </w:rPr>
              <w:t>Boyer and Jones (2002)</w:t>
            </w:r>
          </w:p>
        </w:tc>
      </w:tr>
      <w:tr w:rsidR="007E31A0" w:rsidRPr="007F3E05" w:rsidTr="007E31A0">
        <w:trPr>
          <w:cnfStyle w:val="000000100000"/>
        </w:trPr>
        <w:tc>
          <w:tcPr>
            <w:cnfStyle w:val="001000000000"/>
            <w:tcW w:w="2178" w:type="dxa"/>
          </w:tcPr>
          <w:p w:rsidR="007E31A0" w:rsidRPr="007F3E05" w:rsidRDefault="007E31A0" w:rsidP="00883CE0">
            <w:pPr>
              <w:rPr>
                <w:sz w:val="18"/>
                <w:szCs w:val="18"/>
              </w:rPr>
            </w:pPr>
            <w:r w:rsidRPr="007F3E05">
              <w:rPr>
                <w:sz w:val="18"/>
                <w:szCs w:val="18"/>
              </w:rPr>
              <w:t xml:space="preserve">Increased chlorophyll </w:t>
            </w:r>
            <w:r w:rsidRPr="007F3E05">
              <w:rPr>
                <w:i/>
                <w:sz w:val="18"/>
                <w:szCs w:val="18"/>
              </w:rPr>
              <w:t>a</w:t>
            </w:r>
            <w:r w:rsidRPr="007F3E05">
              <w:rPr>
                <w:sz w:val="18"/>
                <w:szCs w:val="18"/>
              </w:rPr>
              <w:t xml:space="preserve"> concentrations</w:t>
            </w:r>
          </w:p>
        </w:tc>
        <w:tc>
          <w:tcPr>
            <w:tcW w:w="1260" w:type="dxa"/>
          </w:tcPr>
          <w:p w:rsidR="007E31A0" w:rsidRPr="007F3E05" w:rsidRDefault="007E31A0" w:rsidP="00883CE0">
            <w:pPr>
              <w:jc w:val="center"/>
              <w:cnfStyle w:val="000000100000"/>
              <w:rPr>
                <w:sz w:val="18"/>
                <w:szCs w:val="18"/>
              </w:rPr>
            </w:pPr>
            <w:r w:rsidRPr="007F3E05">
              <w:rPr>
                <w:sz w:val="18"/>
                <w:szCs w:val="18"/>
              </w:rPr>
              <w:t>No</w:t>
            </w:r>
          </w:p>
        </w:tc>
        <w:tc>
          <w:tcPr>
            <w:tcW w:w="7290" w:type="dxa"/>
          </w:tcPr>
          <w:p w:rsidR="007E31A0" w:rsidRPr="007F3E05" w:rsidRDefault="007E31A0" w:rsidP="001E4FFB">
            <w:pPr>
              <w:cnfStyle w:val="000000100000"/>
              <w:rPr>
                <w:sz w:val="18"/>
                <w:szCs w:val="18"/>
              </w:rPr>
            </w:pPr>
            <w:r w:rsidRPr="007F3E05">
              <w:rPr>
                <w:sz w:val="18"/>
                <w:szCs w:val="18"/>
              </w:rPr>
              <w:t xml:space="preserve">There are no trends with chlorophyll </w:t>
            </w:r>
            <w:r w:rsidRPr="007F3E05">
              <w:rPr>
                <w:i/>
                <w:sz w:val="18"/>
                <w:szCs w:val="18"/>
              </w:rPr>
              <w:t>a</w:t>
            </w:r>
            <w:r w:rsidRPr="007F3E05">
              <w:rPr>
                <w:sz w:val="18"/>
                <w:szCs w:val="18"/>
              </w:rPr>
              <w:t xml:space="preserve"> and distance from land and median concentrations are low (0.19 µg l</w:t>
            </w:r>
            <w:r w:rsidRPr="007F3E05">
              <w:rPr>
                <w:sz w:val="18"/>
                <w:szCs w:val="18"/>
                <w:vertAlign w:val="superscript"/>
              </w:rPr>
              <w:t>-1</w:t>
            </w:r>
            <w:r w:rsidRPr="007F3E05">
              <w:rPr>
                <w:sz w:val="18"/>
                <w:szCs w:val="18"/>
              </w:rPr>
              <w:t xml:space="preserve">) for the monitoring period 1995-2008. </w:t>
            </w:r>
          </w:p>
        </w:tc>
        <w:tc>
          <w:tcPr>
            <w:tcW w:w="2340" w:type="dxa"/>
          </w:tcPr>
          <w:p w:rsidR="007E31A0" w:rsidRPr="007F3E05" w:rsidRDefault="007E31A0" w:rsidP="00883CE0">
            <w:pPr>
              <w:cnfStyle w:val="000000100000"/>
              <w:rPr>
                <w:sz w:val="18"/>
                <w:szCs w:val="18"/>
              </w:rPr>
            </w:pPr>
            <w:r w:rsidRPr="007F3E05">
              <w:rPr>
                <w:sz w:val="18"/>
                <w:szCs w:val="18"/>
              </w:rPr>
              <w:t xml:space="preserve">Boyer </w:t>
            </w:r>
            <w:r w:rsidRPr="007F3E05">
              <w:rPr>
                <w:rFonts w:cs="TimesNewRoman"/>
                <w:sz w:val="18"/>
                <w:szCs w:val="18"/>
              </w:rPr>
              <w:t xml:space="preserve">and </w:t>
            </w:r>
            <w:proofErr w:type="spellStart"/>
            <w:r w:rsidRPr="007F3E05">
              <w:rPr>
                <w:rFonts w:cs="TimesNewRoman"/>
                <w:sz w:val="18"/>
                <w:szCs w:val="18"/>
              </w:rPr>
              <w:t>Briceño</w:t>
            </w:r>
            <w:proofErr w:type="spellEnd"/>
            <w:r w:rsidRPr="007F3E05">
              <w:rPr>
                <w:rFonts w:cs="TimesNewRoman"/>
                <w:sz w:val="18"/>
                <w:szCs w:val="18"/>
              </w:rPr>
              <w:t xml:space="preserve"> (2009)</w:t>
            </w:r>
          </w:p>
        </w:tc>
      </w:tr>
      <w:tr w:rsidR="007E31A0" w:rsidRPr="007F3E05" w:rsidTr="007E31A0">
        <w:trPr>
          <w:cnfStyle w:val="000000010000"/>
        </w:trPr>
        <w:tc>
          <w:tcPr>
            <w:cnfStyle w:val="001000000000"/>
            <w:tcW w:w="2178" w:type="dxa"/>
          </w:tcPr>
          <w:p w:rsidR="007E31A0" w:rsidRPr="007F3E05" w:rsidRDefault="007E31A0" w:rsidP="00883CE0">
            <w:pPr>
              <w:rPr>
                <w:sz w:val="18"/>
                <w:szCs w:val="18"/>
              </w:rPr>
            </w:pPr>
            <w:r w:rsidRPr="007F3E05">
              <w:rPr>
                <w:sz w:val="18"/>
                <w:szCs w:val="18"/>
              </w:rPr>
              <w:t>Phytoplankton blooms (nuisance or toxic)</w:t>
            </w:r>
          </w:p>
        </w:tc>
        <w:tc>
          <w:tcPr>
            <w:tcW w:w="1260" w:type="dxa"/>
          </w:tcPr>
          <w:p w:rsidR="007E31A0" w:rsidRPr="007F3E05" w:rsidRDefault="007E31A0" w:rsidP="00883CE0">
            <w:pPr>
              <w:jc w:val="center"/>
              <w:cnfStyle w:val="000000010000"/>
              <w:rPr>
                <w:sz w:val="18"/>
                <w:szCs w:val="18"/>
              </w:rPr>
            </w:pPr>
            <w:r w:rsidRPr="007F3E05">
              <w:rPr>
                <w:sz w:val="18"/>
                <w:szCs w:val="18"/>
              </w:rPr>
              <w:t>Yes</w:t>
            </w:r>
          </w:p>
        </w:tc>
        <w:tc>
          <w:tcPr>
            <w:tcW w:w="7290" w:type="dxa"/>
          </w:tcPr>
          <w:p w:rsidR="007E31A0" w:rsidRPr="007F3E05" w:rsidRDefault="007E31A0" w:rsidP="00227586">
            <w:pPr>
              <w:cnfStyle w:val="000000010000"/>
              <w:rPr>
                <w:sz w:val="18"/>
                <w:szCs w:val="18"/>
              </w:rPr>
            </w:pPr>
            <w:r w:rsidRPr="007F3E05">
              <w:rPr>
                <w:sz w:val="18"/>
                <w:szCs w:val="18"/>
              </w:rPr>
              <w:t xml:space="preserve">Periodic algae blooms originate on the gulf side of the Keys in Florida Bay or along the southwest Shelf.  The </w:t>
            </w:r>
            <w:proofErr w:type="spellStart"/>
            <w:r w:rsidRPr="007F3E05">
              <w:rPr>
                <w:sz w:val="18"/>
                <w:szCs w:val="18"/>
              </w:rPr>
              <w:t>Blackwater</w:t>
            </w:r>
            <w:proofErr w:type="spellEnd"/>
            <w:r w:rsidRPr="007F3E05">
              <w:rPr>
                <w:sz w:val="18"/>
                <w:szCs w:val="18"/>
              </w:rPr>
              <w:t xml:space="preserve"> event in 2002 was a non-toxic bloom that was carried south through the Keys.  More recently, in 2005 and 2006, blooms in northeastern Florida Bay and southern Biscayne Bay, were associated with highway development and hurricane activity. </w:t>
            </w:r>
          </w:p>
        </w:tc>
        <w:tc>
          <w:tcPr>
            <w:tcW w:w="2340" w:type="dxa"/>
          </w:tcPr>
          <w:p w:rsidR="007E31A0" w:rsidRPr="007F3E05" w:rsidRDefault="007E31A0" w:rsidP="00883CE0">
            <w:pPr>
              <w:cnfStyle w:val="000000010000"/>
              <w:rPr>
                <w:sz w:val="18"/>
                <w:szCs w:val="18"/>
              </w:rPr>
            </w:pPr>
          </w:p>
        </w:tc>
      </w:tr>
      <w:tr w:rsidR="007E31A0" w:rsidRPr="007F3E05" w:rsidTr="007E31A0">
        <w:trPr>
          <w:cnfStyle w:val="000000100000"/>
        </w:trPr>
        <w:tc>
          <w:tcPr>
            <w:cnfStyle w:val="001000000000"/>
            <w:tcW w:w="2178" w:type="dxa"/>
          </w:tcPr>
          <w:p w:rsidR="007E31A0" w:rsidRPr="007F3E05" w:rsidRDefault="007E31A0" w:rsidP="00883CE0">
            <w:pPr>
              <w:rPr>
                <w:sz w:val="18"/>
                <w:szCs w:val="18"/>
              </w:rPr>
            </w:pPr>
            <w:r w:rsidRPr="007F3E05">
              <w:rPr>
                <w:sz w:val="18"/>
                <w:szCs w:val="18"/>
              </w:rPr>
              <w:t xml:space="preserve">Problematic epiphyte growth </w:t>
            </w:r>
          </w:p>
        </w:tc>
        <w:tc>
          <w:tcPr>
            <w:tcW w:w="1260" w:type="dxa"/>
          </w:tcPr>
          <w:p w:rsidR="007E31A0" w:rsidRPr="007F3E05" w:rsidRDefault="007E31A0" w:rsidP="00883CE0">
            <w:pPr>
              <w:jc w:val="center"/>
              <w:cnfStyle w:val="000000100000"/>
              <w:rPr>
                <w:sz w:val="18"/>
                <w:szCs w:val="18"/>
              </w:rPr>
            </w:pPr>
            <w:r w:rsidRPr="007F3E05">
              <w:rPr>
                <w:sz w:val="18"/>
                <w:szCs w:val="18"/>
              </w:rPr>
              <w:t>No</w:t>
            </w:r>
          </w:p>
        </w:tc>
        <w:tc>
          <w:tcPr>
            <w:tcW w:w="7290" w:type="dxa"/>
          </w:tcPr>
          <w:p w:rsidR="007E31A0" w:rsidRPr="007F3E05" w:rsidRDefault="007E31A0" w:rsidP="00D5003F">
            <w:pPr>
              <w:cnfStyle w:val="000000100000"/>
              <w:rPr>
                <w:sz w:val="18"/>
                <w:szCs w:val="18"/>
              </w:rPr>
            </w:pPr>
            <w:r w:rsidRPr="007F3E05">
              <w:rPr>
                <w:sz w:val="18"/>
                <w:szCs w:val="18"/>
              </w:rPr>
              <w:t>Epiphyte growth is highly seasonal and recent studies have not found correlations with nutrients, but this may be due to the activity of grazers.</w:t>
            </w:r>
          </w:p>
        </w:tc>
        <w:tc>
          <w:tcPr>
            <w:tcW w:w="2340" w:type="dxa"/>
          </w:tcPr>
          <w:p w:rsidR="007E31A0" w:rsidRPr="007F3E05" w:rsidRDefault="007E31A0" w:rsidP="00883CE0">
            <w:pPr>
              <w:cnfStyle w:val="000000100000"/>
              <w:rPr>
                <w:sz w:val="18"/>
                <w:szCs w:val="18"/>
              </w:rPr>
            </w:pPr>
            <w:r w:rsidRPr="007F3E05">
              <w:rPr>
                <w:sz w:val="18"/>
                <w:szCs w:val="18"/>
              </w:rPr>
              <w:t xml:space="preserve">e.g. Fourqurean </w:t>
            </w:r>
            <w:r w:rsidRPr="007E2405">
              <w:rPr>
                <w:i/>
                <w:sz w:val="18"/>
                <w:szCs w:val="18"/>
              </w:rPr>
              <w:t xml:space="preserve">et al. </w:t>
            </w:r>
            <w:r w:rsidRPr="007F3E05">
              <w:rPr>
                <w:sz w:val="18"/>
                <w:szCs w:val="18"/>
              </w:rPr>
              <w:t>(in press)</w:t>
            </w:r>
          </w:p>
        </w:tc>
      </w:tr>
      <w:tr w:rsidR="007E31A0" w:rsidRPr="007F3E05" w:rsidTr="007E31A0">
        <w:trPr>
          <w:cnfStyle w:val="000000010000"/>
        </w:trPr>
        <w:tc>
          <w:tcPr>
            <w:cnfStyle w:val="001000000000"/>
            <w:tcW w:w="2178" w:type="dxa"/>
          </w:tcPr>
          <w:p w:rsidR="007E31A0" w:rsidRPr="007F3E05" w:rsidRDefault="007E31A0" w:rsidP="00883CE0">
            <w:pPr>
              <w:rPr>
                <w:sz w:val="18"/>
                <w:szCs w:val="18"/>
              </w:rPr>
            </w:pPr>
            <w:r w:rsidRPr="007F3E05">
              <w:rPr>
                <w:sz w:val="18"/>
                <w:szCs w:val="18"/>
              </w:rPr>
              <w:t>Problematic macroalgal growth</w:t>
            </w:r>
          </w:p>
        </w:tc>
        <w:tc>
          <w:tcPr>
            <w:tcW w:w="1260" w:type="dxa"/>
          </w:tcPr>
          <w:p w:rsidR="007E31A0" w:rsidRPr="007F3E05" w:rsidRDefault="007E31A0" w:rsidP="00883CE0">
            <w:pPr>
              <w:jc w:val="center"/>
              <w:cnfStyle w:val="000000010000"/>
              <w:rPr>
                <w:sz w:val="18"/>
                <w:szCs w:val="18"/>
              </w:rPr>
            </w:pPr>
            <w:r w:rsidRPr="007F3E05">
              <w:rPr>
                <w:sz w:val="18"/>
                <w:szCs w:val="18"/>
              </w:rPr>
              <w:t>Yes</w:t>
            </w:r>
          </w:p>
        </w:tc>
        <w:tc>
          <w:tcPr>
            <w:tcW w:w="7290" w:type="dxa"/>
          </w:tcPr>
          <w:p w:rsidR="007E31A0" w:rsidRPr="007F3E05" w:rsidRDefault="007E31A0" w:rsidP="00883CE0">
            <w:pPr>
              <w:cnfStyle w:val="000000010000"/>
              <w:rPr>
                <w:sz w:val="18"/>
                <w:szCs w:val="18"/>
              </w:rPr>
            </w:pPr>
            <w:r w:rsidRPr="007F3E05">
              <w:rPr>
                <w:sz w:val="18"/>
                <w:szCs w:val="18"/>
              </w:rPr>
              <w:t>Abundance of macroalgae in the FKNMS has increased over time.  Sites closest to land and with the highest N concentrations have the highest abundance.  Some sites with increased macroalgal growth also have seagrass loss.</w:t>
            </w:r>
          </w:p>
        </w:tc>
        <w:tc>
          <w:tcPr>
            <w:tcW w:w="2340" w:type="dxa"/>
          </w:tcPr>
          <w:p w:rsidR="007E31A0" w:rsidRPr="007F3E05" w:rsidRDefault="007E31A0" w:rsidP="000F6771">
            <w:pPr>
              <w:cnfStyle w:val="000000010000"/>
              <w:rPr>
                <w:sz w:val="18"/>
                <w:szCs w:val="18"/>
              </w:rPr>
            </w:pPr>
            <w:r w:rsidRPr="007F3E05">
              <w:rPr>
                <w:sz w:val="18"/>
                <w:szCs w:val="18"/>
              </w:rPr>
              <w:t xml:space="preserve">e.g. Lapointe </w:t>
            </w:r>
            <w:r w:rsidRPr="007E2405">
              <w:rPr>
                <w:i/>
                <w:sz w:val="18"/>
                <w:szCs w:val="18"/>
              </w:rPr>
              <w:t xml:space="preserve">et al. </w:t>
            </w:r>
            <w:r w:rsidRPr="007F3E05">
              <w:rPr>
                <w:sz w:val="18"/>
                <w:szCs w:val="18"/>
              </w:rPr>
              <w:t xml:space="preserve">(2004),  </w:t>
            </w:r>
            <w:proofErr w:type="spellStart"/>
            <w:r w:rsidRPr="007F3E05">
              <w:rPr>
                <w:sz w:val="18"/>
                <w:szCs w:val="18"/>
              </w:rPr>
              <w:t>Collado</w:t>
            </w:r>
            <w:proofErr w:type="spellEnd"/>
            <w:r w:rsidRPr="007F3E05">
              <w:rPr>
                <w:sz w:val="18"/>
                <w:szCs w:val="18"/>
              </w:rPr>
              <w:t xml:space="preserve">-Vides </w:t>
            </w:r>
            <w:r w:rsidRPr="007E2405">
              <w:rPr>
                <w:i/>
                <w:sz w:val="18"/>
                <w:szCs w:val="18"/>
              </w:rPr>
              <w:t xml:space="preserve">et al. </w:t>
            </w:r>
            <w:r w:rsidRPr="007F3E05">
              <w:rPr>
                <w:sz w:val="18"/>
                <w:szCs w:val="18"/>
              </w:rPr>
              <w:t xml:space="preserve">(2005) and (2007), Fourqurean </w:t>
            </w:r>
            <w:r w:rsidRPr="007E2405">
              <w:rPr>
                <w:i/>
                <w:sz w:val="18"/>
                <w:szCs w:val="18"/>
              </w:rPr>
              <w:t xml:space="preserve">et al. </w:t>
            </w:r>
            <w:r w:rsidRPr="007F3E05">
              <w:rPr>
                <w:sz w:val="18"/>
                <w:szCs w:val="18"/>
              </w:rPr>
              <w:t>(in press)</w:t>
            </w:r>
          </w:p>
        </w:tc>
      </w:tr>
      <w:tr w:rsidR="007E31A0" w:rsidRPr="007F3E05" w:rsidTr="007E31A0">
        <w:trPr>
          <w:cnfStyle w:val="000000100000"/>
        </w:trPr>
        <w:tc>
          <w:tcPr>
            <w:cnfStyle w:val="001000000000"/>
            <w:tcW w:w="2178" w:type="dxa"/>
          </w:tcPr>
          <w:p w:rsidR="007E31A0" w:rsidRPr="007F3E05" w:rsidRDefault="007E31A0" w:rsidP="00883CE0">
            <w:pPr>
              <w:rPr>
                <w:sz w:val="18"/>
                <w:szCs w:val="18"/>
              </w:rPr>
            </w:pPr>
            <w:r w:rsidRPr="007F3E05">
              <w:rPr>
                <w:sz w:val="18"/>
                <w:szCs w:val="18"/>
              </w:rPr>
              <w:t>SAV community changes or loss</w:t>
            </w:r>
          </w:p>
        </w:tc>
        <w:tc>
          <w:tcPr>
            <w:tcW w:w="1260" w:type="dxa"/>
          </w:tcPr>
          <w:p w:rsidR="007E31A0" w:rsidRPr="007F3E05" w:rsidRDefault="007E31A0" w:rsidP="00883CE0">
            <w:pPr>
              <w:jc w:val="center"/>
              <w:cnfStyle w:val="000000100000"/>
              <w:rPr>
                <w:sz w:val="18"/>
                <w:szCs w:val="18"/>
              </w:rPr>
            </w:pPr>
            <w:r w:rsidRPr="007F3E05">
              <w:rPr>
                <w:sz w:val="18"/>
                <w:szCs w:val="18"/>
              </w:rPr>
              <w:t>Yes</w:t>
            </w:r>
          </w:p>
        </w:tc>
        <w:tc>
          <w:tcPr>
            <w:tcW w:w="7290" w:type="dxa"/>
          </w:tcPr>
          <w:p w:rsidR="007E31A0" w:rsidRPr="007F3E05" w:rsidRDefault="007E31A0" w:rsidP="007E31A0">
            <w:pPr>
              <w:autoSpaceDE w:val="0"/>
              <w:autoSpaceDN w:val="0"/>
              <w:adjustRightInd w:val="0"/>
              <w:cnfStyle w:val="000000100000"/>
              <w:rPr>
                <w:sz w:val="18"/>
                <w:szCs w:val="18"/>
              </w:rPr>
            </w:pPr>
            <w:r w:rsidRPr="007E31A0">
              <w:rPr>
                <w:rFonts w:cs="Times New Roman"/>
                <w:sz w:val="18"/>
                <w:szCs w:val="18"/>
              </w:rPr>
              <w:t xml:space="preserve">Data from the FKNMS monitoring program’s permanent stations has not shown significant </w:t>
            </w:r>
            <w:r w:rsidR="001274FE">
              <w:rPr>
                <w:rFonts w:cs="Times New Roman"/>
                <w:sz w:val="18"/>
                <w:szCs w:val="18"/>
              </w:rPr>
              <w:t xml:space="preserve">sanctuary wide </w:t>
            </w:r>
            <w:r w:rsidRPr="007E31A0">
              <w:rPr>
                <w:rFonts w:cs="Times New Roman"/>
                <w:sz w:val="18"/>
                <w:szCs w:val="18"/>
              </w:rPr>
              <w:t>changes in either seagrass tissue N</w:t>
            </w:r>
            <w:proofErr w:type="gramStart"/>
            <w:r w:rsidRPr="007E31A0">
              <w:rPr>
                <w:rFonts w:cs="Times New Roman"/>
                <w:sz w:val="18"/>
                <w:szCs w:val="18"/>
              </w:rPr>
              <w:t>:P</w:t>
            </w:r>
            <w:proofErr w:type="gramEnd"/>
            <w:r w:rsidRPr="007E31A0">
              <w:rPr>
                <w:rFonts w:cs="Times New Roman"/>
                <w:sz w:val="18"/>
                <w:szCs w:val="18"/>
              </w:rPr>
              <w:t xml:space="preserve"> ratios </w:t>
            </w:r>
            <w:r>
              <w:rPr>
                <w:rFonts w:cs="Times New Roman"/>
                <w:sz w:val="18"/>
                <w:szCs w:val="18"/>
              </w:rPr>
              <w:t>or seagrass community composition using the FKNMS indicator criteria EI or SCI</w:t>
            </w:r>
            <w:r w:rsidR="00CC0047">
              <w:rPr>
                <w:rFonts w:cs="Times New Roman"/>
                <w:sz w:val="18"/>
                <w:szCs w:val="18"/>
              </w:rPr>
              <w:t>, although there have been changes observed at specific sites</w:t>
            </w:r>
            <w:r>
              <w:rPr>
                <w:rFonts w:cs="Times New Roman"/>
                <w:sz w:val="18"/>
                <w:szCs w:val="18"/>
              </w:rPr>
              <w:t>.</w:t>
            </w:r>
          </w:p>
        </w:tc>
        <w:tc>
          <w:tcPr>
            <w:tcW w:w="2340" w:type="dxa"/>
          </w:tcPr>
          <w:p w:rsidR="007E31A0" w:rsidRPr="007F3E05" w:rsidRDefault="007E31A0" w:rsidP="007E31A0">
            <w:pPr>
              <w:cnfStyle w:val="000000100000"/>
              <w:rPr>
                <w:sz w:val="18"/>
                <w:szCs w:val="18"/>
              </w:rPr>
            </w:pPr>
            <w:r w:rsidRPr="007F3E05">
              <w:rPr>
                <w:sz w:val="18"/>
                <w:szCs w:val="18"/>
              </w:rPr>
              <w:t xml:space="preserve">e.g. Fourqurean and </w:t>
            </w:r>
            <w:proofErr w:type="spellStart"/>
            <w:r w:rsidRPr="007F3E05">
              <w:rPr>
                <w:sz w:val="18"/>
                <w:szCs w:val="18"/>
              </w:rPr>
              <w:t>Escorcia</w:t>
            </w:r>
            <w:proofErr w:type="spellEnd"/>
            <w:r w:rsidRPr="007F3E05">
              <w:rPr>
                <w:sz w:val="18"/>
                <w:szCs w:val="18"/>
              </w:rPr>
              <w:t xml:space="preserve"> (2009)</w:t>
            </w:r>
          </w:p>
        </w:tc>
      </w:tr>
      <w:tr w:rsidR="007E31A0" w:rsidRPr="007F3E05" w:rsidTr="007E31A0">
        <w:trPr>
          <w:cnfStyle w:val="000000010000"/>
        </w:trPr>
        <w:tc>
          <w:tcPr>
            <w:cnfStyle w:val="001000000000"/>
            <w:tcW w:w="2178" w:type="dxa"/>
          </w:tcPr>
          <w:p w:rsidR="007E31A0" w:rsidRPr="007F3E05" w:rsidRDefault="007E31A0" w:rsidP="00883CE0">
            <w:pPr>
              <w:rPr>
                <w:sz w:val="18"/>
                <w:szCs w:val="18"/>
              </w:rPr>
            </w:pPr>
            <w:r w:rsidRPr="007F3E05">
              <w:rPr>
                <w:sz w:val="18"/>
                <w:szCs w:val="18"/>
              </w:rPr>
              <w:t xml:space="preserve">Emergent or shoreline vegetation community changes or loss </w:t>
            </w:r>
          </w:p>
        </w:tc>
        <w:tc>
          <w:tcPr>
            <w:tcW w:w="1260" w:type="dxa"/>
          </w:tcPr>
          <w:p w:rsidR="007E31A0" w:rsidRPr="007F3E05" w:rsidRDefault="007E31A0" w:rsidP="00883CE0">
            <w:pPr>
              <w:jc w:val="center"/>
              <w:cnfStyle w:val="000000010000"/>
              <w:rPr>
                <w:sz w:val="18"/>
                <w:szCs w:val="18"/>
              </w:rPr>
            </w:pPr>
            <w:r w:rsidRPr="007F3E05">
              <w:rPr>
                <w:sz w:val="18"/>
                <w:szCs w:val="18"/>
              </w:rPr>
              <w:t>Yes</w:t>
            </w:r>
          </w:p>
        </w:tc>
        <w:tc>
          <w:tcPr>
            <w:tcW w:w="7290" w:type="dxa"/>
          </w:tcPr>
          <w:p w:rsidR="007E31A0" w:rsidRPr="007F3E05" w:rsidRDefault="001274FE" w:rsidP="00883CE0">
            <w:pPr>
              <w:cnfStyle w:val="000000010000"/>
              <w:rPr>
                <w:sz w:val="18"/>
                <w:szCs w:val="18"/>
              </w:rPr>
            </w:pPr>
            <w:r>
              <w:rPr>
                <w:sz w:val="18"/>
                <w:szCs w:val="18"/>
              </w:rPr>
              <w:t>Shoreline vegetation has changed from development.</w:t>
            </w:r>
          </w:p>
        </w:tc>
        <w:tc>
          <w:tcPr>
            <w:tcW w:w="2340" w:type="dxa"/>
          </w:tcPr>
          <w:p w:rsidR="007E31A0" w:rsidRPr="007F3E05" w:rsidRDefault="007E31A0" w:rsidP="00883CE0">
            <w:pPr>
              <w:cnfStyle w:val="000000010000"/>
              <w:rPr>
                <w:sz w:val="18"/>
                <w:szCs w:val="18"/>
              </w:rPr>
            </w:pPr>
          </w:p>
        </w:tc>
      </w:tr>
      <w:tr w:rsidR="007E31A0" w:rsidRPr="007F3E05" w:rsidTr="007E31A0">
        <w:trPr>
          <w:cnfStyle w:val="000000100000"/>
        </w:trPr>
        <w:tc>
          <w:tcPr>
            <w:cnfStyle w:val="001000000000"/>
            <w:tcW w:w="2178" w:type="dxa"/>
          </w:tcPr>
          <w:p w:rsidR="007E31A0" w:rsidRPr="007F3E05" w:rsidRDefault="007E31A0" w:rsidP="00883CE0">
            <w:pPr>
              <w:rPr>
                <w:sz w:val="18"/>
                <w:szCs w:val="18"/>
              </w:rPr>
            </w:pPr>
            <w:r w:rsidRPr="007F3E05">
              <w:rPr>
                <w:sz w:val="18"/>
                <w:szCs w:val="18"/>
              </w:rPr>
              <w:t>Coral/</w:t>
            </w:r>
            <w:proofErr w:type="spellStart"/>
            <w:r w:rsidRPr="007F3E05">
              <w:rPr>
                <w:sz w:val="18"/>
                <w:szCs w:val="18"/>
              </w:rPr>
              <w:t>hardbottom</w:t>
            </w:r>
            <w:proofErr w:type="spellEnd"/>
            <w:r w:rsidRPr="007F3E05">
              <w:rPr>
                <w:sz w:val="18"/>
                <w:szCs w:val="18"/>
              </w:rPr>
              <w:t xml:space="preserve"> community changes or loss </w:t>
            </w:r>
          </w:p>
        </w:tc>
        <w:tc>
          <w:tcPr>
            <w:tcW w:w="1260" w:type="dxa"/>
          </w:tcPr>
          <w:p w:rsidR="007E31A0" w:rsidRPr="007F3E05" w:rsidRDefault="007E31A0" w:rsidP="00883CE0">
            <w:pPr>
              <w:jc w:val="center"/>
              <w:cnfStyle w:val="000000100000"/>
              <w:rPr>
                <w:sz w:val="18"/>
                <w:szCs w:val="18"/>
              </w:rPr>
            </w:pPr>
            <w:r w:rsidRPr="007F3E05">
              <w:rPr>
                <w:sz w:val="18"/>
                <w:szCs w:val="18"/>
              </w:rPr>
              <w:t>Yes</w:t>
            </w:r>
          </w:p>
        </w:tc>
        <w:tc>
          <w:tcPr>
            <w:tcW w:w="7290" w:type="dxa"/>
          </w:tcPr>
          <w:p w:rsidR="007E31A0" w:rsidRPr="007F3E05" w:rsidRDefault="007E31A0" w:rsidP="00FA5D8D">
            <w:pPr>
              <w:cnfStyle w:val="000000100000"/>
              <w:rPr>
                <w:sz w:val="18"/>
                <w:szCs w:val="18"/>
              </w:rPr>
            </w:pPr>
            <w:r w:rsidRPr="007F3E05">
              <w:rPr>
                <w:sz w:val="18"/>
                <w:szCs w:val="18"/>
              </w:rPr>
              <w:t>Coral cover has declined and there have been outbreaks of disease such as black band and other disease conditions in the Keys.  Overall mean percent stony coral cover has been stable since 1999.</w:t>
            </w:r>
            <w:r w:rsidR="00CC0047">
              <w:rPr>
                <w:sz w:val="18"/>
                <w:szCs w:val="18"/>
              </w:rPr>
              <w:t xml:space="preserve">  </w:t>
            </w:r>
            <w:r w:rsidR="001D005E">
              <w:rPr>
                <w:sz w:val="18"/>
                <w:szCs w:val="18"/>
              </w:rPr>
              <w:t>Spatial patterns in coral indicators do not indicate that the Keys reef tract condition is directly related to water quality gradients influenced by land based sources of nutrients.</w:t>
            </w:r>
          </w:p>
        </w:tc>
        <w:tc>
          <w:tcPr>
            <w:tcW w:w="2340" w:type="dxa"/>
          </w:tcPr>
          <w:p w:rsidR="007E31A0" w:rsidRDefault="007E31A0" w:rsidP="00883CE0">
            <w:pPr>
              <w:cnfStyle w:val="000000100000"/>
              <w:rPr>
                <w:sz w:val="18"/>
                <w:szCs w:val="18"/>
              </w:rPr>
            </w:pPr>
            <w:r w:rsidRPr="007F3E05">
              <w:rPr>
                <w:sz w:val="18"/>
                <w:szCs w:val="18"/>
              </w:rPr>
              <w:t xml:space="preserve">Donahue </w:t>
            </w:r>
            <w:r w:rsidRPr="007E2405">
              <w:rPr>
                <w:i/>
                <w:sz w:val="18"/>
                <w:szCs w:val="18"/>
              </w:rPr>
              <w:t xml:space="preserve">et al. </w:t>
            </w:r>
            <w:r w:rsidRPr="007F3E05">
              <w:rPr>
                <w:sz w:val="18"/>
                <w:szCs w:val="18"/>
              </w:rPr>
              <w:t xml:space="preserve">(2008), Callahan </w:t>
            </w:r>
            <w:r w:rsidRPr="007E2405">
              <w:rPr>
                <w:i/>
                <w:sz w:val="18"/>
                <w:szCs w:val="18"/>
              </w:rPr>
              <w:t xml:space="preserve">et al. </w:t>
            </w:r>
            <w:r w:rsidRPr="007F3E05">
              <w:rPr>
                <w:sz w:val="18"/>
                <w:szCs w:val="18"/>
              </w:rPr>
              <w:t>(2007)</w:t>
            </w:r>
          </w:p>
          <w:p w:rsidR="001D005E" w:rsidRPr="007F3E05" w:rsidRDefault="001D005E" w:rsidP="00883CE0">
            <w:pPr>
              <w:cnfStyle w:val="000000100000"/>
              <w:rPr>
                <w:sz w:val="18"/>
                <w:szCs w:val="18"/>
              </w:rPr>
            </w:pPr>
            <w:proofErr w:type="spellStart"/>
            <w:r>
              <w:rPr>
                <w:sz w:val="18"/>
                <w:szCs w:val="18"/>
              </w:rPr>
              <w:t>LIrman</w:t>
            </w:r>
            <w:proofErr w:type="spellEnd"/>
            <w:r>
              <w:rPr>
                <w:sz w:val="18"/>
                <w:szCs w:val="18"/>
              </w:rPr>
              <w:t xml:space="preserve"> and Fong (2007)</w:t>
            </w:r>
          </w:p>
        </w:tc>
      </w:tr>
      <w:tr w:rsidR="007E31A0" w:rsidRPr="007F3E05" w:rsidTr="007E31A0">
        <w:trPr>
          <w:cnfStyle w:val="000000010000"/>
        </w:trPr>
        <w:tc>
          <w:tcPr>
            <w:cnfStyle w:val="001000000000"/>
            <w:tcW w:w="2178" w:type="dxa"/>
          </w:tcPr>
          <w:p w:rsidR="007E31A0" w:rsidRPr="007F3E05" w:rsidRDefault="007E31A0" w:rsidP="00883CE0">
            <w:pPr>
              <w:rPr>
                <w:sz w:val="18"/>
                <w:szCs w:val="18"/>
              </w:rPr>
            </w:pPr>
            <w:r w:rsidRPr="007F3E05">
              <w:rPr>
                <w:sz w:val="18"/>
                <w:szCs w:val="18"/>
              </w:rPr>
              <w:t>Impacts to benthic community</w:t>
            </w:r>
          </w:p>
        </w:tc>
        <w:tc>
          <w:tcPr>
            <w:tcW w:w="1260" w:type="dxa"/>
          </w:tcPr>
          <w:p w:rsidR="007E31A0" w:rsidRPr="007F3E05" w:rsidRDefault="007E31A0" w:rsidP="00883CE0">
            <w:pPr>
              <w:jc w:val="center"/>
              <w:cnfStyle w:val="000000010000"/>
              <w:rPr>
                <w:sz w:val="18"/>
                <w:szCs w:val="18"/>
              </w:rPr>
            </w:pPr>
          </w:p>
        </w:tc>
        <w:tc>
          <w:tcPr>
            <w:tcW w:w="7290" w:type="dxa"/>
          </w:tcPr>
          <w:p w:rsidR="007E31A0" w:rsidRPr="007F3E05" w:rsidRDefault="007E31A0" w:rsidP="00883CE0">
            <w:pPr>
              <w:cnfStyle w:val="000000010000"/>
              <w:rPr>
                <w:sz w:val="18"/>
                <w:szCs w:val="18"/>
              </w:rPr>
            </w:pPr>
          </w:p>
        </w:tc>
        <w:tc>
          <w:tcPr>
            <w:tcW w:w="2340" w:type="dxa"/>
          </w:tcPr>
          <w:p w:rsidR="007E31A0" w:rsidRPr="007F3E05" w:rsidRDefault="007E31A0" w:rsidP="00883CE0">
            <w:pPr>
              <w:cnfStyle w:val="000000010000"/>
              <w:rPr>
                <w:sz w:val="18"/>
                <w:szCs w:val="18"/>
              </w:rPr>
            </w:pPr>
          </w:p>
        </w:tc>
      </w:tr>
      <w:tr w:rsidR="007E31A0" w:rsidRPr="007F3E05" w:rsidTr="007E31A0">
        <w:trPr>
          <w:cnfStyle w:val="000000100000"/>
        </w:trPr>
        <w:tc>
          <w:tcPr>
            <w:cnfStyle w:val="001000000000"/>
            <w:tcW w:w="2178" w:type="dxa"/>
          </w:tcPr>
          <w:p w:rsidR="007E31A0" w:rsidRPr="007F3E05" w:rsidRDefault="007E31A0" w:rsidP="00883CE0">
            <w:pPr>
              <w:rPr>
                <w:sz w:val="18"/>
                <w:szCs w:val="18"/>
              </w:rPr>
            </w:pPr>
            <w:r w:rsidRPr="007F3E05">
              <w:rPr>
                <w:sz w:val="18"/>
                <w:szCs w:val="18"/>
              </w:rPr>
              <w:t xml:space="preserve">Fish kills </w:t>
            </w:r>
          </w:p>
        </w:tc>
        <w:tc>
          <w:tcPr>
            <w:tcW w:w="1260" w:type="dxa"/>
          </w:tcPr>
          <w:p w:rsidR="007E31A0" w:rsidRPr="003B6F6E" w:rsidRDefault="007E31A0" w:rsidP="00883CE0">
            <w:pPr>
              <w:jc w:val="center"/>
              <w:cnfStyle w:val="000000100000"/>
              <w:rPr>
                <w:sz w:val="18"/>
                <w:szCs w:val="18"/>
                <w:highlight w:val="yellow"/>
              </w:rPr>
            </w:pPr>
            <w:r w:rsidRPr="007E31A0">
              <w:rPr>
                <w:sz w:val="18"/>
                <w:szCs w:val="18"/>
              </w:rPr>
              <w:t>Yes</w:t>
            </w:r>
          </w:p>
        </w:tc>
        <w:tc>
          <w:tcPr>
            <w:tcW w:w="7290" w:type="dxa"/>
          </w:tcPr>
          <w:p w:rsidR="007E31A0" w:rsidRPr="007F3E05" w:rsidRDefault="007E31A0" w:rsidP="00883CE0">
            <w:pPr>
              <w:cnfStyle w:val="000000100000"/>
              <w:rPr>
                <w:sz w:val="18"/>
                <w:szCs w:val="18"/>
              </w:rPr>
            </w:pPr>
            <w:r>
              <w:rPr>
                <w:sz w:val="18"/>
                <w:szCs w:val="18"/>
              </w:rPr>
              <w:t>There are periodic fish kills attributed to low DO, red tide, algal blooms, cold, and other factors.</w:t>
            </w:r>
          </w:p>
        </w:tc>
        <w:tc>
          <w:tcPr>
            <w:tcW w:w="2340" w:type="dxa"/>
          </w:tcPr>
          <w:p w:rsidR="007E31A0" w:rsidRPr="007F3E05" w:rsidRDefault="001274FE" w:rsidP="00883CE0">
            <w:pPr>
              <w:cnfStyle w:val="000000100000"/>
              <w:rPr>
                <w:sz w:val="18"/>
                <w:szCs w:val="18"/>
              </w:rPr>
            </w:pPr>
            <w:r>
              <w:rPr>
                <w:sz w:val="18"/>
                <w:szCs w:val="18"/>
              </w:rPr>
              <w:t>FWRI fish kill database</w:t>
            </w:r>
          </w:p>
        </w:tc>
      </w:tr>
    </w:tbl>
    <w:p w:rsidR="008C238F" w:rsidRDefault="008C238F" w:rsidP="008C238F"/>
    <w:p w:rsidR="008C238F" w:rsidRDefault="008C238F" w:rsidP="00A92004"/>
    <w:p w:rsidR="006145F4" w:rsidRDefault="006145F4" w:rsidP="006145F4">
      <w:pPr>
        <w:pStyle w:val="EstuaryHeading"/>
        <w:sectPr w:rsidR="006145F4" w:rsidSect="0053182E">
          <w:pgSz w:w="15840" w:h="12240" w:orient="landscape"/>
          <w:pgMar w:top="720" w:right="720" w:bottom="720" w:left="720" w:header="720" w:footer="720" w:gutter="0"/>
          <w:cols w:space="720"/>
          <w:docGrid w:linePitch="360"/>
        </w:sectPr>
      </w:pPr>
    </w:p>
    <w:p w:rsidR="0027730B" w:rsidRPr="002708E9" w:rsidRDefault="0027730B" w:rsidP="00B53807">
      <w:pPr>
        <w:pStyle w:val="EstuaryHeading"/>
      </w:pPr>
      <w:r>
        <w:lastRenderedPageBreak/>
        <w:t xml:space="preserve"> </w:t>
      </w:r>
      <w:bookmarkStart w:id="2" w:name="_Toc263862794"/>
      <w:r w:rsidRPr="002708E9">
        <w:t>Geographical and Physical Description</w:t>
      </w:r>
      <w:bookmarkEnd w:id="2"/>
    </w:p>
    <w:p w:rsidR="00AD0274" w:rsidRDefault="0027730B" w:rsidP="009D1F25">
      <w:pPr>
        <w:autoSpaceDE w:val="0"/>
        <w:autoSpaceDN w:val="0"/>
        <w:adjustRightInd w:val="0"/>
        <w:spacing w:after="120"/>
      </w:pPr>
      <w:r>
        <w:t>The Florida Keys are an archipelago of is</w:t>
      </w:r>
      <w:r w:rsidR="00F877CD">
        <w:t xml:space="preserve">lands in Monroe County, FL that </w:t>
      </w:r>
      <w:r>
        <w:t>extend from the southern tip of Florida over 354 km to the southwest (</w:t>
      </w:r>
      <w:proofErr w:type="spellStart"/>
      <w:r>
        <w:t>Collado</w:t>
      </w:r>
      <w:proofErr w:type="spellEnd"/>
      <w:r>
        <w:t xml:space="preserve">-Vides </w:t>
      </w:r>
      <w:r w:rsidR="007E2405" w:rsidRPr="007E2405">
        <w:rPr>
          <w:i/>
        </w:rPr>
        <w:t xml:space="preserve">et al. </w:t>
      </w:r>
      <w:r>
        <w:t xml:space="preserve">2007, </w:t>
      </w:r>
      <w:r w:rsidR="0061784D">
        <w:t>Figure</w:t>
      </w:r>
      <w:r>
        <w:t xml:space="preserve"> 1).  </w:t>
      </w:r>
      <w:r w:rsidR="00616AB8">
        <w:t xml:space="preserve">Approximately 34% of the land area in the Keys portion of Monroe County is conserved (Monroe County 2010).  </w:t>
      </w:r>
      <w:r w:rsidR="00645D1D">
        <w:t>The Florida Keys have been designated an Outstanding Florida Water (OFW) since 1985.  In 1990 t</w:t>
      </w:r>
      <w:r>
        <w:t xml:space="preserve">he Florida Keys National Marine Sanctuary </w:t>
      </w:r>
      <w:r w:rsidR="00645D1D">
        <w:t>(FKNMS),  consisting</w:t>
      </w:r>
      <w:r>
        <w:t xml:space="preserve"> of 9500 </w:t>
      </w:r>
      <w:r w:rsidRPr="00542ECA">
        <w:t>km</w:t>
      </w:r>
      <w:r>
        <w:rPr>
          <w:vertAlign w:val="superscript"/>
        </w:rPr>
        <w:t>2</w:t>
      </w:r>
      <w:r>
        <w:t xml:space="preserve"> of coastal and oceanic waters and submerged lands that surround the entire Florida Keys island chain</w:t>
      </w:r>
      <w:r w:rsidR="00645D1D">
        <w:t>, was established</w:t>
      </w:r>
      <w:r>
        <w:t xml:space="preserve"> (</w:t>
      </w:r>
      <w:r w:rsidR="00616AB8">
        <w:t xml:space="preserve">See </w:t>
      </w:r>
      <w:r w:rsidR="0061784D">
        <w:t>Figure</w:t>
      </w:r>
      <w:r w:rsidR="00616AB8">
        <w:t xml:space="preserve"> 1</w:t>
      </w:r>
      <w:r>
        <w:t>).</w:t>
      </w:r>
      <w:r w:rsidR="00957C15">
        <w:t xml:space="preserve">  </w:t>
      </w:r>
      <w:r w:rsidR="00957C15" w:rsidRPr="0078026A">
        <w:t>The Keys are bordered to the north and northwest by Biscayne National Park and Everglades</w:t>
      </w:r>
      <w:r w:rsidR="00957C15">
        <w:t xml:space="preserve"> National Park.  </w:t>
      </w:r>
      <w:r w:rsidR="00645D1D">
        <w:t>There are also</w:t>
      </w:r>
      <w:r w:rsidR="00AD0274">
        <w:t xml:space="preserve"> 2 aquatic preserves and 10 state parks located in the Keys</w:t>
      </w:r>
      <w:r w:rsidR="002A6663">
        <w:t xml:space="preserve"> (</w:t>
      </w:r>
      <w:r w:rsidR="000D6F1A">
        <w:t>T</w:t>
      </w:r>
      <w:r w:rsidR="00957C15">
        <w:t>able 1)</w:t>
      </w:r>
      <w:r w:rsidR="00AD0274">
        <w:t>.</w:t>
      </w:r>
    </w:p>
    <w:p w:rsidR="0027730B" w:rsidRDefault="00884E5A" w:rsidP="009D1F25">
      <w:pPr>
        <w:spacing w:after="120"/>
      </w:pPr>
      <w:r>
        <w:t xml:space="preserve">The Florida Keys region is underlain by the extremely permeable Key Largo Formation limestone and the Keys have little vertical relief (5 m maximum at </w:t>
      </w:r>
      <w:proofErr w:type="spellStart"/>
      <w:r>
        <w:t>Windley</w:t>
      </w:r>
      <w:proofErr w:type="spellEnd"/>
      <w:r>
        <w:t xml:space="preserve"> Key).  The islands function as a discontinuous, </w:t>
      </w:r>
      <w:proofErr w:type="spellStart"/>
      <w:r>
        <w:t>semipermeable</w:t>
      </w:r>
      <w:proofErr w:type="spellEnd"/>
      <w:r>
        <w:t xml:space="preserve"> dam that separates Florida Bay from the Atlantic Ocean (Reich </w:t>
      </w:r>
      <w:r w:rsidR="007E2405" w:rsidRPr="007E2405">
        <w:rPr>
          <w:i/>
        </w:rPr>
        <w:t xml:space="preserve">et al. </w:t>
      </w:r>
      <w:r w:rsidR="00645D1D">
        <w:t xml:space="preserve">2002).  </w:t>
      </w:r>
    </w:p>
    <w:p w:rsidR="00616AB8" w:rsidRDefault="00616AB8" w:rsidP="00A92004">
      <w:r w:rsidRPr="000C73B2">
        <w:rPr>
          <w:noProof/>
        </w:rPr>
        <w:drawing>
          <wp:inline distT="0" distB="0" distL="0" distR="0">
            <wp:extent cx="5943600" cy="3845560"/>
            <wp:effectExtent l="19050" t="0" r="0" b="0"/>
            <wp:docPr id="18" name="Picture 9" descr="Map of the Florida Keys National Marine Sanctuary with preserve, refuge, park and other management areas delineated."/>
            <wp:cNvGraphicFramePr/>
            <a:graphic xmlns:a="http://schemas.openxmlformats.org/drawingml/2006/main">
              <a:graphicData uri="http://schemas.openxmlformats.org/drawingml/2006/picture">
                <pic:pic xmlns:pic="http://schemas.openxmlformats.org/drawingml/2006/picture">
                  <pic:nvPicPr>
                    <pic:cNvPr id="17409" name="Picture 3" descr="Map of the Florida Keys National Marine Sanctuary with preserve, refuge, park and other management areas delineated."/>
                    <pic:cNvPicPr>
                      <a:picLocks noChangeAspect="1" noChangeArrowheads="1"/>
                    </pic:cNvPicPr>
                  </pic:nvPicPr>
                  <pic:blipFill>
                    <a:blip r:embed="rId12" cstate="print"/>
                    <a:srcRect/>
                    <a:stretch>
                      <a:fillRect/>
                    </a:stretch>
                  </pic:blipFill>
                  <pic:spPr bwMode="auto">
                    <a:xfrm>
                      <a:off x="0" y="0"/>
                      <a:ext cx="5943600" cy="3845560"/>
                    </a:xfrm>
                    <a:prstGeom prst="rect">
                      <a:avLst/>
                    </a:prstGeom>
                    <a:noFill/>
                    <a:ln w="9525">
                      <a:noFill/>
                      <a:miter lim="800000"/>
                      <a:headEnd/>
                      <a:tailEnd/>
                    </a:ln>
                  </pic:spPr>
                </pic:pic>
              </a:graphicData>
            </a:graphic>
          </wp:inline>
        </w:drawing>
      </w:r>
    </w:p>
    <w:p w:rsidR="00616AB8" w:rsidRDefault="0061784D" w:rsidP="009D1F25">
      <w:pPr>
        <w:spacing w:after="120"/>
      </w:pPr>
      <w:proofErr w:type="gramStart"/>
      <w:r w:rsidRPr="00883CE0">
        <w:rPr>
          <w:b/>
        </w:rPr>
        <w:t>Figure</w:t>
      </w:r>
      <w:r w:rsidR="00616AB8" w:rsidRPr="00883CE0">
        <w:rPr>
          <w:b/>
        </w:rPr>
        <w:t xml:space="preserve"> 1.</w:t>
      </w:r>
      <w:proofErr w:type="gramEnd"/>
      <w:r w:rsidR="00616AB8">
        <w:t xml:space="preserve"> Map of the Florida Keys and FKNMS boundary.</w:t>
      </w:r>
    </w:p>
    <w:p w:rsidR="0027730B" w:rsidRDefault="00616AB8" w:rsidP="009D1F25">
      <w:pPr>
        <w:spacing w:after="120"/>
      </w:pPr>
      <w:r>
        <w:t>The Keys are generally divided into three geographical areas which include the Upper, Middle, and Lower Keys</w:t>
      </w:r>
      <w:r w:rsidR="00945E08">
        <w:t xml:space="preserve"> (</w:t>
      </w:r>
      <w:r w:rsidR="0061784D">
        <w:t>Figure</w:t>
      </w:r>
      <w:r w:rsidR="00945E08">
        <w:t xml:space="preserve"> 2)</w:t>
      </w:r>
      <w:r>
        <w:t xml:space="preserve">.  The Lower Keys are most influenced by cyclonic gyres that spin off the Florida Current, the Middle Keys by exchange with Florida Bay, and the Upper Keys by Florida Current frontal eddies and somewhat by </w:t>
      </w:r>
      <w:r w:rsidR="00945E08">
        <w:t>exchange with Biscayne Bay (</w:t>
      </w:r>
      <w:r w:rsidR="0061784D">
        <w:t>Figure</w:t>
      </w:r>
      <w:r>
        <w:t xml:space="preserve"> 2; </w:t>
      </w:r>
      <w:r w:rsidR="0078026A">
        <w:t xml:space="preserve">Boyer and </w:t>
      </w:r>
      <w:proofErr w:type="spellStart"/>
      <w:r w:rsidR="0078026A">
        <w:t>Brice</w:t>
      </w:r>
      <w:r w:rsidR="00DC7DE0">
        <w:t>ño</w:t>
      </w:r>
      <w:proofErr w:type="spellEnd"/>
      <w:r w:rsidR="00DC7DE0">
        <w:t xml:space="preserve"> 2008</w:t>
      </w:r>
      <w:r>
        <w:t xml:space="preserve">).  The three regions are further divided into ocean-side and bay-side.  The bay-side regions of the Lower and Middle Keys are known as Backcountry and Sluiceway respectively.   </w:t>
      </w:r>
    </w:p>
    <w:p w:rsidR="00957C15" w:rsidRDefault="00957C15" w:rsidP="00A92004">
      <w:proofErr w:type="gramStart"/>
      <w:r w:rsidRPr="00883CE0">
        <w:rPr>
          <w:b/>
        </w:rPr>
        <w:lastRenderedPageBreak/>
        <w:t>Table 1.</w:t>
      </w:r>
      <w:proofErr w:type="gramEnd"/>
      <w:r>
        <w:t xml:space="preserve"> </w:t>
      </w:r>
      <w:proofErr w:type="gramStart"/>
      <w:r>
        <w:t>State parks and aquatic preserves</w:t>
      </w:r>
      <w:r w:rsidR="007D6800">
        <w:t>.</w:t>
      </w:r>
      <w:proofErr w:type="gramEnd"/>
    </w:p>
    <w:tbl>
      <w:tblPr>
        <w:tblStyle w:val="MediumShading1-Accent3"/>
        <w:tblW w:w="0" w:type="auto"/>
        <w:tblLook w:val="04A0"/>
      </w:tblPr>
      <w:tblGrid>
        <w:gridCol w:w="2358"/>
        <w:gridCol w:w="7218"/>
      </w:tblGrid>
      <w:tr w:rsidR="00957C15" w:rsidTr="004D22B1">
        <w:trPr>
          <w:cnfStyle w:val="100000000000"/>
        </w:trPr>
        <w:tc>
          <w:tcPr>
            <w:cnfStyle w:val="001000000000"/>
            <w:tcW w:w="2358" w:type="dxa"/>
          </w:tcPr>
          <w:p w:rsidR="00957C15" w:rsidRPr="004D22B1" w:rsidRDefault="00957C15" w:rsidP="00A92004">
            <w:pPr>
              <w:spacing w:after="200"/>
              <w:rPr>
                <w:color w:val="auto"/>
                <w:sz w:val="20"/>
                <w:szCs w:val="20"/>
              </w:rPr>
            </w:pPr>
            <w:r w:rsidRPr="004D22B1">
              <w:rPr>
                <w:color w:val="auto"/>
                <w:sz w:val="20"/>
                <w:szCs w:val="20"/>
              </w:rPr>
              <w:t>Name</w:t>
            </w:r>
          </w:p>
        </w:tc>
        <w:tc>
          <w:tcPr>
            <w:tcW w:w="7218" w:type="dxa"/>
          </w:tcPr>
          <w:p w:rsidR="00957C15" w:rsidRPr="004D22B1" w:rsidRDefault="00957C15" w:rsidP="00A92004">
            <w:pPr>
              <w:spacing w:after="200"/>
              <w:cnfStyle w:val="100000000000"/>
              <w:rPr>
                <w:color w:val="auto"/>
                <w:sz w:val="20"/>
                <w:szCs w:val="20"/>
              </w:rPr>
            </w:pPr>
            <w:r w:rsidRPr="004D22B1">
              <w:rPr>
                <w:color w:val="auto"/>
                <w:sz w:val="20"/>
                <w:szCs w:val="20"/>
              </w:rPr>
              <w:t>Description</w:t>
            </w:r>
          </w:p>
        </w:tc>
      </w:tr>
      <w:tr w:rsidR="00957C15" w:rsidTr="004D22B1">
        <w:trPr>
          <w:cnfStyle w:val="000000100000"/>
        </w:trPr>
        <w:tc>
          <w:tcPr>
            <w:cnfStyle w:val="001000000000"/>
            <w:tcW w:w="2358" w:type="dxa"/>
          </w:tcPr>
          <w:p w:rsidR="00957C15" w:rsidRPr="004D22B1" w:rsidRDefault="00957C15" w:rsidP="00A92004">
            <w:pPr>
              <w:spacing w:after="200"/>
              <w:rPr>
                <w:sz w:val="20"/>
                <w:szCs w:val="20"/>
              </w:rPr>
            </w:pPr>
            <w:r w:rsidRPr="004D22B1">
              <w:rPr>
                <w:sz w:val="20"/>
                <w:szCs w:val="20"/>
              </w:rPr>
              <w:t>Coupon Bight Aquatic Preserve</w:t>
            </w:r>
          </w:p>
        </w:tc>
        <w:tc>
          <w:tcPr>
            <w:tcW w:w="7218" w:type="dxa"/>
          </w:tcPr>
          <w:p w:rsidR="00957C15" w:rsidRPr="004D22B1" w:rsidRDefault="000916B0" w:rsidP="00A92004">
            <w:pPr>
              <w:pStyle w:val="ListParagraph"/>
              <w:numPr>
                <w:ilvl w:val="0"/>
                <w:numId w:val="26"/>
              </w:numPr>
              <w:spacing w:after="200"/>
              <w:cnfStyle w:val="000000100000"/>
              <w:rPr>
                <w:sz w:val="20"/>
                <w:szCs w:val="20"/>
              </w:rPr>
            </w:pPr>
            <w:r w:rsidRPr="004D22B1">
              <w:rPr>
                <w:sz w:val="20"/>
                <w:szCs w:val="20"/>
              </w:rPr>
              <w:t>4,600 acres of seagrass meadows, hard bottom communities, mangrove wetlands and coral reefs</w:t>
            </w:r>
          </w:p>
          <w:p w:rsidR="000916B0" w:rsidRPr="004D22B1" w:rsidRDefault="000916B0" w:rsidP="00A92004">
            <w:pPr>
              <w:pStyle w:val="ListParagraph"/>
              <w:numPr>
                <w:ilvl w:val="0"/>
                <w:numId w:val="26"/>
              </w:numPr>
              <w:spacing w:after="200"/>
              <w:cnfStyle w:val="000000100000"/>
              <w:rPr>
                <w:sz w:val="20"/>
                <w:szCs w:val="20"/>
              </w:rPr>
            </w:pPr>
            <w:r w:rsidRPr="004D22B1">
              <w:rPr>
                <w:sz w:val="20"/>
                <w:szCs w:val="20"/>
              </w:rPr>
              <w:t>The patch reef community includes sponges, soft and hard corals, and algae</w:t>
            </w:r>
          </w:p>
          <w:p w:rsidR="000916B0" w:rsidRPr="004D22B1" w:rsidRDefault="000916B0" w:rsidP="00A92004">
            <w:pPr>
              <w:pStyle w:val="ListParagraph"/>
              <w:numPr>
                <w:ilvl w:val="0"/>
                <w:numId w:val="26"/>
              </w:numPr>
              <w:spacing w:after="200"/>
              <w:cnfStyle w:val="000000100000"/>
              <w:rPr>
                <w:sz w:val="20"/>
                <w:szCs w:val="20"/>
              </w:rPr>
            </w:pPr>
            <w:r w:rsidRPr="004D22B1">
              <w:rPr>
                <w:sz w:val="20"/>
                <w:szCs w:val="20"/>
              </w:rPr>
              <w:t>Home to rare wading birds and the endangered Key Deer</w:t>
            </w:r>
          </w:p>
        </w:tc>
      </w:tr>
      <w:tr w:rsidR="00957C15" w:rsidTr="004D22B1">
        <w:trPr>
          <w:cnfStyle w:val="000000010000"/>
        </w:trPr>
        <w:tc>
          <w:tcPr>
            <w:cnfStyle w:val="001000000000"/>
            <w:tcW w:w="2358" w:type="dxa"/>
          </w:tcPr>
          <w:p w:rsidR="00957C15" w:rsidRPr="004D22B1" w:rsidRDefault="00957C15" w:rsidP="00A92004">
            <w:pPr>
              <w:spacing w:after="200"/>
              <w:rPr>
                <w:sz w:val="20"/>
                <w:szCs w:val="20"/>
              </w:rPr>
            </w:pPr>
            <w:proofErr w:type="spellStart"/>
            <w:r w:rsidRPr="004D22B1">
              <w:rPr>
                <w:sz w:val="20"/>
                <w:szCs w:val="20"/>
              </w:rPr>
              <w:t>Lig</w:t>
            </w:r>
            <w:r w:rsidR="003F5D6B" w:rsidRPr="004D22B1">
              <w:rPr>
                <w:sz w:val="20"/>
                <w:szCs w:val="20"/>
              </w:rPr>
              <w:t>n</w:t>
            </w:r>
            <w:r w:rsidRPr="004D22B1">
              <w:rPr>
                <w:sz w:val="20"/>
                <w:szCs w:val="20"/>
              </w:rPr>
              <w:t>umvitae</w:t>
            </w:r>
            <w:proofErr w:type="spellEnd"/>
            <w:r w:rsidRPr="004D22B1">
              <w:rPr>
                <w:sz w:val="20"/>
                <w:szCs w:val="20"/>
              </w:rPr>
              <w:t xml:space="preserve"> Key Aquatic Preserve</w:t>
            </w:r>
          </w:p>
        </w:tc>
        <w:tc>
          <w:tcPr>
            <w:tcW w:w="7218" w:type="dxa"/>
          </w:tcPr>
          <w:p w:rsidR="00957C15" w:rsidRPr="004D22B1" w:rsidRDefault="009E7F90" w:rsidP="00A92004">
            <w:pPr>
              <w:pStyle w:val="ListParagraph"/>
              <w:numPr>
                <w:ilvl w:val="0"/>
                <w:numId w:val="26"/>
              </w:numPr>
              <w:spacing w:after="200"/>
              <w:cnfStyle w:val="000000010000"/>
              <w:rPr>
                <w:sz w:val="20"/>
                <w:szCs w:val="20"/>
              </w:rPr>
            </w:pPr>
            <w:r w:rsidRPr="004D22B1">
              <w:rPr>
                <w:sz w:val="20"/>
                <w:szCs w:val="20"/>
              </w:rPr>
              <w:t>7,000 acres of seagrass meadows, deep water channels, hard bottom communities and mangrove wetlands</w:t>
            </w:r>
          </w:p>
          <w:p w:rsidR="009E7F90" w:rsidRPr="004D22B1" w:rsidRDefault="009E7F90" w:rsidP="00A92004">
            <w:pPr>
              <w:pStyle w:val="ListParagraph"/>
              <w:numPr>
                <w:ilvl w:val="0"/>
                <w:numId w:val="26"/>
              </w:numPr>
              <w:spacing w:after="200"/>
              <w:cnfStyle w:val="000000010000"/>
              <w:rPr>
                <w:sz w:val="20"/>
                <w:szCs w:val="20"/>
              </w:rPr>
            </w:pPr>
            <w:proofErr w:type="spellStart"/>
            <w:r w:rsidRPr="004D22B1">
              <w:rPr>
                <w:sz w:val="20"/>
                <w:szCs w:val="20"/>
              </w:rPr>
              <w:t>Lignumvitae</w:t>
            </w:r>
            <w:proofErr w:type="spellEnd"/>
            <w:r w:rsidRPr="004D22B1">
              <w:rPr>
                <w:sz w:val="20"/>
                <w:szCs w:val="20"/>
              </w:rPr>
              <w:t xml:space="preserve"> Key Botanical State Park overlaps with much of the preserve</w:t>
            </w:r>
          </w:p>
        </w:tc>
      </w:tr>
      <w:tr w:rsidR="00957C15" w:rsidTr="004D22B1">
        <w:trPr>
          <w:cnfStyle w:val="000000100000"/>
        </w:trPr>
        <w:tc>
          <w:tcPr>
            <w:cnfStyle w:val="001000000000"/>
            <w:tcW w:w="2358" w:type="dxa"/>
          </w:tcPr>
          <w:p w:rsidR="00957C15" w:rsidRPr="004D22B1" w:rsidRDefault="00957C15" w:rsidP="00A92004">
            <w:pPr>
              <w:spacing w:after="200"/>
              <w:rPr>
                <w:sz w:val="20"/>
                <w:szCs w:val="20"/>
              </w:rPr>
            </w:pPr>
            <w:proofErr w:type="spellStart"/>
            <w:r w:rsidRPr="004D22B1">
              <w:rPr>
                <w:sz w:val="20"/>
                <w:szCs w:val="20"/>
              </w:rPr>
              <w:t>Dagny</w:t>
            </w:r>
            <w:proofErr w:type="spellEnd"/>
            <w:r w:rsidRPr="004D22B1">
              <w:rPr>
                <w:sz w:val="20"/>
                <w:szCs w:val="20"/>
              </w:rPr>
              <w:t xml:space="preserve"> Johnson Key Largo Hammock</w:t>
            </w:r>
            <w:r w:rsidR="009E7F90" w:rsidRPr="004D22B1">
              <w:rPr>
                <w:sz w:val="20"/>
                <w:szCs w:val="20"/>
              </w:rPr>
              <w:t xml:space="preserve"> Botanical State Park</w:t>
            </w:r>
          </w:p>
        </w:tc>
        <w:tc>
          <w:tcPr>
            <w:tcW w:w="7218" w:type="dxa"/>
          </w:tcPr>
          <w:p w:rsidR="00957C15" w:rsidRPr="004D22B1" w:rsidRDefault="00520395" w:rsidP="00A92004">
            <w:pPr>
              <w:pStyle w:val="ListParagraph"/>
              <w:numPr>
                <w:ilvl w:val="0"/>
                <w:numId w:val="26"/>
              </w:numPr>
              <w:spacing w:after="200"/>
              <w:cnfStyle w:val="000000100000"/>
              <w:rPr>
                <w:sz w:val="20"/>
                <w:szCs w:val="20"/>
              </w:rPr>
            </w:pPr>
            <w:r w:rsidRPr="004D22B1">
              <w:rPr>
                <w:sz w:val="20"/>
                <w:szCs w:val="20"/>
              </w:rPr>
              <w:t>Contains one of the largest tracts of West Indian tropical hardwood hammock in the U.S.</w:t>
            </w:r>
          </w:p>
          <w:p w:rsidR="00520395" w:rsidRPr="004D22B1" w:rsidRDefault="00520395" w:rsidP="00A92004">
            <w:pPr>
              <w:pStyle w:val="ListParagraph"/>
              <w:numPr>
                <w:ilvl w:val="0"/>
                <w:numId w:val="26"/>
              </w:numPr>
              <w:spacing w:after="200"/>
              <w:cnfStyle w:val="000000100000"/>
              <w:rPr>
                <w:sz w:val="20"/>
                <w:szCs w:val="20"/>
              </w:rPr>
            </w:pPr>
            <w:r w:rsidRPr="004D22B1">
              <w:rPr>
                <w:sz w:val="20"/>
                <w:szCs w:val="20"/>
              </w:rPr>
              <w:t>Home to 84 protected species of plants and animals</w:t>
            </w:r>
          </w:p>
        </w:tc>
      </w:tr>
      <w:tr w:rsidR="00957C15" w:rsidTr="004D22B1">
        <w:trPr>
          <w:cnfStyle w:val="000000010000"/>
        </w:trPr>
        <w:tc>
          <w:tcPr>
            <w:cnfStyle w:val="001000000000"/>
            <w:tcW w:w="2358" w:type="dxa"/>
          </w:tcPr>
          <w:p w:rsidR="00957C15" w:rsidRPr="004D22B1" w:rsidRDefault="00957C15" w:rsidP="00A92004">
            <w:pPr>
              <w:spacing w:after="200"/>
              <w:rPr>
                <w:sz w:val="20"/>
                <w:szCs w:val="20"/>
              </w:rPr>
            </w:pPr>
            <w:r w:rsidRPr="004D22B1">
              <w:rPr>
                <w:sz w:val="20"/>
                <w:szCs w:val="20"/>
              </w:rPr>
              <w:t xml:space="preserve">John </w:t>
            </w:r>
            <w:proofErr w:type="spellStart"/>
            <w:r w:rsidRPr="004D22B1">
              <w:rPr>
                <w:sz w:val="20"/>
                <w:szCs w:val="20"/>
              </w:rPr>
              <w:t>Pennekamp</w:t>
            </w:r>
            <w:proofErr w:type="spellEnd"/>
            <w:r w:rsidRPr="004D22B1">
              <w:rPr>
                <w:sz w:val="20"/>
                <w:szCs w:val="20"/>
              </w:rPr>
              <w:t xml:space="preserve"> Coral Reef</w:t>
            </w:r>
            <w:r w:rsidR="009E7F90" w:rsidRPr="004D22B1">
              <w:rPr>
                <w:sz w:val="20"/>
                <w:szCs w:val="20"/>
              </w:rPr>
              <w:t xml:space="preserve"> State Park</w:t>
            </w:r>
          </w:p>
        </w:tc>
        <w:tc>
          <w:tcPr>
            <w:tcW w:w="7218" w:type="dxa"/>
          </w:tcPr>
          <w:p w:rsidR="00957C15" w:rsidRPr="004D22B1" w:rsidRDefault="00520395" w:rsidP="00A92004">
            <w:pPr>
              <w:pStyle w:val="ListParagraph"/>
              <w:numPr>
                <w:ilvl w:val="0"/>
                <w:numId w:val="26"/>
              </w:numPr>
              <w:spacing w:after="200"/>
              <w:cnfStyle w:val="000000010000"/>
              <w:rPr>
                <w:sz w:val="20"/>
                <w:szCs w:val="20"/>
              </w:rPr>
            </w:pPr>
            <w:r w:rsidRPr="004D22B1">
              <w:rPr>
                <w:sz w:val="20"/>
                <w:szCs w:val="20"/>
              </w:rPr>
              <w:t>First underwater park in the U.S.</w:t>
            </w:r>
          </w:p>
          <w:p w:rsidR="00520395" w:rsidRPr="004D22B1" w:rsidRDefault="00520395" w:rsidP="00A92004">
            <w:pPr>
              <w:pStyle w:val="ListParagraph"/>
              <w:numPr>
                <w:ilvl w:val="0"/>
                <w:numId w:val="26"/>
              </w:numPr>
              <w:spacing w:after="200"/>
              <w:cnfStyle w:val="000000010000"/>
              <w:rPr>
                <w:sz w:val="20"/>
                <w:szCs w:val="20"/>
              </w:rPr>
            </w:pPr>
            <w:r w:rsidRPr="004D22B1">
              <w:rPr>
                <w:sz w:val="20"/>
                <w:szCs w:val="20"/>
              </w:rPr>
              <w:t>70 nautical square miles with coral reefs and associated marine life</w:t>
            </w:r>
          </w:p>
          <w:p w:rsidR="00520395" w:rsidRPr="004D22B1" w:rsidRDefault="00520395" w:rsidP="00A92004">
            <w:pPr>
              <w:pStyle w:val="ListParagraph"/>
              <w:numPr>
                <w:ilvl w:val="0"/>
                <w:numId w:val="26"/>
              </w:numPr>
              <w:spacing w:after="200"/>
              <w:cnfStyle w:val="000000010000"/>
              <w:rPr>
                <w:sz w:val="20"/>
                <w:szCs w:val="20"/>
              </w:rPr>
            </w:pPr>
            <w:r w:rsidRPr="004D22B1">
              <w:rPr>
                <w:sz w:val="20"/>
                <w:szCs w:val="20"/>
              </w:rPr>
              <w:t>Upland area includes mangrove swamps and tropical hammocks</w:t>
            </w:r>
          </w:p>
        </w:tc>
      </w:tr>
      <w:tr w:rsidR="00957C15" w:rsidTr="004D22B1">
        <w:trPr>
          <w:cnfStyle w:val="000000100000"/>
        </w:trPr>
        <w:tc>
          <w:tcPr>
            <w:cnfStyle w:val="001000000000"/>
            <w:tcW w:w="2358" w:type="dxa"/>
          </w:tcPr>
          <w:p w:rsidR="00957C15" w:rsidRPr="004D22B1" w:rsidRDefault="00957C15" w:rsidP="00A92004">
            <w:pPr>
              <w:spacing w:after="200"/>
              <w:rPr>
                <w:sz w:val="20"/>
                <w:szCs w:val="20"/>
              </w:rPr>
            </w:pPr>
            <w:proofErr w:type="spellStart"/>
            <w:r w:rsidRPr="004D22B1">
              <w:rPr>
                <w:sz w:val="20"/>
                <w:szCs w:val="20"/>
              </w:rPr>
              <w:t>Windley</w:t>
            </w:r>
            <w:proofErr w:type="spellEnd"/>
            <w:r w:rsidRPr="004D22B1">
              <w:rPr>
                <w:sz w:val="20"/>
                <w:szCs w:val="20"/>
              </w:rPr>
              <w:t xml:space="preserve"> Key Fossil Reef</w:t>
            </w:r>
            <w:r w:rsidR="009E7F90" w:rsidRPr="004D22B1">
              <w:rPr>
                <w:sz w:val="20"/>
                <w:szCs w:val="20"/>
              </w:rPr>
              <w:t xml:space="preserve"> Geological State Park</w:t>
            </w:r>
          </w:p>
        </w:tc>
        <w:tc>
          <w:tcPr>
            <w:tcW w:w="7218" w:type="dxa"/>
          </w:tcPr>
          <w:p w:rsidR="00957C15" w:rsidRPr="004D22B1" w:rsidRDefault="00520395" w:rsidP="00A92004">
            <w:pPr>
              <w:pStyle w:val="ListParagraph"/>
              <w:numPr>
                <w:ilvl w:val="0"/>
                <w:numId w:val="26"/>
              </w:numPr>
              <w:spacing w:after="200"/>
              <w:cnfStyle w:val="000000100000"/>
              <w:rPr>
                <w:sz w:val="20"/>
                <w:szCs w:val="20"/>
              </w:rPr>
            </w:pPr>
            <w:r w:rsidRPr="004D22B1">
              <w:rPr>
                <w:sz w:val="20"/>
                <w:szCs w:val="20"/>
              </w:rPr>
              <w:t>Formed of Key Largo limestone, fossilized coral</w:t>
            </w:r>
          </w:p>
          <w:p w:rsidR="00520395" w:rsidRPr="004D22B1" w:rsidRDefault="00520395" w:rsidP="00A92004">
            <w:pPr>
              <w:pStyle w:val="ListParagraph"/>
              <w:numPr>
                <w:ilvl w:val="0"/>
                <w:numId w:val="26"/>
              </w:numPr>
              <w:spacing w:after="200"/>
              <w:cnfStyle w:val="000000100000"/>
              <w:rPr>
                <w:sz w:val="20"/>
                <w:szCs w:val="20"/>
              </w:rPr>
            </w:pPr>
            <w:r w:rsidRPr="004D22B1">
              <w:rPr>
                <w:sz w:val="20"/>
                <w:szCs w:val="20"/>
              </w:rPr>
              <w:t>Historically was a quarry used for stone to build the Flagler Railroad</w:t>
            </w:r>
          </w:p>
        </w:tc>
      </w:tr>
      <w:tr w:rsidR="00957C15" w:rsidTr="004D22B1">
        <w:trPr>
          <w:cnfStyle w:val="000000010000"/>
        </w:trPr>
        <w:tc>
          <w:tcPr>
            <w:cnfStyle w:val="001000000000"/>
            <w:tcW w:w="2358" w:type="dxa"/>
          </w:tcPr>
          <w:p w:rsidR="00957C15" w:rsidRPr="004D22B1" w:rsidRDefault="00957C15" w:rsidP="00A92004">
            <w:pPr>
              <w:spacing w:after="200"/>
              <w:rPr>
                <w:sz w:val="20"/>
                <w:szCs w:val="20"/>
              </w:rPr>
            </w:pPr>
            <w:r w:rsidRPr="004D22B1">
              <w:rPr>
                <w:sz w:val="20"/>
                <w:szCs w:val="20"/>
              </w:rPr>
              <w:t>Indian Key</w:t>
            </w:r>
            <w:r w:rsidR="009E7F90" w:rsidRPr="004D22B1">
              <w:rPr>
                <w:sz w:val="20"/>
                <w:szCs w:val="20"/>
              </w:rPr>
              <w:t xml:space="preserve"> Historic State Park</w:t>
            </w:r>
          </w:p>
        </w:tc>
        <w:tc>
          <w:tcPr>
            <w:tcW w:w="7218" w:type="dxa"/>
          </w:tcPr>
          <w:p w:rsidR="00957C15" w:rsidRPr="004D22B1" w:rsidRDefault="00520395" w:rsidP="00A92004">
            <w:pPr>
              <w:pStyle w:val="ListParagraph"/>
              <w:numPr>
                <w:ilvl w:val="0"/>
                <w:numId w:val="26"/>
              </w:numPr>
              <w:spacing w:after="200"/>
              <w:cnfStyle w:val="000000010000"/>
              <w:rPr>
                <w:sz w:val="20"/>
                <w:szCs w:val="20"/>
              </w:rPr>
            </w:pPr>
            <w:r w:rsidRPr="004D22B1">
              <w:rPr>
                <w:sz w:val="20"/>
                <w:szCs w:val="20"/>
              </w:rPr>
              <w:t>Tiny island accessible only by canoe or kayak</w:t>
            </w:r>
          </w:p>
        </w:tc>
      </w:tr>
      <w:tr w:rsidR="00957C15" w:rsidTr="004D22B1">
        <w:trPr>
          <w:cnfStyle w:val="000000100000"/>
        </w:trPr>
        <w:tc>
          <w:tcPr>
            <w:cnfStyle w:val="001000000000"/>
            <w:tcW w:w="2358" w:type="dxa"/>
          </w:tcPr>
          <w:p w:rsidR="00957C15" w:rsidRPr="004D22B1" w:rsidRDefault="00957C15" w:rsidP="00A92004">
            <w:pPr>
              <w:spacing w:after="200"/>
              <w:rPr>
                <w:sz w:val="20"/>
                <w:szCs w:val="20"/>
              </w:rPr>
            </w:pPr>
            <w:r w:rsidRPr="004D22B1">
              <w:rPr>
                <w:sz w:val="20"/>
                <w:szCs w:val="20"/>
              </w:rPr>
              <w:t>San Pedro</w:t>
            </w:r>
            <w:r w:rsidR="009E7F90" w:rsidRPr="004D22B1">
              <w:rPr>
                <w:sz w:val="20"/>
                <w:szCs w:val="20"/>
              </w:rPr>
              <w:t xml:space="preserve"> Underwater Archaeological Preserve State Park</w:t>
            </w:r>
          </w:p>
        </w:tc>
        <w:tc>
          <w:tcPr>
            <w:tcW w:w="7218" w:type="dxa"/>
          </w:tcPr>
          <w:p w:rsidR="00957C15" w:rsidRPr="004D22B1" w:rsidRDefault="00520395" w:rsidP="00A92004">
            <w:pPr>
              <w:pStyle w:val="ListParagraph"/>
              <w:numPr>
                <w:ilvl w:val="0"/>
                <w:numId w:val="26"/>
              </w:numPr>
              <w:spacing w:after="200"/>
              <w:cnfStyle w:val="000000100000"/>
              <w:rPr>
                <w:sz w:val="20"/>
                <w:szCs w:val="20"/>
              </w:rPr>
            </w:pPr>
            <w:r w:rsidRPr="004D22B1">
              <w:rPr>
                <w:sz w:val="20"/>
                <w:szCs w:val="20"/>
              </w:rPr>
              <w:t>Underwater archeological preserve that features a submerged shipwreck</w:t>
            </w:r>
          </w:p>
        </w:tc>
      </w:tr>
      <w:tr w:rsidR="00957C15" w:rsidTr="004D22B1">
        <w:trPr>
          <w:cnfStyle w:val="000000010000"/>
        </w:trPr>
        <w:tc>
          <w:tcPr>
            <w:cnfStyle w:val="001000000000"/>
            <w:tcW w:w="2358" w:type="dxa"/>
          </w:tcPr>
          <w:p w:rsidR="00957C15" w:rsidRPr="004D22B1" w:rsidRDefault="00957C15" w:rsidP="00A92004">
            <w:pPr>
              <w:spacing w:after="200"/>
              <w:rPr>
                <w:sz w:val="20"/>
                <w:szCs w:val="20"/>
              </w:rPr>
            </w:pPr>
            <w:proofErr w:type="spellStart"/>
            <w:r w:rsidRPr="004D22B1">
              <w:rPr>
                <w:sz w:val="20"/>
                <w:szCs w:val="20"/>
              </w:rPr>
              <w:t>Lignumvitae</w:t>
            </w:r>
            <w:proofErr w:type="spellEnd"/>
            <w:r w:rsidRPr="004D22B1">
              <w:rPr>
                <w:sz w:val="20"/>
                <w:szCs w:val="20"/>
              </w:rPr>
              <w:t xml:space="preserve"> Key</w:t>
            </w:r>
            <w:r w:rsidR="00520395" w:rsidRPr="004D22B1">
              <w:rPr>
                <w:sz w:val="20"/>
                <w:szCs w:val="20"/>
              </w:rPr>
              <w:t xml:space="preserve"> Botanical State Park</w:t>
            </w:r>
          </w:p>
        </w:tc>
        <w:tc>
          <w:tcPr>
            <w:tcW w:w="7218" w:type="dxa"/>
          </w:tcPr>
          <w:p w:rsidR="00957C15" w:rsidRPr="004D22B1" w:rsidRDefault="00520395" w:rsidP="00A92004">
            <w:pPr>
              <w:pStyle w:val="ListParagraph"/>
              <w:numPr>
                <w:ilvl w:val="0"/>
                <w:numId w:val="26"/>
              </w:numPr>
              <w:spacing w:after="200"/>
              <w:cnfStyle w:val="000000010000"/>
              <w:rPr>
                <w:sz w:val="20"/>
                <w:szCs w:val="20"/>
              </w:rPr>
            </w:pPr>
            <w:r w:rsidRPr="004D22B1">
              <w:rPr>
                <w:sz w:val="20"/>
                <w:szCs w:val="20"/>
              </w:rPr>
              <w:t>Virgin tropical hardwood hammock only accessible by boat</w:t>
            </w:r>
          </w:p>
        </w:tc>
      </w:tr>
      <w:tr w:rsidR="00957C15" w:rsidTr="004D22B1">
        <w:trPr>
          <w:cnfStyle w:val="000000100000"/>
        </w:trPr>
        <w:tc>
          <w:tcPr>
            <w:cnfStyle w:val="001000000000"/>
            <w:tcW w:w="2358" w:type="dxa"/>
          </w:tcPr>
          <w:p w:rsidR="00957C15" w:rsidRPr="004D22B1" w:rsidRDefault="00957C15" w:rsidP="00A92004">
            <w:pPr>
              <w:spacing w:after="200"/>
              <w:rPr>
                <w:sz w:val="20"/>
                <w:szCs w:val="20"/>
              </w:rPr>
            </w:pPr>
            <w:r w:rsidRPr="004D22B1">
              <w:rPr>
                <w:sz w:val="20"/>
                <w:szCs w:val="20"/>
              </w:rPr>
              <w:t>Long Key</w:t>
            </w:r>
            <w:r w:rsidR="00520395" w:rsidRPr="004D22B1">
              <w:rPr>
                <w:sz w:val="20"/>
                <w:szCs w:val="20"/>
              </w:rPr>
              <w:t xml:space="preserve"> State Park</w:t>
            </w:r>
          </w:p>
        </w:tc>
        <w:tc>
          <w:tcPr>
            <w:tcW w:w="7218" w:type="dxa"/>
          </w:tcPr>
          <w:p w:rsidR="002741E4" w:rsidRPr="004D22B1" w:rsidRDefault="002741E4" w:rsidP="00A92004">
            <w:pPr>
              <w:pStyle w:val="ListParagraph"/>
              <w:numPr>
                <w:ilvl w:val="0"/>
                <w:numId w:val="26"/>
              </w:numPr>
              <w:spacing w:after="200"/>
              <w:cnfStyle w:val="000000100000"/>
              <w:rPr>
                <w:sz w:val="20"/>
                <w:szCs w:val="20"/>
              </w:rPr>
            </w:pPr>
            <w:r w:rsidRPr="004D22B1">
              <w:rPr>
                <w:sz w:val="20"/>
                <w:szCs w:val="20"/>
              </w:rPr>
              <w:t>Profusion of plant and animal life</w:t>
            </w:r>
          </w:p>
          <w:p w:rsidR="00957C15" w:rsidRPr="004D22B1" w:rsidRDefault="002741E4" w:rsidP="00A92004">
            <w:pPr>
              <w:pStyle w:val="ListParagraph"/>
              <w:numPr>
                <w:ilvl w:val="0"/>
                <w:numId w:val="26"/>
              </w:numPr>
              <w:spacing w:after="200"/>
              <w:cnfStyle w:val="000000100000"/>
              <w:rPr>
                <w:sz w:val="20"/>
                <w:szCs w:val="20"/>
              </w:rPr>
            </w:pPr>
            <w:r w:rsidRPr="004D22B1">
              <w:rPr>
                <w:sz w:val="20"/>
                <w:szCs w:val="20"/>
              </w:rPr>
              <w:t xml:space="preserve">Known for </w:t>
            </w:r>
            <w:proofErr w:type="spellStart"/>
            <w:r w:rsidRPr="004D22B1">
              <w:rPr>
                <w:sz w:val="20"/>
                <w:szCs w:val="20"/>
              </w:rPr>
              <w:t>bonefishing</w:t>
            </w:r>
            <w:proofErr w:type="spellEnd"/>
          </w:p>
        </w:tc>
      </w:tr>
      <w:tr w:rsidR="00957C15" w:rsidTr="004D22B1">
        <w:trPr>
          <w:cnfStyle w:val="000000010000"/>
        </w:trPr>
        <w:tc>
          <w:tcPr>
            <w:cnfStyle w:val="001000000000"/>
            <w:tcW w:w="2358" w:type="dxa"/>
          </w:tcPr>
          <w:p w:rsidR="00957C15" w:rsidRPr="004D22B1" w:rsidRDefault="00957C15" w:rsidP="00A92004">
            <w:pPr>
              <w:spacing w:after="200"/>
              <w:rPr>
                <w:sz w:val="20"/>
                <w:szCs w:val="20"/>
              </w:rPr>
            </w:pPr>
            <w:r w:rsidRPr="004D22B1">
              <w:rPr>
                <w:sz w:val="20"/>
                <w:szCs w:val="20"/>
              </w:rPr>
              <w:t>Curry Hammock</w:t>
            </w:r>
            <w:r w:rsidR="009E7F90" w:rsidRPr="004D22B1">
              <w:rPr>
                <w:sz w:val="20"/>
                <w:szCs w:val="20"/>
              </w:rPr>
              <w:t xml:space="preserve"> State Park</w:t>
            </w:r>
          </w:p>
        </w:tc>
        <w:tc>
          <w:tcPr>
            <w:tcW w:w="7218" w:type="dxa"/>
          </w:tcPr>
          <w:p w:rsidR="00957C15" w:rsidRPr="004D22B1" w:rsidRDefault="002741E4" w:rsidP="00A92004">
            <w:pPr>
              <w:pStyle w:val="ListParagraph"/>
              <w:numPr>
                <w:ilvl w:val="0"/>
                <w:numId w:val="26"/>
              </w:numPr>
              <w:spacing w:after="200"/>
              <w:cnfStyle w:val="000000010000"/>
              <w:rPr>
                <w:sz w:val="20"/>
                <w:szCs w:val="20"/>
              </w:rPr>
            </w:pPr>
            <w:r w:rsidRPr="004D22B1">
              <w:rPr>
                <w:sz w:val="20"/>
                <w:szCs w:val="20"/>
              </w:rPr>
              <w:t>Group of islands</w:t>
            </w:r>
          </w:p>
          <w:p w:rsidR="002741E4" w:rsidRPr="004D22B1" w:rsidRDefault="002741E4" w:rsidP="00A92004">
            <w:pPr>
              <w:pStyle w:val="ListParagraph"/>
              <w:numPr>
                <w:ilvl w:val="0"/>
                <w:numId w:val="26"/>
              </w:numPr>
              <w:spacing w:after="200"/>
              <w:cnfStyle w:val="000000010000"/>
              <w:rPr>
                <w:sz w:val="20"/>
                <w:szCs w:val="20"/>
              </w:rPr>
            </w:pPr>
            <w:r w:rsidRPr="004D22B1">
              <w:rPr>
                <w:sz w:val="20"/>
                <w:szCs w:val="20"/>
              </w:rPr>
              <w:t>Hardwood hammocks support a large population of thatch pines</w:t>
            </w:r>
          </w:p>
          <w:p w:rsidR="002741E4" w:rsidRPr="004D22B1" w:rsidRDefault="002741E4" w:rsidP="00A92004">
            <w:pPr>
              <w:pStyle w:val="ListParagraph"/>
              <w:numPr>
                <w:ilvl w:val="0"/>
                <w:numId w:val="26"/>
              </w:numPr>
              <w:spacing w:after="200"/>
              <w:cnfStyle w:val="000000010000"/>
              <w:rPr>
                <w:sz w:val="20"/>
                <w:szCs w:val="20"/>
              </w:rPr>
            </w:pPr>
            <w:r w:rsidRPr="004D22B1">
              <w:rPr>
                <w:sz w:val="20"/>
                <w:szCs w:val="20"/>
              </w:rPr>
              <w:t>Other communities include mangrove swamps, seagrass beds and wetlands</w:t>
            </w:r>
          </w:p>
        </w:tc>
      </w:tr>
      <w:tr w:rsidR="00957C15" w:rsidTr="004D22B1">
        <w:trPr>
          <w:cnfStyle w:val="000000100000"/>
        </w:trPr>
        <w:tc>
          <w:tcPr>
            <w:cnfStyle w:val="001000000000"/>
            <w:tcW w:w="2358" w:type="dxa"/>
          </w:tcPr>
          <w:p w:rsidR="00957C15" w:rsidRPr="004D22B1" w:rsidRDefault="00957C15" w:rsidP="00A92004">
            <w:pPr>
              <w:spacing w:after="200"/>
              <w:rPr>
                <w:sz w:val="20"/>
                <w:szCs w:val="20"/>
              </w:rPr>
            </w:pPr>
            <w:r w:rsidRPr="004D22B1">
              <w:rPr>
                <w:sz w:val="20"/>
                <w:szCs w:val="20"/>
              </w:rPr>
              <w:t>Bahia Honda</w:t>
            </w:r>
            <w:r w:rsidR="009E7F90" w:rsidRPr="004D22B1">
              <w:rPr>
                <w:sz w:val="20"/>
                <w:szCs w:val="20"/>
              </w:rPr>
              <w:t xml:space="preserve"> State Park</w:t>
            </w:r>
          </w:p>
        </w:tc>
        <w:tc>
          <w:tcPr>
            <w:tcW w:w="7218" w:type="dxa"/>
          </w:tcPr>
          <w:p w:rsidR="00957C15" w:rsidRPr="004D22B1" w:rsidRDefault="002741E4" w:rsidP="00A92004">
            <w:pPr>
              <w:pStyle w:val="ListParagraph"/>
              <w:numPr>
                <w:ilvl w:val="0"/>
                <w:numId w:val="26"/>
              </w:numPr>
              <w:spacing w:after="200"/>
              <w:cnfStyle w:val="000000100000"/>
              <w:rPr>
                <w:sz w:val="20"/>
                <w:szCs w:val="20"/>
              </w:rPr>
            </w:pPr>
            <w:r w:rsidRPr="004D22B1">
              <w:rPr>
                <w:sz w:val="20"/>
                <w:szCs w:val="20"/>
              </w:rPr>
              <w:t>Site of hawksbill turtle nesting</w:t>
            </w:r>
          </w:p>
        </w:tc>
      </w:tr>
      <w:tr w:rsidR="00957C15" w:rsidTr="004D22B1">
        <w:trPr>
          <w:cnfStyle w:val="000000010000"/>
        </w:trPr>
        <w:tc>
          <w:tcPr>
            <w:cnfStyle w:val="001000000000"/>
            <w:tcW w:w="2358" w:type="dxa"/>
          </w:tcPr>
          <w:p w:rsidR="00957C15" w:rsidRPr="004D22B1" w:rsidRDefault="00957C15" w:rsidP="00A92004">
            <w:pPr>
              <w:spacing w:after="200"/>
              <w:rPr>
                <w:sz w:val="20"/>
                <w:szCs w:val="20"/>
              </w:rPr>
            </w:pPr>
            <w:r w:rsidRPr="004D22B1">
              <w:rPr>
                <w:sz w:val="20"/>
                <w:szCs w:val="20"/>
              </w:rPr>
              <w:t>Fort Zachary Taylor</w:t>
            </w:r>
            <w:r w:rsidR="009E7F90" w:rsidRPr="004D22B1">
              <w:rPr>
                <w:sz w:val="20"/>
                <w:szCs w:val="20"/>
              </w:rPr>
              <w:t xml:space="preserve"> Historic State Park</w:t>
            </w:r>
          </w:p>
        </w:tc>
        <w:tc>
          <w:tcPr>
            <w:tcW w:w="7218" w:type="dxa"/>
          </w:tcPr>
          <w:p w:rsidR="00957C15" w:rsidRPr="004D22B1" w:rsidRDefault="002741E4" w:rsidP="00A92004">
            <w:pPr>
              <w:pStyle w:val="ListParagraph"/>
              <w:numPr>
                <w:ilvl w:val="0"/>
                <w:numId w:val="26"/>
              </w:numPr>
              <w:spacing w:after="200"/>
              <w:cnfStyle w:val="000000010000"/>
              <w:rPr>
                <w:sz w:val="20"/>
                <w:szCs w:val="20"/>
              </w:rPr>
            </w:pPr>
            <w:r w:rsidRPr="004D22B1">
              <w:rPr>
                <w:sz w:val="20"/>
                <w:szCs w:val="20"/>
              </w:rPr>
              <w:t>Fort was constructed in the mid 1800s to defend the nation’s southern coastline</w:t>
            </w:r>
          </w:p>
        </w:tc>
      </w:tr>
    </w:tbl>
    <w:p w:rsidR="00957C15" w:rsidRDefault="00957C15" w:rsidP="00A92004"/>
    <w:p w:rsidR="00616AB8" w:rsidRDefault="00616AB8" w:rsidP="00A92004">
      <w:r w:rsidRPr="00DD2DA3">
        <w:rPr>
          <w:noProof/>
        </w:rPr>
        <w:lastRenderedPageBreak/>
        <w:drawing>
          <wp:inline distT="0" distB="0" distL="0" distR="0">
            <wp:extent cx="5943600" cy="3515995"/>
            <wp:effectExtent l="19050" t="0" r="0" b="0"/>
            <wp:docPr id="19" name="Picture 1" descr="Map of circulation patterns in the Florida Keys."/>
            <wp:cNvGraphicFramePr/>
            <a:graphic xmlns:a="http://schemas.openxmlformats.org/drawingml/2006/main">
              <a:graphicData uri="http://schemas.openxmlformats.org/drawingml/2006/picture">
                <pic:pic xmlns:pic="http://schemas.openxmlformats.org/drawingml/2006/picture">
                  <pic:nvPicPr>
                    <pic:cNvPr id="8198" name="Picture 6" descr="Map of circulation patterns in the Florida Keys."/>
                    <pic:cNvPicPr>
                      <a:picLocks noChangeAspect="1" noChangeArrowheads="1"/>
                    </pic:cNvPicPr>
                  </pic:nvPicPr>
                  <pic:blipFill>
                    <a:blip r:embed="rId13" cstate="print"/>
                    <a:srcRect/>
                    <a:stretch>
                      <a:fillRect/>
                    </a:stretch>
                  </pic:blipFill>
                  <pic:spPr bwMode="auto">
                    <a:xfrm>
                      <a:off x="0" y="0"/>
                      <a:ext cx="5943600" cy="3515995"/>
                    </a:xfrm>
                    <a:prstGeom prst="rect">
                      <a:avLst/>
                    </a:prstGeom>
                    <a:noFill/>
                    <a:ln w="9525">
                      <a:noFill/>
                      <a:miter lim="800000"/>
                      <a:headEnd/>
                      <a:tailEnd/>
                    </a:ln>
                  </pic:spPr>
                </pic:pic>
              </a:graphicData>
            </a:graphic>
          </wp:inline>
        </w:drawing>
      </w:r>
    </w:p>
    <w:p w:rsidR="00616AB8" w:rsidRPr="00DD2DA3" w:rsidRDefault="0061784D" w:rsidP="009D1F25">
      <w:pPr>
        <w:spacing w:after="120"/>
        <w:rPr>
          <w:bCs/>
        </w:rPr>
      </w:pPr>
      <w:proofErr w:type="gramStart"/>
      <w:r w:rsidRPr="00883CE0">
        <w:rPr>
          <w:b/>
          <w:bCs/>
        </w:rPr>
        <w:t>Figure</w:t>
      </w:r>
      <w:r w:rsidR="00616AB8" w:rsidRPr="00883CE0">
        <w:rPr>
          <w:b/>
          <w:bCs/>
        </w:rPr>
        <w:t xml:space="preserve"> 2.</w:t>
      </w:r>
      <w:proofErr w:type="gramEnd"/>
      <w:r w:rsidR="00616AB8">
        <w:rPr>
          <w:bCs/>
        </w:rPr>
        <w:t xml:space="preserve"> Regional circulation pat</w:t>
      </w:r>
      <w:r w:rsidR="00C541BB">
        <w:rPr>
          <w:bCs/>
        </w:rPr>
        <w:t>terns in the Florida Keys (Boyer</w:t>
      </w:r>
      <w:r w:rsidR="00616AB8">
        <w:rPr>
          <w:bCs/>
        </w:rPr>
        <w:t xml:space="preserve"> 2010)</w:t>
      </w:r>
      <w:r w:rsidR="007D6800">
        <w:rPr>
          <w:bCs/>
        </w:rPr>
        <w:t>.</w:t>
      </w:r>
    </w:p>
    <w:p w:rsidR="0027730B" w:rsidRPr="00883CE0" w:rsidRDefault="00A032EA" w:rsidP="009D1F25">
      <w:pPr>
        <w:spacing w:after="120"/>
      </w:pPr>
      <w:r w:rsidRPr="00883CE0">
        <w:t xml:space="preserve">Description </w:t>
      </w:r>
      <w:r w:rsidR="002A6663" w:rsidRPr="00883CE0">
        <w:t xml:space="preserve">of the Florida Keys </w:t>
      </w:r>
      <w:r w:rsidRPr="00883CE0">
        <w:t>from</w:t>
      </w:r>
      <w:r w:rsidR="00140E80" w:rsidRPr="00883CE0">
        <w:t xml:space="preserve"> the FDEP</w:t>
      </w:r>
      <w:r w:rsidRPr="00883CE0">
        <w:t xml:space="preserve"> </w:t>
      </w:r>
      <w:r w:rsidR="0027730B" w:rsidRPr="00883CE0">
        <w:t>FL Keys Reasonable Assurance Documentation</w:t>
      </w:r>
      <w:r w:rsidR="00140E80" w:rsidRPr="00883CE0">
        <w:t xml:space="preserve"> (FKRAD)</w:t>
      </w:r>
      <w:r w:rsidR="0027730B" w:rsidRPr="00883CE0">
        <w:t xml:space="preserve"> (</w:t>
      </w:r>
      <w:r w:rsidR="00733792" w:rsidRPr="00883CE0">
        <w:t xml:space="preserve">FDEP </w:t>
      </w:r>
      <w:r w:rsidR="0027730B" w:rsidRPr="00883CE0">
        <w:t>2008):</w:t>
      </w:r>
    </w:p>
    <w:p w:rsidR="00CE5678" w:rsidRDefault="0027730B" w:rsidP="009D1F25">
      <w:pPr>
        <w:autoSpaceDE w:val="0"/>
        <w:autoSpaceDN w:val="0"/>
        <w:adjustRightInd w:val="0"/>
        <w:spacing w:after="120"/>
        <w:ind w:left="720"/>
        <w:rPr>
          <w:rFonts w:cs="Arial"/>
        </w:rPr>
      </w:pPr>
      <w:r w:rsidRPr="00262FCF">
        <w:rPr>
          <w:rFonts w:cs="Arial"/>
        </w:rPr>
        <w:t>The Florida Keys is a chain of islands approximately 220 miles long, extending from the end</w:t>
      </w:r>
      <w:r>
        <w:rPr>
          <w:rFonts w:cs="Arial"/>
        </w:rPr>
        <w:t xml:space="preserve"> </w:t>
      </w:r>
      <w:r w:rsidRPr="00262FCF">
        <w:rPr>
          <w:rFonts w:cs="Arial"/>
        </w:rPr>
        <w:t>of the Florida peninsula curving southwest toward the Dry Tortugas. Consisting of 822</w:t>
      </w:r>
      <w:r>
        <w:rPr>
          <w:rFonts w:cs="Arial"/>
        </w:rPr>
        <w:t xml:space="preserve"> </w:t>
      </w:r>
      <w:r w:rsidRPr="00262FCF">
        <w:rPr>
          <w:rFonts w:cs="Arial"/>
        </w:rPr>
        <w:t>islands, of which about 30 are inhabited, the Florida Keys are traversed by U.S. Highway 1</w:t>
      </w:r>
      <w:r>
        <w:rPr>
          <w:rFonts w:cs="Arial"/>
        </w:rPr>
        <w:t xml:space="preserve"> </w:t>
      </w:r>
      <w:r w:rsidRPr="00262FCF">
        <w:rPr>
          <w:rFonts w:cs="Arial"/>
        </w:rPr>
        <w:t>(a.k.a., US 1 or Overseas Highway) with 19 miles of bridges. The Keys are entirely within</w:t>
      </w:r>
      <w:r>
        <w:rPr>
          <w:rFonts w:cs="Arial"/>
        </w:rPr>
        <w:t xml:space="preserve"> </w:t>
      </w:r>
      <w:r w:rsidRPr="00262FCF">
        <w:rPr>
          <w:rFonts w:cs="Arial"/>
        </w:rPr>
        <w:t>Monroe County and includes the municipalities of Islamorada, Key Colony Beach, Layton</w:t>
      </w:r>
      <w:r w:rsidR="00CE5678">
        <w:rPr>
          <w:rFonts w:cs="Arial"/>
        </w:rPr>
        <w:t>,</w:t>
      </w:r>
      <w:r>
        <w:rPr>
          <w:rFonts w:cs="Arial"/>
        </w:rPr>
        <w:t xml:space="preserve"> </w:t>
      </w:r>
      <w:r w:rsidRPr="00262FCF">
        <w:rPr>
          <w:rFonts w:cs="Arial"/>
        </w:rPr>
        <w:t>Marathon and Key West. Key West represents about 30 percent (24,000 people) of the</w:t>
      </w:r>
      <w:r>
        <w:rPr>
          <w:rFonts w:cs="Arial"/>
        </w:rPr>
        <w:t xml:space="preserve"> </w:t>
      </w:r>
      <w:r w:rsidRPr="00262FCF">
        <w:rPr>
          <w:rFonts w:cs="Arial"/>
        </w:rPr>
        <w:t>population of Monroe County, which,</w:t>
      </w:r>
      <w:r w:rsidR="007D6800">
        <w:rPr>
          <w:rFonts w:cs="Arial"/>
        </w:rPr>
        <w:t xml:space="preserve"> according to the 2000 Census, </w:t>
      </w:r>
      <w:proofErr w:type="gramStart"/>
      <w:r w:rsidR="007D6800">
        <w:rPr>
          <w:rFonts w:cs="Arial"/>
        </w:rPr>
        <w:t>wa</w:t>
      </w:r>
      <w:r w:rsidRPr="00262FCF">
        <w:rPr>
          <w:rFonts w:cs="Arial"/>
        </w:rPr>
        <w:t>s</w:t>
      </w:r>
      <w:proofErr w:type="gramEnd"/>
      <w:r w:rsidRPr="00262FCF">
        <w:rPr>
          <w:rFonts w:cs="Arial"/>
        </w:rPr>
        <w:t xml:space="preserve"> about 79,600 people.</w:t>
      </w:r>
      <w:r>
        <w:rPr>
          <w:rFonts w:cs="Arial"/>
        </w:rPr>
        <w:t xml:space="preserve"> </w:t>
      </w:r>
      <w:r w:rsidR="007D6800">
        <w:rPr>
          <w:rFonts w:cs="Arial"/>
        </w:rPr>
        <w:t xml:space="preserve"> </w:t>
      </w:r>
      <w:r w:rsidRPr="00262FCF">
        <w:rPr>
          <w:rFonts w:cs="Arial"/>
        </w:rPr>
        <w:t>In general, Florida watersheds are characterized by a large land mass that concentrates</w:t>
      </w:r>
      <w:r w:rsidR="00A92004">
        <w:rPr>
          <w:rFonts w:cs="Arial"/>
        </w:rPr>
        <w:t xml:space="preserve"> </w:t>
      </w:r>
      <w:r w:rsidRPr="00262FCF">
        <w:rPr>
          <w:rFonts w:cs="Arial"/>
        </w:rPr>
        <w:t xml:space="preserve">and directs runoff to a relatively small </w:t>
      </w:r>
      <w:proofErr w:type="spellStart"/>
      <w:r w:rsidRPr="00262FCF">
        <w:rPr>
          <w:rFonts w:cs="Arial"/>
        </w:rPr>
        <w:t>waterbody</w:t>
      </w:r>
      <w:proofErr w:type="spellEnd"/>
      <w:r w:rsidRPr="00262FCF">
        <w:rPr>
          <w:rFonts w:cs="Arial"/>
        </w:rPr>
        <w:t>. Thus, runoff is discharged to receiving</w:t>
      </w:r>
      <w:r>
        <w:rPr>
          <w:rFonts w:cs="Arial"/>
        </w:rPr>
        <w:t xml:space="preserve"> </w:t>
      </w:r>
      <w:r w:rsidRPr="00262FCF">
        <w:rPr>
          <w:rFonts w:cs="Arial"/>
        </w:rPr>
        <w:t>waters wherein pollutants are concentrated. Soils allow infiltration and percolation slowing</w:t>
      </w:r>
      <w:r>
        <w:rPr>
          <w:rFonts w:cs="Arial"/>
        </w:rPr>
        <w:t xml:space="preserve"> </w:t>
      </w:r>
      <w:r w:rsidRPr="00262FCF">
        <w:rPr>
          <w:rFonts w:cs="Arial"/>
        </w:rPr>
        <w:t>down nutrient runoff and soils facilitate the treatment of nutrients due the availability of land</w:t>
      </w:r>
      <w:r>
        <w:rPr>
          <w:rFonts w:cs="Arial"/>
        </w:rPr>
        <w:t xml:space="preserve"> </w:t>
      </w:r>
      <w:r w:rsidRPr="00262FCF">
        <w:rPr>
          <w:rFonts w:cs="Arial"/>
        </w:rPr>
        <w:t xml:space="preserve">for conventional stormwater best management practices (BMPs). </w:t>
      </w:r>
      <w:r>
        <w:rPr>
          <w:rFonts w:cs="Arial"/>
        </w:rPr>
        <w:t xml:space="preserve"> </w:t>
      </w:r>
      <w:r w:rsidRPr="00262FCF">
        <w:rPr>
          <w:rFonts w:cs="Arial"/>
        </w:rPr>
        <w:t>Similarly, with the large</w:t>
      </w:r>
      <w:r>
        <w:rPr>
          <w:rFonts w:cs="Arial"/>
        </w:rPr>
        <w:t xml:space="preserve"> </w:t>
      </w:r>
      <w:r w:rsidRPr="00262FCF">
        <w:rPr>
          <w:rFonts w:cs="Arial"/>
        </w:rPr>
        <w:t>watersheds, wastewater can be controlled using septic tanks and large regional treatment</w:t>
      </w:r>
      <w:r>
        <w:rPr>
          <w:rFonts w:cs="Arial"/>
        </w:rPr>
        <w:t xml:space="preserve"> </w:t>
      </w:r>
      <w:r w:rsidRPr="00262FCF">
        <w:rPr>
          <w:rFonts w:cs="Arial"/>
        </w:rPr>
        <w:t xml:space="preserve">facilities. Septic discharges through a </w:t>
      </w:r>
      <w:proofErr w:type="spellStart"/>
      <w:r w:rsidRPr="00262FCF">
        <w:rPr>
          <w:rFonts w:cs="Arial"/>
        </w:rPr>
        <w:t>drainfield</w:t>
      </w:r>
      <w:proofErr w:type="spellEnd"/>
      <w:r w:rsidRPr="00262FCF">
        <w:rPr>
          <w:rFonts w:cs="Arial"/>
        </w:rPr>
        <w:t xml:space="preserve"> can be absorbed into the soils and regional</w:t>
      </w:r>
      <w:r>
        <w:rPr>
          <w:rFonts w:cs="Arial"/>
        </w:rPr>
        <w:t xml:space="preserve"> </w:t>
      </w:r>
      <w:r w:rsidRPr="00262FCF">
        <w:rPr>
          <w:rFonts w:cs="Arial"/>
        </w:rPr>
        <w:t>treatment discharges can be via reuse, storage, land application, deep well injection and in</w:t>
      </w:r>
      <w:r>
        <w:rPr>
          <w:rFonts w:cs="Arial"/>
        </w:rPr>
        <w:t xml:space="preserve"> </w:t>
      </w:r>
      <w:r w:rsidRPr="00262FCF">
        <w:rPr>
          <w:rFonts w:cs="Arial"/>
        </w:rPr>
        <w:t xml:space="preserve">some cases, surface water discharge to receiving waters. </w:t>
      </w:r>
    </w:p>
    <w:p w:rsidR="00D274AC" w:rsidRDefault="0027730B" w:rsidP="009D1F25">
      <w:pPr>
        <w:autoSpaceDE w:val="0"/>
        <w:autoSpaceDN w:val="0"/>
        <w:adjustRightInd w:val="0"/>
        <w:spacing w:after="120"/>
        <w:ind w:left="720"/>
        <w:rPr>
          <w:rFonts w:cs="Arial"/>
        </w:rPr>
      </w:pPr>
      <w:r w:rsidRPr="00262FCF">
        <w:rPr>
          <w:rFonts w:cs="Arial"/>
        </w:rPr>
        <w:t xml:space="preserve">The Florida Keys, in contrast, is </w:t>
      </w:r>
      <w:proofErr w:type="gramStart"/>
      <w:r w:rsidRPr="00262FCF">
        <w:rPr>
          <w:rFonts w:cs="Arial"/>
        </w:rPr>
        <w:t>a 220</w:t>
      </w:r>
      <w:proofErr w:type="gramEnd"/>
      <w:r w:rsidRPr="00262FCF">
        <w:rPr>
          <w:rFonts w:cs="Arial"/>
        </w:rPr>
        <w:t xml:space="preserve"> miles-long string of small narrow linear islands</w:t>
      </w:r>
      <w:r>
        <w:rPr>
          <w:rFonts w:cs="Arial"/>
        </w:rPr>
        <w:t xml:space="preserve"> </w:t>
      </w:r>
      <w:r w:rsidRPr="00262FCF">
        <w:rPr>
          <w:rFonts w:cs="Arial"/>
        </w:rPr>
        <w:t xml:space="preserve">surrounded by a very large receiving </w:t>
      </w:r>
      <w:proofErr w:type="spellStart"/>
      <w:r w:rsidRPr="00262FCF">
        <w:rPr>
          <w:rFonts w:cs="Arial"/>
        </w:rPr>
        <w:t>waterbody</w:t>
      </w:r>
      <w:proofErr w:type="spellEnd"/>
      <w:r w:rsidRPr="00262FCF">
        <w:rPr>
          <w:rFonts w:cs="Arial"/>
        </w:rPr>
        <w:t xml:space="preserve">. </w:t>
      </w:r>
      <w:r w:rsidR="007D6800">
        <w:rPr>
          <w:rFonts w:cs="Arial"/>
        </w:rPr>
        <w:t xml:space="preserve"> </w:t>
      </w:r>
      <w:r w:rsidRPr="00262FCF">
        <w:rPr>
          <w:rFonts w:cs="Arial"/>
        </w:rPr>
        <w:t>As a result, local runoff is not focused and</w:t>
      </w:r>
      <w:r>
        <w:rPr>
          <w:rFonts w:cs="Arial"/>
        </w:rPr>
        <w:t xml:space="preserve"> </w:t>
      </w:r>
      <w:r w:rsidRPr="00262FCF">
        <w:rPr>
          <w:rFonts w:cs="Arial"/>
        </w:rPr>
        <w:t>pollutants are dispersed in the Gulf of</w:t>
      </w:r>
      <w:r w:rsidR="007D6800">
        <w:rPr>
          <w:rFonts w:cs="Arial"/>
        </w:rPr>
        <w:t xml:space="preserve"> Mexico and Straits of Florida.  </w:t>
      </w:r>
      <w:r w:rsidRPr="00262FCF">
        <w:rPr>
          <w:rFonts w:cs="Arial"/>
        </w:rPr>
        <w:t>Soils are such that</w:t>
      </w:r>
      <w:r>
        <w:rPr>
          <w:rFonts w:cs="Arial"/>
        </w:rPr>
        <w:t xml:space="preserve"> </w:t>
      </w:r>
      <w:r w:rsidRPr="00262FCF">
        <w:rPr>
          <w:rFonts w:cs="Arial"/>
        </w:rPr>
        <w:t xml:space="preserve">infiltration and </w:t>
      </w:r>
      <w:r w:rsidRPr="00262FCF">
        <w:rPr>
          <w:rFonts w:cs="Arial"/>
        </w:rPr>
        <w:lastRenderedPageBreak/>
        <w:t>percolation are relatively enhanced, moving infiltrated runoff and its pollutants</w:t>
      </w:r>
      <w:r>
        <w:rPr>
          <w:rFonts w:cs="Arial"/>
        </w:rPr>
        <w:t xml:space="preserve"> </w:t>
      </w:r>
      <w:r w:rsidRPr="00262FCF">
        <w:rPr>
          <w:rFonts w:cs="Arial"/>
        </w:rPr>
        <w:t>to nearshore waters quickly, yielding little or no nutrient entrapment or treatment in the soils matrix. The limited size of the land area limits the ability to place land intensive stormwater</w:t>
      </w:r>
      <w:r>
        <w:rPr>
          <w:rFonts w:cs="Arial"/>
        </w:rPr>
        <w:t xml:space="preserve"> </w:t>
      </w:r>
      <w:r w:rsidRPr="00262FCF">
        <w:rPr>
          <w:rFonts w:cs="Arial"/>
        </w:rPr>
        <w:t xml:space="preserve">BMPs (such as detention or retention ponds). </w:t>
      </w:r>
      <w:r w:rsidR="007D6800">
        <w:rPr>
          <w:rFonts w:cs="Arial"/>
        </w:rPr>
        <w:t xml:space="preserve"> </w:t>
      </w:r>
      <w:r w:rsidRPr="00262FCF">
        <w:rPr>
          <w:rFonts w:cs="Arial"/>
        </w:rPr>
        <w:t>Also unique to the Florida Keys is the degree</w:t>
      </w:r>
      <w:r>
        <w:rPr>
          <w:rFonts w:cs="Arial"/>
        </w:rPr>
        <w:t xml:space="preserve"> </w:t>
      </w:r>
      <w:r w:rsidRPr="00262FCF">
        <w:rPr>
          <w:rFonts w:cs="Arial"/>
        </w:rPr>
        <w:t xml:space="preserve">to which external farfield pollutants circulating in marine waters impact local waters. </w:t>
      </w:r>
      <w:r w:rsidR="007D6800">
        <w:rPr>
          <w:rFonts w:cs="Arial"/>
        </w:rPr>
        <w:t xml:space="preserve"> Due</w:t>
      </w:r>
      <w:r w:rsidRPr="00262FCF">
        <w:rPr>
          <w:rFonts w:cs="Arial"/>
        </w:rPr>
        <w:t xml:space="preserve"> to the </w:t>
      </w:r>
      <w:r w:rsidR="007D6800">
        <w:rPr>
          <w:rFonts w:cs="Arial"/>
        </w:rPr>
        <w:t xml:space="preserve">existing </w:t>
      </w:r>
      <w:r w:rsidRPr="00262FCF">
        <w:rPr>
          <w:rFonts w:cs="Arial"/>
        </w:rPr>
        <w:t>soils, high water table</w:t>
      </w:r>
      <w:r w:rsidR="007D6800">
        <w:rPr>
          <w:rFonts w:cs="Arial"/>
        </w:rPr>
        <w:t>,</w:t>
      </w:r>
      <w:r w:rsidRPr="00262FCF">
        <w:rPr>
          <w:rFonts w:cs="Arial"/>
        </w:rPr>
        <w:t xml:space="preserve"> and tides, septic tanks have limited treatment</w:t>
      </w:r>
      <w:r>
        <w:rPr>
          <w:rFonts w:cs="Arial"/>
        </w:rPr>
        <w:t xml:space="preserve"> </w:t>
      </w:r>
      <w:r w:rsidRPr="00262FCF">
        <w:rPr>
          <w:rFonts w:cs="Arial"/>
        </w:rPr>
        <w:t xml:space="preserve">capability and “regional” </w:t>
      </w:r>
      <w:r w:rsidR="007D6800">
        <w:rPr>
          <w:rFonts w:cs="Arial"/>
        </w:rPr>
        <w:t xml:space="preserve">wastewater </w:t>
      </w:r>
      <w:r w:rsidRPr="00262FCF">
        <w:rPr>
          <w:rFonts w:cs="Arial"/>
        </w:rPr>
        <w:t xml:space="preserve">systems are historically limited to small package plants. </w:t>
      </w:r>
      <w:r w:rsidR="007D6800">
        <w:rPr>
          <w:rFonts w:cs="Arial"/>
        </w:rPr>
        <w:t xml:space="preserve"> </w:t>
      </w:r>
      <w:r w:rsidRPr="00262FCF">
        <w:rPr>
          <w:rFonts w:cs="Arial"/>
        </w:rPr>
        <w:t>Finally,</w:t>
      </w:r>
      <w:r>
        <w:rPr>
          <w:rFonts w:cs="Arial"/>
        </w:rPr>
        <w:t xml:space="preserve"> </w:t>
      </w:r>
      <w:r w:rsidRPr="00262FCF">
        <w:rPr>
          <w:rFonts w:cs="Arial"/>
        </w:rPr>
        <w:t>pollutant sources outside of the control of the local governments provide the dominant</w:t>
      </w:r>
      <w:r>
        <w:rPr>
          <w:rFonts w:cs="Arial"/>
        </w:rPr>
        <w:t xml:space="preserve"> </w:t>
      </w:r>
      <w:r w:rsidRPr="00262FCF">
        <w:rPr>
          <w:rFonts w:cs="Arial"/>
        </w:rPr>
        <w:t xml:space="preserve">influence on the receiving waters of the area. </w:t>
      </w:r>
      <w:r w:rsidR="007D6800">
        <w:rPr>
          <w:rFonts w:cs="Arial"/>
        </w:rPr>
        <w:t xml:space="preserve"> </w:t>
      </w:r>
      <w:r w:rsidRPr="00262FCF">
        <w:rPr>
          <w:rFonts w:cs="Arial"/>
        </w:rPr>
        <w:t>In this case, unconventional approaches to</w:t>
      </w:r>
      <w:r>
        <w:rPr>
          <w:rFonts w:cs="Arial"/>
        </w:rPr>
        <w:t xml:space="preserve"> </w:t>
      </w:r>
      <w:r w:rsidRPr="00262FCF">
        <w:rPr>
          <w:rFonts w:cs="Arial"/>
        </w:rPr>
        <w:t>pollutant controls are required.</w:t>
      </w:r>
    </w:p>
    <w:p w:rsidR="0027730B" w:rsidRPr="002708E9" w:rsidRDefault="0027730B" w:rsidP="009D1F25">
      <w:pPr>
        <w:pStyle w:val="EstuaryHeading"/>
        <w:spacing w:after="120"/>
      </w:pPr>
      <w:bookmarkStart w:id="3" w:name="_Toc263862795"/>
      <w:r w:rsidRPr="002708E9">
        <w:t>Sources and Fates of Nutrients</w:t>
      </w:r>
      <w:bookmarkEnd w:id="3"/>
    </w:p>
    <w:p w:rsidR="00A92004" w:rsidRDefault="00E8230D" w:rsidP="009D1F25">
      <w:pPr>
        <w:pStyle w:val="EstuarySubheading"/>
        <w:spacing w:after="120"/>
      </w:pPr>
      <w:bookmarkStart w:id="4" w:name="_Toc263862796"/>
      <w:r>
        <w:t>Nutrient sources and loading estimates</w:t>
      </w:r>
      <w:bookmarkEnd w:id="4"/>
    </w:p>
    <w:p w:rsidR="00945E08" w:rsidRDefault="00B3421E" w:rsidP="009D1F25">
      <w:pPr>
        <w:autoSpaceDE w:val="0"/>
        <w:autoSpaceDN w:val="0"/>
        <w:adjustRightInd w:val="0"/>
        <w:spacing w:after="120"/>
        <w:rPr>
          <w:rFonts w:cs="TimesNewRomanPSMT"/>
        </w:rPr>
      </w:pPr>
      <w:r w:rsidRPr="006078E4">
        <w:rPr>
          <w:rFonts w:cs="TimesNewRomanPSMT"/>
        </w:rPr>
        <w:t>Water quality of the FKNMS may be directly affected both by</w:t>
      </w:r>
      <w:r>
        <w:rPr>
          <w:rFonts w:cs="TimesNewRomanPSMT"/>
        </w:rPr>
        <w:t xml:space="preserve"> local</w:t>
      </w:r>
      <w:r w:rsidRPr="006078E4">
        <w:rPr>
          <w:rFonts w:cs="TimesNewRomanPSMT"/>
        </w:rPr>
        <w:t xml:space="preserve"> nutrient loading sources</w:t>
      </w:r>
      <w:r>
        <w:rPr>
          <w:rFonts w:cs="TimesNewRomanPSMT"/>
        </w:rPr>
        <w:t xml:space="preserve"> and external nutrient transport</w:t>
      </w:r>
      <w:r w:rsidR="00140E80">
        <w:rPr>
          <w:rFonts w:cs="TimesNewRomanPSMT"/>
        </w:rPr>
        <w:t xml:space="preserve"> (Boyer and </w:t>
      </w:r>
      <w:proofErr w:type="spellStart"/>
      <w:r w:rsidR="00140E80">
        <w:rPr>
          <w:rFonts w:cs="TimesNewRomanPSMT"/>
        </w:rPr>
        <w:t>Briceño</w:t>
      </w:r>
      <w:proofErr w:type="spellEnd"/>
      <w:r w:rsidR="00140E80">
        <w:rPr>
          <w:rFonts w:cs="TimesNewRomanPSMT"/>
        </w:rPr>
        <w:t xml:space="preserve"> </w:t>
      </w:r>
      <w:r w:rsidR="00140E80" w:rsidRPr="001274FE">
        <w:rPr>
          <w:rFonts w:cs="TimesNewRomanPSMT"/>
        </w:rPr>
        <w:t>2009</w:t>
      </w:r>
      <w:r w:rsidRPr="001274FE">
        <w:rPr>
          <w:rFonts w:cs="TimesNewRomanPSMT"/>
        </w:rPr>
        <w:t>).</w:t>
      </w:r>
      <w:r>
        <w:rPr>
          <w:rFonts w:cs="TimesNewRomanPSMT"/>
        </w:rPr>
        <w:t xml:space="preserve">  There are both anthropogenic and natural sources for the local and external nutrient loads.  </w:t>
      </w:r>
      <w:r w:rsidR="00945E08" w:rsidRPr="006078E4">
        <w:rPr>
          <w:rFonts w:cs="TimesNewRomanPSMT"/>
        </w:rPr>
        <w:t>The FKNMS is directly influenced by the Florida Current, the Gulf of Mexico Loop Current, inshore currents</w:t>
      </w:r>
      <w:r w:rsidR="00B75270">
        <w:rPr>
          <w:rFonts w:cs="TimesNewRomanPSMT"/>
        </w:rPr>
        <w:t xml:space="preserve"> of the SW Florida Shelf</w:t>
      </w:r>
      <w:r w:rsidR="00945E08" w:rsidRPr="006078E4">
        <w:rPr>
          <w:rFonts w:cs="TimesNewRomanPSMT"/>
        </w:rPr>
        <w:t xml:space="preserve">, discharge from the Everglades through the Shark River Slough, and by tidal exchange with both Florida </w:t>
      </w:r>
      <w:r w:rsidR="00140E80">
        <w:rPr>
          <w:rFonts w:cs="TimesNewRomanPSMT"/>
        </w:rPr>
        <w:t>Bay and Biscayne Bay (</w:t>
      </w:r>
      <w:r w:rsidR="00945E08" w:rsidRPr="006078E4">
        <w:rPr>
          <w:rFonts w:cs="TimesNewRomanPSMT"/>
        </w:rPr>
        <w:t xml:space="preserve">Lee </w:t>
      </w:r>
      <w:r w:rsidR="007E2405" w:rsidRPr="007E2405">
        <w:rPr>
          <w:rFonts w:cs="TimesNewRomanPSMT"/>
          <w:i/>
        </w:rPr>
        <w:t xml:space="preserve">et al. </w:t>
      </w:r>
      <w:r w:rsidR="00945E08" w:rsidRPr="006078E4">
        <w:rPr>
          <w:rFonts w:cs="TimesNewRomanPSMT"/>
        </w:rPr>
        <w:t xml:space="preserve">2002). </w:t>
      </w:r>
      <w:r>
        <w:rPr>
          <w:rFonts w:cs="TimesNewRomanPSMT"/>
        </w:rPr>
        <w:t xml:space="preserve">  </w:t>
      </w:r>
      <w:r w:rsidR="00945E08" w:rsidRPr="006078E4">
        <w:rPr>
          <w:rFonts w:cs="TimesNewRomanPSMT"/>
        </w:rPr>
        <w:t xml:space="preserve">Advection from these external sources has significant effects on the physical, chemical, and biological composition of waters within the FKNMS, as </w:t>
      </w:r>
      <w:r w:rsidR="00960155">
        <w:rPr>
          <w:rFonts w:cs="TimesNewRomanPSMT"/>
        </w:rPr>
        <w:t>does</w:t>
      </w:r>
      <w:r w:rsidR="00945E08" w:rsidRPr="006078E4">
        <w:rPr>
          <w:rFonts w:cs="TimesNewRomanPSMT"/>
        </w:rPr>
        <w:t xml:space="preserve"> internal nutrient loading and freshwater runoff from the Keys themselves (Boyer and Jones 2002).</w:t>
      </w:r>
      <w:r w:rsidR="00EC5DAF">
        <w:rPr>
          <w:rFonts w:cs="TimesNewRomanPSMT"/>
        </w:rPr>
        <w:t xml:space="preserve">  </w:t>
      </w:r>
      <w:r w:rsidR="00945E08" w:rsidRPr="006078E4">
        <w:rPr>
          <w:rFonts w:cs="TimesNewRomanPSMT"/>
        </w:rPr>
        <w:t xml:space="preserve"> </w:t>
      </w:r>
      <w:r>
        <w:rPr>
          <w:rFonts w:cs="TimesNewRomanPSMT"/>
        </w:rPr>
        <w:t xml:space="preserve">  </w:t>
      </w:r>
      <w:r w:rsidR="00945E08">
        <w:rPr>
          <w:rFonts w:cs="TimesNewRomanPSMT"/>
        </w:rPr>
        <w:t xml:space="preserve">  </w:t>
      </w:r>
    </w:p>
    <w:p w:rsidR="00A958BB" w:rsidRDefault="00DC24AA" w:rsidP="009D1F25">
      <w:pPr>
        <w:autoSpaceDE w:val="0"/>
        <w:autoSpaceDN w:val="0"/>
        <w:adjustRightInd w:val="0"/>
        <w:spacing w:after="120"/>
        <w:rPr>
          <w:rFonts w:cs="TimesNewRomanPSMT"/>
        </w:rPr>
      </w:pPr>
      <w:r w:rsidRPr="00D242BF">
        <w:rPr>
          <w:rFonts w:cs="TimesNewRomanPSMT"/>
        </w:rPr>
        <w:t xml:space="preserve">Local anthropogenic nutrient sources within the Keys include point source discharges and nonpoint source inputs, such as septic tanks and stormwater.  </w:t>
      </w:r>
      <w:r w:rsidR="00C23260" w:rsidRPr="00D242BF">
        <w:rPr>
          <w:rFonts w:cs="TimesNewRomanPSMT"/>
        </w:rPr>
        <w:t>The FKRAD (</w:t>
      </w:r>
      <w:r w:rsidR="00733792">
        <w:rPr>
          <w:rFonts w:cs="TimesNewRomanPSMT"/>
        </w:rPr>
        <w:t xml:space="preserve">FDEP </w:t>
      </w:r>
      <w:r w:rsidR="00C23260" w:rsidRPr="00D242BF">
        <w:rPr>
          <w:rFonts w:cs="TimesNewRomanPSMT"/>
        </w:rPr>
        <w:t xml:space="preserve">2008) identified local nutrient sources in the Keys including wastewater and stormwater originating in the unincorporated Monroe County in the Key Largo area, the Villages of Islamorada, Marathon, Key Colony Beach, Layton, the </w:t>
      </w:r>
      <w:r w:rsidR="00C23260" w:rsidRPr="001274FE">
        <w:rPr>
          <w:rFonts w:cs="TimesNewRomanPSMT"/>
        </w:rPr>
        <w:t>City</w:t>
      </w:r>
      <w:r w:rsidR="00C23260" w:rsidRPr="00D242BF">
        <w:rPr>
          <w:rFonts w:cs="TimesNewRomanPSMT"/>
        </w:rPr>
        <w:t xml:space="preserve"> of Key West, the Florida Department of Transportation (FDOT), and the Florida State Park Service.  </w:t>
      </w:r>
      <w:r w:rsidR="00AB081D" w:rsidRPr="00D242BF">
        <w:rPr>
          <w:rFonts w:cs="TimesNewRomanPSMT"/>
        </w:rPr>
        <w:t xml:space="preserve">Additionally, in the south-central and southern Keys there is stormwater and wastewater originating in the U.S. Navy facilities </w:t>
      </w:r>
      <w:r w:rsidR="00960155">
        <w:rPr>
          <w:rFonts w:cs="TimesNewRomanPSMT"/>
        </w:rPr>
        <w:t xml:space="preserve">both </w:t>
      </w:r>
      <w:r w:rsidR="00AB081D" w:rsidRPr="00D242BF">
        <w:rPr>
          <w:rFonts w:cs="TimesNewRomanPSMT"/>
        </w:rPr>
        <w:t xml:space="preserve">in Boca Chico and </w:t>
      </w:r>
      <w:r w:rsidR="00960155">
        <w:rPr>
          <w:rFonts w:cs="TimesNewRomanPSMT"/>
        </w:rPr>
        <w:t xml:space="preserve">those </w:t>
      </w:r>
      <w:r w:rsidR="00AB081D" w:rsidRPr="00D242BF">
        <w:rPr>
          <w:rFonts w:cs="TimesNewRomanPSMT"/>
        </w:rPr>
        <w:t>adjacent to the City of Key West.</w:t>
      </w:r>
      <w:r w:rsidR="00D242BF" w:rsidRPr="00D242BF">
        <w:rPr>
          <w:rFonts w:cs="TimesNewRomanPSMT"/>
        </w:rPr>
        <w:t xml:space="preserve">   </w:t>
      </w:r>
    </w:p>
    <w:p w:rsidR="001206EE" w:rsidRDefault="00A958BB" w:rsidP="009D1F25">
      <w:pPr>
        <w:autoSpaceDE w:val="0"/>
        <w:autoSpaceDN w:val="0"/>
        <w:adjustRightInd w:val="0"/>
        <w:spacing w:after="120"/>
        <w:rPr>
          <w:rFonts w:cs="TimesNewRomanPSMT"/>
        </w:rPr>
      </w:pPr>
      <w:r>
        <w:rPr>
          <w:rFonts w:cs="TimesNewRomanPSMT"/>
        </w:rPr>
        <w:t xml:space="preserve">Lapointe and Clark (1992) characterized nutrient </w:t>
      </w:r>
      <w:r w:rsidR="00577BF5">
        <w:rPr>
          <w:rFonts w:cs="TimesNewRomanPSMT"/>
        </w:rPr>
        <w:t>concentrations at 30 sites along a gradient from the watershed-coastal zone to offshore regions, including sites in Florida Bay and along the reef tract.  They observed elevated NH</w:t>
      </w:r>
      <w:r w:rsidR="00577BF5">
        <w:rPr>
          <w:rFonts w:cs="TimesNewRomanPSMT"/>
          <w:vertAlign w:val="subscript"/>
        </w:rPr>
        <w:t>4</w:t>
      </w:r>
      <w:r w:rsidR="00D274AC">
        <w:rPr>
          <w:rFonts w:cs="TimesNewRomanPSMT"/>
          <w:vertAlign w:val="superscript"/>
        </w:rPr>
        <w:t>+</w:t>
      </w:r>
      <w:r w:rsidR="00D274AC">
        <w:rPr>
          <w:rFonts w:cs="TimesNewRomanPSMT"/>
        </w:rPr>
        <w:t>, NO</w:t>
      </w:r>
      <w:r w:rsidR="00D274AC">
        <w:rPr>
          <w:rFonts w:cs="TimesNewRomanPSMT"/>
          <w:vertAlign w:val="subscript"/>
        </w:rPr>
        <w:t>3</w:t>
      </w:r>
      <w:r w:rsidR="00D274AC">
        <w:rPr>
          <w:rFonts w:cs="TimesNewRomanPSMT"/>
          <w:vertAlign w:val="superscript"/>
        </w:rPr>
        <w:t>-</w:t>
      </w:r>
      <w:r w:rsidR="00D274AC">
        <w:rPr>
          <w:rFonts w:cs="TimesNewRomanPSMT"/>
        </w:rPr>
        <w:t>, and PN concentrations in canal and seagrass meadows compared to patch and bank reef stations.</w:t>
      </w:r>
      <w:r w:rsidR="00577BF5">
        <w:rPr>
          <w:rFonts w:cs="TimesNewRomanPSMT"/>
        </w:rPr>
        <w:t xml:space="preserve">  </w:t>
      </w:r>
      <w:r w:rsidR="00D274AC">
        <w:rPr>
          <w:rFonts w:cs="TimesNewRomanPSMT"/>
        </w:rPr>
        <w:t xml:space="preserve">SRP and PP concentrations were significantly higher in canal systems compared to seagrass, patch reef, and bank reef stations.  Chlorophyll </w:t>
      </w:r>
      <w:r w:rsidR="00D274AC" w:rsidRPr="00B75270">
        <w:rPr>
          <w:rFonts w:cs="TimesNewRomanPSMT"/>
          <w:i/>
        </w:rPr>
        <w:t>a</w:t>
      </w:r>
      <w:r w:rsidR="00D274AC">
        <w:rPr>
          <w:rFonts w:cs="TimesNewRomanPSMT"/>
        </w:rPr>
        <w:t xml:space="preserve"> was also higher in nearshore canal and seagrass systems compared to the reef stations.</w:t>
      </w:r>
      <w:r w:rsidR="00632AEB">
        <w:rPr>
          <w:rFonts w:cs="TimesNewRomanPSMT"/>
        </w:rPr>
        <w:t xml:space="preserve">  </w:t>
      </w:r>
    </w:p>
    <w:p w:rsidR="00D242BF" w:rsidRDefault="00632AEB" w:rsidP="009D1F25">
      <w:pPr>
        <w:autoSpaceDE w:val="0"/>
        <w:autoSpaceDN w:val="0"/>
        <w:adjustRightInd w:val="0"/>
        <w:spacing w:after="120"/>
        <w:rPr>
          <w:rFonts w:cs="TimesNewRomanPSMT"/>
        </w:rPr>
      </w:pPr>
      <w:r w:rsidRPr="001274FE">
        <w:t>Boyer and Jones (2002) also</w:t>
      </w:r>
      <w:r>
        <w:t xml:space="preserve"> </w:t>
      </w:r>
      <w:r w:rsidRPr="00632AEB">
        <w:t xml:space="preserve">reported results </w:t>
      </w:r>
      <w:r>
        <w:t>of declining inshore to offshore trends for NO</w:t>
      </w:r>
      <w:r w:rsidRPr="00D242BF">
        <w:rPr>
          <w:vertAlign w:val="subscript"/>
        </w:rPr>
        <w:t>3</w:t>
      </w:r>
      <w:r w:rsidRPr="00D242BF">
        <w:rPr>
          <w:vertAlign w:val="superscript"/>
        </w:rPr>
        <w:t>-</w:t>
      </w:r>
      <w:r>
        <w:t>, NH</w:t>
      </w:r>
      <w:r w:rsidRPr="00D242BF">
        <w:rPr>
          <w:vertAlign w:val="subscript"/>
        </w:rPr>
        <w:t>4</w:t>
      </w:r>
      <w:r w:rsidRPr="00D242BF">
        <w:rPr>
          <w:vertAlign w:val="superscript"/>
        </w:rPr>
        <w:t>+</w:t>
      </w:r>
      <w:r>
        <w:t xml:space="preserve">, TOC, TON, and turbidity.   In the Lower Keys inorganic N and TP were elevated in the Backcountry area.  </w:t>
      </w:r>
      <w:r w:rsidR="00EC5DAF">
        <w:t>TP concentrations in the Lower K</w:t>
      </w:r>
      <w:r>
        <w:t>eys decreased with distance offshore, but increased along transects in the Upper Keys.   Water quality sampling was conducted quarterly at over 200 stations in the FKNMS and Shelf</w:t>
      </w:r>
      <w:r w:rsidR="00960155">
        <w:t>,</w:t>
      </w:r>
      <w:r>
        <w:t xml:space="preserve"> </w:t>
      </w:r>
      <w:r w:rsidR="00960155">
        <w:t>and was conducted</w:t>
      </w:r>
      <w:r>
        <w:t xml:space="preserve"> monthly in Florida Bay, Biscayne Bay, and the southwest coast mangrove estuaries.  Sampling stations were stratified according to depth, geography, distance from shore, proximity to tidal passes, and influence of shelf waters.  Geographically, the Upper Keys generally had </w:t>
      </w:r>
      <w:r>
        <w:lastRenderedPageBreak/>
        <w:t xml:space="preserve">lower nutrient concentrations than the Lower and Middle Keys.   Ambient water quality in the Lower Keys and Marquesas is most influenced by the southwest Florida Shelf; the Middle Keys by southwest Florida Shelf and Florida Bay; the Backcountry by internal nutrient sources; and the Upper Keys </w:t>
      </w:r>
      <w:r w:rsidR="00960155">
        <w:t xml:space="preserve">water quality is most influenced </w:t>
      </w:r>
      <w:r>
        <w:t xml:space="preserve">by </w:t>
      </w:r>
      <w:r w:rsidR="00960155">
        <w:t xml:space="preserve">intrusion of the </w:t>
      </w:r>
      <w:r>
        <w:t>Florida Current.</w:t>
      </w:r>
      <w:r w:rsidR="00D274AC">
        <w:rPr>
          <w:rFonts w:cs="TimesNewRomanPSMT"/>
        </w:rPr>
        <w:t xml:space="preserve">  </w:t>
      </w:r>
    </w:p>
    <w:p w:rsidR="001206EE" w:rsidRDefault="00EB6C45" w:rsidP="009D1F25">
      <w:pPr>
        <w:autoSpaceDE w:val="0"/>
        <w:autoSpaceDN w:val="0"/>
        <w:adjustRightInd w:val="0"/>
        <w:spacing w:after="120"/>
      </w:pPr>
      <w:r>
        <w:t xml:space="preserve">In addition to surface runoff, submarine groundwater discharge is also a component of nutrient input in the Keys </w:t>
      </w:r>
      <w:r w:rsidR="00E2282F">
        <w:t xml:space="preserve">(Lapointe </w:t>
      </w:r>
      <w:r w:rsidR="007E2405" w:rsidRPr="007E2405">
        <w:rPr>
          <w:i/>
        </w:rPr>
        <w:t xml:space="preserve">et al. </w:t>
      </w:r>
      <w:r w:rsidR="00960155">
        <w:t>1990,</w:t>
      </w:r>
      <w:r w:rsidR="00A958BB">
        <w:t xml:space="preserve"> </w:t>
      </w:r>
      <w:r w:rsidR="00E2282F">
        <w:t xml:space="preserve">Lapointe and </w:t>
      </w:r>
      <w:proofErr w:type="spellStart"/>
      <w:r w:rsidR="00E2282F">
        <w:t>Matzie</w:t>
      </w:r>
      <w:proofErr w:type="spellEnd"/>
      <w:r w:rsidR="00E2282F">
        <w:t xml:space="preserve"> 1996)</w:t>
      </w:r>
      <w:r>
        <w:t xml:space="preserve">.  </w:t>
      </w:r>
      <w:r w:rsidR="00E2282F" w:rsidRPr="00D242BF">
        <w:rPr>
          <w:rFonts w:cs="TimesNewRomanPSMT"/>
        </w:rPr>
        <w:t xml:space="preserve">Lapointe </w:t>
      </w:r>
      <w:r w:rsidR="007E2405" w:rsidRPr="007E2405">
        <w:rPr>
          <w:rFonts w:cs="TimesNewRomanPSMT"/>
          <w:i/>
        </w:rPr>
        <w:t xml:space="preserve">et al. </w:t>
      </w:r>
      <w:r w:rsidR="00E2282F" w:rsidRPr="00D242BF">
        <w:rPr>
          <w:rFonts w:cs="TimesNewRomanPSMT"/>
        </w:rPr>
        <w:t xml:space="preserve">(1990) </w:t>
      </w:r>
      <w:r w:rsidR="00E2282F">
        <w:rPr>
          <w:rFonts w:cs="TimesNewRomanPSMT"/>
        </w:rPr>
        <w:t xml:space="preserve">assessed the degree of nutrient enrichment of limestone groundwaters by on-site sewage disposal systems (OSDS) and seasonal relations between nutrient enriched groundwaters and adjacent surface waters.  </w:t>
      </w:r>
      <w:r w:rsidR="00AF6261">
        <w:rPr>
          <w:rFonts w:cs="TimesNewRomanPSMT"/>
        </w:rPr>
        <w:t>They observed that groundwaters associated with OSDS had elevated nutrient concen</w:t>
      </w:r>
      <w:r w:rsidR="00E57E50">
        <w:rPr>
          <w:rFonts w:cs="TimesNewRomanPSMT"/>
        </w:rPr>
        <w:t xml:space="preserve">trations compared to controls.  </w:t>
      </w:r>
      <w:r w:rsidR="00E57E50">
        <w:t xml:space="preserve">Lapointe and </w:t>
      </w:r>
      <w:proofErr w:type="spellStart"/>
      <w:r w:rsidR="00E57E50">
        <w:t>Matzie</w:t>
      </w:r>
      <w:proofErr w:type="spellEnd"/>
      <w:r w:rsidR="00E57E50">
        <w:t xml:space="preserve"> (1996) </w:t>
      </w:r>
      <w:r w:rsidR="00D242BF">
        <w:t xml:space="preserve">measured nutrients, chlorophyll </w:t>
      </w:r>
      <w:r w:rsidR="00D242BF" w:rsidRPr="00EB6D5A">
        <w:rPr>
          <w:i/>
        </w:rPr>
        <w:t>a</w:t>
      </w:r>
      <w:r w:rsidR="00D242BF">
        <w:t xml:space="preserve">, dissolved oxygen, salinity, and tidal stage on a 9 km transect from Big Pine Key to </w:t>
      </w:r>
      <w:proofErr w:type="spellStart"/>
      <w:r w:rsidR="00D242BF">
        <w:t>Looe</w:t>
      </w:r>
      <w:proofErr w:type="spellEnd"/>
      <w:r w:rsidR="00D242BF">
        <w:t xml:space="preserve"> Key National Marine Sanctuary.  </w:t>
      </w:r>
      <w:r w:rsidR="00E57E50">
        <w:t>Monitoring occurred</w:t>
      </w:r>
      <w:r w:rsidR="00D242BF">
        <w:t xml:space="preserve"> from April 9 – August 6, 1992 during the transition period from the dry season to wet season.  </w:t>
      </w:r>
      <w:r w:rsidR="00E57E50">
        <w:t xml:space="preserve">Their results indicated both spatial and temporal inshore to offshore gradients following rainfall events with the most significant effects </w:t>
      </w:r>
      <w:r w:rsidR="002B7EBD">
        <w:t>(</w:t>
      </w:r>
      <w:r w:rsidR="002B7EBD" w:rsidRPr="00960155">
        <w:rPr>
          <w:i/>
        </w:rPr>
        <w:t>e.g</w:t>
      </w:r>
      <w:r w:rsidR="002B7EBD">
        <w:t>.</w:t>
      </w:r>
      <w:r w:rsidR="00960155">
        <w:t>,</w:t>
      </w:r>
      <w:r w:rsidR="002B7EBD">
        <w:t xml:space="preserve"> decreased salinity, increased chlorophyll </w:t>
      </w:r>
      <w:r w:rsidR="002B7EBD" w:rsidRPr="00EB6D5A">
        <w:rPr>
          <w:i/>
        </w:rPr>
        <w:t>a</w:t>
      </w:r>
      <w:r w:rsidR="002B7EBD">
        <w:t xml:space="preserve">) </w:t>
      </w:r>
      <w:r w:rsidR="00E57E50">
        <w:t>observed first</w:t>
      </w:r>
      <w:r w:rsidR="002B7EBD">
        <w:t xml:space="preserve"> nearshore and then observed later further offshore.  </w:t>
      </w:r>
    </w:p>
    <w:p w:rsidR="00D242BF" w:rsidRDefault="00D274AC" w:rsidP="009D1F25">
      <w:pPr>
        <w:autoSpaceDE w:val="0"/>
        <w:autoSpaceDN w:val="0"/>
        <w:adjustRightInd w:val="0"/>
        <w:spacing w:after="120"/>
      </w:pPr>
      <w:r>
        <w:t xml:space="preserve">Reich </w:t>
      </w:r>
      <w:r w:rsidR="007E2405" w:rsidRPr="007E2405">
        <w:rPr>
          <w:i/>
        </w:rPr>
        <w:t xml:space="preserve">et al. </w:t>
      </w:r>
      <w:r>
        <w:t xml:space="preserve">(2002) verified natural gradient flow of groundwater from Florida Bay beneath Key Largo and ultimately into the Atlantic Ocean using </w:t>
      </w:r>
      <w:proofErr w:type="spellStart"/>
      <w:r>
        <w:t>multidepth</w:t>
      </w:r>
      <w:proofErr w:type="spellEnd"/>
      <w:r>
        <w:t xml:space="preserve"> wells and injection of </w:t>
      </w:r>
      <w:proofErr w:type="spellStart"/>
      <w:r>
        <w:t>Fluorescein</w:t>
      </w:r>
      <w:proofErr w:type="spellEnd"/>
      <w:r>
        <w:t xml:space="preserve"> and </w:t>
      </w:r>
      <w:proofErr w:type="spellStart"/>
      <w:r>
        <w:t>Rhodamine</w:t>
      </w:r>
      <w:proofErr w:type="spellEnd"/>
      <w:r>
        <w:t xml:space="preserve"> dyes as tracers.  </w:t>
      </w:r>
      <w:r w:rsidR="00632AEB">
        <w:t>The</w:t>
      </w:r>
      <w:r w:rsidR="00D242BF">
        <w:t xml:space="preserve"> study included clusters of deep (13.6 m) and shallow (6.1 m) wells on the bayside and </w:t>
      </w:r>
      <w:proofErr w:type="spellStart"/>
      <w:proofErr w:type="gramStart"/>
      <w:r w:rsidR="00D242BF">
        <w:t>oceanside</w:t>
      </w:r>
      <w:proofErr w:type="spellEnd"/>
      <w:proofErr w:type="gramEnd"/>
      <w:r w:rsidR="00D242BF">
        <w:t xml:space="preserve"> of an undeveloped area of Key Largo.  They observed that the greatest forcing factor in groundwater movement is the difference in water level between Florid</w:t>
      </w:r>
      <w:r w:rsidR="00E57E50">
        <w:t>a Bay and the Atlantic Ocean.  For o</w:t>
      </w:r>
      <w:r w:rsidR="00D242BF">
        <w:t>ver 6 months Florida Bay was on average 12 to 15 cm higher than the Atlantic side.  There was both horizontal and vertical flow of groundwater with the predominant direction of horizontal flow to the sout</w:t>
      </w:r>
      <w:r w:rsidR="00690E07">
        <w:t>heast</w:t>
      </w:r>
      <w:r w:rsidR="00960155">
        <w:t>,</w:t>
      </w:r>
      <w:r w:rsidR="00690E07">
        <w:t xml:space="preserve"> towards the reef tract.  Their results indicate that a </w:t>
      </w:r>
      <w:r w:rsidR="00D242BF">
        <w:t>component of vertical flow likely contributes groundwater seepage up into overlying surface waters and could transport nutrients and pollutants into nearshore waters as well as to the reef tract.</w:t>
      </w:r>
    </w:p>
    <w:p w:rsidR="003A5E99" w:rsidRDefault="00B3421E" w:rsidP="009D1F25">
      <w:pPr>
        <w:autoSpaceDE w:val="0"/>
        <w:autoSpaceDN w:val="0"/>
        <w:adjustRightInd w:val="0"/>
        <w:spacing w:after="120"/>
      </w:pPr>
      <w:r>
        <w:rPr>
          <w:rFonts w:cs="TimesNewRomanPSMT"/>
        </w:rPr>
        <w:t xml:space="preserve">External </w:t>
      </w:r>
      <w:r w:rsidR="00DC24AA">
        <w:rPr>
          <w:rFonts w:cs="TimesNewRomanPSMT"/>
        </w:rPr>
        <w:t>source</w:t>
      </w:r>
      <w:r w:rsidR="00632AEB">
        <w:rPr>
          <w:rFonts w:cs="TimesNewRomanPSMT"/>
        </w:rPr>
        <w:t xml:space="preserve">s of nutrients to the </w:t>
      </w:r>
      <w:r w:rsidR="00294DA4">
        <w:rPr>
          <w:rFonts w:cs="TimesNewRomanPSMT"/>
        </w:rPr>
        <w:t>Keys include</w:t>
      </w:r>
      <w:r w:rsidR="00DC24AA">
        <w:rPr>
          <w:rFonts w:cs="TimesNewRomanPSMT"/>
        </w:rPr>
        <w:t xml:space="preserve"> </w:t>
      </w:r>
      <w:r w:rsidR="00DC24AA" w:rsidRPr="00241A17">
        <w:rPr>
          <w:rFonts w:cs="Arial"/>
        </w:rPr>
        <w:t>the natural and regulated discharges from the Everglades</w:t>
      </w:r>
      <w:r w:rsidR="009F242C">
        <w:rPr>
          <w:rFonts w:cs="Arial"/>
        </w:rPr>
        <w:t xml:space="preserve"> to Florida Bay</w:t>
      </w:r>
      <w:r w:rsidR="00DC24AA" w:rsidRPr="00241A17">
        <w:rPr>
          <w:rFonts w:cs="Arial"/>
        </w:rPr>
        <w:t>, regulated discharges from Lake Okeechobee through the Pea</w:t>
      </w:r>
      <w:r w:rsidR="009F242C">
        <w:rPr>
          <w:rFonts w:cs="Arial"/>
        </w:rPr>
        <w:t xml:space="preserve">ce River, Caloosahatchee River and </w:t>
      </w:r>
      <w:r w:rsidR="00DC24AA" w:rsidRPr="00241A17">
        <w:rPr>
          <w:rFonts w:cs="Arial"/>
        </w:rPr>
        <w:t>Mississippi River</w:t>
      </w:r>
      <w:r w:rsidR="009F242C">
        <w:rPr>
          <w:rFonts w:cs="Arial"/>
        </w:rPr>
        <w:t xml:space="preserve"> </w:t>
      </w:r>
      <w:r w:rsidR="00C23260">
        <w:rPr>
          <w:rFonts w:cs="Arial"/>
        </w:rPr>
        <w:t xml:space="preserve">discharge </w:t>
      </w:r>
      <w:r w:rsidR="009F242C">
        <w:rPr>
          <w:rFonts w:cs="Arial"/>
        </w:rPr>
        <w:t>to the Gulf of Mexico</w:t>
      </w:r>
      <w:r w:rsidR="00DC24AA">
        <w:rPr>
          <w:rFonts w:cs="Arial"/>
        </w:rPr>
        <w:t xml:space="preserve">, and atmospheric deposition </w:t>
      </w:r>
      <w:r w:rsidR="00DC24AA" w:rsidRPr="001B5E36">
        <w:rPr>
          <w:rFonts w:cs="Arial"/>
        </w:rPr>
        <w:t>(</w:t>
      </w:r>
      <w:r w:rsidR="00733792">
        <w:rPr>
          <w:rFonts w:cs="Arial"/>
        </w:rPr>
        <w:t>FDEP</w:t>
      </w:r>
      <w:r w:rsidR="009F242C" w:rsidRPr="001B5E36">
        <w:rPr>
          <w:rFonts w:cs="Arial"/>
        </w:rPr>
        <w:t xml:space="preserve"> 2008; Lapointe </w:t>
      </w:r>
      <w:r w:rsidR="007E2405" w:rsidRPr="007E2405">
        <w:rPr>
          <w:rFonts w:cs="Arial"/>
          <w:i/>
        </w:rPr>
        <w:t xml:space="preserve">et al. </w:t>
      </w:r>
      <w:r w:rsidR="009F242C" w:rsidRPr="001B5E36">
        <w:rPr>
          <w:rFonts w:cs="Arial"/>
        </w:rPr>
        <w:t>2004).</w:t>
      </w:r>
      <w:r w:rsidR="00C23260" w:rsidRPr="001B5E36">
        <w:rPr>
          <w:rFonts w:cs="Arial"/>
        </w:rPr>
        <w:t xml:space="preserve">  </w:t>
      </w:r>
      <w:r w:rsidR="00DC24AA" w:rsidRPr="001B5E36">
        <w:rPr>
          <w:rFonts w:cs="Arial"/>
        </w:rPr>
        <w:t xml:space="preserve"> </w:t>
      </w:r>
      <w:r w:rsidR="00632AEB" w:rsidRPr="001B5E36">
        <w:t xml:space="preserve">Lapointe </w:t>
      </w:r>
      <w:r w:rsidR="007E2405" w:rsidRPr="007E2405">
        <w:rPr>
          <w:i/>
        </w:rPr>
        <w:t xml:space="preserve">et al. </w:t>
      </w:r>
      <w:r w:rsidR="00632AEB" w:rsidRPr="001B5E36">
        <w:t>(2004)</w:t>
      </w:r>
      <w:r w:rsidR="00D242BF" w:rsidRPr="001B5E36">
        <w:t xml:space="preserve"> quantified the role of physical forcing and</w:t>
      </w:r>
      <w:r w:rsidR="00D242BF">
        <w:t xml:space="preserve"> water management in South Florida on nutrient enrichment and blooms of phytoplankton, macroalgae and seagrass epiphytes in the Keys. </w:t>
      </w:r>
      <w:r w:rsidR="00632AEB">
        <w:t xml:space="preserve">  </w:t>
      </w:r>
      <w:r w:rsidR="00D242BF">
        <w:t xml:space="preserve">Results suggested that regional-scale agricultural runoff (from the mainland Everglades watersheds) and local sewage discharges from the Keys are both significant N sources that </w:t>
      </w:r>
      <w:r w:rsidR="00960155">
        <w:t>potentially contribute to</w:t>
      </w:r>
      <w:r w:rsidR="00D242BF">
        <w:t xml:space="preserve"> eutrophication and algal blooms in seagrass and coral reef communities.</w:t>
      </w:r>
      <w:r>
        <w:t xml:space="preserve">  Additionally, upwelling is a natural source of </w:t>
      </w:r>
      <w:r w:rsidR="007209DA">
        <w:t xml:space="preserve">external </w:t>
      </w:r>
      <w:r>
        <w:t xml:space="preserve">nutrients to </w:t>
      </w:r>
      <w:r w:rsidR="007209DA">
        <w:t>the FKNMS.</w:t>
      </w:r>
    </w:p>
    <w:p w:rsidR="001E51EF" w:rsidRPr="001E51EF" w:rsidRDefault="001E51EF" w:rsidP="009D1F25">
      <w:pPr>
        <w:autoSpaceDE w:val="0"/>
        <w:autoSpaceDN w:val="0"/>
        <w:adjustRightInd w:val="0"/>
        <w:spacing w:after="120"/>
      </w:pPr>
      <w:r w:rsidRPr="001E51EF">
        <w:rPr>
          <w:rFonts w:cs="Arial"/>
        </w:rPr>
        <w:t>Benchmark annual nutrient loadings fo</w:t>
      </w:r>
      <w:r w:rsidR="000E68B3">
        <w:rPr>
          <w:rFonts w:cs="Arial"/>
        </w:rPr>
        <w:t xml:space="preserve">r the Central Keys Area were </w:t>
      </w:r>
      <w:r w:rsidRPr="001E51EF">
        <w:rPr>
          <w:rFonts w:cs="Arial"/>
        </w:rPr>
        <w:t>calculated from the Carrying</w:t>
      </w:r>
      <w:r w:rsidR="008C4FF9">
        <w:rPr>
          <w:rFonts w:cs="Arial"/>
        </w:rPr>
        <w:t xml:space="preserve"> </w:t>
      </w:r>
      <w:r w:rsidRPr="001E51EF">
        <w:rPr>
          <w:rFonts w:cs="Arial"/>
        </w:rPr>
        <w:t>Capacity Impact Assessment Model (CCIAM)</w:t>
      </w:r>
      <w:r w:rsidR="000E68B3">
        <w:rPr>
          <w:rFonts w:cs="Arial"/>
        </w:rPr>
        <w:t>,</w:t>
      </w:r>
      <w:r w:rsidRPr="001E51EF">
        <w:rPr>
          <w:rFonts w:cs="Arial"/>
        </w:rPr>
        <w:t xml:space="preserve"> developed as part of</w:t>
      </w:r>
      <w:r w:rsidR="008C4FF9">
        <w:rPr>
          <w:rFonts w:cs="Arial"/>
        </w:rPr>
        <w:t xml:space="preserve"> </w:t>
      </w:r>
      <w:r w:rsidRPr="001E51EF">
        <w:rPr>
          <w:rFonts w:cs="Arial"/>
        </w:rPr>
        <w:t xml:space="preserve">the Florida Keys Carrying Capacity Study, </w:t>
      </w:r>
      <w:r w:rsidR="000E68B3">
        <w:rPr>
          <w:rFonts w:cs="Arial"/>
        </w:rPr>
        <w:t>and we</w:t>
      </w:r>
      <w:r w:rsidRPr="001E51EF">
        <w:rPr>
          <w:rFonts w:cs="Arial"/>
        </w:rPr>
        <w:t>re based upon the number of EDUs, their estimated</w:t>
      </w:r>
      <w:r w:rsidR="008C4FF9">
        <w:rPr>
          <w:rFonts w:cs="Arial"/>
        </w:rPr>
        <w:t xml:space="preserve"> </w:t>
      </w:r>
      <w:r w:rsidRPr="001E51EF">
        <w:rPr>
          <w:rFonts w:cs="Arial"/>
        </w:rPr>
        <w:t>daily flows and the effluent characteristics of their wastewater treatment methods</w:t>
      </w:r>
      <w:r w:rsidR="008C4FF9">
        <w:rPr>
          <w:rFonts w:cs="Arial"/>
        </w:rPr>
        <w:t xml:space="preserve"> (</w:t>
      </w:r>
      <w:r w:rsidR="003722FE">
        <w:rPr>
          <w:rFonts w:cs="Arial"/>
        </w:rPr>
        <w:t xml:space="preserve">Table 2; </w:t>
      </w:r>
      <w:r w:rsidR="00733792">
        <w:rPr>
          <w:rFonts w:cs="Arial"/>
        </w:rPr>
        <w:t>FDEP</w:t>
      </w:r>
      <w:r w:rsidR="008C4FF9">
        <w:rPr>
          <w:rFonts w:cs="Arial"/>
        </w:rPr>
        <w:t xml:space="preserve"> 2008).</w:t>
      </w:r>
    </w:p>
    <w:p w:rsidR="009D1F25" w:rsidRDefault="009D1F25" w:rsidP="009D1F25">
      <w:pPr>
        <w:autoSpaceDE w:val="0"/>
        <w:autoSpaceDN w:val="0"/>
        <w:adjustRightInd w:val="0"/>
        <w:spacing w:after="120"/>
        <w:rPr>
          <w:b/>
        </w:rPr>
      </w:pPr>
    </w:p>
    <w:p w:rsidR="004F3331" w:rsidRDefault="004F3331" w:rsidP="009D1F25">
      <w:pPr>
        <w:autoSpaceDE w:val="0"/>
        <w:autoSpaceDN w:val="0"/>
        <w:adjustRightInd w:val="0"/>
        <w:spacing w:after="120"/>
      </w:pPr>
      <w:proofErr w:type="gramStart"/>
      <w:r w:rsidRPr="00883CE0">
        <w:rPr>
          <w:b/>
        </w:rPr>
        <w:lastRenderedPageBreak/>
        <w:t>Table 2</w:t>
      </w:r>
      <w:r>
        <w:t>.</w:t>
      </w:r>
      <w:proofErr w:type="gramEnd"/>
      <w:r>
        <w:t xml:space="preserve">   Baseline (1999) estimated annual anthropogenic nut</w:t>
      </w:r>
      <w:r w:rsidR="00733792">
        <w:t>rient loadings to the Keys (F</w:t>
      </w:r>
      <w:r>
        <w:t>D</w:t>
      </w:r>
      <w:r w:rsidR="00733792">
        <w:t>EP</w:t>
      </w:r>
      <w:r>
        <w:t xml:space="preserve"> 2008)</w:t>
      </w:r>
      <w:r w:rsidR="000E68B3">
        <w:t>.</w:t>
      </w:r>
    </w:p>
    <w:tbl>
      <w:tblPr>
        <w:tblStyle w:val="MediumShading1-Accent3"/>
        <w:tblW w:w="0" w:type="auto"/>
        <w:tblLook w:val="04A0"/>
      </w:tblPr>
      <w:tblGrid>
        <w:gridCol w:w="3175"/>
        <w:gridCol w:w="3175"/>
        <w:gridCol w:w="3175"/>
      </w:tblGrid>
      <w:tr w:rsidR="001E51EF" w:rsidRPr="00343E4F" w:rsidTr="004D22B1">
        <w:trPr>
          <w:cnfStyle w:val="100000000000"/>
          <w:trHeight w:val="476"/>
        </w:trPr>
        <w:tc>
          <w:tcPr>
            <w:cnfStyle w:val="001000000000"/>
            <w:tcW w:w="3175" w:type="dxa"/>
          </w:tcPr>
          <w:p w:rsidR="001E51EF" w:rsidRPr="00343E4F" w:rsidRDefault="001E51EF" w:rsidP="006145F4">
            <w:pPr>
              <w:autoSpaceDE w:val="0"/>
              <w:autoSpaceDN w:val="0"/>
              <w:adjustRightInd w:val="0"/>
              <w:rPr>
                <w:color w:val="auto"/>
              </w:rPr>
            </w:pPr>
            <w:r w:rsidRPr="00343E4F">
              <w:rPr>
                <w:color w:val="auto"/>
              </w:rPr>
              <w:t>Region</w:t>
            </w:r>
          </w:p>
        </w:tc>
        <w:tc>
          <w:tcPr>
            <w:tcW w:w="6350" w:type="dxa"/>
            <w:gridSpan w:val="2"/>
          </w:tcPr>
          <w:p w:rsidR="001E51EF" w:rsidRPr="00343E4F" w:rsidRDefault="001E51EF" w:rsidP="006145F4">
            <w:pPr>
              <w:autoSpaceDE w:val="0"/>
              <w:autoSpaceDN w:val="0"/>
              <w:adjustRightInd w:val="0"/>
              <w:cnfStyle w:val="100000000000"/>
              <w:rPr>
                <w:color w:val="auto"/>
              </w:rPr>
            </w:pPr>
            <w:r w:rsidRPr="00343E4F">
              <w:rPr>
                <w:color w:val="auto"/>
              </w:rPr>
              <w:t>Estimated Annual Was</w:t>
            </w:r>
            <w:r w:rsidR="00652276" w:rsidRPr="00343E4F">
              <w:rPr>
                <w:color w:val="auto"/>
              </w:rPr>
              <w:t>tewater and Stormwater Load (MT</w:t>
            </w:r>
            <w:r w:rsidR="003F5D6B" w:rsidRPr="00343E4F">
              <w:rPr>
                <w:color w:val="auto"/>
              </w:rPr>
              <w:t xml:space="preserve"> </w:t>
            </w:r>
            <w:r w:rsidRPr="00343E4F">
              <w:rPr>
                <w:color w:val="auto"/>
              </w:rPr>
              <w:t>year</w:t>
            </w:r>
            <w:r w:rsidR="003F5D6B" w:rsidRPr="00343E4F">
              <w:rPr>
                <w:color w:val="auto"/>
                <w:vertAlign w:val="superscript"/>
              </w:rPr>
              <w:t>-1</w:t>
            </w:r>
            <w:r w:rsidRPr="00343E4F">
              <w:rPr>
                <w:color w:val="auto"/>
              </w:rPr>
              <w:t>)</w:t>
            </w:r>
          </w:p>
        </w:tc>
      </w:tr>
      <w:tr w:rsidR="001E51EF" w:rsidRPr="00343E4F" w:rsidTr="004D22B1">
        <w:trPr>
          <w:cnfStyle w:val="000000100000"/>
          <w:trHeight w:val="272"/>
        </w:trPr>
        <w:tc>
          <w:tcPr>
            <w:cnfStyle w:val="001000000000"/>
            <w:tcW w:w="3175" w:type="dxa"/>
          </w:tcPr>
          <w:p w:rsidR="001E51EF" w:rsidRPr="00343E4F" w:rsidRDefault="001E51EF" w:rsidP="006145F4">
            <w:pPr>
              <w:autoSpaceDE w:val="0"/>
              <w:autoSpaceDN w:val="0"/>
              <w:adjustRightInd w:val="0"/>
            </w:pPr>
          </w:p>
        </w:tc>
        <w:tc>
          <w:tcPr>
            <w:tcW w:w="3175" w:type="dxa"/>
          </w:tcPr>
          <w:p w:rsidR="001E51EF" w:rsidRPr="00343E4F" w:rsidRDefault="001E51EF" w:rsidP="006145F4">
            <w:pPr>
              <w:autoSpaceDE w:val="0"/>
              <w:autoSpaceDN w:val="0"/>
              <w:adjustRightInd w:val="0"/>
              <w:cnfStyle w:val="000000100000"/>
            </w:pPr>
            <w:r w:rsidRPr="00343E4F">
              <w:t>Total Nitrogen</w:t>
            </w:r>
          </w:p>
        </w:tc>
        <w:tc>
          <w:tcPr>
            <w:tcW w:w="3175" w:type="dxa"/>
          </w:tcPr>
          <w:p w:rsidR="001E51EF" w:rsidRPr="00343E4F" w:rsidRDefault="001E51EF" w:rsidP="006145F4">
            <w:pPr>
              <w:autoSpaceDE w:val="0"/>
              <w:autoSpaceDN w:val="0"/>
              <w:adjustRightInd w:val="0"/>
              <w:cnfStyle w:val="000000100000"/>
            </w:pPr>
            <w:r w:rsidRPr="00343E4F">
              <w:t>Total Phosphorus</w:t>
            </w:r>
          </w:p>
        </w:tc>
      </w:tr>
      <w:tr w:rsidR="001E51EF" w:rsidRPr="00343E4F" w:rsidTr="004D22B1">
        <w:trPr>
          <w:cnfStyle w:val="000000010000"/>
          <w:trHeight w:val="272"/>
        </w:trPr>
        <w:tc>
          <w:tcPr>
            <w:cnfStyle w:val="001000000000"/>
            <w:tcW w:w="3175" w:type="dxa"/>
          </w:tcPr>
          <w:p w:rsidR="001E51EF" w:rsidRPr="00343E4F" w:rsidRDefault="001E51EF" w:rsidP="006145F4">
            <w:pPr>
              <w:autoSpaceDE w:val="0"/>
              <w:autoSpaceDN w:val="0"/>
              <w:adjustRightInd w:val="0"/>
            </w:pPr>
            <w:r w:rsidRPr="00343E4F">
              <w:t>Northern Keys</w:t>
            </w:r>
          </w:p>
        </w:tc>
        <w:tc>
          <w:tcPr>
            <w:tcW w:w="3175" w:type="dxa"/>
          </w:tcPr>
          <w:p w:rsidR="001E51EF" w:rsidRPr="00343E4F" w:rsidRDefault="00652276" w:rsidP="006145F4">
            <w:pPr>
              <w:autoSpaceDE w:val="0"/>
              <w:autoSpaceDN w:val="0"/>
              <w:adjustRightInd w:val="0"/>
              <w:cnfStyle w:val="000000010000"/>
            </w:pPr>
            <w:r w:rsidRPr="00343E4F">
              <w:t>163.5</w:t>
            </w:r>
          </w:p>
        </w:tc>
        <w:tc>
          <w:tcPr>
            <w:tcW w:w="3175" w:type="dxa"/>
          </w:tcPr>
          <w:p w:rsidR="001E51EF" w:rsidRPr="00343E4F" w:rsidRDefault="00652276" w:rsidP="006145F4">
            <w:pPr>
              <w:autoSpaceDE w:val="0"/>
              <w:autoSpaceDN w:val="0"/>
              <w:adjustRightInd w:val="0"/>
              <w:cnfStyle w:val="000000010000"/>
            </w:pPr>
            <w:r w:rsidRPr="00343E4F">
              <w:t>40.9</w:t>
            </w:r>
          </w:p>
        </w:tc>
      </w:tr>
      <w:tr w:rsidR="001E51EF" w:rsidRPr="00343E4F" w:rsidTr="004D22B1">
        <w:trPr>
          <w:cnfStyle w:val="000000100000"/>
          <w:trHeight w:val="272"/>
        </w:trPr>
        <w:tc>
          <w:tcPr>
            <w:cnfStyle w:val="001000000000"/>
            <w:tcW w:w="3175" w:type="dxa"/>
          </w:tcPr>
          <w:p w:rsidR="001E51EF" w:rsidRPr="00343E4F" w:rsidRDefault="001E51EF" w:rsidP="006145F4">
            <w:pPr>
              <w:autoSpaceDE w:val="0"/>
              <w:autoSpaceDN w:val="0"/>
              <w:adjustRightInd w:val="0"/>
            </w:pPr>
            <w:r w:rsidRPr="00343E4F">
              <w:t>Central Keys</w:t>
            </w:r>
          </w:p>
        </w:tc>
        <w:tc>
          <w:tcPr>
            <w:tcW w:w="3175" w:type="dxa"/>
          </w:tcPr>
          <w:p w:rsidR="001E51EF" w:rsidRPr="00343E4F" w:rsidRDefault="008C4FF9" w:rsidP="006145F4">
            <w:pPr>
              <w:autoSpaceDE w:val="0"/>
              <w:autoSpaceDN w:val="0"/>
              <w:adjustRightInd w:val="0"/>
              <w:cnfStyle w:val="000000100000"/>
            </w:pPr>
            <w:r w:rsidRPr="00343E4F">
              <w:t>74.7</w:t>
            </w:r>
          </w:p>
        </w:tc>
        <w:tc>
          <w:tcPr>
            <w:tcW w:w="3175" w:type="dxa"/>
          </w:tcPr>
          <w:p w:rsidR="001E51EF" w:rsidRPr="00343E4F" w:rsidRDefault="008C4FF9" w:rsidP="006145F4">
            <w:pPr>
              <w:autoSpaceDE w:val="0"/>
              <w:autoSpaceDN w:val="0"/>
              <w:adjustRightInd w:val="0"/>
              <w:cnfStyle w:val="000000100000"/>
            </w:pPr>
            <w:r w:rsidRPr="00343E4F">
              <w:t>18.4</w:t>
            </w:r>
          </w:p>
        </w:tc>
      </w:tr>
      <w:tr w:rsidR="001E51EF" w:rsidRPr="00343E4F" w:rsidTr="004D22B1">
        <w:trPr>
          <w:cnfStyle w:val="000000010000"/>
          <w:trHeight w:val="272"/>
        </w:trPr>
        <w:tc>
          <w:tcPr>
            <w:cnfStyle w:val="001000000000"/>
            <w:tcW w:w="3175" w:type="dxa"/>
          </w:tcPr>
          <w:p w:rsidR="001E51EF" w:rsidRPr="00343E4F" w:rsidRDefault="001E51EF" w:rsidP="006145F4">
            <w:pPr>
              <w:autoSpaceDE w:val="0"/>
              <w:autoSpaceDN w:val="0"/>
              <w:adjustRightInd w:val="0"/>
            </w:pPr>
            <w:r w:rsidRPr="00343E4F">
              <w:t>South-Central Keys</w:t>
            </w:r>
          </w:p>
        </w:tc>
        <w:tc>
          <w:tcPr>
            <w:tcW w:w="3175" w:type="dxa"/>
          </w:tcPr>
          <w:p w:rsidR="001E51EF" w:rsidRPr="00343E4F" w:rsidRDefault="008C4FF9" w:rsidP="006145F4">
            <w:pPr>
              <w:autoSpaceDE w:val="0"/>
              <w:autoSpaceDN w:val="0"/>
              <w:adjustRightInd w:val="0"/>
              <w:cnfStyle w:val="000000010000"/>
            </w:pPr>
            <w:r w:rsidRPr="00343E4F">
              <w:t>91</w:t>
            </w:r>
          </w:p>
        </w:tc>
        <w:tc>
          <w:tcPr>
            <w:tcW w:w="3175" w:type="dxa"/>
          </w:tcPr>
          <w:p w:rsidR="001E51EF" w:rsidRPr="00343E4F" w:rsidRDefault="008C4FF9" w:rsidP="006145F4">
            <w:pPr>
              <w:autoSpaceDE w:val="0"/>
              <w:autoSpaceDN w:val="0"/>
              <w:adjustRightInd w:val="0"/>
              <w:cnfStyle w:val="000000010000"/>
            </w:pPr>
            <w:r w:rsidRPr="00343E4F">
              <w:t>21.2</w:t>
            </w:r>
          </w:p>
        </w:tc>
      </w:tr>
      <w:tr w:rsidR="001E51EF" w:rsidRPr="00343E4F" w:rsidTr="004D22B1">
        <w:trPr>
          <w:cnfStyle w:val="000000100000"/>
          <w:trHeight w:val="257"/>
        </w:trPr>
        <w:tc>
          <w:tcPr>
            <w:cnfStyle w:val="001000000000"/>
            <w:tcW w:w="3175" w:type="dxa"/>
          </w:tcPr>
          <w:p w:rsidR="001E51EF" w:rsidRPr="00343E4F" w:rsidRDefault="001E51EF" w:rsidP="006145F4">
            <w:pPr>
              <w:autoSpaceDE w:val="0"/>
              <w:autoSpaceDN w:val="0"/>
              <w:adjustRightInd w:val="0"/>
            </w:pPr>
            <w:r w:rsidRPr="00343E4F">
              <w:t>Southern Keys</w:t>
            </w:r>
          </w:p>
        </w:tc>
        <w:tc>
          <w:tcPr>
            <w:tcW w:w="3175" w:type="dxa"/>
          </w:tcPr>
          <w:p w:rsidR="001E51EF" w:rsidRPr="00343E4F" w:rsidRDefault="008C4FF9" w:rsidP="006145F4">
            <w:pPr>
              <w:autoSpaceDE w:val="0"/>
              <w:autoSpaceDN w:val="0"/>
              <w:adjustRightInd w:val="0"/>
              <w:cnfStyle w:val="000000100000"/>
            </w:pPr>
            <w:r w:rsidRPr="00343E4F">
              <w:t>108.8</w:t>
            </w:r>
          </w:p>
        </w:tc>
        <w:tc>
          <w:tcPr>
            <w:tcW w:w="3175" w:type="dxa"/>
          </w:tcPr>
          <w:p w:rsidR="001E51EF" w:rsidRPr="00343E4F" w:rsidRDefault="008C4FF9" w:rsidP="006145F4">
            <w:pPr>
              <w:autoSpaceDE w:val="0"/>
              <w:autoSpaceDN w:val="0"/>
              <w:adjustRightInd w:val="0"/>
              <w:cnfStyle w:val="000000100000"/>
            </w:pPr>
            <w:r w:rsidRPr="00343E4F">
              <w:t>31.3</w:t>
            </w:r>
          </w:p>
        </w:tc>
      </w:tr>
      <w:tr w:rsidR="004F3331" w:rsidRPr="00343E4F" w:rsidTr="004D22B1">
        <w:trPr>
          <w:cnfStyle w:val="000000010000"/>
          <w:trHeight w:val="257"/>
        </w:trPr>
        <w:tc>
          <w:tcPr>
            <w:cnfStyle w:val="001000000000"/>
            <w:tcW w:w="3175" w:type="dxa"/>
          </w:tcPr>
          <w:p w:rsidR="004F3331" w:rsidRPr="00343E4F" w:rsidRDefault="004F3331" w:rsidP="006145F4">
            <w:pPr>
              <w:autoSpaceDE w:val="0"/>
              <w:autoSpaceDN w:val="0"/>
              <w:adjustRightInd w:val="0"/>
              <w:rPr>
                <w:i/>
              </w:rPr>
            </w:pPr>
            <w:r w:rsidRPr="00343E4F">
              <w:rPr>
                <w:i/>
              </w:rPr>
              <w:t>Total</w:t>
            </w:r>
          </w:p>
        </w:tc>
        <w:tc>
          <w:tcPr>
            <w:tcW w:w="3175" w:type="dxa"/>
          </w:tcPr>
          <w:p w:rsidR="004F3331" w:rsidRPr="00343E4F" w:rsidRDefault="0007577F" w:rsidP="006145F4">
            <w:pPr>
              <w:autoSpaceDE w:val="0"/>
              <w:autoSpaceDN w:val="0"/>
              <w:adjustRightInd w:val="0"/>
              <w:cnfStyle w:val="000000010000"/>
              <w:rPr>
                <w:i/>
              </w:rPr>
            </w:pPr>
            <w:r w:rsidRPr="00343E4F">
              <w:rPr>
                <w:i/>
              </w:rPr>
              <w:t>438</w:t>
            </w:r>
          </w:p>
        </w:tc>
        <w:tc>
          <w:tcPr>
            <w:tcW w:w="3175" w:type="dxa"/>
          </w:tcPr>
          <w:p w:rsidR="004F3331" w:rsidRPr="00343E4F" w:rsidRDefault="0007577F" w:rsidP="006145F4">
            <w:pPr>
              <w:autoSpaceDE w:val="0"/>
              <w:autoSpaceDN w:val="0"/>
              <w:adjustRightInd w:val="0"/>
              <w:cnfStyle w:val="000000010000"/>
              <w:rPr>
                <w:i/>
              </w:rPr>
            </w:pPr>
            <w:r w:rsidRPr="00343E4F">
              <w:rPr>
                <w:i/>
              </w:rPr>
              <w:t>111.8</w:t>
            </w:r>
          </w:p>
        </w:tc>
      </w:tr>
    </w:tbl>
    <w:p w:rsidR="00B3421E" w:rsidRPr="00C600F6" w:rsidRDefault="009F47EF" w:rsidP="00A92004">
      <w:pPr>
        <w:autoSpaceDE w:val="0"/>
        <w:autoSpaceDN w:val="0"/>
        <w:adjustRightInd w:val="0"/>
      </w:pPr>
      <w:r>
        <w:t xml:space="preserve">  </w:t>
      </w:r>
      <w:r w:rsidR="007209DA">
        <w:t xml:space="preserve">  </w:t>
      </w:r>
    </w:p>
    <w:p w:rsidR="00D242BF" w:rsidRPr="003722FE" w:rsidRDefault="003722FE" w:rsidP="00A92004">
      <w:pPr>
        <w:rPr>
          <w:bCs/>
        </w:rPr>
      </w:pPr>
      <w:r>
        <w:rPr>
          <w:bCs/>
        </w:rPr>
        <w:t xml:space="preserve">Gibson </w:t>
      </w:r>
      <w:r w:rsidR="007E2405" w:rsidRPr="007E2405">
        <w:rPr>
          <w:bCs/>
          <w:i/>
        </w:rPr>
        <w:t xml:space="preserve">et al. </w:t>
      </w:r>
      <w:r>
        <w:rPr>
          <w:bCs/>
        </w:rPr>
        <w:t>(2008) quantified the exchange of water and nutrients through Long Key Channel using long-term, high-resolution, mass flow measurements combined with periodic tidal-scale observations of nutrient concentrations</w:t>
      </w:r>
      <w:r w:rsidR="006A12B9">
        <w:rPr>
          <w:bCs/>
        </w:rPr>
        <w:t>.  Loads were compared with other published values of regional nutrient fluxes (</w:t>
      </w:r>
      <w:r w:rsidR="0061784D">
        <w:rPr>
          <w:bCs/>
        </w:rPr>
        <w:t>Figure</w:t>
      </w:r>
      <w:r w:rsidR="006A12B9">
        <w:rPr>
          <w:bCs/>
        </w:rPr>
        <w:t xml:space="preserve">s 3 and 4).  Their results indicated that the contribution of Florida Bay water through Long Key Channel to the nutrient pool of the Keys coral reef </w:t>
      </w:r>
      <w:r w:rsidR="000E68B3">
        <w:rPr>
          <w:bCs/>
        </w:rPr>
        <w:t xml:space="preserve">tract </w:t>
      </w:r>
      <w:r w:rsidR="006A12B9">
        <w:rPr>
          <w:bCs/>
        </w:rPr>
        <w:t>was small relative to offshore inputs.</w:t>
      </w:r>
      <w:r w:rsidR="00EC5DAF">
        <w:rPr>
          <w:bCs/>
        </w:rPr>
        <w:t xml:space="preserve">  </w:t>
      </w:r>
    </w:p>
    <w:p w:rsidR="00DD2DA3" w:rsidRDefault="00DD2DA3" w:rsidP="00A92004">
      <w:pPr>
        <w:autoSpaceDE w:val="0"/>
        <w:autoSpaceDN w:val="0"/>
        <w:adjustRightInd w:val="0"/>
      </w:pPr>
      <w:r w:rsidRPr="00DD2DA3">
        <w:rPr>
          <w:noProof/>
        </w:rPr>
        <w:drawing>
          <wp:inline distT="0" distB="0" distL="0" distR="0">
            <wp:extent cx="5010150" cy="3968496"/>
            <wp:effectExtent l="19050" t="0" r="0" b="0"/>
            <wp:docPr id="6" name="Picture 5" descr="Map showing total nitrogen loading from various sources to Florida Bay and the Florida Keys."/>
            <wp:cNvGraphicFramePr/>
            <a:graphic xmlns:a="http://schemas.openxmlformats.org/drawingml/2006/main">
              <a:graphicData uri="http://schemas.openxmlformats.org/drawingml/2006/picture">
                <pic:pic xmlns:pic="http://schemas.openxmlformats.org/drawingml/2006/picture">
                  <pic:nvPicPr>
                    <pic:cNvPr id="30722" name="Picture 2" descr="Map showing total nitrogen loading from various sources to Florida Bay and the Florida Keys."/>
                    <pic:cNvPicPr>
                      <a:picLocks noChangeAspect="1" noChangeArrowheads="1"/>
                    </pic:cNvPicPr>
                  </pic:nvPicPr>
                  <pic:blipFill>
                    <a:blip r:embed="rId14" cstate="print"/>
                    <a:srcRect/>
                    <a:stretch>
                      <a:fillRect/>
                    </a:stretch>
                  </pic:blipFill>
                  <pic:spPr bwMode="auto">
                    <a:xfrm>
                      <a:off x="0" y="0"/>
                      <a:ext cx="5013373" cy="3971049"/>
                    </a:xfrm>
                    <a:prstGeom prst="rect">
                      <a:avLst/>
                    </a:prstGeom>
                    <a:noFill/>
                    <a:ln w="9525">
                      <a:noFill/>
                      <a:miter lim="800000"/>
                      <a:headEnd/>
                      <a:tailEnd/>
                    </a:ln>
                  </pic:spPr>
                </pic:pic>
              </a:graphicData>
            </a:graphic>
          </wp:inline>
        </w:drawing>
      </w:r>
    </w:p>
    <w:p w:rsidR="00DD2DA3" w:rsidRDefault="0061784D" w:rsidP="00A92004">
      <w:pPr>
        <w:autoSpaceDE w:val="0"/>
        <w:autoSpaceDN w:val="0"/>
        <w:adjustRightInd w:val="0"/>
      </w:pPr>
      <w:proofErr w:type="gramStart"/>
      <w:r w:rsidRPr="00883CE0">
        <w:rPr>
          <w:b/>
        </w:rPr>
        <w:t>Figure</w:t>
      </w:r>
      <w:r w:rsidR="00D242BF" w:rsidRPr="00883CE0">
        <w:rPr>
          <w:b/>
        </w:rPr>
        <w:t xml:space="preserve"> 3</w:t>
      </w:r>
      <w:r w:rsidR="00DD2DA3" w:rsidRPr="00883CE0">
        <w:rPr>
          <w:b/>
        </w:rPr>
        <w:t>.</w:t>
      </w:r>
      <w:proofErr w:type="gramEnd"/>
      <w:r w:rsidR="00DD2DA3">
        <w:t xml:space="preserve"> </w:t>
      </w:r>
      <w:proofErr w:type="gramStart"/>
      <w:r w:rsidR="00DD2DA3">
        <w:t xml:space="preserve">Nitrogen loading (Gibson </w:t>
      </w:r>
      <w:r w:rsidR="007E2405" w:rsidRPr="007E2405">
        <w:rPr>
          <w:i/>
        </w:rPr>
        <w:t xml:space="preserve">et al. </w:t>
      </w:r>
      <w:r w:rsidR="00DD2DA3">
        <w:t>2008)</w:t>
      </w:r>
      <w:r w:rsidR="00BC432C">
        <w:t>.</w:t>
      </w:r>
      <w:proofErr w:type="gramEnd"/>
    </w:p>
    <w:p w:rsidR="00DD2DA3" w:rsidRDefault="00DD2DA3" w:rsidP="00A92004">
      <w:pPr>
        <w:autoSpaceDE w:val="0"/>
        <w:autoSpaceDN w:val="0"/>
        <w:adjustRightInd w:val="0"/>
      </w:pPr>
    </w:p>
    <w:p w:rsidR="00DD2DA3" w:rsidRDefault="00DD2DA3" w:rsidP="00A92004">
      <w:pPr>
        <w:autoSpaceDE w:val="0"/>
        <w:autoSpaceDN w:val="0"/>
        <w:adjustRightInd w:val="0"/>
      </w:pPr>
      <w:r w:rsidRPr="00DD2DA3">
        <w:rPr>
          <w:noProof/>
        </w:rPr>
        <w:lastRenderedPageBreak/>
        <w:drawing>
          <wp:inline distT="0" distB="0" distL="0" distR="0">
            <wp:extent cx="5010150" cy="4267200"/>
            <wp:effectExtent l="19050" t="0" r="0" b="0"/>
            <wp:docPr id="7" name="Picture 6" descr="Map showing total phosphorus loading to Florida Bay and the Florida Keys."/>
            <wp:cNvGraphicFramePr/>
            <a:graphic xmlns:a="http://schemas.openxmlformats.org/drawingml/2006/main">
              <a:graphicData uri="http://schemas.openxmlformats.org/drawingml/2006/picture">
                <pic:pic xmlns:pic="http://schemas.openxmlformats.org/drawingml/2006/picture">
                  <pic:nvPicPr>
                    <pic:cNvPr id="31746" name="Picture 2" descr="Map showing total phosphorus loading to Florida Bay and the Florida Keys."/>
                    <pic:cNvPicPr>
                      <a:picLocks noChangeAspect="1" noChangeArrowheads="1"/>
                    </pic:cNvPicPr>
                  </pic:nvPicPr>
                  <pic:blipFill>
                    <a:blip r:embed="rId15" cstate="print"/>
                    <a:srcRect/>
                    <a:stretch>
                      <a:fillRect/>
                    </a:stretch>
                  </pic:blipFill>
                  <pic:spPr bwMode="auto">
                    <a:xfrm>
                      <a:off x="0" y="0"/>
                      <a:ext cx="5012487" cy="4269191"/>
                    </a:xfrm>
                    <a:prstGeom prst="rect">
                      <a:avLst/>
                    </a:prstGeom>
                    <a:noFill/>
                    <a:ln w="9525">
                      <a:noFill/>
                      <a:miter lim="800000"/>
                      <a:headEnd/>
                      <a:tailEnd/>
                    </a:ln>
                  </pic:spPr>
                </pic:pic>
              </a:graphicData>
            </a:graphic>
          </wp:inline>
        </w:drawing>
      </w:r>
    </w:p>
    <w:p w:rsidR="00DD2DA3" w:rsidRDefault="0061784D" w:rsidP="009D1F25">
      <w:pPr>
        <w:autoSpaceDE w:val="0"/>
        <w:autoSpaceDN w:val="0"/>
        <w:adjustRightInd w:val="0"/>
        <w:spacing w:after="120"/>
      </w:pPr>
      <w:proofErr w:type="gramStart"/>
      <w:r w:rsidRPr="00883CE0">
        <w:rPr>
          <w:b/>
        </w:rPr>
        <w:t>Figure</w:t>
      </w:r>
      <w:r w:rsidR="00D242BF" w:rsidRPr="00883CE0">
        <w:rPr>
          <w:b/>
        </w:rPr>
        <w:t xml:space="preserve"> 4</w:t>
      </w:r>
      <w:r w:rsidR="00DD2DA3" w:rsidRPr="00883CE0">
        <w:rPr>
          <w:b/>
        </w:rPr>
        <w:t>.</w:t>
      </w:r>
      <w:proofErr w:type="gramEnd"/>
      <w:r w:rsidR="00DD2DA3">
        <w:t xml:space="preserve"> </w:t>
      </w:r>
      <w:proofErr w:type="gramStart"/>
      <w:r w:rsidR="00DD2DA3">
        <w:t xml:space="preserve">Phosphorus loading (Gibson </w:t>
      </w:r>
      <w:r w:rsidR="007E2405" w:rsidRPr="007E2405">
        <w:rPr>
          <w:i/>
        </w:rPr>
        <w:t xml:space="preserve">et al. </w:t>
      </w:r>
      <w:r w:rsidR="00DD2DA3">
        <w:t>2008)</w:t>
      </w:r>
      <w:r w:rsidR="00BC432C">
        <w:t>.</w:t>
      </w:r>
      <w:proofErr w:type="gramEnd"/>
    </w:p>
    <w:p w:rsidR="00E8230D" w:rsidRDefault="00E8230D" w:rsidP="009D1F25">
      <w:pPr>
        <w:pStyle w:val="EstuarySubheading"/>
        <w:spacing w:after="120"/>
      </w:pPr>
      <w:bookmarkStart w:id="5" w:name="_Toc263862797"/>
      <w:r w:rsidRPr="00E8230D">
        <w:t>Assimilative capacity</w:t>
      </w:r>
      <w:r>
        <w:t xml:space="preserve"> and productivity</w:t>
      </w:r>
      <w:bookmarkEnd w:id="5"/>
    </w:p>
    <w:p w:rsidR="00211ABD" w:rsidRDefault="00211ABD" w:rsidP="009D1F25">
      <w:pPr>
        <w:spacing w:after="120"/>
      </w:pPr>
      <w:r>
        <w:t>The dominant primary producers in the Keys are seagrasses and macroalgae.  T</w:t>
      </w:r>
      <w:r w:rsidR="009A1F27">
        <w:t xml:space="preserve">here is typically </w:t>
      </w:r>
      <w:r w:rsidR="004966C8">
        <w:t>a gradient of water column and sediment nutrient availability with low N offshore and low P</w:t>
      </w:r>
      <w:r w:rsidR="009A1F27">
        <w:t xml:space="preserve"> nearshore</w:t>
      </w:r>
      <w:r w:rsidR="004966C8">
        <w:t xml:space="preserve"> (Boyer and Jones 2002; </w:t>
      </w:r>
      <w:proofErr w:type="spellStart"/>
      <w:r w:rsidR="004966C8">
        <w:t>Szmant</w:t>
      </w:r>
      <w:proofErr w:type="spellEnd"/>
      <w:r w:rsidR="004966C8">
        <w:t xml:space="preserve"> and Forrester 1996).</w:t>
      </w:r>
      <w:r w:rsidR="0028749B">
        <w:t xml:space="preserve">  In seagrass dominated systems</w:t>
      </w:r>
      <w:r w:rsidR="00BC432C">
        <w:t>,</w:t>
      </w:r>
      <w:r w:rsidR="0028749B">
        <w:t xml:space="preserve"> it can be difficult to determine the actual nutrient status of the water column because of rapid uptake of soluble nutrients (</w:t>
      </w:r>
      <w:proofErr w:type="spellStart"/>
      <w:r w:rsidR="0028749B">
        <w:t>Tomasko</w:t>
      </w:r>
      <w:proofErr w:type="spellEnd"/>
      <w:r w:rsidR="0028749B">
        <w:t xml:space="preserve"> and Lapointe 1991).</w:t>
      </w:r>
      <w:r w:rsidR="005F024D">
        <w:t xml:space="preserve">  </w:t>
      </w:r>
      <w:r w:rsidR="0028749B">
        <w:t xml:space="preserve">  </w:t>
      </w:r>
      <w:r w:rsidR="004966C8">
        <w:t xml:space="preserve">  </w:t>
      </w:r>
    </w:p>
    <w:p w:rsidR="004F6403" w:rsidRDefault="004966C8" w:rsidP="009D1F25">
      <w:pPr>
        <w:spacing w:after="120"/>
      </w:pPr>
      <w:r>
        <w:t xml:space="preserve">Elevated epiphyte loads on seagrass have been observed under </w:t>
      </w:r>
      <w:proofErr w:type="spellStart"/>
      <w:r>
        <w:t>eutrophic</w:t>
      </w:r>
      <w:proofErr w:type="spellEnd"/>
      <w:r>
        <w:t xml:space="preserve"> conditions</w:t>
      </w:r>
      <w:r w:rsidR="004F52DA">
        <w:t xml:space="preserve"> and in response to N and P fertilization</w:t>
      </w:r>
      <w:r>
        <w:t xml:space="preserve"> (</w:t>
      </w:r>
      <w:proofErr w:type="spellStart"/>
      <w:r>
        <w:t>Tomasko</w:t>
      </w:r>
      <w:proofErr w:type="spellEnd"/>
      <w:r>
        <w:t xml:space="preserve"> and Lapointe 1991</w:t>
      </w:r>
      <w:r w:rsidR="004F52DA">
        <w:t xml:space="preserve">; </w:t>
      </w:r>
      <w:proofErr w:type="spellStart"/>
      <w:r w:rsidR="004F52DA">
        <w:t>Ferdie</w:t>
      </w:r>
      <w:proofErr w:type="spellEnd"/>
      <w:r w:rsidR="004F52DA">
        <w:t xml:space="preserve"> and Fourqurean 2004</w:t>
      </w:r>
      <w:r w:rsidR="00CB6BD1">
        <w:t xml:space="preserve">). </w:t>
      </w:r>
      <w:r>
        <w:t xml:space="preserve">However, Fourqurean </w:t>
      </w:r>
      <w:r w:rsidR="007E2405" w:rsidRPr="007E2405">
        <w:rPr>
          <w:i/>
        </w:rPr>
        <w:t xml:space="preserve">et al. </w:t>
      </w:r>
      <w:r>
        <w:t>(in press) did not find a correlation between epiphyte load on</w:t>
      </w:r>
      <w:r w:rsidR="00CB6BD1">
        <w:t xml:space="preserve"> turtle grass, </w:t>
      </w:r>
      <w:proofErr w:type="spellStart"/>
      <w:r w:rsidRPr="004F6403">
        <w:rPr>
          <w:i/>
        </w:rPr>
        <w:t>T</w:t>
      </w:r>
      <w:r w:rsidR="005F024D">
        <w:rPr>
          <w:i/>
        </w:rPr>
        <w:t>halassia</w:t>
      </w:r>
      <w:proofErr w:type="spellEnd"/>
      <w:r w:rsidRPr="004F6403">
        <w:rPr>
          <w:i/>
        </w:rPr>
        <w:t xml:space="preserve"> </w:t>
      </w:r>
      <w:proofErr w:type="spellStart"/>
      <w:r w:rsidRPr="004F6403">
        <w:rPr>
          <w:i/>
        </w:rPr>
        <w:t>testudinum</w:t>
      </w:r>
      <w:proofErr w:type="spellEnd"/>
      <w:r w:rsidR="00CB6BD1">
        <w:rPr>
          <w:i/>
        </w:rPr>
        <w:t>,</w:t>
      </w:r>
      <w:r>
        <w:t xml:space="preserve"> and water column or sediment nutrient concentrations.  Fourqurean </w:t>
      </w:r>
      <w:r w:rsidR="007E2405" w:rsidRPr="007E2405">
        <w:rPr>
          <w:i/>
        </w:rPr>
        <w:t xml:space="preserve">et al. </w:t>
      </w:r>
      <w:r>
        <w:t>(in press) proposes that top-down grazer removal of epiphytes may obscure the influence of nutrients on the epiphyte community.</w:t>
      </w:r>
    </w:p>
    <w:p w:rsidR="007C60C1" w:rsidRDefault="004F6403" w:rsidP="009D1F25">
      <w:pPr>
        <w:spacing w:after="120"/>
      </w:pPr>
      <w:r>
        <w:t xml:space="preserve">In a field comparison of a </w:t>
      </w:r>
      <w:r w:rsidR="005F024D">
        <w:rPr>
          <w:i/>
        </w:rPr>
        <w:t>T.</w:t>
      </w:r>
      <w:r w:rsidRPr="008358B4">
        <w:rPr>
          <w:i/>
        </w:rPr>
        <w:t xml:space="preserve"> </w:t>
      </w:r>
      <w:proofErr w:type="spellStart"/>
      <w:r w:rsidRPr="008358B4">
        <w:rPr>
          <w:i/>
        </w:rPr>
        <w:t>testudinum</w:t>
      </w:r>
      <w:proofErr w:type="spellEnd"/>
      <w:r>
        <w:t xml:space="preserve"> seagrass site with anthropogenic nutrient enrichment (Big Pine Key) ver</w:t>
      </w:r>
      <w:r w:rsidR="00BC432C">
        <w:t>sus a control seagrass site (</w:t>
      </w:r>
      <w:proofErr w:type="spellStart"/>
      <w:r w:rsidR="00BC432C">
        <w:t>Cudj</w:t>
      </w:r>
      <w:r>
        <w:t>oe</w:t>
      </w:r>
      <w:proofErr w:type="spellEnd"/>
      <w:r>
        <w:t xml:space="preserve"> Key), seagrasses at Big Pine Key had higher epiphyte levels and lower areal productivity (</w:t>
      </w:r>
      <w:proofErr w:type="spellStart"/>
      <w:r>
        <w:t>Tomasko</w:t>
      </w:r>
      <w:proofErr w:type="spellEnd"/>
      <w:r>
        <w:t xml:space="preserve"> and Lapointe 1991).  Shallow (0.5</w:t>
      </w:r>
      <w:r w:rsidR="00337A83">
        <w:t xml:space="preserve"> </w:t>
      </w:r>
      <w:r>
        <w:t>m depth) areal prod</w:t>
      </w:r>
      <w:r w:rsidR="003F5D6B">
        <w:t xml:space="preserve">uctivity rates were 0.306 g dwt </w:t>
      </w:r>
      <w:r w:rsidRPr="003F5D6B">
        <w:t>m</w:t>
      </w:r>
      <w:r w:rsidR="003F5D6B">
        <w:rPr>
          <w:vertAlign w:val="superscript"/>
        </w:rPr>
        <w:t>-2</w:t>
      </w:r>
      <w:r w:rsidR="003F5D6B">
        <w:t xml:space="preserve"> </w:t>
      </w:r>
      <w:r>
        <w:t>day</w:t>
      </w:r>
      <w:r w:rsidR="003F5D6B">
        <w:rPr>
          <w:vertAlign w:val="superscript"/>
        </w:rPr>
        <w:t>-1</w:t>
      </w:r>
      <w:r w:rsidR="003F5D6B">
        <w:t xml:space="preserve"> and 0.768 g dwt </w:t>
      </w:r>
      <w:r>
        <w:t>m</w:t>
      </w:r>
      <w:r w:rsidR="003F5D6B">
        <w:rPr>
          <w:vertAlign w:val="superscript"/>
        </w:rPr>
        <w:t>-2</w:t>
      </w:r>
      <w:r w:rsidR="003F5D6B">
        <w:t xml:space="preserve"> </w:t>
      </w:r>
      <w:r>
        <w:t>day</w:t>
      </w:r>
      <w:r w:rsidR="003F5D6B">
        <w:rPr>
          <w:vertAlign w:val="superscript"/>
        </w:rPr>
        <w:t>-1</w:t>
      </w:r>
      <w:r w:rsidR="00BC432C">
        <w:t xml:space="preserve"> for Big Pine Key and </w:t>
      </w:r>
      <w:proofErr w:type="spellStart"/>
      <w:r w:rsidR="00BC432C">
        <w:t>Cudj</w:t>
      </w:r>
      <w:r>
        <w:t>oe</w:t>
      </w:r>
      <w:proofErr w:type="spellEnd"/>
      <w:r>
        <w:t xml:space="preserve"> Key respectively.  The annual mean areal productivity in South Florida from 1995-1998 by Fourqurean </w:t>
      </w:r>
      <w:r w:rsidR="007E2405" w:rsidRPr="007E2405">
        <w:rPr>
          <w:i/>
        </w:rPr>
        <w:t xml:space="preserve">et al. </w:t>
      </w:r>
      <w:r>
        <w:t xml:space="preserve">(2001) for </w:t>
      </w:r>
      <w:r w:rsidRPr="009A1F27">
        <w:rPr>
          <w:i/>
        </w:rPr>
        <w:t xml:space="preserve">T. </w:t>
      </w:r>
      <w:proofErr w:type="spellStart"/>
      <w:r w:rsidRPr="009A1F27">
        <w:rPr>
          <w:i/>
        </w:rPr>
        <w:t>testudinum</w:t>
      </w:r>
      <w:proofErr w:type="spellEnd"/>
      <w:r w:rsidR="003F5D6B">
        <w:t xml:space="preserve"> was 0.7 g </w:t>
      </w:r>
      <w:r>
        <w:t>m</w:t>
      </w:r>
      <w:r w:rsidR="003F5D6B">
        <w:rPr>
          <w:vertAlign w:val="superscript"/>
        </w:rPr>
        <w:t>-2</w:t>
      </w:r>
      <w:r w:rsidR="003F5D6B">
        <w:t xml:space="preserve"> </w:t>
      </w:r>
      <w:r>
        <w:t>day</w:t>
      </w:r>
      <w:r w:rsidR="003F5D6B">
        <w:rPr>
          <w:vertAlign w:val="superscript"/>
        </w:rPr>
        <w:t>-1</w:t>
      </w:r>
      <w:r>
        <w:t xml:space="preserve">.    </w:t>
      </w:r>
      <w:r w:rsidR="004966C8">
        <w:t xml:space="preserve">  </w:t>
      </w:r>
      <w:r w:rsidR="009A1F27">
        <w:t xml:space="preserve">    </w:t>
      </w:r>
      <w:r w:rsidR="005119C6">
        <w:t xml:space="preserve">  </w:t>
      </w:r>
    </w:p>
    <w:p w:rsidR="0027730B" w:rsidRPr="002708E9" w:rsidRDefault="0027730B" w:rsidP="009D1F25">
      <w:pPr>
        <w:pStyle w:val="EstuaryHeading"/>
        <w:spacing w:after="120"/>
      </w:pPr>
      <w:bookmarkStart w:id="6" w:name="_Toc263862798"/>
      <w:r w:rsidRPr="002708E9">
        <w:lastRenderedPageBreak/>
        <w:t>Biological Summary</w:t>
      </w:r>
      <w:bookmarkEnd w:id="6"/>
      <w:r w:rsidRPr="002708E9">
        <w:t xml:space="preserve"> </w:t>
      </w:r>
    </w:p>
    <w:p w:rsidR="002708E9" w:rsidRDefault="004420A2" w:rsidP="009D1F25">
      <w:pPr>
        <w:spacing w:after="120"/>
        <w:rPr>
          <w:rFonts w:cs="Times New Roman"/>
        </w:rPr>
      </w:pPr>
      <w:r>
        <w:rPr>
          <w:rFonts w:cs="Times New Roman"/>
        </w:rPr>
        <w:t xml:space="preserve">The three dominant habitats that make up the </w:t>
      </w:r>
      <w:r w:rsidR="0027730B" w:rsidRPr="003B2097">
        <w:rPr>
          <w:rFonts w:cs="Times New Roman"/>
        </w:rPr>
        <w:t xml:space="preserve">coastal marine ecosystems of the Florida Keys </w:t>
      </w:r>
      <w:r>
        <w:rPr>
          <w:rFonts w:cs="Times New Roman"/>
        </w:rPr>
        <w:t xml:space="preserve">are </w:t>
      </w:r>
      <w:r w:rsidR="0027730B">
        <w:rPr>
          <w:rFonts w:cs="Times New Roman"/>
        </w:rPr>
        <w:t xml:space="preserve">seagrass meadows, coral reefs, and </w:t>
      </w:r>
      <w:r w:rsidR="0027730B" w:rsidRPr="003B2097">
        <w:rPr>
          <w:rFonts w:cs="Times New Roman"/>
        </w:rPr>
        <w:t>mangroves.</w:t>
      </w:r>
      <w:r w:rsidR="00C541BB">
        <w:rPr>
          <w:rFonts w:cs="Times New Roman"/>
        </w:rPr>
        <w:t xml:space="preserve"> </w:t>
      </w:r>
      <w:r w:rsidR="0027730B" w:rsidRPr="003B2097">
        <w:rPr>
          <w:rFonts w:cs="Times New Roman"/>
        </w:rPr>
        <w:t xml:space="preserve"> </w:t>
      </w:r>
      <w:r w:rsidR="002708E9" w:rsidRPr="003B2097">
        <w:rPr>
          <w:rFonts w:cs="Times New Roman"/>
        </w:rPr>
        <w:t>Seagrasses are the principle component of</w:t>
      </w:r>
      <w:r w:rsidR="002708E9">
        <w:rPr>
          <w:rFonts w:cs="Times New Roman"/>
        </w:rPr>
        <w:t xml:space="preserve"> </w:t>
      </w:r>
      <w:r w:rsidR="002708E9" w:rsidRPr="003B2097">
        <w:rPr>
          <w:rFonts w:cs="Times New Roman"/>
        </w:rPr>
        <w:t xml:space="preserve">benthic marine </w:t>
      </w:r>
      <w:r w:rsidR="002708E9">
        <w:rPr>
          <w:rFonts w:cs="Times New Roman"/>
        </w:rPr>
        <w:t>habitats in the Florida Keys and</w:t>
      </w:r>
      <w:r w:rsidR="002708E9" w:rsidRPr="003B2097">
        <w:rPr>
          <w:rFonts w:cs="Times New Roman"/>
        </w:rPr>
        <w:t xml:space="preserve"> they occupy over 70% of the FKNMS</w:t>
      </w:r>
      <w:r w:rsidR="002708E9">
        <w:rPr>
          <w:rFonts w:cs="Times New Roman"/>
        </w:rPr>
        <w:t xml:space="preserve"> (Fourqurean </w:t>
      </w:r>
      <w:r w:rsidR="007E2405" w:rsidRPr="007E2405">
        <w:rPr>
          <w:rFonts w:cs="Times New Roman"/>
          <w:i/>
        </w:rPr>
        <w:t>et al.</w:t>
      </w:r>
      <w:r w:rsidR="00406EE4">
        <w:rPr>
          <w:rFonts w:cs="Times New Roman"/>
          <w:i/>
        </w:rPr>
        <w:t xml:space="preserve">, </w:t>
      </w:r>
      <w:r w:rsidR="002708E9">
        <w:rPr>
          <w:rFonts w:cs="Times New Roman"/>
        </w:rPr>
        <w:t>FL Keys Carrying Capacity Study)</w:t>
      </w:r>
      <w:r w:rsidR="002708E9" w:rsidRPr="003B2097">
        <w:rPr>
          <w:rFonts w:cs="Times New Roman"/>
        </w:rPr>
        <w:t xml:space="preserve">. </w:t>
      </w:r>
      <w:r w:rsidR="002708E9">
        <w:rPr>
          <w:rFonts w:cs="Times New Roman"/>
        </w:rPr>
        <w:t xml:space="preserve">  </w:t>
      </w:r>
      <w:r w:rsidR="002708E9" w:rsidRPr="00F73EFA">
        <w:rPr>
          <w:rFonts w:cs="Times New Roman"/>
        </w:rPr>
        <w:t xml:space="preserve">Coral reefs, patch reefs, and </w:t>
      </w:r>
      <w:proofErr w:type="spellStart"/>
      <w:r w:rsidR="002708E9" w:rsidRPr="00F73EFA">
        <w:rPr>
          <w:rFonts w:cs="Times New Roman"/>
        </w:rPr>
        <w:t>hardbottom</w:t>
      </w:r>
      <w:proofErr w:type="spellEnd"/>
      <w:r w:rsidR="002708E9" w:rsidRPr="00F73EFA">
        <w:rPr>
          <w:rFonts w:cs="Times New Roman"/>
        </w:rPr>
        <w:t xml:space="preserve"> habitats cover approximately 7%, 1% and 19% of the FKNMS, respectively</w:t>
      </w:r>
      <w:r w:rsidR="00140E80">
        <w:rPr>
          <w:rFonts w:cs="Times New Roman"/>
        </w:rPr>
        <w:t xml:space="preserve">.  </w:t>
      </w:r>
      <w:r w:rsidR="002708E9" w:rsidRPr="00F73EFA">
        <w:rPr>
          <w:rFonts w:cs="Times New Roman"/>
        </w:rPr>
        <w:t xml:space="preserve">Mangroves are a dominant feature of the land-sea margin throughout the Florida Keys. </w:t>
      </w:r>
    </w:p>
    <w:p w:rsidR="00214020" w:rsidRPr="002708E9" w:rsidRDefault="002708E9" w:rsidP="009D1F25">
      <w:pPr>
        <w:pStyle w:val="EstuarySubheading"/>
        <w:spacing w:after="120"/>
      </w:pPr>
      <w:r w:rsidRPr="00F73EFA">
        <w:t xml:space="preserve"> </w:t>
      </w:r>
      <w:bookmarkStart w:id="7" w:name="_Toc263862799"/>
      <w:r w:rsidRPr="002708E9">
        <w:t>Seagrasses</w:t>
      </w:r>
      <w:bookmarkEnd w:id="7"/>
    </w:p>
    <w:p w:rsidR="00BB47F7" w:rsidRDefault="0020554E" w:rsidP="00BB47F7">
      <w:pPr>
        <w:spacing w:after="120"/>
        <w:rPr>
          <w:rFonts w:cs="Times New Roman"/>
        </w:rPr>
      </w:pPr>
      <w:r>
        <w:rPr>
          <w:rFonts w:cs="Times New Roman"/>
        </w:rPr>
        <w:t>One of the world’s most extensive seagrass beds, approximately 14,000 km</w:t>
      </w:r>
      <w:r>
        <w:rPr>
          <w:rFonts w:cs="Times New Roman"/>
          <w:vertAlign w:val="superscript"/>
        </w:rPr>
        <w:t>2</w:t>
      </w:r>
      <w:r>
        <w:rPr>
          <w:rFonts w:cs="Times New Roman"/>
        </w:rPr>
        <w:t xml:space="preserve">, surrounds the Florida Keys (Fourqurean and </w:t>
      </w:r>
      <w:proofErr w:type="spellStart"/>
      <w:r>
        <w:rPr>
          <w:rFonts w:cs="Times New Roman"/>
        </w:rPr>
        <w:t>Zieman</w:t>
      </w:r>
      <w:proofErr w:type="spellEnd"/>
      <w:r>
        <w:rPr>
          <w:rFonts w:cs="Times New Roman"/>
        </w:rPr>
        <w:t xml:space="preserve"> 2002). </w:t>
      </w:r>
      <w:r w:rsidR="0027730B" w:rsidRPr="003B2097">
        <w:rPr>
          <w:rFonts w:cs="Times New Roman"/>
        </w:rPr>
        <w:t>The</w:t>
      </w:r>
      <w:r w:rsidR="0027730B">
        <w:rPr>
          <w:rFonts w:cs="Times New Roman"/>
        </w:rPr>
        <w:t xml:space="preserve"> </w:t>
      </w:r>
      <w:r w:rsidR="0027730B" w:rsidRPr="003B2097">
        <w:rPr>
          <w:rFonts w:cs="Times New Roman"/>
        </w:rPr>
        <w:t>structure and distribution of seagrass communitie</w:t>
      </w:r>
      <w:r>
        <w:rPr>
          <w:rFonts w:cs="Times New Roman"/>
        </w:rPr>
        <w:t xml:space="preserve">s varies throughout the </w:t>
      </w:r>
      <w:r w:rsidR="0027730B" w:rsidRPr="003B2097">
        <w:rPr>
          <w:rFonts w:cs="Times New Roman"/>
        </w:rPr>
        <w:t>Keys;</w:t>
      </w:r>
      <w:r w:rsidR="0027730B">
        <w:rPr>
          <w:rFonts w:cs="Times New Roman"/>
        </w:rPr>
        <w:t xml:space="preserve"> </w:t>
      </w:r>
      <w:r w:rsidR="0027730B" w:rsidRPr="003B2097">
        <w:rPr>
          <w:rFonts w:cs="Times New Roman"/>
        </w:rPr>
        <w:t>they form extensive meadows and patchy beds, and are also found scattered throughout</w:t>
      </w:r>
      <w:r w:rsidR="0027730B">
        <w:rPr>
          <w:rFonts w:cs="Times New Roman"/>
        </w:rPr>
        <w:t xml:space="preserve"> </w:t>
      </w:r>
      <w:r w:rsidR="0027730B" w:rsidRPr="003B2097">
        <w:rPr>
          <w:rFonts w:cs="Times New Roman"/>
        </w:rPr>
        <w:t>other habitats</w:t>
      </w:r>
      <w:r w:rsidR="00DA278A">
        <w:rPr>
          <w:rFonts w:cs="Times New Roman"/>
        </w:rPr>
        <w:t xml:space="preserve"> (Fourqurean </w:t>
      </w:r>
      <w:r w:rsidR="00DA278A" w:rsidRPr="00DA278A">
        <w:rPr>
          <w:rFonts w:cs="Times New Roman"/>
          <w:i/>
        </w:rPr>
        <w:t>et al</w:t>
      </w:r>
      <w:r w:rsidR="00DA278A">
        <w:rPr>
          <w:rFonts w:cs="Times New Roman"/>
        </w:rPr>
        <w:t>. 2001)</w:t>
      </w:r>
      <w:r w:rsidR="0027730B" w:rsidRPr="003B2097">
        <w:rPr>
          <w:rFonts w:cs="Times New Roman"/>
        </w:rPr>
        <w:t>.</w:t>
      </w:r>
      <w:r w:rsidR="000A77C4">
        <w:rPr>
          <w:rFonts w:cs="Times New Roman"/>
        </w:rPr>
        <w:t xml:space="preserve">  The distribution and species composition of seagrasses in south Florida results from many factors, with</w:t>
      </w:r>
      <w:r w:rsidR="00C27EBC">
        <w:rPr>
          <w:rFonts w:cs="Times New Roman"/>
        </w:rPr>
        <w:t xml:space="preserve"> the</w:t>
      </w:r>
      <w:r w:rsidR="000A77C4">
        <w:rPr>
          <w:rFonts w:cs="Times New Roman"/>
        </w:rPr>
        <w:t xml:space="preserve"> most important being water depth, water clarity, and nutrient availability (Fourqurean </w:t>
      </w:r>
      <w:r w:rsidR="000A77C4" w:rsidRPr="007E2405">
        <w:rPr>
          <w:rFonts w:cs="Times New Roman"/>
          <w:i/>
        </w:rPr>
        <w:t xml:space="preserve">et al. </w:t>
      </w:r>
      <w:r w:rsidR="000A77C4">
        <w:rPr>
          <w:rFonts w:cs="Times New Roman"/>
        </w:rPr>
        <w:t xml:space="preserve">2002). </w:t>
      </w:r>
      <w:r w:rsidR="00BB47F7">
        <w:rPr>
          <w:rFonts w:cs="Times New Roman"/>
        </w:rPr>
        <w:t xml:space="preserve">  </w:t>
      </w:r>
    </w:p>
    <w:p w:rsidR="00BB47F7" w:rsidRPr="00213BC4" w:rsidRDefault="00BB47F7" w:rsidP="00BB47F7">
      <w:pPr>
        <w:spacing w:after="120"/>
        <w:rPr>
          <w:szCs w:val="20"/>
        </w:rPr>
      </w:pPr>
      <w:r w:rsidRPr="00213BC4">
        <w:rPr>
          <w:rFonts w:cs="Times New Roman"/>
        </w:rPr>
        <w:t>Seagrass beds are important habitat for other species including pink shrimp (</w:t>
      </w:r>
      <w:proofErr w:type="spellStart"/>
      <w:r w:rsidRPr="00213BC4">
        <w:rPr>
          <w:rFonts w:cs="Times New Roman"/>
          <w:i/>
        </w:rPr>
        <w:t>Farfantepenaeus</w:t>
      </w:r>
      <w:proofErr w:type="spellEnd"/>
      <w:r w:rsidRPr="00213BC4">
        <w:rPr>
          <w:rFonts w:cs="Times New Roman"/>
          <w:i/>
        </w:rPr>
        <w:t>)</w:t>
      </w:r>
      <w:r w:rsidRPr="00213BC4">
        <w:rPr>
          <w:rFonts w:cs="Times New Roman"/>
        </w:rPr>
        <w:t>, spiny lobster (</w:t>
      </w:r>
      <w:proofErr w:type="spellStart"/>
      <w:r w:rsidRPr="00213BC4">
        <w:rPr>
          <w:rFonts w:cs="Times New Roman"/>
          <w:i/>
        </w:rPr>
        <w:t>Panulirus</w:t>
      </w:r>
      <w:proofErr w:type="spellEnd"/>
      <w:r w:rsidRPr="00213BC4">
        <w:rPr>
          <w:rFonts w:cs="Times New Roman"/>
          <w:i/>
        </w:rPr>
        <w:t xml:space="preserve"> </w:t>
      </w:r>
      <w:proofErr w:type="spellStart"/>
      <w:proofErr w:type="gramStart"/>
      <w:r w:rsidRPr="00213BC4">
        <w:rPr>
          <w:rFonts w:cs="Times New Roman"/>
          <w:i/>
        </w:rPr>
        <w:t>argus</w:t>
      </w:r>
      <w:proofErr w:type="spellEnd"/>
      <w:proofErr w:type="gramEnd"/>
      <w:r w:rsidRPr="00213BC4">
        <w:rPr>
          <w:rFonts w:cs="Times New Roman"/>
        </w:rPr>
        <w:t>), queen conch (</w:t>
      </w:r>
      <w:proofErr w:type="spellStart"/>
      <w:r w:rsidRPr="00213BC4">
        <w:rPr>
          <w:rFonts w:cs="Times New Roman"/>
          <w:i/>
        </w:rPr>
        <w:t>Strombus</w:t>
      </w:r>
      <w:proofErr w:type="spellEnd"/>
      <w:r w:rsidRPr="00213BC4">
        <w:rPr>
          <w:rFonts w:cs="Times New Roman"/>
          <w:i/>
        </w:rPr>
        <w:t xml:space="preserve"> </w:t>
      </w:r>
      <w:proofErr w:type="spellStart"/>
      <w:r w:rsidRPr="00213BC4">
        <w:rPr>
          <w:rFonts w:cs="Times New Roman"/>
          <w:i/>
        </w:rPr>
        <w:t>gigas</w:t>
      </w:r>
      <w:proofErr w:type="spellEnd"/>
      <w:r w:rsidRPr="00213BC4">
        <w:rPr>
          <w:rFonts w:cs="Times New Roman"/>
        </w:rPr>
        <w:t xml:space="preserve">), and the spotted </w:t>
      </w:r>
      <w:proofErr w:type="spellStart"/>
      <w:r w:rsidRPr="00213BC4">
        <w:rPr>
          <w:rFonts w:cs="Times New Roman"/>
        </w:rPr>
        <w:t>seatrout</w:t>
      </w:r>
      <w:proofErr w:type="spellEnd"/>
      <w:r w:rsidRPr="00213BC4">
        <w:rPr>
          <w:rFonts w:cs="Times New Roman"/>
        </w:rPr>
        <w:t xml:space="preserve"> (</w:t>
      </w:r>
      <w:proofErr w:type="spellStart"/>
      <w:r w:rsidRPr="00213BC4">
        <w:rPr>
          <w:rFonts w:cs="Times New Roman"/>
          <w:i/>
        </w:rPr>
        <w:t>Cynoscion</w:t>
      </w:r>
      <w:proofErr w:type="spellEnd"/>
      <w:r w:rsidRPr="00213BC4">
        <w:rPr>
          <w:rFonts w:cs="Times New Roman"/>
          <w:i/>
        </w:rPr>
        <w:t xml:space="preserve"> </w:t>
      </w:r>
      <w:proofErr w:type="spellStart"/>
      <w:r w:rsidRPr="00213BC4">
        <w:rPr>
          <w:rFonts w:cs="Times New Roman"/>
          <w:i/>
        </w:rPr>
        <w:t>nebulosus</w:t>
      </w:r>
      <w:proofErr w:type="spellEnd"/>
      <w:r w:rsidRPr="00213BC4">
        <w:rPr>
          <w:rFonts w:cs="Times New Roman"/>
        </w:rPr>
        <w:t xml:space="preserve">) (Fourqurean </w:t>
      </w:r>
      <w:r w:rsidRPr="007E2405">
        <w:rPr>
          <w:rFonts w:cs="Times New Roman"/>
          <w:i/>
        </w:rPr>
        <w:t xml:space="preserve">et al. </w:t>
      </w:r>
      <w:r w:rsidRPr="00213BC4">
        <w:rPr>
          <w:rFonts w:cs="Times New Roman"/>
        </w:rPr>
        <w:t xml:space="preserve">2001).   </w:t>
      </w:r>
      <w:r>
        <w:t xml:space="preserve">Lapointe </w:t>
      </w:r>
      <w:r w:rsidRPr="007E2405">
        <w:rPr>
          <w:i/>
        </w:rPr>
        <w:t xml:space="preserve">et al. </w:t>
      </w:r>
      <w:r>
        <w:t>(1994) note that since densities of benthic invertebrates and fishes that inhabit seagrass meadows are positively correlated with seagrass density and productivity, eutrophication of seagrass meadows could also lead to reductions in secondary productivity.</w:t>
      </w:r>
    </w:p>
    <w:p w:rsidR="00F16C10" w:rsidRDefault="00A90D12" w:rsidP="009D1F25">
      <w:pPr>
        <w:autoSpaceDE w:val="0"/>
        <w:autoSpaceDN w:val="0"/>
        <w:adjustRightInd w:val="0"/>
        <w:spacing w:after="120"/>
        <w:rPr>
          <w:rFonts w:cs="Times New Roman"/>
        </w:rPr>
      </w:pPr>
      <w:r>
        <w:rPr>
          <w:rFonts w:cs="Times New Roman"/>
        </w:rPr>
        <w:t xml:space="preserve">Fourqurean </w:t>
      </w:r>
      <w:r w:rsidRPr="007E2405">
        <w:rPr>
          <w:rFonts w:cs="Times New Roman"/>
          <w:i/>
        </w:rPr>
        <w:t xml:space="preserve">et al. </w:t>
      </w:r>
      <w:r>
        <w:rPr>
          <w:rFonts w:cs="Times New Roman"/>
        </w:rPr>
        <w:t xml:space="preserve">(2001) documented distribution and abundance of seagrasses in south Florida in a larger study area that included the </w:t>
      </w:r>
      <w:r w:rsidR="0001470C">
        <w:rPr>
          <w:rFonts w:cs="Times New Roman"/>
        </w:rPr>
        <w:t>FKNMS</w:t>
      </w:r>
      <w:r>
        <w:rPr>
          <w:rFonts w:cs="Times New Roman"/>
        </w:rPr>
        <w:t xml:space="preserve"> during 1995-1998 and found </w:t>
      </w:r>
      <w:r w:rsidRPr="00A04331">
        <w:rPr>
          <w:rFonts w:cs="Times New Roman"/>
          <w:i/>
        </w:rPr>
        <w:t xml:space="preserve">T. </w:t>
      </w:r>
      <w:proofErr w:type="spellStart"/>
      <w:r w:rsidRPr="00A04331">
        <w:rPr>
          <w:rFonts w:cs="Times New Roman"/>
          <w:i/>
        </w:rPr>
        <w:t>testudinum</w:t>
      </w:r>
      <w:proofErr w:type="spellEnd"/>
      <w:r>
        <w:rPr>
          <w:rFonts w:cs="Times New Roman"/>
        </w:rPr>
        <w:t xml:space="preserve"> to be the most common seagrass at 67.2% of the sites.  Other seagrasses observed included </w:t>
      </w:r>
      <w:proofErr w:type="spellStart"/>
      <w:r w:rsidRPr="00A04331">
        <w:rPr>
          <w:rFonts w:cs="Times New Roman"/>
          <w:i/>
        </w:rPr>
        <w:t>Syringodium</w:t>
      </w:r>
      <w:proofErr w:type="spellEnd"/>
      <w:r w:rsidRPr="00A04331">
        <w:rPr>
          <w:rFonts w:cs="Times New Roman"/>
          <w:i/>
        </w:rPr>
        <w:t xml:space="preserve"> </w:t>
      </w:r>
      <w:proofErr w:type="spellStart"/>
      <w:r w:rsidRPr="00A04331">
        <w:rPr>
          <w:rFonts w:cs="Times New Roman"/>
          <w:i/>
        </w:rPr>
        <w:t>filiforme</w:t>
      </w:r>
      <w:proofErr w:type="spellEnd"/>
      <w:r>
        <w:rPr>
          <w:rFonts w:cs="Times New Roman"/>
        </w:rPr>
        <w:t xml:space="preserve"> at 38.9% of sites and </w:t>
      </w:r>
      <w:proofErr w:type="spellStart"/>
      <w:r w:rsidRPr="00A04331">
        <w:rPr>
          <w:rFonts w:cs="Times New Roman"/>
          <w:i/>
        </w:rPr>
        <w:t>Halodule</w:t>
      </w:r>
      <w:proofErr w:type="spellEnd"/>
      <w:r w:rsidRPr="00A04331">
        <w:rPr>
          <w:rFonts w:cs="Times New Roman"/>
          <w:i/>
        </w:rPr>
        <w:t xml:space="preserve"> </w:t>
      </w:r>
      <w:proofErr w:type="spellStart"/>
      <w:r w:rsidRPr="00A04331">
        <w:rPr>
          <w:rFonts w:cs="Times New Roman"/>
          <w:i/>
        </w:rPr>
        <w:t>wrightii</w:t>
      </w:r>
      <w:proofErr w:type="spellEnd"/>
      <w:r>
        <w:rPr>
          <w:rFonts w:cs="Times New Roman"/>
        </w:rPr>
        <w:t xml:space="preserve"> and </w:t>
      </w:r>
      <w:proofErr w:type="spellStart"/>
      <w:r w:rsidRPr="00A04331">
        <w:rPr>
          <w:rFonts w:cs="Times New Roman"/>
          <w:i/>
        </w:rPr>
        <w:t>Halophila</w:t>
      </w:r>
      <w:proofErr w:type="spellEnd"/>
      <w:r w:rsidRPr="00A04331">
        <w:rPr>
          <w:rFonts w:cs="Times New Roman"/>
          <w:i/>
        </w:rPr>
        <w:t xml:space="preserve"> </w:t>
      </w:r>
      <w:proofErr w:type="spellStart"/>
      <w:r w:rsidRPr="00A04331">
        <w:rPr>
          <w:rFonts w:cs="Times New Roman"/>
          <w:i/>
        </w:rPr>
        <w:t>decipens</w:t>
      </w:r>
      <w:proofErr w:type="spellEnd"/>
      <w:r>
        <w:rPr>
          <w:rFonts w:cs="Times New Roman"/>
        </w:rPr>
        <w:t xml:space="preserve"> at about 15% each of the sites.   A survey of seagrass species composition and density in the FKNMS during 1996-1997 found water depth related to the density of all observed seagrass species except for </w:t>
      </w:r>
      <w:proofErr w:type="spellStart"/>
      <w:r w:rsidRPr="00A04331">
        <w:rPr>
          <w:rFonts w:cs="Times New Roman"/>
          <w:i/>
        </w:rPr>
        <w:t>Halophila</w:t>
      </w:r>
      <w:proofErr w:type="spellEnd"/>
      <w:r w:rsidRPr="00A04331">
        <w:rPr>
          <w:rFonts w:cs="Times New Roman"/>
          <w:i/>
        </w:rPr>
        <w:t xml:space="preserve"> </w:t>
      </w:r>
      <w:proofErr w:type="spellStart"/>
      <w:r w:rsidRPr="00A04331">
        <w:rPr>
          <w:rFonts w:cs="Times New Roman"/>
          <w:i/>
        </w:rPr>
        <w:t>engelmanni</w:t>
      </w:r>
      <w:proofErr w:type="spellEnd"/>
      <w:r>
        <w:rPr>
          <w:rFonts w:cs="Times New Roman"/>
        </w:rPr>
        <w:t xml:space="preserve">.  Densities of </w:t>
      </w:r>
      <w:r w:rsidRPr="00A04331">
        <w:rPr>
          <w:rFonts w:cs="Times New Roman"/>
          <w:i/>
        </w:rPr>
        <w:t xml:space="preserve">T. </w:t>
      </w:r>
      <w:proofErr w:type="spellStart"/>
      <w:r w:rsidRPr="00A04331">
        <w:rPr>
          <w:rFonts w:cs="Times New Roman"/>
          <w:i/>
        </w:rPr>
        <w:t>testudinum</w:t>
      </w:r>
      <w:proofErr w:type="spellEnd"/>
      <w:r>
        <w:rPr>
          <w:rFonts w:cs="Times New Roman"/>
        </w:rPr>
        <w:t xml:space="preserve">, </w:t>
      </w:r>
      <w:r w:rsidRPr="00A04331">
        <w:rPr>
          <w:rFonts w:cs="Times New Roman"/>
          <w:i/>
        </w:rPr>
        <w:t xml:space="preserve">H. </w:t>
      </w:r>
      <w:proofErr w:type="spellStart"/>
      <w:r w:rsidRPr="00A04331">
        <w:rPr>
          <w:rFonts w:cs="Times New Roman"/>
          <w:i/>
        </w:rPr>
        <w:t>wrightii</w:t>
      </w:r>
      <w:proofErr w:type="spellEnd"/>
      <w:r>
        <w:rPr>
          <w:rFonts w:cs="Times New Roman"/>
        </w:rPr>
        <w:t xml:space="preserve">, and </w:t>
      </w:r>
      <w:proofErr w:type="spellStart"/>
      <w:r w:rsidRPr="00A04331">
        <w:rPr>
          <w:rFonts w:cs="Times New Roman"/>
          <w:i/>
        </w:rPr>
        <w:t>Ruppia</w:t>
      </w:r>
      <w:proofErr w:type="spellEnd"/>
      <w:r w:rsidRPr="00A04331">
        <w:rPr>
          <w:rFonts w:cs="Times New Roman"/>
          <w:i/>
        </w:rPr>
        <w:t xml:space="preserve"> maritime</w:t>
      </w:r>
      <w:r>
        <w:rPr>
          <w:rFonts w:cs="Times New Roman"/>
        </w:rPr>
        <w:t xml:space="preserve"> were higher in shallow water, while </w:t>
      </w:r>
      <w:r w:rsidRPr="00A04331">
        <w:rPr>
          <w:rFonts w:cs="Times New Roman"/>
          <w:i/>
        </w:rPr>
        <w:t xml:space="preserve">S. </w:t>
      </w:r>
      <w:proofErr w:type="spellStart"/>
      <w:r w:rsidRPr="00A04331">
        <w:rPr>
          <w:rFonts w:cs="Times New Roman"/>
          <w:i/>
        </w:rPr>
        <w:t>filiforme</w:t>
      </w:r>
      <w:proofErr w:type="spellEnd"/>
      <w:r>
        <w:rPr>
          <w:rFonts w:cs="Times New Roman"/>
        </w:rPr>
        <w:t xml:space="preserve"> and </w:t>
      </w:r>
      <w:r w:rsidRPr="00A04331">
        <w:rPr>
          <w:rFonts w:cs="Times New Roman"/>
          <w:i/>
        </w:rPr>
        <w:t xml:space="preserve">H. </w:t>
      </w:r>
      <w:proofErr w:type="spellStart"/>
      <w:r w:rsidRPr="00A04331">
        <w:rPr>
          <w:rFonts w:cs="Times New Roman"/>
          <w:i/>
        </w:rPr>
        <w:t>decipens</w:t>
      </w:r>
      <w:proofErr w:type="spellEnd"/>
      <w:r w:rsidRPr="00A04331">
        <w:rPr>
          <w:rFonts w:cs="Times New Roman"/>
          <w:i/>
        </w:rPr>
        <w:t xml:space="preserve"> </w:t>
      </w:r>
      <w:r>
        <w:rPr>
          <w:rFonts w:cs="Times New Roman"/>
        </w:rPr>
        <w:t xml:space="preserve">density were higher in deeper water (Fourqurean </w:t>
      </w:r>
      <w:r w:rsidRPr="007E2405">
        <w:rPr>
          <w:rFonts w:cs="Times New Roman"/>
          <w:i/>
        </w:rPr>
        <w:t xml:space="preserve">et al. </w:t>
      </w:r>
      <w:r>
        <w:rPr>
          <w:rFonts w:cs="Times New Roman"/>
        </w:rPr>
        <w:t>2002).</w:t>
      </w:r>
    </w:p>
    <w:p w:rsidR="004605D1" w:rsidRDefault="00F16C10" w:rsidP="009D1F25">
      <w:pPr>
        <w:autoSpaceDE w:val="0"/>
        <w:autoSpaceDN w:val="0"/>
        <w:adjustRightInd w:val="0"/>
        <w:spacing w:after="120"/>
        <w:rPr>
          <w:rFonts w:cs="Times New Roman"/>
        </w:rPr>
      </w:pPr>
      <w:r>
        <w:rPr>
          <w:rFonts w:cs="Times New Roman"/>
        </w:rPr>
        <w:t>The ratio of N</w:t>
      </w:r>
      <w:proofErr w:type="gramStart"/>
      <w:r>
        <w:rPr>
          <w:rFonts w:cs="Times New Roman"/>
        </w:rPr>
        <w:t>:P</w:t>
      </w:r>
      <w:proofErr w:type="gramEnd"/>
      <w:r>
        <w:rPr>
          <w:rFonts w:cs="Times New Roman"/>
        </w:rPr>
        <w:t xml:space="preserve"> in seagrass leaf tissues has been used to infer the relative availability of nutrients and spatial patterns in limiting nutrients (Fourqurean and </w:t>
      </w:r>
      <w:proofErr w:type="spellStart"/>
      <w:r>
        <w:rPr>
          <w:rFonts w:cs="Times New Roman"/>
        </w:rPr>
        <w:t>Zieman</w:t>
      </w:r>
      <w:proofErr w:type="spellEnd"/>
      <w:r>
        <w:rPr>
          <w:rFonts w:cs="Times New Roman"/>
        </w:rPr>
        <w:t xml:space="preserve"> 2002, Burkholder </w:t>
      </w:r>
      <w:r>
        <w:rPr>
          <w:rFonts w:cs="Times New Roman"/>
          <w:i/>
        </w:rPr>
        <w:t xml:space="preserve">et al. </w:t>
      </w:r>
      <w:r>
        <w:rPr>
          <w:rFonts w:cs="Times New Roman"/>
        </w:rPr>
        <w:t xml:space="preserve">2007).  Fourqurean and </w:t>
      </w:r>
      <w:proofErr w:type="spellStart"/>
      <w:r>
        <w:rPr>
          <w:rFonts w:cs="Times New Roman"/>
        </w:rPr>
        <w:t>Zieman</w:t>
      </w:r>
      <w:proofErr w:type="spellEnd"/>
      <w:r>
        <w:rPr>
          <w:rFonts w:cs="Times New Roman"/>
        </w:rPr>
        <w:t xml:space="preserve"> (2002) sampled </w:t>
      </w:r>
      <w:r w:rsidRPr="004A0DC7">
        <w:rPr>
          <w:rFonts w:cs="Times New Roman"/>
          <w:i/>
        </w:rPr>
        <w:t xml:space="preserve">T. </w:t>
      </w:r>
      <w:proofErr w:type="spellStart"/>
      <w:r w:rsidRPr="004A0DC7">
        <w:rPr>
          <w:rFonts w:cs="Times New Roman"/>
          <w:i/>
        </w:rPr>
        <w:t>testudinum</w:t>
      </w:r>
      <w:proofErr w:type="spellEnd"/>
      <w:r>
        <w:rPr>
          <w:rFonts w:cs="Times New Roman"/>
        </w:rPr>
        <w:t xml:space="preserve"> </w:t>
      </w:r>
      <w:r w:rsidR="004A0DC7">
        <w:rPr>
          <w:rFonts w:cs="Times New Roman"/>
        </w:rPr>
        <w:t>in the Keys and observed strong spatial patterns in the relative amount of N and P in tissues.  On the Gulf side of the Keys, the N</w:t>
      </w:r>
      <w:proofErr w:type="gramStart"/>
      <w:r w:rsidR="004A0DC7">
        <w:rPr>
          <w:rFonts w:cs="Times New Roman"/>
        </w:rPr>
        <w:t>:P</w:t>
      </w:r>
      <w:proofErr w:type="gramEnd"/>
      <w:r w:rsidR="004A0DC7">
        <w:rPr>
          <w:rFonts w:cs="Times New Roman"/>
        </w:rPr>
        <w:t xml:space="preserve"> ratios indicated P limitation except at the western margin of Florida Bay.  There was also a signal of P-limitation in the near-shore area along the Atlantic side of the Keys, however further offshore the ratios indicated N limitation.  It is important to note that factors other than nutrient availability, such as variation in light availability or any other factor that limits growth rate, can affect the nutrient content of seagrass tissue.  The </w:t>
      </w:r>
      <w:r w:rsidR="007C7A20">
        <w:rPr>
          <w:rFonts w:cs="Times New Roman"/>
        </w:rPr>
        <w:t xml:space="preserve">spatial </w:t>
      </w:r>
      <w:r w:rsidR="004A0DC7">
        <w:rPr>
          <w:rFonts w:cs="Times New Roman"/>
        </w:rPr>
        <w:t>patterns of N</w:t>
      </w:r>
      <w:proofErr w:type="gramStart"/>
      <w:r w:rsidR="004A0DC7">
        <w:rPr>
          <w:rFonts w:cs="Times New Roman"/>
        </w:rPr>
        <w:t>:P</w:t>
      </w:r>
      <w:proofErr w:type="gramEnd"/>
      <w:r w:rsidR="004A0DC7">
        <w:rPr>
          <w:rFonts w:cs="Times New Roman"/>
        </w:rPr>
        <w:t xml:space="preserve"> ratios in this study are consistent with estimates of nutrient loading</w:t>
      </w:r>
      <w:r w:rsidR="007C7A20">
        <w:rPr>
          <w:rFonts w:cs="Times New Roman"/>
        </w:rPr>
        <w:t xml:space="preserve"> in different areas</w:t>
      </w:r>
      <w:r w:rsidR="004A0DC7">
        <w:rPr>
          <w:rFonts w:cs="Times New Roman"/>
        </w:rPr>
        <w:t xml:space="preserve"> and sediment nutrient ratios. </w:t>
      </w:r>
    </w:p>
    <w:p w:rsidR="00C5330F" w:rsidRDefault="004605D1" w:rsidP="009D1F25">
      <w:pPr>
        <w:autoSpaceDE w:val="0"/>
        <w:autoSpaceDN w:val="0"/>
        <w:adjustRightInd w:val="0"/>
        <w:spacing w:after="120"/>
        <w:rPr>
          <w:rFonts w:cs="Times New Roman"/>
        </w:rPr>
      </w:pPr>
      <w:r>
        <w:rPr>
          <w:rFonts w:cs="Times New Roman"/>
        </w:rPr>
        <w:t xml:space="preserve">Results of a 14 month fertilization experiment in the FKNMS indicated that there are </w:t>
      </w:r>
      <w:proofErr w:type="spellStart"/>
      <w:r>
        <w:rPr>
          <w:rFonts w:cs="Times New Roman"/>
        </w:rPr>
        <w:t>taxon</w:t>
      </w:r>
      <w:proofErr w:type="spellEnd"/>
      <w:r>
        <w:rPr>
          <w:rFonts w:cs="Times New Roman"/>
        </w:rPr>
        <w:t xml:space="preserve">-specific responses to nutrient enrichment and that nutrient limitation differs for nearshore and offshore sites </w:t>
      </w:r>
      <w:r>
        <w:rPr>
          <w:rFonts w:cs="Times New Roman"/>
        </w:rPr>
        <w:lastRenderedPageBreak/>
        <w:t xml:space="preserve">and for seagrass and </w:t>
      </w:r>
      <w:r w:rsidRPr="004605D1">
        <w:rPr>
          <w:rFonts w:cs="Times New Roman"/>
        </w:rPr>
        <w:t>algae (</w:t>
      </w:r>
      <w:proofErr w:type="spellStart"/>
      <w:r w:rsidRPr="004605D1">
        <w:rPr>
          <w:rFonts w:cs="Times New Roman"/>
        </w:rPr>
        <w:t>Ferdie</w:t>
      </w:r>
      <w:proofErr w:type="spellEnd"/>
      <w:r w:rsidRPr="004605D1">
        <w:rPr>
          <w:rFonts w:cs="Times New Roman"/>
        </w:rPr>
        <w:t xml:space="preserve"> and Fourqurean 2004).  The authors</w:t>
      </w:r>
      <w:r w:rsidRPr="00213BC4">
        <w:rPr>
          <w:rFonts w:cs="Times New Roman"/>
        </w:rPr>
        <w:t xml:space="preserve"> measured the response of seagrasses, macroalgae, epiphytes and microalgae to additions of N and P fertilizer to assess gradients of nutrient limitation nearshore and offshore in the FL Keys.  Sites were located on the east side of the upper Keys between the Keys and the reef tract.  Fertilization increased sediment nutrient content and increased plant nutrient content.  There was rapid uptake of N by </w:t>
      </w:r>
      <w:r w:rsidRPr="00213BC4">
        <w:rPr>
          <w:rFonts w:cs="Times New Roman"/>
          <w:i/>
        </w:rPr>
        <w:t xml:space="preserve">T. </w:t>
      </w:r>
      <w:proofErr w:type="spellStart"/>
      <w:r w:rsidRPr="00213BC4">
        <w:rPr>
          <w:rFonts w:cs="Times New Roman"/>
          <w:i/>
        </w:rPr>
        <w:t>testudinum</w:t>
      </w:r>
      <w:proofErr w:type="spellEnd"/>
      <w:r w:rsidRPr="00213BC4">
        <w:rPr>
          <w:rFonts w:cs="Times New Roman"/>
        </w:rPr>
        <w:t xml:space="preserve"> at both nearshore and offshore sites, but compared to N, P uptake was delayed.  There was an increase in </w:t>
      </w:r>
      <w:r w:rsidRPr="006141A0">
        <w:rPr>
          <w:rFonts w:cs="Times New Roman"/>
          <w:i/>
        </w:rPr>
        <w:t xml:space="preserve">T. </w:t>
      </w:r>
      <w:proofErr w:type="spellStart"/>
      <w:r w:rsidRPr="006141A0">
        <w:rPr>
          <w:rFonts w:cs="Times New Roman"/>
          <w:i/>
        </w:rPr>
        <w:t>testudinum</w:t>
      </w:r>
      <w:proofErr w:type="spellEnd"/>
      <w:r w:rsidRPr="00213BC4">
        <w:rPr>
          <w:rFonts w:cs="Times New Roman"/>
        </w:rPr>
        <w:t xml:space="preserve"> leaf length, standing crop, and growth rates in response to N, but not P, at offshore sites, implying that seagrass in offshore habitats in the upper Keys are N-limited.  However, there was no clear increase in biomass or primary productivity of seagrasses at nearshore sites to P addition.  Overall, nutrient enrichment resulted in an increase in seagrass biomass at offshore sites and an increase in algal biomass at nearshore sites</w:t>
      </w:r>
      <w:r>
        <w:rPr>
          <w:rFonts w:cs="Times New Roman"/>
        </w:rPr>
        <w:t>.</w:t>
      </w:r>
      <w:r w:rsidR="00A90D12">
        <w:rPr>
          <w:rFonts w:cs="Times New Roman"/>
        </w:rPr>
        <w:t xml:space="preserve"> </w:t>
      </w:r>
      <w:r w:rsidR="00C5330F">
        <w:rPr>
          <w:rFonts w:cs="Times New Roman"/>
        </w:rPr>
        <w:t xml:space="preserve">  </w:t>
      </w:r>
    </w:p>
    <w:p w:rsidR="00976514" w:rsidRDefault="0020554E" w:rsidP="009D1F25">
      <w:pPr>
        <w:autoSpaceDE w:val="0"/>
        <w:autoSpaceDN w:val="0"/>
        <w:adjustRightInd w:val="0"/>
        <w:spacing w:after="120"/>
        <w:rPr>
          <w:rFonts w:cs="Times New Roman"/>
        </w:rPr>
      </w:pPr>
      <w:r>
        <w:rPr>
          <w:rFonts w:cs="Times New Roman"/>
        </w:rPr>
        <w:t xml:space="preserve">Seagrasses have been monitored in the FKNMS since 1995 (Fourqurean and </w:t>
      </w:r>
      <w:proofErr w:type="spellStart"/>
      <w:r>
        <w:rPr>
          <w:rFonts w:cs="Times New Roman"/>
        </w:rPr>
        <w:t>Escorcia</w:t>
      </w:r>
      <w:proofErr w:type="spellEnd"/>
      <w:r>
        <w:rPr>
          <w:rFonts w:cs="Times New Roman"/>
        </w:rPr>
        <w:t xml:space="preserve"> 2009). </w:t>
      </w:r>
      <w:r w:rsidR="00A90D12">
        <w:rPr>
          <w:rFonts w:cs="Times New Roman"/>
        </w:rPr>
        <w:t xml:space="preserve">The seagrass monitoring program in the FKNMS collects data on the distribution and abundance of seagrasses and other benthic plants and animals, seagrass tissue nutrient concentration and isotopic composition, and water quality data (Fourqurean </w:t>
      </w:r>
      <w:r w:rsidR="00A90D12">
        <w:rPr>
          <w:szCs w:val="20"/>
        </w:rPr>
        <w:t xml:space="preserve">and </w:t>
      </w:r>
      <w:proofErr w:type="spellStart"/>
      <w:r w:rsidR="00A90D12">
        <w:rPr>
          <w:szCs w:val="20"/>
        </w:rPr>
        <w:t>Escorcia</w:t>
      </w:r>
      <w:proofErr w:type="spellEnd"/>
      <w:r w:rsidR="00A90D12">
        <w:rPr>
          <w:szCs w:val="20"/>
        </w:rPr>
        <w:t xml:space="preserve"> </w:t>
      </w:r>
      <w:r w:rsidR="00A90D12">
        <w:rPr>
          <w:rFonts w:cs="Times New Roman"/>
        </w:rPr>
        <w:t xml:space="preserve">2009).  </w:t>
      </w:r>
      <w:r w:rsidR="00A90D12" w:rsidRPr="00213BC4">
        <w:rPr>
          <w:szCs w:val="20"/>
        </w:rPr>
        <w:t>The general objective of seagrass monitoring in the FKNMS is to measure the status and trends of seagrass communities to evaluate progress toward protection and restoration of the living marine resources</w:t>
      </w:r>
      <w:r w:rsidR="00A90D12">
        <w:rPr>
          <w:szCs w:val="20"/>
        </w:rPr>
        <w:t xml:space="preserve"> (Fourqurean and </w:t>
      </w:r>
      <w:proofErr w:type="spellStart"/>
      <w:r w:rsidR="00A90D12">
        <w:rPr>
          <w:szCs w:val="20"/>
        </w:rPr>
        <w:t>Escorcia</w:t>
      </w:r>
      <w:proofErr w:type="spellEnd"/>
      <w:r w:rsidR="00A90D12">
        <w:rPr>
          <w:szCs w:val="20"/>
        </w:rPr>
        <w:t xml:space="preserve"> 2009)</w:t>
      </w:r>
      <w:r w:rsidR="00A90D12" w:rsidRPr="00213BC4">
        <w:rPr>
          <w:szCs w:val="20"/>
        </w:rPr>
        <w:t xml:space="preserve">. </w:t>
      </w:r>
      <w:r w:rsidR="00976514">
        <w:rPr>
          <w:rFonts w:cs="Times New Roman"/>
        </w:rPr>
        <w:t>The goals of the monitoring project are:</w:t>
      </w:r>
    </w:p>
    <w:p w:rsidR="00976514" w:rsidRDefault="00976514" w:rsidP="00976514">
      <w:pPr>
        <w:pStyle w:val="ListParagraph"/>
        <w:numPr>
          <w:ilvl w:val="0"/>
          <w:numId w:val="26"/>
        </w:numPr>
        <w:autoSpaceDE w:val="0"/>
        <w:autoSpaceDN w:val="0"/>
        <w:adjustRightInd w:val="0"/>
        <w:spacing w:after="120"/>
        <w:rPr>
          <w:rFonts w:cs="Times New Roman"/>
        </w:rPr>
      </w:pPr>
      <w:r>
        <w:rPr>
          <w:rFonts w:cs="Times New Roman"/>
        </w:rPr>
        <w:t>Define the present distribution of seagrasses within the FKNMS</w:t>
      </w:r>
    </w:p>
    <w:p w:rsidR="00976514" w:rsidRDefault="00976514" w:rsidP="00976514">
      <w:pPr>
        <w:pStyle w:val="ListParagraph"/>
        <w:numPr>
          <w:ilvl w:val="0"/>
          <w:numId w:val="26"/>
        </w:numPr>
        <w:autoSpaceDE w:val="0"/>
        <w:autoSpaceDN w:val="0"/>
        <w:adjustRightInd w:val="0"/>
        <w:spacing w:after="120"/>
        <w:rPr>
          <w:rFonts w:cs="Times New Roman"/>
        </w:rPr>
      </w:pPr>
      <w:r>
        <w:rPr>
          <w:rFonts w:cs="Times New Roman"/>
        </w:rPr>
        <w:t>Provide high-quality, quantitative data on the status of seagrasses within the FKNMS</w:t>
      </w:r>
    </w:p>
    <w:p w:rsidR="00976514" w:rsidRDefault="00976514" w:rsidP="00976514">
      <w:pPr>
        <w:pStyle w:val="ListParagraph"/>
        <w:numPr>
          <w:ilvl w:val="0"/>
          <w:numId w:val="26"/>
        </w:numPr>
        <w:autoSpaceDE w:val="0"/>
        <w:autoSpaceDN w:val="0"/>
        <w:adjustRightInd w:val="0"/>
        <w:spacing w:after="120"/>
        <w:rPr>
          <w:rFonts w:cs="Times New Roman"/>
        </w:rPr>
      </w:pPr>
      <w:r>
        <w:rPr>
          <w:rFonts w:cs="Times New Roman"/>
        </w:rPr>
        <w:t>Quantify the importance of seagrass primary production in the FKNMS</w:t>
      </w:r>
    </w:p>
    <w:p w:rsidR="00976514" w:rsidRDefault="00976514" w:rsidP="00976514">
      <w:pPr>
        <w:pStyle w:val="ListParagraph"/>
        <w:numPr>
          <w:ilvl w:val="0"/>
          <w:numId w:val="26"/>
        </w:numPr>
        <w:autoSpaceDE w:val="0"/>
        <w:autoSpaceDN w:val="0"/>
        <w:adjustRightInd w:val="0"/>
        <w:spacing w:after="120"/>
        <w:rPr>
          <w:rFonts w:cs="Times New Roman"/>
        </w:rPr>
      </w:pPr>
      <w:r>
        <w:rPr>
          <w:rFonts w:cs="Times New Roman"/>
        </w:rPr>
        <w:t>Define the baseline conditions for seagrass communities</w:t>
      </w:r>
    </w:p>
    <w:p w:rsidR="00976514" w:rsidRDefault="00976514" w:rsidP="00976514">
      <w:pPr>
        <w:pStyle w:val="ListParagraph"/>
        <w:numPr>
          <w:ilvl w:val="0"/>
          <w:numId w:val="26"/>
        </w:numPr>
        <w:autoSpaceDE w:val="0"/>
        <w:autoSpaceDN w:val="0"/>
        <w:adjustRightInd w:val="0"/>
        <w:spacing w:after="120"/>
        <w:rPr>
          <w:rFonts w:cs="Times New Roman"/>
        </w:rPr>
      </w:pPr>
      <w:r>
        <w:rPr>
          <w:rFonts w:cs="Times New Roman"/>
        </w:rPr>
        <w:t>Determine relationships between water quality and seagrass status</w:t>
      </w:r>
    </w:p>
    <w:p w:rsidR="00976514" w:rsidRDefault="00976514" w:rsidP="00976514">
      <w:pPr>
        <w:pStyle w:val="ListParagraph"/>
        <w:numPr>
          <w:ilvl w:val="0"/>
          <w:numId w:val="26"/>
        </w:numPr>
        <w:autoSpaceDE w:val="0"/>
        <w:autoSpaceDN w:val="0"/>
        <w:adjustRightInd w:val="0"/>
        <w:spacing w:after="120"/>
        <w:rPr>
          <w:rFonts w:cs="Times New Roman"/>
        </w:rPr>
      </w:pPr>
      <w:r>
        <w:rPr>
          <w:rFonts w:cs="Times New Roman"/>
        </w:rPr>
        <w:t>Detect trends in the distribution and status of the seagrass communities</w:t>
      </w:r>
    </w:p>
    <w:p w:rsidR="00A90D12" w:rsidRDefault="00876EA3" w:rsidP="00876EA3">
      <w:pPr>
        <w:autoSpaceDE w:val="0"/>
        <w:autoSpaceDN w:val="0"/>
        <w:adjustRightInd w:val="0"/>
        <w:spacing w:after="120"/>
        <w:rPr>
          <w:rFonts w:cs="Times New Roman"/>
        </w:rPr>
      </w:pPr>
      <w:r>
        <w:rPr>
          <w:rFonts w:cs="Times New Roman"/>
        </w:rPr>
        <w:t xml:space="preserve">The FKNMS uses two indicator criteria to assess status and trends in the seagrass communities.  </w:t>
      </w:r>
      <w:r w:rsidR="00D90147">
        <w:rPr>
          <w:rFonts w:cs="Times New Roman"/>
        </w:rPr>
        <w:t xml:space="preserve">The first indicator </w:t>
      </w:r>
      <w:r w:rsidRPr="00876EA3">
        <w:rPr>
          <w:rFonts w:cs="Times New Roman"/>
          <w:i/>
        </w:rPr>
        <w:t>EI</w:t>
      </w:r>
      <w:r>
        <w:rPr>
          <w:rFonts w:cs="Times New Roman"/>
        </w:rPr>
        <w:t xml:space="preserve">, for elemental indicator, </w:t>
      </w:r>
      <w:r w:rsidR="00D90147">
        <w:rPr>
          <w:rFonts w:cs="Times New Roman"/>
        </w:rPr>
        <w:t>is bas</w:t>
      </w:r>
      <w:r w:rsidR="00813268">
        <w:rPr>
          <w:rFonts w:cs="Times New Roman"/>
        </w:rPr>
        <w:t xml:space="preserve">ed on a conceptual model </w:t>
      </w:r>
      <w:r w:rsidR="007855E3">
        <w:rPr>
          <w:rFonts w:cs="Times New Roman"/>
        </w:rPr>
        <w:t xml:space="preserve">that predicts that </w:t>
      </w:r>
      <w:r w:rsidR="007855E3" w:rsidRPr="00213BC4">
        <w:rPr>
          <w:rFonts w:cs="Times New Roman"/>
          <w:i/>
          <w:iCs/>
        </w:rPr>
        <w:t xml:space="preserve">T. </w:t>
      </w:r>
      <w:proofErr w:type="spellStart"/>
      <w:r w:rsidR="007855E3" w:rsidRPr="00213BC4">
        <w:rPr>
          <w:rFonts w:cs="Times New Roman"/>
          <w:i/>
          <w:iCs/>
        </w:rPr>
        <w:t>testudinum</w:t>
      </w:r>
      <w:proofErr w:type="spellEnd"/>
      <w:r w:rsidR="007855E3" w:rsidRPr="00213BC4">
        <w:rPr>
          <w:rFonts w:cs="Times New Roman"/>
          <w:i/>
          <w:iCs/>
        </w:rPr>
        <w:t xml:space="preserve"> </w:t>
      </w:r>
      <w:r w:rsidR="007855E3" w:rsidRPr="00213BC4">
        <w:rPr>
          <w:rFonts w:cs="Times New Roman"/>
        </w:rPr>
        <w:t>is likely to be replaced by faster-growing compe</w:t>
      </w:r>
      <w:r w:rsidR="00D90147">
        <w:rPr>
          <w:rFonts w:cs="Times New Roman"/>
        </w:rPr>
        <w:t>titors if nutrient availability is such that leaf tissue concentration is</w:t>
      </w:r>
      <w:r w:rsidR="007855E3" w:rsidRPr="00213BC4">
        <w:rPr>
          <w:rFonts w:cs="Times New Roman"/>
        </w:rPr>
        <w:t xml:space="preserve"> </w:t>
      </w:r>
      <w:r w:rsidR="007855E3">
        <w:rPr>
          <w:rFonts w:cs="Times New Roman"/>
        </w:rPr>
        <w:t>near the critical</w:t>
      </w:r>
      <w:r w:rsidR="007855E3" w:rsidRPr="00213BC4">
        <w:rPr>
          <w:rFonts w:cs="Times New Roman"/>
        </w:rPr>
        <w:t xml:space="preserve"> N</w:t>
      </w:r>
      <w:proofErr w:type="gramStart"/>
      <w:r w:rsidR="007855E3" w:rsidRPr="00213BC4">
        <w:rPr>
          <w:rFonts w:cs="Times New Roman"/>
        </w:rPr>
        <w:t>:P</w:t>
      </w:r>
      <w:proofErr w:type="gramEnd"/>
      <w:r w:rsidR="007855E3" w:rsidRPr="00213BC4">
        <w:rPr>
          <w:rFonts w:cs="Times New Roman"/>
        </w:rPr>
        <w:t xml:space="preserve"> </w:t>
      </w:r>
      <w:r w:rsidR="007855E3">
        <w:rPr>
          <w:rFonts w:cs="Times New Roman"/>
        </w:rPr>
        <w:t xml:space="preserve"> ratio </w:t>
      </w:r>
      <w:r w:rsidR="007855E3" w:rsidRPr="00213BC4">
        <w:rPr>
          <w:rFonts w:cs="Times New Roman"/>
        </w:rPr>
        <w:t xml:space="preserve">of </w:t>
      </w:r>
      <w:r w:rsidR="007855E3">
        <w:rPr>
          <w:rFonts w:cs="Times New Roman"/>
        </w:rPr>
        <w:t>approximately</w:t>
      </w:r>
      <w:r w:rsidR="007855E3" w:rsidRPr="00213BC4">
        <w:rPr>
          <w:rFonts w:cs="Times New Roman"/>
        </w:rPr>
        <w:t xml:space="preserve"> 30:1.  </w:t>
      </w:r>
      <w:r w:rsidR="00D90147" w:rsidRPr="00D90147">
        <w:rPr>
          <w:rFonts w:cs="Times New Roman"/>
          <w:iCs/>
        </w:rPr>
        <w:t>The</w:t>
      </w:r>
      <w:r w:rsidR="00813268" w:rsidRPr="00D90147">
        <w:rPr>
          <w:rFonts w:cs="Times New Roman"/>
        </w:rPr>
        <w:t xml:space="preserve"> </w:t>
      </w:r>
      <w:r w:rsidR="00813268" w:rsidRPr="00213BC4">
        <w:rPr>
          <w:rFonts w:cs="Times New Roman"/>
        </w:rPr>
        <w:t>N</w:t>
      </w:r>
      <w:proofErr w:type="gramStart"/>
      <w:r w:rsidR="00813268" w:rsidRPr="00213BC4">
        <w:rPr>
          <w:rFonts w:cs="Times New Roman"/>
        </w:rPr>
        <w:t>:P</w:t>
      </w:r>
      <w:proofErr w:type="gramEnd"/>
      <w:r w:rsidR="00813268" w:rsidRPr="00213BC4">
        <w:rPr>
          <w:rFonts w:cs="Times New Roman"/>
        </w:rPr>
        <w:t xml:space="preserve"> </w:t>
      </w:r>
      <w:r w:rsidR="00CE6437">
        <w:rPr>
          <w:rFonts w:cs="Times New Roman"/>
        </w:rPr>
        <w:t xml:space="preserve">of 30:1 </w:t>
      </w:r>
      <w:r w:rsidR="00813268" w:rsidRPr="00213BC4">
        <w:rPr>
          <w:rFonts w:cs="Times New Roman"/>
        </w:rPr>
        <w:t xml:space="preserve">in </w:t>
      </w:r>
      <w:r w:rsidR="00CE6437">
        <w:rPr>
          <w:rFonts w:cs="Times New Roman"/>
        </w:rPr>
        <w:t>seagrass</w:t>
      </w:r>
      <w:r w:rsidR="00CE6437" w:rsidRPr="00213BC4">
        <w:rPr>
          <w:rFonts w:cs="Times New Roman"/>
        </w:rPr>
        <w:t xml:space="preserve"> </w:t>
      </w:r>
      <w:r w:rsidR="00813268" w:rsidRPr="00213BC4">
        <w:rPr>
          <w:rFonts w:cs="Times New Roman"/>
        </w:rPr>
        <w:t>leaves  indicates a balance in the availability of N and P</w:t>
      </w:r>
      <w:r w:rsidR="00D90147">
        <w:rPr>
          <w:rFonts w:cs="Times New Roman"/>
        </w:rPr>
        <w:t xml:space="preserve"> </w:t>
      </w:r>
      <w:r w:rsidR="00813268" w:rsidRPr="00213BC4">
        <w:rPr>
          <w:rFonts w:cs="Times New Roman"/>
        </w:rPr>
        <w:t xml:space="preserve">and monitoring deviations from this ratio can be used to infer whether N or P availabilities are limiting this species’ growth. </w:t>
      </w:r>
      <w:r w:rsidR="007855E3">
        <w:rPr>
          <w:rFonts w:cs="Times New Roman"/>
        </w:rPr>
        <w:t xml:space="preserve"> </w:t>
      </w:r>
      <w:r w:rsidR="00C27EBC">
        <w:rPr>
          <w:rFonts w:cs="Times New Roman"/>
        </w:rPr>
        <w:t>A</w:t>
      </w:r>
      <w:r w:rsidR="00813268" w:rsidRPr="00213BC4">
        <w:rPr>
          <w:rFonts w:cs="Times New Roman"/>
        </w:rPr>
        <w:t xml:space="preserve"> change in the N</w:t>
      </w:r>
      <w:proofErr w:type="gramStart"/>
      <w:r w:rsidR="00813268" w:rsidRPr="00213BC4">
        <w:rPr>
          <w:rFonts w:cs="Times New Roman"/>
        </w:rPr>
        <w:t>:P</w:t>
      </w:r>
      <w:proofErr w:type="gramEnd"/>
      <w:r w:rsidR="00813268" w:rsidRPr="00213BC4">
        <w:rPr>
          <w:rFonts w:cs="Times New Roman"/>
        </w:rPr>
        <w:t xml:space="preserve"> </w:t>
      </w:r>
      <w:r w:rsidR="007855E3">
        <w:rPr>
          <w:rFonts w:cs="Times New Roman"/>
        </w:rPr>
        <w:t>ratio over</w:t>
      </w:r>
      <w:r w:rsidR="00813268" w:rsidRPr="00213BC4">
        <w:rPr>
          <w:rFonts w:cs="Times New Roman"/>
        </w:rPr>
        <w:t xml:space="preserve"> time </w:t>
      </w:r>
      <w:r w:rsidR="00C27EBC">
        <w:rPr>
          <w:rFonts w:cs="Times New Roman"/>
        </w:rPr>
        <w:t xml:space="preserve">from a N or P limited ratio </w:t>
      </w:r>
      <w:r w:rsidR="001274FE">
        <w:rPr>
          <w:rFonts w:cs="Times New Roman"/>
        </w:rPr>
        <w:t>to a value closer to 30:1 would be</w:t>
      </w:r>
      <w:r w:rsidR="00813268" w:rsidRPr="00213BC4">
        <w:rPr>
          <w:rFonts w:cs="Times New Roman"/>
        </w:rPr>
        <w:t xml:space="preserve"> indica</w:t>
      </w:r>
      <w:r w:rsidR="001206EE">
        <w:rPr>
          <w:rFonts w:cs="Times New Roman"/>
        </w:rPr>
        <w:t>tive of eutrophication (Figure 5</w:t>
      </w:r>
      <w:r w:rsidR="00813268" w:rsidRPr="00213BC4">
        <w:rPr>
          <w:rFonts w:cs="Times New Roman"/>
        </w:rPr>
        <w:t xml:space="preserve">). </w:t>
      </w:r>
    </w:p>
    <w:p w:rsidR="00813268" w:rsidRDefault="00813268" w:rsidP="00876EA3">
      <w:pPr>
        <w:autoSpaceDE w:val="0"/>
        <w:autoSpaceDN w:val="0"/>
        <w:adjustRightInd w:val="0"/>
        <w:spacing w:after="120"/>
        <w:rPr>
          <w:rFonts w:cs="Times New Roman"/>
        </w:rPr>
      </w:pPr>
      <w:r w:rsidRPr="00813268">
        <w:rPr>
          <w:rFonts w:cs="Times New Roman"/>
          <w:noProof/>
        </w:rPr>
        <w:lastRenderedPageBreak/>
        <w:drawing>
          <wp:inline distT="0" distB="0" distL="0" distR="0">
            <wp:extent cx="2827637" cy="2816352"/>
            <wp:effectExtent l="19050" t="0" r="0" b="0"/>
            <wp:docPr id="3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cstate="print"/>
                    <a:srcRect/>
                    <a:stretch>
                      <a:fillRect/>
                    </a:stretch>
                  </pic:blipFill>
                  <pic:spPr bwMode="auto">
                    <a:xfrm>
                      <a:off x="0" y="0"/>
                      <a:ext cx="2833324" cy="2822016"/>
                    </a:xfrm>
                    <a:prstGeom prst="rect">
                      <a:avLst/>
                    </a:prstGeom>
                    <a:noFill/>
                    <a:ln w="9525">
                      <a:noFill/>
                      <a:miter lim="800000"/>
                      <a:headEnd/>
                      <a:tailEnd/>
                    </a:ln>
                  </pic:spPr>
                </pic:pic>
              </a:graphicData>
            </a:graphic>
          </wp:inline>
        </w:drawing>
      </w:r>
    </w:p>
    <w:p w:rsidR="00813268" w:rsidRDefault="001206EE" w:rsidP="00876EA3">
      <w:pPr>
        <w:autoSpaceDE w:val="0"/>
        <w:autoSpaceDN w:val="0"/>
        <w:adjustRightInd w:val="0"/>
        <w:spacing w:after="120"/>
        <w:rPr>
          <w:rFonts w:cs="Times New Roman"/>
        </w:rPr>
      </w:pPr>
      <w:proofErr w:type="gramStart"/>
      <w:r w:rsidRPr="00F32573">
        <w:rPr>
          <w:rFonts w:cs="Times New Roman"/>
          <w:b/>
        </w:rPr>
        <w:t>Figure 5</w:t>
      </w:r>
      <w:r w:rsidR="00813268" w:rsidRPr="00F32573">
        <w:rPr>
          <w:rFonts w:cs="Times New Roman"/>
        </w:rPr>
        <w:t>.</w:t>
      </w:r>
      <w:proofErr w:type="gramEnd"/>
      <w:r w:rsidR="00813268">
        <w:rPr>
          <w:rFonts w:cs="Times New Roman"/>
        </w:rPr>
        <w:t xml:space="preserve"> </w:t>
      </w:r>
      <w:proofErr w:type="gramStart"/>
      <w:r w:rsidR="00F32573">
        <w:rPr>
          <w:rFonts w:cs="Times New Roman"/>
        </w:rPr>
        <w:t xml:space="preserve">Conceptual model of the relationship between seagrass leaf nutrient content and nutrient availability in south Florida (Fourqurean and </w:t>
      </w:r>
      <w:proofErr w:type="spellStart"/>
      <w:r w:rsidR="00F32573">
        <w:rPr>
          <w:rFonts w:cs="Times New Roman"/>
        </w:rPr>
        <w:t>Rutten</w:t>
      </w:r>
      <w:proofErr w:type="spellEnd"/>
      <w:r w:rsidR="00F32573">
        <w:rPr>
          <w:rFonts w:cs="Times New Roman"/>
        </w:rPr>
        <w:t xml:space="preserve"> 2003).</w:t>
      </w:r>
      <w:proofErr w:type="gramEnd"/>
    </w:p>
    <w:p w:rsidR="00876EA3" w:rsidRDefault="00876EA3" w:rsidP="00876EA3">
      <w:pPr>
        <w:autoSpaceDE w:val="0"/>
        <w:autoSpaceDN w:val="0"/>
        <w:adjustRightInd w:val="0"/>
        <w:spacing w:after="120"/>
        <w:rPr>
          <w:rFonts w:cs="Times New Roman"/>
        </w:rPr>
      </w:pPr>
      <w:r w:rsidRPr="0050102E">
        <w:rPr>
          <w:rFonts w:cs="Times New Roman"/>
          <w:i/>
        </w:rPr>
        <w:t>EI</w:t>
      </w:r>
      <w:r>
        <w:rPr>
          <w:rFonts w:cs="Times New Roman"/>
        </w:rPr>
        <w:t xml:space="preserve"> is calculated from the mean absolute difference in N:P from the ideal 30:1 for the 30 permanent monitoring sites based on the 10 year</w:t>
      </w:r>
      <w:r w:rsidR="0050102E">
        <w:rPr>
          <w:rFonts w:cs="Times New Roman"/>
        </w:rPr>
        <w:t xml:space="preserve"> (1995-2005) </w:t>
      </w:r>
      <w:r>
        <w:rPr>
          <w:rFonts w:cs="Times New Roman"/>
        </w:rPr>
        <w:t xml:space="preserve">mean N:P </w:t>
      </w:r>
      <w:r w:rsidR="00BB7ADD">
        <w:rPr>
          <w:rFonts w:cs="Times New Roman"/>
        </w:rPr>
        <w:t xml:space="preserve">ratio </w:t>
      </w:r>
      <w:r>
        <w:rPr>
          <w:rFonts w:cs="Times New Roman"/>
        </w:rPr>
        <w:t xml:space="preserve">at each of those sites.    </w:t>
      </w:r>
    </w:p>
    <w:p w:rsidR="00535B65" w:rsidRDefault="00AB5F8C" w:rsidP="00876EA3">
      <w:pPr>
        <w:autoSpaceDE w:val="0"/>
        <w:autoSpaceDN w:val="0"/>
        <w:adjustRightInd w:val="0"/>
        <w:spacing w:after="120"/>
        <w:rPr>
          <w:rFonts w:cs="Times New Roman"/>
        </w:rPr>
      </w:pPr>
      <w:r>
        <w:rPr>
          <w:rFonts w:cs="Times New Roman"/>
          <w:noProof/>
        </w:rPr>
        <w:drawing>
          <wp:inline distT="0" distB="0" distL="0" distR="0">
            <wp:extent cx="1325880" cy="877570"/>
            <wp:effectExtent l="19050" t="0" r="7620"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srcRect/>
                    <a:stretch>
                      <a:fillRect/>
                    </a:stretch>
                  </pic:blipFill>
                  <pic:spPr bwMode="auto">
                    <a:xfrm>
                      <a:off x="0" y="0"/>
                      <a:ext cx="1325880" cy="877570"/>
                    </a:xfrm>
                    <a:prstGeom prst="rect">
                      <a:avLst/>
                    </a:prstGeom>
                    <a:noFill/>
                    <a:ln w="9525">
                      <a:noFill/>
                      <a:miter lim="800000"/>
                      <a:headEnd/>
                      <a:tailEnd/>
                    </a:ln>
                  </pic:spPr>
                </pic:pic>
              </a:graphicData>
            </a:graphic>
          </wp:inline>
        </w:drawing>
      </w:r>
    </w:p>
    <w:p w:rsidR="00C27EBC" w:rsidRDefault="00CE6437" w:rsidP="00876EA3">
      <w:pPr>
        <w:autoSpaceDE w:val="0"/>
        <w:autoSpaceDN w:val="0"/>
        <w:adjustRightInd w:val="0"/>
        <w:spacing w:after="120"/>
        <w:rPr>
          <w:rFonts w:cs="Times New Roman"/>
        </w:rPr>
      </w:pPr>
      <w:r>
        <w:rPr>
          <w:rFonts w:cs="Times New Roman"/>
        </w:rPr>
        <w:t xml:space="preserve">The second indicator criteria, termed the </w:t>
      </w:r>
      <w:r w:rsidRPr="00535B65">
        <w:rPr>
          <w:rFonts w:cs="Times New Roman"/>
          <w:i/>
        </w:rPr>
        <w:t>SCI</w:t>
      </w:r>
      <w:r>
        <w:rPr>
          <w:rFonts w:cs="Times New Roman"/>
        </w:rPr>
        <w:t xml:space="preserve"> for Species Composition</w:t>
      </w:r>
      <w:r w:rsidR="00BB7ADD">
        <w:rPr>
          <w:rFonts w:cs="Times New Roman"/>
        </w:rPr>
        <w:t xml:space="preserve"> Indicator</w:t>
      </w:r>
      <w:r>
        <w:rPr>
          <w:rFonts w:cs="Times New Roman"/>
        </w:rPr>
        <w:t xml:space="preserve">, measures whether the abundance of the slowest growing seagrass species, </w:t>
      </w:r>
      <w:r w:rsidRPr="00535B65">
        <w:rPr>
          <w:rFonts w:cs="Times New Roman"/>
          <w:i/>
        </w:rPr>
        <w:t xml:space="preserve">T. </w:t>
      </w:r>
      <w:proofErr w:type="spellStart"/>
      <w:r w:rsidRPr="00535B65">
        <w:rPr>
          <w:rFonts w:cs="Times New Roman"/>
          <w:i/>
        </w:rPr>
        <w:t>testudinum</w:t>
      </w:r>
      <w:proofErr w:type="spellEnd"/>
      <w:r>
        <w:rPr>
          <w:rFonts w:cs="Times New Roman"/>
        </w:rPr>
        <w:t xml:space="preserve">, has changed relative to the abundance of other seagrass species.  </w:t>
      </w:r>
      <w:r w:rsidR="00813268">
        <w:rPr>
          <w:rFonts w:cs="Times New Roman"/>
        </w:rPr>
        <w:t xml:space="preserve"> </w:t>
      </w:r>
      <w:r w:rsidR="00C27EBC">
        <w:rPr>
          <w:rFonts w:cs="Times New Roman"/>
        </w:rPr>
        <w:t xml:space="preserve">The </w:t>
      </w:r>
      <w:r w:rsidR="00C27EBC" w:rsidRPr="00BB7ADD">
        <w:rPr>
          <w:rFonts w:cs="Times New Roman"/>
          <w:i/>
        </w:rPr>
        <w:t>SCI</w:t>
      </w:r>
      <w:r w:rsidR="00C27EBC">
        <w:rPr>
          <w:rFonts w:cs="Times New Roman"/>
        </w:rPr>
        <w:t xml:space="preserve"> is based on a dominance-eutrophication</w:t>
      </w:r>
      <w:r w:rsidR="00FE6D53">
        <w:rPr>
          <w:rFonts w:cs="Times New Roman"/>
        </w:rPr>
        <w:t xml:space="preserve"> gradient </w:t>
      </w:r>
      <w:r w:rsidR="00C27EBC">
        <w:rPr>
          <w:rFonts w:cs="Times New Roman"/>
        </w:rPr>
        <w:t xml:space="preserve">conceptual model where </w:t>
      </w:r>
      <w:r w:rsidR="00FE6D53">
        <w:rPr>
          <w:szCs w:val="20"/>
        </w:rPr>
        <w:t>each</w:t>
      </w:r>
      <w:r w:rsidR="00C27EBC">
        <w:rPr>
          <w:szCs w:val="20"/>
        </w:rPr>
        <w:t xml:space="preserve"> of the six seagrass species </w:t>
      </w:r>
      <w:r w:rsidR="00813268" w:rsidRPr="00296B1A">
        <w:rPr>
          <w:szCs w:val="20"/>
        </w:rPr>
        <w:t>can potentially dominate over a range of nutrient availability</w:t>
      </w:r>
      <w:r w:rsidR="001206EE">
        <w:rPr>
          <w:szCs w:val="20"/>
        </w:rPr>
        <w:t xml:space="preserve"> </w:t>
      </w:r>
      <w:r w:rsidR="001206EE" w:rsidRPr="00296B1A">
        <w:rPr>
          <w:rFonts w:cs="Times New Roman"/>
          <w:iCs/>
        </w:rPr>
        <w:t>(</w:t>
      </w:r>
      <w:r w:rsidR="001206EE">
        <w:rPr>
          <w:rFonts w:cs="Times New Roman"/>
          <w:iCs/>
        </w:rPr>
        <w:t>Figure 6</w:t>
      </w:r>
      <w:r w:rsidR="001206EE" w:rsidRPr="00296B1A">
        <w:rPr>
          <w:rFonts w:cs="Times New Roman"/>
          <w:iCs/>
        </w:rPr>
        <w:t>)</w:t>
      </w:r>
      <w:r w:rsidR="00BB7ADD">
        <w:rPr>
          <w:szCs w:val="20"/>
        </w:rPr>
        <w:t>.  T</w:t>
      </w:r>
      <w:r w:rsidR="00813268" w:rsidRPr="00296B1A">
        <w:rPr>
          <w:szCs w:val="20"/>
        </w:rPr>
        <w:t xml:space="preserve">he model predicts a change in species dominance as nutrient availability changes.  Field evidence suggests that </w:t>
      </w:r>
      <w:r w:rsidR="00813268" w:rsidRPr="002E116B">
        <w:t xml:space="preserve">species replacements may take place on a time scale of a decade or more.  </w:t>
      </w:r>
      <w:r w:rsidR="00813268" w:rsidRPr="00296B1A">
        <w:rPr>
          <w:rFonts w:cs="Times New Roman"/>
        </w:rPr>
        <w:t>The first responses to eutrophication w</w:t>
      </w:r>
      <w:r w:rsidR="00C27EBC">
        <w:rPr>
          <w:rFonts w:cs="Times New Roman"/>
        </w:rPr>
        <w:t>ould</w:t>
      </w:r>
      <w:r w:rsidR="00813268" w:rsidRPr="00296B1A">
        <w:rPr>
          <w:rFonts w:cs="Times New Roman"/>
        </w:rPr>
        <w:t xml:space="preserve"> be evidenced by an increase in the relative abundance of fast</w:t>
      </w:r>
      <w:r w:rsidR="001206EE">
        <w:rPr>
          <w:rFonts w:cs="Times New Roman"/>
        </w:rPr>
        <w:t>er</w:t>
      </w:r>
      <w:r w:rsidR="00813268" w:rsidRPr="00296B1A">
        <w:rPr>
          <w:rFonts w:cs="Times New Roman"/>
        </w:rPr>
        <w:t>-growing seagrass species (</w:t>
      </w:r>
      <w:r w:rsidR="00813268" w:rsidRPr="00296B1A">
        <w:rPr>
          <w:rFonts w:cs="Times New Roman"/>
          <w:i/>
          <w:iCs/>
        </w:rPr>
        <w:t xml:space="preserve">H. </w:t>
      </w:r>
      <w:proofErr w:type="spellStart"/>
      <w:r w:rsidR="00813268" w:rsidRPr="00296B1A">
        <w:rPr>
          <w:rFonts w:cs="Times New Roman"/>
          <w:i/>
          <w:iCs/>
        </w:rPr>
        <w:t>wrightii</w:t>
      </w:r>
      <w:proofErr w:type="spellEnd"/>
      <w:r w:rsidR="00813268" w:rsidRPr="00296B1A">
        <w:rPr>
          <w:rFonts w:cs="Times New Roman"/>
          <w:i/>
          <w:iCs/>
        </w:rPr>
        <w:t xml:space="preserve"> </w:t>
      </w:r>
      <w:r w:rsidR="00813268" w:rsidRPr="00296B1A">
        <w:rPr>
          <w:rFonts w:cs="Times New Roman"/>
        </w:rPr>
        <w:t xml:space="preserve">and </w:t>
      </w:r>
      <w:r w:rsidR="00813268" w:rsidRPr="00296B1A">
        <w:rPr>
          <w:rFonts w:cs="Times New Roman"/>
          <w:i/>
          <w:iCs/>
        </w:rPr>
        <w:t xml:space="preserve">S. </w:t>
      </w:r>
      <w:proofErr w:type="spellStart"/>
      <w:r w:rsidR="00813268" w:rsidRPr="00296B1A">
        <w:rPr>
          <w:rFonts w:cs="Times New Roman"/>
          <w:i/>
          <w:iCs/>
        </w:rPr>
        <w:t>filiforme</w:t>
      </w:r>
      <w:proofErr w:type="spellEnd"/>
      <w:r w:rsidR="00813268" w:rsidRPr="00296B1A">
        <w:rPr>
          <w:rFonts w:cs="Times New Roman"/>
        </w:rPr>
        <w:t xml:space="preserve">) at the expense of the now-dominant, slow-growing </w:t>
      </w:r>
      <w:r w:rsidR="00813268" w:rsidRPr="00296B1A">
        <w:rPr>
          <w:rFonts w:cs="Times New Roman"/>
          <w:i/>
          <w:iCs/>
        </w:rPr>
        <w:t xml:space="preserve">T. </w:t>
      </w:r>
      <w:proofErr w:type="spellStart"/>
      <w:r w:rsidR="00813268" w:rsidRPr="00296B1A">
        <w:rPr>
          <w:rFonts w:cs="Times New Roman"/>
          <w:i/>
          <w:iCs/>
        </w:rPr>
        <w:t>testudinum</w:t>
      </w:r>
      <w:proofErr w:type="spellEnd"/>
      <w:r w:rsidR="00813268" w:rsidRPr="00296B1A">
        <w:rPr>
          <w:rFonts w:cs="Times New Roman"/>
        </w:rPr>
        <w:t>.   At later stages of eutrophication</w:t>
      </w:r>
      <w:r w:rsidR="00BB7ADD">
        <w:rPr>
          <w:rFonts w:cs="Times New Roman"/>
        </w:rPr>
        <w:t>, macroalgae and microalgae would</w:t>
      </w:r>
      <w:r w:rsidR="00813268" w:rsidRPr="00296B1A">
        <w:rPr>
          <w:rFonts w:cs="Times New Roman"/>
        </w:rPr>
        <w:t xml:space="preserve"> become the dominant primary producers.</w:t>
      </w:r>
      <w:r w:rsidR="00813268">
        <w:rPr>
          <w:rFonts w:cs="Times New Roman"/>
        </w:rPr>
        <w:t xml:space="preserve">  </w:t>
      </w:r>
    </w:p>
    <w:p w:rsidR="00813268" w:rsidRDefault="00813268" w:rsidP="00876EA3">
      <w:pPr>
        <w:autoSpaceDE w:val="0"/>
        <w:autoSpaceDN w:val="0"/>
        <w:adjustRightInd w:val="0"/>
        <w:spacing w:after="120"/>
        <w:rPr>
          <w:rFonts w:cs="Times New Roman"/>
        </w:rPr>
      </w:pPr>
      <w:r w:rsidRPr="00813268">
        <w:rPr>
          <w:rFonts w:cs="Times New Roman"/>
          <w:noProof/>
        </w:rPr>
        <w:lastRenderedPageBreak/>
        <w:drawing>
          <wp:inline distT="0" distB="0" distL="0" distR="0">
            <wp:extent cx="2966356" cy="3401568"/>
            <wp:effectExtent l="19050" t="0" r="5444" b="0"/>
            <wp:docPr id="3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cstate="print"/>
                    <a:srcRect/>
                    <a:stretch>
                      <a:fillRect/>
                    </a:stretch>
                  </pic:blipFill>
                  <pic:spPr bwMode="auto">
                    <a:xfrm>
                      <a:off x="0" y="0"/>
                      <a:ext cx="2973672" cy="3409958"/>
                    </a:xfrm>
                    <a:prstGeom prst="rect">
                      <a:avLst/>
                    </a:prstGeom>
                    <a:noFill/>
                    <a:ln w="9525">
                      <a:noFill/>
                      <a:miter lim="800000"/>
                      <a:headEnd/>
                      <a:tailEnd/>
                    </a:ln>
                  </pic:spPr>
                </pic:pic>
              </a:graphicData>
            </a:graphic>
          </wp:inline>
        </w:drawing>
      </w:r>
    </w:p>
    <w:p w:rsidR="00813268" w:rsidRPr="00F32573" w:rsidRDefault="001206EE" w:rsidP="00876EA3">
      <w:pPr>
        <w:autoSpaceDE w:val="0"/>
        <w:autoSpaceDN w:val="0"/>
        <w:adjustRightInd w:val="0"/>
        <w:spacing w:after="120"/>
        <w:rPr>
          <w:rFonts w:cs="Times New Roman"/>
        </w:rPr>
      </w:pPr>
      <w:proofErr w:type="gramStart"/>
      <w:r w:rsidRPr="00F32573">
        <w:rPr>
          <w:rFonts w:cs="Times New Roman"/>
          <w:b/>
        </w:rPr>
        <w:t>Figure 6</w:t>
      </w:r>
      <w:r w:rsidR="00813268" w:rsidRPr="00F32573">
        <w:rPr>
          <w:rFonts w:cs="Times New Roman"/>
          <w:b/>
        </w:rPr>
        <w:t>.</w:t>
      </w:r>
      <w:proofErr w:type="gramEnd"/>
      <w:r w:rsidR="00813268" w:rsidRPr="001206EE">
        <w:rPr>
          <w:rFonts w:cs="Times New Roman"/>
          <w:b/>
        </w:rPr>
        <w:t xml:space="preserve"> </w:t>
      </w:r>
      <w:proofErr w:type="gramStart"/>
      <w:r w:rsidR="00F32573" w:rsidRPr="00F32573">
        <w:rPr>
          <w:rFonts w:cs="Times New Roman"/>
        </w:rPr>
        <w:t xml:space="preserve">Conceptual model relating nutrient availability (trophic state) to the abundance of primary producers in near-shore marine waters of south Florida (Fourqurean and </w:t>
      </w:r>
      <w:proofErr w:type="spellStart"/>
      <w:r w:rsidR="00F32573" w:rsidRPr="00F32573">
        <w:rPr>
          <w:rFonts w:cs="Times New Roman"/>
        </w:rPr>
        <w:t>Rutten</w:t>
      </w:r>
      <w:proofErr w:type="spellEnd"/>
      <w:r w:rsidR="00F32573" w:rsidRPr="00F32573">
        <w:rPr>
          <w:rFonts w:cs="Times New Roman"/>
        </w:rPr>
        <w:t xml:space="preserve"> 2003).</w:t>
      </w:r>
      <w:proofErr w:type="gramEnd"/>
    </w:p>
    <w:p w:rsidR="008C7E44" w:rsidRDefault="00C27EBC" w:rsidP="008C7E44">
      <w:pPr>
        <w:autoSpaceDE w:val="0"/>
        <w:autoSpaceDN w:val="0"/>
        <w:adjustRightInd w:val="0"/>
        <w:spacing w:after="120"/>
        <w:rPr>
          <w:rFonts w:cs="Times New Roman"/>
        </w:rPr>
      </w:pPr>
      <w:r w:rsidRPr="008C7E44">
        <w:rPr>
          <w:rFonts w:cs="Times New Roman"/>
        </w:rPr>
        <w:t xml:space="preserve">The change in </w:t>
      </w:r>
      <w:r w:rsidR="00BB7ADD" w:rsidRPr="008C7E44">
        <w:rPr>
          <w:rFonts w:cs="Times New Roman"/>
          <w:i/>
        </w:rPr>
        <w:t xml:space="preserve">T. </w:t>
      </w:r>
      <w:proofErr w:type="spellStart"/>
      <w:r w:rsidR="00BB7ADD" w:rsidRPr="008C7E44">
        <w:rPr>
          <w:rFonts w:cs="Times New Roman"/>
          <w:i/>
        </w:rPr>
        <w:t>testudinum</w:t>
      </w:r>
      <w:proofErr w:type="spellEnd"/>
      <w:r w:rsidR="00BB7ADD" w:rsidRPr="008C7E44">
        <w:rPr>
          <w:rFonts w:cs="Times New Roman"/>
        </w:rPr>
        <w:t xml:space="preserve"> </w:t>
      </w:r>
      <w:r w:rsidRPr="008C7E44">
        <w:rPr>
          <w:rFonts w:cs="Times New Roman"/>
        </w:rPr>
        <w:t>abundance</w:t>
      </w:r>
      <w:r w:rsidR="00F32573" w:rsidRPr="008C7E44">
        <w:rPr>
          <w:rFonts w:cs="Times New Roman"/>
        </w:rPr>
        <w:t xml:space="preserve"> relative to other species at a site</w:t>
      </w:r>
      <w:r w:rsidRPr="008C7E44">
        <w:rPr>
          <w:rFonts w:cs="Times New Roman"/>
        </w:rPr>
        <w:t xml:space="preserve"> is defined as </w:t>
      </w:r>
      <w:r w:rsidRPr="008C7E44">
        <w:rPr>
          <w:rFonts w:cs="Times New Roman"/>
          <w:i/>
        </w:rPr>
        <w:t>SLOW</w:t>
      </w:r>
      <w:r w:rsidRPr="008C7E44">
        <w:rPr>
          <w:rFonts w:cs="Times New Roman"/>
        </w:rPr>
        <w:t>.</w:t>
      </w:r>
      <w:r w:rsidR="008C7E44">
        <w:rPr>
          <w:rFonts w:cs="Times New Roman"/>
        </w:rPr>
        <w:t xml:space="preserve">  Distribution and abundance of seagrasses are measured using rapid assessment Braun-</w:t>
      </w:r>
      <w:proofErr w:type="spellStart"/>
      <w:r w:rsidR="008C7E44">
        <w:rPr>
          <w:rFonts w:cs="Times New Roman"/>
        </w:rPr>
        <w:t>Blanquet</w:t>
      </w:r>
      <w:proofErr w:type="spellEnd"/>
      <w:r w:rsidR="008C7E44">
        <w:rPr>
          <w:rFonts w:cs="Times New Roman"/>
        </w:rPr>
        <w:t xml:space="preserve"> surveys.  </w:t>
      </w:r>
      <w:r w:rsidR="008C7E44" w:rsidRPr="008C7E44">
        <w:rPr>
          <w:rFonts w:cs="Times New Roman"/>
        </w:rPr>
        <w:t xml:space="preserve">The </w:t>
      </w:r>
      <w:r w:rsidR="008C7E44" w:rsidRPr="008C7E44">
        <w:rPr>
          <w:rFonts w:cs="Times New Roman"/>
          <w:i/>
        </w:rPr>
        <w:t>SCI</w:t>
      </w:r>
      <w:r w:rsidR="008C7E44" w:rsidRPr="008C7E44">
        <w:rPr>
          <w:rFonts w:cs="Times New Roman"/>
        </w:rPr>
        <w:t xml:space="preserve"> is defined as the mean of </w:t>
      </w:r>
      <w:r w:rsidR="008C7E44" w:rsidRPr="008C7E44">
        <w:rPr>
          <w:rFonts w:cs="Times New Roman"/>
          <w:i/>
        </w:rPr>
        <w:t>SLOW</w:t>
      </w:r>
      <w:r w:rsidR="008C7E44" w:rsidRPr="008C7E44">
        <w:rPr>
          <w:rFonts w:cs="Times New Roman"/>
        </w:rPr>
        <w:t xml:space="preserve"> over the 30 monitoring sites.</w:t>
      </w:r>
    </w:p>
    <w:p w:rsidR="00F32573" w:rsidRPr="008C7E44" w:rsidRDefault="00F32573" w:rsidP="008C7E44">
      <w:pPr>
        <w:autoSpaceDE w:val="0"/>
        <w:autoSpaceDN w:val="0"/>
        <w:adjustRightInd w:val="0"/>
        <w:spacing w:after="120"/>
        <w:rPr>
          <w:rFonts w:cs="Times New Roman"/>
        </w:rPr>
      </w:pPr>
      <w:proofErr w:type="spellStart"/>
      <w:r w:rsidRPr="008C7E44">
        <w:rPr>
          <w:rFonts w:cs="Times New Roman"/>
        </w:rPr>
        <w:t>A</w:t>
      </w:r>
      <w:r w:rsidRPr="008C7E44">
        <w:rPr>
          <w:rFonts w:cs="Times New Roman"/>
          <w:i/>
          <w:vertAlign w:val="subscript"/>
        </w:rPr>
        <w:t>Tt</w:t>
      </w:r>
      <w:proofErr w:type="spellEnd"/>
      <w:r w:rsidRPr="008C7E44">
        <w:rPr>
          <w:rFonts w:cs="Times New Roman"/>
        </w:rPr>
        <w:t xml:space="preserve"> = long term mean abundance of </w:t>
      </w:r>
      <w:r w:rsidRPr="008C7E44">
        <w:rPr>
          <w:rFonts w:cs="Times New Roman"/>
          <w:i/>
        </w:rPr>
        <w:t xml:space="preserve">T. </w:t>
      </w:r>
      <w:proofErr w:type="spellStart"/>
      <w:r w:rsidRPr="008C7E44">
        <w:rPr>
          <w:rFonts w:cs="Times New Roman"/>
          <w:i/>
        </w:rPr>
        <w:t>testudinum</w:t>
      </w:r>
      <w:proofErr w:type="spellEnd"/>
    </w:p>
    <w:p w:rsidR="00F32573" w:rsidRPr="008C7E44" w:rsidRDefault="00F32573" w:rsidP="00C27EBC">
      <w:pPr>
        <w:autoSpaceDE w:val="0"/>
        <w:autoSpaceDN w:val="0"/>
        <w:adjustRightInd w:val="0"/>
        <w:spacing w:after="120"/>
        <w:rPr>
          <w:rFonts w:cs="Times New Roman"/>
        </w:rPr>
      </w:pPr>
      <w:proofErr w:type="spellStart"/>
      <w:r w:rsidRPr="008C7E44">
        <w:rPr>
          <w:rFonts w:cs="Times New Roman"/>
        </w:rPr>
        <w:t>A</w:t>
      </w:r>
      <w:r w:rsidRPr="008C7E44">
        <w:rPr>
          <w:rFonts w:cs="Times New Roman"/>
          <w:i/>
          <w:vertAlign w:val="subscript"/>
        </w:rPr>
        <w:t>Sf</w:t>
      </w:r>
      <w:proofErr w:type="spellEnd"/>
      <w:r w:rsidRPr="008C7E44">
        <w:rPr>
          <w:rFonts w:cs="Times New Roman"/>
        </w:rPr>
        <w:t xml:space="preserve"> = long term mean abundance of </w:t>
      </w:r>
      <w:r w:rsidRPr="008C7E44">
        <w:rPr>
          <w:rFonts w:cs="Times New Roman"/>
          <w:i/>
        </w:rPr>
        <w:t xml:space="preserve">S. </w:t>
      </w:r>
      <w:proofErr w:type="spellStart"/>
      <w:r w:rsidRPr="008C7E44">
        <w:rPr>
          <w:rFonts w:cs="Times New Roman"/>
          <w:i/>
        </w:rPr>
        <w:t>filiforme</w:t>
      </w:r>
      <w:proofErr w:type="spellEnd"/>
    </w:p>
    <w:p w:rsidR="00F32573" w:rsidRPr="008C7E44" w:rsidRDefault="00F32573" w:rsidP="00C27EBC">
      <w:pPr>
        <w:autoSpaceDE w:val="0"/>
        <w:autoSpaceDN w:val="0"/>
        <w:adjustRightInd w:val="0"/>
        <w:spacing w:after="120"/>
        <w:rPr>
          <w:rFonts w:cs="Times New Roman"/>
        </w:rPr>
      </w:pPr>
      <w:proofErr w:type="spellStart"/>
      <w:r w:rsidRPr="008C7E44">
        <w:rPr>
          <w:rFonts w:cs="Times New Roman"/>
        </w:rPr>
        <w:t>A</w:t>
      </w:r>
      <w:r w:rsidRPr="008C7E44">
        <w:rPr>
          <w:rFonts w:cs="Times New Roman"/>
          <w:i/>
          <w:vertAlign w:val="subscript"/>
        </w:rPr>
        <w:t>Hw</w:t>
      </w:r>
      <w:proofErr w:type="spellEnd"/>
      <w:r w:rsidRPr="008C7E44">
        <w:rPr>
          <w:rFonts w:cs="Times New Roman"/>
        </w:rPr>
        <w:t xml:space="preserve"> = long term mean abundance of </w:t>
      </w:r>
      <w:r w:rsidRPr="008C7E44">
        <w:rPr>
          <w:rFonts w:cs="Times New Roman"/>
          <w:i/>
        </w:rPr>
        <w:t xml:space="preserve">H. </w:t>
      </w:r>
      <w:proofErr w:type="spellStart"/>
      <w:r w:rsidRPr="008C7E44">
        <w:rPr>
          <w:rFonts w:cs="Times New Roman"/>
          <w:i/>
        </w:rPr>
        <w:t>wrightt</w:t>
      </w:r>
      <w:r w:rsidR="008C7E44" w:rsidRPr="008C7E44">
        <w:rPr>
          <w:rFonts w:cs="Times New Roman"/>
          <w:i/>
        </w:rPr>
        <w:t>i</w:t>
      </w:r>
      <w:proofErr w:type="spellEnd"/>
    </w:p>
    <w:p w:rsidR="00F32573" w:rsidRPr="008C7E44" w:rsidRDefault="00F32573" w:rsidP="00C27EBC">
      <w:pPr>
        <w:autoSpaceDE w:val="0"/>
        <w:autoSpaceDN w:val="0"/>
        <w:adjustRightInd w:val="0"/>
        <w:spacing w:after="120"/>
        <w:rPr>
          <w:rFonts w:cs="Times New Roman"/>
        </w:rPr>
      </w:pPr>
      <w:proofErr w:type="spellStart"/>
      <w:r w:rsidRPr="008C7E44">
        <w:rPr>
          <w:rFonts w:cs="Times New Roman"/>
        </w:rPr>
        <w:t>A</w:t>
      </w:r>
      <w:r w:rsidRPr="008C7E44">
        <w:rPr>
          <w:rFonts w:cs="Times New Roman"/>
          <w:i/>
          <w:vertAlign w:val="subscript"/>
        </w:rPr>
        <w:t>macroalgae</w:t>
      </w:r>
      <w:proofErr w:type="spellEnd"/>
      <w:r w:rsidRPr="008C7E44">
        <w:rPr>
          <w:rFonts w:cs="Times New Roman"/>
        </w:rPr>
        <w:t xml:space="preserve"> = long term mean abundance of macroalgal </w:t>
      </w:r>
      <w:proofErr w:type="spellStart"/>
      <w:r w:rsidRPr="008C7E44">
        <w:rPr>
          <w:rFonts w:cs="Times New Roman"/>
        </w:rPr>
        <w:t>taxa</w:t>
      </w:r>
      <w:proofErr w:type="spellEnd"/>
    </w:p>
    <w:p w:rsidR="00C27EBC" w:rsidRDefault="00C27EBC" w:rsidP="00876EA3">
      <w:pPr>
        <w:autoSpaceDE w:val="0"/>
        <w:autoSpaceDN w:val="0"/>
        <w:adjustRightInd w:val="0"/>
        <w:spacing w:after="120"/>
        <w:rPr>
          <w:rFonts w:cs="Times New Roman"/>
        </w:rPr>
      </w:pPr>
    </w:p>
    <w:p w:rsidR="00535B65" w:rsidRDefault="00AB5F8C" w:rsidP="00876EA3">
      <w:pPr>
        <w:autoSpaceDE w:val="0"/>
        <w:autoSpaceDN w:val="0"/>
        <w:adjustRightInd w:val="0"/>
        <w:spacing w:after="120"/>
        <w:rPr>
          <w:rFonts w:cs="Times New Roman"/>
        </w:rPr>
      </w:pPr>
      <w:r>
        <w:rPr>
          <w:rFonts w:cs="Times New Roman"/>
          <w:noProof/>
        </w:rPr>
        <w:drawing>
          <wp:inline distT="0" distB="0" distL="0" distR="0">
            <wp:extent cx="2734310" cy="621665"/>
            <wp:effectExtent l="19050" t="0" r="8890" b="0"/>
            <wp:docPr id="2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srcRect/>
                    <a:stretch>
                      <a:fillRect/>
                    </a:stretch>
                  </pic:blipFill>
                  <pic:spPr bwMode="auto">
                    <a:xfrm>
                      <a:off x="0" y="0"/>
                      <a:ext cx="2734310" cy="621665"/>
                    </a:xfrm>
                    <a:prstGeom prst="rect">
                      <a:avLst/>
                    </a:prstGeom>
                    <a:noFill/>
                    <a:ln w="9525">
                      <a:noFill/>
                      <a:miter lim="800000"/>
                      <a:headEnd/>
                      <a:tailEnd/>
                    </a:ln>
                  </pic:spPr>
                </pic:pic>
              </a:graphicData>
            </a:graphic>
          </wp:inline>
        </w:drawing>
      </w:r>
    </w:p>
    <w:p w:rsidR="00535B65" w:rsidRDefault="00535B65" w:rsidP="00876EA3">
      <w:pPr>
        <w:autoSpaceDE w:val="0"/>
        <w:autoSpaceDN w:val="0"/>
        <w:adjustRightInd w:val="0"/>
        <w:spacing w:after="120"/>
        <w:rPr>
          <w:rFonts w:cs="Times New Roman"/>
        </w:rPr>
      </w:pPr>
    </w:p>
    <w:p w:rsidR="00535B65" w:rsidRDefault="00AB5F8C" w:rsidP="00876EA3">
      <w:pPr>
        <w:autoSpaceDE w:val="0"/>
        <w:autoSpaceDN w:val="0"/>
        <w:adjustRightInd w:val="0"/>
        <w:spacing w:after="120"/>
        <w:rPr>
          <w:rFonts w:cs="Times New Roman"/>
        </w:rPr>
      </w:pPr>
      <w:r>
        <w:rPr>
          <w:rFonts w:cs="Times New Roman"/>
          <w:noProof/>
        </w:rPr>
        <w:drawing>
          <wp:inline distT="0" distB="0" distL="0" distR="0">
            <wp:extent cx="1325880" cy="960120"/>
            <wp:effectExtent l="19050" t="0" r="7620" b="0"/>
            <wp:docPr id="3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srcRect/>
                    <a:stretch>
                      <a:fillRect/>
                    </a:stretch>
                  </pic:blipFill>
                  <pic:spPr bwMode="auto">
                    <a:xfrm>
                      <a:off x="0" y="0"/>
                      <a:ext cx="1325880" cy="960120"/>
                    </a:xfrm>
                    <a:prstGeom prst="rect">
                      <a:avLst/>
                    </a:prstGeom>
                    <a:noFill/>
                    <a:ln w="9525">
                      <a:noFill/>
                      <a:miter lim="800000"/>
                      <a:headEnd/>
                      <a:tailEnd/>
                    </a:ln>
                  </pic:spPr>
                </pic:pic>
              </a:graphicData>
            </a:graphic>
          </wp:inline>
        </w:drawing>
      </w:r>
    </w:p>
    <w:p w:rsidR="00535B65" w:rsidRDefault="00EE584D" w:rsidP="00876EA3">
      <w:pPr>
        <w:autoSpaceDE w:val="0"/>
        <w:autoSpaceDN w:val="0"/>
        <w:adjustRightInd w:val="0"/>
        <w:spacing w:after="120"/>
        <w:rPr>
          <w:rFonts w:cs="Times New Roman"/>
        </w:rPr>
      </w:pPr>
      <w:r>
        <w:rPr>
          <w:rFonts w:cs="Times New Roman"/>
        </w:rPr>
        <w:lastRenderedPageBreak/>
        <w:t xml:space="preserve">The long term, 1995-2005, </w:t>
      </w:r>
      <w:r w:rsidRPr="00EE584D">
        <w:rPr>
          <w:rFonts w:cs="Times New Roman"/>
          <w:i/>
        </w:rPr>
        <w:t>EI</w:t>
      </w:r>
      <w:r>
        <w:rPr>
          <w:rFonts w:cs="Times New Roman"/>
        </w:rPr>
        <w:t xml:space="preserve"> is 8.28 ± 1.47 (± 1 standard error) and the </w:t>
      </w:r>
      <w:r w:rsidRPr="00EE584D">
        <w:rPr>
          <w:rFonts w:cs="Times New Roman"/>
          <w:i/>
        </w:rPr>
        <w:t>SCI</w:t>
      </w:r>
      <w:r>
        <w:rPr>
          <w:rFonts w:cs="Times New Roman"/>
        </w:rPr>
        <w:t xml:space="preserve"> is 0.48 ± 0.04 (± 1 standa</w:t>
      </w:r>
      <w:r w:rsidR="008C7E44">
        <w:rPr>
          <w:rFonts w:cs="Times New Roman"/>
        </w:rPr>
        <w:t>rd error).  Despite a slight decreasing trend in t</w:t>
      </w:r>
      <w:r>
        <w:rPr>
          <w:rFonts w:cs="Times New Roman"/>
        </w:rPr>
        <w:t xml:space="preserve">he </w:t>
      </w:r>
      <w:r w:rsidR="00F84A15">
        <w:rPr>
          <w:rFonts w:cs="Times New Roman"/>
        </w:rPr>
        <w:t xml:space="preserve">mean </w:t>
      </w:r>
      <w:r>
        <w:rPr>
          <w:rFonts w:cs="Times New Roman"/>
        </w:rPr>
        <w:t xml:space="preserve">values for both </w:t>
      </w:r>
      <w:r w:rsidRPr="00EE584D">
        <w:rPr>
          <w:rFonts w:cs="Times New Roman"/>
          <w:i/>
        </w:rPr>
        <w:t>EI</w:t>
      </w:r>
      <w:r>
        <w:rPr>
          <w:rFonts w:cs="Times New Roman"/>
        </w:rPr>
        <w:t xml:space="preserve"> and </w:t>
      </w:r>
      <w:r w:rsidRPr="00EE584D">
        <w:rPr>
          <w:rFonts w:cs="Times New Roman"/>
          <w:i/>
        </w:rPr>
        <w:t>SCI</w:t>
      </w:r>
      <w:r>
        <w:rPr>
          <w:rFonts w:cs="Times New Roman"/>
        </w:rPr>
        <w:t xml:space="preserve"> for the years 2006, 2007, and 2008</w:t>
      </w:r>
      <w:r w:rsidR="008C7E44">
        <w:rPr>
          <w:rFonts w:cs="Times New Roman"/>
        </w:rPr>
        <w:t>, the means were</w:t>
      </w:r>
      <w:r>
        <w:rPr>
          <w:rFonts w:cs="Times New Roman"/>
        </w:rPr>
        <w:t xml:space="preserve"> all within the confidence estimate of the long-term a</w:t>
      </w:r>
      <w:r w:rsidR="008C7E44">
        <w:rPr>
          <w:rFonts w:cs="Times New Roman"/>
        </w:rPr>
        <w:t>verages for 1995-2005</w:t>
      </w:r>
      <w:r w:rsidR="00AC1AD8">
        <w:rPr>
          <w:rFonts w:cs="Times New Roman"/>
        </w:rPr>
        <w:t xml:space="preserve"> (Figures 7 and 8).  Since the </w:t>
      </w:r>
      <w:r w:rsidR="00AC1AD8" w:rsidRPr="00AC1AD8">
        <w:rPr>
          <w:rFonts w:cs="Times New Roman"/>
          <w:i/>
        </w:rPr>
        <w:t>EI</w:t>
      </w:r>
      <w:r w:rsidR="00AC1AD8">
        <w:rPr>
          <w:rFonts w:cs="Times New Roman"/>
        </w:rPr>
        <w:t xml:space="preserve"> and </w:t>
      </w:r>
      <w:r w:rsidR="00AC1AD8" w:rsidRPr="00AC1AD8">
        <w:rPr>
          <w:rFonts w:cs="Times New Roman"/>
          <w:i/>
        </w:rPr>
        <w:t>SCI</w:t>
      </w:r>
      <w:r w:rsidR="008C7E44">
        <w:rPr>
          <w:rFonts w:cs="Times New Roman"/>
        </w:rPr>
        <w:t xml:space="preserve"> </w:t>
      </w:r>
      <w:r w:rsidR="00AC1AD8">
        <w:rPr>
          <w:rFonts w:cs="Times New Roman"/>
        </w:rPr>
        <w:t>are not</w:t>
      </w:r>
      <w:r w:rsidR="008C7E44">
        <w:rPr>
          <w:rFonts w:cs="Times New Roman"/>
        </w:rPr>
        <w:t xml:space="preserve"> significant</w:t>
      </w:r>
      <w:r w:rsidR="00AC1AD8">
        <w:rPr>
          <w:rFonts w:cs="Times New Roman"/>
        </w:rPr>
        <w:t>ly diffe</w:t>
      </w:r>
      <w:r w:rsidR="00E933BE">
        <w:rPr>
          <w:rFonts w:cs="Times New Roman"/>
        </w:rPr>
        <w:t>rent from the long term mean</w:t>
      </w:r>
      <w:r w:rsidR="00AC1AD8">
        <w:rPr>
          <w:rFonts w:cs="Times New Roman"/>
        </w:rPr>
        <w:t>, they do not indicate symptoms of increases in eutrophication for the years 2006, 2007, or 2008 across the FKNMS.</w:t>
      </w:r>
      <w:r w:rsidR="008C7E44">
        <w:rPr>
          <w:rFonts w:cs="Times New Roman"/>
        </w:rPr>
        <w:t xml:space="preserve">  </w:t>
      </w:r>
    </w:p>
    <w:p w:rsidR="00AB5F8C" w:rsidRDefault="00AB5F8C" w:rsidP="00876EA3">
      <w:pPr>
        <w:autoSpaceDE w:val="0"/>
        <w:autoSpaceDN w:val="0"/>
        <w:adjustRightInd w:val="0"/>
        <w:spacing w:after="120"/>
        <w:rPr>
          <w:rFonts w:cs="Times New Roman"/>
        </w:rPr>
      </w:pPr>
      <w:r w:rsidRPr="00AB5F8C">
        <w:rPr>
          <w:rFonts w:cs="Times New Roman"/>
          <w:noProof/>
        </w:rPr>
        <w:drawing>
          <wp:inline distT="0" distB="0" distL="0" distR="0">
            <wp:extent cx="3025902" cy="1971105"/>
            <wp:effectExtent l="19050" t="0" r="3048" b="0"/>
            <wp:docPr id="3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srcRect/>
                    <a:stretch>
                      <a:fillRect/>
                    </a:stretch>
                  </pic:blipFill>
                  <pic:spPr bwMode="auto">
                    <a:xfrm>
                      <a:off x="0" y="0"/>
                      <a:ext cx="3029042" cy="1973150"/>
                    </a:xfrm>
                    <a:prstGeom prst="rect">
                      <a:avLst/>
                    </a:prstGeom>
                    <a:noFill/>
                    <a:ln w="9525">
                      <a:noFill/>
                      <a:miter lim="800000"/>
                      <a:headEnd/>
                      <a:tailEnd/>
                    </a:ln>
                  </pic:spPr>
                </pic:pic>
              </a:graphicData>
            </a:graphic>
          </wp:inline>
        </w:drawing>
      </w:r>
    </w:p>
    <w:p w:rsidR="00AB5F8C" w:rsidRDefault="00A4237F" w:rsidP="00876EA3">
      <w:pPr>
        <w:autoSpaceDE w:val="0"/>
        <w:autoSpaceDN w:val="0"/>
        <w:adjustRightInd w:val="0"/>
        <w:spacing w:after="120"/>
        <w:rPr>
          <w:rFonts w:cs="Times New Roman"/>
        </w:rPr>
      </w:pPr>
      <w:proofErr w:type="gramStart"/>
      <w:r w:rsidRPr="00E933BE">
        <w:rPr>
          <w:rFonts w:cs="Times New Roman"/>
          <w:b/>
        </w:rPr>
        <w:t>Figure 7</w:t>
      </w:r>
      <w:r w:rsidR="00C27EBC">
        <w:rPr>
          <w:rFonts w:cs="Times New Roman"/>
        </w:rPr>
        <w:t>.</w:t>
      </w:r>
      <w:proofErr w:type="gramEnd"/>
      <w:r w:rsidR="00E933BE">
        <w:rPr>
          <w:rFonts w:cs="Times New Roman"/>
        </w:rPr>
        <w:t xml:space="preserve">  Elemental Indicator (</w:t>
      </w:r>
      <w:r w:rsidR="00E933BE" w:rsidRPr="00E933BE">
        <w:rPr>
          <w:rFonts w:cs="Times New Roman"/>
          <w:i/>
        </w:rPr>
        <w:t>EI</w:t>
      </w:r>
      <w:r w:rsidR="00E933BE">
        <w:rPr>
          <w:rFonts w:cs="Times New Roman"/>
        </w:rPr>
        <w:t xml:space="preserve">) status of seagrasses in the FKNMS for 2006, 2007 and 2008 compared to the long term mean </w:t>
      </w:r>
      <w:r w:rsidR="00E933BE" w:rsidRPr="00E933BE">
        <w:rPr>
          <w:rFonts w:cs="Times New Roman"/>
          <w:i/>
        </w:rPr>
        <w:t>EI</w:t>
      </w:r>
      <w:r w:rsidR="00E933BE">
        <w:rPr>
          <w:rFonts w:cs="Times New Roman"/>
        </w:rPr>
        <w:t xml:space="preserve"> for 1995-2005.</w:t>
      </w:r>
    </w:p>
    <w:p w:rsidR="00C27EBC" w:rsidRPr="0050102E" w:rsidRDefault="00C27EBC" w:rsidP="00876EA3">
      <w:pPr>
        <w:autoSpaceDE w:val="0"/>
        <w:autoSpaceDN w:val="0"/>
        <w:adjustRightInd w:val="0"/>
        <w:spacing w:after="120"/>
        <w:rPr>
          <w:rFonts w:cs="Times New Roman"/>
        </w:rPr>
      </w:pPr>
      <w:r w:rsidRPr="00C27EBC">
        <w:rPr>
          <w:rFonts w:cs="Times New Roman"/>
          <w:noProof/>
        </w:rPr>
        <w:drawing>
          <wp:inline distT="0" distB="0" distL="0" distR="0">
            <wp:extent cx="3030474" cy="2020316"/>
            <wp:effectExtent l="19050" t="0" r="0" b="0"/>
            <wp:docPr id="3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srcRect/>
                    <a:stretch>
                      <a:fillRect/>
                    </a:stretch>
                  </pic:blipFill>
                  <pic:spPr bwMode="auto">
                    <a:xfrm>
                      <a:off x="0" y="0"/>
                      <a:ext cx="3031065" cy="2020710"/>
                    </a:xfrm>
                    <a:prstGeom prst="rect">
                      <a:avLst/>
                    </a:prstGeom>
                    <a:noFill/>
                    <a:ln w="9525">
                      <a:noFill/>
                      <a:miter lim="800000"/>
                      <a:headEnd/>
                      <a:tailEnd/>
                    </a:ln>
                  </pic:spPr>
                </pic:pic>
              </a:graphicData>
            </a:graphic>
          </wp:inline>
        </w:drawing>
      </w:r>
    </w:p>
    <w:p w:rsidR="00C27EBC" w:rsidRDefault="00C27EBC" w:rsidP="009D1F25">
      <w:pPr>
        <w:autoSpaceDE w:val="0"/>
        <w:autoSpaceDN w:val="0"/>
        <w:adjustRightInd w:val="0"/>
        <w:spacing w:after="120"/>
        <w:rPr>
          <w:rFonts w:cs="Times New Roman"/>
        </w:rPr>
      </w:pPr>
      <w:proofErr w:type="gramStart"/>
      <w:r w:rsidRPr="00E933BE">
        <w:rPr>
          <w:rFonts w:cs="Times New Roman"/>
          <w:b/>
        </w:rPr>
        <w:t xml:space="preserve">Figure </w:t>
      </w:r>
      <w:r w:rsidR="00A4237F" w:rsidRPr="00E933BE">
        <w:rPr>
          <w:rFonts w:cs="Times New Roman"/>
          <w:b/>
        </w:rPr>
        <w:t>8</w:t>
      </w:r>
      <w:r>
        <w:rPr>
          <w:rFonts w:cs="Times New Roman"/>
        </w:rPr>
        <w:t>.</w:t>
      </w:r>
      <w:proofErr w:type="gramEnd"/>
      <w:r w:rsidR="00E933BE">
        <w:rPr>
          <w:rFonts w:cs="Times New Roman"/>
        </w:rPr>
        <w:t xml:space="preserve"> Species Composition Indicator (</w:t>
      </w:r>
      <w:r w:rsidR="00E933BE">
        <w:rPr>
          <w:rFonts w:cs="Times New Roman"/>
          <w:i/>
        </w:rPr>
        <w:t>SC</w:t>
      </w:r>
      <w:r w:rsidR="00E933BE" w:rsidRPr="00E933BE">
        <w:rPr>
          <w:rFonts w:cs="Times New Roman"/>
          <w:i/>
        </w:rPr>
        <w:t>I</w:t>
      </w:r>
      <w:r w:rsidR="00E933BE">
        <w:rPr>
          <w:rFonts w:cs="Times New Roman"/>
        </w:rPr>
        <w:t xml:space="preserve">) status of seagrasses in the FKNMS for 2006, 2007 and 2008 compared to the long term mean </w:t>
      </w:r>
      <w:r w:rsidR="00E933BE" w:rsidRPr="00E933BE">
        <w:rPr>
          <w:rFonts w:cs="Times New Roman"/>
          <w:i/>
        </w:rPr>
        <w:t>SCI</w:t>
      </w:r>
      <w:r w:rsidR="00E933BE">
        <w:rPr>
          <w:rFonts w:cs="Times New Roman"/>
        </w:rPr>
        <w:t xml:space="preserve"> for 1995-2005.</w:t>
      </w:r>
    </w:p>
    <w:p w:rsidR="00296B1A" w:rsidRDefault="009C66FE" w:rsidP="009D1F25">
      <w:pPr>
        <w:spacing w:after="120"/>
      </w:pPr>
      <w:r>
        <w:t xml:space="preserve">There have been observations of increased macroalgal abundance in nearshore areas of the Keys that have higher N concentrations.  </w:t>
      </w:r>
      <w:r w:rsidR="00296B1A">
        <w:t>Seagrass and macroalgal abundance was sampled quarterly from 1996-2002 at 28 permanent sites in the FKNMS (</w:t>
      </w:r>
      <w:proofErr w:type="spellStart"/>
      <w:r w:rsidR="00296B1A" w:rsidRPr="009C66FE">
        <w:t>Collado</w:t>
      </w:r>
      <w:proofErr w:type="spellEnd"/>
      <w:r w:rsidR="00296B1A" w:rsidRPr="009C66FE">
        <w:t xml:space="preserve">-Vides </w:t>
      </w:r>
      <w:r w:rsidR="007E2405" w:rsidRPr="009C66FE">
        <w:rPr>
          <w:i/>
        </w:rPr>
        <w:t xml:space="preserve">et al. </w:t>
      </w:r>
      <w:r w:rsidR="00296B1A" w:rsidRPr="009C66FE">
        <w:t>2005</w:t>
      </w:r>
      <w:r w:rsidR="00296B1A">
        <w:t xml:space="preserve">).  The principal species of calcareous green algae in the seagrass meadows were </w:t>
      </w:r>
      <w:proofErr w:type="spellStart"/>
      <w:r w:rsidR="00296B1A" w:rsidRPr="00177D7B">
        <w:rPr>
          <w:i/>
        </w:rPr>
        <w:t>Halimeda</w:t>
      </w:r>
      <w:proofErr w:type="spellEnd"/>
      <w:r w:rsidR="00296B1A" w:rsidRPr="00177D7B">
        <w:rPr>
          <w:i/>
        </w:rPr>
        <w:t xml:space="preserve"> </w:t>
      </w:r>
      <w:proofErr w:type="spellStart"/>
      <w:r w:rsidR="00296B1A" w:rsidRPr="00177D7B">
        <w:rPr>
          <w:i/>
        </w:rPr>
        <w:t>incrassata</w:t>
      </w:r>
      <w:proofErr w:type="spellEnd"/>
      <w:r w:rsidR="00296B1A">
        <w:t xml:space="preserve">, </w:t>
      </w:r>
      <w:r w:rsidR="00296B1A" w:rsidRPr="00177D7B">
        <w:rPr>
          <w:i/>
        </w:rPr>
        <w:t xml:space="preserve">H. </w:t>
      </w:r>
      <w:proofErr w:type="spellStart"/>
      <w:r w:rsidR="00296B1A" w:rsidRPr="00177D7B">
        <w:rPr>
          <w:i/>
        </w:rPr>
        <w:t>monile</w:t>
      </w:r>
      <w:proofErr w:type="spellEnd"/>
      <w:r w:rsidR="00296B1A">
        <w:t xml:space="preserve">, </w:t>
      </w:r>
      <w:r w:rsidR="00296B1A" w:rsidRPr="00177D7B">
        <w:rPr>
          <w:i/>
        </w:rPr>
        <w:t>H. tuna</w:t>
      </w:r>
      <w:r w:rsidR="00296B1A">
        <w:t xml:space="preserve">, </w:t>
      </w:r>
      <w:r w:rsidR="00296B1A" w:rsidRPr="00177D7B">
        <w:rPr>
          <w:i/>
        </w:rPr>
        <w:t xml:space="preserve">H. </w:t>
      </w:r>
      <w:proofErr w:type="spellStart"/>
      <w:r w:rsidR="00296B1A" w:rsidRPr="00177D7B">
        <w:rPr>
          <w:i/>
        </w:rPr>
        <w:t>opuntia</w:t>
      </w:r>
      <w:proofErr w:type="spellEnd"/>
      <w:r w:rsidR="00296B1A">
        <w:t xml:space="preserve">, </w:t>
      </w:r>
      <w:proofErr w:type="spellStart"/>
      <w:r w:rsidR="00296B1A" w:rsidRPr="00177D7B">
        <w:rPr>
          <w:i/>
        </w:rPr>
        <w:t>Penicillus</w:t>
      </w:r>
      <w:proofErr w:type="spellEnd"/>
      <w:r w:rsidR="00296B1A" w:rsidRPr="00177D7B">
        <w:rPr>
          <w:i/>
        </w:rPr>
        <w:t xml:space="preserve"> </w:t>
      </w:r>
      <w:proofErr w:type="spellStart"/>
      <w:r w:rsidR="00296B1A" w:rsidRPr="00177D7B">
        <w:rPr>
          <w:i/>
        </w:rPr>
        <w:t>capitatus</w:t>
      </w:r>
      <w:proofErr w:type="spellEnd"/>
      <w:r w:rsidR="00296B1A">
        <w:t xml:space="preserve">, </w:t>
      </w:r>
      <w:r w:rsidR="00296B1A" w:rsidRPr="00177D7B">
        <w:rPr>
          <w:i/>
        </w:rPr>
        <w:t xml:space="preserve">P. </w:t>
      </w:r>
      <w:proofErr w:type="spellStart"/>
      <w:r w:rsidR="00296B1A" w:rsidRPr="00177D7B">
        <w:rPr>
          <w:i/>
        </w:rPr>
        <w:t>dumetosus</w:t>
      </w:r>
      <w:proofErr w:type="spellEnd"/>
      <w:r w:rsidR="00296B1A">
        <w:t xml:space="preserve">, </w:t>
      </w:r>
      <w:r w:rsidR="00296B1A" w:rsidRPr="00177D7B">
        <w:rPr>
          <w:i/>
        </w:rPr>
        <w:t xml:space="preserve">P. </w:t>
      </w:r>
      <w:proofErr w:type="spellStart"/>
      <w:r w:rsidR="00296B1A" w:rsidRPr="00177D7B">
        <w:rPr>
          <w:i/>
        </w:rPr>
        <w:t>pyryformis</w:t>
      </w:r>
      <w:proofErr w:type="spellEnd"/>
      <w:r w:rsidR="00296B1A">
        <w:t xml:space="preserve">, </w:t>
      </w:r>
      <w:proofErr w:type="spellStart"/>
      <w:r w:rsidR="00296B1A" w:rsidRPr="00177D7B">
        <w:rPr>
          <w:i/>
        </w:rPr>
        <w:t>Rhipocephalus</w:t>
      </w:r>
      <w:proofErr w:type="spellEnd"/>
      <w:r w:rsidR="00296B1A" w:rsidRPr="00177D7B">
        <w:rPr>
          <w:i/>
        </w:rPr>
        <w:t xml:space="preserve"> phoenix</w:t>
      </w:r>
      <w:r w:rsidR="00296B1A">
        <w:t xml:space="preserve">, </w:t>
      </w:r>
      <w:proofErr w:type="spellStart"/>
      <w:r w:rsidR="00296B1A" w:rsidRPr="00177D7B">
        <w:rPr>
          <w:i/>
        </w:rPr>
        <w:t>Udotea</w:t>
      </w:r>
      <w:proofErr w:type="spellEnd"/>
      <w:r w:rsidR="00296B1A" w:rsidRPr="00177D7B">
        <w:rPr>
          <w:i/>
        </w:rPr>
        <w:t xml:space="preserve"> </w:t>
      </w:r>
      <w:proofErr w:type="spellStart"/>
      <w:r w:rsidR="00296B1A" w:rsidRPr="00177D7B">
        <w:rPr>
          <w:i/>
        </w:rPr>
        <w:t>cyathiformis</w:t>
      </w:r>
      <w:proofErr w:type="spellEnd"/>
      <w:r w:rsidR="00296B1A">
        <w:t xml:space="preserve">, and </w:t>
      </w:r>
      <w:r w:rsidR="00296B1A" w:rsidRPr="00177D7B">
        <w:rPr>
          <w:i/>
        </w:rPr>
        <w:t>U. flabellum</w:t>
      </w:r>
      <w:r w:rsidR="00296B1A">
        <w:t xml:space="preserve">.  Each genus had a unique distribution and seasonal pattern of abundance, with lower abundance in winter and higher abundance in the summer.  In addition, the four genera studied have increased in abundance at most sites over the 7 year study period.  Regional scale gradients in environmental conditions, such as salinity and water temperature, did not appear to influence </w:t>
      </w:r>
      <w:r w:rsidR="00296B1A">
        <w:lastRenderedPageBreak/>
        <w:t xml:space="preserve">abundance.  The only significant gradient was with distance from land, with sites closer to land showing higher values.  </w:t>
      </w:r>
    </w:p>
    <w:p w:rsidR="00296B1A" w:rsidRPr="00B66E87" w:rsidRDefault="00296B1A" w:rsidP="009D1F25">
      <w:pPr>
        <w:spacing w:after="120"/>
      </w:pPr>
      <w:proofErr w:type="spellStart"/>
      <w:r w:rsidRPr="009C66FE">
        <w:t>Collado</w:t>
      </w:r>
      <w:proofErr w:type="spellEnd"/>
      <w:r w:rsidRPr="009C66FE">
        <w:t xml:space="preserve">-Vides </w:t>
      </w:r>
      <w:r w:rsidR="007E2405" w:rsidRPr="009C66FE">
        <w:rPr>
          <w:i/>
        </w:rPr>
        <w:t xml:space="preserve">et al. </w:t>
      </w:r>
      <w:r w:rsidRPr="009C66FE">
        <w:t>(2007</w:t>
      </w:r>
      <w:r>
        <w:t xml:space="preserve">) used data from the long term seagrass monitoring program and the water quality monitoring program in the FKNMS to detect the long term abundance trends of macroalgae groups and their correlations with median nutrient concentrations for 30 different sites between March 1996 and May 2003.  Their analyses suggest that the abundance and long-term increases in abundance of major macroalgal groups in the FKNMS were highest in areas with the highest availability of N.  The dominant group in the seagrass beds was calcareous green algae, dominated by </w:t>
      </w:r>
      <w:proofErr w:type="spellStart"/>
      <w:r w:rsidRPr="00177D7B">
        <w:rPr>
          <w:i/>
        </w:rPr>
        <w:t>Halimeda</w:t>
      </w:r>
      <w:proofErr w:type="spellEnd"/>
      <w:r>
        <w:t xml:space="preserve">, followed by the “red other” group, dominated by </w:t>
      </w:r>
      <w:proofErr w:type="spellStart"/>
      <w:r w:rsidRPr="00177D7B">
        <w:rPr>
          <w:i/>
        </w:rPr>
        <w:t>Laurencia</w:t>
      </w:r>
      <w:proofErr w:type="spellEnd"/>
      <w:r>
        <w:t xml:space="preserve">.  Results indicated that the abundance of almost all macroalgae groups was increasing over the course of the study and show a slow and steady increase of slow-growing </w:t>
      </w:r>
      <w:proofErr w:type="spellStart"/>
      <w:r>
        <w:t>calcareaous</w:t>
      </w:r>
      <w:proofErr w:type="spellEnd"/>
      <w:r>
        <w:t xml:space="preserve"> green algae, as opposed to bloom condition.</w:t>
      </w:r>
    </w:p>
    <w:p w:rsidR="00B653F0" w:rsidRDefault="0027730B" w:rsidP="009D1F25">
      <w:pPr>
        <w:spacing w:after="120"/>
      </w:pPr>
      <w:r w:rsidRPr="00213BC4">
        <w:t xml:space="preserve">Lapointe </w:t>
      </w:r>
      <w:r w:rsidR="007E2405" w:rsidRPr="007E2405">
        <w:rPr>
          <w:i/>
        </w:rPr>
        <w:t xml:space="preserve">et al. </w:t>
      </w:r>
      <w:r w:rsidR="00213BC4" w:rsidRPr="00213BC4">
        <w:t>(</w:t>
      </w:r>
      <w:r w:rsidRPr="00213BC4">
        <w:t>1994</w:t>
      </w:r>
      <w:r w:rsidR="00213BC4" w:rsidRPr="00213BC4">
        <w:t xml:space="preserve">) </w:t>
      </w:r>
      <w:r w:rsidR="00213BC4">
        <w:t>assessed</w:t>
      </w:r>
      <w:r>
        <w:t xml:space="preserve"> the relationships among TN and TP concentration and the productivity, biomass and epiphyte levels of </w:t>
      </w:r>
      <w:r w:rsidR="006141A0">
        <w:rPr>
          <w:i/>
        </w:rPr>
        <w:t>T.</w:t>
      </w:r>
      <w:r w:rsidR="009F7B78" w:rsidRPr="00213BC4">
        <w:rPr>
          <w:i/>
        </w:rPr>
        <w:t xml:space="preserve">  </w:t>
      </w:r>
      <w:proofErr w:type="spellStart"/>
      <w:proofErr w:type="gramStart"/>
      <w:r w:rsidR="009F7B78" w:rsidRPr="00213BC4">
        <w:rPr>
          <w:i/>
        </w:rPr>
        <w:t>testudinum</w:t>
      </w:r>
      <w:proofErr w:type="spellEnd"/>
      <w:proofErr w:type="gramEnd"/>
      <w:r>
        <w:t xml:space="preserve"> and </w:t>
      </w:r>
      <w:r w:rsidR="006141A0">
        <w:rPr>
          <w:i/>
        </w:rPr>
        <w:t>H.</w:t>
      </w:r>
      <w:r w:rsidR="00A04331" w:rsidRPr="00213BC4">
        <w:rPr>
          <w:i/>
        </w:rPr>
        <w:t xml:space="preserve"> </w:t>
      </w:r>
      <w:proofErr w:type="spellStart"/>
      <w:r w:rsidR="00A04331" w:rsidRPr="00213BC4">
        <w:rPr>
          <w:i/>
        </w:rPr>
        <w:t>wrightii</w:t>
      </w:r>
      <w:proofErr w:type="spellEnd"/>
      <w:r w:rsidR="00CB6BD1">
        <w:t xml:space="preserve">. </w:t>
      </w:r>
      <w:r>
        <w:t xml:space="preserve">Epiphytes included unidentified </w:t>
      </w:r>
      <w:proofErr w:type="spellStart"/>
      <w:r>
        <w:t>taxa</w:t>
      </w:r>
      <w:proofErr w:type="spellEnd"/>
      <w:r>
        <w:t xml:space="preserve"> of microscopic filamentous algae, calcareous species, diatoms, and other </w:t>
      </w:r>
      <w:proofErr w:type="spellStart"/>
      <w:r>
        <w:t>taxa</w:t>
      </w:r>
      <w:proofErr w:type="spellEnd"/>
      <w:r>
        <w:t xml:space="preserve">.  </w:t>
      </w:r>
      <w:r w:rsidR="00375F46">
        <w:t>T</w:t>
      </w:r>
      <w:r>
        <w:t>here were significan</w:t>
      </w:r>
      <w:r w:rsidR="00375F46">
        <w:t>t differences in epiphyte loads</w:t>
      </w:r>
      <w:r>
        <w:t xml:space="preserve"> among the trophic strata </w:t>
      </w:r>
      <w:r w:rsidR="009C66FE">
        <w:t>of</w:t>
      </w:r>
      <w:r>
        <w:t xml:space="preserve"> </w:t>
      </w:r>
      <w:proofErr w:type="gramStart"/>
      <w:r>
        <w:t>the transects</w:t>
      </w:r>
      <w:proofErr w:type="gramEnd"/>
      <w:r>
        <w:t xml:space="preserve">.  At the </w:t>
      </w:r>
      <w:r w:rsidR="004605D1">
        <w:t>oligotrophic</w:t>
      </w:r>
      <w:r>
        <w:t xml:space="preserve"> strata epiphyte levels were fr</w:t>
      </w:r>
      <w:r w:rsidR="004605D1">
        <w:t xml:space="preserve">equently higher than at the </w:t>
      </w:r>
      <w:proofErr w:type="spellStart"/>
      <w:r w:rsidR="004605D1">
        <w:t>mesotrophic</w:t>
      </w:r>
      <w:proofErr w:type="spellEnd"/>
      <w:r>
        <w:t xml:space="preserve"> strata because of the growth of dense calcareous algae (</w:t>
      </w:r>
      <w:proofErr w:type="spellStart"/>
      <w:r w:rsidRPr="00213BC4">
        <w:rPr>
          <w:i/>
        </w:rPr>
        <w:t>Melobesia</w:t>
      </w:r>
      <w:proofErr w:type="spellEnd"/>
      <w:r w:rsidRPr="00213BC4">
        <w:rPr>
          <w:i/>
        </w:rPr>
        <w:t xml:space="preserve"> </w:t>
      </w:r>
      <w:proofErr w:type="spellStart"/>
      <w:r w:rsidRPr="00213BC4">
        <w:rPr>
          <w:i/>
        </w:rPr>
        <w:t>membranaceae</w:t>
      </w:r>
      <w:proofErr w:type="spellEnd"/>
      <w:r>
        <w:t xml:space="preserve"> and </w:t>
      </w:r>
      <w:proofErr w:type="spellStart"/>
      <w:r w:rsidRPr="00213BC4">
        <w:rPr>
          <w:i/>
        </w:rPr>
        <w:t>Fosliella</w:t>
      </w:r>
      <w:proofErr w:type="spellEnd"/>
      <w:r w:rsidRPr="00213BC4">
        <w:rPr>
          <w:i/>
        </w:rPr>
        <w:t xml:space="preserve"> farinose</w:t>
      </w:r>
      <w:r w:rsidR="00C5330F">
        <w:t>).  Diat</w:t>
      </w:r>
      <w:r>
        <w:t xml:space="preserve">oms and fleshy filamentous </w:t>
      </w:r>
      <w:proofErr w:type="spellStart"/>
      <w:r>
        <w:t>taxa</w:t>
      </w:r>
      <w:proofErr w:type="spellEnd"/>
      <w:r>
        <w:t xml:space="preserve"> were more common at the more nutrient enriched strata and epiphyte levels in both seasons were highest at the </w:t>
      </w:r>
      <w:r w:rsidR="004605D1">
        <w:t>hyper-</w:t>
      </w:r>
      <w:proofErr w:type="spellStart"/>
      <w:r w:rsidR="004605D1">
        <w:t>eutrophic</w:t>
      </w:r>
      <w:proofErr w:type="spellEnd"/>
      <w:r>
        <w:t xml:space="preserve"> and </w:t>
      </w:r>
      <w:proofErr w:type="spellStart"/>
      <w:r w:rsidR="004605D1">
        <w:t>eutrophic</w:t>
      </w:r>
      <w:proofErr w:type="spellEnd"/>
      <w:r>
        <w:t xml:space="preserve"> strata when compa</w:t>
      </w:r>
      <w:r w:rsidR="004605D1">
        <w:t>red to the other less enriched oligotrophic</w:t>
      </w:r>
      <w:r>
        <w:t xml:space="preserve"> and </w:t>
      </w:r>
      <w:proofErr w:type="spellStart"/>
      <w:r w:rsidR="004605D1">
        <w:t>mesotrophic</w:t>
      </w:r>
      <w:proofErr w:type="spellEnd"/>
      <w:r>
        <w:t xml:space="preserve"> strata. </w:t>
      </w:r>
    </w:p>
    <w:p w:rsidR="006141A0" w:rsidRDefault="009B6E60" w:rsidP="009D1F25">
      <w:pPr>
        <w:spacing w:after="120"/>
      </w:pPr>
      <w:r>
        <w:t xml:space="preserve">Fourqurean </w:t>
      </w:r>
      <w:r w:rsidR="007E2405" w:rsidRPr="007E2405">
        <w:rPr>
          <w:i/>
        </w:rPr>
        <w:t xml:space="preserve">et al. </w:t>
      </w:r>
      <w:r>
        <w:t xml:space="preserve">(in press) found no correlation between epiphyte loads on </w:t>
      </w:r>
      <w:proofErr w:type="gramStart"/>
      <w:r>
        <w:t>seagrass,</w:t>
      </w:r>
      <w:proofErr w:type="gramEnd"/>
      <w:r>
        <w:t xml:space="preserve"> or the relative contribution of algal epiphytes to the epiphyte community, with either water column or sediment nutrient concentrations</w:t>
      </w:r>
      <w:r w:rsidR="00406C0B">
        <w:t xml:space="preserve"> (Figure 10)</w:t>
      </w:r>
      <w:r>
        <w:t>.</w:t>
      </w:r>
      <w:r w:rsidR="00DC2955">
        <w:t xml:space="preserve">  Epiphyte loads on seagrasses in the FKNMS are highly seasonal with peaks in early spring and minimum abundance in early fall (</w:t>
      </w:r>
      <w:r w:rsidR="00406C0B">
        <w:t xml:space="preserve">Figure 9, </w:t>
      </w:r>
      <w:r w:rsidR="00DC2955">
        <w:t xml:space="preserve">Fourqurean </w:t>
      </w:r>
      <w:r w:rsidR="00564015">
        <w:rPr>
          <w:szCs w:val="20"/>
        </w:rPr>
        <w:t xml:space="preserve">and </w:t>
      </w:r>
      <w:proofErr w:type="spellStart"/>
      <w:r w:rsidR="00564015">
        <w:rPr>
          <w:szCs w:val="20"/>
        </w:rPr>
        <w:t>Escorcia</w:t>
      </w:r>
      <w:proofErr w:type="spellEnd"/>
      <w:r w:rsidR="00564015">
        <w:rPr>
          <w:szCs w:val="20"/>
        </w:rPr>
        <w:t xml:space="preserve"> </w:t>
      </w:r>
      <w:r w:rsidR="001359EE">
        <w:t>2009, Fourqurean</w:t>
      </w:r>
      <w:r w:rsidR="00296B1A">
        <w:t xml:space="preserve"> </w:t>
      </w:r>
      <w:r w:rsidR="007E2405" w:rsidRPr="007E2405">
        <w:rPr>
          <w:i/>
        </w:rPr>
        <w:t xml:space="preserve">et al. </w:t>
      </w:r>
      <w:r w:rsidR="00F73EFA">
        <w:t>in press</w:t>
      </w:r>
      <w:r w:rsidR="00DC2955">
        <w:t xml:space="preserve">; Lapointe </w:t>
      </w:r>
      <w:r w:rsidR="007E2405" w:rsidRPr="007E2405">
        <w:rPr>
          <w:i/>
        </w:rPr>
        <w:t xml:space="preserve">et al. </w:t>
      </w:r>
      <w:r w:rsidR="00DC2955">
        <w:t>1994)</w:t>
      </w:r>
      <w:r w:rsidR="00375F46">
        <w:t>.</w:t>
      </w:r>
      <w:r>
        <w:t xml:space="preserve">    </w:t>
      </w:r>
    </w:p>
    <w:p w:rsidR="00B653F0" w:rsidRDefault="00B653F0" w:rsidP="00A92004">
      <w:r>
        <w:rPr>
          <w:noProof/>
        </w:rPr>
        <w:drawing>
          <wp:inline distT="0" distB="0" distL="0" distR="0">
            <wp:extent cx="3122083" cy="2226780"/>
            <wp:effectExtent l="19050" t="0" r="2117" b="0"/>
            <wp:docPr id="2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cstate="print"/>
                    <a:srcRect/>
                    <a:stretch>
                      <a:fillRect/>
                    </a:stretch>
                  </pic:blipFill>
                  <pic:spPr bwMode="auto">
                    <a:xfrm>
                      <a:off x="0" y="0"/>
                      <a:ext cx="3123793" cy="2228000"/>
                    </a:xfrm>
                    <a:prstGeom prst="rect">
                      <a:avLst/>
                    </a:prstGeom>
                    <a:noFill/>
                    <a:ln w="9525">
                      <a:noFill/>
                      <a:miter lim="800000"/>
                      <a:headEnd/>
                      <a:tailEnd/>
                    </a:ln>
                  </pic:spPr>
                </pic:pic>
              </a:graphicData>
            </a:graphic>
          </wp:inline>
        </w:drawing>
      </w:r>
    </w:p>
    <w:p w:rsidR="00B653F0" w:rsidRDefault="0061784D" w:rsidP="00A92004">
      <w:proofErr w:type="gramStart"/>
      <w:r w:rsidRPr="00883CE0">
        <w:rPr>
          <w:b/>
        </w:rPr>
        <w:t>Figure</w:t>
      </w:r>
      <w:r w:rsidR="00406C0B">
        <w:rPr>
          <w:b/>
        </w:rPr>
        <w:t xml:space="preserve"> 9</w:t>
      </w:r>
      <w:r w:rsidR="00B653F0" w:rsidRPr="00883CE0">
        <w:rPr>
          <w:b/>
        </w:rPr>
        <w:t>.</w:t>
      </w:r>
      <w:proofErr w:type="gramEnd"/>
      <w:r w:rsidR="00B653F0">
        <w:t xml:space="preserve"> Seasonality of epiphyte load, averaged across all 30 level 1 sites for the period of 2001-2009</w:t>
      </w:r>
      <w:r w:rsidR="00177D7B">
        <w:t xml:space="preserve"> (Fourqurean </w:t>
      </w:r>
      <w:r w:rsidR="007E2405" w:rsidRPr="007E2405">
        <w:rPr>
          <w:i/>
        </w:rPr>
        <w:t xml:space="preserve">et al. </w:t>
      </w:r>
      <w:r w:rsidR="00177D7B">
        <w:t>in press)</w:t>
      </w:r>
    </w:p>
    <w:p w:rsidR="00B653F0" w:rsidRDefault="00B653F0" w:rsidP="00A92004">
      <w:r>
        <w:rPr>
          <w:noProof/>
        </w:rPr>
        <w:lastRenderedPageBreak/>
        <w:drawing>
          <wp:inline distT="0" distB="0" distL="0" distR="0">
            <wp:extent cx="4214283" cy="3611077"/>
            <wp:effectExtent l="19050" t="0" r="0" b="0"/>
            <wp:docPr id="2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4" cstate="print"/>
                    <a:srcRect/>
                    <a:stretch>
                      <a:fillRect/>
                    </a:stretch>
                  </pic:blipFill>
                  <pic:spPr bwMode="auto">
                    <a:xfrm>
                      <a:off x="0" y="0"/>
                      <a:ext cx="4220475" cy="3616383"/>
                    </a:xfrm>
                    <a:prstGeom prst="rect">
                      <a:avLst/>
                    </a:prstGeom>
                    <a:noFill/>
                    <a:ln w="9525">
                      <a:noFill/>
                      <a:miter lim="800000"/>
                      <a:headEnd/>
                      <a:tailEnd/>
                    </a:ln>
                  </pic:spPr>
                </pic:pic>
              </a:graphicData>
            </a:graphic>
          </wp:inline>
        </w:drawing>
      </w:r>
    </w:p>
    <w:p w:rsidR="00B653F0" w:rsidRDefault="0061784D" w:rsidP="009D1F25">
      <w:pPr>
        <w:spacing w:after="120"/>
      </w:pPr>
      <w:proofErr w:type="gramStart"/>
      <w:r w:rsidRPr="00883CE0">
        <w:rPr>
          <w:b/>
        </w:rPr>
        <w:t>Figure</w:t>
      </w:r>
      <w:r w:rsidR="00406C0B">
        <w:rPr>
          <w:b/>
        </w:rPr>
        <w:t xml:space="preserve"> 10</w:t>
      </w:r>
      <w:r w:rsidR="00B653F0" w:rsidRPr="00883CE0">
        <w:rPr>
          <w:b/>
        </w:rPr>
        <w:t>.</w:t>
      </w:r>
      <w:proofErr w:type="gramEnd"/>
      <w:r w:rsidR="00B653F0">
        <w:t xml:space="preserve">  Seagrass epiphyte load was not positively correlated with water column, sediment or seagrass measures of nutrient avai</w:t>
      </w:r>
      <w:r w:rsidR="00177D7B">
        <w:t xml:space="preserve">lability (Fourqurean </w:t>
      </w:r>
      <w:r w:rsidR="007E2405" w:rsidRPr="007E2405">
        <w:rPr>
          <w:i/>
        </w:rPr>
        <w:t xml:space="preserve">et al. </w:t>
      </w:r>
      <w:r w:rsidR="00177D7B">
        <w:t>in press</w:t>
      </w:r>
      <w:r w:rsidR="00B653F0">
        <w:t>).</w:t>
      </w:r>
    </w:p>
    <w:p w:rsidR="00BB47F7" w:rsidRDefault="00BB47F7" w:rsidP="009D1F25">
      <w:pPr>
        <w:spacing w:after="120"/>
      </w:pPr>
      <w:r>
        <w:t>The seagrass beds in the Florida Keys are part of one of the most extensive seagrass beds in the world.  Seagrass monitoring in the FKNMS does not indicate a decrease in abundance of seagrass overall in the sanctuary</w:t>
      </w:r>
      <w:r w:rsidR="00FA3B08">
        <w:t xml:space="preserve"> nor do indicators used in the FKNMS seagrass monitoring program show any significant change in N:P ratios or community composition for 2006-2008 as compared to 1995-2005 conditions</w:t>
      </w:r>
      <w:r>
        <w:t xml:space="preserve"> (Fourqurean and </w:t>
      </w:r>
      <w:proofErr w:type="spellStart"/>
      <w:r>
        <w:t>Escorcia</w:t>
      </w:r>
      <w:proofErr w:type="spellEnd"/>
      <w:r>
        <w:t xml:space="preserve"> 2009).  Increa</w:t>
      </w:r>
      <w:r w:rsidR="00FA3B08">
        <w:t xml:space="preserve">sed macroalgal growth, </w:t>
      </w:r>
      <w:r>
        <w:t>i</w:t>
      </w:r>
      <w:r w:rsidR="00FA3B08">
        <w:t>ndicative of eutrophication, is</w:t>
      </w:r>
      <w:r>
        <w:t xml:space="preserve"> li</w:t>
      </w:r>
      <w:r w:rsidR="00FA3B08">
        <w:t>mited to nearshore areas and is</w:t>
      </w:r>
      <w:r>
        <w:t xml:space="preserve"> correlated with areas that receive increased N loading</w:t>
      </w:r>
      <w:r w:rsidR="00FA3B08">
        <w:t xml:space="preserve"> </w:t>
      </w:r>
      <w:r>
        <w:t>(</w:t>
      </w:r>
      <w:proofErr w:type="spellStart"/>
      <w:r>
        <w:t>Collado</w:t>
      </w:r>
      <w:proofErr w:type="spellEnd"/>
      <w:r>
        <w:t>-Vides et al. 2007).</w:t>
      </w:r>
      <w:r w:rsidR="00FA3B08">
        <w:t xml:space="preserve">      </w:t>
      </w:r>
      <w:r>
        <w:t xml:space="preserve">   </w:t>
      </w:r>
    </w:p>
    <w:p w:rsidR="00F73EFA" w:rsidRPr="002708E9" w:rsidRDefault="002708E9" w:rsidP="009D1F25">
      <w:pPr>
        <w:pStyle w:val="EstuarySubheading"/>
        <w:spacing w:after="120"/>
      </w:pPr>
      <w:bookmarkStart w:id="8" w:name="_Toc263862800"/>
      <w:r>
        <w:t>Coral Reefs</w:t>
      </w:r>
      <w:bookmarkEnd w:id="8"/>
    </w:p>
    <w:p w:rsidR="004C0204" w:rsidRDefault="004C0204" w:rsidP="009D1F25">
      <w:pPr>
        <w:spacing w:after="120"/>
      </w:pPr>
      <w:r>
        <w:t xml:space="preserve">Much of the information in the following section is </w:t>
      </w:r>
      <w:r w:rsidR="001935AC">
        <w:t xml:space="preserve">summarized </w:t>
      </w:r>
      <w:r>
        <w:t>from the State of Coral Reef Ecosystems of the Florida Ke</w:t>
      </w:r>
      <w:r w:rsidR="0016762D">
        <w:t xml:space="preserve">ys report (Donahue </w:t>
      </w:r>
      <w:r w:rsidR="007E2405" w:rsidRPr="007E2405">
        <w:rPr>
          <w:i/>
        </w:rPr>
        <w:t xml:space="preserve">et al. </w:t>
      </w:r>
      <w:r w:rsidR="0016762D">
        <w:t xml:space="preserve">2008) and the 2006 Executive Summary of the Coral Reef Evaluation and Monitoring Project (Callahan </w:t>
      </w:r>
      <w:r w:rsidR="007E2405" w:rsidRPr="007E2405">
        <w:rPr>
          <w:i/>
        </w:rPr>
        <w:t xml:space="preserve">et al. </w:t>
      </w:r>
      <w:r w:rsidR="001935AC">
        <w:t>2007).</w:t>
      </w:r>
      <w:r>
        <w:t xml:space="preserve"> </w:t>
      </w:r>
    </w:p>
    <w:p w:rsidR="0027730B" w:rsidRDefault="004C0204" w:rsidP="009D1F25">
      <w:pPr>
        <w:spacing w:after="120"/>
      </w:pPr>
      <w:r>
        <w:t xml:space="preserve">There have been numerous studies that report loss of coral in recent decades.  </w:t>
      </w:r>
      <w:r w:rsidR="002708E9">
        <w:t xml:space="preserve">For example, </w:t>
      </w:r>
      <w:proofErr w:type="spellStart"/>
      <w:r w:rsidR="0027730B">
        <w:t>Chiap</w:t>
      </w:r>
      <w:r w:rsidR="00F73EFA">
        <w:t>pone</w:t>
      </w:r>
      <w:proofErr w:type="spellEnd"/>
      <w:r w:rsidR="00F73EFA">
        <w:t xml:space="preserve"> and Sullivan (1994) reported</w:t>
      </w:r>
      <w:r w:rsidR="0027730B">
        <w:t xml:space="preserve"> changes observed after 4 years of monitoring, from 1989-1992, at two </w:t>
      </w:r>
      <w:proofErr w:type="spellStart"/>
      <w:r w:rsidR="0027730B">
        <w:t>hardbottom</w:t>
      </w:r>
      <w:proofErr w:type="spellEnd"/>
      <w:r w:rsidR="0027730B">
        <w:t xml:space="preserve"> sites in the Keys.  The Craig Key site (CKS) is located about 100 m offshore on the Atlantic side of Craig Key.  The Fiesta Key site (FKS) is located about 100 m from the shore on the FL Bay side of Fiesta Key.  At each site benthic </w:t>
      </w:r>
      <w:proofErr w:type="spellStart"/>
      <w:r w:rsidR="0027730B">
        <w:t>lifeforms</w:t>
      </w:r>
      <w:proofErr w:type="spellEnd"/>
      <w:r w:rsidR="0027730B">
        <w:t xml:space="preserve"> were estimated visually in 1 m</w:t>
      </w:r>
      <w:r w:rsidR="0027730B" w:rsidRPr="00F73EFA">
        <w:rPr>
          <w:vertAlign w:val="superscript"/>
        </w:rPr>
        <w:t>2</w:t>
      </w:r>
      <w:r w:rsidR="0027730B">
        <w:t xml:space="preserve"> </w:t>
      </w:r>
      <w:proofErr w:type="spellStart"/>
      <w:r w:rsidR="0027730B">
        <w:t>quadrats</w:t>
      </w:r>
      <w:proofErr w:type="spellEnd"/>
      <w:r w:rsidR="0027730B">
        <w:t xml:space="preserve"> and included algae, sponges, </w:t>
      </w:r>
      <w:proofErr w:type="spellStart"/>
      <w:r w:rsidR="0027730B">
        <w:t>octocorals</w:t>
      </w:r>
      <w:proofErr w:type="spellEnd"/>
      <w:r w:rsidR="0027730B">
        <w:t xml:space="preserve">, and stony corals.  During the study period there were reductions in species numbers and abundance at the FKS.  At </w:t>
      </w:r>
      <w:r w:rsidR="002708E9">
        <w:t xml:space="preserve">the </w:t>
      </w:r>
      <w:r w:rsidR="0027730B">
        <w:t xml:space="preserve">CKS there were increases in abundance of sessile benthic invertebrates, with the exception of a loss of coral coverage from 1990-91 from the mortality of </w:t>
      </w:r>
      <w:proofErr w:type="spellStart"/>
      <w:r w:rsidR="0027730B" w:rsidRPr="00F73EFA">
        <w:rPr>
          <w:i/>
        </w:rPr>
        <w:t>Millepora</w:t>
      </w:r>
      <w:proofErr w:type="spellEnd"/>
      <w:r w:rsidR="0027730B" w:rsidRPr="00F73EFA">
        <w:rPr>
          <w:i/>
        </w:rPr>
        <w:t xml:space="preserve"> </w:t>
      </w:r>
      <w:proofErr w:type="spellStart"/>
      <w:r w:rsidR="0027730B" w:rsidRPr="00F73EFA">
        <w:rPr>
          <w:i/>
        </w:rPr>
        <w:t>alcicornis</w:t>
      </w:r>
      <w:proofErr w:type="spellEnd"/>
      <w:r w:rsidR="0027730B">
        <w:t xml:space="preserve"> colonies. </w:t>
      </w:r>
    </w:p>
    <w:p w:rsidR="00E11AB9" w:rsidRDefault="00F73EFA" w:rsidP="009D1F25">
      <w:pPr>
        <w:spacing w:after="120"/>
      </w:pPr>
      <w:r>
        <w:lastRenderedPageBreak/>
        <w:t xml:space="preserve">The Florida Fish and Wildlife Research Institute collects annual data on the status of coral habitats in the Florida reef tract through the Coral Reef Evaluation and Monitoring Project (CREMP) which began monitoring with 40 sites in 1996 and has since expanded to include sites in the Dry Tortugas and along the SE coast (Donahue </w:t>
      </w:r>
      <w:r w:rsidR="007E2405" w:rsidRPr="007E2405">
        <w:rPr>
          <w:i/>
        </w:rPr>
        <w:t xml:space="preserve">et al. </w:t>
      </w:r>
      <w:r>
        <w:t>2008</w:t>
      </w:r>
      <w:r w:rsidR="001374EE">
        <w:t xml:space="preserve">; Callahan </w:t>
      </w:r>
      <w:r w:rsidR="007E2405" w:rsidRPr="007E2405">
        <w:rPr>
          <w:i/>
        </w:rPr>
        <w:t xml:space="preserve">et al. </w:t>
      </w:r>
      <w:r w:rsidR="001374EE">
        <w:t>2007</w:t>
      </w:r>
      <w:r>
        <w:t xml:space="preserve">).  CREMP sites encompass four reef habitat categories: </w:t>
      </w:r>
      <w:proofErr w:type="spellStart"/>
      <w:r>
        <w:t>hardbottom</w:t>
      </w:r>
      <w:proofErr w:type="spellEnd"/>
      <w:r>
        <w:t>, patch reef, and offshore deep and shallow reefs</w:t>
      </w:r>
      <w:r w:rsidR="00E11AB9">
        <w:t xml:space="preserve">.   </w:t>
      </w:r>
      <w:r>
        <w:t>By region, stony coral species richness has declined slightly in the Middle Keys and more significantly in the Upper and Lower Keys since 1996</w:t>
      </w:r>
      <w:r w:rsidR="00E11AB9">
        <w:t xml:space="preserve"> (</w:t>
      </w:r>
      <w:r w:rsidR="0061784D">
        <w:t>Figure</w:t>
      </w:r>
      <w:r w:rsidR="00406C0B">
        <w:t xml:space="preserve"> 11</w:t>
      </w:r>
      <w:r w:rsidR="00677429">
        <w:t xml:space="preserve">; </w:t>
      </w:r>
      <w:r w:rsidR="00E11AB9">
        <w:t xml:space="preserve">Porter </w:t>
      </w:r>
      <w:r w:rsidR="007E2405" w:rsidRPr="007E2405">
        <w:rPr>
          <w:i/>
        </w:rPr>
        <w:t xml:space="preserve">et al. </w:t>
      </w:r>
      <w:r w:rsidR="00E11AB9">
        <w:t>2002)</w:t>
      </w:r>
      <w:r>
        <w:t>.</w:t>
      </w:r>
      <w:r w:rsidR="00E11AB9">
        <w:t xml:space="preserve">  Sanctuary-wide mean percent stony coral cover significantly declined between 1996 and 1999, but cover since 1999 has remained relatively stable</w:t>
      </w:r>
      <w:r w:rsidR="00677429">
        <w:t xml:space="preserve"> (</w:t>
      </w:r>
      <w:r w:rsidR="0061784D">
        <w:t>Figure</w:t>
      </w:r>
      <w:r w:rsidR="00406C0B">
        <w:t xml:space="preserve"> 12</w:t>
      </w:r>
      <w:r w:rsidR="00677429">
        <w:t>)</w:t>
      </w:r>
      <w:r w:rsidR="00E11AB9">
        <w:t xml:space="preserve">. The five most common stony coral species have been </w:t>
      </w:r>
      <w:proofErr w:type="spellStart"/>
      <w:r w:rsidR="00E11AB9" w:rsidRPr="00F73EFA">
        <w:rPr>
          <w:i/>
        </w:rPr>
        <w:t>Monastraea</w:t>
      </w:r>
      <w:proofErr w:type="spellEnd"/>
      <w:r w:rsidR="00E11AB9" w:rsidRPr="00F73EFA">
        <w:rPr>
          <w:i/>
        </w:rPr>
        <w:t xml:space="preserve"> </w:t>
      </w:r>
      <w:proofErr w:type="spellStart"/>
      <w:r w:rsidR="00E11AB9" w:rsidRPr="00F73EFA">
        <w:rPr>
          <w:i/>
        </w:rPr>
        <w:t>annularis</w:t>
      </w:r>
      <w:proofErr w:type="spellEnd"/>
      <w:r w:rsidR="00E11AB9">
        <w:t xml:space="preserve">, </w:t>
      </w:r>
      <w:proofErr w:type="spellStart"/>
      <w:r w:rsidR="00E11AB9" w:rsidRPr="00F73EFA">
        <w:rPr>
          <w:i/>
        </w:rPr>
        <w:t>Montastraea</w:t>
      </w:r>
      <w:proofErr w:type="spellEnd"/>
      <w:r w:rsidR="00E11AB9" w:rsidRPr="00F73EFA">
        <w:rPr>
          <w:i/>
        </w:rPr>
        <w:t xml:space="preserve"> </w:t>
      </w:r>
      <w:proofErr w:type="spellStart"/>
      <w:r w:rsidR="00E11AB9" w:rsidRPr="00F73EFA">
        <w:rPr>
          <w:i/>
        </w:rPr>
        <w:t>cavernosa</w:t>
      </w:r>
      <w:proofErr w:type="spellEnd"/>
      <w:r w:rsidR="00E11AB9">
        <w:t xml:space="preserve">, </w:t>
      </w:r>
      <w:proofErr w:type="spellStart"/>
      <w:r w:rsidR="00E11AB9" w:rsidRPr="00F73EFA">
        <w:rPr>
          <w:i/>
        </w:rPr>
        <w:t>Siderastrea</w:t>
      </w:r>
      <w:proofErr w:type="spellEnd"/>
      <w:r w:rsidR="00E11AB9" w:rsidRPr="00F73EFA">
        <w:rPr>
          <w:i/>
        </w:rPr>
        <w:t xml:space="preserve"> sidereal</w:t>
      </w:r>
      <w:r w:rsidR="00E11AB9">
        <w:t xml:space="preserve">, </w:t>
      </w:r>
      <w:proofErr w:type="spellStart"/>
      <w:r w:rsidR="00E11AB9" w:rsidRPr="00F73EFA">
        <w:rPr>
          <w:i/>
        </w:rPr>
        <w:t>Porites</w:t>
      </w:r>
      <w:proofErr w:type="spellEnd"/>
      <w:r w:rsidR="00E11AB9" w:rsidRPr="00F73EFA">
        <w:rPr>
          <w:i/>
        </w:rPr>
        <w:t xml:space="preserve"> </w:t>
      </w:r>
      <w:proofErr w:type="spellStart"/>
      <w:r w:rsidR="00E11AB9" w:rsidRPr="00F73EFA">
        <w:rPr>
          <w:i/>
        </w:rPr>
        <w:t>astreoides</w:t>
      </w:r>
      <w:proofErr w:type="spellEnd"/>
      <w:r w:rsidR="00E11AB9">
        <w:t xml:space="preserve"> and </w:t>
      </w:r>
      <w:proofErr w:type="spellStart"/>
      <w:r w:rsidR="00E11AB9" w:rsidRPr="00F73EFA">
        <w:rPr>
          <w:i/>
        </w:rPr>
        <w:t>Colpophyllis</w:t>
      </w:r>
      <w:proofErr w:type="spellEnd"/>
      <w:r w:rsidR="00E11AB9" w:rsidRPr="00F73EFA">
        <w:rPr>
          <w:i/>
        </w:rPr>
        <w:t xml:space="preserve"> </w:t>
      </w:r>
      <w:proofErr w:type="spellStart"/>
      <w:r w:rsidR="00E11AB9" w:rsidRPr="00F73EFA">
        <w:rPr>
          <w:i/>
        </w:rPr>
        <w:t>natans</w:t>
      </w:r>
      <w:proofErr w:type="spellEnd"/>
      <w:r w:rsidR="00E11AB9">
        <w:t xml:space="preserve">.  Percent cover of </w:t>
      </w:r>
      <w:r w:rsidR="00E11AB9" w:rsidRPr="00F73EFA">
        <w:rPr>
          <w:i/>
        </w:rPr>
        <w:t xml:space="preserve">M. </w:t>
      </w:r>
      <w:proofErr w:type="spellStart"/>
      <w:r w:rsidR="00E11AB9" w:rsidRPr="00F73EFA">
        <w:rPr>
          <w:i/>
        </w:rPr>
        <w:t>cavernosa</w:t>
      </w:r>
      <w:proofErr w:type="spellEnd"/>
      <w:r w:rsidR="00E11AB9">
        <w:t xml:space="preserve">, </w:t>
      </w:r>
      <w:r w:rsidR="00E11AB9" w:rsidRPr="00F73EFA">
        <w:rPr>
          <w:i/>
        </w:rPr>
        <w:t>S. sidereal</w:t>
      </w:r>
      <w:r w:rsidR="00E11AB9">
        <w:t xml:space="preserve">, </w:t>
      </w:r>
      <w:r w:rsidR="00E11AB9" w:rsidRPr="00F73EFA">
        <w:rPr>
          <w:i/>
        </w:rPr>
        <w:t xml:space="preserve">P. </w:t>
      </w:r>
      <w:proofErr w:type="spellStart"/>
      <w:r w:rsidR="00E11AB9" w:rsidRPr="00F73EFA">
        <w:rPr>
          <w:i/>
        </w:rPr>
        <w:t>astreoides</w:t>
      </w:r>
      <w:proofErr w:type="spellEnd"/>
      <w:r w:rsidR="00E11AB9">
        <w:t xml:space="preserve"> and </w:t>
      </w:r>
      <w:r w:rsidR="00E11AB9" w:rsidRPr="00F73EFA">
        <w:rPr>
          <w:i/>
        </w:rPr>
        <w:t xml:space="preserve">C. </w:t>
      </w:r>
      <w:proofErr w:type="spellStart"/>
      <w:r w:rsidR="00E11AB9" w:rsidRPr="00F73EFA">
        <w:rPr>
          <w:i/>
        </w:rPr>
        <w:t>natans</w:t>
      </w:r>
      <w:proofErr w:type="spellEnd"/>
      <w:r w:rsidR="00E11AB9">
        <w:t xml:space="preserve"> has been stable between 1997 and 2006, but between 1996 and 1999 there were drastic declines of </w:t>
      </w:r>
      <w:proofErr w:type="spellStart"/>
      <w:r w:rsidR="00E11AB9" w:rsidRPr="00F73EFA">
        <w:rPr>
          <w:i/>
        </w:rPr>
        <w:t>Acropora</w:t>
      </w:r>
      <w:proofErr w:type="spellEnd"/>
      <w:r w:rsidR="00E11AB9" w:rsidRPr="00F73EFA">
        <w:rPr>
          <w:i/>
        </w:rPr>
        <w:t xml:space="preserve"> </w:t>
      </w:r>
      <w:proofErr w:type="spellStart"/>
      <w:r w:rsidR="00E11AB9" w:rsidRPr="00F73EFA">
        <w:rPr>
          <w:i/>
        </w:rPr>
        <w:t>palmata</w:t>
      </w:r>
      <w:proofErr w:type="spellEnd"/>
      <w:r w:rsidR="00E11AB9">
        <w:t xml:space="preserve"> and </w:t>
      </w:r>
      <w:proofErr w:type="spellStart"/>
      <w:r w:rsidR="00E11AB9" w:rsidRPr="00F73EFA">
        <w:rPr>
          <w:i/>
        </w:rPr>
        <w:t>Mellepora</w:t>
      </w:r>
      <w:proofErr w:type="spellEnd"/>
      <w:r w:rsidR="00E11AB9" w:rsidRPr="00F73EFA">
        <w:rPr>
          <w:i/>
        </w:rPr>
        <w:t xml:space="preserve"> </w:t>
      </w:r>
      <w:proofErr w:type="spellStart"/>
      <w:r w:rsidR="00E11AB9" w:rsidRPr="00F73EFA">
        <w:rPr>
          <w:i/>
        </w:rPr>
        <w:t>complanata</w:t>
      </w:r>
      <w:proofErr w:type="spellEnd"/>
      <w:r w:rsidR="00E11AB9">
        <w:t xml:space="preserve"> which contributed significantly to the overall decline of mean percent coral cover.  The continued decline of </w:t>
      </w:r>
      <w:r w:rsidR="00E11AB9" w:rsidRPr="00F73EFA">
        <w:rPr>
          <w:i/>
        </w:rPr>
        <w:t xml:space="preserve">M. </w:t>
      </w:r>
      <w:proofErr w:type="spellStart"/>
      <w:r w:rsidR="00E11AB9" w:rsidRPr="00F73EFA">
        <w:rPr>
          <w:i/>
        </w:rPr>
        <w:t>annularis</w:t>
      </w:r>
      <w:proofErr w:type="spellEnd"/>
      <w:r w:rsidR="00E11AB9">
        <w:t xml:space="preserve"> has contributed </w:t>
      </w:r>
      <w:r w:rsidR="00677429">
        <w:t xml:space="preserve">to </w:t>
      </w:r>
      <w:r w:rsidR="00E11AB9">
        <w:t xml:space="preserve">the general decline of stony coral cover since 1999.  </w:t>
      </w:r>
      <w:r>
        <w:t xml:space="preserve">  </w:t>
      </w:r>
    </w:p>
    <w:p w:rsidR="001935AC" w:rsidRDefault="001935AC" w:rsidP="00A92004">
      <w:r>
        <w:rPr>
          <w:noProof/>
        </w:rPr>
        <w:drawing>
          <wp:inline distT="0" distB="0" distL="0" distR="0">
            <wp:extent cx="5010150" cy="3420391"/>
            <wp:effectExtent l="19050" t="0" r="0" b="0"/>
            <wp:docPr id="1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cstate="print"/>
                    <a:srcRect/>
                    <a:stretch>
                      <a:fillRect/>
                    </a:stretch>
                  </pic:blipFill>
                  <pic:spPr bwMode="auto">
                    <a:xfrm>
                      <a:off x="0" y="0"/>
                      <a:ext cx="5015802" cy="3424249"/>
                    </a:xfrm>
                    <a:prstGeom prst="rect">
                      <a:avLst/>
                    </a:prstGeom>
                    <a:noFill/>
                    <a:ln w="9525">
                      <a:noFill/>
                      <a:miter lim="800000"/>
                      <a:headEnd/>
                      <a:tailEnd/>
                    </a:ln>
                  </pic:spPr>
                </pic:pic>
              </a:graphicData>
            </a:graphic>
          </wp:inline>
        </w:drawing>
      </w:r>
    </w:p>
    <w:p w:rsidR="001935AC" w:rsidRDefault="0061784D" w:rsidP="00A92004">
      <w:proofErr w:type="gramStart"/>
      <w:r w:rsidRPr="00883CE0">
        <w:rPr>
          <w:b/>
        </w:rPr>
        <w:t>Figure</w:t>
      </w:r>
      <w:r w:rsidR="001935AC" w:rsidRPr="00883CE0">
        <w:rPr>
          <w:b/>
        </w:rPr>
        <w:t xml:space="preserve"> 1</w:t>
      </w:r>
      <w:r w:rsidR="00406C0B">
        <w:rPr>
          <w:b/>
        </w:rPr>
        <w:t>1</w:t>
      </w:r>
      <w:r w:rsidR="001935AC" w:rsidRPr="00883CE0">
        <w:rPr>
          <w:b/>
        </w:rPr>
        <w:t>.</w:t>
      </w:r>
      <w:proofErr w:type="gramEnd"/>
      <w:r w:rsidR="001935AC">
        <w:t xml:space="preserve"> Mean percent stony coral cover for Upper, Middle, and Lower Keys stations (Callahan </w:t>
      </w:r>
      <w:r w:rsidR="007E2405" w:rsidRPr="007E2405">
        <w:rPr>
          <w:i/>
        </w:rPr>
        <w:t xml:space="preserve">et al. </w:t>
      </w:r>
      <w:r w:rsidR="001935AC">
        <w:t>2007).</w:t>
      </w:r>
    </w:p>
    <w:p w:rsidR="00677429" w:rsidRDefault="00677429" w:rsidP="00A92004">
      <w:r>
        <w:rPr>
          <w:noProof/>
        </w:rPr>
        <w:lastRenderedPageBreak/>
        <w:drawing>
          <wp:inline distT="0" distB="0" distL="0" distR="0">
            <wp:extent cx="5211318" cy="3072175"/>
            <wp:effectExtent l="19050" t="0" r="8382" b="0"/>
            <wp:docPr id="2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cstate="print"/>
                    <a:srcRect/>
                    <a:stretch>
                      <a:fillRect/>
                    </a:stretch>
                  </pic:blipFill>
                  <pic:spPr bwMode="auto">
                    <a:xfrm>
                      <a:off x="0" y="0"/>
                      <a:ext cx="5207059" cy="3069664"/>
                    </a:xfrm>
                    <a:prstGeom prst="rect">
                      <a:avLst/>
                    </a:prstGeom>
                    <a:noFill/>
                    <a:ln w="9525">
                      <a:noFill/>
                      <a:miter lim="800000"/>
                      <a:headEnd/>
                      <a:tailEnd/>
                    </a:ln>
                  </pic:spPr>
                </pic:pic>
              </a:graphicData>
            </a:graphic>
          </wp:inline>
        </w:drawing>
      </w:r>
    </w:p>
    <w:p w:rsidR="00677429" w:rsidRDefault="0061784D" w:rsidP="00A92004">
      <w:proofErr w:type="gramStart"/>
      <w:r w:rsidRPr="00883CE0">
        <w:rPr>
          <w:b/>
        </w:rPr>
        <w:t>Figure</w:t>
      </w:r>
      <w:r w:rsidR="00406C0B">
        <w:rPr>
          <w:b/>
        </w:rPr>
        <w:t xml:space="preserve"> 12</w:t>
      </w:r>
      <w:r w:rsidR="00677429" w:rsidRPr="00883CE0">
        <w:rPr>
          <w:b/>
        </w:rPr>
        <w:t>.</w:t>
      </w:r>
      <w:proofErr w:type="gramEnd"/>
      <w:r w:rsidR="00677429">
        <w:t xml:space="preserve"> </w:t>
      </w:r>
      <w:proofErr w:type="gramStart"/>
      <w:r w:rsidR="00677429">
        <w:t>Sanctuary wide mean</w:t>
      </w:r>
      <w:proofErr w:type="gramEnd"/>
      <w:r w:rsidR="00677429">
        <w:t xml:space="preserve"> percent cover of major biotic functional groups at CREMP stations (Callahan </w:t>
      </w:r>
      <w:r w:rsidR="007E2405" w:rsidRPr="007E2405">
        <w:rPr>
          <w:i/>
        </w:rPr>
        <w:t xml:space="preserve">et al. </w:t>
      </w:r>
      <w:r w:rsidR="00677429">
        <w:t>2007).</w:t>
      </w:r>
    </w:p>
    <w:p w:rsidR="00F73EFA" w:rsidRDefault="00F73EFA" w:rsidP="009D1F25">
      <w:pPr>
        <w:spacing w:after="120"/>
      </w:pPr>
      <w:r>
        <w:t>The incidence of black band disease peaked in 1998 and has never been recorded at more than 10 stations since then</w:t>
      </w:r>
      <w:r w:rsidR="00677429">
        <w:t xml:space="preserve"> (</w:t>
      </w:r>
      <w:r w:rsidR="0061784D">
        <w:t>Figure</w:t>
      </w:r>
      <w:r w:rsidR="00406C0B">
        <w:t xml:space="preserve"> 13</w:t>
      </w:r>
      <w:r w:rsidR="00677429">
        <w:t>)</w:t>
      </w:r>
      <w:r>
        <w:t xml:space="preserve">.  White diseases and “other” disease conditions have generally declined, although there were peaks in 1998-1999 and 2001-2002.  Observations of the long </w:t>
      </w:r>
      <w:proofErr w:type="spellStart"/>
      <w:r>
        <w:t>spined</w:t>
      </w:r>
      <w:proofErr w:type="spellEnd"/>
      <w:r>
        <w:t xml:space="preserve"> sea urchin (</w:t>
      </w:r>
      <w:proofErr w:type="spellStart"/>
      <w:r w:rsidRPr="00F73EFA">
        <w:rPr>
          <w:i/>
        </w:rPr>
        <w:t>Diadema</w:t>
      </w:r>
      <w:proofErr w:type="spellEnd"/>
      <w:r w:rsidRPr="00F73EFA">
        <w:rPr>
          <w:i/>
        </w:rPr>
        <w:t xml:space="preserve"> </w:t>
      </w:r>
      <w:proofErr w:type="spellStart"/>
      <w:r w:rsidRPr="00F73EFA">
        <w:rPr>
          <w:i/>
        </w:rPr>
        <w:t>antillarum</w:t>
      </w:r>
      <w:proofErr w:type="spellEnd"/>
      <w:r>
        <w:t xml:space="preserve">) have fluctuated with highs reported in 2002 and 2005 and a general increasing trend since 1996.  There are three species of </w:t>
      </w:r>
      <w:proofErr w:type="spellStart"/>
      <w:r>
        <w:t>clionid</w:t>
      </w:r>
      <w:proofErr w:type="spellEnd"/>
      <w:r>
        <w:t xml:space="preserve"> sponges (</w:t>
      </w:r>
      <w:proofErr w:type="spellStart"/>
      <w:r w:rsidRPr="00F73EFA">
        <w:rPr>
          <w:i/>
        </w:rPr>
        <w:t>Cliona</w:t>
      </w:r>
      <w:proofErr w:type="spellEnd"/>
      <w:r w:rsidRPr="00F73EFA">
        <w:rPr>
          <w:i/>
        </w:rPr>
        <w:t xml:space="preserve"> </w:t>
      </w:r>
      <w:proofErr w:type="spellStart"/>
      <w:r w:rsidRPr="00F73EFA">
        <w:rPr>
          <w:i/>
        </w:rPr>
        <w:t>delitrix</w:t>
      </w:r>
      <w:proofErr w:type="spellEnd"/>
      <w:r>
        <w:t xml:space="preserve">, </w:t>
      </w:r>
      <w:r w:rsidRPr="00F73EFA">
        <w:rPr>
          <w:i/>
        </w:rPr>
        <w:t xml:space="preserve">C. </w:t>
      </w:r>
      <w:proofErr w:type="spellStart"/>
      <w:r w:rsidRPr="00F73EFA">
        <w:rPr>
          <w:i/>
        </w:rPr>
        <w:t>lampa</w:t>
      </w:r>
      <w:proofErr w:type="spellEnd"/>
      <w:r>
        <w:t xml:space="preserve">, and </w:t>
      </w:r>
      <w:r w:rsidRPr="00F73EFA">
        <w:rPr>
          <w:i/>
        </w:rPr>
        <w:t xml:space="preserve">C. </w:t>
      </w:r>
      <w:proofErr w:type="spellStart"/>
      <w:r w:rsidRPr="00F73EFA">
        <w:rPr>
          <w:i/>
        </w:rPr>
        <w:t>caribbaea</w:t>
      </w:r>
      <w:proofErr w:type="spellEnd"/>
      <w:r>
        <w:t xml:space="preserve">) monitored by CREMP.  By habitat, </w:t>
      </w:r>
      <w:proofErr w:type="spellStart"/>
      <w:r>
        <w:t>clionid</w:t>
      </w:r>
      <w:proofErr w:type="spellEnd"/>
      <w:r>
        <w:t xml:space="preserve"> area increased between 2002 and 2006 a</w:t>
      </w:r>
      <w:r w:rsidR="002708E9">
        <w:t xml:space="preserve">t </w:t>
      </w:r>
      <w:proofErr w:type="spellStart"/>
      <w:r w:rsidR="002708E9">
        <w:t>hardbottom</w:t>
      </w:r>
      <w:proofErr w:type="spellEnd"/>
      <w:r w:rsidR="002708E9">
        <w:t xml:space="preserve"> sites.  At shallow</w:t>
      </w:r>
      <w:r>
        <w:t xml:space="preserve">, offshore and patch reef sites the populations have had minor fluctuations in mean </w:t>
      </w:r>
      <w:proofErr w:type="spellStart"/>
      <w:r>
        <w:t>clionid</w:t>
      </w:r>
      <w:proofErr w:type="spellEnd"/>
      <w:r>
        <w:t xml:space="preserve"> area through time.  In general the patch reef sites have had higher </w:t>
      </w:r>
      <w:proofErr w:type="spellStart"/>
      <w:r>
        <w:t>clionid</w:t>
      </w:r>
      <w:proofErr w:type="spellEnd"/>
      <w:r>
        <w:t xml:space="preserve"> area than shallow or deep reef sites.  </w:t>
      </w:r>
    </w:p>
    <w:p w:rsidR="001935AC" w:rsidRDefault="001935AC" w:rsidP="00A92004">
      <w:r>
        <w:rPr>
          <w:noProof/>
        </w:rPr>
        <w:lastRenderedPageBreak/>
        <w:drawing>
          <wp:inline distT="0" distB="0" distL="0" distR="0">
            <wp:extent cx="5630545" cy="3344545"/>
            <wp:effectExtent l="19050" t="0" r="8255" b="0"/>
            <wp:docPr id="1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cstate="print"/>
                    <a:srcRect/>
                    <a:stretch>
                      <a:fillRect/>
                    </a:stretch>
                  </pic:blipFill>
                  <pic:spPr bwMode="auto">
                    <a:xfrm>
                      <a:off x="0" y="0"/>
                      <a:ext cx="5630545" cy="3344545"/>
                    </a:xfrm>
                    <a:prstGeom prst="rect">
                      <a:avLst/>
                    </a:prstGeom>
                    <a:noFill/>
                    <a:ln w="9525">
                      <a:noFill/>
                      <a:miter lim="800000"/>
                      <a:headEnd/>
                      <a:tailEnd/>
                    </a:ln>
                  </pic:spPr>
                </pic:pic>
              </a:graphicData>
            </a:graphic>
          </wp:inline>
        </w:drawing>
      </w:r>
    </w:p>
    <w:p w:rsidR="001935AC" w:rsidRDefault="0061784D" w:rsidP="009D1F25">
      <w:pPr>
        <w:spacing w:after="120"/>
      </w:pPr>
      <w:proofErr w:type="gramStart"/>
      <w:r w:rsidRPr="00883CE0">
        <w:rPr>
          <w:b/>
        </w:rPr>
        <w:t>Figure</w:t>
      </w:r>
      <w:r w:rsidR="00406C0B">
        <w:rPr>
          <w:b/>
        </w:rPr>
        <w:t xml:space="preserve"> 13</w:t>
      </w:r>
      <w:r w:rsidR="001935AC" w:rsidRPr="00883CE0">
        <w:rPr>
          <w:b/>
        </w:rPr>
        <w:t>.</w:t>
      </w:r>
      <w:proofErr w:type="gramEnd"/>
      <w:r w:rsidR="001935AC">
        <w:t xml:space="preserve"> Number of stations with stony coral disease recorded (Callahan </w:t>
      </w:r>
      <w:r w:rsidR="007E2405" w:rsidRPr="007E2405">
        <w:rPr>
          <w:i/>
        </w:rPr>
        <w:t xml:space="preserve">et al. </w:t>
      </w:r>
      <w:r w:rsidR="001935AC">
        <w:t>2007).</w:t>
      </w:r>
    </w:p>
    <w:p w:rsidR="0027730B" w:rsidRDefault="0027730B" w:rsidP="009D1F25">
      <w:pPr>
        <w:spacing w:after="120"/>
      </w:pPr>
      <w:r w:rsidRPr="00F73EFA">
        <w:t xml:space="preserve">Swart </w:t>
      </w:r>
      <w:r w:rsidR="007E2405" w:rsidRPr="007E2405">
        <w:rPr>
          <w:i/>
        </w:rPr>
        <w:t xml:space="preserve">et al. </w:t>
      </w:r>
      <w:r w:rsidR="00F73EFA" w:rsidRPr="00F73EFA">
        <w:t>(</w:t>
      </w:r>
      <w:r w:rsidRPr="00F73EFA">
        <w:t>2005</w:t>
      </w:r>
      <w:r w:rsidR="00F73EFA" w:rsidRPr="00F73EFA">
        <w:t>)</w:t>
      </w:r>
      <w:r w:rsidR="00F73EFA">
        <w:t xml:space="preserve"> </w:t>
      </w:r>
      <w:r>
        <w:t xml:space="preserve">reported temporal and spatial variability in </w:t>
      </w:r>
      <w:r w:rsidRPr="00F73EFA">
        <w:rPr>
          <w:rFonts w:cs="Times New Roman"/>
        </w:rPr>
        <w:t>δ</w:t>
      </w:r>
      <w:r w:rsidRPr="00F73EFA">
        <w:rPr>
          <w:rFonts w:cs="Times New Roman"/>
          <w:vertAlign w:val="superscript"/>
        </w:rPr>
        <w:t>13</w:t>
      </w:r>
      <w:r w:rsidRPr="00F73EFA">
        <w:rPr>
          <w:rFonts w:cs="Times New Roman"/>
        </w:rPr>
        <w:t>C and δ</w:t>
      </w:r>
      <w:r w:rsidRPr="00F73EFA">
        <w:rPr>
          <w:rFonts w:cs="Times New Roman"/>
          <w:vertAlign w:val="superscript"/>
        </w:rPr>
        <w:t>15</w:t>
      </w:r>
      <w:r w:rsidRPr="00F73EFA">
        <w:rPr>
          <w:rFonts w:cs="Times New Roman"/>
        </w:rPr>
        <w:t xml:space="preserve">N of the tissues and </w:t>
      </w:r>
      <w:proofErr w:type="spellStart"/>
      <w:r w:rsidRPr="00F73EFA">
        <w:rPr>
          <w:rFonts w:cs="Times New Roman"/>
        </w:rPr>
        <w:t>zooxanthellae</w:t>
      </w:r>
      <w:proofErr w:type="spellEnd"/>
      <w:r w:rsidRPr="00F73EFA">
        <w:rPr>
          <w:rFonts w:cs="Times New Roman"/>
        </w:rPr>
        <w:t xml:space="preserve"> of corals from nearshore and offshore reefs over a 2 year period from 1995-1996.  There were no significant seasonal variations in the δ</w:t>
      </w:r>
      <w:r w:rsidRPr="00F73EFA">
        <w:rPr>
          <w:rFonts w:cs="Times New Roman"/>
          <w:vertAlign w:val="superscript"/>
        </w:rPr>
        <w:t>15</w:t>
      </w:r>
      <w:r w:rsidRPr="00F73EFA">
        <w:rPr>
          <w:rFonts w:cs="Times New Roman"/>
        </w:rPr>
        <w:t xml:space="preserve">N of coral or </w:t>
      </w:r>
      <w:proofErr w:type="spellStart"/>
      <w:r w:rsidRPr="00F73EFA">
        <w:rPr>
          <w:rFonts w:cs="Times New Roman"/>
        </w:rPr>
        <w:t>zooxanthellae</w:t>
      </w:r>
      <w:proofErr w:type="spellEnd"/>
      <w:r w:rsidRPr="00F73EFA">
        <w:rPr>
          <w:rFonts w:cs="Times New Roman"/>
        </w:rPr>
        <w:t xml:space="preserve"> at any of the sites, but there was a significant decrease in δ</w:t>
      </w:r>
      <w:r w:rsidRPr="00F73EFA">
        <w:rPr>
          <w:rFonts w:cs="Times New Roman"/>
          <w:vertAlign w:val="superscript"/>
        </w:rPr>
        <w:t>15</w:t>
      </w:r>
      <w:r w:rsidRPr="00F73EFA">
        <w:rPr>
          <w:rFonts w:cs="Times New Roman"/>
        </w:rPr>
        <w:t xml:space="preserve">N over the course of the study.  The decrease was greater in the </w:t>
      </w:r>
      <w:proofErr w:type="spellStart"/>
      <w:r w:rsidRPr="00F73EFA">
        <w:rPr>
          <w:rFonts w:cs="Times New Roman"/>
        </w:rPr>
        <w:t>zooxanthellae</w:t>
      </w:r>
      <w:proofErr w:type="spellEnd"/>
      <w:r w:rsidRPr="00F73EFA">
        <w:rPr>
          <w:rFonts w:cs="Times New Roman"/>
        </w:rPr>
        <w:t xml:space="preserve"> than the coral tissue and correlated with a decrease in the concentration of NH</w:t>
      </w:r>
      <w:r w:rsidRPr="00F73EFA">
        <w:rPr>
          <w:rFonts w:cs="Times New Roman"/>
          <w:vertAlign w:val="subscript"/>
        </w:rPr>
        <w:t>4</w:t>
      </w:r>
      <w:r w:rsidRPr="00F73EFA">
        <w:rPr>
          <w:rFonts w:cs="Times New Roman"/>
          <w:vertAlign w:val="superscript"/>
        </w:rPr>
        <w:t>+</w:t>
      </w:r>
      <w:r w:rsidRPr="00F73EFA">
        <w:rPr>
          <w:rFonts w:cs="Times New Roman"/>
        </w:rPr>
        <w:t xml:space="preserve"> and NO</w:t>
      </w:r>
      <w:r w:rsidRPr="00F73EFA">
        <w:rPr>
          <w:rFonts w:cs="Times New Roman"/>
          <w:vertAlign w:val="subscript"/>
        </w:rPr>
        <w:t>2</w:t>
      </w:r>
      <w:r w:rsidRPr="00F73EFA">
        <w:rPr>
          <w:rFonts w:cs="Times New Roman"/>
          <w:vertAlign w:val="superscript"/>
        </w:rPr>
        <w:t>-</w:t>
      </w:r>
      <w:r w:rsidRPr="00F73EFA">
        <w:rPr>
          <w:rFonts w:cs="Times New Roman"/>
        </w:rPr>
        <w:t xml:space="preserve"> in the water column.  The δ</w:t>
      </w:r>
      <w:r w:rsidRPr="00F73EFA">
        <w:rPr>
          <w:rFonts w:cs="Times New Roman"/>
          <w:vertAlign w:val="superscript"/>
        </w:rPr>
        <w:t>13</w:t>
      </w:r>
      <w:r w:rsidRPr="00F73EFA">
        <w:rPr>
          <w:rFonts w:cs="Times New Roman"/>
        </w:rPr>
        <w:t>C values of the coral tissues did show seasonal patterns at some, but not all, sites.  The authors note that in the literature there is a discrepancy in interpretation of δ</w:t>
      </w:r>
      <w:r w:rsidRPr="00F73EFA">
        <w:rPr>
          <w:rFonts w:cs="Times New Roman"/>
          <w:vertAlign w:val="superscript"/>
        </w:rPr>
        <w:t>15</w:t>
      </w:r>
      <w:r w:rsidRPr="00F73EFA">
        <w:rPr>
          <w:rFonts w:cs="Times New Roman"/>
        </w:rPr>
        <w:t>N values in marine organisms.  In this study, there was no difference in δ</w:t>
      </w:r>
      <w:r w:rsidRPr="00F73EFA">
        <w:rPr>
          <w:rFonts w:cs="Times New Roman"/>
          <w:vertAlign w:val="superscript"/>
        </w:rPr>
        <w:t>15</w:t>
      </w:r>
      <w:r w:rsidRPr="00F73EFA">
        <w:rPr>
          <w:rFonts w:cs="Times New Roman"/>
        </w:rPr>
        <w:t xml:space="preserve">N in coral tissues and </w:t>
      </w:r>
      <w:proofErr w:type="spellStart"/>
      <w:r w:rsidRPr="00F73EFA">
        <w:rPr>
          <w:rFonts w:cs="Times New Roman"/>
        </w:rPr>
        <w:t>zooxanthellae</w:t>
      </w:r>
      <w:proofErr w:type="spellEnd"/>
      <w:r w:rsidRPr="00F73EFA">
        <w:rPr>
          <w:rFonts w:cs="Times New Roman"/>
        </w:rPr>
        <w:t xml:space="preserve"> from nearshore and offshore environments.  Assuming that the δ</w:t>
      </w:r>
      <w:r w:rsidRPr="00F73EFA">
        <w:rPr>
          <w:rFonts w:cs="Times New Roman"/>
          <w:vertAlign w:val="superscript"/>
        </w:rPr>
        <w:t>15</w:t>
      </w:r>
      <w:r w:rsidRPr="00F73EFA">
        <w:rPr>
          <w:rFonts w:cs="Times New Roman"/>
        </w:rPr>
        <w:t>N can be considered an indicator of anthropogenic influence, these results suggest that the FL reefs are not affected by anthropogenic N.  Similar to the N results, they also found no differences in δ</w:t>
      </w:r>
      <w:r w:rsidRPr="00F73EFA">
        <w:rPr>
          <w:rFonts w:cs="Times New Roman"/>
          <w:vertAlign w:val="superscript"/>
        </w:rPr>
        <w:t>13</w:t>
      </w:r>
      <w:r w:rsidRPr="00F73EFA">
        <w:rPr>
          <w:rFonts w:cs="Times New Roman"/>
        </w:rPr>
        <w:t>C between the inner and outer reefs.</w:t>
      </w:r>
    </w:p>
    <w:p w:rsidR="0027730B" w:rsidRDefault="0027730B" w:rsidP="009D1F25">
      <w:pPr>
        <w:spacing w:after="120"/>
      </w:pPr>
      <w:r>
        <w:t xml:space="preserve">Furman and Heck (2008) tested the single and interactive effects of the urchin </w:t>
      </w:r>
      <w:proofErr w:type="spellStart"/>
      <w:r w:rsidRPr="00F73EFA">
        <w:rPr>
          <w:i/>
        </w:rPr>
        <w:t>Diadema</w:t>
      </w:r>
      <w:proofErr w:type="spellEnd"/>
      <w:r w:rsidRPr="00F73EFA">
        <w:rPr>
          <w:i/>
        </w:rPr>
        <w:t xml:space="preserve"> </w:t>
      </w:r>
      <w:proofErr w:type="spellStart"/>
      <w:r w:rsidRPr="00F73EFA">
        <w:rPr>
          <w:i/>
        </w:rPr>
        <w:t>antillarum</w:t>
      </w:r>
      <w:proofErr w:type="spellEnd"/>
      <w:r>
        <w:t xml:space="preserve"> grazing and nutrient enrichment on macroalgal community dynamics at a site in the FKNMS in the lower FL Keys in the summer of 2004.  The objective of their study was to assess the relative importance of top-down and bottom-up processes in controlling macroalgal recruitment in a sub-tropical coral reef system.  Although algal succession differed from what had been expected, the results demonstrated the important role of </w:t>
      </w:r>
      <w:proofErr w:type="spellStart"/>
      <w:r>
        <w:t>herbivory</w:t>
      </w:r>
      <w:proofErr w:type="spellEnd"/>
      <w:r>
        <w:t xml:space="preserve"> in controlling benthic primary production, especially related to nutrient enrichment.  Results of fish counts and grazing assays suggested that piscine grazing was dominant as opposed to the expected echinoderm grazing.  Total fish abundance and herbivore density was consistently greater at enriched plots and likely kept down development of the algal communities.</w:t>
      </w:r>
    </w:p>
    <w:p w:rsidR="00E0131D" w:rsidRDefault="00E0131D" w:rsidP="009D1F25">
      <w:pPr>
        <w:spacing w:after="120"/>
      </w:pPr>
      <w:r>
        <w:t>Nutrient enrichment is considered to be one of several factors contributing to coral declines.</w:t>
      </w:r>
      <w:r w:rsidR="00C3262F">
        <w:t xml:space="preserve">  </w:t>
      </w:r>
      <w:r w:rsidR="00D63906">
        <w:t>I</w:t>
      </w:r>
      <w:r w:rsidR="00C3262F">
        <w:t>n an evaluation of whether proximity to shore and connections to coastal bays</w:t>
      </w:r>
      <w:r>
        <w:t xml:space="preserve"> </w:t>
      </w:r>
      <w:r w:rsidR="00C3262F">
        <w:t xml:space="preserve">(two measures of potential </w:t>
      </w:r>
      <w:r w:rsidR="00C3262F">
        <w:lastRenderedPageBreak/>
        <w:t xml:space="preserve">land-based sources of disturbance) influence coral community and population structure and the abundance, distribution, and condition of corals within the Florida Reef Tract, </w:t>
      </w:r>
      <w:proofErr w:type="spellStart"/>
      <w:r w:rsidR="00C3262F">
        <w:t>Lirman</w:t>
      </w:r>
      <w:proofErr w:type="spellEnd"/>
      <w:r w:rsidR="00C3262F">
        <w:t xml:space="preserve"> and Fong (2007) found that spatial patterns in coral indicators do not appear to be directly related to water quality gradients influenced by land-based sources of disturbance.</w:t>
      </w:r>
      <w:r w:rsidR="00D63906">
        <w:t xml:space="preserve">  </w:t>
      </w:r>
      <w:proofErr w:type="spellStart"/>
      <w:r w:rsidR="00941DF5">
        <w:t>Szmant</w:t>
      </w:r>
      <w:proofErr w:type="spellEnd"/>
      <w:r w:rsidR="00941DF5">
        <w:t xml:space="preserve"> (2002) evaluated reports based on the supporting evidence for nutrient enrichment and other factors that could simultaneously affect coral reefs.  She proposes that many factors other than nutrient enrichment, which include</w:t>
      </w:r>
      <w:r w:rsidR="001378FB">
        <w:t xml:space="preserve"> decreased abundance of grazing fishes by fishing and of grazing urchins by disease, grazing preferences of remaining grazers, lethal temperature stress, sedimentation, coral diseases, and outbreaks of coral predators and sea urchins (possibly as secondary effects of over fishing)</w:t>
      </w:r>
      <w:r w:rsidR="00941DF5">
        <w:t xml:space="preserve"> can all be significant causes of coral death and also cause changes in algal cover.</w:t>
      </w:r>
      <w:r w:rsidR="00C3262F">
        <w:t xml:space="preserve"> </w:t>
      </w:r>
      <w:r w:rsidR="00941DF5">
        <w:t xml:space="preserve"> In the Florida Keys, </w:t>
      </w:r>
      <w:proofErr w:type="spellStart"/>
      <w:r w:rsidR="00941DF5">
        <w:t>Szmant</w:t>
      </w:r>
      <w:proofErr w:type="spellEnd"/>
      <w:r w:rsidR="00941DF5">
        <w:t xml:space="preserve"> (2002) found no reports to indicate that there is a clear connection between present water quality conditions and coral health that explain the declines in the reefs.  In fact, </w:t>
      </w:r>
      <w:r w:rsidR="005F2C1B">
        <w:t xml:space="preserve">higher algal cover and </w:t>
      </w:r>
      <w:r w:rsidR="00941DF5">
        <w:t xml:space="preserve">lower </w:t>
      </w:r>
      <w:r w:rsidR="005F2C1B">
        <w:t>adult coral cover and recruitment</w:t>
      </w:r>
      <w:r w:rsidR="00941DF5">
        <w:t xml:space="preserve"> </w:t>
      </w:r>
      <w:r w:rsidR="005F2C1B">
        <w:t>has been observed on outer reefs than on reefs closer to shore which are closer to sources of land-based nutrients, temperature stress, and sedimentation (</w:t>
      </w:r>
      <w:proofErr w:type="spellStart"/>
      <w:r w:rsidR="005F2C1B">
        <w:t>Chiappone</w:t>
      </w:r>
      <w:proofErr w:type="spellEnd"/>
      <w:r w:rsidR="005F2C1B">
        <w:t xml:space="preserve"> 1996 and Miller </w:t>
      </w:r>
      <w:r w:rsidR="007E2405" w:rsidRPr="007E2405">
        <w:rPr>
          <w:i/>
        </w:rPr>
        <w:t xml:space="preserve">et al. </w:t>
      </w:r>
      <w:r w:rsidR="005F2C1B">
        <w:t>2000</w:t>
      </w:r>
      <w:r>
        <w:t xml:space="preserve"> </w:t>
      </w:r>
      <w:r w:rsidR="005F2C1B">
        <w:t xml:space="preserve">in </w:t>
      </w:r>
      <w:proofErr w:type="spellStart"/>
      <w:r w:rsidR="005F2C1B">
        <w:t>Szmant</w:t>
      </w:r>
      <w:proofErr w:type="spellEnd"/>
      <w:r w:rsidR="005F2C1B">
        <w:t xml:space="preserve"> 2002).</w:t>
      </w:r>
    </w:p>
    <w:p w:rsidR="0027730B" w:rsidRDefault="002708E9" w:rsidP="009D1F25">
      <w:pPr>
        <w:pStyle w:val="EstuarySubheading"/>
        <w:spacing w:after="120"/>
      </w:pPr>
      <w:bookmarkStart w:id="9" w:name="_Toc263862801"/>
      <w:r w:rsidRPr="00B17EB1">
        <w:t>Mangroves</w:t>
      </w:r>
      <w:bookmarkEnd w:id="9"/>
      <w:r w:rsidR="0027730B">
        <w:t xml:space="preserve"> </w:t>
      </w:r>
    </w:p>
    <w:p w:rsidR="002708E9" w:rsidRDefault="0031476E" w:rsidP="009D1F25">
      <w:pPr>
        <w:spacing w:after="120"/>
      </w:pPr>
      <w:r>
        <w:t>Mangrove forests provide valuable habitat for a wide range of invertebrates, fishes, amphibians, reptiles, birds, and mammals in Florida (</w:t>
      </w:r>
      <w:proofErr w:type="spellStart"/>
      <w:r>
        <w:t>Odum</w:t>
      </w:r>
      <w:proofErr w:type="spellEnd"/>
      <w:r>
        <w:t xml:space="preserve"> and McIvor 1990).  Mangrove islands in the Florida Keys are classifies as fringing forests which are flushed by tidal waters but do not generally receive as much runoff of nutrients as more terrestrial forests (</w:t>
      </w:r>
      <w:proofErr w:type="spellStart"/>
      <w:r>
        <w:t>Odum</w:t>
      </w:r>
      <w:proofErr w:type="spellEnd"/>
      <w:r>
        <w:t xml:space="preserve"> and McIvor 1990).  </w:t>
      </w:r>
    </w:p>
    <w:p w:rsidR="0027730B" w:rsidRPr="002708E9" w:rsidRDefault="002A4651" w:rsidP="009D1F25">
      <w:pPr>
        <w:pStyle w:val="EstuarySubheading"/>
        <w:spacing w:after="120"/>
      </w:pPr>
      <w:bookmarkStart w:id="10" w:name="_Toc263862802"/>
      <w:r>
        <w:t>Additional</w:t>
      </w:r>
      <w:r w:rsidR="002708E9">
        <w:t xml:space="preserve"> Biological Resources</w:t>
      </w:r>
      <w:bookmarkEnd w:id="10"/>
    </w:p>
    <w:p w:rsidR="00470719" w:rsidRDefault="0027730B" w:rsidP="009D1F25">
      <w:pPr>
        <w:spacing w:after="120"/>
      </w:pPr>
      <w:r>
        <w:t>There are recreational, commercial, and “</w:t>
      </w:r>
      <w:proofErr w:type="spellStart"/>
      <w:r>
        <w:t>headboat</w:t>
      </w:r>
      <w:proofErr w:type="spellEnd"/>
      <w:r>
        <w:t xml:space="preserve">” fisheries in the Florida Keys with fishers including both residents and visitors (Donahue </w:t>
      </w:r>
      <w:r w:rsidR="007E2405" w:rsidRPr="007E2405">
        <w:rPr>
          <w:i/>
        </w:rPr>
        <w:t xml:space="preserve">et al. </w:t>
      </w:r>
      <w:r>
        <w:t xml:space="preserve">2008).  </w:t>
      </w:r>
      <w:r w:rsidR="00E11AB9">
        <w:t xml:space="preserve"> </w:t>
      </w:r>
      <w:r w:rsidR="00E0131D">
        <w:t xml:space="preserve">The Keys have been heavily fished and pressure has increased because of greater fishing power per vessel and a much larger recreational fishery (Ault </w:t>
      </w:r>
      <w:r w:rsidR="007E2405" w:rsidRPr="007E2405">
        <w:rPr>
          <w:i/>
        </w:rPr>
        <w:t xml:space="preserve">et al. </w:t>
      </w:r>
      <w:r w:rsidR="00E0131D">
        <w:t>1997).  Estimated fishery exploitation rates suggest that many of the FL Keys reef fish stocks are overfished according to definitions for U.S. fisheries and results show the classic pattern of serial overfishing where more vulnerable species are progressively depleted.  The data also suggests that there may have been changes in the composition of the biomass and abundance of the reef fish community over the past several decades.</w:t>
      </w:r>
      <w:r w:rsidR="00470719" w:rsidRPr="00470719">
        <w:t xml:space="preserve"> </w:t>
      </w:r>
      <w:r w:rsidR="00470719">
        <w:t>In 1985 fisheries for conch</w:t>
      </w:r>
      <w:r w:rsidR="002A4651">
        <w:t xml:space="preserve"> (</w:t>
      </w:r>
      <w:proofErr w:type="spellStart"/>
      <w:r w:rsidR="002A4651" w:rsidRPr="002A4651">
        <w:rPr>
          <w:i/>
        </w:rPr>
        <w:t>Strombas</w:t>
      </w:r>
      <w:proofErr w:type="spellEnd"/>
      <w:r w:rsidR="002A4651" w:rsidRPr="002A4651">
        <w:rPr>
          <w:i/>
        </w:rPr>
        <w:t xml:space="preserve"> </w:t>
      </w:r>
      <w:proofErr w:type="spellStart"/>
      <w:r w:rsidR="002A4651" w:rsidRPr="002A4651">
        <w:rPr>
          <w:i/>
        </w:rPr>
        <w:t>gigas</w:t>
      </w:r>
      <w:proofErr w:type="spellEnd"/>
      <w:r w:rsidR="002A4651">
        <w:t>)</w:t>
      </w:r>
      <w:r w:rsidR="00470719">
        <w:t xml:space="preserve">, Goliath and Nassau groupers were closed.  In 1997 the FKNMS established a series of Sanctuary Preservation Areas (SPAs).  </w:t>
      </w:r>
    </w:p>
    <w:p w:rsidR="0027730B" w:rsidRPr="00BE1F79" w:rsidRDefault="00E11AB9" w:rsidP="009D1F25">
      <w:pPr>
        <w:spacing w:after="120"/>
      </w:pPr>
      <w:proofErr w:type="spellStart"/>
      <w:r>
        <w:rPr>
          <w:color w:val="000000"/>
        </w:rPr>
        <w:t>Bohnsack</w:t>
      </w:r>
      <w:proofErr w:type="spellEnd"/>
      <w:r>
        <w:rPr>
          <w:color w:val="000000"/>
        </w:rPr>
        <w:t xml:space="preserve"> </w:t>
      </w:r>
      <w:r w:rsidR="007E2405" w:rsidRPr="007E2405">
        <w:rPr>
          <w:i/>
          <w:color w:val="000000"/>
        </w:rPr>
        <w:t xml:space="preserve">et al. </w:t>
      </w:r>
      <w:r>
        <w:rPr>
          <w:color w:val="000000"/>
        </w:rPr>
        <w:t>(2004) reported t</w:t>
      </w:r>
      <w:r w:rsidR="0027730B" w:rsidRPr="00F73EFA">
        <w:rPr>
          <w:color w:val="000000"/>
        </w:rPr>
        <w:t>rends in reef fish landings for the period 1981 to 1992 for the Florida</w:t>
      </w:r>
      <w:r w:rsidR="002708E9">
        <w:rPr>
          <w:color w:val="000000"/>
        </w:rPr>
        <w:t xml:space="preserve"> Keys</w:t>
      </w:r>
      <w:r w:rsidR="0027730B" w:rsidRPr="00F73EFA">
        <w:rPr>
          <w:color w:val="000000"/>
        </w:rPr>
        <w:t xml:space="preserve">. Depending on the year, recreational landings comprised between 40 and 66% of total landings. </w:t>
      </w:r>
      <w:r w:rsidR="00677429">
        <w:rPr>
          <w:color w:val="000000"/>
        </w:rPr>
        <w:t xml:space="preserve"> </w:t>
      </w:r>
      <w:r w:rsidR="0027730B" w:rsidRPr="00F73EFA">
        <w:rPr>
          <w:color w:val="000000"/>
        </w:rPr>
        <w:t xml:space="preserve">Reef fishes accounted for 58% of total fish landings, 69% of recreational landings and 16% of commercial landings. </w:t>
      </w:r>
      <w:r w:rsidR="00677429">
        <w:rPr>
          <w:color w:val="000000"/>
        </w:rPr>
        <w:t xml:space="preserve"> </w:t>
      </w:r>
      <w:r w:rsidR="0027730B" w:rsidRPr="00F73EFA">
        <w:rPr>
          <w:color w:val="000000"/>
        </w:rPr>
        <w:t>Commercial landings were dominated by invertebrates (spiny lobster, shrimp and stone crabs), which comprised 63% of total landings.</w:t>
      </w:r>
    </w:p>
    <w:p w:rsidR="0027730B" w:rsidRPr="00BE1F79" w:rsidRDefault="0027730B" w:rsidP="009D1F25">
      <w:pPr>
        <w:spacing w:after="120"/>
      </w:pPr>
      <w:r w:rsidRPr="00F73EFA">
        <w:rPr>
          <w:color w:val="000000"/>
        </w:rPr>
        <w:t>The Fish and Wildlife Conservation Commission (FWC) conducts visual censuses between April and October to monitor finfish populations along the Atlantic margin of the Florida Keys in the FKNMS</w:t>
      </w:r>
      <w:r w:rsidR="002708E9">
        <w:rPr>
          <w:color w:val="000000"/>
        </w:rPr>
        <w:t xml:space="preserve"> (Donahue </w:t>
      </w:r>
      <w:r w:rsidR="007E2405" w:rsidRPr="007E2405">
        <w:rPr>
          <w:i/>
          <w:color w:val="000000"/>
        </w:rPr>
        <w:t xml:space="preserve">et al. </w:t>
      </w:r>
      <w:r w:rsidR="002708E9">
        <w:rPr>
          <w:color w:val="000000"/>
        </w:rPr>
        <w:t>2008)</w:t>
      </w:r>
      <w:r w:rsidRPr="00F73EFA">
        <w:rPr>
          <w:color w:val="000000"/>
        </w:rPr>
        <w:t xml:space="preserve">.  The goal is to evaluate the relative abundance, size structure and habitat </w:t>
      </w:r>
      <w:r w:rsidRPr="00F73EFA">
        <w:rPr>
          <w:color w:val="000000"/>
        </w:rPr>
        <w:lastRenderedPageBreak/>
        <w:t xml:space="preserve">utilization of the reef fish species that comprise local, commercial </w:t>
      </w:r>
      <w:r w:rsidR="002708E9">
        <w:rPr>
          <w:color w:val="000000"/>
        </w:rPr>
        <w:t>and r</w:t>
      </w:r>
      <w:r w:rsidR="00677429">
        <w:rPr>
          <w:color w:val="000000"/>
        </w:rPr>
        <w:t>ecreational fisheries (</w:t>
      </w:r>
      <w:r w:rsidR="0061784D">
        <w:rPr>
          <w:color w:val="000000"/>
        </w:rPr>
        <w:t>Figure</w:t>
      </w:r>
      <w:r w:rsidR="00406C0B">
        <w:rPr>
          <w:color w:val="000000"/>
        </w:rPr>
        <w:t xml:space="preserve"> 14</w:t>
      </w:r>
      <w:r w:rsidR="0094651A">
        <w:rPr>
          <w:color w:val="000000"/>
        </w:rPr>
        <w:t>, t</w:t>
      </w:r>
      <w:r w:rsidR="009F5EEC">
        <w:rPr>
          <w:color w:val="000000"/>
        </w:rPr>
        <w:t>able 3</w:t>
      </w:r>
      <w:r w:rsidRPr="00F73EFA">
        <w:rPr>
          <w:color w:val="000000"/>
        </w:rPr>
        <w:t>).</w:t>
      </w:r>
    </w:p>
    <w:p w:rsidR="0094651A" w:rsidRDefault="0094651A" w:rsidP="009D1F25">
      <w:pPr>
        <w:spacing w:after="120"/>
      </w:pPr>
      <w:r>
        <w:t xml:space="preserve">The FWC began a spiny lobster monitoring program in 1997 to test the effectiveness of no-take zones (Donahue </w:t>
      </w:r>
      <w:r w:rsidR="007E2405" w:rsidRPr="007E2405">
        <w:rPr>
          <w:i/>
        </w:rPr>
        <w:t xml:space="preserve">et al. </w:t>
      </w:r>
      <w:r>
        <w:t xml:space="preserve">2008).  Since protection, mean lobster size in reserves has been larger than legal size, but in exploited areas it has remained below the legal limit in most years.  In most years, abundance of lobsters declined in both reserves and exploited areas during the open season, but the declines were lower in the reserves.  Decline in abundance inside reserves during the open season indicates that the reserves are too small to adequately protect the lobsters from harvest.  The FWC also monitors the recovery of the queen conch population (Donahue </w:t>
      </w:r>
      <w:r w:rsidR="007E2405" w:rsidRPr="007E2405">
        <w:rPr>
          <w:i/>
        </w:rPr>
        <w:t xml:space="preserve">et al. </w:t>
      </w:r>
      <w:r>
        <w:t xml:space="preserve">2008).  Since the fishery was closed in 1985 there have been signs of recovery.  </w:t>
      </w:r>
    </w:p>
    <w:p w:rsidR="0027730B" w:rsidRDefault="0027730B" w:rsidP="00A92004">
      <w:r>
        <w:rPr>
          <w:noProof/>
        </w:rPr>
        <w:drawing>
          <wp:inline distT="0" distB="0" distL="0" distR="0">
            <wp:extent cx="3816350" cy="2536038"/>
            <wp:effectExtent l="19050" t="0" r="0" b="0"/>
            <wp:docPr id="1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cstate="print"/>
                    <a:srcRect/>
                    <a:stretch>
                      <a:fillRect/>
                    </a:stretch>
                  </pic:blipFill>
                  <pic:spPr bwMode="auto">
                    <a:xfrm>
                      <a:off x="0" y="0"/>
                      <a:ext cx="3814779" cy="2534994"/>
                    </a:xfrm>
                    <a:prstGeom prst="rect">
                      <a:avLst/>
                    </a:prstGeom>
                    <a:noFill/>
                    <a:ln w="9525">
                      <a:noFill/>
                      <a:miter lim="800000"/>
                      <a:headEnd/>
                      <a:tailEnd/>
                    </a:ln>
                  </pic:spPr>
                </pic:pic>
              </a:graphicData>
            </a:graphic>
          </wp:inline>
        </w:drawing>
      </w:r>
    </w:p>
    <w:p w:rsidR="0027730B" w:rsidRDefault="0061784D" w:rsidP="00A92004">
      <w:proofErr w:type="gramStart"/>
      <w:r w:rsidRPr="00883CE0">
        <w:rPr>
          <w:b/>
        </w:rPr>
        <w:t>Figure</w:t>
      </w:r>
      <w:r w:rsidR="00406C0B">
        <w:rPr>
          <w:b/>
        </w:rPr>
        <w:t xml:space="preserve"> 14</w:t>
      </w:r>
      <w:r w:rsidR="0027730B" w:rsidRPr="00883CE0">
        <w:rPr>
          <w:b/>
        </w:rPr>
        <w:t>.</w:t>
      </w:r>
      <w:proofErr w:type="gramEnd"/>
      <w:r w:rsidR="0027730B">
        <w:t xml:space="preserve"> Mean fish density by year (2000-2006) as recorded during visual surveys in the Florida Keys (</w:t>
      </w:r>
      <w:r w:rsidR="0016762D">
        <w:t xml:space="preserve">Donahue </w:t>
      </w:r>
      <w:r w:rsidR="007E2405" w:rsidRPr="007E2405">
        <w:rPr>
          <w:i/>
        </w:rPr>
        <w:t xml:space="preserve">et al. </w:t>
      </w:r>
      <w:r w:rsidR="0016762D">
        <w:t>2008</w:t>
      </w:r>
      <w:r w:rsidR="0027730B">
        <w:t>).</w:t>
      </w:r>
    </w:p>
    <w:p w:rsidR="0027730B" w:rsidRDefault="0027730B" w:rsidP="00A92004"/>
    <w:p w:rsidR="009D1F25" w:rsidRDefault="009D1F25" w:rsidP="00A92004">
      <w:pPr>
        <w:rPr>
          <w:b/>
        </w:rPr>
      </w:pPr>
    </w:p>
    <w:p w:rsidR="00EC5DAF" w:rsidRDefault="00EC5DAF" w:rsidP="00A92004">
      <w:pPr>
        <w:rPr>
          <w:b/>
        </w:rPr>
        <w:sectPr w:rsidR="00EC5DAF" w:rsidSect="00CD2D6D">
          <w:pgSz w:w="12240" w:h="15840"/>
          <w:pgMar w:top="1440" w:right="1440" w:bottom="1440" w:left="1440" w:header="720" w:footer="720" w:gutter="0"/>
          <w:cols w:space="720"/>
          <w:docGrid w:linePitch="360"/>
        </w:sectPr>
      </w:pPr>
    </w:p>
    <w:p w:rsidR="0094651A" w:rsidRDefault="0094651A" w:rsidP="00A92004">
      <w:proofErr w:type="gramStart"/>
      <w:r w:rsidRPr="00883CE0">
        <w:rPr>
          <w:b/>
        </w:rPr>
        <w:lastRenderedPageBreak/>
        <w:t>Table.</w:t>
      </w:r>
      <w:proofErr w:type="gramEnd"/>
      <w:r w:rsidRPr="00883CE0">
        <w:rPr>
          <w:b/>
        </w:rPr>
        <w:t xml:space="preserve"> 3.</w:t>
      </w:r>
      <w:r>
        <w:t xml:space="preserve"> Catch statistics for the 15 more abundant Reef Fish Species observed during the Florida Keys visual sampling 1999-2006.  Percent (%) is the percentage of the total observations represented by that species; percent occurrence (% Occur) is the percentage of samples in which the species was observed; CV is the coefficient of variation.  </w:t>
      </w:r>
      <w:proofErr w:type="spellStart"/>
      <w:r>
        <w:t>Taxa</w:t>
      </w:r>
      <w:proofErr w:type="spellEnd"/>
      <w:r>
        <w:t xml:space="preserve"> are ranked in order of decreasing mean density. </w:t>
      </w:r>
      <w:proofErr w:type="gramStart"/>
      <w:r>
        <w:t xml:space="preserve">(Reference in Donahue </w:t>
      </w:r>
      <w:r w:rsidR="007E2405" w:rsidRPr="007E2405">
        <w:rPr>
          <w:i/>
        </w:rPr>
        <w:t xml:space="preserve">et al. </w:t>
      </w:r>
      <w:r>
        <w:t>2008).</w:t>
      </w:r>
      <w:proofErr w:type="gramEnd"/>
    </w:p>
    <w:p w:rsidR="002A4651" w:rsidRDefault="0094651A" w:rsidP="00A92004">
      <w:r>
        <w:rPr>
          <w:noProof/>
        </w:rPr>
        <w:drawing>
          <wp:inline distT="0" distB="0" distL="0" distR="0">
            <wp:extent cx="5943600" cy="3129279"/>
            <wp:effectExtent l="19050" t="0" r="0" b="0"/>
            <wp:docPr id="3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9" cstate="print"/>
                    <a:srcRect/>
                    <a:stretch>
                      <a:fillRect/>
                    </a:stretch>
                  </pic:blipFill>
                  <pic:spPr bwMode="auto">
                    <a:xfrm>
                      <a:off x="0" y="0"/>
                      <a:ext cx="5943600" cy="3129279"/>
                    </a:xfrm>
                    <a:prstGeom prst="rect">
                      <a:avLst/>
                    </a:prstGeom>
                    <a:noFill/>
                    <a:ln w="9525">
                      <a:noFill/>
                      <a:miter lim="800000"/>
                      <a:headEnd/>
                      <a:tailEnd/>
                    </a:ln>
                  </pic:spPr>
                </pic:pic>
              </a:graphicData>
            </a:graphic>
          </wp:inline>
        </w:drawing>
      </w:r>
    </w:p>
    <w:p w:rsidR="0027730B" w:rsidRDefault="0027730B" w:rsidP="009D1F25">
      <w:pPr>
        <w:pStyle w:val="EstuaryHeading"/>
        <w:spacing w:after="120"/>
      </w:pPr>
      <w:bookmarkStart w:id="11" w:name="_Toc263862803"/>
      <w:r>
        <w:t>Water Quality Studies</w:t>
      </w:r>
      <w:bookmarkEnd w:id="11"/>
    </w:p>
    <w:p w:rsidR="005C4DDC" w:rsidRDefault="0078026A" w:rsidP="009D1F25">
      <w:pPr>
        <w:spacing w:after="120"/>
        <w:rPr>
          <w:rFonts w:cs="TimesNewRoman"/>
          <w:color w:val="1F1A17"/>
        </w:rPr>
      </w:pPr>
      <w:r>
        <w:t xml:space="preserve">Information below is selected from the 2008 Annual report of the water quality monitoring project for the water quality protection program of the Florida Keys National Marine Sanctuary </w:t>
      </w:r>
      <w:r w:rsidR="005C4DDC">
        <w:t xml:space="preserve">(Boyer </w:t>
      </w:r>
      <w:r w:rsidR="005C4DDC" w:rsidRPr="0078026A">
        <w:t xml:space="preserve">and </w:t>
      </w:r>
      <w:proofErr w:type="spellStart"/>
      <w:r w:rsidR="005C4DDC" w:rsidRPr="0078026A">
        <w:rPr>
          <w:rFonts w:cs="TimesNewRoman"/>
          <w:color w:val="1F1A17"/>
        </w:rPr>
        <w:t>Briceño</w:t>
      </w:r>
      <w:proofErr w:type="spellEnd"/>
      <w:r w:rsidR="005C4DDC" w:rsidRPr="0078026A">
        <w:rPr>
          <w:rFonts w:cs="TimesNewRoman"/>
          <w:color w:val="1F1A17"/>
        </w:rPr>
        <w:t xml:space="preserve"> 200</w:t>
      </w:r>
      <w:r w:rsidR="00564015">
        <w:rPr>
          <w:rFonts w:cs="TimesNewRoman"/>
          <w:color w:val="1F1A17"/>
        </w:rPr>
        <w:t>9</w:t>
      </w:r>
      <w:r w:rsidR="005C4DDC" w:rsidRPr="0078026A">
        <w:rPr>
          <w:rFonts w:cs="TimesNewRoman"/>
          <w:color w:val="1F1A17"/>
        </w:rPr>
        <w:t>)</w:t>
      </w:r>
      <w:r w:rsidR="005C4DDC">
        <w:rPr>
          <w:rFonts w:cs="TimesNewRoman"/>
          <w:color w:val="1F1A17"/>
        </w:rPr>
        <w:t xml:space="preserve">.   </w:t>
      </w:r>
    </w:p>
    <w:p w:rsidR="005C4DDC" w:rsidRDefault="005C4DDC" w:rsidP="009D1F25">
      <w:pPr>
        <w:spacing w:after="120"/>
      </w:pPr>
      <w:r>
        <w:rPr>
          <w:rFonts w:cs="TimesNewRoman"/>
          <w:color w:val="1F1A17"/>
        </w:rPr>
        <w:t>The report</w:t>
      </w:r>
      <w:r w:rsidR="0078026A">
        <w:t xml:space="preserve"> includes information on data collected between March 1995 and December 2008</w:t>
      </w:r>
      <w:r w:rsidR="00677429">
        <w:t xml:space="preserve">.  </w:t>
      </w:r>
      <w:r w:rsidR="0061784D">
        <w:t>Figure</w:t>
      </w:r>
      <w:r w:rsidR="00406C0B">
        <w:t xml:space="preserve"> 15</w:t>
      </w:r>
      <w:r>
        <w:t xml:space="preserve"> shows the study area and sub-regions </w:t>
      </w:r>
      <w:r w:rsidR="00677429">
        <w:t xml:space="preserve">and </w:t>
      </w:r>
      <w:r w:rsidR="0061784D">
        <w:t>Figure</w:t>
      </w:r>
      <w:r w:rsidR="00406C0B">
        <w:t xml:space="preserve"> 16</w:t>
      </w:r>
      <w:r w:rsidR="00265330">
        <w:t xml:space="preserve"> shows the location of the monitoring sites </w:t>
      </w:r>
      <w:r>
        <w:t>(Boyer).  The 2008 report includes data from 50 quarterly sampling events at 154 stations</w:t>
      </w:r>
      <w:r w:rsidR="00265330">
        <w:t xml:space="preserve"> within the FKNMS.  </w:t>
      </w:r>
    </w:p>
    <w:p w:rsidR="005C4DDC" w:rsidRDefault="005C4DDC" w:rsidP="00A92004">
      <w:pPr>
        <w:rPr>
          <w:rFonts w:cs="TimesNewRoman"/>
          <w:color w:val="1F1A17"/>
        </w:rPr>
      </w:pPr>
      <w:r>
        <w:rPr>
          <w:rFonts w:cs="TimesNewRoman"/>
          <w:noProof/>
          <w:color w:val="1F1A17"/>
        </w:rPr>
        <w:lastRenderedPageBreak/>
        <w:drawing>
          <wp:inline distT="0" distB="0" distL="0" distR="0">
            <wp:extent cx="5585883" cy="3316737"/>
            <wp:effectExtent l="19050" t="0" r="0" b="0"/>
            <wp:docPr id="2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0" cstate="print"/>
                    <a:srcRect/>
                    <a:stretch>
                      <a:fillRect/>
                    </a:stretch>
                  </pic:blipFill>
                  <pic:spPr bwMode="auto">
                    <a:xfrm>
                      <a:off x="0" y="0"/>
                      <a:ext cx="5587873" cy="3317919"/>
                    </a:xfrm>
                    <a:prstGeom prst="rect">
                      <a:avLst/>
                    </a:prstGeom>
                    <a:noFill/>
                    <a:ln w="9525">
                      <a:noFill/>
                      <a:miter lim="800000"/>
                      <a:headEnd/>
                      <a:tailEnd/>
                    </a:ln>
                  </pic:spPr>
                </pic:pic>
              </a:graphicData>
            </a:graphic>
          </wp:inline>
        </w:drawing>
      </w:r>
    </w:p>
    <w:p w:rsidR="0007577F" w:rsidRDefault="0061784D" w:rsidP="00A92004">
      <w:proofErr w:type="gramStart"/>
      <w:r w:rsidRPr="00883CE0">
        <w:rPr>
          <w:b/>
        </w:rPr>
        <w:t>Figure</w:t>
      </w:r>
      <w:r w:rsidR="00406C0B">
        <w:rPr>
          <w:b/>
        </w:rPr>
        <w:t xml:space="preserve"> 15</w:t>
      </w:r>
      <w:r w:rsidR="0007577F" w:rsidRPr="00883CE0">
        <w:rPr>
          <w:b/>
        </w:rPr>
        <w:t>.</w:t>
      </w:r>
      <w:proofErr w:type="gramEnd"/>
      <w:r w:rsidR="0007577F">
        <w:t xml:space="preserve"> Map of study area (Boyer </w:t>
      </w:r>
      <w:r w:rsidR="00564015">
        <w:t>2010</w:t>
      </w:r>
      <w:r w:rsidR="0007577F">
        <w:t>)</w:t>
      </w:r>
    </w:p>
    <w:p w:rsidR="00F936CE" w:rsidRDefault="00406C0B" w:rsidP="009D1F25">
      <w:pPr>
        <w:autoSpaceDE w:val="0"/>
        <w:autoSpaceDN w:val="0"/>
        <w:adjustRightInd w:val="0"/>
        <w:spacing w:after="120"/>
        <w:rPr>
          <w:rFonts w:cs="TimesNewRomanPSMT"/>
        </w:rPr>
      </w:pPr>
      <w:r>
        <w:rPr>
          <w:rFonts w:cs="TimesNewRomanPSMT"/>
        </w:rPr>
        <w:t>Figure 17</w:t>
      </w:r>
      <w:r w:rsidR="00F936CE" w:rsidRPr="009E7245">
        <w:rPr>
          <w:rFonts w:cs="TimesNewRomanPSMT"/>
        </w:rPr>
        <w:t xml:space="preserve"> shows the median distribution of salinity across</w:t>
      </w:r>
      <w:r w:rsidR="00F936CE">
        <w:rPr>
          <w:rFonts w:cs="TimesNewRomanPSMT"/>
        </w:rPr>
        <w:t xml:space="preserve"> </w:t>
      </w:r>
      <w:r w:rsidR="00F936CE" w:rsidRPr="009E7245">
        <w:rPr>
          <w:rFonts w:cs="TimesNewRomanPSMT"/>
        </w:rPr>
        <w:t>the region. Both freshwater sources and marine influences are visible using this approach. The</w:t>
      </w:r>
      <w:r w:rsidR="00F936CE">
        <w:rPr>
          <w:rFonts w:cs="TimesNewRomanPSMT"/>
        </w:rPr>
        <w:t xml:space="preserve"> </w:t>
      </w:r>
      <w:r w:rsidR="00F936CE" w:rsidRPr="009E7245">
        <w:rPr>
          <w:rFonts w:cs="TimesNewRomanPSMT"/>
        </w:rPr>
        <w:t>major freshwater sources to the region are the Shark River/Slough system on the SW coast and</w:t>
      </w:r>
      <w:r w:rsidR="00F936CE">
        <w:rPr>
          <w:rFonts w:cs="TimesNewRomanPSMT"/>
        </w:rPr>
        <w:t xml:space="preserve"> </w:t>
      </w:r>
      <w:r w:rsidR="00F936CE" w:rsidRPr="009E7245">
        <w:rPr>
          <w:rFonts w:cs="TimesNewRomanPSMT"/>
        </w:rPr>
        <w:t>the Taylor Slough/C-111 Basin in eastern Florida Bay. Southerly currents along the SW coast</w:t>
      </w:r>
      <w:r w:rsidR="00F936CE">
        <w:rPr>
          <w:rFonts w:cs="TimesNewRomanPSMT"/>
        </w:rPr>
        <w:t xml:space="preserve"> </w:t>
      </w:r>
      <w:r w:rsidR="00F936CE" w:rsidRPr="009E7245">
        <w:rPr>
          <w:rFonts w:cs="TimesNewRomanPSMT"/>
        </w:rPr>
        <w:t>and Shelf moves water through the Keys passes and may impact the reef tract.</w:t>
      </w:r>
    </w:p>
    <w:p w:rsidR="00F936CE" w:rsidRPr="00D26671" w:rsidRDefault="00F936CE" w:rsidP="009D1F25">
      <w:pPr>
        <w:autoSpaceDE w:val="0"/>
        <w:autoSpaceDN w:val="0"/>
        <w:adjustRightInd w:val="0"/>
        <w:spacing w:after="120"/>
        <w:rPr>
          <w:rFonts w:cs="TimesNewRomanPSMT"/>
        </w:rPr>
      </w:pPr>
      <w:r w:rsidRPr="00D26671">
        <w:rPr>
          <w:rFonts w:cs="TimesNewRomanPSMT"/>
        </w:rPr>
        <w:t>The usual distribution of dissolved NO</w:t>
      </w:r>
      <w:r w:rsidRPr="00D26671">
        <w:rPr>
          <w:rFonts w:cs="TimesNewRomanPSMT"/>
          <w:vertAlign w:val="subscript"/>
        </w:rPr>
        <w:t>3</w:t>
      </w:r>
      <w:r w:rsidRPr="00D26671">
        <w:rPr>
          <w:rFonts w:cs="TimesNewRomanPSMT"/>
          <w:vertAlign w:val="superscript"/>
        </w:rPr>
        <w:t>-</w:t>
      </w:r>
      <w:r w:rsidRPr="00D26671">
        <w:rPr>
          <w:rFonts w:cs="TimesNewRomanPSMT"/>
        </w:rPr>
        <w:t xml:space="preserve"> and NH</w:t>
      </w:r>
      <w:r w:rsidRPr="00D26671">
        <w:rPr>
          <w:rFonts w:cs="TimesNewRomanPSMT"/>
          <w:vertAlign w:val="subscript"/>
        </w:rPr>
        <w:t>4</w:t>
      </w:r>
      <w:r w:rsidRPr="00D26671">
        <w:rPr>
          <w:rFonts w:cs="TimesNewRomanPSMT"/>
          <w:vertAlign w:val="superscript"/>
        </w:rPr>
        <w:t>+</w:t>
      </w:r>
      <w:r w:rsidRPr="00D26671">
        <w:rPr>
          <w:rFonts w:cs="TimesNewRomanPSMT"/>
        </w:rPr>
        <w:t xml:space="preserve"> are very different than </w:t>
      </w:r>
      <w:r w:rsidR="00406C0B">
        <w:rPr>
          <w:rFonts w:cs="TimesNewRomanPSMT"/>
        </w:rPr>
        <w:t>that for salinity (Figure 17 and 18</w:t>
      </w:r>
      <w:r w:rsidRPr="00D26671">
        <w:rPr>
          <w:rFonts w:cs="TimesNewRomanPSMT"/>
        </w:rPr>
        <w:t>). This implies that there are other factors responsible for their distributions, such a phytoplankton and seagrass uptake as well as N</w:t>
      </w:r>
      <w:r w:rsidRPr="00D26671">
        <w:rPr>
          <w:rFonts w:cs="TimesNewRomanPSMT"/>
          <w:vertAlign w:val="subscript"/>
        </w:rPr>
        <w:t>2</w:t>
      </w:r>
      <w:r w:rsidRPr="00D26671">
        <w:rPr>
          <w:rFonts w:cs="TimesNewRomanPSMT"/>
        </w:rPr>
        <w:t xml:space="preserve"> fixation and benthic </w:t>
      </w:r>
      <w:proofErr w:type="spellStart"/>
      <w:r w:rsidRPr="00D26671">
        <w:rPr>
          <w:rFonts w:cs="TimesNewRomanPSMT"/>
        </w:rPr>
        <w:t>remineralization</w:t>
      </w:r>
      <w:proofErr w:type="spellEnd"/>
      <w:r w:rsidRPr="00D26671">
        <w:rPr>
          <w:rFonts w:cs="TimesNewRomanPSMT"/>
        </w:rPr>
        <w:t>.</w:t>
      </w:r>
    </w:p>
    <w:p w:rsidR="00F936CE" w:rsidRPr="009E7245" w:rsidRDefault="00F936CE" w:rsidP="009D1F25">
      <w:pPr>
        <w:autoSpaceDE w:val="0"/>
        <w:autoSpaceDN w:val="0"/>
        <w:adjustRightInd w:val="0"/>
        <w:spacing w:after="120"/>
        <w:rPr>
          <w:rFonts w:cs="TimesNewRomanPSMT"/>
        </w:rPr>
      </w:pPr>
      <w:r w:rsidRPr="009E7245">
        <w:rPr>
          <w:rFonts w:cs="TimesNewRomanPSMT"/>
        </w:rPr>
        <w:t>In contrast, total phosphorus distributions often are very similar to salinity patterns, but only</w:t>
      </w:r>
      <w:r w:rsidR="00406C0B">
        <w:rPr>
          <w:rFonts w:cs="TimesNewRomanPSMT"/>
        </w:rPr>
        <w:t xml:space="preserve"> on the west coast (Figure 17 and 19</w:t>
      </w:r>
      <w:r w:rsidRPr="009E7245">
        <w:rPr>
          <w:rFonts w:cs="TimesNewRomanPSMT"/>
        </w:rPr>
        <w:t>). This implies that the source of P on the Shelf is partially terrestrial</w:t>
      </w:r>
      <w:r>
        <w:rPr>
          <w:rFonts w:cs="TimesNewRomanPSMT"/>
        </w:rPr>
        <w:t xml:space="preserve"> </w:t>
      </w:r>
      <w:r w:rsidRPr="009E7245">
        <w:rPr>
          <w:rFonts w:cs="TimesNewRomanPSMT"/>
        </w:rPr>
        <w:t>and partly from southward transport of coastal waters from above Cape Romano. It is important</w:t>
      </w:r>
      <w:r>
        <w:rPr>
          <w:rFonts w:cs="TimesNewRomanPSMT"/>
        </w:rPr>
        <w:t xml:space="preserve"> </w:t>
      </w:r>
      <w:r w:rsidRPr="009E7245">
        <w:rPr>
          <w:rFonts w:cs="TimesNewRomanPSMT"/>
        </w:rPr>
        <w:t>to note that the CHLA concentrations are tightly co</w:t>
      </w:r>
      <w:r>
        <w:rPr>
          <w:rFonts w:cs="TimesNewRomanPSMT"/>
        </w:rPr>
        <w:t xml:space="preserve">upled to TP availability (Figure </w:t>
      </w:r>
      <w:r w:rsidR="00406C0B">
        <w:rPr>
          <w:rFonts w:cs="TimesNewRomanPSMT"/>
        </w:rPr>
        <w:t>19 and 20</w:t>
      </w:r>
      <w:r w:rsidRPr="009E7245">
        <w:rPr>
          <w:rFonts w:cs="TimesNewRomanPSMT"/>
        </w:rPr>
        <w:t>).</w:t>
      </w:r>
    </w:p>
    <w:p w:rsidR="009E7245" w:rsidRDefault="009E7245" w:rsidP="00A92004"/>
    <w:p w:rsidR="009E7245" w:rsidRDefault="009E7245" w:rsidP="00A92004">
      <w:pPr>
        <w:rPr>
          <w:bCs/>
        </w:rPr>
      </w:pPr>
      <w:r w:rsidRPr="00DD2DA3">
        <w:rPr>
          <w:bCs/>
          <w:noProof/>
        </w:rPr>
        <w:lastRenderedPageBreak/>
        <w:drawing>
          <wp:inline distT="0" distB="0" distL="0" distR="0">
            <wp:extent cx="5094817" cy="3429000"/>
            <wp:effectExtent l="19050" t="0" r="0" b="0"/>
            <wp:docPr id="23" name="Picture 7" descr="Map showing the water quality monitoring stations in Florida Bay, Biscayne Bay, and the Florida Keys."/>
            <wp:cNvGraphicFramePr/>
            <a:graphic xmlns:a="http://schemas.openxmlformats.org/drawingml/2006/main">
              <a:graphicData uri="http://schemas.openxmlformats.org/drawingml/2006/picture">
                <pic:pic xmlns:pic="http://schemas.openxmlformats.org/drawingml/2006/picture">
                  <pic:nvPicPr>
                    <pic:cNvPr id="36865" name="Picture 2" descr="Map showing the water quality monitoring stations in Florida Bay, Biscayne Bay, and the Florida Keys."/>
                    <pic:cNvPicPr>
                      <a:picLocks noChangeAspect="1" noChangeArrowheads="1"/>
                    </pic:cNvPicPr>
                  </pic:nvPicPr>
                  <pic:blipFill>
                    <a:blip r:embed="rId31" cstate="print"/>
                    <a:srcRect/>
                    <a:stretch>
                      <a:fillRect/>
                    </a:stretch>
                  </pic:blipFill>
                  <pic:spPr bwMode="auto">
                    <a:xfrm>
                      <a:off x="0" y="0"/>
                      <a:ext cx="5096734" cy="3430290"/>
                    </a:xfrm>
                    <a:prstGeom prst="rect">
                      <a:avLst/>
                    </a:prstGeom>
                    <a:noFill/>
                    <a:ln w="9525">
                      <a:noFill/>
                      <a:miter lim="800000"/>
                      <a:headEnd/>
                      <a:tailEnd/>
                    </a:ln>
                  </pic:spPr>
                </pic:pic>
              </a:graphicData>
            </a:graphic>
          </wp:inline>
        </w:drawing>
      </w:r>
    </w:p>
    <w:p w:rsidR="00564015" w:rsidRDefault="0061784D" w:rsidP="00A92004">
      <w:pPr>
        <w:rPr>
          <w:rFonts w:cs="TimesNewRoman"/>
          <w:color w:val="1F1A17"/>
        </w:rPr>
      </w:pPr>
      <w:proofErr w:type="gramStart"/>
      <w:r w:rsidRPr="00883CE0">
        <w:rPr>
          <w:b/>
          <w:bCs/>
        </w:rPr>
        <w:t>Figure</w:t>
      </w:r>
      <w:r w:rsidR="00406C0B">
        <w:rPr>
          <w:b/>
          <w:bCs/>
        </w:rPr>
        <w:t xml:space="preserve"> 16</w:t>
      </w:r>
      <w:r w:rsidR="005F2C1B" w:rsidRPr="00883CE0">
        <w:rPr>
          <w:b/>
          <w:bCs/>
        </w:rPr>
        <w:t>.</w:t>
      </w:r>
      <w:proofErr w:type="gramEnd"/>
      <w:r w:rsidR="005F2C1B">
        <w:rPr>
          <w:bCs/>
        </w:rPr>
        <w:t xml:space="preserve"> </w:t>
      </w:r>
      <w:proofErr w:type="gramStart"/>
      <w:r w:rsidR="005F2C1B">
        <w:rPr>
          <w:bCs/>
        </w:rPr>
        <w:t>FIU SERC Water Quality Monitoring N</w:t>
      </w:r>
      <w:r w:rsidR="009E7245">
        <w:rPr>
          <w:bCs/>
        </w:rPr>
        <w:t>etwork</w:t>
      </w:r>
      <w:r w:rsidR="00564015">
        <w:rPr>
          <w:bCs/>
        </w:rPr>
        <w:t xml:space="preserve"> </w:t>
      </w:r>
      <w:r w:rsidR="00564015">
        <w:rPr>
          <w:rFonts w:cs="TimesNewRoman"/>
          <w:color w:val="1F1A17"/>
        </w:rPr>
        <w:t xml:space="preserve">(Boyer and </w:t>
      </w:r>
      <w:proofErr w:type="spellStart"/>
      <w:r w:rsidR="00564015">
        <w:rPr>
          <w:rFonts w:cs="TimesNewRoman"/>
          <w:color w:val="1F1A17"/>
        </w:rPr>
        <w:t>Briceño</w:t>
      </w:r>
      <w:proofErr w:type="spellEnd"/>
      <w:r w:rsidR="00564015">
        <w:rPr>
          <w:rFonts w:cs="TimesNewRoman"/>
          <w:color w:val="1F1A17"/>
        </w:rPr>
        <w:t xml:space="preserve"> 2009</w:t>
      </w:r>
      <w:r w:rsidR="00564015" w:rsidRPr="009E7245">
        <w:rPr>
          <w:rFonts w:cs="TimesNewRoman"/>
          <w:color w:val="1F1A17"/>
        </w:rPr>
        <w:t>)</w:t>
      </w:r>
      <w:r w:rsidR="00564015">
        <w:rPr>
          <w:rFonts w:cs="TimesNewRoman"/>
          <w:color w:val="1F1A17"/>
        </w:rPr>
        <w:t>.</w:t>
      </w:r>
      <w:proofErr w:type="gramEnd"/>
    </w:p>
    <w:p w:rsidR="009E7245" w:rsidRDefault="009E7245" w:rsidP="00A92004">
      <w:pPr>
        <w:rPr>
          <w:bCs/>
        </w:rPr>
      </w:pPr>
    </w:p>
    <w:p w:rsidR="009E7245" w:rsidRPr="0078026A" w:rsidRDefault="009E7245" w:rsidP="00A92004"/>
    <w:p w:rsidR="00402039" w:rsidRDefault="00402039" w:rsidP="00A92004">
      <w:pPr>
        <w:rPr>
          <w:rFonts w:cs="TimesNewRoman"/>
          <w:color w:val="1F1A17"/>
        </w:rPr>
      </w:pPr>
      <w:r>
        <w:rPr>
          <w:rFonts w:cs="TimesNewRoman"/>
          <w:color w:val="1F1A17"/>
        </w:rPr>
        <w:br w:type="page"/>
      </w:r>
    </w:p>
    <w:p w:rsidR="00DC7DE0" w:rsidRDefault="00A4237F" w:rsidP="00A92004">
      <w:pPr>
        <w:rPr>
          <w:rFonts w:cs="TimesNewRoman"/>
          <w:color w:val="1F1A17"/>
        </w:rPr>
      </w:pPr>
      <w:proofErr w:type="gramStart"/>
      <w:r>
        <w:rPr>
          <w:rFonts w:cs="TimesNewRoman"/>
          <w:b/>
          <w:color w:val="1F1A17"/>
        </w:rPr>
        <w:lastRenderedPageBreak/>
        <w:t>Table 4</w:t>
      </w:r>
      <w:r w:rsidR="00DC7DE0" w:rsidRPr="00883CE0">
        <w:rPr>
          <w:rFonts w:cs="TimesNewRoman"/>
          <w:b/>
          <w:color w:val="1F1A17"/>
        </w:rPr>
        <w:t>.</w:t>
      </w:r>
      <w:proofErr w:type="gramEnd"/>
      <w:r w:rsidR="00DC7DE0" w:rsidRPr="009E7245">
        <w:rPr>
          <w:rFonts w:cs="TimesNewRoman"/>
          <w:color w:val="1F1A17"/>
        </w:rPr>
        <w:t xml:space="preserve"> Water quality variables measured in FKNMS, March 1995 to Decem</w:t>
      </w:r>
      <w:r w:rsidR="00402039">
        <w:rPr>
          <w:rFonts w:cs="TimesNewRoman"/>
          <w:color w:val="1F1A17"/>
        </w:rPr>
        <w:t xml:space="preserve">ber 2008 (Boyer and </w:t>
      </w:r>
      <w:proofErr w:type="spellStart"/>
      <w:r w:rsidR="00402039">
        <w:rPr>
          <w:rFonts w:cs="TimesNewRoman"/>
          <w:color w:val="1F1A17"/>
        </w:rPr>
        <w:t>Briceño</w:t>
      </w:r>
      <w:proofErr w:type="spellEnd"/>
      <w:r w:rsidR="00402039">
        <w:rPr>
          <w:rFonts w:cs="TimesNewRoman"/>
          <w:color w:val="1F1A17"/>
        </w:rPr>
        <w:t xml:space="preserve"> 2009</w:t>
      </w:r>
      <w:r w:rsidR="00DC7DE0" w:rsidRPr="009E7245">
        <w:rPr>
          <w:rFonts w:cs="TimesNewRoman"/>
          <w:color w:val="1F1A17"/>
        </w:rPr>
        <w:t>)</w:t>
      </w:r>
      <w:r w:rsidR="00402039">
        <w:rPr>
          <w:rFonts w:cs="TimesNewRoman"/>
          <w:color w:val="1F1A17"/>
        </w:rPr>
        <w:t>.</w:t>
      </w:r>
    </w:p>
    <w:tbl>
      <w:tblPr>
        <w:tblStyle w:val="MediumShading1-Accent3"/>
        <w:tblW w:w="6283" w:type="dxa"/>
        <w:tblLook w:val="04A0"/>
      </w:tblPr>
      <w:tblGrid>
        <w:gridCol w:w="2173"/>
        <w:gridCol w:w="891"/>
        <w:gridCol w:w="960"/>
        <w:gridCol w:w="1111"/>
        <w:gridCol w:w="1148"/>
      </w:tblGrid>
      <w:tr w:rsidR="001D75F0" w:rsidRPr="001D75F0" w:rsidTr="001D75F0">
        <w:trPr>
          <w:cnfStyle w:val="100000000000"/>
          <w:trHeight w:val="300"/>
        </w:trPr>
        <w:tc>
          <w:tcPr>
            <w:cnfStyle w:val="001000000000"/>
            <w:tcW w:w="2173" w:type="dxa"/>
            <w:noWrap/>
            <w:hideMark/>
          </w:tcPr>
          <w:p w:rsidR="00AB4EB5" w:rsidRPr="001D75F0" w:rsidRDefault="00AB4EB5" w:rsidP="00AB4EB5">
            <w:pPr>
              <w:rPr>
                <w:rFonts w:eastAsia="Times New Roman" w:cs="Times New Roman"/>
                <w:color w:val="000000"/>
              </w:rPr>
            </w:pPr>
            <w:r w:rsidRPr="001D75F0">
              <w:rPr>
                <w:rFonts w:eastAsia="Times New Roman" w:cs="Times New Roman"/>
                <w:color w:val="000000"/>
              </w:rPr>
              <w:t>Variable</w:t>
            </w:r>
          </w:p>
        </w:tc>
        <w:tc>
          <w:tcPr>
            <w:tcW w:w="891" w:type="dxa"/>
            <w:noWrap/>
            <w:hideMark/>
          </w:tcPr>
          <w:p w:rsidR="00AB4EB5" w:rsidRPr="001D75F0" w:rsidRDefault="00AB4EB5" w:rsidP="00AB4EB5">
            <w:pPr>
              <w:cnfStyle w:val="100000000000"/>
              <w:rPr>
                <w:rFonts w:eastAsia="Times New Roman" w:cs="Times New Roman"/>
                <w:b w:val="0"/>
                <w:color w:val="000000"/>
              </w:rPr>
            </w:pPr>
            <w:r w:rsidRPr="001D75F0">
              <w:rPr>
                <w:rFonts w:eastAsia="Times New Roman" w:cs="Times New Roman"/>
                <w:b w:val="0"/>
                <w:color w:val="000000"/>
              </w:rPr>
              <w:t>Depth</w:t>
            </w:r>
          </w:p>
        </w:tc>
        <w:tc>
          <w:tcPr>
            <w:tcW w:w="960" w:type="dxa"/>
            <w:noWrap/>
            <w:hideMark/>
          </w:tcPr>
          <w:p w:rsidR="00AB4EB5" w:rsidRPr="001D75F0" w:rsidRDefault="00AB4EB5" w:rsidP="00AB4EB5">
            <w:pPr>
              <w:cnfStyle w:val="100000000000"/>
              <w:rPr>
                <w:rFonts w:eastAsia="Times New Roman" w:cs="Times New Roman"/>
                <w:b w:val="0"/>
                <w:color w:val="000000"/>
              </w:rPr>
            </w:pPr>
            <w:r w:rsidRPr="001D75F0">
              <w:rPr>
                <w:rFonts w:eastAsia="Times New Roman" w:cs="Times New Roman"/>
                <w:b w:val="0"/>
                <w:color w:val="000000"/>
              </w:rPr>
              <w:t>Median</w:t>
            </w:r>
          </w:p>
        </w:tc>
        <w:tc>
          <w:tcPr>
            <w:tcW w:w="1111" w:type="dxa"/>
            <w:noWrap/>
            <w:hideMark/>
          </w:tcPr>
          <w:p w:rsidR="00AB4EB5" w:rsidRPr="001D75F0" w:rsidRDefault="00AB4EB5" w:rsidP="00AB4EB5">
            <w:pPr>
              <w:cnfStyle w:val="100000000000"/>
              <w:rPr>
                <w:rFonts w:eastAsia="Times New Roman" w:cs="Times New Roman"/>
                <w:b w:val="0"/>
                <w:color w:val="000000"/>
              </w:rPr>
            </w:pPr>
            <w:r w:rsidRPr="001D75F0">
              <w:rPr>
                <w:rFonts w:eastAsia="Times New Roman" w:cs="Times New Roman"/>
                <w:b w:val="0"/>
                <w:color w:val="000000"/>
              </w:rPr>
              <w:t>Minimum</w:t>
            </w:r>
          </w:p>
        </w:tc>
        <w:tc>
          <w:tcPr>
            <w:tcW w:w="1148" w:type="dxa"/>
            <w:noWrap/>
            <w:hideMark/>
          </w:tcPr>
          <w:p w:rsidR="00AB4EB5" w:rsidRPr="001D75F0" w:rsidRDefault="00AB4EB5" w:rsidP="00AB4EB5">
            <w:pPr>
              <w:cnfStyle w:val="100000000000"/>
              <w:rPr>
                <w:rFonts w:eastAsia="Times New Roman" w:cs="Times New Roman"/>
                <w:b w:val="0"/>
                <w:color w:val="000000"/>
              </w:rPr>
            </w:pPr>
            <w:r w:rsidRPr="001D75F0">
              <w:rPr>
                <w:rFonts w:eastAsia="Times New Roman" w:cs="Times New Roman"/>
                <w:b w:val="0"/>
                <w:color w:val="000000"/>
              </w:rPr>
              <w:t>Maximum</w:t>
            </w:r>
          </w:p>
        </w:tc>
      </w:tr>
      <w:tr w:rsidR="001D75F0" w:rsidRPr="001D75F0" w:rsidTr="001D75F0">
        <w:trPr>
          <w:cnfStyle w:val="000000100000"/>
          <w:trHeight w:val="300"/>
        </w:trPr>
        <w:tc>
          <w:tcPr>
            <w:cnfStyle w:val="001000000000"/>
            <w:tcW w:w="2173" w:type="dxa"/>
            <w:noWrap/>
            <w:hideMark/>
          </w:tcPr>
          <w:p w:rsidR="00AB4EB5" w:rsidRPr="001D75F0" w:rsidRDefault="00AB4EB5" w:rsidP="00AB4EB5">
            <w:pPr>
              <w:rPr>
                <w:rFonts w:eastAsia="Times New Roman" w:cs="Times New Roman"/>
                <w:color w:val="000000"/>
              </w:rPr>
            </w:pPr>
            <w:r w:rsidRPr="001D75F0">
              <w:rPr>
                <w:rFonts w:eastAsia="Times New Roman" w:cs="Times New Roman"/>
                <w:color w:val="000000"/>
              </w:rPr>
              <w:t>NO</w:t>
            </w:r>
            <w:r w:rsidRPr="001D75F0">
              <w:rPr>
                <w:rFonts w:eastAsia="Times New Roman" w:cs="Times New Roman"/>
                <w:color w:val="000000"/>
                <w:vertAlign w:val="subscript"/>
              </w:rPr>
              <w:t>3</w:t>
            </w:r>
            <w:r w:rsidRPr="001D75F0">
              <w:rPr>
                <w:rFonts w:eastAsia="Times New Roman" w:cs="Times New Roman"/>
                <w:color w:val="000000"/>
                <w:vertAlign w:val="superscript"/>
              </w:rPr>
              <w:t>-</w:t>
            </w:r>
            <w:r w:rsidRPr="001D75F0">
              <w:rPr>
                <w:rFonts w:eastAsia="Times New Roman" w:cs="Times New Roman"/>
                <w:color w:val="000000"/>
              </w:rPr>
              <w:t xml:space="preserve"> (mg L</w:t>
            </w:r>
            <w:r w:rsidRPr="001D75F0">
              <w:rPr>
                <w:rFonts w:eastAsia="Times New Roman" w:cs="Times New Roman"/>
                <w:color w:val="000000"/>
                <w:vertAlign w:val="superscript"/>
              </w:rPr>
              <w:t>-1</w:t>
            </w:r>
            <w:r w:rsidRPr="001D75F0">
              <w:rPr>
                <w:rFonts w:eastAsia="Times New Roman" w:cs="Times New Roman"/>
                <w:color w:val="000000"/>
              </w:rPr>
              <w:t>)</w:t>
            </w:r>
          </w:p>
        </w:tc>
        <w:tc>
          <w:tcPr>
            <w:tcW w:w="891" w:type="dxa"/>
            <w:noWrap/>
            <w:hideMark/>
          </w:tcPr>
          <w:p w:rsidR="00AB4EB5" w:rsidRPr="001D75F0" w:rsidRDefault="00AB4EB5" w:rsidP="00AB4EB5">
            <w:pPr>
              <w:cnfStyle w:val="000000100000"/>
              <w:rPr>
                <w:rFonts w:eastAsia="Times New Roman" w:cs="Times New Roman"/>
                <w:color w:val="000000"/>
              </w:rPr>
            </w:pPr>
            <w:r w:rsidRPr="001D75F0">
              <w:rPr>
                <w:rFonts w:eastAsia="Times New Roman" w:cs="Times New Roman"/>
                <w:color w:val="000000"/>
              </w:rPr>
              <w:t>Surface</w:t>
            </w:r>
          </w:p>
        </w:tc>
        <w:tc>
          <w:tcPr>
            <w:tcW w:w="960" w:type="dxa"/>
            <w:noWrap/>
            <w:hideMark/>
          </w:tcPr>
          <w:p w:rsidR="00AB4EB5" w:rsidRPr="001D75F0" w:rsidRDefault="00AB4EB5" w:rsidP="00AB4EB5">
            <w:pPr>
              <w:jc w:val="right"/>
              <w:cnfStyle w:val="000000100000"/>
              <w:rPr>
                <w:rFonts w:eastAsia="Times New Roman" w:cs="Times New Roman"/>
                <w:color w:val="000000"/>
              </w:rPr>
            </w:pPr>
            <w:r w:rsidRPr="001D75F0">
              <w:rPr>
                <w:rFonts w:eastAsia="Times New Roman" w:cs="Times New Roman"/>
                <w:color w:val="000000"/>
              </w:rPr>
              <w:t>0.00252</w:t>
            </w:r>
          </w:p>
        </w:tc>
        <w:tc>
          <w:tcPr>
            <w:tcW w:w="1111" w:type="dxa"/>
            <w:noWrap/>
            <w:hideMark/>
          </w:tcPr>
          <w:p w:rsidR="00AB4EB5" w:rsidRPr="001D75F0" w:rsidRDefault="00AB4EB5" w:rsidP="00AB4EB5">
            <w:pPr>
              <w:jc w:val="right"/>
              <w:cnfStyle w:val="000000100000"/>
              <w:rPr>
                <w:rFonts w:eastAsia="Times New Roman" w:cs="Times New Roman"/>
                <w:color w:val="000000"/>
              </w:rPr>
            </w:pPr>
            <w:r w:rsidRPr="001D75F0">
              <w:rPr>
                <w:rFonts w:eastAsia="Times New Roman" w:cs="Times New Roman"/>
                <w:color w:val="000000"/>
              </w:rPr>
              <w:t>0</w:t>
            </w:r>
          </w:p>
        </w:tc>
        <w:tc>
          <w:tcPr>
            <w:tcW w:w="1148" w:type="dxa"/>
            <w:noWrap/>
            <w:hideMark/>
          </w:tcPr>
          <w:p w:rsidR="00AB4EB5" w:rsidRPr="001D75F0" w:rsidRDefault="00AB4EB5" w:rsidP="00AB4EB5">
            <w:pPr>
              <w:jc w:val="right"/>
              <w:cnfStyle w:val="000000100000"/>
              <w:rPr>
                <w:rFonts w:eastAsia="Times New Roman" w:cs="Times New Roman"/>
                <w:color w:val="000000"/>
              </w:rPr>
            </w:pPr>
            <w:r w:rsidRPr="001D75F0">
              <w:rPr>
                <w:rFonts w:eastAsia="Times New Roman" w:cs="Times New Roman"/>
                <w:color w:val="000000"/>
              </w:rPr>
              <w:t>0.03066</w:t>
            </w:r>
          </w:p>
        </w:tc>
      </w:tr>
      <w:tr w:rsidR="00AB4EB5" w:rsidRPr="001D75F0" w:rsidTr="001D75F0">
        <w:trPr>
          <w:cnfStyle w:val="000000010000"/>
          <w:trHeight w:val="300"/>
        </w:trPr>
        <w:tc>
          <w:tcPr>
            <w:cnfStyle w:val="001000000000"/>
            <w:tcW w:w="2173" w:type="dxa"/>
            <w:noWrap/>
            <w:hideMark/>
          </w:tcPr>
          <w:p w:rsidR="00AB4EB5" w:rsidRPr="001D75F0" w:rsidRDefault="00AB4EB5" w:rsidP="00AB4EB5">
            <w:pPr>
              <w:rPr>
                <w:rFonts w:eastAsia="Times New Roman" w:cs="Times New Roman"/>
                <w:color w:val="000000"/>
              </w:rPr>
            </w:pPr>
          </w:p>
        </w:tc>
        <w:tc>
          <w:tcPr>
            <w:tcW w:w="891" w:type="dxa"/>
            <w:noWrap/>
            <w:hideMark/>
          </w:tcPr>
          <w:p w:rsidR="00AB4EB5" w:rsidRPr="001D75F0" w:rsidRDefault="00AB4EB5" w:rsidP="00AB4EB5">
            <w:pPr>
              <w:cnfStyle w:val="000000010000"/>
              <w:rPr>
                <w:rFonts w:eastAsia="Times New Roman" w:cs="Times New Roman"/>
                <w:color w:val="000000"/>
              </w:rPr>
            </w:pPr>
            <w:r w:rsidRPr="001D75F0">
              <w:rPr>
                <w:rFonts w:eastAsia="Times New Roman" w:cs="Times New Roman"/>
                <w:color w:val="000000"/>
              </w:rPr>
              <w:t>Bottom</w:t>
            </w:r>
          </w:p>
        </w:tc>
        <w:tc>
          <w:tcPr>
            <w:tcW w:w="960" w:type="dxa"/>
            <w:noWrap/>
            <w:hideMark/>
          </w:tcPr>
          <w:p w:rsidR="00AB4EB5" w:rsidRPr="001D75F0" w:rsidRDefault="00AB4EB5" w:rsidP="00AB4EB5">
            <w:pPr>
              <w:jc w:val="right"/>
              <w:cnfStyle w:val="000000010000"/>
              <w:rPr>
                <w:rFonts w:eastAsia="Times New Roman" w:cs="Times New Roman"/>
                <w:color w:val="000000"/>
              </w:rPr>
            </w:pPr>
            <w:r w:rsidRPr="001D75F0">
              <w:rPr>
                <w:rFonts w:eastAsia="Times New Roman" w:cs="Times New Roman"/>
                <w:color w:val="000000"/>
              </w:rPr>
              <w:t>0.00168</w:t>
            </w:r>
          </w:p>
        </w:tc>
        <w:tc>
          <w:tcPr>
            <w:tcW w:w="1111" w:type="dxa"/>
            <w:noWrap/>
            <w:hideMark/>
          </w:tcPr>
          <w:p w:rsidR="00AB4EB5" w:rsidRPr="001D75F0" w:rsidRDefault="00AB4EB5" w:rsidP="00AB4EB5">
            <w:pPr>
              <w:jc w:val="right"/>
              <w:cnfStyle w:val="000000010000"/>
              <w:rPr>
                <w:rFonts w:eastAsia="Times New Roman" w:cs="Times New Roman"/>
                <w:color w:val="000000"/>
              </w:rPr>
            </w:pPr>
            <w:r w:rsidRPr="001D75F0">
              <w:rPr>
                <w:rFonts w:eastAsia="Times New Roman" w:cs="Times New Roman"/>
                <w:color w:val="000000"/>
              </w:rPr>
              <w:t>0</w:t>
            </w:r>
          </w:p>
        </w:tc>
        <w:tc>
          <w:tcPr>
            <w:tcW w:w="1148" w:type="dxa"/>
            <w:noWrap/>
            <w:hideMark/>
          </w:tcPr>
          <w:p w:rsidR="00AB4EB5" w:rsidRPr="001D75F0" w:rsidRDefault="00AB4EB5" w:rsidP="00AB4EB5">
            <w:pPr>
              <w:jc w:val="right"/>
              <w:cnfStyle w:val="000000010000"/>
              <w:rPr>
                <w:rFonts w:eastAsia="Times New Roman" w:cs="Times New Roman"/>
                <w:color w:val="000000"/>
              </w:rPr>
            </w:pPr>
            <w:r w:rsidRPr="001D75F0">
              <w:rPr>
                <w:rFonts w:eastAsia="Times New Roman" w:cs="Times New Roman"/>
                <w:color w:val="000000"/>
              </w:rPr>
              <w:t>0.02576</w:t>
            </w:r>
          </w:p>
        </w:tc>
      </w:tr>
      <w:tr w:rsidR="001D75F0" w:rsidRPr="001D75F0" w:rsidTr="001D75F0">
        <w:trPr>
          <w:cnfStyle w:val="000000100000"/>
          <w:trHeight w:val="300"/>
        </w:trPr>
        <w:tc>
          <w:tcPr>
            <w:cnfStyle w:val="001000000000"/>
            <w:tcW w:w="2173" w:type="dxa"/>
            <w:noWrap/>
            <w:hideMark/>
          </w:tcPr>
          <w:p w:rsidR="00AB4EB5" w:rsidRPr="001D75F0" w:rsidRDefault="00AB4EB5" w:rsidP="00AB4EB5">
            <w:pPr>
              <w:rPr>
                <w:rFonts w:eastAsia="Times New Roman" w:cs="Times New Roman"/>
                <w:color w:val="000000"/>
              </w:rPr>
            </w:pPr>
            <w:r w:rsidRPr="001D75F0">
              <w:rPr>
                <w:rFonts w:eastAsia="Times New Roman" w:cs="Times New Roman"/>
                <w:color w:val="000000"/>
              </w:rPr>
              <w:t>NO</w:t>
            </w:r>
            <w:r w:rsidRPr="001D75F0">
              <w:rPr>
                <w:rFonts w:eastAsia="Times New Roman" w:cs="Times New Roman"/>
                <w:color w:val="000000"/>
                <w:vertAlign w:val="subscript"/>
              </w:rPr>
              <w:t>2</w:t>
            </w:r>
            <w:r w:rsidRPr="001D75F0">
              <w:rPr>
                <w:rFonts w:eastAsia="Times New Roman" w:cs="Times New Roman"/>
                <w:color w:val="000000"/>
                <w:vertAlign w:val="superscript"/>
              </w:rPr>
              <w:t>-</w:t>
            </w:r>
            <w:r w:rsidRPr="001D75F0">
              <w:rPr>
                <w:rFonts w:eastAsia="Times New Roman" w:cs="Times New Roman"/>
                <w:color w:val="000000"/>
              </w:rPr>
              <w:t xml:space="preserve"> (mg L</w:t>
            </w:r>
            <w:r w:rsidRPr="001D75F0">
              <w:rPr>
                <w:rFonts w:eastAsia="Times New Roman" w:cs="Times New Roman"/>
                <w:color w:val="000000"/>
                <w:vertAlign w:val="superscript"/>
              </w:rPr>
              <w:t>-1</w:t>
            </w:r>
            <w:r w:rsidRPr="001D75F0">
              <w:rPr>
                <w:rFonts w:eastAsia="Times New Roman" w:cs="Times New Roman"/>
                <w:color w:val="000000"/>
              </w:rPr>
              <w:t>)</w:t>
            </w:r>
          </w:p>
        </w:tc>
        <w:tc>
          <w:tcPr>
            <w:tcW w:w="891" w:type="dxa"/>
            <w:noWrap/>
            <w:hideMark/>
          </w:tcPr>
          <w:p w:rsidR="00AB4EB5" w:rsidRPr="001D75F0" w:rsidRDefault="00AB4EB5" w:rsidP="00AB4EB5">
            <w:pPr>
              <w:cnfStyle w:val="000000100000"/>
              <w:rPr>
                <w:rFonts w:eastAsia="Times New Roman" w:cs="Times New Roman"/>
                <w:color w:val="000000"/>
              </w:rPr>
            </w:pPr>
            <w:r w:rsidRPr="001D75F0">
              <w:rPr>
                <w:rFonts w:eastAsia="Times New Roman" w:cs="Times New Roman"/>
                <w:color w:val="000000"/>
              </w:rPr>
              <w:t>Surface</w:t>
            </w:r>
          </w:p>
        </w:tc>
        <w:tc>
          <w:tcPr>
            <w:tcW w:w="960" w:type="dxa"/>
            <w:noWrap/>
            <w:hideMark/>
          </w:tcPr>
          <w:p w:rsidR="00AB4EB5" w:rsidRPr="001D75F0" w:rsidRDefault="00AB4EB5" w:rsidP="00AB4EB5">
            <w:pPr>
              <w:jc w:val="right"/>
              <w:cnfStyle w:val="000000100000"/>
              <w:rPr>
                <w:rFonts w:eastAsia="Times New Roman" w:cs="Times New Roman"/>
                <w:color w:val="000000"/>
              </w:rPr>
            </w:pPr>
            <w:r w:rsidRPr="001D75F0">
              <w:rPr>
                <w:rFonts w:eastAsia="Times New Roman" w:cs="Times New Roman"/>
                <w:color w:val="000000"/>
              </w:rPr>
              <w:t>0.00056</w:t>
            </w:r>
          </w:p>
        </w:tc>
        <w:tc>
          <w:tcPr>
            <w:tcW w:w="1111" w:type="dxa"/>
            <w:noWrap/>
            <w:hideMark/>
          </w:tcPr>
          <w:p w:rsidR="00AB4EB5" w:rsidRPr="001D75F0" w:rsidRDefault="00AB4EB5" w:rsidP="00AB4EB5">
            <w:pPr>
              <w:jc w:val="right"/>
              <w:cnfStyle w:val="000000100000"/>
              <w:rPr>
                <w:rFonts w:eastAsia="Times New Roman" w:cs="Times New Roman"/>
                <w:color w:val="000000"/>
              </w:rPr>
            </w:pPr>
            <w:r w:rsidRPr="001D75F0">
              <w:rPr>
                <w:rFonts w:eastAsia="Times New Roman" w:cs="Times New Roman"/>
                <w:color w:val="000000"/>
              </w:rPr>
              <w:t>0</w:t>
            </w:r>
          </w:p>
        </w:tc>
        <w:tc>
          <w:tcPr>
            <w:tcW w:w="1148" w:type="dxa"/>
            <w:noWrap/>
            <w:hideMark/>
          </w:tcPr>
          <w:p w:rsidR="00AB4EB5" w:rsidRPr="001D75F0" w:rsidRDefault="00AB4EB5" w:rsidP="00AB4EB5">
            <w:pPr>
              <w:jc w:val="right"/>
              <w:cnfStyle w:val="000000100000"/>
              <w:rPr>
                <w:rFonts w:eastAsia="Times New Roman" w:cs="Times New Roman"/>
                <w:color w:val="000000"/>
              </w:rPr>
            </w:pPr>
            <w:r w:rsidRPr="001D75F0">
              <w:rPr>
                <w:rFonts w:eastAsia="Times New Roman" w:cs="Times New Roman"/>
                <w:color w:val="000000"/>
              </w:rPr>
              <w:t>0.00462</w:t>
            </w:r>
          </w:p>
        </w:tc>
      </w:tr>
      <w:tr w:rsidR="00AB4EB5" w:rsidRPr="001D75F0" w:rsidTr="001D75F0">
        <w:trPr>
          <w:cnfStyle w:val="000000010000"/>
          <w:trHeight w:val="300"/>
        </w:trPr>
        <w:tc>
          <w:tcPr>
            <w:cnfStyle w:val="001000000000"/>
            <w:tcW w:w="2173" w:type="dxa"/>
            <w:noWrap/>
            <w:hideMark/>
          </w:tcPr>
          <w:p w:rsidR="00AB4EB5" w:rsidRPr="001D75F0" w:rsidRDefault="00AB4EB5" w:rsidP="00AB4EB5">
            <w:pPr>
              <w:rPr>
                <w:rFonts w:eastAsia="Times New Roman" w:cs="Times New Roman"/>
                <w:color w:val="000000"/>
              </w:rPr>
            </w:pPr>
          </w:p>
        </w:tc>
        <w:tc>
          <w:tcPr>
            <w:tcW w:w="891" w:type="dxa"/>
            <w:noWrap/>
            <w:hideMark/>
          </w:tcPr>
          <w:p w:rsidR="00AB4EB5" w:rsidRPr="001D75F0" w:rsidRDefault="00AB4EB5" w:rsidP="00AB4EB5">
            <w:pPr>
              <w:cnfStyle w:val="000000010000"/>
              <w:rPr>
                <w:rFonts w:eastAsia="Times New Roman" w:cs="Times New Roman"/>
                <w:color w:val="000000"/>
              </w:rPr>
            </w:pPr>
            <w:r w:rsidRPr="001D75F0">
              <w:rPr>
                <w:rFonts w:eastAsia="Times New Roman" w:cs="Times New Roman"/>
                <w:color w:val="000000"/>
              </w:rPr>
              <w:t>Bottom</w:t>
            </w:r>
          </w:p>
        </w:tc>
        <w:tc>
          <w:tcPr>
            <w:tcW w:w="960" w:type="dxa"/>
            <w:noWrap/>
            <w:hideMark/>
          </w:tcPr>
          <w:p w:rsidR="00AB4EB5" w:rsidRPr="001D75F0" w:rsidRDefault="00AB4EB5" w:rsidP="00AB4EB5">
            <w:pPr>
              <w:jc w:val="right"/>
              <w:cnfStyle w:val="000000010000"/>
              <w:rPr>
                <w:rFonts w:eastAsia="Times New Roman" w:cs="Times New Roman"/>
                <w:color w:val="000000"/>
              </w:rPr>
            </w:pPr>
            <w:r w:rsidRPr="001D75F0">
              <w:rPr>
                <w:rFonts w:eastAsia="Times New Roman" w:cs="Times New Roman"/>
                <w:color w:val="000000"/>
              </w:rPr>
              <w:t>0.00042</w:t>
            </w:r>
          </w:p>
        </w:tc>
        <w:tc>
          <w:tcPr>
            <w:tcW w:w="1111" w:type="dxa"/>
            <w:noWrap/>
            <w:hideMark/>
          </w:tcPr>
          <w:p w:rsidR="00AB4EB5" w:rsidRPr="001D75F0" w:rsidRDefault="00AB4EB5" w:rsidP="00AB4EB5">
            <w:pPr>
              <w:jc w:val="right"/>
              <w:cnfStyle w:val="000000010000"/>
              <w:rPr>
                <w:rFonts w:eastAsia="Times New Roman" w:cs="Times New Roman"/>
                <w:color w:val="000000"/>
              </w:rPr>
            </w:pPr>
            <w:r w:rsidRPr="001D75F0">
              <w:rPr>
                <w:rFonts w:eastAsia="Times New Roman" w:cs="Times New Roman"/>
                <w:color w:val="000000"/>
              </w:rPr>
              <w:t>0</w:t>
            </w:r>
          </w:p>
        </w:tc>
        <w:tc>
          <w:tcPr>
            <w:tcW w:w="1148" w:type="dxa"/>
            <w:noWrap/>
            <w:hideMark/>
          </w:tcPr>
          <w:p w:rsidR="00AB4EB5" w:rsidRPr="001D75F0" w:rsidRDefault="00AB4EB5" w:rsidP="00AB4EB5">
            <w:pPr>
              <w:jc w:val="right"/>
              <w:cnfStyle w:val="000000010000"/>
              <w:rPr>
                <w:rFonts w:eastAsia="Times New Roman" w:cs="Times New Roman"/>
                <w:color w:val="000000"/>
              </w:rPr>
            </w:pPr>
            <w:r w:rsidRPr="001D75F0">
              <w:rPr>
                <w:rFonts w:eastAsia="Times New Roman" w:cs="Times New Roman"/>
                <w:color w:val="000000"/>
              </w:rPr>
              <w:t>0.00266</w:t>
            </w:r>
          </w:p>
        </w:tc>
      </w:tr>
      <w:tr w:rsidR="001D75F0" w:rsidRPr="001D75F0" w:rsidTr="001D75F0">
        <w:trPr>
          <w:cnfStyle w:val="000000100000"/>
          <w:trHeight w:val="300"/>
        </w:trPr>
        <w:tc>
          <w:tcPr>
            <w:cnfStyle w:val="001000000000"/>
            <w:tcW w:w="2173" w:type="dxa"/>
            <w:noWrap/>
            <w:hideMark/>
          </w:tcPr>
          <w:p w:rsidR="00AB4EB5" w:rsidRPr="001D75F0" w:rsidRDefault="00AB4EB5" w:rsidP="00AB4EB5">
            <w:pPr>
              <w:rPr>
                <w:rFonts w:eastAsia="Times New Roman" w:cs="Times New Roman"/>
                <w:color w:val="000000"/>
              </w:rPr>
            </w:pPr>
            <w:r w:rsidRPr="001D75F0">
              <w:rPr>
                <w:rFonts w:eastAsia="Times New Roman" w:cs="Times New Roman"/>
                <w:color w:val="000000"/>
              </w:rPr>
              <w:t>NH</w:t>
            </w:r>
            <w:r w:rsidRPr="001D75F0">
              <w:rPr>
                <w:rFonts w:eastAsia="Times New Roman" w:cs="Times New Roman"/>
                <w:color w:val="000000"/>
                <w:vertAlign w:val="subscript"/>
              </w:rPr>
              <w:t>4</w:t>
            </w:r>
            <w:r w:rsidRPr="001D75F0">
              <w:rPr>
                <w:rFonts w:eastAsia="Times New Roman" w:cs="Times New Roman"/>
                <w:color w:val="000000"/>
                <w:vertAlign w:val="superscript"/>
              </w:rPr>
              <w:t>+</w:t>
            </w:r>
            <w:r w:rsidRPr="001D75F0">
              <w:rPr>
                <w:rFonts w:eastAsia="Times New Roman" w:cs="Times New Roman"/>
                <w:color w:val="000000"/>
              </w:rPr>
              <w:t xml:space="preserve"> (mg L</w:t>
            </w:r>
            <w:r w:rsidRPr="001D75F0">
              <w:rPr>
                <w:rFonts w:eastAsia="Times New Roman" w:cs="Times New Roman"/>
                <w:color w:val="000000"/>
                <w:vertAlign w:val="superscript"/>
              </w:rPr>
              <w:t>-1</w:t>
            </w:r>
            <w:r w:rsidRPr="001D75F0">
              <w:rPr>
                <w:rFonts w:eastAsia="Times New Roman" w:cs="Times New Roman"/>
                <w:color w:val="000000"/>
              </w:rPr>
              <w:t>)</w:t>
            </w:r>
          </w:p>
        </w:tc>
        <w:tc>
          <w:tcPr>
            <w:tcW w:w="891" w:type="dxa"/>
            <w:noWrap/>
            <w:hideMark/>
          </w:tcPr>
          <w:p w:rsidR="00AB4EB5" w:rsidRPr="001D75F0" w:rsidRDefault="00AB4EB5" w:rsidP="00AB4EB5">
            <w:pPr>
              <w:cnfStyle w:val="000000100000"/>
              <w:rPr>
                <w:rFonts w:eastAsia="Times New Roman" w:cs="Times New Roman"/>
                <w:color w:val="000000"/>
              </w:rPr>
            </w:pPr>
            <w:r w:rsidRPr="001D75F0">
              <w:rPr>
                <w:rFonts w:eastAsia="Times New Roman" w:cs="Times New Roman"/>
                <w:color w:val="000000"/>
              </w:rPr>
              <w:t>Surface</w:t>
            </w:r>
          </w:p>
        </w:tc>
        <w:tc>
          <w:tcPr>
            <w:tcW w:w="960" w:type="dxa"/>
            <w:noWrap/>
            <w:hideMark/>
          </w:tcPr>
          <w:p w:rsidR="00AB4EB5" w:rsidRPr="001D75F0" w:rsidRDefault="00AB4EB5" w:rsidP="00AB4EB5">
            <w:pPr>
              <w:jc w:val="right"/>
              <w:cnfStyle w:val="000000100000"/>
              <w:rPr>
                <w:rFonts w:eastAsia="Times New Roman" w:cs="Times New Roman"/>
                <w:color w:val="000000"/>
              </w:rPr>
            </w:pPr>
            <w:r w:rsidRPr="001D75F0">
              <w:rPr>
                <w:rFonts w:eastAsia="Times New Roman" w:cs="Times New Roman"/>
                <w:color w:val="000000"/>
              </w:rPr>
              <w:t>0.00686</w:t>
            </w:r>
          </w:p>
        </w:tc>
        <w:tc>
          <w:tcPr>
            <w:tcW w:w="1111" w:type="dxa"/>
            <w:noWrap/>
            <w:hideMark/>
          </w:tcPr>
          <w:p w:rsidR="00AB4EB5" w:rsidRPr="001D75F0" w:rsidRDefault="00AB4EB5" w:rsidP="00AB4EB5">
            <w:pPr>
              <w:jc w:val="right"/>
              <w:cnfStyle w:val="000000100000"/>
              <w:rPr>
                <w:rFonts w:eastAsia="Times New Roman" w:cs="Times New Roman"/>
                <w:color w:val="000000"/>
              </w:rPr>
            </w:pPr>
            <w:r w:rsidRPr="001D75F0">
              <w:rPr>
                <w:rFonts w:eastAsia="Times New Roman" w:cs="Times New Roman"/>
                <w:color w:val="000000"/>
              </w:rPr>
              <w:t>0.00042</w:t>
            </w:r>
          </w:p>
        </w:tc>
        <w:tc>
          <w:tcPr>
            <w:tcW w:w="1148" w:type="dxa"/>
            <w:noWrap/>
            <w:hideMark/>
          </w:tcPr>
          <w:p w:rsidR="00AB4EB5" w:rsidRPr="001D75F0" w:rsidRDefault="00AB4EB5" w:rsidP="00AB4EB5">
            <w:pPr>
              <w:jc w:val="right"/>
              <w:cnfStyle w:val="000000100000"/>
              <w:rPr>
                <w:rFonts w:eastAsia="Times New Roman" w:cs="Times New Roman"/>
                <w:color w:val="000000"/>
              </w:rPr>
            </w:pPr>
            <w:r w:rsidRPr="001D75F0">
              <w:rPr>
                <w:rFonts w:eastAsia="Times New Roman" w:cs="Times New Roman"/>
                <w:color w:val="000000"/>
              </w:rPr>
              <w:t>0.10598</w:t>
            </w:r>
          </w:p>
        </w:tc>
      </w:tr>
      <w:tr w:rsidR="00AB4EB5" w:rsidRPr="001D75F0" w:rsidTr="001D75F0">
        <w:trPr>
          <w:cnfStyle w:val="000000010000"/>
          <w:trHeight w:val="300"/>
        </w:trPr>
        <w:tc>
          <w:tcPr>
            <w:cnfStyle w:val="001000000000"/>
            <w:tcW w:w="2173" w:type="dxa"/>
            <w:noWrap/>
            <w:hideMark/>
          </w:tcPr>
          <w:p w:rsidR="00AB4EB5" w:rsidRPr="001D75F0" w:rsidRDefault="00AB4EB5" w:rsidP="00AB4EB5">
            <w:pPr>
              <w:rPr>
                <w:rFonts w:eastAsia="Times New Roman" w:cs="Times New Roman"/>
                <w:color w:val="000000"/>
              </w:rPr>
            </w:pPr>
          </w:p>
        </w:tc>
        <w:tc>
          <w:tcPr>
            <w:tcW w:w="891" w:type="dxa"/>
            <w:noWrap/>
            <w:hideMark/>
          </w:tcPr>
          <w:p w:rsidR="00AB4EB5" w:rsidRPr="001D75F0" w:rsidRDefault="00AB4EB5" w:rsidP="00AB4EB5">
            <w:pPr>
              <w:cnfStyle w:val="000000010000"/>
              <w:rPr>
                <w:rFonts w:eastAsia="Times New Roman" w:cs="Times New Roman"/>
                <w:color w:val="000000"/>
              </w:rPr>
            </w:pPr>
            <w:r w:rsidRPr="001D75F0">
              <w:rPr>
                <w:rFonts w:eastAsia="Times New Roman" w:cs="Times New Roman"/>
                <w:color w:val="000000"/>
              </w:rPr>
              <w:t>Bottom</w:t>
            </w:r>
          </w:p>
        </w:tc>
        <w:tc>
          <w:tcPr>
            <w:tcW w:w="960" w:type="dxa"/>
            <w:noWrap/>
            <w:hideMark/>
          </w:tcPr>
          <w:p w:rsidR="00AB4EB5" w:rsidRPr="001D75F0" w:rsidRDefault="00AB4EB5" w:rsidP="00AB4EB5">
            <w:pPr>
              <w:jc w:val="right"/>
              <w:cnfStyle w:val="000000010000"/>
              <w:rPr>
                <w:rFonts w:eastAsia="Times New Roman" w:cs="Times New Roman"/>
                <w:color w:val="000000"/>
              </w:rPr>
            </w:pPr>
            <w:r w:rsidRPr="001D75F0">
              <w:rPr>
                <w:rFonts w:eastAsia="Times New Roman" w:cs="Times New Roman"/>
                <w:color w:val="000000"/>
              </w:rPr>
              <w:t>0.0042</w:t>
            </w:r>
          </w:p>
        </w:tc>
        <w:tc>
          <w:tcPr>
            <w:tcW w:w="1111" w:type="dxa"/>
            <w:noWrap/>
            <w:hideMark/>
          </w:tcPr>
          <w:p w:rsidR="00AB4EB5" w:rsidRPr="001D75F0" w:rsidRDefault="00AB4EB5" w:rsidP="00AB4EB5">
            <w:pPr>
              <w:jc w:val="right"/>
              <w:cnfStyle w:val="000000010000"/>
              <w:rPr>
                <w:rFonts w:eastAsia="Times New Roman" w:cs="Times New Roman"/>
                <w:color w:val="000000"/>
              </w:rPr>
            </w:pPr>
            <w:r w:rsidRPr="001D75F0">
              <w:rPr>
                <w:rFonts w:eastAsia="Times New Roman" w:cs="Times New Roman"/>
                <w:color w:val="000000"/>
              </w:rPr>
              <w:t>0.00014</w:t>
            </w:r>
          </w:p>
        </w:tc>
        <w:tc>
          <w:tcPr>
            <w:tcW w:w="1148" w:type="dxa"/>
            <w:noWrap/>
            <w:hideMark/>
          </w:tcPr>
          <w:p w:rsidR="00AB4EB5" w:rsidRPr="001D75F0" w:rsidRDefault="00AB4EB5" w:rsidP="00AB4EB5">
            <w:pPr>
              <w:jc w:val="right"/>
              <w:cnfStyle w:val="000000010000"/>
              <w:rPr>
                <w:rFonts w:eastAsia="Times New Roman" w:cs="Times New Roman"/>
                <w:color w:val="000000"/>
              </w:rPr>
            </w:pPr>
            <w:r w:rsidRPr="001D75F0">
              <w:rPr>
                <w:rFonts w:eastAsia="Times New Roman" w:cs="Times New Roman"/>
                <w:color w:val="000000"/>
              </w:rPr>
              <w:t>0.04676</w:t>
            </w:r>
          </w:p>
        </w:tc>
      </w:tr>
      <w:tr w:rsidR="001D75F0" w:rsidRPr="001D75F0" w:rsidTr="001D75F0">
        <w:trPr>
          <w:cnfStyle w:val="000000100000"/>
          <w:trHeight w:val="300"/>
        </w:trPr>
        <w:tc>
          <w:tcPr>
            <w:cnfStyle w:val="001000000000"/>
            <w:tcW w:w="2173" w:type="dxa"/>
            <w:noWrap/>
            <w:hideMark/>
          </w:tcPr>
          <w:p w:rsidR="00AB4EB5" w:rsidRPr="001D75F0" w:rsidRDefault="00AB4EB5" w:rsidP="00AB4EB5">
            <w:pPr>
              <w:rPr>
                <w:rFonts w:eastAsia="Times New Roman" w:cs="Times New Roman"/>
                <w:color w:val="000000"/>
              </w:rPr>
            </w:pPr>
            <w:r w:rsidRPr="001D75F0">
              <w:rPr>
                <w:rFonts w:eastAsia="Times New Roman" w:cs="Times New Roman"/>
                <w:color w:val="000000"/>
              </w:rPr>
              <w:t>TN (mg L</w:t>
            </w:r>
            <w:r w:rsidRPr="001D75F0">
              <w:rPr>
                <w:rFonts w:eastAsia="Times New Roman" w:cs="Times New Roman"/>
                <w:color w:val="000000"/>
                <w:vertAlign w:val="superscript"/>
              </w:rPr>
              <w:t>-1</w:t>
            </w:r>
            <w:r w:rsidRPr="001D75F0">
              <w:rPr>
                <w:rFonts w:eastAsia="Times New Roman" w:cs="Times New Roman"/>
                <w:color w:val="000000"/>
              </w:rPr>
              <w:t>)</w:t>
            </w:r>
          </w:p>
        </w:tc>
        <w:tc>
          <w:tcPr>
            <w:tcW w:w="891" w:type="dxa"/>
            <w:noWrap/>
            <w:hideMark/>
          </w:tcPr>
          <w:p w:rsidR="00AB4EB5" w:rsidRPr="001D75F0" w:rsidRDefault="00AB4EB5" w:rsidP="00AB4EB5">
            <w:pPr>
              <w:cnfStyle w:val="000000100000"/>
              <w:rPr>
                <w:rFonts w:eastAsia="Times New Roman" w:cs="Times New Roman"/>
                <w:color w:val="000000"/>
              </w:rPr>
            </w:pPr>
            <w:r w:rsidRPr="001D75F0">
              <w:rPr>
                <w:rFonts w:eastAsia="Times New Roman" w:cs="Times New Roman"/>
                <w:color w:val="000000"/>
              </w:rPr>
              <w:t>Surface</w:t>
            </w:r>
          </w:p>
        </w:tc>
        <w:tc>
          <w:tcPr>
            <w:tcW w:w="960" w:type="dxa"/>
            <w:noWrap/>
            <w:hideMark/>
          </w:tcPr>
          <w:p w:rsidR="00AB4EB5" w:rsidRPr="001D75F0" w:rsidRDefault="00AB4EB5" w:rsidP="00AB4EB5">
            <w:pPr>
              <w:jc w:val="right"/>
              <w:cnfStyle w:val="000000100000"/>
              <w:rPr>
                <w:rFonts w:eastAsia="Times New Roman" w:cs="Times New Roman"/>
                <w:color w:val="000000"/>
              </w:rPr>
            </w:pPr>
            <w:r w:rsidRPr="001D75F0">
              <w:rPr>
                <w:rFonts w:eastAsia="Times New Roman" w:cs="Times New Roman"/>
                <w:color w:val="000000"/>
              </w:rPr>
              <w:t>0.1435</w:t>
            </w:r>
          </w:p>
        </w:tc>
        <w:tc>
          <w:tcPr>
            <w:tcW w:w="1111" w:type="dxa"/>
            <w:noWrap/>
            <w:hideMark/>
          </w:tcPr>
          <w:p w:rsidR="00AB4EB5" w:rsidRPr="001D75F0" w:rsidRDefault="00AB4EB5" w:rsidP="00AB4EB5">
            <w:pPr>
              <w:jc w:val="right"/>
              <w:cnfStyle w:val="000000100000"/>
              <w:rPr>
                <w:rFonts w:eastAsia="Times New Roman" w:cs="Times New Roman"/>
                <w:color w:val="000000"/>
              </w:rPr>
            </w:pPr>
            <w:r w:rsidRPr="001D75F0">
              <w:rPr>
                <w:rFonts w:eastAsia="Times New Roman" w:cs="Times New Roman"/>
                <w:color w:val="000000"/>
              </w:rPr>
              <w:t>0.0546</w:t>
            </w:r>
          </w:p>
        </w:tc>
        <w:tc>
          <w:tcPr>
            <w:tcW w:w="1148" w:type="dxa"/>
            <w:noWrap/>
            <w:hideMark/>
          </w:tcPr>
          <w:p w:rsidR="00AB4EB5" w:rsidRPr="001D75F0" w:rsidRDefault="00AB4EB5" w:rsidP="00AB4EB5">
            <w:pPr>
              <w:jc w:val="right"/>
              <w:cnfStyle w:val="000000100000"/>
              <w:rPr>
                <w:rFonts w:eastAsia="Times New Roman" w:cs="Times New Roman"/>
                <w:color w:val="000000"/>
              </w:rPr>
            </w:pPr>
            <w:r w:rsidRPr="001D75F0">
              <w:rPr>
                <w:rFonts w:eastAsia="Times New Roman" w:cs="Times New Roman"/>
                <w:color w:val="000000"/>
              </w:rPr>
              <w:t>0.69188</w:t>
            </w:r>
          </w:p>
        </w:tc>
      </w:tr>
      <w:tr w:rsidR="00AB4EB5" w:rsidRPr="001D75F0" w:rsidTr="001D75F0">
        <w:trPr>
          <w:cnfStyle w:val="000000010000"/>
          <w:trHeight w:val="300"/>
        </w:trPr>
        <w:tc>
          <w:tcPr>
            <w:cnfStyle w:val="001000000000"/>
            <w:tcW w:w="2173" w:type="dxa"/>
            <w:noWrap/>
            <w:hideMark/>
          </w:tcPr>
          <w:p w:rsidR="00AB4EB5" w:rsidRPr="001D75F0" w:rsidRDefault="00AB4EB5" w:rsidP="00AB4EB5">
            <w:pPr>
              <w:rPr>
                <w:rFonts w:eastAsia="Times New Roman" w:cs="Times New Roman"/>
                <w:color w:val="000000"/>
              </w:rPr>
            </w:pPr>
          </w:p>
        </w:tc>
        <w:tc>
          <w:tcPr>
            <w:tcW w:w="891" w:type="dxa"/>
            <w:noWrap/>
            <w:hideMark/>
          </w:tcPr>
          <w:p w:rsidR="00AB4EB5" w:rsidRPr="001D75F0" w:rsidRDefault="00AB4EB5" w:rsidP="00AB4EB5">
            <w:pPr>
              <w:cnfStyle w:val="000000010000"/>
              <w:rPr>
                <w:rFonts w:eastAsia="Times New Roman" w:cs="Times New Roman"/>
                <w:color w:val="000000"/>
              </w:rPr>
            </w:pPr>
            <w:r w:rsidRPr="001D75F0">
              <w:rPr>
                <w:rFonts w:eastAsia="Times New Roman" w:cs="Times New Roman"/>
                <w:color w:val="000000"/>
              </w:rPr>
              <w:t>Bottom</w:t>
            </w:r>
          </w:p>
        </w:tc>
        <w:tc>
          <w:tcPr>
            <w:tcW w:w="960" w:type="dxa"/>
            <w:noWrap/>
            <w:hideMark/>
          </w:tcPr>
          <w:p w:rsidR="00AB4EB5" w:rsidRPr="001D75F0" w:rsidRDefault="00AB4EB5" w:rsidP="00AB4EB5">
            <w:pPr>
              <w:jc w:val="right"/>
              <w:cnfStyle w:val="000000010000"/>
              <w:rPr>
                <w:rFonts w:eastAsia="Times New Roman" w:cs="Times New Roman"/>
                <w:color w:val="000000"/>
              </w:rPr>
            </w:pPr>
            <w:r w:rsidRPr="001D75F0">
              <w:rPr>
                <w:rFonts w:eastAsia="Times New Roman" w:cs="Times New Roman"/>
                <w:color w:val="000000"/>
              </w:rPr>
              <w:t>0.1211</w:t>
            </w:r>
          </w:p>
        </w:tc>
        <w:tc>
          <w:tcPr>
            <w:tcW w:w="1111" w:type="dxa"/>
            <w:noWrap/>
            <w:hideMark/>
          </w:tcPr>
          <w:p w:rsidR="00AB4EB5" w:rsidRPr="001D75F0" w:rsidRDefault="00AB4EB5" w:rsidP="00AB4EB5">
            <w:pPr>
              <w:jc w:val="right"/>
              <w:cnfStyle w:val="000000010000"/>
              <w:rPr>
                <w:rFonts w:eastAsia="Times New Roman" w:cs="Times New Roman"/>
                <w:color w:val="000000"/>
              </w:rPr>
            </w:pPr>
            <w:r w:rsidRPr="001D75F0">
              <w:rPr>
                <w:rFonts w:eastAsia="Times New Roman" w:cs="Times New Roman"/>
                <w:color w:val="000000"/>
              </w:rPr>
              <w:t>0.04438</w:t>
            </w:r>
          </w:p>
        </w:tc>
        <w:tc>
          <w:tcPr>
            <w:tcW w:w="1148" w:type="dxa"/>
            <w:noWrap/>
            <w:hideMark/>
          </w:tcPr>
          <w:p w:rsidR="00AB4EB5" w:rsidRPr="001D75F0" w:rsidRDefault="00AB4EB5" w:rsidP="00AB4EB5">
            <w:pPr>
              <w:jc w:val="right"/>
              <w:cnfStyle w:val="000000010000"/>
              <w:rPr>
                <w:rFonts w:eastAsia="Times New Roman" w:cs="Times New Roman"/>
                <w:color w:val="000000"/>
              </w:rPr>
            </w:pPr>
            <w:r w:rsidRPr="001D75F0">
              <w:rPr>
                <w:rFonts w:eastAsia="Times New Roman" w:cs="Times New Roman"/>
                <w:color w:val="000000"/>
              </w:rPr>
              <w:t>1.35772</w:t>
            </w:r>
          </w:p>
        </w:tc>
      </w:tr>
      <w:tr w:rsidR="001D75F0" w:rsidRPr="001D75F0" w:rsidTr="001D75F0">
        <w:trPr>
          <w:cnfStyle w:val="000000100000"/>
          <w:trHeight w:val="300"/>
        </w:trPr>
        <w:tc>
          <w:tcPr>
            <w:cnfStyle w:val="001000000000"/>
            <w:tcW w:w="2173" w:type="dxa"/>
            <w:noWrap/>
            <w:hideMark/>
          </w:tcPr>
          <w:p w:rsidR="00AB4EB5" w:rsidRPr="001D75F0" w:rsidRDefault="00AB4EB5" w:rsidP="00AB4EB5">
            <w:pPr>
              <w:rPr>
                <w:rFonts w:eastAsia="Times New Roman" w:cs="Times New Roman"/>
                <w:color w:val="000000"/>
              </w:rPr>
            </w:pPr>
            <w:r w:rsidRPr="001D75F0">
              <w:rPr>
                <w:rFonts w:eastAsia="Times New Roman" w:cs="Times New Roman"/>
                <w:color w:val="000000"/>
              </w:rPr>
              <w:t>TON (mg L</w:t>
            </w:r>
            <w:r w:rsidRPr="001D75F0">
              <w:rPr>
                <w:rFonts w:eastAsia="Times New Roman" w:cs="Times New Roman"/>
                <w:color w:val="000000"/>
                <w:vertAlign w:val="superscript"/>
              </w:rPr>
              <w:t>-1</w:t>
            </w:r>
            <w:r w:rsidRPr="001D75F0">
              <w:rPr>
                <w:rFonts w:eastAsia="Times New Roman" w:cs="Times New Roman"/>
                <w:color w:val="000000"/>
              </w:rPr>
              <w:t>)</w:t>
            </w:r>
          </w:p>
        </w:tc>
        <w:tc>
          <w:tcPr>
            <w:tcW w:w="891" w:type="dxa"/>
            <w:noWrap/>
            <w:hideMark/>
          </w:tcPr>
          <w:p w:rsidR="00AB4EB5" w:rsidRPr="001D75F0" w:rsidRDefault="00AB4EB5" w:rsidP="00AB4EB5">
            <w:pPr>
              <w:cnfStyle w:val="000000100000"/>
              <w:rPr>
                <w:rFonts w:eastAsia="Times New Roman" w:cs="Times New Roman"/>
                <w:color w:val="000000"/>
              </w:rPr>
            </w:pPr>
            <w:r w:rsidRPr="001D75F0">
              <w:rPr>
                <w:rFonts w:eastAsia="Times New Roman" w:cs="Times New Roman"/>
                <w:color w:val="000000"/>
              </w:rPr>
              <w:t>Surface</w:t>
            </w:r>
          </w:p>
        </w:tc>
        <w:tc>
          <w:tcPr>
            <w:tcW w:w="960" w:type="dxa"/>
            <w:noWrap/>
            <w:hideMark/>
          </w:tcPr>
          <w:p w:rsidR="00AB4EB5" w:rsidRPr="001D75F0" w:rsidRDefault="00AB4EB5" w:rsidP="00AB4EB5">
            <w:pPr>
              <w:jc w:val="right"/>
              <w:cnfStyle w:val="000000100000"/>
              <w:rPr>
                <w:rFonts w:eastAsia="Times New Roman" w:cs="Times New Roman"/>
                <w:color w:val="000000"/>
              </w:rPr>
            </w:pPr>
            <w:r w:rsidRPr="001D75F0">
              <w:rPr>
                <w:rFonts w:eastAsia="Times New Roman" w:cs="Times New Roman"/>
                <w:color w:val="000000"/>
              </w:rPr>
              <w:t>0.12362</w:t>
            </w:r>
          </w:p>
        </w:tc>
        <w:tc>
          <w:tcPr>
            <w:tcW w:w="1111" w:type="dxa"/>
            <w:noWrap/>
            <w:hideMark/>
          </w:tcPr>
          <w:p w:rsidR="00AB4EB5" w:rsidRPr="001D75F0" w:rsidRDefault="00AB4EB5" w:rsidP="00AB4EB5">
            <w:pPr>
              <w:jc w:val="right"/>
              <w:cnfStyle w:val="000000100000"/>
              <w:rPr>
                <w:rFonts w:eastAsia="Times New Roman" w:cs="Times New Roman"/>
                <w:color w:val="000000"/>
              </w:rPr>
            </w:pPr>
            <w:r w:rsidRPr="001D75F0">
              <w:rPr>
                <w:rFonts w:eastAsia="Times New Roman" w:cs="Times New Roman"/>
                <w:color w:val="000000"/>
              </w:rPr>
              <w:t>0</w:t>
            </w:r>
          </w:p>
        </w:tc>
        <w:tc>
          <w:tcPr>
            <w:tcW w:w="1148" w:type="dxa"/>
            <w:noWrap/>
            <w:hideMark/>
          </w:tcPr>
          <w:p w:rsidR="00AB4EB5" w:rsidRPr="001D75F0" w:rsidRDefault="00AB4EB5" w:rsidP="00AB4EB5">
            <w:pPr>
              <w:jc w:val="right"/>
              <w:cnfStyle w:val="000000100000"/>
              <w:rPr>
                <w:rFonts w:eastAsia="Times New Roman" w:cs="Times New Roman"/>
                <w:color w:val="000000"/>
              </w:rPr>
            </w:pPr>
            <w:r w:rsidRPr="001D75F0">
              <w:rPr>
                <w:rFonts w:eastAsia="Times New Roman" w:cs="Times New Roman"/>
                <w:color w:val="000000"/>
              </w:rPr>
              <w:t>0.68754</w:t>
            </w:r>
          </w:p>
        </w:tc>
      </w:tr>
      <w:tr w:rsidR="00AB4EB5" w:rsidRPr="001D75F0" w:rsidTr="001D75F0">
        <w:trPr>
          <w:cnfStyle w:val="000000010000"/>
          <w:trHeight w:val="300"/>
        </w:trPr>
        <w:tc>
          <w:tcPr>
            <w:cnfStyle w:val="001000000000"/>
            <w:tcW w:w="2173" w:type="dxa"/>
            <w:noWrap/>
            <w:hideMark/>
          </w:tcPr>
          <w:p w:rsidR="00AB4EB5" w:rsidRPr="001D75F0" w:rsidRDefault="00AB4EB5" w:rsidP="00AB4EB5">
            <w:pPr>
              <w:rPr>
                <w:rFonts w:eastAsia="Times New Roman" w:cs="Times New Roman"/>
                <w:color w:val="000000"/>
              </w:rPr>
            </w:pPr>
          </w:p>
        </w:tc>
        <w:tc>
          <w:tcPr>
            <w:tcW w:w="891" w:type="dxa"/>
            <w:noWrap/>
            <w:hideMark/>
          </w:tcPr>
          <w:p w:rsidR="00AB4EB5" w:rsidRPr="001D75F0" w:rsidRDefault="00AB4EB5" w:rsidP="00AB4EB5">
            <w:pPr>
              <w:cnfStyle w:val="000000010000"/>
              <w:rPr>
                <w:rFonts w:eastAsia="Times New Roman" w:cs="Times New Roman"/>
                <w:color w:val="000000"/>
              </w:rPr>
            </w:pPr>
            <w:r w:rsidRPr="001D75F0">
              <w:rPr>
                <w:rFonts w:eastAsia="Times New Roman" w:cs="Times New Roman"/>
                <w:color w:val="000000"/>
              </w:rPr>
              <w:t>Bottom</w:t>
            </w:r>
          </w:p>
        </w:tc>
        <w:tc>
          <w:tcPr>
            <w:tcW w:w="960" w:type="dxa"/>
            <w:noWrap/>
            <w:hideMark/>
          </w:tcPr>
          <w:p w:rsidR="00AB4EB5" w:rsidRPr="001D75F0" w:rsidRDefault="00AB4EB5" w:rsidP="00AB4EB5">
            <w:pPr>
              <w:jc w:val="right"/>
              <w:cnfStyle w:val="000000010000"/>
              <w:rPr>
                <w:rFonts w:eastAsia="Times New Roman" w:cs="Times New Roman"/>
                <w:color w:val="000000"/>
              </w:rPr>
            </w:pPr>
            <w:r w:rsidRPr="001D75F0">
              <w:rPr>
                <w:rFonts w:eastAsia="Times New Roman" w:cs="Times New Roman"/>
                <w:color w:val="000000"/>
              </w:rPr>
              <w:t>0.1106</w:t>
            </w:r>
          </w:p>
        </w:tc>
        <w:tc>
          <w:tcPr>
            <w:tcW w:w="1111" w:type="dxa"/>
            <w:noWrap/>
            <w:hideMark/>
          </w:tcPr>
          <w:p w:rsidR="00AB4EB5" w:rsidRPr="001D75F0" w:rsidRDefault="00AB4EB5" w:rsidP="00AB4EB5">
            <w:pPr>
              <w:jc w:val="right"/>
              <w:cnfStyle w:val="000000010000"/>
              <w:rPr>
                <w:rFonts w:eastAsia="Times New Roman" w:cs="Times New Roman"/>
                <w:color w:val="000000"/>
              </w:rPr>
            </w:pPr>
            <w:r w:rsidRPr="001D75F0">
              <w:rPr>
                <w:rFonts w:eastAsia="Times New Roman" w:cs="Times New Roman"/>
                <w:color w:val="000000"/>
              </w:rPr>
              <w:t>0.02688</w:t>
            </w:r>
          </w:p>
        </w:tc>
        <w:tc>
          <w:tcPr>
            <w:tcW w:w="1148" w:type="dxa"/>
            <w:noWrap/>
            <w:hideMark/>
          </w:tcPr>
          <w:p w:rsidR="00AB4EB5" w:rsidRPr="001D75F0" w:rsidRDefault="00AB4EB5" w:rsidP="00AB4EB5">
            <w:pPr>
              <w:jc w:val="right"/>
              <w:cnfStyle w:val="000000010000"/>
              <w:rPr>
                <w:rFonts w:eastAsia="Times New Roman" w:cs="Times New Roman"/>
                <w:color w:val="000000"/>
              </w:rPr>
            </w:pPr>
            <w:r w:rsidRPr="001D75F0">
              <w:rPr>
                <w:rFonts w:eastAsia="Times New Roman" w:cs="Times New Roman"/>
                <w:color w:val="000000"/>
              </w:rPr>
              <w:t>1.3566</w:t>
            </w:r>
          </w:p>
        </w:tc>
      </w:tr>
      <w:tr w:rsidR="001D75F0" w:rsidRPr="001D75F0" w:rsidTr="001D75F0">
        <w:trPr>
          <w:cnfStyle w:val="000000100000"/>
          <w:trHeight w:val="300"/>
        </w:trPr>
        <w:tc>
          <w:tcPr>
            <w:cnfStyle w:val="001000000000"/>
            <w:tcW w:w="2173" w:type="dxa"/>
            <w:noWrap/>
            <w:hideMark/>
          </w:tcPr>
          <w:p w:rsidR="00AB4EB5" w:rsidRPr="001D75F0" w:rsidRDefault="00AB4EB5" w:rsidP="00AB4EB5">
            <w:pPr>
              <w:rPr>
                <w:rFonts w:eastAsia="Times New Roman" w:cs="Times New Roman"/>
                <w:color w:val="000000"/>
              </w:rPr>
            </w:pPr>
            <w:r w:rsidRPr="001D75F0">
              <w:rPr>
                <w:rFonts w:eastAsia="Times New Roman" w:cs="Times New Roman"/>
                <w:color w:val="000000"/>
              </w:rPr>
              <w:t>TP (mg L</w:t>
            </w:r>
            <w:r w:rsidRPr="001D75F0">
              <w:rPr>
                <w:rFonts w:eastAsia="Times New Roman" w:cs="Times New Roman"/>
                <w:color w:val="000000"/>
                <w:vertAlign w:val="superscript"/>
              </w:rPr>
              <w:t>-1</w:t>
            </w:r>
            <w:r w:rsidRPr="001D75F0">
              <w:rPr>
                <w:rFonts w:eastAsia="Times New Roman" w:cs="Times New Roman"/>
                <w:color w:val="000000"/>
              </w:rPr>
              <w:t>)</w:t>
            </w:r>
          </w:p>
        </w:tc>
        <w:tc>
          <w:tcPr>
            <w:tcW w:w="891" w:type="dxa"/>
            <w:noWrap/>
            <w:hideMark/>
          </w:tcPr>
          <w:p w:rsidR="00AB4EB5" w:rsidRPr="001D75F0" w:rsidRDefault="00AB4EB5" w:rsidP="00AB4EB5">
            <w:pPr>
              <w:cnfStyle w:val="000000100000"/>
              <w:rPr>
                <w:rFonts w:eastAsia="Times New Roman" w:cs="Times New Roman"/>
                <w:color w:val="000000"/>
              </w:rPr>
            </w:pPr>
            <w:r w:rsidRPr="001D75F0">
              <w:rPr>
                <w:rFonts w:eastAsia="Times New Roman" w:cs="Times New Roman"/>
                <w:color w:val="000000"/>
              </w:rPr>
              <w:t>Surface</w:t>
            </w:r>
          </w:p>
        </w:tc>
        <w:tc>
          <w:tcPr>
            <w:tcW w:w="960" w:type="dxa"/>
            <w:noWrap/>
            <w:hideMark/>
          </w:tcPr>
          <w:p w:rsidR="00AB4EB5" w:rsidRPr="001D75F0" w:rsidRDefault="00AB4EB5" w:rsidP="00AB4EB5">
            <w:pPr>
              <w:jc w:val="right"/>
              <w:cnfStyle w:val="000000100000"/>
              <w:rPr>
                <w:rFonts w:eastAsia="Times New Roman" w:cs="Times New Roman"/>
                <w:color w:val="000000"/>
              </w:rPr>
            </w:pPr>
            <w:r w:rsidRPr="001D75F0">
              <w:rPr>
                <w:rFonts w:eastAsia="Times New Roman" w:cs="Times New Roman"/>
                <w:color w:val="000000"/>
              </w:rPr>
              <w:t>0.0066</w:t>
            </w:r>
          </w:p>
        </w:tc>
        <w:tc>
          <w:tcPr>
            <w:tcW w:w="1111" w:type="dxa"/>
            <w:noWrap/>
            <w:hideMark/>
          </w:tcPr>
          <w:p w:rsidR="00AB4EB5" w:rsidRPr="001D75F0" w:rsidRDefault="00AB4EB5" w:rsidP="00AB4EB5">
            <w:pPr>
              <w:jc w:val="right"/>
              <w:cnfStyle w:val="000000100000"/>
              <w:rPr>
                <w:rFonts w:eastAsia="Times New Roman" w:cs="Times New Roman"/>
                <w:color w:val="000000"/>
              </w:rPr>
            </w:pPr>
            <w:r w:rsidRPr="001D75F0">
              <w:rPr>
                <w:rFonts w:eastAsia="Times New Roman" w:cs="Times New Roman"/>
                <w:color w:val="000000"/>
              </w:rPr>
              <w:t>0.003</w:t>
            </w:r>
          </w:p>
        </w:tc>
        <w:tc>
          <w:tcPr>
            <w:tcW w:w="1148" w:type="dxa"/>
            <w:noWrap/>
            <w:hideMark/>
          </w:tcPr>
          <w:p w:rsidR="00AB4EB5" w:rsidRPr="001D75F0" w:rsidRDefault="00AB4EB5" w:rsidP="00AB4EB5">
            <w:pPr>
              <w:jc w:val="right"/>
              <w:cnfStyle w:val="000000100000"/>
              <w:rPr>
                <w:rFonts w:eastAsia="Times New Roman" w:cs="Times New Roman"/>
                <w:color w:val="000000"/>
              </w:rPr>
            </w:pPr>
            <w:r w:rsidRPr="001D75F0">
              <w:rPr>
                <w:rFonts w:eastAsia="Times New Roman" w:cs="Times New Roman"/>
                <w:color w:val="000000"/>
              </w:rPr>
              <w:t>0.0441</w:t>
            </w:r>
          </w:p>
        </w:tc>
      </w:tr>
      <w:tr w:rsidR="00AB4EB5" w:rsidRPr="001D75F0" w:rsidTr="001D75F0">
        <w:trPr>
          <w:cnfStyle w:val="000000010000"/>
          <w:trHeight w:val="300"/>
        </w:trPr>
        <w:tc>
          <w:tcPr>
            <w:cnfStyle w:val="001000000000"/>
            <w:tcW w:w="2173" w:type="dxa"/>
            <w:noWrap/>
            <w:hideMark/>
          </w:tcPr>
          <w:p w:rsidR="00AB4EB5" w:rsidRPr="001D75F0" w:rsidRDefault="00AB4EB5" w:rsidP="00AB4EB5">
            <w:pPr>
              <w:rPr>
                <w:rFonts w:eastAsia="Times New Roman" w:cs="Times New Roman"/>
                <w:color w:val="000000"/>
              </w:rPr>
            </w:pPr>
          </w:p>
        </w:tc>
        <w:tc>
          <w:tcPr>
            <w:tcW w:w="891" w:type="dxa"/>
            <w:noWrap/>
            <w:hideMark/>
          </w:tcPr>
          <w:p w:rsidR="00AB4EB5" w:rsidRPr="001D75F0" w:rsidRDefault="00AB4EB5" w:rsidP="00AB4EB5">
            <w:pPr>
              <w:cnfStyle w:val="000000010000"/>
              <w:rPr>
                <w:rFonts w:eastAsia="Times New Roman" w:cs="Times New Roman"/>
                <w:color w:val="000000"/>
              </w:rPr>
            </w:pPr>
            <w:r w:rsidRPr="001D75F0">
              <w:rPr>
                <w:rFonts w:eastAsia="Times New Roman" w:cs="Times New Roman"/>
                <w:color w:val="000000"/>
              </w:rPr>
              <w:t>Bottom</w:t>
            </w:r>
          </w:p>
        </w:tc>
        <w:tc>
          <w:tcPr>
            <w:tcW w:w="960" w:type="dxa"/>
            <w:noWrap/>
            <w:hideMark/>
          </w:tcPr>
          <w:p w:rsidR="00AB4EB5" w:rsidRPr="001D75F0" w:rsidRDefault="00AB4EB5" w:rsidP="00AB4EB5">
            <w:pPr>
              <w:jc w:val="right"/>
              <w:cnfStyle w:val="000000010000"/>
              <w:rPr>
                <w:rFonts w:eastAsia="Times New Roman" w:cs="Times New Roman"/>
                <w:color w:val="000000"/>
              </w:rPr>
            </w:pPr>
            <w:r w:rsidRPr="001D75F0">
              <w:rPr>
                <w:rFonts w:eastAsia="Times New Roman" w:cs="Times New Roman"/>
                <w:color w:val="000000"/>
              </w:rPr>
              <w:t>0.006</w:t>
            </w:r>
          </w:p>
        </w:tc>
        <w:tc>
          <w:tcPr>
            <w:tcW w:w="1111" w:type="dxa"/>
            <w:noWrap/>
            <w:hideMark/>
          </w:tcPr>
          <w:p w:rsidR="00AB4EB5" w:rsidRPr="001D75F0" w:rsidRDefault="00AB4EB5" w:rsidP="00AB4EB5">
            <w:pPr>
              <w:jc w:val="right"/>
              <w:cnfStyle w:val="000000010000"/>
              <w:rPr>
                <w:rFonts w:eastAsia="Times New Roman" w:cs="Times New Roman"/>
                <w:color w:val="000000"/>
              </w:rPr>
            </w:pPr>
            <w:r w:rsidRPr="001D75F0">
              <w:rPr>
                <w:rFonts w:eastAsia="Times New Roman" w:cs="Times New Roman"/>
                <w:color w:val="000000"/>
              </w:rPr>
              <w:t>0.0027</w:t>
            </w:r>
          </w:p>
        </w:tc>
        <w:tc>
          <w:tcPr>
            <w:tcW w:w="1148" w:type="dxa"/>
            <w:noWrap/>
            <w:hideMark/>
          </w:tcPr>
          <w:p w:rsidR="00AB4EB5" w:rsidRPr="001D75F0" w:rsidRDefault="00AB4EB5" w:rsidP="00AB4EB5">
            <w:pPr>
              <w:jc w:val="right"/>
              <w:cnfStyle w:val="000000010000"/>
              <w:rPr>
                <w:rFonts w:eastAsia="Times New Roman" w:cs="Times New Roman"/>
                <w:color w:val="000000"/>
              </w:rPr>
            </w:pPr>
            <w:r w:rsidRPr="001D75F0">
              <w:rPr>
                <w:rFonts w:eastAsia="Times New Roman" w:cs="Times New Roman"/>
                <w:color w:val="000000"/>
              </w:rPr>
              <w:t>0.0177</w:t>
            </w:r>
          </w:p>
        </w:tc>
      </w:tr>
      <w:tr w:rsidR="001D75F0" w:rsidRPr="001D75F0" w:rsidTr="001D75F0">
        <w:trPr>
          <w:cnfStyle w:val="000000100000"/>
          <w:trHeight w:val="300"/>
        </w:trPr>
        <w:tc>
          <w:tcPr>
            <w:cnfStyle w:val="001000000000"/>
            <w:tcW w:w="2173" w:type="dxa"/>
            <w:noWrap/>
            <w:hideMark/>
          </w:tcPr>
          <w:p w:rsidR="00AB4EB5" w:rsidRPr="001D75F0" w:rsidRDefault="00AB4EB5" w:rsidP="00AB4EB5">
            <w:pPr>
              <w:rPr>
                <w:rFonts w:eastAsia="Times New Roman" w:cs="Times New Roman"/>
                <w:color w:val="000000"/>
              </w:rPr>
            </w:pPr>
            <w:r w:rsidRPr="001D75F0">
              <w:rPr>
                <w:rFonts w:eastAsia="Times New Roman" w:cs="Times New Roman"/>
                <w:color w:val="000000"/>
              </w:rPr>
              <w:t>SRP (mg L</w:t>
            </w:r>
            <w:r w:rsidRPr="001D75F0">
              <w:rPr>
                <w:rFonts w:eastAsia="Times New Roman" w:cs="Times New Roman"/>
                <w:color w:val="000000"/>
                <w:vertAlign w:val="superscript"/>
              </w:rPr>
              <w:t>-1</w:t>
            </w:r>
            <w:r w:rsidRPr="001D75F0">
              <w:rPr>
                <w:rFonts w:eastAsia="Times New Roman" w:cs="Times New Roman"/>
                <w:color w:val="000000"/>
              </w:rPr>
              <w:t>)</w:t>
            </w:r>
          </w:p>
        </w:tc>
        <w:tc>
          <w:tcPr>
            <w:tcW w:w="891" w:type="dxa"/>
            <w:noWrap/>
            <w:hideMark/>
          </w:tcPr>
          <w:p w:rsidR="00AB4EB5" w:rsidRPr="001D75F0" w:rsidRDefault="00AB4EB5" w:rsidP="00AB4EB5">
            <w:pPr>
              <w:cnfStyle w:val="000000100000"/>
              <w:rPr>
                <w:rFonts w:eastAsia="Times New Roman" w:cs="Times New Roman"/>
                <w:color w:val="000000"/>
              </w:rPr>
            </w:pPr>
            <w:r w:rsidRPr="001D75F0">
              <w:rPr>
                <w:rFonts w:eastAsia="Times New Roman" w:cs="Times New Roman"/>
                <w:color w:val="000000"/>
              </w:rPr>
              <w:t>Surface</w:t>
            </w:r>
          </w:p>
        </w:tc>
        <w:tc>
          <w:tcPr>
            <w:tcW w:w="960" w:type="dxa"/>
            <w:noWrap/>
            <w:hideMark/>
          </w:tcPr>
          <w:p w:rsidR="00AB4EB5" w:rsidRPr="001D75F0" w:rsidRDefault="00AB4EB5" w:rsidP="00AB4EB5">
            <w:pPr>
              <w:jc w:val="right"/>
              <w:cnfStyle w:val="000000100000"/>
              <w:rPr>
                <w:rFonts w:eastAsia="Times New Roman" w:cs="Times New Roman"/>
                <w:color w:val="000000"/>
              </w:rPr>
            </w:pPr>
            <w:r w:rsidRPr="001D75F0">
              <w:rPr>
                <w:rFonts w:eastAsia="Times New Roman" w:cs="Times New Roman"/>
                <w:color w:val="000000"/>
              </w:rPr>
              <w:t>0.0009</w:t>
            </w:r>
          </w:p>
        </w:tc>
        <w:tc>
          <w:tcPr>
            <w:tcW w:w="1111" w:type="dxa"/>
            <w:noWrap/>
            <w:hideMark/>
          </w:tcPr>
          <w:p w:rsidR="00AB4EB5" w:rsidRPr="001D75F0" w:rsidRDefault="00AB4EB5" w:rsidP="00AB4EB5">
            <w:pPr>
              <w:jc w:val="right"/>
              <w:cnfStyle w:val="000000100000"/>
              <w:rPr>
                <w:rFonts w:eastAsia="Times New Roman" w:cs="Times New Roman"/>
                <w:color w:val="000000"/>
              </w:rPr>
            </w:pPr>
            <w:r w:rsidRPr="001D75F0">
              <w:rPr>
                <w:rFonts w:eastAsia="Times New Roman" w:cs="Times New Roman"/>
                <w:color w:val="000000"/>
              </w:rPr>
              <w:t>-0.0003</w:t>
            </w:r>
          </w:p>
        </w:tc>
        <w:tc>
          <w:tcPr>
            <w:tcW w:w="1148" w:type="dxa"/>
            <w:noWrap/>
            <w:hideMark/>
          </w:tcPr>
          <w:p w:rsidR="00AB4EB5" w:rsidRPr="001D75F0" w:rsidRDefault="00AB4EB5" w:rsidP="00AB4EB5">
            <w:pPr>
              <w:jc w:val="right"/>
              <w:cnfStyle w:val="000000100000"/>
              <w:rPr>
                <w:rFonts w:eastAsia="Times New Roman" w:cs="Times New Roman"/>
                <w:color w:val="000000"/>
              </w:rPr>
            </w:pPr>
            <w:r w:rsidRPr="001D75F0">
              <w:rPr>
                <w:rFonts w:eastAsia="Times New Roman" w:cs="Times New Roman"/>
                <w:color w:val="000000"/>
              </w:rPr>
              <w:t>0.0234</w:t>
            </w:r>
          </w:p>
        </w:tc>
      </w:tr>
      <w:tr w:rsidR="00AB4EB5" w:rsidRPr="001D75F0" w:rsidTr="001D75F0">
        <w:trPr>
          <w:cnfStyle w:val="000000010000"/>
          <w:trHeight w:val="300"/>
        </w:trPr>
        <w:tc>
          <w:tcPr>
            <w:cnfStyle w:val="001000000000"/>
            <w:tcW w:w="2173" w:type="dxa"/>
            <w:noWrap/>
            <w:hideMark/>
          </w:tcPr>
          <w:p w:rsidR="00AB4EB5" w:rsidRPr="001D75F0" w:rsidRDefault="00AB4EB5" w:rsidP="00AB4EB5">
            <w:pPr>
              <w:rPr>
                <w:rFonts w:eastAsia="Times New Roman" w:cs="Times New Roman"/>
                <w:color w:val="000000"/>
              </w:rPr>
            </w:pPr>
          </w:p>
        </w:tc>
        <w:tc>
          <w:tcPr>
            <w:tcW w:w="891" w:type="dxa"/>
            <w:noWrap/>
            <w:hideMark/>
          </w:tcPr>
          <w:p w:rsidR="00AB4EB5" w:rsidRPr="001D75F0" w:rsidRDefault="00AB4EB5" w:rsidP="00AB4EB5">
            <w:pPr>
              <w:cnfStyle w:val="000000010000"/>
              <w:rPr>
                <w:rFonts w:eastAsia="Times New Roman" w:cs="Times New Roman"/>
                <w:color w:val="000000"/>
              </w:rPr>
            </w:pPr>
            <w:r w:rsidRPr="001D75F0">
              <w:rPr>
                <w:rFonts w:eastAsia="Times New Roman" w:cs="Times New Roman"/>
                <w:color w:val="000000"/>
              </w:rPr>
              <w:t>Bottom</w:t>
            </w:r>
          </w:p>
        </w:tc>
        <w:tc>
          <w:tcPr>
            <w:tcW w:w="960" w:type="dxa"/>
            <w:noWrap/>
            <w:hideMark/>
          </w:tcPr>
          <w:p w:rsidR="00AB4EB5" w:rsidRPr="001D75F0" w:rsidRDefault="00AB4EB5" w:rsidP="00AB4EB5">
            <w:pPr>
              <w:jc w:val="right"/>
              <w:cnfStyle w:val="000000010000"/>
              <w:rPr>
                <w:rFonts w:eastAsia="Times New Roman" w:cs="Times New Roman"/>
                <w:color w:val="000000"/>
              </w:rPr>
            </w:pPr>
            <w:r w:rsidRPr="001D75F0">
              <w:rPr>
                <w:rFonts w:eastAsia="Times New Roman" w:cs="Times New Roman"/>
                <w:color w:val="000000"/>
              </w:rPr>
              <w:t>0.0009</w:t>
            </w:r>
          </w:p>
        </w:tc>
        <w:tc>
          <w:tcPr>
            <w:tcW w:w="1111" w:type="dxa"/>
            <w:noWrap/>
            <w:hideMark/>
          </w:tcPr>
          <w:p w:rsidR="00AB4EB5" w:rsidRPr="001D75F0" w:rsidRDefault="00AB4EB5" w:rsidP="00AB4EB5">
            <w:pPr>
              <w:jc w:val="right"/>
              <w:cnfStyle w:val="000000010000"/>
              <w:rPr>
                <w:rFonts w:eastAsia="Times New Roman" w:cs="Times New Roman"/>
                <w:color w:val="000000"/>
              </w:rPr>
            </w:pPr>
            <w:r w:rsidRPr="001D75F0">
              <w:rPr>
                <w:rFonts w:eastAsia="Times New Roman" w:cs="Times New Roman"/>
                <w:color w:val="000000"/>
              </w:rPr>
              <w:t>-0.0009</w:t>
            </w:r>
          </w:p>
        </w:tc>
        <w:tc>
          <w:tcPr>
            <w:tcW w:w="1148" w:type="dxa"/>
            <w:noWrap/>
            <w:hideMark/>
          </w:tcPr>
          <w:p w:rsidR="00AB4EB5" w:rsidRPr="001D75F0" w:rsidRDefault="00AB4EB5" w:rsidP="00AB4EB5">
            <w:pPr>
              <w:jc w:val="right"/>
              <w:cnfStyle w:val="000000010000"/>
              <w:rPr>
                <w:rFonts w:eastAsia="Times New Roman" w:cs="Times New Roman"/>
                <w:color w:val="000000"/>
              </w:rPr>
            </w:pPr>
            <w:r w:rsidRPr="001D75F0">
              <w:rPr>
                <w:rFonts w:eastAsia="Times New Roman" w:cs="Times New Roman"/>
                <w:color w:val="000000"/>
              </w:rPr>
              <w:t>0.0204</w:t>
            </w:r>
          </w:p>
        </w:tc>
      </w:tr>
      <w:tr w:rsidR="001D75F0" w:rsidRPr="001D75F0" w:rsidTr="001D75F0">
        <w:trPr>
          <w:cnfStyle w:val="000000100000"/>
          <w:trHeight w:val="300"/>
        </w:trPr>
        <w:tc>
          <w:tcPr>
            <w:cnfStyle w:val="001000000000"/>
            <w:tcW w:w="2173" w:type="dxa"/>
            <w:noWrap/>
            <w:hideMark/>
          </w:tcPr>
          <w:p w:rsidR="00AB4EB5" w:rsidRPr="001D75F0" w:rsidRDefault="00AB4EB5" w:rsidP="00AB4EB5">
            <w:pPr>
              <w:rPr>
                <w:rFonts w:eastAsia="Times New Roman" w:cs="Times New Roman"/>
                <w:color w:val="000000"/>
              </w:rPr>
            </w:pPr>
            <w:r w:rsidRPr="001D75F0">
              <w:rPr>
                <w:rFonts w:eastAsia="Times New Roman" w:cs="Times New Roman"/>
                <w:color w:val="000000"/>
              </w:rPr>
              <w:t>Turbidity (NTU)</w:t>
            </w:r>
          </w:p>
        </w:tc>
        <w:tc>
          <w:tcPr>
            <w:tcW w:w="891" w:type="dxa"/>
            <w:noWrap/>
            <w:hideMark/>
          </w:tcPr>
          <w:p w:rsidR="00AB4EB5" w:rsidRPr="001D75F0" w:rsidRDefault="00AB4EB5" w:rsidP="00AB4EB5">
            <w:pPr>
              <w:cnfStyle w:val="000000100000"/>
              <w:rPr>
                <w:rFonts w:eastAsia="Times New Roman" w:cs="Times New Roman"/>
                <w:color w:val="000000"/>
              </w:rPr>
            </w:pPr>
            <w:r w:rsidRPr="001D75F0">
              <w:rPr>
                <w:rFonts w:eastAsia="Times New Roman" w:cs="Times New Roman"/>
                <w:color w:val="000000"/>
              </w:rPr>
              <w:t>Surface</w:t>
            </w:r>
          </w:p>
        </w:tc>
        <w:tc>
          <w:tcPr>
            <w:tcW w:w="960" w:type="dxa"/>
            <w:noWrap/>
            <w:hideMark/>
          </w:tcPr>
          <w:p w:rsidR="00AB4EB5" w:rsidRPr="001D75F0" w:rsidRDefault="00AB4EB5" w:rsidP="00AB4EB5">
            <w:pPr>
              <w:jc w:val="right"/>
              <w:cnfStyle w:val="000000100000"/>
              <w:rPr>
                <w:rFonts w:eastAsia="Times New Roman" w:cs="Times New Roman"/>
                <w:color w:val="000000"/>
              </w:rPr>
            </w:pPr>
            <w:r w:rsidRPr="001D75F0">
              <w:rPr>
                <w:rFonts w:eastAsia="Times New Roman" w:cs="Times New Roman"/>
                <w:color w:val="000000"/>
              </w:rPr>
              <w:t>0.51</w:t>
            </w:r>
          </w:p>
        </w:tc>
        <w:tc>
          <w:tcPr>
            <w:tcW w:w="1111" w:type="dxa"/>
            <w:noWrap/>
            <w:hideMark/>
          </w:tcPr>
          <w:p w:rsidR="00AB4EB5" w:rsidRPr="001D75F0" w:rsidRDefault="00AB4EB5" w:rsidP="00AB4EB5">
            <w:pPr>
              <w:jc w:val="right"/>
              <w:cnfStyle w:val="000000100000"/>
              <w:rPr>
                <w:rFonts w:eastAsia="Times New Roman" w:cs="Times New Roman"/>
                <w:color w:val="000000"/>
              </w:rPr>
            </w:pPr>
            <w:r w:rsidRPr="001D75F0">
              <w:rPr>
                <w:rFonts w:eastAsia="Times New Roman" w:cs="Times New Roman"/>
                <w:color w:val="000000"/>
              </w:rPr>
              <w:t>0</w:t>
            </w:r>
          </w:p>
        </w:tc>
        <w:tc>
          <w:tcPr>
            <w:tcW w:w="1148" w:type="dxa"/>
            <w:noWrap/>
            <w:hideMark/>
          </w:tcPr>
          <w:p w:rsidR="00AB4EB5" w:rsidRPr="001D75F0" w:rsidRDefault="00AB4EB5" w:rsidP="00AB4EB5">
            <w:pPr>
              <w:jc w:val="right"/>
              <w:cnfStyle w:val="000000100000"/>
              <w:rPr>
                <w:rFonts w:eastAsia="Times New Roman" w:cs="Times New Roman"/>
                <w:color w:val="000000"/>
              </w:rPr>
            </w:pPr>
            <w:r w:rsidRPr="001D75F0">
              <w:rPr>
                <w:rFonts w:eastAsia="Times New Roman" w:cs="Times New Roman"/>
                <w:color w:val="000000"/>
              </w:rPr>
              <w:t>10.73</w:t>
            </w:r>
          </w:p>
        </w:tc>
      </w:tr>
      <w:tr w:rsidR="00AB4EB5" w:rsidRPr="001D75F0" w:rsidTr="001D75F0">
        <w:trPr>
          <w:cnfStyle w:val="000000010000"/>
          <w:trHeight w:val="300"/>
        </w:trPr>
        <w:tc>
          <w:tcPr>
            <w:cnfStyle w:val="001000000000"/>
            <w:tcW w:w="2173" w:type="dxa"/>
            <w:noWrap/>
            <w:hideMark/>
          </w:tcPr>
          <w:p w:rsidR="00AB4EB5" w:rsidRPr="001D75F0" w:rsidRDefault="00AB4EB5" w:rsidP="00AB4EB5">
            <w:pPr>
              <w:rPr>
                <w:rFonts w:eastAsia="Times New Roman" w:cs="Times New Roman"/>
                <w:color w:val="000000"/>
              </w:rPr>
            </w:pPr>
          </w:p>
        </w:tc>
        <w:tc>
          <w:tcPr>
            <w:tcW w:w="891" w:type="dxa"/>
            <w:noWrap/>
            <w:hideMark/>
          </w:tcPr>
          <w:p w:rsidR="00AB4EB5" w:rsidRPr="001D75F0" w:rsidRDefault="00AB4EB5" w:rsidP="00AB4EB5">
            <w:pPr>
              <w:cnfStyle w:val="000000010000"/>
              <w:rPr>
                <w:rFonts w:eastAsia="Times New Roman" w:cs="Times New Roman"/>
                <w:color w:val="000000"/>
              </w:rPr>
            </w:pPr>
            <w:r w:rsidRPr="001D75F0">
              <w:rPr>
                <w:rFonts w:eastAsia="Times New Roman" w:cs="Times New Roman"/>
                <w:color w:val="000000"/>
              </w:rPr>
              <w:t>Bottom</w:t>
            </w:r>
          </w:p>
        </w:tc>
        <w:tc>
          <w:tcPr>
            <w:tcW w:w="960" w:type="dxa"/>
            <w:noWrap/>
            <w:hideMark/>
          </w:tcPr>
          <w:p w:rsidR="00AB4EB5" w:rsidRPr="001D75F0" w:rsidRDefault="00AB4EB5" w:rsidP="00AB4EB5">
            <w:pPr>
              <w:jc w:val="right"/>
              <w:cnfStyle w:val="000000010000"/>
              <w:rPr>
                <w:rFonts w:eastAsia="Times New Roman" w:cs="Times New Roman"/>
                <w:color w:val="000000"/>
              </w:rPr>
            </w:pPr>
            <w:r w:rsidRPr="001D75F0">
              <w:rPr>
                <w:rFonts w:eastAsia="Times New Roman" w:cs="Times New Roman"/>
                <w:color w:val="000000"/>
              </w:rPr>
              <w:t>0.37</w:t>
            </w:r>
          </w:p>
        </w:tc>
        <w:tc>
          <w:tcPr>
            <w:tcW w:w="1111" w:type="dxa"/>
            <w:noWrap/>
            <w:hideMark/>
          </w:tcPr>
          <w:p w:rsidR="00AB4EB5" w:rsidRPr="001D75F0" w:rsidRDefault="00AB4EB5" w:rsidP="00AB4EB5">
            <w:pPr>
              <w:jc w:val="right"/>
              <w:cnfStyle w:val="000000010000"/>
              <w:rPr>
                <w:rFonts w:eastAsia="Times New Roman" w:cs="Times New Roman"/>
                <w:color w:val="000000"/>
              </w:rPr>
            </w:pPr>
            <w:r w:rsidRPr="001D75F0">
              <w:rPr>
                <w:rFonts w:eastAsia="Times New Roman" w:cs="Times New Roman"/>
                <w:color w:val="000000"/>
              </w:rPr>
              <w:t>0.01</w:t>
            </w:r>
          </w:p>
        </w:tc>
        <w:tc>
          <w:tcPr>
            <w:tcW w:w="1148" w:type="dxa"/>
            <w:noWrap/>
            <w:hideMark/>
          </w:tcPr>
          <w:p w:rsidR="00AB4EB5" w:rsidRPr="001D75F0" w:rsidRDefault="00AB4EB5" w:rsidP="00AB4EB5">
            <w:pPr>
              <w:jc w:val="right"/>
              <w:cnfStyle w:val="000000010000"/>
              <w:rPr>
                <w:rFonts w:eastAsia="Times New Roman" w:cs="Times New Roman"/>
                <w:color w:val="000000"/>
              </w:rPr>
            </w:pPr>
            <w:r w:rsidRPr="001D75F0">
              <w:rPr>
                <w:rFonts w:eastAsia="Times New Roman" w:cs="Times New Roman"/>
                <w:color w:val="000000"/>
              </w:rPr>
              <w:t>5.78</w:t>
            </w:r>
          </w:p>
        </w:tc>
      </w:tr>
      <w:tr w:rsidR="001D75F0" w:rsidRPr="001D75F0" w:rsidTr="001D75F0">
        <w:trPr>
          <w:cnfStyle w:val="000000100000"/>
          <w:trHeight w:val="300"/>
        </w:trPr>
        <w:tc>
          <w:tcPr>
            <w:cnfStyle w:val="001000000000"/>
            <w:tcW w:w="2173" w:type="dxa"/>
            <w:noWrap/>
            <w:hideMark/>
          </w:tcPr>
          <w:p w:rsidR="00AB4EB5" w:rsidRPr="001D75F0" w:rsidRDefault="00AB4EB5" w:rsidP="00AB4EB5">
            <w:pPr>
              <w:rPr>
                <w:rFonts w:eastAsia="Times New Roman" w:cs="Times New Roman"/>
                <w:color w:val="000000"/>
              </w:rPr>
            </w:pPr>
            <w:r w:rsidRPr="001D75F0">
              <w:rPr>
                <w:rFonts w:eastAsia="Times New Roman" w:cs="Times New Roman"/>
                <w:color w:val="000000"/>
              </w:rPr>
              <w:t>Salinity</w:t>
            </w:r>
          </w:p>
        </w:tc>
        <w:tc>
          <w:tcPr>
            <w:tcW w:w="891" w:type="dxa"/>
            <w:noWrap/>
            <w:hideMark/>
          </w:tcPr>
          <w:p w:rsidR="00AB4EB5" w:rsidRPr="001D75F0" w:rsidRDefault="00AB4EB5" w:rsidP="00AB4EB5">
            <w:pPr>
              <w:cnfStyle w:val="000000100000"/>
              <w:rPr>
                <w:rFonts w:eastAsia="Times New Roman" w:cs="Times New Roman"/>
                <w:color w:val="000000"/>
              </w:rPr>
            </w:pPr>
            <w:r w:rsidRPr="001D75F0">
              <w:rPr>
                <w:rFonts w:eastAsia="Times New Roman" w:cs="Times New Roman"/>
                <w:color w:val="000000"/>
              </w:rPr>
              <w:t>Surface</w:t>
            </w:r>
          </w:p>
        </w:tc>
        <w:tc>
          <w:tcPr>
            <w:tcW w:w="960" w:type="dxa"/>
            <w:noWrap/>
            <w:hideMark/>
          </w:tcPr>
          <w:p w:rsidR="00AB4EB5" w:rsidRPr="001D75F0" w:rsidRDefault="00AB4EB5" w:rsidP="00AB4EB5">
            <w:pPr>
              <w:jc w:val="right"/>
              <w:cnfStyle w:val="000000100000"/>
              <w:rPr>
                <w:rFonts w:eastAsia="Times New Roman" w:cs="Times New Roman"/>
                <w:color w:val="000000"/>
              </w:rPr>
            </w:pPr>
            <w:r w:rsidRPr="001D75F0">
              <w:rPr>
                <w:rFonts w:eastAsia="Times New Roman" w:cs="Times New Roman"/>
                <w:color w:val="000000"/>
              </w:rPr>
              <w:t>36.25</w:t>
            </w:r>
          </w:p>
        </w:tc>
        <w:tc>
          <w:tcPr>
            <w:tcW w:w="1111" w:type="dxa"/>
            <w:noWrap/>
            <w:hideMark/>
          </w:tcPr>
          <w:p w:rsidR="00AB4EB5" w:rsidRPr="001D75F0" w:rsidRDefault="00AB4EB5" w:rsidP="00AB4EB5">
            <w:pPr>
              <w:jc w:val="right"/>
              <w:cnfStyle w:val="000000100000"/>
              <w:rPr>
                <w:rFonts w:eastAsia="Times New Roman" w:cs="Times New Roman"/>
                <w:color w:val="000000"/>
              </w:rPr>
            </w:pPr>
            <w:r w:rsidRPr="001D75F0">
              <w:rPr>
                <w:rFonts w:eastAsia="Times New Roman" w:cs="Times New Roman"/>
                <w:color w:val="000000"/>
              </w:rPr>
              <w:t>23.49</w:t>
            </w:r>
          </w:p>
        </w:tc>
        <w:tc>
          <w:tcPr>
            <w:tcW w:w="1148" w:type="dxa"/>
            <w:noWrap/>
            <w:hideMark/>
          </w:tcPr>
          <w:p w:rsidR="00AB4EB5" w:rsidRPr="001D75F0" w:rsidRDefault="00AB4EB5" w:rsidP="00AB4EB5">
            <w:pPr>
              <w:jc w:val="right"/>
              <w:cnfStyle w:val="000000100000"/>
              <w:rPr>
                <w:rFonts w:eastAsia="Times New Roman" w:cs="Times New Roman"/>
                <w:color w:val="000000"/>
              </w:rPr>
            </w:pPr>
            <w:r w:rsidRPr="001D75F0">
              <w:rPr>
                <w:rFonts w:eastAsia="Times New Roman" w:cs="Times New Roman"/>
                <w:color w:val="000000"/>
              </w:rPr>
              <w:t>47.3</w:t>
            </w:r>
          </w:p>
        </w:tc>
      </w:tr>
      <w:tr w:rsidR="00AB4EB5" w:rsidRPr="001D75F0" w:rsidTr="001D75F0">
        <w:trPr>
          <w:cnfStyle w:val="000000010000"/>
          <w:trHeight w:val="300"/>
        </w:trPr>
        <w:tc>
          <w:tcPr>
            <w:cnfStyle w:val="001000000000"/>
            <w:tcW w:w="2173" w:type="dxa"/>
            <w:noWrap/>
            <w:hideMark/>
          </w:tcPr>
          <w:p w:rsidR="00AB4EB5" w:rsidRPr="001D75F0" w:rsidRDefault="00AB4EB5" w:rsidP="00AB4EB5">
            <w:pPr>
              <w:rPr>
                <w:rFonts w:eastAsia="Times New Roman" w:cs="Times New Roman"/>
                <w:color w:val="000000"/>
              </w:rPr>
            </w:pPr>
          </w:p>
        </w:tc>
        <w:tc>
          <w:tcPr>
            <w:tcW w:w="891" w:type="dxa"/>
            <w:noWrap/>
            <w:hideMark/>
          </w:tcPr>
          <w:p w:rsidR="00AB4EB5" w:rsidRPr="001D75F0" w:rsidRDefault="00AB4EB5" w:rsidP="00AB4EB5">
            <w:pPr>
              <w:cnfStyle w:val="000000010000"/>
              <w:rPr>
                <w:rFonts w:eastAsia="Times New Roman" w:cs="Times New Roman"/>
                <w:color w:val="000000"/>
              </w:rPr>
            </w:pPr>
            <w:r w:rsidRPr="001D75F0">
              <w:rPr>
                <w:rFonts w:eastAsia="Times New Roman" w:cs="Times New Roman"/>
                <w:color w:val="000000"/>
              </w:rPr>
              <w:t>Bottom</w:t>
            </w:r>
          </w:p>
        </w:tc>
        <w:tc>
          <w:tcPr>
            <w:tcW w:w="960" w:type="dxa"/>
            <w:noWrap/>
            <w:hideMark/>
          </w:tcPr>
          <w:p w:rsidR="00AB4EB5" w:rsidRPr="001D75F0" w:rsidRDefault="00AB4EB5" w:rsidP="00AB4EB5">
            <w:pPr>
              <w:jc w:val="right"/>
              <w:cnfStyle w:val="000000010000"/>
              <w:rPr>
                <w:rFonts w:eastAsia="Times New Roman" w:cs="Times New Roman"/>
                <w:color w:val="000000"/>
              </w:rPr>
            </w:pPr>
            <w:r w:rsidRPr="001D75F0">
              <w:rPr>
                <w:rFonts w:eastAsia="Times New Roman" w:cs="Times New Roman"/>
                <w:color w:val="000000"/>
              </w:rPr>
              <w:t>36.37</w:t>
            </w:r>
          </w:p>
        </w:tc>
        <w:tc>
          <w:tcPr>
            <w:tcW w:w="1111" w:type="dxa"/>
            <w:noWrap/>
            <w:hideMark/>
          </w:tcPr>
          <w:p w:rsidR="00AB4EB5" w:rsidRPr="001D75F0" w:rsidRDefault="00AB4EB5" w:rsidP="00AB4EB5">
            <w:pPr>
              <w:jc w:val="right"/>
              <w:cnfStyle w:val="000000010000"/>
              <w:rPr>
                <w:rFonts w:eastAsia="Times New Roman" w:cs="Times New Roman"/>
                <w:color w:val="000000"/>
              </w:rPr>
            </w:pPr>
            <w:r w:rsidRPr="001D75F0">
              <w:rPr>
                <w:rFonts w:eastAsia="Times New Roman" w:cs="Times New Roman"/>
                <w:color w:val="000000"/>
              </w:rPr>
              <w:t>33.68</w:t>
            </w:r>
          </w:p>
        </w:tc>
        <w:tc>
          <w:tcPr>
            <w:tcW w:w="1148" w:type="dxa"/>
            <w:noWrap/>
            <w:hideMark/>
          </w:tcPr>
          <w:p w:rsidR="00AB4EB5" w:rsidRPr="001D75F0" w:rsidRDefault="00AB4EB5" w:rsidP="00AB4EB5">
            <w:pPr>
              <w:jc w:val="right"/>
              <w:cnfStyle w:val="000000010000"/>
              <w:rPr>
                <w:rFonts w:eastAsia="Times New Roman" w:cs="Times New Roman"/>
                <w:color w:val="000000"/>
              </w:rPr>
            </w:pPr>
            <w:r w:rsidRPr="001D75F0">
              <w:rPr>
                <w:rFonts w:eastAsia="Times New Roman" w:cs="Times New Roman"/>
                <w:color w:val="000000"/>
              </w:rPr>
              <w:t>38.9</w:t>
            </w:r>
          </w:p>
        </w:tc>
      </w:tr>
      <w:tr w:rsidR="001D75F0" w:rsidRPr="001D75F0" w:rsidTr="001D75F0">
        <w:trPr>
          <w:cnfStyle w:val="000000100000"/>
          <w:trHeight w:val="300"/>
        </w:trPr>
        <w:tc>
          <w:tcPr>
            <w:cnfStyle w:val="001000000000"/>
            <w:tcW w:w="2173" w:type="dxa"/>
            <w:noWrap/>
            <w:hideMark/>
          </w:tcPr>
          <w:p w:rsidR="00AB4EB5" w:rsidRPr="001D75F0" w:rsidRDefault="00AB4EB5" w:rsidP="00AB4EB5">
            <w:pPr>
              <w:rPr>
                <w:rFonts w:eastAsia="Times New Roman" w:cs="Times New Roman"/>
                <w:color w:val="000000"/>
              </w:rPr>
            </w:pPr>
            <w:r w:rsidRPr="001D75F0">
              <w:rPr>
                <w:rFonts w:eastAsia="Times New Roman" w:cs="Times New Roman"/>
                <w:color w:val="000000"/>
              </w:rPr>
              <w:t>Temperature °C</w:t>
            </w:r>
          </w:p>
        </w:tc>
        <w:tc>
          <w:tcPr>
            <w:tcW w:w="891" w:type="dxa"/>
            <w:noWrap/>
            <w:hideMark/>
          </w:tcPr>
          <w:p w:rsidR="00AB4EB5" w:rsidRPr="001D75F0" w:rsidRDefault="00AB4EB5" w:rsidP="00AB4EB5">
            <w:pPr>
              <w:cnfStyle w:val="000000100000"/>
              <w:rPr>
                <w:rFonts w:eastAsia="Times New Roman" w:cs="Times New Roman"/>
                <w:color w:val="000000"/>
              </w:rPr>
            </w:pPr>
            <w:r w:rsidRPr="001D75F0">
              <w:rPr>
                <w:rFonts w:eastAsia="Times New Roman" w:cs="Times New Roman"/>
                <w:color w:val="000000"/>
              </w:rPr>
              <w:t>Surface</w:t>
            </w:r>
          </w:p>
        </w:tc>
        <w:tc>
          <w:tcPr>
            <w:tcW w:w="960" w:type="dxa"/>
            <w:noWrap/>
            <w:hideMark/>
          </w:tcPr>
          <w:p w:rsidR="00AB4EB5" w:rsidRPr="001D75F0" w:rsidRDefault="00AB4EB5" w:rsidP="00AB4EB5">
            <w:pPr>
              <w:jc w:val="right"/>
              <w:cnfStyle w:val="000000100000"/>
              <w:rPr>
                <w:rFonts w:eastAsia="Times New Roman" w:cs="Times New Roman"/>
                <w:color w:val="000000"/>
              </w:rPr>
            </w:pPr>
            <w:r w:rsidRPr="001D75F0">
              <w:rPr>
                <w:rFonts w:eastAsia="Times New Roman" w:cs="Times New Roman"/>
                <w:color w:val="000000"/>
              </w:rPr>
              <w:t>26.96</w:t>
            </w:r>
          </w:p>
        </w:tc>
        <w:tc>
          <w:tcPr>
            <w:tcW w:w="1111" w:type="dxa"/>
            <w:noWrap/>
            <w:hideMark/>
          </w:tcPr>
          <w:p w:rsidR="00AB4EB5" w:rsidRPr="001D75F0" w:rsidRDefault="00AB4EB5" w:rsidP="00AB4EB5">
            <w:pPr>
              <w:jc w:val="right"/>
              <w:cnfStyle w:val="000000100000"/>
              <w:rPr>
                <w:rFonts w:eastAsia="Times New Roman" w:cs="Times New Roman"/>
                <w:color w:val="000000"/>
              </w:rPr>
            </w:pPr>
            <w:r w:rsidRPr="001D75F0">
              <w:rPr>
                <w:rFonts w:eastAsia="Times New Roman" w:cs="Times New Roman"/>
                <w:color w:val="000000"/>
              </w:rPr>
              <w:t>18.87</w:t>
            </w:r>
          </w:p>
        </w:tc>
        <w:tc>
          <w:tcPr>
            <w:tcW w:w="1148" w:type="dxa"/>
            <w:noWrap/>
            <w:hideMark/>
          </w:tcPr>
          <w:p w:rsidR="00AB4EB5" w:rsidRPr="001D75F0" w:rsidRDefault="00AB4EB5" w:rsidP="00AB4EB5">
            <w:pPr>
              <w:jc w:val="right"/>
              <w:cnfStyle w:val="000000100000"/>
              <w:rPr>
                <w:rFonts w:eastAsia="Times New Roman" w:cs="Times New Roman"/>
                <w:color w:val="000000"/>
              </w:rPr>
            </w:pPr>
            <w:r w:rsidRPr="001D75F0">
              <w:rPr>
                <w:rFonts w:eastAsia="Times New Roman" w:cs="Times New Roman"/>
                <w:color w:val="000000"/>
              </w:rPr>
              <w:t>33.2</w:t>
            </w:r>
          </w:p>
        </w:tc>
      </w:tr>
      <w:tr w:rsidR="00AB4EB5" w:rsidRPr="001D75F0" w:rsidTr="001D75F0">
        <w:trPr>
          <w:cnfStyle w:val="000000010000"/>
          <w:trHeight w:val="300"/>
        </w:trPr>
        <w:tc>
          <w:tcPr>
            <w:cnfStyle w:val="001000000000"/>
            <w:tcW w:w="2173" w:type="dxa"/>
            <w:noWrap/>
            <w:hideMark/>
          </w:tcPr>
          <w:p w:rsidR="00AB4EB5" w:rsidRPr="001D75F0" w:rsidRDefault="00AB4EB5" w:rsidP="00AB4EB5">
            <w:pPr>
              <w:rPr>
                <w:rFonts w:eastAsia="Times New Roman" w:cs="Times New Roman"/>
                <w:color w:val="000000"/>
              </w:rPr>
            </w:pPr>
          </w:p>
        </w:tc>
        <w:tc>
          <w:tcPr>
            <w:tcW w:w="891" w:type="dxa"/>
            <w:noWrap/>
            <w:hideMark/>
          </w:tcPr>
          <w:p w:rsidR="00AB4EB5" w:rsidRPr="001D75F0" w:rsidRDefault="00AB4EB5" w:rsidP="00AB4EB5">
            <w:pPr>
              <w:cnfStyle w:val="000000010000"/>
              <w:rPr>
                <w:rFonts w:eastAsia="Times New Roman" w:cs="Times New Roman"/>
                <w:color w:val="000000"/>
              </w:rPr>
            </w:pPr>
            <w:r w:rsidRPr="001D75F0">
              <w:rPr>
                <w:rFonts w:eastAsia="Times New Roman" w:cs="Times New Roman"/>
                <w:color w:val="000000"/>
              </w:rPr>
              <w:t>Bottom</w:t>
            </w:r>
          </w:p>
        </w:tc>
        <w:tc>
          <w:tcPr>
            <w:tcW w:w="960" w:type="dxa"/>
            <w:noWrap/>
            <w:hideMark/>
          </w:tcPr>
          <w:p w:rsidR="00AB4EB5" w:rsidRPr="001D75F0" w:rsidRDefault="00AB4EB5" w:rsidP="00AB4EB5">
            <w:pPr>
              <w:jc w:val="right"/>
              <w:cnfStyle w:val="000000010000"/>
              <w:rPr>
                <w:rFonts w:eastAsia="Times New Roman" w:cs="Times New Roman"/>
                <w:color w:val="000000"/>
              </w:rPr>
            </w:pPr>
            <w:r w:rsidRPr="001D75F0">
              <w:rPr>
                <w:rFonts w:eastAsia="Times New Roman" w:cs="Times New Roman"/>
                <w:color w:val="000000"/>
              </w:rPr>
              <w:t>26.75</w:t>
            </w:r>
          </w:p>
        </w:tc>
        <w:tc>
          <w:tcPr>
            <w:tcW w:w="1111" w:type="dxa"/>
            <w:noWrap/>
            <w:hideMark/>
          </w:tcPr>
          <w:p w:rsidR="00AB4EB5" w:rsidRPr="001D75F0" w:rsidRDefault="00AB4EB5" w:rsidP="00AB4EB5">
            <w:pPr>
              <w:jc w:val="right"/>
              <w:cnfStyle w:val="000000010000"/>
              <w:rPr>
                <w:rFonts w:eastAsia="Times New Roman" w:cs="Times New Roman"/>
                <w:color w:val="000000"/>
              </w:rPr>
            </w:pPr>
            <w:r w:rsidRPr="001D75F0">
              <w:rPr>
                <w:rFonts w:eastAsia="Times New Roman" w:cs="Times New Roman"/>
                <w:color w:val="000000"/>
              </w:rPr>
              <w:t>18.8</w:t>
            </w:r>
          </w:p>
        </w:tc>
        <w:tc>
          <w:tcPr>
            <w:tcW w:w="1148" w:type="dxa"/>
            <w:noWrap/>
            <w:hideMark/>
          </w:tcPr>
          <w:p w:rsidR="00AB4EB5" w:rsidRPr="001D75F0" w:rsidRDefault="00AB4EB5" w:rsidP="00AB4EB5">
            <w:pPr>
              <w:jc w:val="right"/>
              <w:cnfStyle w:val="000000010000"/>
              <w:rPr>
                <w:rFonts w:eastAsia="Times New Roman" w:cs="Times New Roman"/>
                <w:color w:val="000000"/>
              </w:rPr>
            </w:pPr>
            <w:r w:rsidRPr="001D75F0">
              <w:rPr>
                <w:rFonts w:eastAsia="Times New Roman" w:cs="Times New Roman"/>
                <w:color w:val="000000"/>
              </w:rPr>
              <w:t>33</w:t>
            </w:r>
          </w:p>
        </w:tc>
      </w:tr>
      <w:tr w:rsidR="001D75F0" w:rsidRPr="001D75F0" w:rsidTr="001D75F0">
        <w:trPr>
          <w:cnfStyle w:val="000000100000"/>
          <w:trHeight w:val="300"/>
        </w:trPr>
        <w:tc>
          <w:tcPr>
            <w:cnfStyle w:val="001000000000"/>
            <w:tcW w:w="2173" w:type="dxa"/>
            <w:noWrap/>
            <w:hideMark/>
          </w:tcPr>
          <w:p w:rsidR="00AB4EB5" w:rsidRPr="001D75F0" w:rsidRDefault="00AB4EB5" w:rsidP="00AB4EB5">
            <w:pPr>
              <w:rPr>
                <w:rFonts w:eastAsia="Times New Roman" w:cs="Times New Roman"/>
                <w:color w:val="000000"/>
              </w:rPr>
            </w:pPr>
            <w:r w:rsidRPr="001D75F0">
              <w:rPr>
                <w:rFonts w:eastAsia="Times New Roman" w:cs="Times New Roman"/>
                <w:color w:val="000000"/>
              </w:rPr>
              <w:t>DO (mg L</w:t>
            </w:r>
            <w:r w:rsidRPr="001D75F0">
              <w:rPr>
                <w:rFonts w:eastAsia="Times New Roman" w:cs="Times New Roman"/>
                <w:color w:val="000000"/>
                <w:vertAlign w:val="superscript"/>
              </w:rPr>
              <w:t>-1</w:t>
            </w:r>
            <w:r w:rsidRPr="001D75F0">
              <w:rPr>
                <w:rFonts w:eastAsia="Times New Roman" w:cs="Times New Roman"/>
                <w:color w:val="000000"/>
              </w:rPr>
              <w:t>)</w:t>
            </w:r>
          </w:p>
        </w:tc>
        <w:tc>
          <w:tcPr>
            <w:tcW w:w="891" w:type="dxa"/>
            <w:noWrap/>
            <w:hideMark/>
          </w:tcPr>
          <w:p w:rsidR="00AB4EB5" w:rsidRPr="001D75F0" w:rsidRDefault="00AB4EB5" w:rsidP="00AB4EB5">
            <w:pPr>
              <w:cnfStyle w:val="000000100000"/>
              <w:rPr>
                <w:rFonts w:eastAsia="Times New Roman" w:cs="Times New Roman"/>
                <w:color w:val="000000"/>
              </w:rPr>
            </w:pPr>
            <w:r w:rsidRPr="001D75F0">
              <w:rPr>
                <w:rFonts w:eastAsia="Times New Roman" w:cs="Times New Roman"/>
                <w:color w:val="000000"/>
              </w:rPr>
              <w:t>Surface</w:t>
            </w:r>
          </w:p>
        </w:tc>
        <w:tc>
          <w:tcPr>
            <w:tcW w:w="960" w:type="dxa"/>
            <w:noWrap/>
            <w:hideMark/>
          </w:tcPr>
          <w:p w:rsidR="00AB4EB5" w:rsidRPr="001D75F0" w:rsidRDefault="00AB4EB5" w:rsidP="00AB4EB5">
            <w:pPr>
              <w:jc w:val="right"/>
              <w:cnfStyle w:val="000000100000"/>
              <w:rPr>
                <w:rFonts w:eastAsia="Times New Roman" w:cs="Times New Roman"/>
                <w:color w:val="000000"/>
              </w:rPr>
            </w:pPr>
            <w:r w:rsidRPr="001D75F0">
              <w:rPr>
                <w:rFonts w:eastAsia="Times New Roman" w:cs="Times New Roman"/>
                <w:color w:val="000000"/>
              </w:rPr>
              <w:t>5.26</w:t>
            </w:r>
          </w:p>
        </w:tc>
        <w:tc>
          <w:tcPr>
            <w:tcW w:w="1111" w:type="dxa"/>
            <w:noWrap/>
            <w:hideMark/>
          </w:tcPr>
          <w:p w:rsidR="00AB4EB5" w:rsidRPr="001D75F0" w:rsidRDefault="00AB4EB5" w:rsidP="00AB4EB5">
            <w:pPr>
              <w:jc w:val="right"/>
              <w:cnfStyle w:val="000000100000"/>
              <w:rPr>
                <w:rFonts w:eastAsia="Times New Roman" w:cs="Times New Roman"/>
                <w:color w:val="000000"/>
              </w:rPr>
            </w:pPr>
            <w:r w:rsidRPr="001D75F0">
              <w:rPr>
                <w:rFonts w:eastAsia="Times New Roman" w:cs="Times New Roman"/>
                <w:color w:val="000000"/>
              </w:rPr>
              <w:t>2.07</w:t>
            </w:r>
          </w:p>
        </w:tc>
        <w:tc>
          <w:tcPr>
            <w:tcW w:w="1148" w:type="dxa"/>
            <w:noWrap/>
            <w:hideMark/>
          </w:tcPr>
          <w:p w:rsidR="00AB4EB5" w:rsidRPr="001D75F0" w:rsidRDefault="00AB4EB5" w:rsidP="00AB4EB5">
            <w:pPr>
              <w:jc w:val="right"/>
              <w:cnfStyle w:val="000000100000"/>
              <w:rPr>
                <w:rFonts w:eastAsia="Times New Roman" w:cs="Times New Roman"/>
                <w:color w:val="000000"/>
              </w:rPr>
            </w:pPr>
            <w:r w:rsidRPr="001D75F0">
              <w:rPr>
                <w:rFonts w:eastAsia="Times New Roman" w:cs="Times New Roman"/>
                <w:color w:val="000000"/>
              </w:rPr>
              <w:t>9.5</w:t>
            </w:r>
          </w:p>
        </w:tc>
      </w:tr>
      <w:tr w:rsidR="00AB4EB5" w:rsidRPr="001D75F0" w:rsidTr="001D75F0">
        <w:trPr>
          <w:cnfStyle w:val="000000010000"/>
          <w:trHeight w:val="300"/>
        </w:trPr>
        <w:tc>
          <w:tcPr>
            <w:cnfStyle w:val="001000000000"/>
            <w:tcW w:w="2173" w:type="dxa"/>
            <w:noWrap/>
            <w:hideMark/>
          </w:tcPr>
          <w:p w:rsidR="00AB4EB5" w:rsidRPr="001D75F0" w:rsidRDefault="00AB4EB5" w:rsidP="00AB4EB5">
            <w:pPr>
              <w:rPr>
                <w:rFonts w:eastAsia="Times New Roman" w:cs="Times New Roman"/>
                <w:color w:val="000000"/>
              </w:rPr>
            </w:pPr>
          </w:p>
        </w:tc>
        <w:tc>
          <w:tcPr>
            <w:tcW w:w="891" w:type="dxa"/>
            <w:noWrap/>
            <w:hideMark/>
          </w:tcPr>
          <w:p w:rsidR="00AB4EB5" w:rsidRPr="001D75F0" w:rsidRDefault="00AB4EB5" w:rsidP="00AB4EB5">
            <w:pPr>
              <w:cnfStyle w:val="000000010000"/>
              <w:rPr>
                <w:rFonts w:eastAsia="Times New Roman" w:cs="Times New Roman"/>
                <w:color w:val="000000"/>
              </w:rPr>
            </w:pPr>
            <w:r w:rsidRPr="001D75F0">
              <w:rPr>
                <w:rFonts w:eastAsia="Times New Roman" w:cs="Times New Roman"/>
                <w:color w:val="000000"/>
              </w:rPr>
              <w:t>Bottom</w:t>
            </w:r>
          </w:p>
        </w:tc>
        <w:tc>
          <w:tcPr>
            <w:tcW w:w="960" w:type="dxa"/>
            <w:noWrap/>
            <w:hideMark/>
          </w:tcPr>
          <w:p w:rsidR="00AB4EB5" w:rsidRPr="001D75F0" w:rsidRDefault="00AB4EB5" w:rsidP="00AB4EB5">
            <w:pPr>
              <w:jc w:val="right"/>
              <w:cnfStyle w:val="000000010000"/>
              <w:rPr>
                <w:rFonts w:eastAsia="Times New Roman" w:cs="Times New Roman"/>
                <w:color w:val="000000"/>
              </w:rPr>
            </w:pPr>
            <w:r w:rsidRPr="001D75F0">
              <w:rPr>
                <w:rFonts w:eastAsia="Times New Roman" w:cs="Times New Roman"/>
                <w:color w:val="000000"/>
              </w:rPr>
              <w:t>4.88</w:t>
            </w:r>
          </w:p>
        </w:tc>
        <w:tc>
          <w:tcPr>
            <w:tcW w:w="1111" w:type="dxa"/>
            <w:noWrap/>
            <w:hideMark/>
          </w:tcPr>
          <w:p w:rsidR="00AB4EB5" w:rsidRPr="001D75F0" w:rsidRDefault="00AB4EB5" w:rsidP="00AB4EB5">
            <w:pPr>
              <w:jc w:val="right"/>
              <w:cnfStyle w:val="000000010000"/>
              <w:rPr>
                <w:rFonts w:eastAsia="Times New Roman" w:cs="Times New Roman"/>
                <w:color w:val="000000"/>
              </w:rPr>
            </w:pPr>
            <w:r w:rsidRPr="001D75F0">
              <w:rPr>
                <w:rFonts w:eastAsia="Times New Roman" w:cs="Times New Roman"/>
                <w:color w:val="000000"/>
              </w:rPr>
              <w:t>2.97</w:t>
            </w:r>
          </w:p>
        </w:tc>
        <w:tc>
          <w:tcPr>
            <w:tcW w:w="1148" w:type="dxa"/>
            <w:noWrap/>
            <w:hideMark/>
          </w:tcPr>
          <w:p w:rsidR="00AB4EB5" w:rsidRPr="001D75F0" w:rsidRDefault="00AB4EB5" w:rsidP="00AB4EB5">
            <w:pPr>
              <w:jc w:val="right"/>
              <w:cnfStyle w:val="000000010000"/>
              <w:rPr>
                <w:rFonts w:eastAsia="Times New Roman" w:cs="Times New Roman"/>
                <w:color w:val="000000"/>
              </w:rPr>
            </w:pPr>
            <w:r w:rsidRPr="001D75F0">
              <w:rPr>
                <w:rFonts w:eastAsia="Times New Roman" w:cs="Times New Roman"/>
                <w:color w:val="000000"/>
              </w:rPr>
              <w:t>8</w:t>
            </w:r>
          </w:p>
        </w:tc>
      </w:tr>
      <w:tr w:rsidR="001D75F0" w:rsidRPr="001D75F0" w:rsidTr="001D75F0">
        <w:trPr>
          <w:cnfStyle w:val="000000100000"/>
          <w:trHeight w:val="300"/>
        </w:trPr>
        <w:tc>
          <w:tcPr>
            <w:cnfStyle w:val="001000000000"/>
            <w:tcW w:w="2173" w:type="dxa"/>
            <w:noWrap/>
            <w:hideMark/>
          </w:tcPr>
          <w:p w:rsidR="00AB4EB5" w:rsidRPr="001D75F0" w:rsidRDefault="00AB4EB5" w:rsidP="00AB4EB5">
            <w:pPr>
              <w:rPr>
                <w:rFonts w:eastAsia="Times New Roman" w:cs="Times New Roman"/>
                <w:color w:val="000000"/>
              </w:rPr>
            </w:pPr>
            <w:r w:rsidRPr="001D75F0">
              <w:rPr>
                <w:rFonts w:eastAsia="Times New Roman" w:cs="Times New Roman"/>
                <w:color w:val="000000"/>
              </w:rPr>
              <w:t>DO Saturation (%)</w:t>
            </w:r>
          </w:p>
        </w:tc>
        <w:tc>
          <w:tcPr>
            <w:tcW w:w="891" w:type="dxa"/>
            <w:noWrap/>
            <w:hideMark/>
          </w:tcPr>
          <w:p w:rsidR="00AB4EB5" w:rsidRPr="001D75F0" w:rsidRDefault="00AB4EB5" w:rsidP="00AB4EB5">
            <w:pPr>
              <w:cnfStyle w:val="000000100000"/>
              <w:rPr>
                <w:rFonts w:eastAsia="Times New Roman" w:cs="Times New Roman"/>
                <w:color w:val="000000"/>
              </w:rPr>
            </w:pPr>
            <w:r w:rsidRPr="001D75F0">
              <w:rPr>
                <w:rFonts w:eastAsia="Times New Roman" w:cs="Times New Roman"/>
                <w:color w:val="000000"/>
              </w:rPr>
              <w:t>Surface</w:t>
            </w:r>
          </w:p>
        </w:tc>
        <w:tc>
          <w:tcPr>
            <w:tcW w:w="960" w:type="dxa"/>
            <w:noWrap/>
            <w:hideMark/>
          </w:tcPr>
          <w:p w:rsidR="00AB4EB5" w:rsidRPr="001D75F0" w:rsidRDefault="00AB4EB5" w:rsidP="00AB4EB5">
            <w:pPr>
              <w:jc w:val="right"/>
              <w:cnfStyle w:val="000000100000"/>
              <w:rPr>
                <w:rFonts w:eastAsia="Times New Roman" w:cs="Times New Roman"/>
                <w:color w:val="000000"/>
              </w:rPr>
            </w:pPr>
            <w:r w:rsidRPr="001D75F0">
              <w:rPr>
                <w:rFonts w:eastAsia="Times New Roman" w:cs="Times New Roman"/>
                <w:color w:val="000000"/>
              </w:rPr>
              <w:t>80.05</w:t>
            </w:r>
          </w:p>
        </w:tc>
        <w:tc>
          <w:tcPr>
            <w:tcW w:w="1111" w:type="dxa"/>
            <w:noWrap/>
            <w:hideMark/>
          </w:tcPr>
          <w:p w:rsidR="00AB4EB5" w:rsidRPr="001D75F0" w:rsidRDefault="00AB4EB5" w:rsidP="00AB4EB5">
            <w:pPr>
              <w:jc w:val="right"/>
              <w:cnfStyle w:val="000000100000"/>
              <w:rPr>
                <w:rFonts w:eastAsia="Times New Roman" w:cs="Times New Roman"/>
                <w:color w:val="000000"/>
              </w:rPr>
            </w:pPr>
            <w:r w:rsidRPr="001D75F0">
              <w:rPr>
                <w:rFonts w:eastAsia="Times New Roman" w:cs="Times New Roman"/>
                <w:color w:val="000000"/>
              </w:rPr>
              <w:t>0</w:t>
            </w:r>
          </w:p>
        </w:tc>
        <w:tc>
          <w:tcPr>
            <w:tcW w:w="1148" w:type="dxa"/>
            <w:noWrap/>
            <w:hideMark/>
          </w:tcPr>
          <w:p w:rsidR="00AB4EB5" w:rsidRPr="001D75F0" w:rsidRDefault="00AB4EB5" w:rsidP="00AB4EB5">
            <w:pPr>
              <w:jc w:val="right"/>
              <w:cnfStyle w:val="000000100000"/>
              <w:rPr>
                <w:rFonts w:eastAsia="Times New Roman" w:cs="Times New Roman"/>
                <w:color w:val="000000"/>
              </w:rPr>
            </w:pPr>
            <w:r w:rsidRPr="001D75F0">
              <w:rPr>
                <w:rFonts w:eastAsia="Times New Roman" w:cs="Times New Roman"/>
                <w:color w:val="000000"/>
              </w:rPr>
              <w:t>134.7</w:t>
            </w:r>
          </w:p>
        </w:tc>
      </w:tr>
      <w:tr w:rsidR="00AB4EB5" w:rsidRPr="001D75F0" w:rsidTr="001D75F0">
        <w:trPr>
          <w:cnfStyle w:val="000000010000"/>
          <w:trHeight w:val="300"/>
        </w:trPr>
        <w:tc>
          <w:tcPr>
            <w:cnfStyle w:val="001000000000"/>
            <w:tcW w:w="2173" w:type="dxa"/>
            <w:noWrap/>
            <w:hideMark/>
          </w:tcPr>
          <w:p w:rsidR="00AB4EB5" w:rsidRPr="001D75F0" w:rsidRDefault="00AB4EB5" w:rsidP="00AB4EB5">
            <w:pPr>
              <w:rPr>
                <w:rFonts w:eastAsia="Times New Roman" w:cs="Times New Roman"/>
                <w:color w:val="000000"/>
              </w:rPr>
            </w:pPr>
          </w:p>
        </w:tc>
        <w:tc>
          <w:tcPr>
            <w:tcW w:w="891" w:type="dxa"/>
            <w:noWrap/>
            <w:hideMark/>
          </w:tcPr>
          <w:p w:rsidR="00AB4EB5" w:rsidRPr="001D75F0" w:rsidRDefault="00AB4EB5" w:rsidP="00AB4EB5">
            <w:pPr>
              <w:cnfStyle w:val="000000010000"/>
              <w:rPr>
                <w:rFonts w:eastAsia="Times New Roman" w:cs="Times New Roman"/>
                <w:color w:val="000000"/>
              </w:rPr>
            </w:pPr>
            <w:r w:rsidRPr="001D75F0">
              <w:rPr>
                <w:rFonts w:eastAsia="Times New Roman" w:cs="Times New Roman"/>
                <w:color w:val="000000"/>
              </w:rPr>
              <w:t>Bottom</w:t>
            </w:r>
          </w:p>
        </w:tc>
        <w:tc>
          <w:tcPr>
            <w:tcW w:w="960" w:type="dxa"/>
            <w:noWrap/>
            <w:hideMark/>
          </w:tcPr>
          <w:p w:rsidR="00AB4EB5" w:rsidRPr="001D75F0" w:rsidRDefault="00AB4EB5" w:rsidP="00AB4EB5">
            <w:pPr>
              <w:jc w:val="right"/>
              <w:cnfStyle w:val="000000010000"/>
              <w:rPr>
                <w:rFonts w:eastAsia="Times New Roman" w:cs="Times New Roman"/>
                <w:color w:val="000000"/>
              </w:rPr>
            </w:pPr>
            <w:r w:rsidRPr="001D75F0">
              <w:rPr>
                <w:rFonts w:eastAsia="Times New Roman" w:cs="Times New Roman"/>
                <w:color w:val="000000"/>
              </w:rPr>
              <w:t>73.34</w:t>
            </w:r>
          </w:p>
        </w:tc>
        <w:tc>
          <w:tcPr>
            <w:tcW w:w="1111" w:type="dxa"/>
            <w:noWrap/>
            <w:hideMark/>
          </w:tcPr>
          <w:p w:rsidR="00AB4EB5" w:rsidRPr="001D75F0" w:rsidRDefault="00AB4EB5" w:rsidP="00AB4EB5">
            <w:pPr>
              <w:jc w:val="right"/>
              <w:cnfStyle w:val="000000010000"/>
              <w:rPr>
                <w:rFonts w:eastAsia="Times New Roman" w:cs="Times New Roman"/>
                <w:color w:val="000000"/>
              </w:rPr>
            </w:pPr>
            <w:r w:rsidRPr="001D75F0">
              <w:rPr>
                <w:rFonts w:eastAsia="Times New Roman" w:cs="Times New Roman"/>
                <w:color w:val="000000"/>
              </w:rPr>
              <w:t>0</w:t>
            </w:r>
          </w:p>
        </w:tc>
        <w:tc>
          <w:tcPr>
            <w:tcW w:w="1148" w:type="dxa"/>
            <w:noWrap/>
            <w:hideMark/>
          </w:tcPr>
          <w:p w:rsidR="00AB4EB5" w:rsidRPr="001D75F0" w:rsidRDefault="00AB4EB5" w:rsidP="00AB4EB5">
            <w:pPr>
              <w:jc w:val="right"/>
              <w:cnfStyle w:val="000000010000"/>
              <w:rPr>
                <w:rFonts w:eastAsia="Times New Roman" w:cs="Times New Roman"/>
                <w:color w:val="000000"/>
              </w:rPr>
            </w:pPr>
            <w:r w:rsidRPr="001D75F0">
              <w:rPr>
                <w:rFonts w:eastAsia="Times New Roman" w:cs="Times New Roman"/>
                <w:color w:val="000000"/>
              </w:rPr>
              <w:t>119.3</w:t>
            </w:r>
          </w:p>
        </w:tc>
      </w:tr>
      <w:tr w:rsidR="001D75F0" w:rsidRPr="001D75F0" w:rsidTr="001D75F0">
        <w:trPr>
          <w:cnfStyle w:val="000000100000"/>
          <w:trHeight w:val="300"/>
        </w:trPr>
        <w:tc>
          <w:tcPr>
            <w:cnfStyle w:val="001000000000"/>
            <w:tcW w:w="2173" w:type="dxa"/>
            <w:noWrap/>
            <w:hideMark/>
          </w:tcPr>
          <w:p w:rsidR="001D75F0" w:rsidRPr="001D75F0" w:rsidRDefault="001D75F0" w:rsidP="005D6B2A">
            <w:pPr>
              <w:rPr>
                <w:rFonts w:eastAsia="Times New Roman" w:cs="Times New Roman"/>
                <w:color w:val="000000"/>
              </w:rPr>
            </w:pPr>
            <w:r w:rsidRPr="001D75F0">
              <w:rPr>
                <w:rFonts w:eastAsia="Times New Roman" w:cs="Times New Roman"/>
                <w:color w:val="000000"/>
              </w:rPr>
              <w:t>CHLA (µg L</w:t>
            </w:r>
            <w:r w:rsidRPr="001D75F0">
              <w:rPr>
                <w:rFonts w:eastAsia="Times New Roman" w:cs="Times New Roman"/>
                <w:color w:val="000000"/>
                <w:vertAlign w:val="superscript"/>
              </w:rPr>
              <w:t>-1</w:t>
            </w:r>
            <w:r w:rsidRPr="001D75F0">
              <w:rPr>
                <w:rFonts w:eastAsia="Times New Roman" w:cs="Times New Roman"/>
                <w:color w:val="000000"/>
              </w:rPr>
              <w:t>)</w:t>
            </w:r>
          </w:p>
        </w:tc>
        <w:tc>
          <w:tcPr>
            <w:tcW w:w="891" w:type="dxa"/>
            <w:noWrap/>
            <w:hideMark/>
          </w:tcPr>
          <w:p w:rsidR="001D75F0" w:rsidRPr="001D75F0" w:rsidRDefault="001D75F0" w:rsidP="005D6B2A">
            <w:pPr>
              <w:cnfStyle w:val="000000100000"/>
              <w:rPr>
                <w:rFonts w:eastAsia="Times New Roman" w:cs="Times New Roman"/>
                <w:color w:val="000000"/>
              </w:rPr>
            </w:pPr>
            <w:r w:rsidRPr="001D75F0">
              <w:rPr>
                <w:rFonts w:eastAsia="Times New Roman" w:cs="Times New Roman"/>
                <w:color w:val="000000"/>
              </w:rPr>
              <w:t>Surface</w:t>
            </w:r>
          </w:p>
        </w:tc>
        <w:tc>
          <w:tcPr>
            <w:tcW w:w="960" w:type="dxa"/>
            <w:noWrap/>
            <w:hideMark/>
          </w:tcPr>
          <w:p w:rsidR="001D75F0" w:rsidRPr="001D75F0" w:rsidRDefault="001D75F0" w:rsidP="005D6B2A">
            <w:pPr>
              <w:jc w:val="right"/>
              <w:cnfStyle w:val="000000100000"/>
              <w:rPr>
                <w:rFonts w:eastAsia="Times New Roman" w:cs="Times New Roman"/>
                <w:color w:val="000000"/>
              </w:rPr>
            </w:pPr>
            <w:r w:rsidRPr="001D75F0">
              <w:rPr>
                <w:rFonts w:eastAsia="Times New Roman" w:cs="Times New Roman"/>
                <w:color w:val="000000"/>
              </w:rPr>
              <w:t>0.19</w:t>
            </w:r>
          </w:p>
        </w:tc>
        <w:tc>
          <w:tcPr>
            <w:tcW w:w="1111" w:type="dxa"/>
            <w:noWrap/>
            <w:hideMark/>
          </w:tcPr>
          <w:p w:rsidR="001D75F0" w:rsidRPr="001D75F0" w:rsidRDefault="001D75F0" w:rsidP="005D6B2A">
            <w:pPr>
              <w:jc w:val="right"/>
              <w:cnfStyle w:val="000000100000"/>
              <w:rPr>
                <w:rFonts w:eastAsia="Times New Roman" w:cs="Times New Roman"/>
                <w:color w:val="000000"/>
              </w:rPr>
            </w:pPr>
            <w:r w:rsidRPr="001D75F0">
              <w:rPr>
                <w:rFonts w:eastAsia="Times New Roman" w:cs="Times New Roman"/>
                <w:color w:val="000000"/>
              </w:rPr>
              <w:t>0</w:t>
            </w:r>
          </w:p>
        </w:tc>
        <w:tc>
          <w:tcPr>
            <w:tcW w:w="1148" w:type="dxa"/>
            <w:noWrap/>
            <w:hideMark/>
          </w:tcPr>
          <w:p w:rsidR="001D75F0" w:rsidRPr="001D75F0" w:rsidRDefault="001D75F0" w:rsidP="005D6B2A">
            <w:pPr>
              <w:jc w:val="right"/>
              <w:cnfStyle w:val="000000100000"/>
              <w:rPr>
                <w:rFonts w:eastAsia="Times New Roman" w:cs="Times New Roman"/>
                <w:color w:val="000000"/>
              </w:rPr>
            </w:pPr>
            <w:r w:rsidRPr="001D75F0">
              <w:rPr>
                <w:rFonts w:eastAsia="Times New Roman" w:cs="Times New Roman"/>
                <w:color w:val="000000"/>
              </w:rPr>
              <w:t>9.18</w:t>
            </w:r>
          </w:p>
        </w:tc>
      </w:tr>
    </w:tbl>
    <w:p w:rsidR="0027730B" w:rsidRPr="00DC7DE0" w:rsidRDefault="0027730B" w:rsidP="00A92004">
      <w:pPr>
        <w:autoSpaceDE w:val="0"/>
        <w:autoSpaceDN w:val="0"/>
        <w:adjustRightInd w:val="0"/>
        <w:rPr>
          <w:rFonts w:cs="TimesNewRoman"/>
          <w:color w:val="1F1A17"/>
        </w:rPr>
      </w:pPr>
    </w:p>
    <w:p w:rsidR="009E7245" w:rsidRPr="009E7245" w:rsidRDefault="009E7245" w:rsidP="00A92004">
      <w:pPr>
        <w:autoSpaceDE w:val="0"/>
        <w:autoSpaceDN w:val="0"/>
        <w:adjustRightInd w:val="0"/>
        <w:rPr>
          <w:bCs/>
        </w:rPr>
      </w:pPr>
    </w:p>
    <w:p w:rsidR="00DD2DA3" w:rsidRDefault="00DD2DA3" w:rsidP="00A92004">
      <w:pPr>
        <w:rPr>
          <w:bCs/>
        </w:rPr>
      </w:pPr>
      <w:r w:rsidRPr="00DD2DA3">
        <w:rPr>
          <w:bCs/>
          <w:noProof/>
        </w:rPr>
        <w:lastRenderedPageBreak/>
        <w:drawing>
          <wp:inline distT="0" distB="0" distL="0" distR="0">
            <wp:extent cx="3812286" cy="2432304"/>
            <wp:effectExtent l="19050" t="0" r="0" b="0"/>
            <wp:docPr id="3" name="Picture 2" descr="Map showing salinity patterns in Florida Bay and the Florida Keys from 1995-2009."/>
            <wp:cNvGraphicFramePr/>
            <a:graphic xmlns:a="http://schemas.openxmlformats.org/drawingml/2006/main">
              <a:graphicData uri="http://schemas.openxmlformats.org/drawingml/2006/picture">
                <pic:pic xmlns:pic="http://schemas.openxmlformats.org/drawingml/2006/picture">
                  <pic:nvPicPr>
                    <pic:cNvPr id="21505" name="Picture 2" descr="Map showing salinity patterns in Florida Bay and the Florida Keys from 1995-2009."/>
                    <pic:cNvPicPr>
                      <a:picLocks noChangeAspect="1" noChangeArrowheads="1"/>
                    </pic:cNvPicPr>
                  </pic:nvPicPr>
                  <pic:blipFill>
                    <a:blip r:embed="rId32" cstate="print"/>
                    <a:srcRect/>
                    <a:stretch>
                      <a:fillRect/>
                    </a:stretch>
                  </pic:blipFill>
                  <pic:spPr bwMode="auto">
                    <a:xfrm>
                      <a:off x="0" y="0"/>
                      <a:ext cx="3817535" cy="2435653"/>
                    </a:xfrm>
                    <a:prstGeom prst="rect">
                      <a:avLst/>
                    </a:prstGeom>
                    <a:noFill/>
                    <a:ln w="9525">
                      <a:noFill/>
                      <a:miter lim="800000"/>
                      <a:headEnd/>
                      <a:tailEnd/>
                    </a:ln>
                  </pic:spPr>
                </pic:pic>
              </a:graphicData>
            </a:graphic>
          </wp:inline>
        </w:drawing>
      </w:r>
    </w:p>
    <w:p w:rsidR="00564015" w:rsidRDefault="0061784D" w:rsidP="00A92004">
      <w:pPr>
        <w:rPr>
          <w:rFonts w:cs="TimesNewRoman"/>
          <w:color w:val="1F1A17"/>
        </w:rPr>
      </w:pPr>
      <w:proofErr w:type="gramStart"/>
      <w:r w:rsidRPr="00883CE0">
        <w:rPr>
          <w:b/>
          <w:bCs/>
        </w:rPr>
        <w:t>Figure</w:t>
      </w:r>
      <w:r w:rsidR="00406C0B">
        <w:rPr>
          <w:b/>
          <w:bCs/>
        </w:rPr>
        <w:t xml:space="preserve"> 17</w:t>
      </w:r>
      <w:r w:rsidR="00DD2DA3" w:rsidRPr="00883CE0">
        <w:rPr>
          <w:b/>
          <w:bCs/>
        </w:rPr>
        <w:t>.</w:t>
      </w:r>
      <w:proofErr w:type="gramEnd"/>
      <w:r w:rsidR="00DD2DA3">
        <w:rPr>
          <w:bCs/>
        </w:rPr>
        <w:t xml:space="preserve"> </w:t>
      </w:r>
      <w:proofErr w:type="gramStart"/>
      <w:r w:rsidR="00DD2DA3">
        <w:rPr>
          <w:bCs/>
        </w:rPr>
        <w:t>Median</w:t>
      </w:r>
      <w:r w:rsidR="00564015">
        <w:rPr>
          <w:bCs/>
        </w:rPr>
        <w:t xml:space="preserve"> salinity 1995-2009 </w:t>
      </w:r>
      <w:r w:rsidR="00564015">
        <w:rPr>
          <w:rFonts w:cs="TimesNewRoman"/>
          <w:color w:val="1F1A17"/>
        </w:rPr>
        <w:t xml:space="preserve">(Boyer and </w:t>
      </w:r>
      <w:proofErr w:type="spellStart"/>
      <w:r w:rsidR="00564015">
        <w:rPr>
          <w:rFonts w:cs="TimesNewRoman"/>
          <w:color w:val="1F1A17"/>
        </w:rPr>
        <w:t>Briceño</w:t>
      </w:r>
      <w:proofErr w:type="spellEnd"/>
      <w:r w:rsidR="00564015">
        <w:rPr>
          <w:rFonts w:cs="TimesNewRoman"/>
          <w:color w:val="1F1A17"/>
        </w:rPr>
        <w:t xml:space="preserve"> 2009</w:t>
      </w:r>
      <w:r w:rsidR="00564015" w:rsidRPr="009E7245">
        <w:rPr>
          <w:rFonts w:cs="TimesNewRoman"/>
          <w:color w:val="1F1A17"/>
        </w:rPr>
        <w:t>)</w:t>
      </w:r>
      <w:r w:rsidR="00564015">
        <w:rPr>
          <w:rFonts w:cs="TimesNewRoman"/>
          <w:color w:val="1F1A17"/>
        </w:rPr>
        <w:t>.</w:t>
      </w:r>
      <w:proofErr w:type="gramEnd"/>
    </w:p>
    <w:p w:rsidR="00DC7DE0" w:rsidRDefault="00DC7DE0" w:rsidP="00A92004">
      <w:pPr>
        <w:rPr>
          <w:bCs/>
        </w:rPr>
      </w:pPr>
      <w:r>
        <w:rPr>
          <w:bCs/>
          <w:noProof/>
        </w:rPr>
        <w:drawing>
          <wp:inline distT="0" distB="0" distL="0" distR="0">
            <wp:extent cx="3999230" cy="2846540"/>
            <wp:effectExtent l="19050" t="0" r="1270" b="0"/>
            <wp:docPr id="1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cstate="print"/>
                    <a:srcRect/>
                    <a:stretch>
                      <a:fillRect/>
                    </a:stretch>
                  </pic:blipFill>
                  <pic:spPr bwMode="auto">
                    <a:xfrm>
                      <a:off x="0" y="0"/>
                      <a:ext cx="4004899" cy="2850575"/>
                    </a:xfrm>
                    <a:prstGeom prst="rect">
                      <a:avLst/>
                    </a:prstGeom>
                    <a:noFill/>
                    <a:ln w="9525">
                      <a:noFill/>
                      <a:miter lim="800000"/>
                      <a:headEnd/>
                      <a:tailEnd/>
                    </a:ln>
                  </pic:spPr>
                </pic:pic>
              </a:graphicData>
            </a:graphic>
          </wp:inline>
        </w:drawing>
      </w:r>
    </w:p>
    <w:p w:rsidR="00564015" w:rsidRDefault="0061784D" w:rsidP="00A92004">
      <w:pPr>
        <w:rPr>
          <w:rFonts w:cs="TimesNewRoman"/>
          <w:color w:val="1F1A17"/>
        </w:rPr>
      </w:pPr>
      <w:proofErr w:type="gramStart"/>
      <w:r w:rsidRPr="00883CE0">
        <w:rPr>
          <w:rFonts w:cs="TimesNewRomanPSMT"/>
          <w:b/>
        </w:rPr>
        <w:t>Figure</w:t>
      </w:r>
      <w:r w:rsidR="00406C0B">
        <w:rPr>
          <w:rFonts w:cs="TimesNewRomanPSMT"/>
          <w:b/>
        </w:rPr>
        <w:t xml:space="preserve"> 18</w:t>
      </w:r>
      <w:r w:rsidR="0007577F" w:rsidRPr="00883CE0">
        <w:rPr>
          <w:rFonts w:cs="TimesNewRomanPSMT"/>
          <w:b/>
        </w:rPr>
        <w:t>.</w:t>
      </w:r>
      <w:proofErr w:type="gramEnd"/>
      <w:r w:rsidR="0007577F">
        <w:rPr>
          <w:rFonts w:cs="TimesNewRomanPSMT"/>
        </w:rPr>
        <w:t xml:space="preserve"> </w:t>
      </w:r>
      <w:r w:rsidR="00265330">
        <w:rPr>
          <w:rFonts w:cs="TimesNewRomanPSMT"/>
        </w:rPr>
        <w:t>Dissolved inorganic nitrogen (µM) median from 1995-2007</w:t>
      </w:r>
      <w:r w:rsidR="00564015">
        <w:rPr>
          <w:rFonts w:cs="TimesNewRomanPSMT"/>
        </w:rPr>
        <w:t xml:space="preserve"> </w:t>
      </w:r>
      <w:r w:rsidR="00564015">
        <w:rPr>
          <w:rFonts w:cs="TimesNewRoman"/>
          <w:color w:val="1F1A17"/>
        </w:rPr>
        <w:t xml:space="preserve">(Boyer and </w:t>
      </w:r>
      <w:proofErr w:type="spellStart"/>
      <w:r w:rsidR="00564015">
        <w:rPr>
          <w:rFonts w:cs="TimesNewRoman"/>
          <w:color w:val="1F1A17"/>
        </w:rPr>
        <w:t>Briceño</w:t>
      </w:r>
      <w:proofErr w:type="spellEnd"/>
      <w:r w:rsidR="00564015">
        <w:rPr>
          <w:rFonts w:cs="TimesNewRoman"/>
          <w:color w:val="1F1A17"/>
        </w:rPr>
        <w:t xml:space="preserve"> 2009</w:t>
      </w:r>
      <w:r w:rsidR="00564015" w:rsidRPr="009E7245">
        <w:rPr>
          <w:rFonts w:cs="TimesNewRoman"/>
          <w:color w:val="1F1A17"/>
        </w:rPr>
        <w:t>)</w:t>
      </w:r>
      <w:r w:rsidR="00564015">
        <w:rPr>
          <w:rFonts w:cs="TimesNewRoman"/>
          <w:color w:val="1F1A17"/>
        </w:rPr>
        <w:t>.</w:t>
      </w:r>
    </w:p>
    <w:p w:rsidR="00E921A6" w:rsidRDefault="00E921A6" w:rsidP="00A92004">
      <w:pPr>
        <w:rPr>
          <w:bCs/>
        </w:rPr>
      </w:pPr>
      <w:r>
        <w:rPr>
          <w:bCs/>
          <w:noProof/>
        </w:rPr>
        <w:lastRenderedPageBreak/>
        <w:drawing>
          <wp:inline distT="0" distB="0" distL="0" distR="0">
            <wp:extent cx="4059174" cy="2952164"/>
            <wp:effectExtent l="19050" t="0" r="0" b="0"/>
            <wp:docPr id="2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4" cstate="print"/>
                    <a:srcRect/>
                    <a:stretch>
                      <a:fillRect/>
                    </a:stretch>
                  </pic:blipFill>
                  <pic:spPr bwMode="auto">
                    <a:xfrm>
                      <a:off x="0" y="0"/>
                      <a:ext cx="4064112" cy="2955755"/>
                    </a:xfrm>
                    <a:prstGeom prst="rect">
                      <a:avLst/>
                    </a:prstGeom>
                    <a:noFill/>
                    <a:ln w="9525">
                      <a:noFill/>
                      <a:miter lim="800000"/>
                      <a:headEnd/>
                      <a:tailEnd/>
                    </a:ln>
                  </pic:spPr>
                </pic:pic>
              </a:graphicData>
            </a:graphic>
          </wp:inline>
        </w:drawing>
      </w:r>
    </w:p>
    <w:p w:rsidR="00564015" w:rsidRDefault="0061784D" w:rsidP="00A92004">
      <w:pPr>
        <w:rPr>
          <w:rFonts w:cs="TimesNewRoman"/>
          <w:color w:val="1F1A17"/>
        </w:rPr>
      </w:pPr>
      <w:proofErr w:type="gramStart"/>
      <w:r w:rsidRPr="00883CE0">
        <w:rPr>
          <w:b/>
          <w:bCs/>
        </w:rPr>
        <w:t>Figure</w:t>
      </w:r>
      <w:r w:rsidR="00406C0B">
        <w:rPr>
          <w:b/>
          <w:bCs/>
        </w:rPr>
        <w:t xml:space="preserve"> 19</w:t>
      </w:r>
      <w:r w:rsidR="0007577F" w:rsidRPr="00883CE0">
        <w:rPr>
          <w:b/>
          <w:bCs/>
        </w:rPr>
        <w:t>.</w:t>
      </w:r>
      <w:proofErr w:type="gramEnd"/>
      <w:r w:rsidR="00265330">
        <w:rPr>
          <w:bCs/>
        </w:rPr>
        <w:t xml:space="preserve"> </w:t>
      </w:r>
      <w:proofErr w:type="gramStart"/>
      <w:r w:rsidR="00265330">
        <w:rPr>
          <w:bCs/>
        </w:rPr>
        <w:t xml:space="preserve">Total phosphorus </w:t>
      </w:r>
      <w:r w:rsidR="00265330">
        <w:rPr>
          <w:rFonts w:cs="TimesNewRomanPSMT"/>
        </w:rPr>
        <w:t>(µM) median from 1995-2007</w:t>
      </w:r>
      <w:r w:rsidR="00564015">
        <w:rPr>
          <w:rFonts w:cs="TimesNewRomanPSMT"/>
        </w:rPr>
        <w:t xml:space="preserve"> </w:t>
      </w:r>
      <w:r w:rsidR="00564015">
        <w:rPr>
          <w:rFonts w:cs="TimesNewRoman"/>
          <w:color w:val="1F1A17"/>
        </w:rPr>
        <w:t xml:space="preserve">(Boyer and </w:t>
      </w:r>
      <w:proofErr w:type="spellStart"/>
      <w:r w:rsidR="00564015">
        <w:rPr>
          <w:rFonts w:cs="TimesNewRoman"/>
          <w:color w:val="1F1A17"/>
        </w:rPr>
        <w:t>Briceño</w:t>
      </w:r>
      <w:proofErr w:type="spellEnd"/>
      <w:r w:rsidR="00564015">
        <w:rPr>
          <w:rFonts w:cs="TimesNewRoman"/>
          <w:color w:val="1F1A17"/>
        </w:rPr>
        <w:t xml:space="preserve"> 2009</w:t>
      </w:r>
      <w:r w:rsidR="00564015" w:rsidRPr="009E7245">
        <w:rPr>
          <w:rFonts w:cs="TimesNewRoman"/>
          <w:color w:val="1F1A17"/>
        </w:rPr>
        <w:t>)</w:t>
      </w:r>
      <w:r w:rsidR="00564015">
        <w:rPr>
          <w:rFonts w:cs="TimesNewRoman"/>
          <w:color w:val="1F1A17"/>
        </w:rPr>
        <w:t>.</w:t>
      </w:r>
      <w:proofErr w:type="gramEnd"/>
    </w:p>
    <w:p w:rsidR="00E921A6" w:rsidRDefault="00E921A6" w:rsidP="00A92004">
      <w:pPr>
        <w:rPr>
          <w:bCs/>
        </w:rPr>
      </w:pPr>
      <w:r>
        <w:rPr>
          <w:bCs/>
          <w:noProof/>
        </w:rPr>
        <w:drawing>
          <wp:inline distT="0" distB="0" distL="0" distR="0">
            <wp:extent cx="3995166" cy="2971197"/>
            <wp:effectExtent l="19050" t="0" r="5334" b="0"/>
            <wp:docPr id="2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5" cstate="print"/>
                    <a:srcRect/>
                    <a:stretch>
                      <a:fillRect/>
                    </a:stretch>
                  </pic:blipFill>
                  <pic:spPr bwMode="auto">
                    <a:xfrm>
                      <a:off x="0" y="0"/>
                      <a:ext cx="4001546" cy="2975942"/>
                    </a:xfrm>
                    <a:prstGeom prst="rect">
                      <a:avLst/>
                    </a:prstGeom>
                    <a:noFill/>
                    <a:ln w="9525">
                      <a:noFill/>
                      <a:miter lim="800000"/>
                      <a:headEnd/>
                      <a:tailEnd/>
                    </a:ln>
                  </pic:spPr>
                </pic:pic>
              </a:graphicData>
            </a:graphic>
          </wp:inline>
        </w:drawing>
      </w:r>
    </w:p>
    <w:p w:rsidR="00564015" w:rsidRDefault="0061784D" w:rsidP="009D1F25">
      <w:pPr>
        <w:spacing w:after="120"/>
        <w:rPr>
          <w:rFonts w:cs="TimesNewRoman"/>
          <w:color w:val="1F1A17"/>
        </w:rPr>
      </w:pPr>
      <w:r w:rsidRPr="00883CE0">
        <w:rPr>
          <w:b/>
          <w:bCs/>
          <w:noProof/>
        </w:rPr>
        <w:t>Figure</w:t>
      </w:r>
      <w:r w:rsidR="00677429" w:rsidRPr="00883CE0">
        <w:rPr>
          <w:b/>
          <w:bCs/>
          <w:noProof/>
        </w:rPr>
        <w:t xml:space="preserve"> 2</w:t>
      </w:r>
      <w:r w:rsidR="00406C0B">
        <w:rPr>
          <w:b/>
          <w:bCs/>
          <w:noProof/>
        </w:rPr>
        <w:t>0</w:t>
      </w:r>
      <w:r w:rsidR="0007577F" w:rsidRPr="00883CE0">
        <w:rPr>
          <w:b/>
          <w:bCs/>
          <w:noProof/>
        </w:rPr>
        <w:t>.</w:t>
      </w:r>
      <w:r w:rsidR="00265330">
        <w:rPr>
          <w:bCs/>
          <w:noProof/>
        </w:rPr>
        <w:t xml:space="preserve"> </w:t>
      </w:r>
      <w:proofErr w:type="gramStart"/>
      <w:r w:rsidR="00265330">
        <w:rPr>
          <w:bCs/>
          <w:noProof/>
        </w:rPr>
        <w:t xml:space="preserve">Chlorophyll </w:t>
      </w:r>
      <w:r w:rsidR="00265330" w:rsidRPr="001E4FFB">
        <w:rPr>
          <w:bCs/>
          <w:i/>
          <w:noProof/>
        </w:rPr>
        <w:t>a</w:t>
      </w:r>
      <w:r w:rsidR="001E4FFB">
        <w:rPr>
          <w:bCs/>
          <w:noProof/>
        </w:rPr>
        <w:t xml:space="preserve"> (µg </w:t>
      </w:r>
      <w:r w:rsidR="00265330">
        <w:rPr>
          <w:bCs/>
          <w:noProof/>
        </w:rPr>
        <w:t>L</w:t>
      </w:r>
      <w:r w:rsidR="001E4FFB">
        <w:rPr>
          <w:bCs/>
          <w:noProof/>
          <w:vertAlign w:val="superscript"/>
        </w:rPr>
        <w:t>-1</w:t>
      </w:r>
      <w:r w:rsidR="00265330">
        <w:rPr>
          <w:bCs/>
          <w:noProof/>
        </w:rPr>
        <w:t>) median from 1995-2007</w:t>
      </w:r>
      <w:r w:rsidR="00564015">
        <w:rPr>
          <w:bCs/>
          <w:noProof/>
        </w:rPr>
        <w:t xml:space="preserve"> </w:t>
      </w:r>
      <w:r w:rsidR="00564015">
        <w:rPr>
          <w:rFonts w:cs="TimesNewRoman"/>
          <w:color w:val="1F1A17"/>
        </w:rPr>
        <w:t xml:space="preserve">(Boyer and </w:t>
      </w:r>
      <w:proofErr w:type="spellStart"/>
      <w:r w:rsidR="00564015">
        <w:rPr>
          <w:rFonts w:cs="TimesNewRoman"/>
          <w:color w:val="1F1A17"/>
        </w:rPr>
        <w:t>Briceño</w:t>
      </w:r>
      <w:proofErr w:type="spellEnd"/>
      <w:r w:rsidR="00564015">
        <w:rPr>
          <w:rFonts w:cs="TimesNewRoman"/>
          <w:color w:val="1F1A17"/>
        </w:rPr>
        <w:t xml:space="preserve"> 2009</w:t>
      </w:r>
      <w:r w:rsidR="00564015" w:rsidRPr="009E7245">
        <w:rPr>
          <w:rFonts w:cs="TimesNewRoman"/>
          <w:color w:val="1F1A17"/>
        </w:rPr>
        <w:t>)</w:t>
      </w:r>
      <w:r w:rsidR="00564015">
        <w:rPr>
          <w:rFonts w:cs="TimesNewRoman"/>
          <w:color w:val="1F1A17"/>
        </w:rPr>
        <w:t>.</w:t>
      </w:r>
      <w:proofErr w:type="gramEnd"/>
    </w:p>
    <w:p w:rsidR="00E921A6" w:rsidRPr="009E7245" w:rsidRDefault="00E921A6" w:rsidP="009D1F25">
      <w:pPr>
        <w:autoSpaceDE w:val="0"/>
        <w:autoSpaceDN w:val="0"/>
        <w:adjustRightInd w:val="0"/>
        <w:spacing w:after="120"/>
        <w:rPr>
          <w:bCs/>
          <w:noProof/>
        </w:rPr>
      </w:pPr>
      <w:r w:rsidRPr="009E7245">
        <w:rPr>
          <w:rFonts w:cs="TimesNewRomanPSMT"/>
        </w:rPr>
        <w:t>Several important results have been realized from this monitoring project. First, is</w:t>
      </w:r>
      <w:r w:rsidR="009E7245">
        <w:rPr>
          <w:rFonts w:cs="TimesNewRomanPSMT"/>
        </w:rPr>
        <w:t xml:space="preserve"> </w:t>
      </w:r>
      <w:r w:rsidRPr="009E7245">
        <w:rPr>
          <w:rFonts w:cs="TimesNewRomanPSMT"/>
        </w:rPr>
        <w:t>documentation of elevated nitrate in the in</w:t>
      </w:r>
      <w:r w:rsidR="00265330">
        <w:rPr>
          <w:rFonts w:cs="TimesNewRomanPSMT"/>
        </w:rPr>
        <w:t>sho</w:t>
      </w:r>
      <w:r w:rsidR="00677429">
        <w:rPr>
          <w:rFonts w:cs="TimesNewRomanPSMT"/>
        </w:rPr>
        <w:t>re waters of the Keys (</w:t>
      </w:r>
      <w:r w:rsidR="0061784D">
        <w:rPr>
          <w:rFonts w:cs="TimesNewRomanPSMT"/>
        </w:rPr>
        <w:t>Figure</w:t>
      </w:r>
      <w:r w:rsidR="00406C0B">
        <w:rPr>
          <w:rFonts w:cs="TimesNewRomanPSMT"/>
        </w:rPr>
        <w:t xml:space="preserve"> 21</w:t>
      </w:r>
      <w:r w:rsidRPr="009E7245">
        <w:rPr>
          <w:rFonts w:cs="TimesNewRomanPSMT"/>
        </w:rPr>
        <w:t>)</w:t>
      </w:r>
      <w:proofErr w:type="gramStart"/>
      <w:r w:rsidRPr="009E7245">
        <w:rPr>
          <w:rFonts w:cs="TimesNewRomanPSMT"/>
        </w:rPr>
        <w:t>.</w:t>
      </w:r>
      <w:proofErr w:type="gramEnd"/>
      <w:r w:rsidRPr="009E7245">
        <w:rPr>
          <w:rFonts w:cs="TimesNewRomanPSMT"/>
        </w:rPr>
        <w:t xml:space="preserve"> This result was</w:t>
      </w:r>
      <w:r w:rsidR="009E7245">
        <w:rPr>
          <w:rFonts w:cs="TimesNewRomanPSMT"/>
        </w:rPr>
        <w:t xml:space="preserve"> </w:t>
      </w:r>
      <w:r w:rsidR="002D0CBA">
        <w:rPr>
          <w:rFonts w:cs="TimesNewRomanPSMT"/>
        </w:rPr>
        <w:t xml:space="preserve">evident from </w:t>
      </w:r>
      <w:r w:rsidR="00EC5DAF">
        <w:rPr>
          <w:rFonts w:cs="TimesNewRomanPSMT"/>
        </w:rPr>
        <w:t>the</w:t>
      </w:r>
      <w:r w:rsidRPr="009E7245">
        <w:rPr>
          <w:rFonts w:cs="TimesNewRomanPSMT"/>
        </w:rPr>
        <w:t xml:space="preserve"> first sampling event in 1995 and continues to be a characteristic of the</w:t>
      </w:r>
      <w:r w:rsidR="009E7245">
        <w:rPr>
          <w:rFonts w:cs="TimesNewRomanPSMT"/>
        </w:rPr>
        <w:t xml:space="preserve"> </w:t>
      </w:r>
      <w:r w:rsidRPr="009E7245">
        <w:rPr>
          <w:rFonts w:cs="TimesNewRomanPSMT"/>
        </w:rPr>
        <w:t>ecosystem. Interestingly, this gradient was not observed in a comparison transect from the</w:t>
      </w:r>
      <w:r w:rsidR="009E7245">
        <w:rPr>
          <w:rFonts w:cs="TimesNewRomanPSMT"/>
        </w:rPr>
        <w:t xml:space="preserve"> </w:t>
      </w:r>
      <w:r w:rsidRPr="009E7245">
        <w:rPr>
          <w:rFonts w:cs="TimesNewRomanPSMT"/>
        </w:rPr>
        <w:t>Tortugas (no human impact). This type of distribution implies an inshore source which is diluted</w:t>
      </w:r>
      <w:r w:rsidR="009E7245">
        <w:rPr>
          <w:rFonts w:cs="TimesNewRomanPSMT"/>
        </w:rPr>
        <w:t xml:space="preserve"> </w:t>
      </w:r>
      <w:r w:rsidRPr="009E7245">
        <w:rPr>
          <w:rFonts w:cs="TimesNewRomanPSMT"/>
        </w:rPr>
        <w:t>by low nutrient Atlantic Ocean waters. Presence of a similar gradient in TOC and decreased</w:t>
      </w:r>
      <w:r w:rsidR="009E7245">
        <w:rPr>
          <w:rFonts w:cs="TimesNewRomanPSMT"/>
        </w:rPr>
        <w:t xml:space="preserve"> </w:t>
      </w:r>
      <w:r w:rsidRPr="009E7245">
        <w:rPr>
          <w:rFonts w:cs="TimesNewRomanPSMT"/>
        </w:rPr>
        <w:t>variability in salinity from land to reef also support this concept. There were no trends in either</w:t>
      </w:r>
      <w:r w:rsidR="009E7245">
        <w:rPr>
          <w:rFonts w:cs="TimesNewRomanPSMT"/>
        </w:rPr>
        <w:t xml:space="preserve"> </w:t>
      </w:r>
      <w:r w:rsidRPr="009E7245">
        <w:rPr>
          <w:rFonts w:cs="TimesNewRomanPSMT"/>
        </w:rPr>
        <w:t>TP or CHLA with distance from land.</w:t>
      </w:r>
      <w:r w:rsidR="009E7245">
        <w:rPr>
          <w:rFonts w:cs="TimesNewRomanPSMT"/>
        </w:rPr>
        <w:t xml:space="preserve"> </w:t>
      </w:r>
      <w:r w:rsidRPr="009E7245">
        <w:rPr>
          <w:rFonts w:cs="TimesNewRomanPSMT"/>
        </w:rPr>
        <w:t xml:space="preserve">Second, highest CHLA </w:t>
      </w:r>
      <w:r w:rsidRPr="009E7245">
        <w:rPr>
          <w:rFonts w:cs="TimesNewRomanPSMT"/>
        </w:rPr>
        <w:lastRenderedPageBreak/>
        <w:t>concentrations are seen on the SW Florida Shelf with a strong</w:t>
      </w:r>
      <w:r w:rsidR="009E7245">
        <w:rPr>
          <w:rFonts w:cs="TimesNewRomanPSMT"/>
        </w:rPr>
        <w:t xml:space="preserve"> </w:t>
      </w:r>
      <w:r w:rsidRPr="009E7245">
        <w:rPr>
          <w:rFonts w:cs="TimesNewRomanPSMT"/>
        </w:rPr>
        <w:t>gradient towards the</w:t>
      </w:r>
      <w:r w:rsidR="00265330">
        <w:rPr>
          <w:rFonts w:cs="TimesNewRomanPSMT"/>
        </w:rPr>
        <w:t xml:space="preserve"> M</w:t>
      </w:r>
      <w:r w:rsidR="00677429">
        <w:rPr>
          <w:rFonts w:cs="TimesNewRomanPSMT"/>
        </w:rPr>
        <w:t>arquesas and Tortugas (</w:t>
      </w:r>
      <w:r w:rsidR="0061784D">
        <w:rPr>
          <w:rFonts w:cs="TimesNewRomanPSMT"/>
        </w:rPr>
        <w:t>Figure</w:t>
      </w:r>
      <w:r w:rsidR="00677429">
        <w:rPr>
          <w:rFonts w:cs="TimesNewRomanPSMT"/>
        </w:rPr>
        <w:t xml:space="preserve"> 22</w:t>
      </w:r>
      <w:r w:rsidRPr="009E7245">
        <w:rPr>
          <w:rFonts w:cs="TimesNewRomanPSMT"/>
        </w:rPr>
        <w:t>). This is due to higher TP concentrations</w:t>
      </w:r>
      <w:r w:rsidR="009E7245">
        <w:rPr>
          <w:rFonts w:cs="TimesNewRomanPSMT"/>
        </w:rPr>
        <w:t xml:space="preserve"> </w:t>
      </w:r>
      <w:r w:rsidRPr="009E7245">
        <w:rPr>
          <w:rFonts w:cs="TimesNewRomanPSMT"/>
        </w:rPr>
        <w:t>on the Shelf as a result of southerly advection of water along the coast.</w:t>
      </w:r>
    </w:p>
    <w:p w:rsidR="00E921A6" w:rsidRPr="00DD2DA3" w:rsidRDefault="00E921A6" w:rsidP="00A92004">
      <w:pPr>
        <w:rPr>
          <w:bCs/>
        </w:rPr>
      </w:pPr>
      <w:r>
        <w:rPr>
          <w:bCs/>
          <w:noProof/>
        </w:rPr>
        <w:drawing>
          <wp:inline distT="0" distB="0" distL="0" distR="0">
            <wp:extent cx="4087283" cy="2582420"/>
            <wp:effectExtent l="19050" t="0" r="8467" b="0"/>
            <wp:docPr id="2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6" cstate="print"/>
                    <a:srcRect/>
                    <a:stretch>
                      <a:fillRect/>
                    </a:stretch>
                  </pic:blipFill>
                  <pic:spPr bwMode="auto">
                    <a:xfrm>
                      <a:off x="0" y="0"/>
                      <a:ext cx="4088832" cy="2583399"/>
                    </a:xfrm>
                    <a:prstGeom prst="rect">
                      <a:avLst/>
                    </a:prstGeom>
                    <a:noFill/>
                    <a:ln w="9525">
                      <a:noFill/>
                      <a:miter lim="800000"/>
                      <a:headEnd/>
                      <a:tailEnd/>
                    </a:ln>
                  </pic:spPr>
                </pic:pic>
              </a:graphicData>
            </a:graphic>
          </wp:inline>
        </w:drawing>
      </w:r>
    </w:p>
    <w:p w:rsidR="00564015" w:rsidRDefault="0061784D" w:rsidP="009D1F25">
      <w:pPr>
        <w:spacing w:after="120"/>
        <w:rPr>
          <w:rFonts w:cs="TimesNewRoman"/>
          <w:color w:val="1F1A17"/>
        </w:rPr>
      </w:pPr>
      <w:proofErr w:type="gramStart"/>
      <w:r w:rsidRPr="00883CE0">
        <w:rPr>
          <w:b/>
          <w:bCs/>
        </w:rPr>
        <w:t>Figure</w:t>
      </w:r>
      <w:r w:rsidR="00406C0B">
        <w:rPr>
          <w:b/>
          <w:bCs/>
        </w:rPr>
        <w:t xml:space="preserve"> 21</w:t>
      </w:r>
      <w:r w:rsidR="0007577F" w:rsidRPr="00883CE0">
        <w:rPr>
          <w:b/>
          <w:bCs/>
        </w:rPr>
        <w:t>.</w:t>
      </w:r>
      <w:proofErr w:type="gramEnd"/>
      <w:r w:rsidR="00265330">
        <w:rPr>
          <w:bCs/>
        </w:rPr>
        <w:t xml:space="preserve"> </w:t>
      </w:r>
      <w:proofErr w:type="gramStart"/>
      <w:r w:rsidR="00265330">
        <w:rPr>
          <w:bCs/>
        </w:rPr>
        <w:t xml:space="preserve">Dissolved inorganic nitrogen (µM) </w:t>
      </w:r>
      <w:r w:rsidR="00564015">
        <w:rPr>
          <w:rFonts w:cs="TimesNewRoman"/>
          <w:color w:val="1F1A17"/>
        </w:rPr>
        <w:t xml:space="preserve">(Boyer and </w:t>
      </w:r>
      <w:proofErr w:type="spellStart"/>
      <w:r w:rsidR="00564015">
        <w:rPr>
          <w:rFonts w:cs="TimesNewRoman"/>
          <w:color w:val="1F1A17"/>
        </w:rPr>
        <w:t>Briceño</w:t>
      </w:r>
      <w:proofErr w:type="spellEnd"/>
      <w:r w:rsidR="00564015">
        <w:rPr>
          <w:rFonts w:cs="TimesNewRoman"/>
          <w:color w:val="1F1A17"/>
        </w:rPr>
        <w:t xml:space="preserve"> 2009</w:t>
      </w:r>
      <w:r w:rsidR="00564015" w:rsidRPr="009E7245">
        <w:rPr>
          <w:rFonts w:cs="TimesNewRoman"/>
          <w:color w:val="1F1A17"/>
        </w:rPr>
        <w:t>)</w:t>
      </w:r>
      <w:r w:rsidR="00564015">
        <w:rPr>
          <w:rFonts w:cs="TimesNewRoman"/>
          <w:color w:val="1F1A17"/>
        </w:rPr>
        <w:t>.</w:t>
      </w:r>
      <w:proofErr w:type="gramEnd"/>
    </w:p>
    <w:p w:rsidR="00F936CE" w:rsidRDefault="00F936CE" w:rsidP="009D1F25">
      <w:pPr>
        <w:pStyle w:val="EstuaryHeading"/>
        <w:spacing w:after="120"/>
      </w:pPr>
      <w:bookmarkStart w:id="12" w:name="_Toc263862804"/>
      <w:r>
        <w:t>Waters on 303(d) List</w:t>
      </w:r>
      <w:bookmarkEnd w:id="12"/>
      <w:r>
        <w:t xml:space="preserve"> </w:t>
      </w:r>
    </w:p>
    <w:p w:rsidR="00263BFA" w:rsidRPr="00240B7A" w:rsidRDefault="00263BFA" w:rsidP="00BB7C05">
      <w:pPr>
        <w:pStyle w:val="EstuarySubheading"/>
      </w:pPr>
      <w:bookmarkStart w:id="13" w:name="_Toc263862805"/>
      <w:r w:rsidRPr="00240B7A">
        <w:t>Northern Keys</w:t>
      </w:r>
      <w:bookmarkEnd w:id="13"/>
    </w:p>
    <w:p w:rsidR="00240B7A" w:rsidRPr="00240B7A" w:rsidRDefault="00240B7A" w:rsidP="009D1F25">
      <w:pPr>
        <w:autoSpaceDE w:val="0"/>
        <w:autoSpaceDN w:val="0"/>
        <w:adjustRightInd w:val="0"/>
        <w:spacing w:after="120"/>
        <w:rPr>
          <w:rFonts w:cs="Arial"/>
        </w:rPr>
      </w:pPr>
      <w:r>
        <w:rPr>
          <w:rFonts w:cs="Arial"/>
        </w:rPr>
        <w:t>In the Northern Keys region, h</w:t>
      </w:r>
      <w:r w:rsidR="00263BFA" w:rsidRPr="003D59B9">
        <w:rPr>
          <w:rFonts w:cs="Arial"/>
        </w:rPr>
        <w:t>alo zone waters</w:t>
      </w:r>
      <w:r>
        <w:rPr>
          <w:rFonts w:cs="Arial"/>
        </w:rPr>
        <w:t xml:space="preserve"> surrounding the Northern Keys a</w:t>
      </w:r>
      <w:r w:rsidR="00263BFA" w:rsidRPr="003D59B9">
        <w:rPr>
          <w:rFonts w:cs="Arial"/>
        </w:rPr>
        <w:t>rea are up to 500 meters offshore and nearshore water</w:t>
      </w:r>
      <w:r>
        <w:rPr>
          <w:rFonts w:cs="Arial"/>
        </w:rPr>
        <w:t>s up to 12,100 meters offshore are classified as</w:t>
      </w:r>
      <w:r w:rsidR="00263BFA" w:rsidRPr="003D59B9">
        <w:rPr>
          <w:rFonts w:cs="Arial"/>
        </w:rPr>
        <w:t xml:space="preserve"> Class III (Recreation, Propagation and Maintenance of a Healthy, Well Balanced Population of Fish and Wildlife) and Outstanding Florida Waters (OFW). </w:t>
      </w:r>
      <w:r>
        <w:rPr>
          <w:rFonts w:cs="Arial"/>
        </w:rPr>
        <w:t xml:space="preserve"> These w</w:t>
      </w:r>
      <w:r w:rsidR="00263BFA" w:rsidRPr="003D59B9">
        <w:rPr>
          <w:rFonts w:cs="Arial"/>
        </w:rPr>
        <w:t>aters are impaired</w:t>
      </w:r>
      <w:r>
        <w:rPr>
          <w:rFonts w:cs="Arial"/>
        </w:rPr>
        <w:t xml:space="preserve"> for nutrients (in particular nitrogen and phosphorus)</w:t>
      </w:r>
      <w:r w:rsidR="00263BFA" w:rsidRPr="003D59B9">
        <w:rPr>
          <w:rFonts w:cs="Arial"/>
        </w:rPr>
        <w:t xml:space="preserve"> on 1998 303(d) List. Water Body Identification (WBID) numbers include: 6019, 6017, 6009, 6006A, 6006B, and 6005EB, which are the Halo Zone WBIDs surrounding the islands of Lower </w:t>
      </w:r>
      <w:proofErr w:type="spellStart"/>
      <w:r w:rsidR="00263BFA" w:rsidRPr="003D59B9">
        <w:rPr>
          <w:rFonts w:cs="Arial"/>
        </w:rPr>
        <w:t>Matecumbe</w:t>
      </w:r>
      <w:proofErr w:type="spellEnd"/>
      <w:r w:rsidR="00263BFA" w:rsidRPr="003D59B9">
        <w:rPr>
          <w:rFonts w:cs="Arial"/>
        </w:rPr>
        <w:t xml:space="preserve"> Key, Upper </w:t>
      </w:r>
      <w:proofErr w:type="spellStart"/>
      <w:r w:rsidR="00263BFA" w:rsidRPr="003D59B9">
        <w:rPr>
          <w:rFonts w:cs="Arial"/>
        </w:rPr>
        <w:t>Matecumbe</w:t>
      </w:r>
      <w:proofErr w:type="spellEnd"/>
      <w:r w:rsidR="00263BFA" w:rsidRPr="003D59B9">
        <w:rPr>
          <w:rFonts w:cs="Arial"/>
        </w:rPr>
        <w:t xml:space="preserve"> Key, </w:t>
      </w:r>
      <w:proofErr w:type="spellStart"/>
      <w:r w:rsidR="00263BFA" w:rsidRPr="003D59B9">
        <w:rPr>
          <w:rFonts w:cs="Arial"/>
        </w:rPr>
        <w:t>Windley</w:t>
      </w:r>
      <w:proofErr w:type="spellEnd"/>
      <w:r w:rsidR="00263BFA" w:rsidRPr="003D59B9">
        <w:rPr>
          <w:rFonts w:cs="Arial"/>
        </w:rPr>
        <w:t xml:space="preserve"> Key, Plantation Key and Largo Key</w:t>
      </w:r>
      <w:r>
        <w:rPr>
          <w:rFonts w:cs="Arial"/>
        </w:rPr>
        <w:t xml:space="preserve"> (Figure 24)</w:t>
      </w:r>
      <w:r w:rsidR="00263BFA" w:rsidRPr="003D59B9">
        <w:rPr>
          <w:rFonts w:cs="Arial"/>
        </w:rPr>
        <w:t>.</w:t>
      </w:r>
    </w:p>
    <w:p w:rsidR="00263BFA" w:rsidRPr="00240B7A" w:rsidRDefault="00263BFA" w:rsidP="00BB7C05">
      <w:pPr>
        <w:pStyle w:val="EstuarySubheading"/>
      </w:pPr>
      <w:bookmarkStart w:id="14" w:name="_Toc263862806"/>
      <w:r w:rsidRPr="00240B7A">
        <w:t>Central Keys</w:t>
      </w:r>
      <w:bookmarkEnd w:id="14"/>
    </w:p>
    <w:p w:rsidR="00263BFA" w:rsidRPr="003D59B9" w:rsidRDefault="00240B7A" w:rsidP="009D1F25">
      <w:pPr>
        <w:autoSpaceDE w:val="0"/>
        <w:autoSpaceDN w:val="0"/>
        <w:adjustRightInd w:val="0"/>
        <w:spacing w:after="120"/>
        <w:rPr>
          <w:rFonts w:cs="Arial"/>
        </w:rPr>
      </w:pPr>
      <w:r>
        <w:rPr>
          <w:rFonts w:cs="Arial"/>
        </w:rPr>
        <w:t>H</w:t>
      </w:r>
      <w:r w:rsidR="00263BFA" w:rsidRPr="003D59B9">
        <w:rPr>
          <w:rFonts w:cs="Arial"/>
        </w:rPr>
        <w:t>alo zone waters surrounding the Central Keys Area are up to 500 meters offshore and nearshore water</w:t>
      </w:r>
      <w:r>
        <w:rPr>
          <w:rFonts w:cs="Arial"/>
        </w:rPr>
        <w:t>s up to 12,100 meters offshore are classified as</w:t>
      </w:r>
      <w:r w:rsidR="00263BFA" w:rsidRPr="003D59B9">
        <w:rPr>
          <w:rFonts w:cs="Arial"/>
        </w:rPr>
        <w:t xml:space="preserve"> Class III (Recreation, Propagation and Maintenance of a Healthy, Well Balanced Population of Fish and Wildlife) and Outstanding Florida Waters (OFW). Waters are impaired </w:t>
      </w:r>
      <w:r>
        <w:rPr>
          <w:rFonts w:cs="Arial"/>
        </w:rPr>
        <w:t xml:space="preserve">for nutrients (in particular, nitrogen and phosphorus) </w:t>
      </w:r>
      <w:r w:rsidR="00263BFA" w:rsidRPr="003D59B9">
        <w:rPr>
          <w:rFonts w:cs="Arial"/>
        </w:rPr>
        <w:t>based on 1998 303(d) List. Water Body Identification (WBID) numbers include: 6011A, 6011B, 6011C, and 6016, which are the Halo Zone WBIDs surrounding Marathon, Key Colony Beach, Duck Key and Layton/Long Key</w:t>
      </w:r>
      <w:r>
        <w:rPr>
          <w:rFonts w:cs="Arial"/>
        </w:rPr>
        <w:t xml:space="preserve"> (Figure 24)</w:t>
      </w:r>
      <w:r w:rsidR="00263BFA" w:rsidRPr="003D59B9">
        <w:rPr>
          <w:rFonts w:cs="Arial"/>
        </w:rPr>
        <w:t xml:space="preserve">. </w:t>
      </w:r>
    </w:p>
    <w:p w:rsidR="00263BFA" w:rsidRPr="00240B7A" w:rsidRDefault="00263BFA" w:rsidP="00BB7C05">
      <w:pPr>
        <w:pStyle w:val="EstuarySubheading"/>
      </w:pPr>
      <w:bookmarkStart w:id="15" w:name="_Toc263862807"/>
      <w:r w:rsidRPr="00240B7A">
        <w:t>South-Central Keys</w:t>
      </w:r>
      <w:bookmarkEnd w:id="15"/>
    </w:p>
    <w:p w:rsidR="00263BFA" w:rsidRPr="003D59B9" w:rsidRDefault="00263BFA" w:rsidP="009D1F25">
      <w:pPr>
        <w:autoSpaceDE w:val="0"/>
        <w:autoSpaceDN w:val="0"/>
        <w:adjustRightInd w:val="0"/>
        <w:spacing w:after="120"/>
        <w:rPr>
          <w:rFonts w:cs="Arial"/>
        </w:rPr>
      </w:pPr>
      <w:r w:rsidRPr="003D59B9">
        <w:rPr>
          <w:rFonts w:cs="Arial"/>
        </w:rPr>
        <w:t xml:space="preserve">Halo zone waters surrounding the South-Central Keys Area are up to 500 meters offshore and nearshore waters up to 12,100 meters offshore are </w:t>
      </w:r>
      <w:r w:rsidR="00240B7A">
        <w:rPr>
          <w:rFonts w:cs="Arial"/>
        </w:rPr>
        <w:t xml:space="preserve">classified as </w:t>
      </w:r>
      <w:r w:rsidRPr="003D59B9">
        <w:rPr>
          <w:rFonts w:cs="Arial"/>
        </w:rPr>
        <w:t xml:space="preserve">Class III (Recreation, Propagation and Maintenance of a Healthy, Well Balanced Population of Fish and Wildlife) and Outstanding Florida Waters (OFW). </w:t>
      </w:r>
      <w:r w:rsidRPr="003D59B9">
        <w:rPr>
          <w:rFonts w:cs="Arial"/>
        </w:rPr>
        <w:lastRenderedPageBreak/>
        <w:t>Waters are impaired</w:t>
      </w:r>
      <w:r w:rsidR="00240B7A">
        <w:rPr>
          <w:rFonts w:cs="Arial"/>
        </w:rPr>
        <w:t xml:space="preserve"> for nutrients (in particular, nitrogen and phosphorus)</w:t>
      </w:r>
      <w:r w:rsidRPr="003D59B9">
        <w:rPr>
          <w:rFonts w:cs="Arial"/>
        </w:rPr>
        <w:t xml:space="preserve"> based on 1998 303(d) List. WBIDs include 6014C, 6013A, 6013B, 6013C, 6013D, 6012A, 6012B, 6012C, 6012D, and 6018, which are the Halo Zone WBIDs surrounding the islands of Boca </w:t>
      </w:r>
      <w:proofErr w:type="spellStart"/>
      <w:r w:rsidRPr="003D59B9">
        <w:rPr>
          <w:rFonts w:cs="Arial"/>
        </w:rPr>
        <w:t>Chica</w:t>
      </w:r>
      <w:proofErr w:type="spellEnd"/>
      <w:r w:rsidRPr="003D59B9">
        <w:rPr>
          <w:rFonts w:cs="Arial"/>
        </w:rPr>
        <w:t xml:space="preserve"> Key, </w:t>
      </w:r>
      <w:proofErr w:type="spellStart"/>
      <w:r w:rsidRPr="003D59B9">
        <w:rPr>
          <w:rFonts w:cs="Arial"/>
        </w:rPr>
        <w:t>Saddlebunch</w:t>
      </w:r>
      <w:proofErr w:type="spellEnd"/>
      <w:r w:rsidRPr="003D59B9">
        <w:rPr>
          <w:rFonts w:cs="Arial"/>
        </w:rPr>
        <w:t xml:space="preserve"> Key, Sugarloaf Key, </w:t>
      </w:r>
      <w:proofErr w:type="spellStart"/>
      <w:r w:rsidRPr="003D59B9">
        <w:rPr>
          <w:rFonts w:cs="Arial"/>
        </w:rPr>
        <w:t>Cudjoe</w:t>
      </w:r>
      <w:proofErr w:type="spellEnd"/>
      <w:r w:rsidRPr="003D59B9">
        <w:rPr>
          <w:rFonts w:cs="Arial"/>
        </w:rPr>
        <w:t xml:space="preserve"> Key, Summerland Key, Ramrod Key, Big Torch Key, Big Pine Key, Long Beach, No Name Key and Bahia Honda Key</w:t>
      </w:r>
      <w:r w:rsidR="00240B7A">
        <w:rPr>
          <w:rFonts w:cs="Arial"/>
        </w:rPr>
        <w:t xml:space="preserve"> (Figure 24)</w:t>
      </w:r>
      <w:r w:rsidRPr="003D59B9">
        <w:rPr>
          <w:rFonts w:cs="Arial"/>
        </w:rPr>
        <w:t>.</w:t>
      </w:r>
    </w:p>
    <w:p w:rsidR="00263BFA" w:rsidRPr="00240B7A" w:rsidRDefault="00263BFA" w:rsidP="00BB7C05">
      <w:pPr>
        <w:pStyle w:val="EstuarySubheading"/>
      </w:pPr>
      <w:bookmarkStart w:id="16" w:name="_Toc263862808"/>
      <w:r w:rsidRPr="00240B7A">
        <w:t>Southern Keys</w:t>
      </w:r>
      <w:bookmarkEnd w:id="16"/>
    </w:p>
    <w:p w:rsidR="00240B7A" w:rsidRPr="003D59B9" w:rsidRDefault="00263BFA" w:rsidP="009D1F25">
      <w:pPr>
        <w:autoSpaceDE w:val="0"/>
        <w:autoSpaceDN w:val="0"/>
        <w:adjustRightInd w:val="0"/>
        <w:spacing w:after="120"/>
        <w:rPr>
          <w:rFonts w:cs="Arial"/>
        </w:rPr>
      </w:pPr>
      <w:r w:rsidRPr="003D59B9">
        <w:rPr>
          <w:rFonts w:cs="Arial"/>
        </w:rPr>
        <w:t xml:space="preserve">Halo zone waters surrounding the Southern Keys Area are up to 500 meters offshore and nearshore waters up to 12,100 meters offshore are </w:t>
      </w:r>
      <w:r w:rsidR="00240B7A">
        <w:rPr>
          <w:rFonts w:cs="Arial"/>
        </w:rPr>
        <w:t xml:space="preserve">classified as </w:t>
      </w:r>
      <w:r w:rsidRPr="003D59B9">
        <w:rPr>
          <w:rFonts w:cs="Arial"/>
        </w:rPr>
        <w:t xml:space="preserve">Class III (Recreation, Propagation and Maintenance of a Healthy, Well Balanced Population of Fish and Wildlife) and Outstanding Florida Waters (OFW). Waters are impaired </w:t>
      </w:r>
      <w:r w:rsidR="00240B7A">
        <w:rPr>
          <w:rFonts w:cs="Arial"/>
        </w:rPr>
        <w:t xml:space="preserve">for nutrients (in particular, nitrogen and phosphorus) </w:t>
      </w:r>
      <w:r w:rsidRPr="003D59B9">
        <w:rPr>
          <w:rFonts w:cs="Arial"/>
        </w:rPr>
        <w:t xml:space="preserve">based on 1998 303(d) List. WBIDs include 6014A and 6014B which are the Halo Zone WBIDs surrounding the islands of Key </w:t>
      </w:r>
      <w:proofErr w:type="gramStart"/>
      <w:r w:rsidRPr="003D59B9">
        <w:rPr>
          <w:rFonts w:cs="Arial"/>
        </w:rPr>
        <w:t>West</w:t>
      </w:r>
      <w:proofErr w:type="gramEnd"/>
      <w:r w:rsidRPr="003D59B9">
        <w:rPr>
          <w:rFonts w:cs="Arial"/>
        </w:rPr>
        <w:t xml:space="preserve"> and Stock Island</w:t>
      </w:r>
      <w:r w:rsidR="005C2332">
        <w:rPr>
          <w:rFonts w:cs="Arial"/>
        </w:rPr>
        <w:t xml:space="preserve"> (Figure 24)</w:t>
      </w:r>
      <w:r w:rsidRPr="003D59B9">
        <w:rPr>
          <w:rFonts w:cs="Arial"/>
        </w:rPr>
        <w:t>.</w:t>
      </w:r>
    </w:p>
    <w:p w:rsidR="005D6B2A" w:rsidRDefault="005D6B2A" w:rsidP="009D1F25">
      <w:pPr>
        <w:autoSpaceDE w:val="0"/>
        <w:autoSpaceDN w:val="0"/>
        <w:spacing w:after="120"/>
        <w:rPr>
          <w:b/>
          <w:bCs/>
        </w:rPr>
      </w:pPr>
      <w:r>
        <w:t>In addition to nutrients, wa</w:t>
      </w:r>
      <w:r w:rsidR="005C2332">
        <w:t>ters in the Florida Keys</w:t>
      </w:r>
      <w:r>
        <w:t xml:space="preserve"> are listed as impaired</w:t>
      </w:r>
      <w:r w:rsidR="005C2332">
        <w:t xml:space="preserve"> for several other parameters</w:t>
      </w:r>
      <w:r>
        <w:t xml:space="preserve">:  mercury (in fish tissue), bacteria, and fecal </w:t>
      </w:r>
      <w:proofErr w:type="spellStart"/>
      <w:r>
        <w:t>coliform</w:t>
      </w:r>
      <w:proofErr w:type="spellEnd"/>
      <w:r>
        <w:t xml:space="preserve"> bacteria.  Mercury impairments are not related to anthropogenic nutrient inputs.  The relationship between bacteria and anthropogenic nutrients is more complex, because although potential sources of bacteria may also be sources of nutrients, the presence of fecal </w:t>
      </w:r>
      <w:proofErr w:type="spellStart"/>
      <w:r>
        <w:t>coliform</w:t>
      </w:r>
      <w:proofErr w:type="spellEnd"/>
      <w:r>
        <w:t xml:space="preserve"> or </w:t>
      </w:r>
      <w:proofErr w:type="spellStart"/>
      <w:r>
        <w:t>enterococci</w:t>
      </w:r>
      <w:proofErr w:type="spellEnd"/>
      <w:r>
        <w:t xml:space="preserve"> bacteria </w:t>
      </w:r>
      <w:r>
        <w:rPr>
          <w:i/>
          <w:iCs/>
        </w:rPr>
        <w:t>does not necessarily</w:t>
      </w:r>
      <w:r>
        <w:t xml:space="preserve"> indicate the presence of anthropogenic nutrients.</w:t>
      </w:r>
      <w:r w:rsidR="005C2332">
        <w:t xml:space="preserve">  </w:t>
      </w:r>
      <w:r>
        <w:t xml:space="preserve">  </w:t>
      </w:r>
    </w:p>
    <w:p w:rsidR="005D6B2A" w:rsidRDefault="005D6B2A" w:rsidP="00A92004">
      <w:pPr>
        <w:autoSpaceDE w:val="0"/>
        <w:autoSpaceDN w:val="0"/>
        <w:adjustRightInd w:val="0"/>
        <w:rPr>
          <w:rFonts w:cs="Arial"/>
        </w:rPr>
      </w:pPr>
    </w:p>
    <w:p w:rsidR="00240B7A" w:rsidRPr="00564015" w:rsidRDefault="00240B7A" w:rsidP="00240B7A">
      <w:pPr>
        <w:autoSpaceDE w:val="0"/>
        <w:autoSpaceDN w:val="0"/>
        <w:adjustRightInd w:val="0"/>
        <w:rPr>
          <w:rFonts w:cs="TimesNewRoman"/>
          <w:color w:val="1F1A17"/>
        </w:rPr>
      </w:pPr>
      <w:r w:rsidRPr="00F936CE">
        <w:rPr>
          <w:rFonts w:cs="TimesNewRoman"/>
          <w:noProof/>
          <w:color w:val="1F1A17"/>
        </w:rPr>
        <w:drawing>
          <wp:inline distT="0" distB="0" distL="0" distR="0">
            <wp:extent cx="4273550" cy="2810933"/>
            <wp:effectExtent l="19050" t="0" r="0" b="0"/>
            <wp:docPr id="1" name="Picture 1" descr="Map of WBID models in the Florida Keys."/>
            <wp:cNvGraphicFramePr/>
            <a:graphic xmlns:a="http://schemas.openxmlformats.org/drawingml/2006/main">
              <a:graphicData uri="http://schemas.openxmlformats.org/drawingml/2006/picture">
                <pic:pic xmlns:pic="http://schemas.openxmlformats.org/drawingml/2006/picture">
                  <pic:nvPicPr>
                    <pic:cNvPr id="11266" name="Picture 2" descr="Map of WBID models in the Florida Keys."/>
                    <pic:cNvPicPr>
                      <a:picLocks noChangeAspect="1" noChangeArrowheads="1"/>
                    </pic:cNvPicPr>
                  </pic:nvPicPr>
                  <pic:blipFill>
                    <a:blip r:embed="rId37" cstate="print"/>
                    <a:srcRect/>
                    <a:stretch>
                      <a:fillRect/>
                    </a:stretch>
                  </pic:blipFill>
                  <pic:spPr bwMode="auto">
                    <a:xfrm>
                      <a:off x="0" y="0"/>
                      <a:ext cx="4275074" cy="2811935"/>
                    </a:xfrm>
                    <a:prstGeom prst="rect">
                      <a:avLst/>
                    </a:prstGeom>
                    <a:noFill/>
                    <a:ln w="9525">
                      <a:noFill/>
                      <a:miter lim="800000"/>
                      <a:headEnd/>
                      <a:tailEnd/>
                    </a:ln>
                  </pic:spPr>
                </pic:pic>
              </a:graphicData>
            </a:graphic>
          </wp:inline>
        </w:drawing>
      </w:r>
    </w:p>
    <w:p w:rsidR="00240B7A" w:rsidRPr="00402039" w:rsidRDefault="00240B7A" w:rsidP="00240B7A">
      <w:pPr>
        <w:rPr>
          <w:bCs/>
        </w:rPr>
      </w:pPr>
      <w:proofErr w:type="gramStart"/>
      <w:r w:rsidRPr="005B1AAD">
        <w:rPr>
          <w:b/>
          <w:bCs/>
        </w:rPr>
        <w:t>Figure 24</w:t>
      </w:r>
      <w:r>
        <w:rPr>
          <w:bCs/>
        </w:rPr>
        <w:t>.</w:t>
      </w:r>
      <w:proofErr w:type="gramEnd"/>
      <w:r>
        <w:rPr>
          <w:bCs/>
        </w:rPr>
        <w:t xml:space="preserve"> WBID models (McClelland 2010).</w:t>
      </w:r>
    </w:p>
    <w:p w:rsidR="0027730B" w:rsidRDefault="0027730B" w:rsidP="009D1F25">
      <w:pPr>
        <w:pStyle w:val="EstuaryHeading"/>
        <w:spacing w:after="120"/>
      </w:pPr>
      <w:bookmarkStart w:id="17" w:name="_Toc263862809"/>
      <w:r>
        <w:t>Numeric Nutrient Criteria Recommendations</w:t>
      </w:r>
      <w:bookmarkEnd w:id="17"/>
    </w:p>
    <w:p w:rsidR="001D1795" w:rsidRPr="001D1795" w:rsidRDefault="001D1795" w:rsidP="009D1F25">
      <w:pPr>
        <w:autoSpaceDE w:val="0"/>
        <w:autoSpaceDN w:val="0"/>
        <w:adjustRightInd w:val="0"/>
        <w:spacing w:after="120"/>
        <w:rPr>
          <w:rFonts w:cs="Arial"/>
        </w:rPr>
      </w:pPr>
      <w:r>
        <w:rPr>
          <w:rFonts w:cs="Arial"/>
        </w:rPr>
        <w:t>There are two approaches to setting numeric nutrient criteria in the Florida Keys described below.  The first approach uses targets established by the Florida Keys Reasonable Assurance Documentation (</w:t>
      </w:r>
      <w:r w:rsidR="00733792">
        <w:rPr>
          <w:rFonts w:cs="Arial"/>
        </w:rPr>
        <w:t>FDEP</w:t>
      </w:r>
      <w:r>
        <w:rPr>
          <w:rFonts w:cs="Arial"/>
        </w:rPr>
        <w:t xml:space="preserve"> </w:t>
      </w:r>
      <w:r>
        <w:rPr>
          <w:rFonts w:cs="Arial"/>
        </w:rPr>
        <w:lastRenderedPageBreak/>
        <w:t xml:space="preserve">2008).  </w:t>
      </w:r>
      <w:r w:rsidR="00406C0B">
        <w:rPr>
          <w:rFonts w:cs="Arial"/>
        </w:rPr>
        <w:t xml:space="preserve">The RAD will reduce nutrient loads from the Keys to the nearshore waters, where there has been evidence of nutrient enrichment, in particular N.  </w:t>
      </w:r>
      <w:r>
        <w:rPr>
          <w:rFonts w:cs="Arial"/>
        </w:rPr>
        <w:t>The second uses water quality data collected by FIU SERC</w:t>
      </w:r>
      <w:r w:rsidR="00406C0B">
        <w:rPr>
          <w:rFonts w:cs="Arial"/>
        </w:rPr>
        <w:t xml:space="preserve"> to set targets for waters outside of 500 m at the existing healthy condition</w:t>
      </w:r>
      <w:r>
        <w:rPr>
          <w:rFonts w:cs="Arial"/>
        </w:rPr>
        <w:t>.</w:t>
      </w:r>
    </w:p>
    <w:p w:rsidR="00263BFA" w:rsidRPr="00E72B06" w:rsidRDefault="00263BFA" w:rsidP="009D1F25">
      <w:pPr>
        <w:autoSpaceDE w:val="0"/>
        <w:autoSpaceDN w:val="0"/>
        <w:adjustRightInd w:val="0"/>
        <w:spacing w:after="120"/>
      </w:pPr>
      <w:r w:rsidRPr="00883CE0">
        <w:rPr>
          <w:rFonts w:cs="Arial"/>
        </w:rPr>
        <w:t>FKRAD (2008) Water Quality Target:</w:t>
      </w:r>
      <w:r w:rsidRPr="00E72B06">
        <w:rPr>
          <w:rFonts w:cs="Arial"/>
        </w:rPr>
        <w:t xml:space="preserve"> </w:t>
      </w:r>
      <w:r w:rsidR="00213FFF">
        <w:rPr>
          <w:rFonts w:cs="Arial"/>
        </w:rPr>
        <w:t xml:space="preserve">The FKRAD uses 2 approaches to setting nutrient targets.  One target is defined as an insignificant increase above TN and TP background at 500 meters.  The second uses the nutrient concentrations measured during the 1985 designation as an OFW.  We suggest setting the target based on the data collected for the OFW designation.  </w:t>
      </w:r>
    </w:p>
    <w:p w:rsidR="00263BFA" w:rsidRDefault="00263BFA" w:rsidP="00A92004">
      <w:pPr>
        <w:autoSpaceDE w:val="0"/>
        <w:autoSpaceDN w:val="0"/>
        <w:adjustRightInd w:val="0"/>
      </w:pPr>
      <w:r>
        <w:rPr>
          <w:noProof/>
        </w:rPr>
        <w:drawing>
          <wp:inline distT="0" distB="0" distL="0" distR="0">
            <wp:extent cx="5120217" cy="3016056"/>
            <wp:effectExtent l="19050" t="0" r="4233" b="0"/>
            <wp:docPr id="1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8" cstate="print"/>
                    <a:srcRect/>
                    <a:stretch>
                      <a:fillRect/>
                    </a:stretch>
                  </pic:blipFill>
                  <pic:spPr bwMode="auto">
                    <a:xfrm>
                      <a:off x="0" y="0"/>
                      <a:ext cx="5122041" cy="3017131"/>
                    </a:xfrm>
                    <a:prstGeom prst="rect">
                      <a:avLst/>
                    </a:prstGeom>
                    <a:noFill/>
                    <a:ln w="9525">
                      <a:noFill/>
                      <a:miter lim="800000"/>
                      <a:headEnd/>
                      <a:tailEnd/>
                    </a:ln>
                  </pic:spPr>
                </pic:pic>
              </a:graphicData>
            </a:graphic>
          </wp:inline>
        </w:drawing>
      </w:r>
    </w:p>
    <w:p w:rsidR="0007577F" w:rsidRDefault="0061784D" w:rsidP="00A92004">
      <w:pPr>
        <w:autoSpaceDE w:val="0"/>
        <w:autoSpaceDN w:val="0"/>
        <w:adjustRightInd w:val="0"/>
      </w:pPr>
      <w:proofErr w:type="gramStart"/>
      <w:r w:rsidRPr="00F936CE">
        <w:rPr>
          <w:b/>
        </w:rPr>
        <w:t>Figure</w:t>
      </w:r>
      <w:r w:rsidR="00677429" w:rsidRPr="00F936CE">
        <w:rPr>
          <w:b/>
        </w:rPr>
        <w:t xml:space="preserve"> 24</w:t>
      </w:r>
      <w:r w:rsidR="0007577F" w:rsidRPr="00F936CE">
        <w:rPr>
          <w:b/>
        </w:rPr>
        <w:t>.</w:t>
      </w:r>
      <w:proofErr w:type="gramEnd"/>
      <w:r w:rsidR="0007577F">
        <w:t xml:space="preserve"> Northern Keys</w:t>
      </w:r>
      <w:r w:rsidR="00A8657F">
        <w:t xml:space="preserve"> </w:t>
      </w:r>
      <w:r w:rsidR="00A4237F">
        <w:t xml:space="preserve">RAD water quality </w:t>
      </w:r>
      <w:proofErr w:type="gramStart"/>
      <w:r w:rsidR="00A4237F">
        <w:t>targets</w:t>
      </w:r>
      <w:r w:rsidR="00A8657F">
        <w:t>(</w:t>
      </w:r>
      <w:proofErr w:type="gramEnd"/>
      <w:r w:rsidR="00A8657F">
        <w:t>FDEP 2008)</w:t>
      </w:r>
    </w:p>
    <w:p w:rsidR="00263BFA" w:rsidRDefault="00263BFA" w:rsidP="00A92004">
      <w:pPr>
        <w:autoSpaceDE w:val="0"/>
        <w:autoSpaceDN w:val="0"/>
        <w:adjustRightInd w:val="0"/>
      </w:pPr>
      <w:r>
        <w:rPr>
          <w:noProof/>
        </w:rPr>
        <w:lastRenderedPageBreak/>
        <w:drawing>
          <wp:inline distT="0" distB="0" distL="0" distR="0">
            <wp:extent cx="5170641" cy="3268133"/>
            <wp:effectExtent l="19050" t="0" r="0" b="0"/>
            <wp:docPr id="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 cstate="print"/>
                    <a:srcRect/>
                    <a:stretch>
                      <a:fillRect/>
                    </a:stretch>
                  </pic:blipFill>
                  <pic:spPr bwMode="auto">
                    <a:xfrm>
                      <a:off x="0" y="0"/>
                      <a:ext cx="5180393" cy="3274297"/>
                    </a:xfrm>
                    <a:prstGeom prst="rect">
                      <a:avLst/>
                    </a:prstGeom>
                    <a:noFill/>
                    <a:ln w="9525">
                      <a:noFill/>
                      <a:miter lim="800000"/>
                      <a:headEnd/>
                      <a:tailEnd/>
                    </a:ln>
                  </pic:spPr>
                </pic:pic>
              </a:graphicData>
            </a:graphic>
          </wp:inline>
        </w:drawing>
      </w:r>
    </w:p>
    <w:p w:rsidR="0007577F" w:rsidRDefault="0061784D" w:rsidP="00A92004">
      <w:pPr>
        <w:autoSpaceDE w:val="0"/>
        <w:autoSpaceDN w:val="0"/>
        <w:adjustRightInd w:val="0"/>
      </w:pPr>
      <w:proofErr w:type="gramStart"/>
      <w:r w:rsidRPr="00883CE0">
        <w:rPr>
          <w:b/>
        </w:rPr>
        <w:t>Figure</w:t>
      </w:r>
      <w:r w:rsidR="00677429" w:rsidRPr="00883CE0">
        <w:rPr>
          <w:b/>
        </w:rPr>
        <w:t xml:space="preserve"> 25</w:t>
      </w:r>
      <w:r w:rsidR="0007577F" w:rsidRPr="00883CE0">
        <w:rPr>
          <w:b/>
        </w:rPr>
        <w:t>.</w:t>
      </w:r>
      <w:proofErr w:type="gramEnd"/>
      <w:r w:rsidR="0007577F">
        <w:t xml:space="preserve"> Central Keys</w:t>
      </w:r>
      <w:r w:rsidR="00A8657F">
        <w:t xml:space="preserve"> </w:t>
      </w:r>
      <w:r w:rsidR="00A4237F">
        <w:t xml:space="preserve">RAD water quality targets </w:t>
      </w:r>
      <w:r w:rsidR="00A8657F">
        <w:t>(FDEP 2008)</w:t>
      </w:r>
    </w:p>
    <w:p w:rsidR="00263BFA" w:rsidRDefault="00263BFA" w:rsidP="00A92004">
      <w:pPr>
        <w:autoSpaceDE w:val="0"/>
        <w:autoSpaceDN w:val="0"/>
        <w:adjustRightInd w:val="0"/>
      </w:pPr>
      <w:r>
        <w:rPr>
          <w:noProof/>
        </w:rPr>
        <w:drawing>
          <wp:inline distT="0" distB="0" distL="0" distR="0">
            <wp:extent cx="5200806" cy="3395133"/>
            <wp:effectExtent l="19050" t="0" r="0" b="0"/>
            <wp:docPr id="1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0" cstate="print"/>
                    <a:srcRect/>
                    <a:stretch>
                      <a:fillRect/>
                    </a:stretch>
                  </pic:blipFill>
                  <pic:spPr bwMode="auto">
                    <a:xfrm>
                      <a:off x="0" y="0"/>
                      <a:ext cx="5203894" cy="3397149"/>
                    </a:xfrm>
                    <a:prstGeom prst="rect">
                      <a:avLst/>
                    </a:prstGeom>
                    <a:noFill/>
                    <a:ln w="9525">
                      <a:noFill/>
                      <a:miter lim="800000"/>
                      <a:headEnd/>
                      <a:tailEnd/>
                    </a:ln>
                  </pic:spPr>
                </pic:pic>
              </a:graphicData>
            </a:graphic>
          </wp:inline>
        </w:drawing>
      </w:r>
    </w:p>
    <w:p w:rsidR="0007577F" w:rsidRDefault="0061784D" w:rsidP="00A92004">
      <w:pPr>
        <w:autoSpaceDE w:val="0"/>
        <w:autoSpaceDN w:val="0"/>
        <w:adjustRightInd w:val="0"/>
      </w:pPr>
      <w:proofErr w:type="gramStart"/>
      <w:r w:rsidRPr="00883CE0">
        <w:rPr>
          <w:b/>
        </w:rPr>
        <w:t>Figure</w:t>
      </w:r>
      <w:r w:rsidR="00677429" w:rsidRPr="00883CE0">
        <w:rPr>
          <w:b/>
        </w:rPr>
        <w:t xml:space="preserve"> 26</w:t>
      </w:r>
      <w:r w:rsidR="0007577F" w:rsidRPr="00883CE0">
        <w:rPr>
          <w:b/>
        </w:rPr>
        <w:t>.</w:t>
      </w:r>
      <w:proofErr w:type="gramEnd"/>
      <w:r w:rsidR="0007577F">
        <w:t xml:space="preserve"> South-Central Keys</w:t>
      </w:r>
      <w:r w:rsidR="00A8657F">
        <w:t xml:space="preserve"> </w:t>
      </w:r>
      <w:r w:rsidR="00A4237F">
        <w:t xml:space="preserve">RAD water quality targets </w:t>
      </w:r>
      <w:r w:rsidR="00A8657F">
        <w:t>(FDEP 2008)</w:t>
      </w:r>
    </w:p>
    <w:p w:rsidR="00263BFA" w:rsidRDefault="00263BFA" w:rsidP="00A92004">
      <w:pPr>
        <w:autoSpaceDE w:val="0"/>
        <w:autoSpaceDN w:val="0"/>
        <w:adjustRightInd w:val="0"/>
        <w:rPr>
          <w:b/>
        </w:rPr>
      </w:pPr>
      <w:r>
        <w:rPr>
          <w:b/>
          <w:noProof/>
        </w:rPr>
        <w:lastRenderedPageBreak/>
        <w:drawing>
          <wp:inline distT="0" distB="0" distL="0" distR="0">
            <wp:extent cx="5234783" cy="1684866"/>
            <wp:effectExtent l="19050" t="0" r="3967" b="0"/>
            <wp:docPr id="1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1" cstate="print"/>
                    <a:srcRect/>
                    <a:stretch>
                      <a:fillRect/>
                    </a:stretch>
                  </pic:blipFill>
                  <pic:spPr bwMode="auto">
                    <a:xfrm>
                      <a:off x="0" y="0"/>
                      <a:ext cx="5236648" cy="1685466"/>
                    </a:xfrm>
                    <a:prstGeom prst="rect">
                      <a:avLst/>
                    </a:prstGeom>
                    <a:noFill/>
                    <a:ln w="9525">
                      <a:noFill/>
                      <a:miter lim="800000"/>
                      <a:headEnd/>
                      <a:tailEnd/>
                    </a:ln>
                  </pic:spPr>
                </pic:pic>
              </a:graphicData>
            </a:graphic>
          </wp:inline>
        </w:drawing>
      </w:r>
    </w:p>
    <w:p w:rsidR="00263BFA" w:rsidRPr="00CE4A5C" w:rsidRDefault="0061784D" w:rsidP="009D1F25">
      <w:pPr>
        <w:autoSpaceDE w:val="0"/>
        <w:autoSpaceDN w:val="0"/>
        <w:adjustRightInd w:val="0"/>
        <w:spacing w:after="120"/>
        <w:rPr>
          <w:b/>
        </w:rPr>
      </w:pPr>
      <w:proofErr w:type="gramStart"/>
      <w:r w:rsidRPr="00883CE0">
        <w:rPr>
          <w:b/>
        </w:rPr>
        <w:t>Figure</w:t>
      </w:r>
      <w:r w:rsidR="00677429" w:rsidRPr="00883CE0">
        <w:rPr>
          <w:b/>
        </w:rPr>
        <w:t xml:space="preserve"> 27</w:t>
      </w:r>
      <w:r w:rsidR="0007577F" w:rsidRPr="00883CE0">
        <w:rPr>
          <w:b/>
        </w:rPr>
        <w:t>.</w:t>
      </w:r>
      <w:proofErr w:type="gramEnd"/>
      <w:r w:rsidR="0007577F" w:rsidRPr="0007577F">
        <w:t xml:space="preserve"> Southern</w:t>
      </w:r>
      <w:r w:rsidR="0007577F">
        <w:t xml:space="preserve"> Keys</w:t>
      </w:r>
      <w:r w:rsidR="00A8657F">
        <w:t xml:space="preserve"> </w:t>
      </w:r>
      <w:r w:rsidR="00A4237F">
        <w:t xml:space="preserve">RAD water quality targets </w:t>
      </w:r>
      <w:r w:rsidR="00A8657F">
        <w:t>(FDEP 2008)</w:t>
      </w:r>
    </w:p>
    <w:p w:rsidR="00D62C7D" w:rsidRDefault="001D1795" w:rsidP="009D1F25">
      <w:pPr>
        <w:autoSpaceDE w:val="0"/>
        <w:autoSpaceDN w:val="0"/>
        <w:adjustRightInd w:val="0"/>
        <w:spacing w:after="120"/>
        <w:rPr>
          <w:rFonts w:cs="TimesNewRoman"/>
          <w:color w:val="1F1A17"/>
        </w:rPr>
      </w:pPr>
      <w:r>
        <w:rPr>
          <w:rFonts w:cs="TimesNewRoman"/>
          <w:color w:val="1F1A17"/>
        </w:rPr>
        <w:t xml:space="preserve">The second approach to setting numeric nutrient criteria would use water quality data </w:t>
      </w:r>
      <w:r w:rsidR="000047CB">
        <w:rPr>
          <w:rFonts w:cs="TimesNewRoman"/>
          <w:color w:val="1F1A17"/>
        </w:rPr>
        <w:t>collected by FIU SERC as part of the FKNMS wate</w:t>
      </w:r>
      <w:r w:rsidR="0031476E">
        <w:rPr>
          <w:rFonts w:cs="TimesNewRoman"/>
          <w:color w:val="1F1A17"/>
        </w:rPr>
        <w:t>r quality monitoring network</w:t>
      </w:r>
      <w:r w:rsidR="00406C0B">
        <w:rPr>
          <w:rFonts w:cs="TimesNewRoman"/>
          <w:color w:val="1F1A17"/>
        </w:rPr>
        <w:t>.</w:t>
      </w:r>
      <w:r w:rsidR="0031476E">
        <w:rPr>
          <w:rFonts w:cs="TimesNewRoman"/>
          <w:color w:val="1F1A17"/>
        </w:rPr>
        <w:t xml:space="preserve"> </w:t>
      </w:r>
      <w:r w:rsidR="00406C0B">
        <w:rPr>
          <w:rFonts w:cs="TimesNewRoman"/>
          <w:color w:val="1F1A17"/>
        </w:rPr>
        <w:t xml:space="preserve"> The criteria would apply to zones of similar water quality outside of the 500 m limit of the RAD criteria.  </w:t>
      </w:r>
    </w:p>
    <w:p w:rsidR="001D1795" w:rsidRDefault="009D1F25" w:rsidP="009D1F25">
      <w:pPr>
        <w:autoSpaceDE w:val="0"/>
        <w:autoSpaceDN w:val="0"/>
        <w:adjustRightInd w:val="0"/>
        <w:spacing w:after="120"/>
        <w:rPr>
          <w:rFonts w:cs="TimesNewRoman"/>
          <w:color w:val="1F1A17"/>
        </w:rPr>
      </w:pPr>
      <w:r>
        <w:rPr>
          <w:rFonts w:cs="TimesNewRoman"/>
          <w:color w:val="1F1A17"/>
        </w:rPr>
        <w:t>Biological</w:t>
      </w:r>
      <w:r w:rsidR="000047CB">
        <w:rPr>
          <w:rFonts w:cs="TimesNewRoman"/>
          <w:color w:val="1F1A17"/>
        </w:rPr>
        <w:t xml:space="preserve"> indicators:</w:t>
      </w:r>
    </w:p>
    <w:p w:rsidR="000047CB" w:rsidRPr="000047CB" w:rsidRDefault="000047CB" w:rsidP="009D1F25">
      <w:pPr>
        <w:pStyle w:val="ListParagraph"/>
        <w:numPr>
          <w:ilvl w:val="0"/>
          <w:numId w:val="27"/>
        </w:numPr>
        <w:autoSpaceDE w:val="0"/>
        <w:autoSpaceDN w:val="0"/>
        <w:adjustRightInd w:val="0"/>
        <w:spacing w:after="120"/>
        <w:rPr>
          <w:rFonts w:cs="TimesNewRoman"/>
          <w:color w:val="1F1A17"/>
        </w:rPr>
      </w:pPr>
      <w:r w:rsidRPr="000047CB">
        <w:rPr>
          <w:rFonts w:cs="TimesNewRoman"/>
          <w:color w:val="1F1A17"/>
        </w:rPr>
        <w:t>Coral</w:t>
      </w:r>
      <w:r w:rsidR="00A8657F">
        <w:rPr>
          <w:rFonts w:cs="TimesNewRoman"/>
          <w:color w:val="1F1A17"/>
        </w:rPr>
        <w:t xml:space="preserve"> (CREMP</w:t>
      </w:r>
      <w:r w:rsidR="0031476E">
        <w:rPr>
          <w:rFonts w:cs="TimesNewRoman"/>
          <w:color w:val="1F1A17"/>
        </w:rPr>
        <w:t>)</w:t>
      </w:r>
    </w:p>
    <w:p w:rsidR="000047CB" w:rsidRPr="000047CB" w:rsidRDefault="000047CB" w:rsidP="009D1F25">
      <w:pPr>
        <w:pStyle w:val="ListParagraph"/>
        <w:numPr>
          <w:ilvl w:val="0"/>
          <w:numId w:val="27"/>
        </w:numPr>
        <w:autoSpaceDE w:val="0"/>
        <w:autoSpaceDN w:val="0"/>
        <w:adjustRightInd w:val="0"/>
        <w:spacing w:after="120"/>
        <w:rPr>
          <w:rFonts w:cs="TimesNewRoman"/>
          <w:color w:val="1F1A17"/>
        </w:rPr>
      </w:pPr>
      <w:r w:rsidRPr="000047CB">
        <w:rPr>
          <w:rFonts w:cs="TimesNewRoman"/>
          <w:color w:val="1F1A17"/>
        </w:rPr>
        <w:t>Seagrass (</w:t>
      </w:r>
      <w:r>
        <w:rPr>
          <w:rFonts w:cs="TimesNewRoman"/>
          <w:color w:val="1F1A17"/>
        </w:rPr>
        <w:t xml:space="preserve">Jim </w:t>
      </w:r>
      <w:r w:rsidRPr="000047CB">
        <w:rPr>
          <w:rFonts w:cs="TimesNewRoman"/>
          <w:color w:val="1F1A17"/>
        </w:rPr>
        <w:t xml:space="preserve">Fourqurean </w:t>
      </w:r>
      <w:r>
        <w:rPr>
          <w:rFonts w:cs="TimesNewRoman"/>
          <w:color w:val="1F1A17"/>
        </w:rPr>
        <w:t>– FKNMS seagrass monitoring</w:t>
      </w:r>
      <w:r w:rsidR="00A8657F">
        <w:rPr>
          <w:rFonts w:cs="TimesNewRoman"/>
          <w:color w:val="1F1A17"/>
        </w:rPr>
        <w:t xml:space="preserve"> program</w:t>
      </w:r>
      <w:r w:rsidRPr="000047CB">
        <w:rPr>
          <w:rFonts w:cs="TimesNewRoman"/>
          <w:color w:val="1F1A17"/>
        </w:rPr>
        <w:t>)</w:t>
      </w:r>
    </w:p>
    <w:p w:rsidR="000047CB" w:rsidRPr="000047CB" w:rsidRDefault="000047CB" w:rsidP="009D1F25">
      <w:pPr>
        <w:pStyle w:val="ListParagraph"/>
        <w:numPr>
          <w:ilvl w:val="0"/>
          <w:numId w:val="27"/>
        </w:numPr>
        <w:autoSpaceDE w:val="0"/>
        <w:autoSpaceDN w:val="0"/>
        <w:adjustRightInd w:val="0"/>
        <w:spacing w:after="120"/>
        <w:rPr>
          <w:rFonts w:cs="TimesNewRoman"/>
          <w:color w:val="1F1A17"/>
        </w:rPr>
      </w:pPr>
      <w:r w:rsidRPr="000047CB">
        <w:rPr>
          <w:rFonts w:cs="TimesNewRoman"/>
          <w:color w:val="1F1A17"/>
        </w:rPr>
        <w:t xml:space="preserve">Chlorophyll </w:t>
      </w:r>
      <w:r w:rsidRPr="009D1F25">
        <w:rPr>
          <w:rFonts w:cs="TimesNewRoman"/>
          <w:i/>
          <w:color w:val="1F1A17"/>
        </w:rPr>
        <w:t>a</w:t>
      </w:r>
      <w:r w:rsidRPr="000047CB">
        <w:rPr>
          <w:rFonts w:cs="TimesNewRoman"/>
          <w:color w:val="1F1A17"/>
        </w:rPr>
        <w:t xml:space="preserve"> (Boyer </w:t>
      </w:r>
      <w:r w:rsidR="007E2405" w:rsidRPr="007E2405">
        <w:rPr>
          <w:rFonts w:cs="TimesNewRoman"/>
          <w:i/>
          <w:color w:val="1F1A17"/>
        </w:rPr>
        <w:t xml:space="preserve">et al. </w:t>
      </w:r>
      <w:r w:rsidRPr="000047CB">
        <w:rPr>
          <w:rFonts w:cs="TimesNewRoman"/>
          <w:color w:val="1F1A17"/>
        </w:rPr>
        <w:t>2009)</w:t>
      </w:r>
    </w:p>
    <w:p w:rsidR="00705125" w:rsidRDefault="00705125" w:rsidP="009D1F25">
      <w:pPr>
        <w:pStyle w:val="EstuaryHeading"/>
        <w:spacing w:after="120"/>
      </w:pPr>
    </w:p>
    <w:p w:rsidR="00705125" w:rsidRDefault="00705125" w:rsidP="00A92004">
      <w:pPr>
        <w:autoSpaceDE w:val="0"/>
        <w:autoSpaceDN w:val="0"/>
        <w:adjustRightInd w:val="0"/>
        <w:rPr>
          <w:rFonts w:cs="TimesNewRoman"/>
          <w:b/>
          <w:color w:val="1F1A17"/>
        </w:rPr>
      </w:pPr>
    </w:p>
    <w:p w:rsidR="00883CE0" w:rsidRDefault="00883CE0" w:rsidP="00883CE0">
      <w:pPr>
        <w:pStyle w:val="EstuaryHeading"/>
        <w:sectPr w:rsidR="00883CE0" w:rsidSect="00CD2D6D">
          <w:pgSz w:w="12240" w:h="15840"/>
          <w:pgMar w:top="1440" w:right="1440" w:bottom="1440" w:left="1440" w:header="720" w:footer="720" w:gutter="0"/>
          <w:cols w:space="720"/>
          <w:docGrid w:linePitch="360"/>
        </w:sectPr>
      </w:pPr>
    </w:p>
    <w:p w:rsidR="00097152" w:rsidRPr="00705125" w:rsidRDefault="00705125" w:rsidP="009D1F25">
      <w:pPr>
        <w:pStyle w:val="EstuaryHeading"/>
        <w:spacing w:after="120"/>
      </w:pPr>
      <w:bookmarkStart w:id="18" w:name="_Toc263862811"/>
      <w:r w:rsidRPr="00705125">
        <w:lastRenderedPageBreak/>
        <w:t>References</w:t>
      </w:r>
      <w:bookmarkEnd w:id="18"/>
    </w:p>
    <w:p w:rsidR="00883CE0" w:rsidRDefault="00883CE0" w:rsidP="009D1F25">
      <w:pPr>
        <w:autoSpaceDE w:val="0"/>
        <w:autoSpaceDN w:val="0"/>
        <w:adjustRightInd w:val="0"/>
        <w:spacing w:after="120"/>
        <w:ind w:left="720" w:hanging="720"/>
        <w:rPr>
          <w:rFonts w:cs="TimesNewRoman"/>
          <w:color w:val="1F1A17"/>
        </w:rPr>
      </w:pPr>
      <w:r>
        <w:rPr>
          <w:rFonts w:cs="TimesNewRoman"/>
          <w:color w:val="1F1A17"/>
        </w:rPr>
        <w:t xml:space="preserve">Ault, J.S., </w:t>
      </w:r>
      <w:proofErr w:type="spellStart"/>
      <w:r>
        <w:rPr>
          <w:rFonts w:cs="TimesNewRoman"/>
          <w:color w:val="1F1A17"/>
        </w:rPr>
        <w:t>Bohnsack</w:t>
      </w:r>
      <w:proofErr w:type="spellEnd"/>
      <w:r>
        <w:rPr>
          <w:rFonts w:cs="TimesNewRoman"/>
          <w:color w:val="1F1A17"/>
        </w:rPr>
        <w:t xml:space="preserve">, J.A., </w:t>
      </w:r>
      <w:proofErr w:type="spellStart"/>
      <w:r>
        <w:rPr>
          <w:rFonts w:cs="TimesNewRoman"/>
          <w:color w:val="1F1A17"/>
        </w:rPr>
        <w:t>Meester</w:t>
      </w:r>
      <w:proofErr w:type="spellEnd"/>
      <w:r>
        <w:rPr>
          <w:rFonts w:cs="TimesNewRoman"/>
          <w:color w:val="1F1A17"/>
        </w:rPr>
        <w:t xml:space="preserve">, G.A. 1997. </w:t>
      </w:r>
      <w:proofErr w:type="gramStart"/>
      <w:r>
        <w:rPr>
          <w:rFonts w:cs="TimesNewRoman"/>
          <w:color w:val="1F1A17"/>
        </w:rPr>
        <w:t>A retrospective (1979-1996) multispecies assessment of coral reef fish stocks in the Florida Keys.</w:t>
      </w:r>
      <w:proofErr w:type="gramEnd"/>
      <w:r>
        <w:rPr>
          <w:rFonts w:cs="TimesNewRoman"/>
          <w:color w:val="1F1A17"/>
        </w:rPr>
        <w:t xml:space="preserve"> Fishery Bulletin 96(3): 395-414</w:t>
      </w:r>
    </w:p>
    <w:p w:rsidR="00883CE0" w:rsidRDefault="00883CE0" w:rsidP="009D1F25">
      <w:pPr>
        <w:autoSpaceDE w:val="0"/>
        <w:autoSpaceDN w:val="0"/>
        <w:adjustRightInd w:val="0"/>
        <w:spacing w:after="120"/>
        <w:ind w:left="720" w:hanging="720"/>
        <w:rPr>
          <w:rFonts w:cs="TimesNewRoman"/>
          <w:color w:val="1F1A17"/>
        </w:rPr>
      </w:pPr>
      <w:proofErr w:type="spellStart"/>
      <w:r>
        <w:rPr>
          <w:rFonts w:cs="TimesNewRoman"/>
          <w:color w:val="1F1A17"/>
        </w:rPr>
        <w:t>Bohnsack</w:t>
      </w:r>
      <w:proofErr w:type="spellEnd"/>
      <w:r>
        <w:rPr>
          <w:rFonts w:cs="TimesNewRoman"/>
          <w:color w:val="1F1A17"/>
        </w:rPr>
        <w:t>,</w:t>
      </w:r>
      <w:r w:rsidR="00911C7E">
        <w:rPr>
          <w:rFonts w:cs="TimesNewRoman"/>
          <w:color w:val="1F1A17"/>
        </w:rPr>
        <w:t xml:space="preserve"> J.A., Harper, D.E., </w:t>
      </w:r>
      <w:proofErr w:type="spellStart"/>
      <w:r w:rsidR="00911C7E">
        <w:rPr>
          <w:rFonts w:cs="TimesNewRoman"/>
          <w:color w:val="1F1A17"/>
        </w:rPr>
        <w:t>McClellan</w:t>
      </w:r>
      <w:proofErr w:type="gramStart"/>
      <w:r w:rsidR="00911C7E">
        <w:rPr>
          <w:rFonts w:cs="TimesNewRoman"/>
          <w:color w:val="1F1A17"/>
        </w:rPr>
        <w:t>,D.B</w:t>
      </w:r>
      <w:proofErr w:type="spellEnd"/>
      <w:proofErr w:type="gramEnd"/>
      <w:r>
        <w:rPr>
          <w:rFonts w:cs="TimesNewRoman"/>
          <w:color w:val="1F1A17"/>
        </w:rPr>
        <w:t xml:space="preserve">. 1994. </w:t>
      </w:r>
      <w:proofErr w:type="gramStart"/>
      <w:r>
        <w:rPr>
          <w:rFonts w:cs="TimesNewRoman"/>
          <w:color w:val="1F1A17"/>
        </w:rPr>
        <w:t>Fisheries trends from Monroe County, Florida.</w:t>
      </w:r>
      <w:proofErr w:type="gramEnd"/>
      <w:r>
        <w:rPr>
          <w:rFonts w:cs="TimesNewRoman"/>
          <w:color w:val="1F1A17"/>
        </w:rPr>
        <w:t xml:space="preserve"> Bulletin of Marine Science 54(3): 982-1018</w:t>
      </w:r>
    </w:p>
    <w:p w:rsidR="00883CE0" w:rsidRDefault="00883CE0" w:rsidP="009D1F25">
      <w:pPr>
        <w:autoSpaceDE w:val="0"/>
        <w:autoSpaceDN w:val="0"/>
        <w:adjustRightInd w:val="0"/>
        <w:spacing w:after="120"/>
        <w:ind w:left="720" w:hanging="720"/>
        <w:rPr>
          <w:rFonts w:cs="TimesNewRoman"/>
          <w:color w:val="1F1A17"/>
        </w:rPr>
      </w:pPr>
      <w:proofErr w:type="gramStart"/>
      <w:r>
        <w:rPr>
          <w:rFonts w:cs="TimesNewRoman"/>
          <w:color w:val="1F1A17"/>
        </w:rPr>
        <w:t>Boyer, J.N. 2010.</w:t>
      </w:r>
      <w:proofErr w:type="gramEnd"/>
      <w:r>
        <w:rPr>
          <w:rFonts w:cs="TimesNewRoman"/>
          <w:color w:val="1F1A17"/>
        </w:rPr>
        <w:t xml:space="preserve">  </w:t>
      </w:r>
      <w:proofErr w:type="gramStart"/>
      <w:r>
        <w:rPr>
          <w:rFonts w:cs="TimesNewRoman"/>
          <w:color w:val="1F1A17"/>
        </w:rPr>
        <w:t>Nutrient criteria in the Florida Keys National Marine Sanctuary and Dry Tortugas National Park.</w:t>
      </w:r>
      <w:proofErr w:type="gramEnd"/>
      <w:r>
        <w:rPr>
          <w:rFonts w:cs="TimesNewRoman"/>
          <w:color w:val="1F1A17"/>
        </w:rPr>
        <w:t xml:space="preserve">  </w:t>
      </w:r>
      <w:proofErr w:type="gramStart"/>
      <w:r>
        <w:rPr>
          <w:rFonts w:cs="TimesNewRoman"/>
          <w:color w:val="1F1A17"/>
        </w:rPr>
        <w:t>Presented at the Florida DEP Estuary and Coastal Numeric Nutrient Criteria Development Meeting.</w:t>
      </w:r>
      <w:proofErr w:type="gramEnd"/>
      <w:r>
        <w:rPr>
          <w:rFonts w:cs="TimesNewRoman"/>
          <w:color w:val="1F1A17"/>
        </w:rPr>
        <w:t xml:space="preserve">  Miami, FL 3/3/2010; </w:t>
      </w:r>
      <w:r w:rsidRPr="00890950">
        <w:rPr>
          <w:rFonts w:cs="TimesNewRoman"/>
          <w:color w:val="1F1A17"/>
        </w:rPr>
        <w:t>http://www.dep.state.fl.us/water/wqssp/nutrients/docs/estuarine/miami/fknms_tortugas_nutrient_criteria.pdf</w:t>
      </w:r>
    </w:p>
    <w:p w:rsidR="00883CE0" w:rsidRDefault="00883CE0" w:rsidP="009D1F25">
      <w:pPr>
        <w:autoSpaceDE w:val="0"/>
        <w:autoSpaceDN w:val="0"/>
        <w:adjustRightInd w:val="0"/>
        <w:spacing w:after="120"/>
        <w:ind w:left="720" w:hanging="720"/>
        <w:rPr>
          <w:rFonts w:cs="TimesNewRoman"/>
          <w:color w:val="1F1A17"/>
        </w:rPr>
      </w:pPr>
      <w:proofErr w:type="gramStart"/>
      <w:r>
        <w:rPr>
          <w:rFonts w:cs="TimesNewRoman"/>
          <w:color w:val="1F1A17"/>
        </w:rPr>
        <w:t xml:space="preserve">Boyer, J.N. and H.O. </w:t>
      </w:r>
      <w:proofErr w:type="spellStart"/>
      <w:r>
        <w:rPr>
          <w:rFonts w:cs="TimesNewRoman"/>
          <w:color w:val="1F1A17"/>
        </w:rPr>
        <w:t>Briceño</w:t>
      </w:r>
      <w:proofErr w:type="spellEnd"/>
      <w:r>
        <w:rPr>
          <w:rFonts w:cs="TimesNewRoman"/>
          <w:color w:val="1F1A17"/>
        </w:rPr>
        <w:t>.</w:t>
      </w:r>
      <w:proofErr w:type="gramEnd"/>
      <w:r>
        <w:rPr>
          <w:rFonts w:cs="TimesNewRoman"/>
          <w:color w:val="1F1A17"/>
        </w:rPr>
        <w:t xml:space="preserve"> 2009. 2008 Annual Report of the Water Quality Monitoring Project for the Florida Keys National Marine Sanctuary. </w:t>
      </w:r>
      <w:proofErr w:type="gramStart"/>
      <w:r>
        <w:rPr>
          <w:rFonts w:cs="TimesNewRoman"/>
          <w:color w:val="1F1A17"/>
        </w:rPr>
        <w:t>Southeast Environmental Research Center Technical Report T-437.</w:t>
      </w:r>
      <w:proofErr w:type="gramEnd"/>
      <w:r>
        <w:rPr>
          <w:rFonts w:cs="TimesNewRoman"/>
          <w:color w:val="1F1A17"/>
        </w:rPr>
        <w:t xml:space="preserve"> </w:t>
      </w:r>
      <w:proofErr w:type="gramStart"/>
      <w:r>
        <w:rPr>
          <w:rFonts w:cs="TimesNewRoman"/>
          <w:color w:val="1F1A17"/>
        </w:rPr>
        <w:t>Florida International University.</w:t>
      </w:r>
      <w:proofErr w:type="gramEnd"/>
      <w:r>
        <w:rPr>
          <w:rFonts w:cs="TimesNewRoman"/>
          <w:color w:val="1F1A17"/>
        </w:rPr>
        <w:t xml:space="preserve"> Miami, FL 86 pp. </w:t>
      </w:r>
    </w:p>
    <w:p w:rsidR="00883CE0" w:rsidRDefault="00883CE0" w:rsidP="009D1F25">
      <w:pPr>
        <w:autoSpaceDE w:val="0"/>
        <w:autoSpaceDN w:val="0"/>
        <w:adjustRightInd w:val="0"/>
        <w:spacing w:after="120"/>
        <w:ind w:left="720" w:hanging="720"/>
        <w:rPr>
          <w:rFonts w:cs="TimesNewRoman"/>
          <w:color w:val="1F1A17"/>
        </w:rPr>
      </w:pPr>
      <w:proofErr w:type="gramStart"/>
      <w:r>
        <w:rPr>
          <w:rFonts w:cs="TimesNewRoman"/>
          <w:color w:val="1F1A17"/>
        </w:rPr>
        <w:t>Boyer, J.N. and R.D. Jones.</w:t>
      </w:r>
      <w:proofErr w:type="gramEnd"/>
      <w:r>
        <w:rPr>
          <w:rFonts w:cs="TimesNewRoman"/>
          <w:color w:val="1F1A17"/>
        </w:rPr>
        <w:t xml:space="preserve"> 2002. A view from the bridge: external and internal forces affecting the ambient water quality of the Florida Keys National Marine Sanctuary. In: Porter, J.W., Porter, K.G. (Eds.), </w:t>
      </w:r>
      <w:proofErr w:type="gramStart"/>
      <w:r>
        <w:rPr>
          <w:rFonts w:cs="TimesNewRoman"/>
          <w:color w:val="1F1A17"/>
        </w:rPr>
        <w:t>The</w:t>
      </w:r>
      <w:proofErr w:type="gramEnd"/>
      <w:r>
        <w:rPr>
          <w:rFonts w:cs="TimesNewRoman"/>
          <w:color w:val="1F1A17"/>
        </w:rPr>
        <w:t xml:space="preserve"> Everglades, Florida Bay and Coral Reefs of the Florida Keys. CRC Press, Boca Raton, pp. 609-640</w:t>
      </w:r>
    </w:p>
    <w:p w:rsidR="00883CE0" w:rsidRPr="0026001F" w:rsidRDefault="00883CE0" w:rsidP="009D1F25">
      <w:pPr>
        <w:autoSpaceDE w:val="0"/>
        <w:autoSpaceDN w:val="0"/>
        <w:adjustRightInd w:val="0"/>
        <w:spacing w:after="120"/>
        <w:ind w:left="720" w:hanging="720"/>
        <w:rPr>
          <w:rFonts w:cs="TimesNewRoman"/>
          <w:color w:val="1F1A17"/>
        </w:rPr>
      </w:pPr>
      <w:proofErr w:type="gramStart"/>
      <w:r>
        <w:rPr>
          <w:rFonts w:cs="TimesNewRoman"/>
          <w:color w:val="1F1A17"/>
        </w:rPr>
        <w:t xml:space="preserve">Boyer, J.N., Kelble, C.R., </w:t>
      </w:r>
      <w:proofErr w:type="spellStart"/>
      <w:r>
        <w:rPr>
          <w:rFonts w:cs="TimesNewRoman"/>
          <w:color w:val="1F1A17"/>
        </w:rPr>
        <w:t>Ortner</w:t>
      </w:r>
      <w:proofErr w:type="spellEnd"/>
      <w:r>
        <w:rPr>
          <w:rFonts w:cs="TimesNewRoman"/>
          <w:color w:val="1F1A17"/>
        </w:rPr>
        <w:t>, P.B., Rudnick, D.T.</w:t>
      </w:r>
      <w:proofErr w:type="gramEnd"/>
      <w:r>
        <w:rPr>
          <w:rFonts w:cs="TimesNewRoman"/>
          <w:color w:val="1F1A17"/>
        </w:rPr>
        <w:t xml:space="preserve">  2009. Phytoplankton bloom status: Chlorophyll a biomass as an indicator of water quality condition in the southern estuaries of Florida, USA. </w:t>
      </w:r>
      <w:r w:rsidRPr="0026001F">
        <w:rPr>
          <w:rFonts w:cs="TimesNewRoman"/>
          <w:color w:val="1F1A17"/>
        </w:rPr>
        <w:t>Ecological Indicators 9S: S56-S67.</w:t>
      </w:r>
    </w:p>
    <w:p w:rsidR="00883CE0" w:rsidRDefault="00883CE0" w:rsidP="009D1F25">
      <w:pPr>
        <w:autoSpaceDE w:val="0"/>
        <w:autoSpaceDN w:val="0"/>
        <w:adjustRightInd w:val="0"/>
        <w:spacing w:after="120"/>
        <w:ind w:left="720" w:hanging="720"/>
        <w:rPr>
          <w:rFonts w:cs="TimesNewRoman"/>
          <w:color w:val="1F1A17"/>
        </w:rPr>
      </w:pPr>
      <w:r>
        <w:rPr>
          <w:rFonts w:cs="TimesNewRoman"/>
          <w:color w:val="1F1A17"/>
        </w:rPr>
        <w:t xml:space="preserve">Callahan, M., Wheaton, J., Beaver, C., Brooke, S., Johnson, D., Kidney, J., </w:t>
      </w:r>
      <w:proofErr w:type="spellStart"/>
      <w:r>
        <w:rPr>
          <w:rFonts w:cs="TimesNewRoman"/>
          <w:color w:val="1F1A17"/>
        </w:rPr>
        <w:t>Kupfner</w:t>
      </w:r>
      <w:proofErr w:type="spellEnd"/>
      <w:r>
        <w:rPr>
          <w:rFonts w:cs="TimesNewRoman"/>
          <w:color w:val="1F1A17"/>
        </w:rPr>
        <w:t xml:space="preserve">, S., Porter, J.W., Meyers, M., Wade, S., </w:t>
      </w:r>
      <w:proofErr w:type="spellStart"/>
      <w:r>
        <w:rPr>
          <w:rFonts w:cs="TimesNewRoman"/>
          <w:color w:val="1F1A17"/>
        </w:rPr>
        <w:t>Colella</w:t>
      </w:r>
      <w:proofErr w:type="spellEnd"/>
      <w:r>
        <w:rPr>
          <w:rFonts w:cs="TimesNewRoman"/>
          <w:color w:val="1F1A17"/>
        </w:rPr>
        <w:t xml:space="preserve">, M., and </w:t>
      </w:r>
      <w:proofErr w:type="spellStart"/>
      <w:r>
        <w:rPr>
          <w:rFonts w:cs="TimesNewRoman"/>
          <w:color w:val="1F1A17"/>
        </w:rPr>
        <w:t>Bertin</w:t>
      </w:r>
      <w:proofErr w:type="spellEnd"/>
      <w:r>
        <w:rPr>
          <w:rFonts w:cs="TimesNewRoman"/>
          <w:color w:val="1F1A17"/>
        </w:rPr>
        <w:t xml:space="preserve">, M. 2007. 2006 Executive Summary: EPA Steering Committee Meeting. </w:t>
      </w:r>
      <w:proofErr w:type="gramStart"/>
      <w:r>
        <w:rPr>
          <w:rFonts w:cs="TimesNewRoman"/>
          <w:color w:val="1F1A17"/>
        </w:rPr>
        <w:t>Coral Reef Evaluation and Monitoring Project.</w:t>
      </w:r>
      <w:proofErr w:type="gramEnd"/>
      <w:r>
        <w:rPr>
          <w:rFonts w:cs="TimesNewRoman"/>
          <w:color w:val="1F1A17"/>
        </w:rPr>
        <w:t xml:space="preserve"> </w:t>
      </w:r>
      <w:proofErr w:type="gramStart"/>
      <w:r>
        <w:rPr>
          <w:rFonts w:cs="TimesNewRoman"/>
          <w:color w:val="1F1A17"/>
        </w:rPr>
        <w:t>Florida Fish and Wildlife Conservation Commission and the University of Georgia.</w:t>
      </w:r>
      <w:proofErr w:type="gramEnd"/>
      <w:r>
        <w:rPr>
          <w:rFonts w:cs="TimesNewRoman"/>
          <w:color w:val="1F1A17"/>
        </w:rPr>
        <w:t xml:space="preserve"> </w:t>
      </w:r>
      <w:proofErr w:type="gramStart"/>
      <w:r>
        <w:rPr>
          <w:rFonts w:cs="TimesNewRoman"/>
          <w:color w:val="1F1A17"/>
        </w:rPr>
        <w:t>25 pp.</w:t>
      </w:r>
      <w:proofErr w:type="gramEnd"/>
    </w:p>
    <w:p w:rsidR="00883CE0" w:rsidRDefault="00883CE0" w:rsidP="009D1F25">
      <w:pPr>
        <w:autoSpaceDE w:val="0"/>
        <w:autoSpaceDN w:val="0"/>
        <w:adjustRightInd w:val="0"/>
        <w:spacing w:after="120"/>
        <w:ind w:left="720" w:hanging="720"/>
        <w:rPr>
          <w:rFonts w:cs="TimesNewRoman"/>
          <w:color w:val="1F1A17"/>
        </w:rPr>
      </w:pPr>
      <w:proofErr w:type="gramStart"/>
      <w:r>
        <w:rPr>
          <w:rFonts w:cs="TimesNewRoman"/>
          <w:color w:val="1F1A17"/>
        </w:rPr>
        <w:t>Campbell, J.E. and Fourqurean, J.W. 2009.</w:t>
      </w:r>
      <w:proofErr w:type="gramEnd"/>
      <w:r>
        <w:rPr>
          <w:rFonts w:cs="TimesNewRoman"/>
          <w:color w:val="1F1A17"/>
        </w:rPr>
        <w:t xml:space="preserve"> </w:t>
      </w:r>
      <w:proofErr w:type="spellStart"/>
      <w:proofErr w:type="gramStart"/>
      <w:r>
        <w:rPr>
          <w:rFonts w:cs="TimesNewRoman"/>
          <w:color w:val="1F1A17"/>
        </w:rPr>
        <w:t>Interspecific</w:t>
      </w:r>
      <w:proofErr w:type="spellEnd"/>
      <w:r>
        <w:rPr>
          <w:rFonts w:cs="TimesNewRoman"/>
          <w:color w:val="1F1A17"/>
        </w:rPr>
        <w:t xml:space="preserve"> variation in the elemental and stable isotope content of seagrasses in South Florida.</w:t>
      </w:r>
      <w:proofErr w:type="gramEnd"/>
      <w:r>
        <w:rPr>
          <w:rFonts w:cs="TimesNewRoman"/>
          <w:color w:val="1F1A17"/>
        </w:rPr>
        <w:t xml:space="preserve">  Marine Ecology Progress Series 387: 109-123</w:t>
      </w:r>
    </w:p>
    <w:p w:rsidR="00883CE0" w:rsidRDefault="00883CE0" w:rsidP="009D1F25">
      <w:pPr>
        <w:autoSpaceDE w:val="0"/>
        <w:autoSpaceDN w:val="0"/>
        <w:adjustRightInd w:val="0"/>
        <w:spacing w:after="120"/>
        <w:ind w:left="720" w:hanging="720"/>
        <w:rPr>
          <w:rFonts w:cs="TimesNewRoman"/>
          <w:color w:val="1F1A17"/>
        </w:rPr>
      </w:pPr>
      <w:proofErr w:type="spellStart"/>
      <w:r>
        <w:rPr>
          <w:rFonts w:cs="TimesNewRoman"/>
          <w:color w:val="1F1A17"/>
        </w:rPr>
        <w:t>Chiappone</w:t>
      </w:r>
      <w:proofErr w:type="spellEnd"/>
      <w:r>
        <w:rPr>
          <w:rFonts w:cs="TimesNewRoman"/>
          <w:color w:val="1F1A17"/>
        </w:rPr>
        <w:t xml:space="preserve">, M. 1996. </w:t>
      </w:r>
      <w:proofErr w:type="gramStart"/>
      <w:r>
        <w:rPr>
          <w:rFonts w:cs="TimesNewRoman"/>
          <w:color w:val="1F1A17"/>
        </w:rPr>
        <w:t>Coral Watch program summary.</w:t>
      </w:r>
      <w:proofErr w:type="gramEnd"/>
      <w:r>
        <w:rPr>
          <w:rFonts w:cs="TimesNewRoman"/>
          <w:color w:val="1F1A17"/>
        </w:rPr>
        <w:t xml:space="preserve"> </w:t>
      </w:r>
      <w:proofErr w:type="gramStart"/>
      <w:r>
        <w:rPr>
          <w:rFonts w:cs="TimesNewRoman"/>
          <w:color w:val="1F1A17"/>
        </w:rPr>
        <w:t>A report on volunteer and scientific efforts to document the status of reefs in the Florida Keys National marine Sanctuary.</w:t>
      </w:r>
      <w:proofErr w:type="gramEnd"/>
      <w:r>
        <w:rPr>
          <w:rFonts w:cs="TimesNewRoman"/>
          <w:color w:val="1F1A17"/>
        </w:rPr>
        <w:t xml:space="preserve"> </w:t>
      </w:r>
      <w:proofErr w:type="gramStart"/>
      <w:r>
        <w:rPr>
          <w:rFonts w:cs="TimesNewRoman"/>
          <w:color w:val="1F1A17"/>
        </w:rPr>
        <w:t>The Nature Conservancy, Summerland Key, Florida.</w:t>
      </w:r>
      <w:proofErr w:type="gramEnd"/>
    </w:p>
    <w:p w:rsidR="00883CE0" w:rsidRDefault="00883CE0" w:rsidP="009D1F25">
      <w:pPr>
        <w:autoSpaceDE w:val="0"/>
        <w:autoSpaceDN w:val="0"/>
        <w:adjustRightInd w:val="0"/>
        <w:spacing w:after="120"/>
        <w:ind w:left="720" w:hanging="720"/>
        <w:rPr>
          <w:rFonts w:cs="TimesNewRoman"/>
          <w:color w:val="1F1A17"/>
        </w:rPr>
      </w:pPr>
      <w:proofErr w:type="spellStart"/>
      <w:proofErr w:type="gramStart"/>
      <w:r>
        <w:rPr>
          <w:rFonts w:cs="TimesNewRoman"/>
          <w:color w:val="1F1A17"/>
        </w:rPr>
        <w:t>Chiappone</w:t>
      </w:r>
      <w:proofErr w:type="spellEnd"/>
      <w:r>
        <w:rPr>
          <w:rFonts w:cs="TimesNewRoman"/>
          <w:color w:val="1F1A17"/>
        </w:rPr>
        <w:t>, M. and Sullivan, K.M. 1994.</w:t>
      </w:r>
      <w:proofErr w:type="gramEnd"/>
      <w:r>
        <w:rPr>
          <w:rFonts w:cs="TimesNewRoman"/>
          <w:color w:val="1F1A17"/>
        </w:rPr>
        <w:t xml:space="preserve"> </w:t>
      </w:r>
      <w:proofErr w:type="gramStart"/>
      <w:r>
        <w:rPr>
          <w:rFonts w:cs="TimesNewRoman"/>
          <w:color w:val="1F1A17"/>
        </w:rPr>
        <w:t>Ecological structure and dynamics of nearshore hard-bottom communities in the Florida Keys.</w:t>
      </w:r>
      <w:proofErr w:type="gramEnd"/>
      <w:r>
        <w:rPr>
          <w:rFonts w:cs="TimesNewRoman"/>
          <w:color w:val="1F1A17"/>
        </w:rPr>
        <w:t xml:space="preserve"> Bulletin of Marine Science 54(3): 747-756</w:t>
      </w:r>
    </w:p>
    <w:p w:rsidR="00883CE0" w:rsidRDefault="00883CE0" w:rsidP="009D1F25">
      <w:pPr>
        <w:autoSpaceDE w:val="0"/>
        <w:autoSpaceDN w:val="0"/>
        <w:adjustRightInd w:val="0"/>
        <w:spacing w:after="120"/>
        <w:ind w:left="720" w:hanging="720"/>
        <w:rPr>
          <w:rFonts w:cs="TimesNewRoman"/>
          <w:color w:val="1F1A17"/>
        </w:rPr>
      </w:pPr>
      <w:proofErr w:type="spellStart"/>
      <w:proofErr w:type="gramStart"/>
      <w:r>
        <w:rPr>
          <w:rFonts w:cs="TimesNewRoman"/>
          <w:color w:val="1F1A17"/>
        </w:rPr>
        <w:t>Collado</w:t>
      </w:r>
      <w:proofErr w:type="spellEnd"/>
      <w:r>
        <w:rPr>
          <w:rFonts w:cs="TimesNewRoman"/>
          <w:color w:val="1F1A17"/>
        </w:rPr>
        <w:t xml:space="preserve">-Vides, L., </w:t>
      </w:r>
      <w:proofErr w:type="spellStart"/>
      <w:r>
        <w:rPr>
          <w:rFonts w:cs="TimesNewRoman"/>
          <w:color w:val="1F1A17"/>
        </w:rPr>
        <w:t>Caccia</w:t>
      </w:r>
      <w:proofErr w:type="spellEnd"/>
      <w:r>
        <w:rPr>
          <w:rFonts w:cs="TimesNewRoman"/>
          <w:color w:val="1F1A17"/>
        </w:rPr>
        <w:t>, V.G., Boyer, J.N., Fourqurean, J.W. 2007.</w:t>
      </w:r>
      <w:proofErr w:type="gramEnd"/>
      <w:r>
        <w:rPr>
          <w:rFonts w:cs="TimesNewRoman"/>
          <w:color w:val="1F1A17"/>
        </w:rPr>
        <w:t xml:space="preserve"> </w:t>
      </w:r>
      <w:proofErr w:type="gramStart"/>
      <w:r>
        <w:rPr>
          <w:rFonts w:cs="TimesNewRoman"/>
          <w:color w:val="1F1A17"/>
        </w:rPr>
        <w:t>Tropical seagrass-associated macroalgae distributions and trends relative to water quality.</w:t>
      </w:r>
      <w:proofErr w:type="gramEnd"/>
      <w:r>
        <w:rPr>
          <w:rFonts w:cs="TimesNewRoman"/>
          <w:color w:val="1F1A17"/>
        </w:rPr>
        <w:t xml:space="preserve"> Estuarine, Coastal and Shelf Science 73: 680-694</w:t>
      </w:r>
    </w:p>
    <w:p w:rsidR="00883CE0" w:rsidRDefault="00883CE0" w:rsidP="009D1F25">
      <w:pPr>
        <w:autoSpaceDE w:val="0"/>
        <w:autoSpaceDN w:val="0"/>
        <w:adjustRightInd w:val="0"/>
        <w:spacing w:after="120"/>
        <w:ind w:left="720" w:hanging="720"/>
        <w:rPr>
          <w:rFonts w:cs="TimesNewRoman"/>
          <w:color w:val="1F1A17"/>
        </w:rPr>
      </w:pPr>
      <w:proofErr w:type="spellStart"/>
      <w:proofErr w:type="gramStart"/>
      <w:r>
        <w:rPr>
          <w:rFonts w:cs="TimesNewRoman"/>
          <w:color w:val="1F1A17"/>
        </w:rPr>
        <w:t>Collado</w:t>
      </w:r>
      <w:proofErr w:type="spellEnd"/>
      <w:r>
        <w:rPr>
          <w:rFonts w:cs="TimesNewRoman"/>
          <w:color w:val="1F1A17"/>
        </w:rPr>
        <w:t xml:space="preserve">-Vides, L., </w:t>
      </w:r>
      <w:proofErr w:type="spellStart"/>
      <w:r>
        <w:rPr>
          <w:rFonts w:cs="TimesNewRoman"/>
          <w:color w:val="1F1A17"/>
        </w:rPr>
        <w:t>Rutten</w:t>
      </w:r>
      <w:proofErr w:type="spellEnd"/>
      <w:r>
        <w:rPr>
          <w:rFonts w:cs="TimesNewRoman"/>
          <w:color w:val="1F1A17"/>
        </w:rPr>
        <w:t>, L.M., Fourqurean, J.W. 2005.</w:t>
      </w:r>
      <w:proofErr w:type="gramEnd"/>
      <w:r>
        <w:rPr>
          <w:rFonts w:cs="TimesNewRoman"/>
          <w:color w:val="1F1A17"/>
        </w:rPr>
        <w:t xml:space="preserve"> Spatiotemporal variation of the abundance of calcareous green macroalgae in the Florida Keys: A study of synchrony within a macroalgal functional-form group. Journal of </w:t>
      </w:r>
      <w:proofErr w:type="spellStart"/>
      <w:r>
        <w:rPr>
          <w:rFonts w:cs="TimesNewRoman"/>
          <w:color w:val="1F1A17"/>
        </w:rPr>
        <w:t>Phycology</w:t>
      </w:r>
      <w:proofErr w:type="spellEnd"/>
      <w:r>
        <w:rPr>
          <w:rFonts w:cs="TimesNewRoman"/>
          <w:color w:val="1F1A17"/>
        </w:rPr>
        <w:t xml:space="preserve"> 41: 742-752</w:t>
      </w:r>
    </w:p>
    <w:p w:rsidR="00883CE0" w:rsidRDefault="00883CE0" w:rsidP="009D1F25">
      <w:pPr>
        <w:autoSpaceDE w:val="0"/>
        <w:autoSpaceDN w:val="0"/>
        <w:adjustRightInd w:val="0"/>
        <w:spacing w:after="120"/>
        <w:ind w:left="720" w:hanging="720"/>
        <w:rPr>
          <w:color w:val="000000"/>
        </w:rPr>
      </w:pPr>
      <w:r>
        <w:rPr>
          <w:rFonts w:cs="TimesNewRoman"/>
          <w:color w:val="1F1A17"/>
        </w:rPr>
        <w:lastRenderedPageBreak/>
        <w:t xml:space="preserve">Donahue, S., Acosta, A., Akins, L., Ault, J., </w:t>
      </w:r>
      <w:proofErr w:type="spellStart"/>
      <w:r>
        <w:rPr>
          <w:rFonts w:cs="TimesNewRoman"/>
          <w:color w:val="1F1A17"/>
        </w:rPr>
        <w:t>Bohnsack</w:t>
      </w:r>
      <w:proofErr w:type="spellEnd"/>
      <w:r>
        <w:rPr>
          <w:rFonts w:cs="TimesNewRoman"/>
          <w:color w:val="1F1A17"/>
        </w:rPr>
        <w:t xml:space="preserve">, J., Boyer, J., Callahan, M., Causey, B., Cox, C., Delaney, J., Delgado, G., Edwards, K., Garrett, G., Keller, B., </w:t>
      </w:r>
      <w:proofErr w:type="spellStart"/>
      <w:r>
        <w:rPr>
          <w:rFonts w:cs="TimesNewRoman"/>
          <w:color w:val="1F1A17"/>
        </w:rPr>
        <w:t>Kellison</w:t>
      </w:r>
      <w:proofErr w:type="spellEnd"/>
      <w:r>
        <w:rPr>
          <w:rFonts w:cs="TimesNewRoman"/>
          <w:color w:val="1F1A17"/>
        </w:rPr>
        <w:t xml:space="preserve">, G.T., </w:t>
      </w:r>
      <w:proofErr w:type="spellStart"/>
      <w:r>
        <w:rPr>
          <w:rFonts w:cs="TimesNewRoman"/>
          <w:color w:val="1F1A17"/>
        </w:rPr>
        <w:t>Leeworthy</w:t>
      </w:r>
      <w:proofErr w:type="spellEnd"/>
      <w:r>
        <w:rPr>
          <w:rFonts w:cs="TimesNewRoman"/>
          <w:color w:val="1F1A17"/>
        </w:rPr>
        <w:t xml:space="preserve">, V.R., </w:t>
      </w:r>
      <w:proofErr w:type="spellStart"/>
      <w:r>
        <w:rPr>
          <w:rFonts w:cs="TimesNewRoman"/>
          <w:color w:val="1F1A17"/>
        </w:rPr>
        <w:t>MacLaughlin</w:t>
      </w:r>
      <w:proofErr w:type="spellEnd"/>
      <w:r>
        <w:rPr>
          <w:rFonts w:cs="TimesNewRoman"/>
          <w:color w:val="1F1A17"/>
        </w:rPr>
        <w:t xml:space="preserve">, L, </w:t>
      </w:r>
      <w:proofErr w:type="spellStart"/>
      <w:r>
        <w:rPr>
          <w:rFonts w:cs="TimesNewRoman"/>
          <w:color w:val="1F1A17"/>
        </w:rPr>
        <w:t>McClenachan</w:t>
      </w:r>
      <w:proofErr w:type="spellEnd"/>
      <w:r>
        <w:rPr>
          <w:rFonts w:cs="TimesNewRoman"/>
          <w:color w:val="1F1A17"/>
        </w:rPr>
        <w:t xml:space="preserve">, L., Miller, M.W., Miller, S.L., Ritchie, K., </w:t>
      </w:r>
      <w:proofErr w:type="spellStart"/>
      <w:r>
        <w:rPr>
          <w:rFonts w:cs="TimesNewRoman"/>
          <w:color w:val="1F1A17"/>
        </w:rPr>
        <w:t>Rohmann</w:t>
      </w:r>
      <w:proofErr w:type="spellEnd"/>
      <w:r>
        <w:rPr>
          <w:rFonts w:cs="TimesNewRoman"/>
          <w:color w:val="1F1A17"/>
        </w:rPr>
        <w:t xml:space="preserve">, S., </w:t>
      </w:r>
      <w:proofErr w:type="spellStart"/>
      <w:r>
        <w:rPr>
          <w:rFonts w:cs="TimesNewRoman"/>
          <w:color w:val="1F1A17"/>
        </w:rPr>
        <w:t>Santavy</w:t>
      </w:r>
      <w:proofErr w:type="spellEnd"/>
      <w:r>
        <w:rPr>
          <w:rFonts w:cs="TimesNewRoman"/>
          <w:color w:val="1F1A17"/>
        </w:rPr>
        <w:t xml:space="preserve">, D., </w:t>
      </w:r>
      <w:proofErr w:type="spellStart"/>
      <w:r>
        <w:rPr>
          <w:rFonts w:cs="TimesNewRoman"/>
          <w:color w:val="1F1A17"/>
        </w:rPr>
        <w:t>Pattengill-Semmens</w:t>
      </w:r>
      <w:proofErr w:type="spellEnd"/>
      <w:r>
        <w:rPr>
          <w:rFonts w:cs="TimesNewRoman"/>
          <w:color w:val="1F1A17"/>
        </w:rPr>
        <w:t xml:space="preserve">, C., </w:t>
      </w:r>
      <w:proofErr w:type="spellStart"/>
      <w:r>
        <w:rPr>
          <w:rFonts w:cs="TimesNewRoman"/>
          <w:color w:val="1F1A17"/>
        </w:rPr>
        <w:t>Sniffen</w:t>
      </w:r>
      <w:proofErr w:type="spellEnd"/>
      <w:r>
        <w:rPr>
          <w:rFonts w:cs="TimesNewRoman"/>
          <w:color w:val="1F1A17"/>
        </w:rPr>
        <w:t xml:space="preserve">, B., </w:t>
      </w:r>
      <w:proofErr w:type="spellStart"/>
      <w:r>
        <w:rPr>
          <w:rFonts w:cs="TimesNewRoman"/>
          <w:color w:val="1F1A17"/>
        </w:rPr>
        <w:t>Werndli</w:t>
      </w:r>
      <w:proofErr w:type="spellEnd"/>
      <w:r>
        <w:rPr>
          <w:rFonts w:cs="TimesNewRoman"/>
          <w:color w:val="1F1A17"/>
        </w:rPr>
        <w:t xml:space="preserve">, S., Williams, D.E. 2008. </w:t>
      </w:r>
      <w:proofErr w:type="gramStart"/>
      <w:r>
        <w:rPr>
          <w:rFonts w:cs="TimesNewRoman"/>
          <w:color w:val="1F1A17"/>
        </w:rPr>
        <w:t>The State of Coral Reef Ecosystems of the Florida Keys.</w:t>
      </w:r>
      <w:proofErr w:type="gramEnd"/>
      <w:r>
        <w:rPr>
          <w:rFonts w:cs="TimesNewRoman"/>
          <w:color w:val="1F1A17"/>
        </w:rPr>
        <w:t xml:space="preserve">  pp. 161-187.  </w:t>
      </w:r>
      <w:r>
        <w:rPr>
          <w:color w:val="000000"/>
        </w:rPr>
        <w:t xml:space="preserve">In: J.E. Waddell and A.M. Clarke (eds.), </w:t>
      </w:r>
      <w:proofErr w:type="gramStart"/>
      <w:r>
        <w:rPr>
          <w:color w:val="000000"/>
        </w:rPr>
        <w:t>The</w:t>
      </w:r>
      <w:proofErr w:type="gramEnd"/>
      <w:r>
        <w:rPr>
          <w:color w:val="000000"/>
        </w:rPr>
        <w:t xml:space="preserve"> State of Coral Reef Ecosystems of the United States and Pacific Freely Associated States: 2008. </w:t>
      </w:r>
      <w:proofErr w:type="gramStart"/>
      <w:r>
        <w:rPr>
          <w:color w:val="000000"/>
        </w:rPr>
        <w:t>NOAA Technical Memorandum NOS NCCOS 73.</w:t>
      </w:r>
      <w:proofErr w:type="gramEnd"/>
      <w:r>
        <w:rPr>
          <w:color w:val="000000"/>
        </w:rPr>
        <w:t xml:space="preserve"> NOAA/NCCOS Center for Coastal Monitoring and Assessment’s Biogeography Team. Silver Spring, MD. </w:t>
      </w:r>
      <w:proofErr w:type="gramStart"/>
      <w:r>
        <w:rPr>
          <w:color w:val="000000"/>
        </w:rPr>
        <w:t>569 pp.</w:t>
      </w:r>
      <w:proofErr w:type="gramEnd"/>
    </w:p>
    <w:p w:rsidR="00883CE0" w:rsidRDefault="00883CE0" w:rsidP="009D1F25">
      <w:pPr>
        <w:autoSpaceDE w:val="0"/>
        <w:autoSpaceDN w:val="0"/>
        <w:adjustRightInd w:val="0"/>
        <w:spacing w:after="120"/>
        <w:ind w:left="720" w:hanging="720"/>
        <w:rPr>
          <w:rFonts w:cs="TimesNewRoman"/>
          <w:color w:val="1F1A17"/>
        </w:rPr>
      </w:pPr>
      <w:proofErr w:type="spellStart"/>
      <w:proofErr w:type="gramStart"/>
      <w:r>
        <w:rPr>
          <w:rFonts w:cs="TimesNewRoman"/>
          <w:color w:val="1F1A17"/>
        </w:rPr>
        <w:t>Ferdie</w:t>
      </w:r>
      <w:proofErr w:type="spellEnd"/>
      <w:r>
        <w:rPr>
          <w:rFonts w:cs="TimesNewRoman"/>
          <w:color w:val="1F1A17"/>
        </w:rPr>
        <w:t>, M. and Fourqurean, J.W. 2004.</w:t>
      </w:r>
      <w:proofErr w:type="gramEnd"/>
      <w:r>
        <w:rPr>
          <w:rFonts w:cs="TimesNewRoman"/>
          <w:color w:val="1F1A17"/>
        </w:rPr>
        <w:t xml:space="preserve"> </w:t>
      </w:r>
      <w:proofErr w:type="gramStart"/>
      <w:r>
        <w:rPr>
          <w:rFonts w:cs="TimesNewRoman"/>
          <w:color w:val="1F1A17"/>
        </w:rPr>
        <w:t>Responses of seagrass communities to fertilization along a gradient of relative availability of nitrogen and phosphorus in a carbonate environment.</w:t>
      </w:r>
      <w:proofErr w:type="gramEnd"/>
      <w:r>
        <w:rPr>
          <w:rFonts w:cs="TimesNewRoman"/>
          <w:color w:val="1F1A17"/>
        </w:rPr>
        <w:t xml:space="preserve"> Limnology and Oceanography 49(6): 2082-2094</w:t>
      </w:r>
    </w:p>
    <w:p w:rsidR="00883CE0" w:rsidRDefault="00883CE0" w:rsidP="009D1F25">
      <w:pPr>
        <w:autoSpaceDE w:val="0"/>
        <w:autoSpaceDN w:val="0"/>
        <w:adjustRightInd w:val="0"/>
        <w:spacing w:after="120"/>
        <w:ind w:left="720" w:hanging="720"/>
        <w:rPr>
          <w:rFonts w:cs="TimesNewRoman"/>
          <w:color w:val="1F1A17"/>
        </w:rPr>
      </w:pPr>
      <w:proofErr w:type="gramStart"/>
      <w:r>
        <w:rPr>
          <w:rFonts w:cs="TimesNewRoman"/>
          <w:color w:val="1F1A17"/>
        </w:rPr>
        <w:t>Florida Department of Environmental Protection.</w:t>
      </w:r>
      <w:proofErr w:type="gramEnd"/>
      <w:r>
        <w:rPr>
          <w:rFonts w:cs="TimesNewRoman"/>
          <w:color w:val="1F1A17"/>
        </w:rPr>
        <w:t xml:space="preserve"> 2008. Florida Keys Reasonable Assurance Documentation Program. </w:t>
      </w:r>
      <w:hyperlink r:id="rId42" w:history="1">
        <w:r w:rsidRPr="00B94E5C">
          <w:rPr>
            <w:rStyle w:val="Hyperlink"/>
            <w:rFonts w:cs="TimesNewRoman"/>
          </w:rPr>
          <w:t>http://www.dep.state.fl.us/Water/watersheds/bmap.htm</w:t>
        </w:r>
      </w:hyperlink>
    </w:p>
    <w:p w:rsidR="00883CE0" w:rsidRDefault="00883CE0" w:rsidP="009D1F25">
      <w:pPr>
        <w:autoSpaceDE w:val="0"/>
        <w:autoSpaceDN w:val="0"/>
        <w:adjustRightInd w:val="0"/>
        <w:spacing w:after="120"/>
        <w:ind w:left="720" w:hanging="720"/>
        <w:rPr>
          <w:rFonts w:cs="TimesNewRoman"/>
          <w:color w:val="1F1A17"/>
        </w:rPr>
      </w:pPr>
      <w:r>
        <w:rPr>
          <w:rFonts w:cs="TimesNewRoman"/>
          <w:color w:val="1F1A17"/>
        </w:rPr>
        <w:t xml:space="preserve">Fourqurean, J.W. and </w:t>
      </w:r>
      <w:proofErr w:type="spellStart"/>
      <w:r>
        <w:rPr>
          <w:rFonts w:cs="TimesNewRoman"/>
          <w:color w:val="1F1A17"/>
        </w:rPr>
        <w:t>Escorcia</w:t>
      </w:r>
      <w:proofErr w:type="spellEnd"/>
      <w:r>
        <w:rPr>
          <w:rFonts w:cs="TimesNewRoman"/>
          <w:color w:val="1F1A17"/>
        </w:rPr>
        <w:t xml:space="preserve">, S.P. 2009. FY2008 Annual Report Seagrass monitoring in the Florida Keys National Marine Sanctuary Executive Summary. </w:t>
      </w:r>
      <w:proofErr w:type="gramStart"/>
      <w:r>
        <w:rPr>
          <w:rFonts w:cs="TimesNewRoman"/>
          <w:color w:val="1F1A17"/>
        </w:rPr>
        <w:t>Southeast Environmental Research Center Technical Report.</w:t>
      </w:r>
      <w:proofErr w:type="gramEnd"/>
      <w:r>
        <w:rPr>
          <w:rFonts w:cs="TimesNewRoman"/>
          <w:color w:val="1F1A17"/>
        </w:rPr>
        <w:t xml:space="preserve"> </w:t>
      </w:r>
      <w:proofErr w:type="gramStart"/>
      <w:r>
        <w:rPr>
          <w:rFonts w:cs="TimesNewRoman"/>
          <w:color w:val="1F1A17"/>
        </w:rPr>
        <w:t>Florida International University.</w:t>
      </w:r>
      <w:proofErr w:type="gramEnd"/>
      <w:r>
        <w:rPr>
          <w:rFonts w:cs="TimesNewRoman"/>
          <w:color w:val="1F1A17"/>
        </w:rPr>
        <w:t xml:space="preserve"> Miami, FL </w:t>
      </w:r>
    </w:p>
    <w:p w:rsidR="00883CE0" w:rsidRDefault="00883CE0" w:rsidP="009D1F25">
      <w:pPr>
        <w:autoSpaceDE w:val="0"/>
        <w:autoSpaceDN w:val="0"/>
        <w:adjustRightInd w:val="0"/>
        <w:spacing w:after="120"/>
        <w:ind w:left="720" w:hanging="720"/>
        <w:rPr>
          <w:rFonts w:cs="TimesNewRoman"/>
          <w:color w:val="1F1A17"/>
        </w:rPr>
      </w:pPr>
      <w:proofErr w:type="gramStart"/>
      <w:r>
        <w:rPr>
          <w:rFonts w:cs="TimesNewRoman"/>
          <w:color w:val="1F1A17"/>
        </w:rPr>
        <w:t xml:space="preserve">Fourqurean, J.W. and </w:t>
      </w:r>
      <w:proofErr w:type="spellStart"/>
      <w:r>
        <w:rPr>
          <w:rFonts w:cs="TimesNewRoman"/>
          <w:color w:val="1F1A17"/>
        </w:rPr>
        <w:t>Zieman</w:t>
      </w:r>
      <w:proofErr w:type="spellEnd"/>
      <w:r>
        <w:rPr>
          <w:rFonts w:cs="TimesNewRoman"/>
          <w:color w:val="1F1A17"/>
        </w:rPr>
        <w:t>, J.C. 2002.</w:t>
      </w:r>
      <w:proofErr w:type="gramEnd"/>
      <w:r>
        <w:rPr>
          <w:rFonts w:cs="TimesNewRoman"/>
          <w:color w:val="1F1A17"/>
        </w:rPr>
        <w:t xml:space="preserve"> Nutrient content of the seagrass </w:t>
      </w:r>
      <w:proofErr w:type="spellStart"/>
      <w:proofErr w:type="gramStart"/>
      <w:r w:rsidRPr="009F7B78">
        <w:rPr>
          <w:rFonts w:cs="TimesNewRoman"/>
          <w:i/>
          <w:color w:val="1F1A17"/>
        </w:rPr>
        <w:t>Thalassia</w:t>
      </w:r>
      <w:proofErr w:type="spellEnd"/>
      <w:r w:rsidRPr="009F7B78">
        <w:rPr>
          <w:rFonts w:cs="TimesNewRoman"/>
          <w:i/>
          <w:color w:val="1F1A17"/>
        </w:rPr>
        <w:t xml:space="preserve">  </w:t>
      </w:r>
      <w:proofErr w:type="spellStart"/>
      <w:r w:rsidRPr="009F7B78">
        <w:rPr>
          <w:rFonts w:cs="TimesNewRoman"/>
          <w:i/>
          <w:color w:val="1F1A17"/>
        </w:rPr>
        <w:t>testudinum</w:t>
      </w:r>
      <w:proofErr w:type="spellEnd"/>
      <w:proofErr w:type="gramEnd"/>
      <w:r>
        <w:rPr>
          <w:rFonts w:cs="TimesNewRoman"/>
          <w:color w:val="1F1A17"/>
        </w:rPr>
        <w:t xml:space="preserve"> reveals regional patterns of relative availability of nitrogen and phosphorus in the Florida Keys USA. Biogeochemistry 61: 229-245</w:t>
      </w:r>
    </w:p>
    <w:p w:rsidR="00883CE0" w:rsidRDefault="00883CE0" w:rsidP="009D1F25">
      <w:pPr>
        <w:autoSpaceDE w:val="0"/>
        <w:autoSpaceDN w:val="0"/>
        <w:adjustRightInd w:val="0"/>
        <w:spacing w:after="120"/>
        <w:ind w:left="720" w:hanging="720"/>
        <w:rPr>
          <w:rFonts w:cs="TimesNewRoman"/>
          <w:color w:val="1F1A17"/>
        </w:rPr>
      </w:pPr>
      <w:r>
        <w:rPr>
          <w:rFonts w:cs="TimesNewRoman"/>
          <w:color w:val="1F1A17"/>
        </w:rPr>
        <w:t xml:space="preserve">Fourqurean, J.W., Durako, M.J., Hall, M.O, Hefty, L.N. 2002. Seagrass distribution in South Florida: A multi-agency coordinated monitoring program.  In: Porter, J.W., Porter, K.G. (Eds.), </w:t>
      </w:r>
      <w:proofErr w:type="gramStart"/>
      <w:r>
        <w:rPr>
          <w:rFonts w:cs="TimesNewRoman"/>
          <w:color w:val="1F1A17"/>
        </w:rPr>
        <w:t>The</w:t>
      </w:r>
      <w:proofErr w:type="gramEnd"/>
      <w:r>
        <w:rPr>
          <w:rFonts w:cs="TimesNewRoman"/>
          <w:color w:val="1F1A17"/>
        </w:rPr>
        <w:t xml:space="preserve"> Everglades, Florida Bay and Coral Reefs of the Florida Keys. CRC Press, Boca Raton, pp. 609-640 </w:t>
      </w:r>
    </w:p>
    <w:p w:rsidR="00883CE0" w:rsidRDefault="00883CE0" w:rsidP="009D1F25">
      <w:pPr>
        <w:autoSpaceDE w:val="0"/>
        <w:autoSpaceDN w:val="0"/>
        <w:adjustRightInd w:val="0"/>
        <w:spacing w:after="120"/>
        <w:ind w:left="720" w:hanging="720"/>
        <w:rPr>
          <w:rFonts w:cs="TimesNewRoman"/>
          <w:color w:val="1F1A17"/>
        </w:rPr>
      </w:pPr>
      <w:r>
        <w:rPr>
          <w:rFonts w:cs="TimesNewRoman"/>
          <w:color w:val="1F1A17"/>
        </w:rPr>
        <w:t xml:space="preserve">Fourqurean, J.W., </w:t>
      </w:r>
      <w:proofErr w:type="spellStart"/>
      <w:r>
        <w:rPr>
          <w:rFonts w:cs="TimesNewRoman"/>
          <w:color w:val="1F1A17"/>
        </w:rPr>
        <w:t>Muth</w:t>
      </w:r>
      <w:proofErr w:type="spellEnd"/>
      <w:r>
        <w:rPr>
          <w:rFonts w:cs="TimesNewRoman"/>
          <w:color w:val="1F1A17"/>
        </w:rPr>
        <w:t xml:space="preserve">, Meredith, M.F., and Boyer, J.N. </w:t>
      </w:r>
      <w:proofErr w:type="gramStart"/>
      <w:r>
        <w:rPr>
          <w:rFonts w:cs="TimesNewRoman"/>
          <w:color w:val="1F1A17"/>
        </w:rPr>
        <w:t>In press.</w:t>
      </w:r>
      <w:proofErr w:type="gramEnd"/>
      <w:r>
        <w:rPr>
          <w:rFonts w:cs="TimesNewRoman"/>
          <w:color w:val="1F1A17"/>
        </w:rPr>
        <w:t xml:space="preserve"> Epiphyte loads on seagrasses and </w:t>
      </w:r>
      <w:proofErr w:type="spellStart"/>
      <w:r>
        <w:rPr>
          <w:rFonts w:cs="TimesNewRoman"/>
          <w:color w:val="1F1A17"/>
        </w:rPr>
        <w:t>microphytobenthos</w:t>
      </w:r>
      <w:proofErr w:type="spellEnd"/>
      <w:r>
        <w:rPr>
          <w:rFonts w:cs="TimesNewRoman"/>
          <w:color w:val="1F1A17"/>
        </w:rPr>
        <w:t xml:space="preserve"> abundance are not reliable indicators of nutrient availability in oligotrophic coastal ecosystems. Marine Pollution Bulletin </w:t>
      </w:r>
    </w:p>
    <w:p w:rsidR="00883CE0" w:rsidRDefault="00883CE0" w:rsidP="009D1F25">
      <w:pPr>
        <w:autoSpaceDE w:val="0"/>
        <w:autoSpaceDN w:val="0"/>
        <w:adjustRightInd w:val="0"/>
        <w:spacing w:after="120"/>
        <w:ind w:left="720" w:hanging="720"/>
        <w:rPr>
          <w:rFonts w:cs="TimesNewRoman"/>
          <w:color w:val="1F1A17"/>
        </w:rPr>
      </w:pPr>
      <w:proofErr w:type="gramStart"/>
      <w:r>
        <w:rPr>
          <w:rFonts w:cs="TimesNewRoman"/>
          <w:color w:val="1F1A17"/>
        </w:rPr>
        <w:t xml:space="preserve">Fourqurean, J.W., </w:t>
      </w:r>
      <w:proofErr w:type="spellStart"/>
      <w:r>
        <w:rPr>
          <w:rFonts w:cs="TimesNewRoman"/>
          <w:color w:val="1F1A17"/>
        </w:rPr>
        <w:t>Willsie</w:t>
      </w:r>
      <w:proofErr w:type="spellEnd"/>
      <w:r>
        <w:rPr>
          <w:rFonts w:cs="TimesNewRoman"/>
          <w:color w:val="1F1A17"/>
        </w:rPr>
        <w:t xml:space="preserve">, A., Rose, C.D., </w:t>
      </w:r>
      <w:proofErr w:type="spellStart"/>
      <w:r>
        <w:rPr>
          <w:rFonts w:cs="TimesNewRoman"/>
          <w:color w:val="1F1A17"/>
        </w:rPr>
        <w:t>Rutten</w:t>
      </w:r>
      <w:proofErr w:type="spellEnd"/>
      <w:r>
        <w:rPr>
          <w:rFonts w:cs="TimesNewRoman"/>
          <w:color w:val="1F1A17"/>
        </w:rPr>
        <w:t>, L.M. 2001.</w:t>
      </w:r>
      <w:proofErr w:type="gramEnd"/>
      <w:r>
        <w:rPr>
          <w:rFonts w:cs="TimesNewRoman"/>
          <w:color w:val="1F1A17"/>
        </w:rPr>
        <w:t xml:space="preserve"> </w:t>
      </w:r>
      <w:proofErr w:type="gramStart"/>
      <w:r>
        <w:rPr>
          <w:rFonts w:cs="TimesNewRoman"/>
          <w:color w:val="1F1A17"/>
        </w:rPr>
        <w:t>Spatial and temporal pattern in seagrass community composition and productivity in south Florida.</w:t>
      </w:r>
      <w:proofErr w:type="gramEnd"/>
      <w:r>
        <w:rPr>
          <w:rFonts w:cs="TimesNewRoman"/>
          <w:color w:val="1F1A17"/>
        </w:rPr>
        <w:t xml:space="preserve">  Marine Biology 138: 341-354</w:t>
      </w:r>
    </w:p>
    <w:p w:rsidR="00883CE0" w:rsidRDefault="00883CE0" w:rsidP="009D1F25">
      <w:pPr>
        <w:autoSpaceDE w:val="0"/>
        <w:autoSpaceDN w:val="0"/>
        <w:adjustRightInd w:val="0"/>
        <w:spacing w:after="120"/>
        <w:ind w:left="720" w:hanging="720"/>
        <w:rPr>
          <w:rFonts w:cs="TimesNewRoman"/>
          <w:color w:val="1F1A17"/>
        </w:rPr>
      </w:pPr>
      <w:proofErr w:type="gramStart"/>
      <w:r>
        <w:rPr>
          <w:rFonts w:cs="TimesNewRoman"/>
          <w:color w:val="1F1A17"/>
        </w:rPr>
        <w:t>Furman, B.T. and Heck, K.L. Jr. 2008.</w:t>
      </w:r>
      <w:proofErr w:type="gramEnd"/>
      <w:r>
        <w:rPr>
          <w:rFonts w:cs="TimesNewRoman"/>
          <w:color w:val="1F1A17"/>
        </w:rPr>
        <w:t xml:space="preserve"> Effects of nutrient enrichment and grazers on coral reefs: an experimental assessment. Marine Ecology Progress Series 363: 89-101</w:t>
      </w:r>
    </w:p>
    <w:p w:rsidR="00883CE0" w:rsidRDefault="00883CE0" w:rsidP="009D1F25">
      <w:pPr>
        <w:autoSpaceDE w:val="0"/>
        <w:autoSpaceDN w:val="0"/>
        <w:adjustRightInd w:val="0"/>
        <w:spacing w:after="120"/>
        <w:ind w:left="720" w:hanging="720"/>
        <w:rPr>
          <w:rFonts w:cs="TimesNewRoman"/>
          <w:color w:val="1F1A17"/>
        </w:rPr>
      </w:pPr>
      <w:r>
        <w:rPr>
          <w:rFonts w:cs="TimesNewRoman"/>
          <w:color w:val="1F1A17"/>
        </w:rPr>
        <w:t xml:space="preserve">Gibson, P.J., Boyer, J.N., Smith, N.P. 2008. </w:t>
      </w:r>
      <w:proofErr w:type="gramStart"/>
      <w:r>
        <w:rPr>
          <w:rFonts w:cs="TimesNewRoman"/>
          <w:color w:val="1F1A17"/>
        </w:rPr>
        <w:t>Nutrient mass flux between Florida Bay and the Florida Keys National Marine Sanctuary.</w:t>
      </w:r>
      <w:proofErr w:type="gramEnd"/>
      <w:r>
        <w:rPr>
          <w:rFonts w:cs="TimesNewRoman"/>
          <w:color w:val="1F1A17"/>
        </w:rPr>
        <w:t xml:space="preserve"> Estuaries and Coasts 31: 21-32</w:t>
      </w:r>
    </w:p>
    <w:p w:rsidR="00883CE0" w:rsidRDefault="00883CE0" w:rsidP="009D1F25">
      <w:pPr>
        <w:autoSpaceDE w:val="0"/>
        <w:autoSpaceDN w:val="0"/>
        <w:adjustRightInd w:val="0"/>
        <w:spacing w:after="120"/>
        <w:ind w:left="720" w:hanging="720"/>
        <w:rPr>
          <w:rFonts w:cs="TimesNewRoman"/>
          <w:color w:val="1F1A17"/>
        </w:rPr>
      </w:pPr>
      <w:r>
        <w:rPr>
          <w:rFonts w:cs="TimesNewRoman"/>
          <w:color w:val="1F1A17"/>
        </w:rPr>
        <w:t xml:space="preserve">Kruczynski, W.L., and McManus, F. 2002. Water quality concerns in the Florida Keys: Sources, effects, and solutions.  In: Porter, J.W., Porter, K.G. (Eds.), </w:t>
      </w:r>
      <w:proofErr w:type="gramStart"/>
      <w:r>
        <w:rPr>
          <w:rFonts w:cs="TimesNewRoman"/>
          <w:color w:val="1F1A17"/>
        </w:rPr>
        <w:t>The</w:t>
      </w:r>
      <w:proofErr w:type="gramEnd"/>
      <w:r>
        <w:rPr>
          <w:rFonts w:cs="TimesNewRoman"/>
          <w:color w:val="1F1A17"/>
        </w:rPr>
        <w:t xml:space="preserve"> Everglades, Florida Bay and Coral Reefs of the Florida Keys. CRC Press, Boca Raton, pp. 827-882.</w:t>
      </w:r>
    </w:p>
    <w:p w:rsidR="00883CE0" w:rsidRDefault="00883CE0" w:rsidP="009D1F25">
      <w:pPr>
        <w:autoSpaceDE w:val="0"/>
        <w:autoSpaceDN w:val="0"/>
        <w:adjustRightInd w:val="0"/>
        <w:spacing w:after="120"/>
        <w:ind w:left="720" w:hanging="720"/>
        <w:rPr>
          <w:rFonts w:cs="TimesNewRoman"/>
          <w:color w:val="1F1A17"/>
        </w:rPr>
      </w:pPr>
      <w:r>
        <w:rPr>
          <w:rFonts w:cs="TimesNewRoman"/>
          <w:color w:val="1F1A17"/>
        </w:rPr>
        <w:t xml:space="preserve">Lapointe, B.E. and Clark, M.W. 1992. Nutrient inputs from the watershed and coastal eutrophication in the Florida </w:t>
      </w:r>
      <w:proofErr w:type="gramStart"/>
      <w:r>
        <w:rPr>
          <w:rFonts w:cs="TimesNewRoman"/>
          <w:color w:val="1F1A17"/>
        </w:rPr>
        <w:t>keys</w:t>
      </w:r>
      <w:proofErr w:type="gramEnd"/>
      <w:r>
        <w:rPr>
          <w:rFonts w:cs="TimesNewRoman"/>
          <w:color w:val="1F1A17"/>
        </w:rPr>
        <w:t>. Estuaries 15(4): 465-476.</w:t>
      </w:r>
    </w:p>
    <w:p w:rsidR="00883CE0" w:rsidRDefault="00883CE0" w:rsidP="009D1F25">
      <w:pPr>
        <w:autoSpaceDE w:val="0"/>
        <w:autoSpaceDN w:val="0"/>
        <w:adjustRightInd w:val="0"/>
        <w:spacing w:after="120"/>
        <w:ind w:left="720" w:hanging="720"/>
        <w:rPr>
          <w:rFonts w:cs="TimesNewRoman"/>
          <w:color w:val="1F1A17"/>
        </w:rPr>
      </w:pPr>
      <w:r>
        <w:rPr>
          <w:rFonts w:cs="TimesNewRoman"/>
          <w:color w:val="1F1A17"/>
        </w:rPr>
        <w:lastRenderedPageBreak/>
        <w:t xml:space="preserve">Lapointe, B.E. and </w:t>
      </w:r>
      <w:proofErr w:type="spellStart"/>
      <w:r>
        <w:rPr>
          <w:rFonts w:cs="TimesNewRoman"/>
          <w:color w:val="1F1A17"/>
        </w:rPr>
        <w:t>Matzie</w:t>
      </w:r>
      <w:proofErr w:type="spellEnd"/>
      <w:r>
        <w:rPr>
          <w:rFonts w:cs="TimesNewRoman"/>
          <w:color w:val="1F1A17"/>
        </w:rPr>
        <w:t xml:space="preserve">, W.R. 1996. </w:t>
      </w:r>
      <w:proofErr w:type="gramStart"/>
      <w:r>
        <w:rPr>
          <w:rFonts w:cs="TimesNewRoman"/>
          <w:color w:val="1F1A17"/>
        </w:rPr>
        <w:t>Effects of stormwater nutrient discharges on eutrophication processes in nearshore waters of the Florida Keys.</w:t>
      </w:r>
      <w:proofErr w:type="gramEnd"/>
      <w:r>
        <w:rPr>
          <w:rFonts w:cs="TimesNewRoman"/>
          <w:color w:val="1F1A17"/>
        </w:rPr>
        <w:t xml:space="preserve"> Estuaries 19(2B): 422-435</w:t>
      </w:r>
    </w:p>
    <w:p w:rsidR="00883CE0" w:rsidRDefault="00883CE0" w:rsidP="009D1F25">
      <w:pPr>
        <w:autoSpaceDE w:val="0"/>
        <w:autoSpaceDN w:val="0"/>
        <w:adjustRightInd w:val="0"/>
        <w:spacing w:after="120"/>
        <w:ind w:left="720" w:hanging="720"/>
        <w:rPr>
          <w:rFonts w:cs="TimesNewRoman"/>
          <w:color w:val="1F1A17"/>
        </w:rPr>
      </w:pPr>
      <w:proofErr w:type="gramStart"/>
      <w:r>
        <w:rPr>
          <w:rFonts w:cs="TimesNewRoman"/>
          <w:color w:val="1F1A17"/>
        </w:rPr>
        <w:t xml:space="preserve">Lapointe, B.E., </w:t>
      </w:r>
      <w:proofErr w:type="spellStart"/>
      <w:r>
        <w:rPr>
          <w:rFonts w:cs="TimesNewRoman"/>
          <w:color w:val="1F1A17"/>
        </w:rPr>
        <w:t>Barile</w:t>
      </w:r>
      <w:proofErr w:type="spellEnd"/>
      <w:r>
        <w:rPr>
          <w:rFonts w:cs="TimesNewRoman"/>
          <w:color w:val="1F1A17"/>
        </w:rPr>
        <w:t xml:space="preserve">, P.J., and </w:t>
      </w:r>
      <w:proofErr w:type="spellStart"/>
      <w:r>
        <w:rPr>
          <w:rFonts w:cs="TimesNewRoman"/>
          <w:color w:val="1F1A17"/>
        </w:rPr>
        <w:t>Matzie</w:t>
      </w:r>
      <w:proofErr w:type="spellEnd"/>
      <w:r>
        <w:rPr>
          <w:rFonts w:cs="TimesNewRoman"/>
          <w:color w:val="1F1A17"/>
        </w:rPr>
        <w:t>, W.R. 2004.</w:t>
      </w:r>
      <w:proofErr w:type="gramEnd"/>
      <w:r>
        <w:rPr>
          <w:rFonts w:cs="TimesNewRoman"/>
          <w:color w:val="1F1A17"/>
        </w:rPr>
        <w:t xml:space="preserve"> Anthropogenic nutrient enrichment of seagrass and reef communities in the Lower Florida Keys: discrimination of local versus regional nitrogen sources. Journal of Experimental Marine Biology and Ecology 308: 23-58.</w:t>
      </w:r>
    </w:p>
    <w:p w:rsidR="00883CE0" w:rsidRDefault="00883CE0" w:rsidP="009D1F25">
      <w:pPr>
        <w:autoSpaceDE w:val="0"/>
        <w:autoSpaceDN w:val="0"/>
        <w:adjustRightInd w:val="0"/>
        <w:spacing w:after="120"/>
        <w:ind w:left="720" w:hanging="720"/>
        <w:rPr>
          <w:rFonts w:cs="TimesNewRoman"/>
          <w:color w:val="1F1A17"/>
        </w:rPr>
      </w:pPr>
      <w:r>
        <w:rPr>
          <w:rFonts w:cs="TimesNewRoman"/>
          <w:color w:val="1F1A17"/>
        </w:rPr>
        <w:t xml:space="preserve">Lapointe, B.E., O’Connell, J.D., and Garrett, G.S. 1990. </w:t>
      </w:r>
      <w:proofErr w:type="gramStart"/>
      <w:r>
        <w:rPr>
          <w:rFonts w:cs="TimesNewRoman"/>
          <w:color w:val="1F1A17"/>
        </w:rPr>
        <w:t>Nutrient couplings between on-site sewage disposal systems, groundwaters, and nearshore surface waters of the Florida Keys.</w:t>
      </w:r>
      <w:proofErr w:type="gramEnd"/>
      <w:r>
        <w:rPr>
          <w:rFonts w:cs="TimesNewRoman"/>
          <w:color w:val="1F1A17"/>
        </w:rPr>
        <w:t xml:space="preserve"> Biogeochemistry 10: 289-307</w:t>
      </w:r>
    </w:p>
    <w:p w:rsidR="00883CE0" w:rsidRDefault="00883CE0" w:rsidP="009D1F25">
      <w:pPr>
        <w:autoSpaceDE w:val="0"/>
        <w:autoSpaceDN w:val="0"/>
        <w:adjustRightInd w:val="0"/>
        <w:spacing w:after="120"/>
        <w:ind w:left="720" w:hanging="720"/>
        <w:rPr>
          <w:rFonts w:cs="TimesNewRoman"/>
          <w:color w:val="1F1A17"/>
        </w:rPr>
      </w:pPr>
      <w:r>
        <w:rPr>
          <w:rFonts w:cs="TimesNewRoman"/>
          <w:color w:val="1F1A17"/>
        </w:rPr>
        <w:t xml:space="preserve">Lapointe, B.E., </w:t>
      </w:r>
      <w:proofErr w:type="spellStart"/>
      <w:r>
        <w:rPr>
          <w:rFonts w:cs="TimesNewRoman"/>
          <w:color w:val="1F1A17"/>
        </w:rPr>
        <w:t>Tomasko</w:t>
      </w:r>
      <w:proofErr w:type="spellEnd"/>
      <w:r>
        <w:rPr>
          <w:rFonts w:cs="TimesNewRoman"/>
          <w:color w:val="1F1A17"/>
        </w:rPr>
        <w:t xml:space="preserve">, D.A., </w:t>
      </w:r>
      <w:proofErr w:type="spellStart"/>
      <w:r>
        <w:rPr>
          <w:rFonts w:cs="TimesNewRoman"/>
          <w:color w:val="1F1A17"/>
        </w:rPr>
        <w:t>Matzie</w:t>
      </w:r>
      <w:proofErr w:type="spellEnd"/>
      <w:r>
        <w:rPr>
          <w:rFonts w:cs="TimesNewRoman"/>
          <w:color w:val="1F1A17"/>
        </w:rPr>
        <w:t xml:space="preserve">, W.R. 1994. </w:t>
      </w:r>
      <w:proofErr w:type="gramStart"/>
      <w:r>
        <w:rPr>
          <w:rFonts w:cs="TimesNewRoman"/>
          <w:color w:val="1F1A17"/>
        </w:rPr>
        <w:t>Eutrophication and trophic state classification of seagrass communities in the Florida Keys.</w:t>
      </w:r>
      <w:proofErr w:type="gramEnd"/>
      <w:r>
        <w:rPr>
          <w:rFonts w:cs="TimesNewRoman"/>
          <w:color w:val="1F1A17"/>
        </w:rPr>
        <w:t xml:space="preserve"> Bulletin of Marine Science 54(3): 696-717</w:t>
      </w:r>
    </w:p>
    <w:p w:rsidR="00883CE0" w:rsidRDefault="00883CE0" w:rsidP="009D1F25">
      <w:pPr>
        <w:autoSpaceDE w:val="0"/>
        <w:autoSpaceDN w:val="0"/>
        <w:adjustRightInd w:val="0"/>
        <w:spacing w:after="120"/>
        <w:ind w:left="720" w:hanging="720"/>
        <w:rPr>
          <w:rFonts w:cs="TimesNewRoman"/>
          <w:color w:val="1F1A17"/>
        </w:rPr>
      </w:pPr>
      <w:r>
        <w:rPr>
          <w:rFonts w:cs="TimesNewRoman"/>
          <w:color w:val="1F1A17"/>
        </w:rPr>
        <w:t xml:space="preserve">Lee, T.N., Williams, E., Johns, E., Wilson, D., and Smith, N.P. 2002. Transport processes linking South </w:t>
      </w:r>
      <w:proofErr w:type="spellStart"/>
      <w:proofErr w:type="gramStart"/>
      <w:r>
        <w:rPr>
          <w:rFonts w:cs="TimesNewRoman"/>
          <w:color w:val="1F1A17"/>
        </w:rPr>
        <w:t>florida</w:t>
      </w:r>
      <w:proofErr w:type="spellEnd"/>
      <w:proofErr w:type="gramEnd"/>
      <w:r>
        <w:rPr>
          <w:rFonts w:cs="TimesNewRoman"/>
          <w:color w:val="1F1A17"/>
        </w:rPr>
        <w:t xml:space="preserve"> coastal ecosystems. In: Porter, J.W., Porter, K.G. (Eds.), </w:t>
      </w:r>
      <w:proofErr w:type="gramStart"/>
      <w:r>
        <w:rPr>
          <w:rFonts w:cs="TimesNewRoman"/>
          <w:color w:val="1F1A17"/>
        </w:rPr>
        <w:t>The</w:t>
      </w:r>
      <w:proofErr w:type="gramEnd"/>
      <w:r>
        <w:rPr>
          <w:rFonts w:cs="TimesNewRoman"/>
          <w:color w:val="1F1A17"/>
        </w:rPr>
        <w:t xml:space="preserve"> Everglades, Florida Bay and Coral Reefs of the Florida Keys. </w:t>
      </w:r>
      <w:proofErr w:type="gramStart"/>
      <w:r>
        <w:rPr>
          <w:rFonts w:cs="TimesNewRoman"/>
          <w:color w:val="1F1A17"/>
        </w:rPr>
        <w:t>CRC Press, Boca Raton, pp.309-342.</w:t>
      </w:r>
      <w:proofErr w:type="gramEnd"/>
    </w:p>
    <w:p w:rsidR="00883CE0" w:rsidRDefault="00883CE0" w:rsidP="009D1F25">
      <w:pPr>
        <w:autoSpaceDE w:val="0"/>
        <w:autoSpaceDN w:val="0"/>
        <w:adjustRightInd w:val="0"/>
        <w:spacing w:after="120"/>
        <w:ind w:left="720" w:hanging="720"/>
        <w:rPr>
          <w:rFonts w:cs="TimesNewRoman"/>
          <w:color w:val="1F1A17"/>
        </w:rPr>
      </w:pPr>
      <w:r>
        <w:rPr>
          <w:rFonts w:cs="TimesNewRoman"/>
          <w:color w:val="1F1A17"/>
        </w:rPr>
        <w:t xml:space="preserve">McClelland, S. 2010. Florida Keys Reasonable Assurance Demonstration: Florida Keys Nutrient Targets.  </w:t>
      </w:r>
      <w:proofErr w:type="gramStart"/>
      <w:r>
        <w:rPr>
          <w:rFonts w:cs="TimesNewRoman"/>
          <w:color w:val="1F1A17"/>
        </w:rPr>
        <w:t>Presented at the Florida DEP Estuary and Coastal Numeric Nutrient Criteria Development Meeting.</w:t>
      </w:r>
      <w:proofErr w:type="gramEnd"/>
      <w:r>
        <w:rPr>
          <w:rFonts w:cs="TimesNewRoman"/>
          <w:color w:val="1F1A17"/>
        </w:rPr>
        <w:t xml:space="preserve">  Miami, FL 3/3/2010; </w:t>
      </w:r>
      <w:hyperlink r:id="rId43" w:history="1">
        <w:r w:rsidRPr="00FE731D">
          <w:rPr>
            <w:rStyle w:val="Hyperlink"/>
            <w:rFonts w:cs="TimesNewRoman"/>
          </w:rPr>
          <w:t>http://www.dep.state.fl.us/water/wqssp/nutrients/docs/estuarine/miami/florida_keys_reasonable_assurance_nutrients.pdf</w:t>
        </w:r>
      </w:hyperlink>
    </w:p>
    <w:p w:rsidR="00883CE0" w:rsidRDefault="00883CE0" w:rsidP="009D1F25">
      <w:pPr>
        <w:autoSpaceDE w:val="0"/>
        <w:autoSpaceDN w:val="0"/>
        <w:adjustRightInd w:val="0"/>
        <w:spacing w:after="120"/>
        <w:ind w:left="720" w:hanging="720"/>
        <w:rPr>
          <w:rFonts w:cs="TimesNewRoman"/>
          <w:color w:val="1F1A17"/>
        </w:rPr>
      </w:pPr>
      <w:r>
        <w:rPr>
          <w:rFonts w:cs="TimesNewRoman"/>
          <w:color w:val="1F1A17"/>
        </w:rPr>
        <w:t xml:space="preserve">Miller, M.W., Weil, E., and </w:t>
      </w:r>
      <w:proofErr w:type="spellStart"/>
      <w:r>
        <w:rPr>
          <w:rFonts w:cs="TimesNewRoman"/>
          <w:color w:val="1F1A17"/>
        </w:rPr>
        <w:t>Szmant</w:t>
      </w:r>
      <w:proofErr w:type="spellEnd"/>
      <w:r>
        <w:rPr>
          <w:rFonts w:cs="TimesNewRoman"/>
          <w:color w:val="1F1A17"/>
        </w:rPr>
        <w:t xml:space="preserve">, A.M. 2000. </w:t>
      </w:r>
      <w:proofErr w:type="gramStart"/>
      <w:r>
        <w:rPr>
          <w:rFonts w:cs="TimesNewRoman"/>
          <w:color w:val="1F1A17"/>
        </w:rPr>
        <w:t>Coral recruitment and juvenile mortality as structuring factors for reef benthic communities in Biscayne National Park, USA.</w:t>
      </w:r>
      <w:proofErr w:type="gramEnd"/>
      <w:r>
        <w:rPr>
          <w:rFonts w:cs="TimesNewRoman"/>
          <w:color w:val="1F1A17"/>
        </w:rPr>
        <w:t xml:space="preserve"> Coral Reefs 19: 115-123.</w:t>
      </w:r>
    </w:p>
    <w:p w:rsidR="00883CE0" w:rsidRDefault="00883CE0" w:rsidP="009D1F25">
      <w:pPr>
        <w:autoSpaceDE w:val="0"/>
        <w:autoSpaceDN w:val="0"/>
        <w:adjustRightInd w:val="0"/>
        <w:spacing w:after="120"/>
        <w:ind w:left="720" w:hanging="720"/>
        <w:rPr>
          <w:rFonts w:cs="TimesNewRoman"/>
          <w:color w:val="1F1A17"/>
        </w:rPr>
      </w:pPr>
      <w:proofErr w:type="gramStart"/>
      <w:r>
        <w:rPr>
          <w:rFonts w:cs="TimesNewRoman"/>
          <w:color w:val="1F1A17"/>
        </w:rPr>
        <w:t>Monroe County 2010.</w:t>
      </w:r>
      <w:proofErr w:type="gramEnd"/>
      <w:r>
        <w:rPr>
          <w:rFonts w:cs="TimesNewRoman"/>
          <w:color w:val="1F1A17"/>
        </w:rPr>
        <w:t xml:space="preserve"> </w:t>
      </w:r>
      <w:proofErr w:type="gramStart"/>
      <w:r>
        <w:rPr>
          <w:rFonts w:cs="TimesNewRoman"/>
          <w:color w:val="1F1A17"/>
        </w:rPr>
        <w:t>Comprehensive Plan.</w:t>
      </w:r>
      <w:proofErr w:type="gramEnd"/>
      <w:r>
        <w:rPr>
          <w:rFonts w:cs="TimesNewRoman"/>
          <w:color w:val="1F1A17"/>
        </w:rPr>
        <w:t xml:space="preserve"> Monroe County, FL</w:t>
      </w:r>
    </w:p>
    <w:p w:rsidR="00883CE0" w:rsidRDefault="00883CE0" w:rsidP="009D1F25">
      <w:pPr>
        <w:autoSpaceDE w:val="0"/>
        <w:autoSpaceDN w:val="0"/>
        <w:adjustRightInd w:val="0"/>
        <w:spacing w:after="120"/>
        <w:ind w:left="720" w:hanging="720"/>
        <w:rPr>
          <w:rFonts w:cs="TimesNewRoman"/>
          <w:color w:val="1F1A17"/>
        </w:rPr>
      </w:pPr>
      <w:proofErr w:type="gramStart"/>
      <w:r>
        <w:rPr>
          <w:rFonts w:cs="TimesNewRoman"/>
          <w:color w:val="1F1A17"/>
        </w:rPr>
        <w:t>NOAA.</w:t>
      </w:r>
      <w:proofErr w:type="gramEnd"/>
      <w:r>
        <w:rPr>
          <w:rFonts w:cs="TimesNewRoman"/>
          <w:color w:val="1F1A17"/>
        </w:rPr>
        <w:t xml:space="preserve"> 1996. Florida Keys National Marine Sanctuary Final Management Plan/Environmental Impact Statement. </w:t>
      </w:r>
      <w:proofErr w:type="gramStart"/>
      <w:r>
        <w:rPr>
          <w:rFonts w:cs="TimesNewRoman"/>
          <w:color w:val="1F1A17"/>
        </w:rPr>
        <w:t>Volume I. 342 pp.</w:t>
      </w:r>
      <w:proofErr w:type="gramEnd"/>
    </w:p>
    <w:p w:rsidR="00883CE0" w:rsidRDefault="00883CE0" w:rsidP="009D1F25">
      <w:pPr>
        <w:autoSpaceDE w:val="0"/>
        <w:autoSpaceDN w:val="0"/>
        <w:adjustRightInd w:val="0"/>
        <w:spacing w:after="120"/>
        <w:ind w:left="720" w:hanging="720"/>
        <w:rPr>
          <w:rFonts w:cs="TimesNewRoman"/>
          <w:color w:val="1F1A17"/>
        </w:rPr>
      </w:pPr>
      <w:proofErr w:type="spellStart"/>
      <w:r>
        <w:rPr>
          <w:rFonts w:cs="TimesNewRoman"/>
          <w:color w:val="1F1A17"/>
        </w:rPr>
        <w:t>Odum</w:t>
      </w:r>
      <w:proofErr w:type="spellEnd"/>
      <w:r>
        <w:rPr>
          <w:rFonts w:cs="TimesNewRoman"/>
          <w:color w:val="1F1A17"/>
        </w:rPr>
        <w:t xml:space="preserve">, W.E., and McIvor, C.C. 1990. Chapter 15: Mangroves. In: Meyers, R.L., and </w:t>
      </w:r>
      <w:proofErr w:type="spellStart"/>
      <w:r>
        <w:rPr>
          <w:rFonts w:cs="TimesNewRoman"/>
          <w:color w:val="1F1A17"/>
        </w:rPr>
        <w:t>Ewel</w:t>
      </w:r>
      <w:proofErr w:type="spellEnd"/>
      <w:r>
        <w:rPr>
          <w:rFonts w:cs="TimesNewRoman"/>
          <w:color w:val="1F1A17"/>
        </w:rPr>
        <w:t>, J.J. (Eds.), Ecosystems of Florida. University of Central Florida Press, Orlando, pp. 517-548.</w:t>
      </w:r>
    </w:p>
    <w:p w:rsidR="00883CE0" w:rsidRDefault="00883CE0" w:rsidP="009D1F25">
      <w:pPr>
        <w:autoSpaceDE w:val="0"/>
        <w:autoSpaceDN w:val="0"/>
        <w:adjustRightInd w:val="0"/>
        <w:spacing w:after="120"/>
        <w:ind w:left="720" w:hanging="720"/>
        <w:rPr>
          <w:rFonts w:cs="TimesNewRoman"/>
          <w:color w:val="1F1A17"/>
        </w:rPr>
      </w:pPr>
      <w:r>
        <w:rPr>
          <w:rFonts w:cs="TimesNewRoman"/>
          <w:color w:val="1F1A17"/>
        </w:rPr>
        <w:t xml:space="preserve">Porter, J.W., </w:t>
      </w:r>
      <w:proofErr w:type="spellStart"/>
      <w:r>
        <w:rPr>
          <w:rFonts w:cs="TimesNewRoman"/>
          <w:color w:val="1F1A17"/>
        </w:rPr>
        <w:t>Kosmynin</w:t>
      </w:r>
      <w:proofErr w:type="spellEnd"/>
      <w:r>
        <w:rPr>
          <w:rFonts w:cs="TimesNewRoman"/>
          <w:color w:val="1F1A17"/>
        </w:rPr>
        <w:t xml:space="preserve">, V., Patterson, K.L., Porter, K.G., </w:t>
      </w:r>
      <w:proofErr w:type="spellStart"/>
      <w:r>
        <w:rPr>
          <w:rFonts w:cs="TimesNewRoman"/>
          <w:color w:val="1F1A17"/>
        </w:rPr>
        <w:t>Jaap</w:t>
      </w:r>
      <w:proofErr w:type="spellEnd"/>
      <w:r>
        <w:rPr>
          <w:rFonts w:cs="TimesNewRoman"/>
          <w:color w:val="1F1A17"/>
        </w:rPr>
        <w:t xml:space="preserve">, W.C., Wheaton, J.L., Hackett, K., </w:t>
      </w:r>
      <w:proofErr w:type="spellStart"/>
      <w:r>
        <w:rPr>
          <w:rFonts w:cs="TimesNewRoman"/>
          <w:color w:val="1F1A17"/>
        </w:rPr>
        <w:t>Lybolt</w:t>
      </w:r>
      <w:proofErr w:type="spellEnd"/>
      <w:r>
        <w:rPr>
          <w:rFonts w:cs="TimesNewRoman"/>
          <w:color w:val="1F1A17"/>
        </w:rPr>
        <w:t xml:space="preserve">, M., </w:t>
      </w:r>
      <w:proofErr w:type="spellStart"/>
      <w:r>
        <w:rPr>
          <w:rFonts w:cs="TimesNewRoman"/>
          <w:color w:val="1F1A17"/>
        </w:rPr>
        <w:t>Tsokos</w:t>
      </w:r>
      <w:proofErr w:type="spellEnd"/>
      <w:r>
        <w:rPr>
          <w:rFonts w:cs="TimesNewRoman"/>
          <w:color w:val="1F1A17"/>
        </w:rPr>
        <w:t xml:space="preserve">, C.P., </w:t>
      </w:r>
      <w:proofErr w:type="spellStart"/>
      <w:r>
        <w:rPr>
          <w:rFonts w:cs="TimesNewRoman"/>
          <w:color w:val="1F1A17"/>
        </w:rPr>
        <w:t>Yanev</w:t>
      </w:r>
      <w:proofErr w:type="spellEnd"/>
      <w:r>
        <w:rPr>
          <w:rFonts w:cs="TimesNewRoman"/>
          <w:color w:val="1F1A17"/>
        </w:rPr>
        <w:t xml:space="preserve">, G., </w:t>
      </w:r>
      <w:proofErr w:type="spellStart"/>
      <w:r>
        <w:rPr>
          <w:rFonts w:cs="TimesNewRoman"/>
          <w:color w:val="1F1A17"/>
        </w:rPr>
        <w:t>Marcinek</w:t>
      </w:r>
      <w:proofErr w:type="spellEnd"/>
      <w:r>
        <w:rPr>
          <w:rFonts w:cs="TimesNewRoman"/>
          <w:color w:val="1F1A17"/>
        </w:rPr>
        <w:t xml:space="preserve">, D.M., </w:t>
      </w:r>
      <w:proofErr w:type="spellStart"/>
      <w:r>
        <w:rPr>
          <w:rFonts w:cs="TimesNewRoman"/>
          <w:color w:val="1F1A17"/>
        </w:rPr>
        <w:t>Dotten</w:t>
      </w:r>
      <w:proofErr w:type="spellEnd"/>
      <w:r>
        <w:rPr>
          <w:rFonts w:cs="TimesNewRoman"/>
          <w:color w:val="1F1A17"/>
        </w:rPr>
        <w:t xml:space="preserve">, J., </w:t>
      </w:r>
      <w:proofErr w:type="spellStart"/>
      <w:r>
        <w:rPr>
          <w:rFonts w:cs="TimesNewRoman"/>
          <w:color w:val="1F1A17"/>
        </w:rPr>
        <w:t>Eaken</w:t>
      </w:r>
      <w:proofErr w:type="spellEnd"/>
      <w:r>
        <w:rPr>
          <w:rFonts w:cs="TimesNewRoman"/>
          <w:color w:val="1F1A17"/>
        </w:rPr>
        <w:t xml:space="preserve">, D., Patterson, M., Meier, O.W., Brill, M., Dustan, P. 2002. </w:t>
      </w:r>
      <w:proofErr w:type="gramStart"/>
      <w:r>
        <w:rPr>
          <w:rFonts w:cs="TimesNewRoman"/>
          <w:color w:val="1F1A17"/>
        </w:rPr>
        <w:t>Detection of coral reef change by the Florida Keys Coral Reef Monitoring Project.</w:t>
      </w:r>
      <w:proofErr w:type="gramEnd"/>
      <w:r>
        <w:rPr>
          <w:rFonts w:cs="TimesNewRoman"/>
          <w:color w:val="1F1A17"/>
        </w:rPr>
        <w:t xml:space="preserve"> In: Porter, J.W., Porter, K.G. (Eds.), </w:t>
      </w:r>
      <w:proofErr w:type="gramStart"/>
      <w:r>
        <w:rPr>
          <w:rFonts w:cs="TimesNewRoman"/>
          <w:color w:val="1F1A17"/>
        </w:rPr>
        <w:t>The</w:t>
      </w:r>
      <w:proofErr w:type="gramEnd"/>
      <w:r>
        <w:rPr>
          <w:rFonts w:cs="TimesNewRoman"/>
          <w:color w:val="1F1A17"/>
        </w:rPr>
        <w:t xml:space="preserve"> Everglades, Florida Bay and Coral Reefs of the Florida Keys. CRC Press, Boca Raton, pp. 749-769.</w:t>
      </w:r>
    </w:p>
    <w:p w:rsidR="00883CE0" w:rsidRDefault="00883CE0" w:rsidP="009D1F25">
      <w:pPr>
        <w:autoSpaceDE w:val="0"/>
        <w:autoSpaceDN w:val="0"/>
        <w:adjustRightInd w:val="0"/>
        <w:spacing w:after="120"/>
        <w:ind w:left="720" w:hanging="720"/>
        <w:rPr>
          <w:rFonts w:cs="TimesNewRoman"/>
          <w:color w:val="1F1A17"/>
        </w:rPr>
      </w:pPr>
      <w:r>
        <w:rPr>
          <w:rFonts w:cs="TimesNewRoman"/>
          <w:color w:val="1F1A17"/>
        </w:rPr>
        <w:t xml:space="preserve">Reich, C.D., Shinn, E.A., Hickey, T.D., </w:t>
      </w:r>
      <w:proofErr w:type="spellStart"/>
      <w:r>
        <w:rPr>
          <w:rFonts w:cs="TimesNewRoman"/>
          <w:color w:val="1F1A17"/>
        </w:rPr>
        <w:t>Tihansky</w:t>
      </w:r>
      <w:proofErr w:type="spellEnd"/>
      <w:r>
        <w:rPr>
          <w:rFonts w:cs="TimesNewRoman"/>
          <w:color w:val="1F1A17"/>
        </w:rPr>
        <w:t xml:space="preserve">, A.B. 2002. Tidal and meteorological influences on shallow marine groundwater flow in the Upper Florida Keys. In: Porter, J.W., Porter, K.G. (Eds.), </w:t>
      </w:r>
      <w:proofErr w:type="gramStart"/>
      <w:r>
        <w:rPr>
          <w:rFonts w:cs="TimesNewRoman"/>
          <w:color w:val="1F1A17"/>
        </w:rPr>
        <w:t>The</w:t>
      </w:r>
      <w:proofErr w:type="gramEnd"/>
      <w:r>
        <w:rPr>
          <w:rFonts w:cs="TimesNewRoman"/>
          <w:color w:val="1F1A17"/>
        </w:rPr>
        <w:t xml:space="preserve"> Everglades, Florida Bay and Coral Reefs of the Florida Keys. CRC Press, Boca Raton, pp. 659-676.</w:t>
      </w:r>
    </w:p>
    <w:p w:rsidR="00883CE0" w:rsidRDefault="00883CE0" w:rsidP="009D1F25">
      <w:pPr>
        <w:autoSpaceDE w:val="0"/>
        <w:autoSpaceDN w:val="0"/>
        <w:adjustRightInd w:val="0"/>
        <w:spacing w:after="120"/>
        <w:ind w:left="720" w:hanging="720"/>
        <w:rPr>
          <w:rFonts w:cs="TimesNewRoman"/>
          <w:color w:val="1F1A17"/>
        </w:rPr>
      </w:pPr>
      <w:proofErr w:type="gramStart"/>
      <w:r>
        <w:rPr>
          <w:rFonts w:cs="TimesNewRoman"/>
          <w:color w:val="1F1A17"/>
        </w:rPr>
        <w:t xml:space="preserve">Smith, T.B., Purcell, J., </w:t>
      </w:r>
      <w:proofErr w:type="spellStart"/>
      <w:r>
        <w:rPr>
          <w:rFonts w:cs="TimesNewRoman"/>
          <w:color w:val="1F1A17"/>
        </w:rPr>
        <w:t>Barimo</w:t>
      </w:r>
      <w:proofErr w:type="spellEnd"/>
      <w:r>
        <w:rPr>
          <w:rFonts w:cs="TimesNewRoman"/>
          <w:color w:val="1F1A17"/>
        </w:rPr>
        <w:t>, J.F. 2007.</w:t>
      </w:r>
      <w:proofErr w:type="gramEnd"/>
      <w:r>
        <w:rPr>
          <w:rFonts w:cs="TimesNewRoman"/>
          <w:color w:val="1F1A17"/>
        </w:rPr>
        <w:t xml:space="preserve"> The rocky intertidal biota of the Florida Keys: Fifty-two years of change after Stephenson and Stephenson (1950). Bulletin of Marine Science 80(1): 1-19 </w:t>
      </w:r>
    </w:p>
    <w:p w:rsidR="00883CE0" w:rsidRDefault="00883CE0" w:rsidP="009D1F25">
      <w:pPr>
        <w:autoSpaceDE w:val="0"/>
        <w:autoSpaceDN w:val="0"/>
        <w:adjustRightInd w:val="0"/>
        <w:spacing w:after="120"/>
        <w:ind w:left="720" w:hanging="720"/>
        <w:rPr>
          <w:rFonts w:cs="TimesNewRoman"/>
          <w:color w:val="1F1A17"/>
        </w:rPr>
      </w:pPr>
      <w:r>
        <w:rPr>
          <w:rFonts w:cs="TimesNewRoman"/>
          <w:color w:val="1F1A17"/>
        </w:rPr>
        <w:lastRenderedPageBreak/>
        <w:t>Swart, P.K., Saied, A., Lamb, K. 2005. Temporal and spatial variation in the δ</w:t>
      </w:r>
      <w:r>
        <w:rPr>
          <w:rFonts w:cs="TimesNewRoman"/>
          <w:color w:val="1F1A17"/>
          <w:vertAlign w:val="superscript"/>
        </w:rPr>
        <w:t>15</w:t>
      </w:r>
      <w:r>
        <w:rPr>
          <w:rFonts w:cs="TimesNewRoman"/>
          <w:color w:val="1F1A17"/>
        </w:rPr>
        <w:t>N and δ</w:t>
      </w:r>
      <w:r>
        <w:rPr>
          <w:rFonts w:cs="TimesNewRoman"/>
          <w:color w:val="1F1A17"/>
          <w:vertAlign w:val="superscript"/>
        </w:rPr>
        <w:t>13</w:t>
      </w:r>
      <w:r>
        <w:rPr>
          <w:rFonts w:cs="TimesNewRoman"/>
          <w:color w:val="1F1A17"/>
        </w:rPr>
        <w:t xml:space="preserve">C of coral tissue and </w:t>
      </w:r>
      <w:proofErr w:type="spellStart"/>
      <w:r>
        <w:rPr>
          <w:rFonts w:cs="TimesNewRoman"/>
          <w:color w:val="1F1A17"/>
        </w:rPr>
        <w:t>zooxanthellae</w:t>
      </w:r>
      <w:proofErr w:type="spellEnd"/>
      <w:r>
        <w:rPr>
          <w:rFonts w:cs="TimesNewRoman"/>
          <w:color w:val="1F1A17"/>
        </w:rPr>
        <w:t xml:space="preserve"> in </w:t>
      </w:r>
      <w:proofErr w:type="spellStart"/>
      <w:r w:rsidRPr="000F5343">
        <w:rPr>
          <w:rFonts w:cs="TimesNewRoman"/>
          <w:i/>
          <w:color w:val="1F1A17"/>
        </w:rPr>
        <w:t>Montastraea</w:t>
      </w:r>
      <w:proofErr w:type="spellEnd"/>
      <w:r w:rsidRPr="000F5343">
        <w:rPr>
          <w:rFonts w:cs="TimesNewRoman"/>
          <w:i/>
          <w:color w:val="1F1A17"/>
        </w:rPr>
        <w:t xml:space="preserve"> </w:t>
      </w:r>
      <w:proofErr w:type="spellStart"/>
      <w:r w:rsidRPr="000F5343">
        <w:rPr>
          <w:rFonts w:cs="TimesNewRoman"/>
          <w:i/>
          <w:color w:val="1F1A17"/>
        </w:rPr>
        <w:t>faveolata</w:t>
      </w:r>
      <w:proofErr w:type="spellEnd"/>
      <w:r>
        <w:rPr>
          <w:rFonts w:cs="TimesNewRoman"/>
          <w:color w:val="1F1A17"/>
        </w:rPr>
        <w:t xml:space="preserve"> collected from the Florida reef tract. Limnology and Oceanography 50(4): 1049-1058</w:t>
      </w:r>
    </w:p>
    <w:p w:rsidR="00883CE0" w:rsidRDefault="00883CE0" w:rsidP="009D1F25">
      <w:pPr>
        <w:autoSpaceDE w:val="0"/>
        <w:autoSpaceDN w:val="0"/>
        <w:adjustRightInd w:val="0"/>
        <w:spacing w:after="120"/>
        <w:ind w:left="720" w:hanging="720"/>
        <w:rPr>
          <w:rFonts w:cs="TimesNewRoman"/>
          <w:color w:val="1F1A17"/>
        </w:rPr>
      </w:pPr>
      <w:proofErr w:type="spellStart"/>
      <w:r>
        <w:rPr>
          <w:rFonts w:cs="TimesNewRoman"/>
          <w:color w:val="1F1A17"/>
        </w:rPr>
        <w:t>Szmant</w:t>
      </w:r>
      <w:proofErr w:type="spellEnd"/>
      <w:r>
        <w:rPr>
          <w:rFonts w:cs="TimesNewRoman"/>
          <w:color w:val="1F1A17"/>
        </w:rPr>
        <w:t>, A.M. 2002. Nutrient enrichment on coral reefs: Is it a major cause of coral reef decline? Estuaries 25(4): 743-766.</w:t>
      </w:r>
    </w:p>
    <w:p w:rsidR="00883CE0" w:rsidRPr="000F5343" w:rsidRDefault="00883CE0" w:rsidP="009D1F25">
      <w:pPr>
        <w:autoSpaceDE w:val="0"/>
        <w:autoSpaceDN w:val="0"/>
        <w:adjustRightInd w:val="0"/>
        <w:spacing w:after="120"/>
        <w:ind w:left="720" w:hanging="720"/>
        <w:rPr>
          <w:rFonts w:cs="TimesNewRoman"/>
          <w:color w:val="1F1A17"/>
        </w:rPr>
      </w:pPr>
      <w:proofErr w:type="spellStart"/>
      <w:r>
        <w:rPr>
          <w:rFonts w:cs="TimesNewRoman"/>
          <w:color w:val="1F1A17"/>
        </w:rPr>
        <w:t>Tomasko</w:t>
      </w:r>
      <w:proofErr w:type="spellEnd"/>
      <w:r>
        <w:rPr>
          <w:rFonts w:cs="TimesNewRoman"/>
          <w:color w:val="1F1A17"/>
        </w:rPr>
        <w:t xml:space="preserve">, D.A., and Lapointe, B.E. 1991. Productivity and biomass of </w:t>
      </w:r>
      <w:proofErr w:type="spellStart"/>
      <w:r w:rsidRPr="00D25259">
        <w:rPr>
          <w:rFonts w:cs="TimesNewRoman"/>
          <w:i/>
          <w:color w:val="1F1A17"/>
        </w:rPr>
        <w:t>Thalassia</w:t>
      </w:r>
      <w:proofErr w:type="spellEnd"/>
      <w:r w:rsidRPr="00D25259">
        <w:rPr>
          <w:rFonts w:cs="TimesNewRoman"/>
          <w:i/>
          <w:color w:val="1F1A17"/>
        </w:rPr>
        <w:t xml:space="preserve"> </w:t>
      </w:r>
      <w:proofErr w:type="spellStart"/>
      <w:r w:rsidRPr="00D25259">
        <w:rPr>
          <w:rFonts w:cs="TimesNewRoman"/>
          <w:i/>
          <w:color w:val="1F1A17"/>
        </w:rPr>
        <w:t>testudinum</w:t>
      </w:r>
      <w:proofErr w:type="spellEnd"/>
      <w:r>
        <w:rPr>
          <w:rFonts w:cs="TimesNewRoman"/>
          <w:color w:val="1F1A17"/>
        </w:rPr>
        <w:t xml:space="preserve"> as related to water column nutrient availability and epiphyte levels: field observations and experimental studies. Marine Ecology Progress Series 75: 9-17.</w:t>
      </w:r>
    </w:p>
    <w:sectPr w:rsidR="00883CE0" w:rsidRPr="000F5343" w:rsidSect="00CD2D6D">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D005E" w:rsidRDefault="001D005E" w:rsidP="000002B6">
      <w:pPr>
        <w:spacing w:after="0" w:line="240" w:lineRule="auto"/>
      </w:pPr>
      <w:r>
        <w:separator/>
      </w:r>
    </w:p>
  </w:endnote>
  <w:endnote w:type="continuationSeparator" w:id="1">
    <w:p w:rsidR="001D005E" w:rsidRDefault="001D005E" w:rsidP="000002B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imesNewRomanPSMT">
    <w:panose1 w:val="00000000000000000000"/>
    <w:charset w:val="00"/>
    <w:family w:val="roman"/>
    <w:notTrueType/>
    <w:pitch w:val="default"/>
    <w:sig w:usb0="00000003" w:usb1="00000000" w:usb2="00000000" w:usb3="00000000" w:csb0="00000001" w:csb1="00000000"/>
  </w:font>
  <w:font w:name="TimesNewRoman">
    <w:panose1 w:val="00000000000000000000"/>
    <w:charset w:val="00"/>
    <w:family w:val="auto"/>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005E" w:rsidRDefault="001D005E">
    <w:pPr>
      <w:pStyle w:val="Footer"/>
    </w:pPr>
    <w:r w:rsidRPr="00B074F7">
      <w:rPr>
        <w:sz w:val="20"/>
        <w:szCs w:val="20"/>
      </w:rPr>
      <w:t>Draft</w:t>
    </w:r>
    <w:r>
      <w:ptab w:relativeTo="margin" w:alignment="center" w:leader="none"/>
    </w:r>
    <w:fldSimple w:instr=" PAGE   \* MERGEFORMAT ">
      <w:r w:rsidR="00FA5D8D">
        <w:rPr>
          <w:noProof/>
        </w:rPr>
        <w:t>4</w:t>
      </w:r>
    </w:fldSimple>
    <w:r w:rsidRPr="00B074F7">
      <w:rPr>
        <w:sz w:val="20"/>
        <w:szCs w:val="20"/>
      </w:rPr>
      <w:ptab w:relativeTo="margin" w:alignment="right" w:leader="none"/>
    </w:r>
    <w:r w:rsidRPr="00B074F7">
      <w:rPr>
        <w:sz w:val="20"/>
        <w:szCs w:val="20"/>
      </w:rPr>
      <w:t>June 2010</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D005E" w:rsidRDefault="001D005E" w:rsidP="000002B6">
      <w:pPr>
        <w:spacing w:after="0" w:line="240" w:lineRule="auto"/>
      </w:pPr>
      <w:r>
        <w:separator/>
      </w:r>
    </w:p>
  </w:footnote>
  <w:footnote w:type="continuationSeparator" w:id="1">
    <w:p w:rsidR="001D005E" w:rsidRDefault="001D005E" w:rsidP="000002B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005E" w:rsidRPr="001B6702" w:rsidRDefault="001D005E">
    <w:pPr>
      <w:pStyle w:val="Header"/>
      <w:rPr>
        <w:sz w:val="20"/>
        <w:szCs w:val="20"/>
      </w:rPr>
    </w:pPr>
    <w:r w:rsidRPr="001B6702">
      <w:rPr>
        <w:sz w:val="20"/>
        <w:szCs w:val="20"/>
      </w:rPr>
      <w:t>Nutrient Criteria Technical Support Document</w:t>
    </w:r>
    <w:r w:rsidRPr="001B6702">
      <w:rPr>
        <w:sz w:val="20"/>
        <w:szCs w:val="20"/>
      </w:rPr>
      <w:ptab w:relativeTo="margin" w:alignment="center" w:leader="none"/>
    </w:r>
    <w:r w:rsidRPr="001B6702">
      <w:rPr>
        <w:sz w:val="20"/>
        <w:szCs w:val="20"/>
      </w:rPr>
      <w:ptab w:relativeTo="margin" w:alignment="right" w:leader="none"/>
    </w:r>
    <w:r w:rsidRPr="001B6702">
      <w:rPr>
        <w:sz w:val="20"/>
        <w:szCs w:val="20"/>
      </w:rPr>
      <w:t>Florida Keys</w:t>
    </w:r>
    <w:sdt>
      <w:sdtPr>
        <w:rPr>
          <w:sz w:val="20"/>
          <w:szCs w:val="20"/>
        </w:rPr>
        <w:id w:val="3223219"/>
        <w:docPartObj>
          <w:docPartGallery w:val="Watermarks"/>
          <w:docPartUnique/>
        </w:docPartObj>
      </w:sdtPr>
      <w:sdtContent>
        <w:r>
          <w:rPr>
            <w:noProof/>
            <w:sz w:val="20"/>
            <w:szCs w:val="20"/>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508C0"/>
    <w:multiLevelType w:val="hybridMultilevel"/>
    <w:tmpl w:val="D188E5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48A476B"/>
    <w:multiLevelType w:val="hybridMultilevel"/>
    <w:tmpl w:val="35CC3B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0CA49CB"/>
    <w:multiLevelType w:val="hybridMultilevel"/>
    <w:tmpl w:val="7B363C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B4F6F27"/>
    <w:multiLevelType w:val="hybridMultilevel"/>
    <w:tmpl w:val="F56A986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0CF6632"/>
    <w:multiLevelType w:val="hybridMultilevel"/>
    <w:tmpl w:val="33F499D6"/>
    <w:lvl w:ilvl="0" w:tplc="04090001">
      <w:start w:val="1"/>
      <w:numFmt w:val="bullet"/>
      <w:lvlText w:val=""/>
      <w:lvlJc w:val="left"/>
      <w:pPr>
        <w:ind w:left="765" w:hanging="360"/>
      </w:pPr>
      <w:rPr>
        <w:rFonts w:ascii="Symbol" w:hAnsi="Symbol" w:hint="default"/>
      </w:rPr>
    </w:lvl>
    <w:lvl w:ilvl="1" w:tplc="04090003">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5">
    <w:nsid w:val="27244EA1"/>
    <w:multiLevelType w:val="hybridMultilevel"/>
    <w:tmpl w:val="9DBE2B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7087227"/>
    <w:multiLevelType w:val="hybridMultilevel"/>
    <w:tmpl w:val="0F7C7F96"/>
    <w:lvl w:ilvl="0" w:tplc="834443EA">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8B064FD"/>
    <w:multiLevelType w:val="hybridMultilevel"/>
    <w:tmpl w:val="19DA3A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AF63FBF"/>
    <w:multiLevelType w:val="hybridMultilevel"/>
    <w:tmpl w:val="9AC62D98"/>
    <w:lvl w:ilvl="0" w:tplc="834443EA">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7414A18"/>
    <w:multiLevelType w:val="hybridMultilevel"/>
    <w:tmpl w:val="6DDCF9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A50201E"/>
    <w:multiLevelType w:val="hybridMultilevel"/>
    <w:tmpl w:val="43F45212"/>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1B2737F"/>
    <w:multiLevelType w:val="multilevel"/>
    <w:tmpl w:val="62722A64"/>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nsid w:val="543D5EA4"/>
    <w:multiLevelType w:val="multilevel"/>
    <w:tmpl w:val="62722A64"/>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nsid w:val="55E032DF"/>
    <w:multiLevelType w:val="hybridMultilevel"/>
    <w:tmpl w:val="B22AA8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9E209AB"/>
    <w:multiLevelType w:val="multilevel"/>
    <w:tmpl w:val="0F6C25BE"/>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nsid w:val="5B4351D9"/>
    <w:multiLevelType w:val="hybridMultilevel"/>
    <w:tmpl w:val="9730A7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0C24530"/>
    <w:multiLevelType w:val="hybridMultilevel"/>
    <w:tmpl w:val="9A0C2FA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618272BB"/>
    <w:multiLevelType w:val="hybridMultilevel"/>
    <w:tmpl w:val="9EF6DE7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32418C6"/>
    <w:multiLevelType w:val="hybridMultilevel"/>
    <w:tmpl w:val="437A2614"/>
    <w:lvl w:ilvl="0" w:tplc="834443EA">
      <w:start w:val="1"/>
      <w:numFmt w:val="bullet"/>
      <w:lvlText w:val="o"/>
      <w:lvlJc w:val="left"/>
      <w:pPr>
        <w:ind w:left="1440" w:hanging="360"/>
      </w:pPr>
      <w:rPr>
        <w:rFonts w:ascii="Courier New" w:hAnsi="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6081D64"/>
    <w:multiLevelType w:val="hybridMultilevel"/>
    <w:tmpl w:val="6B200D50"/>
    <w:lvl w:ilvl="0" w:tplc="0409000F">
      <w:start w:val="1"/>
      <w:numFmt w:val="decimal"/>
      <w:lvlText w:val="%1."/>
      <w:lvlJc w:val="left"/>
      <w:pPr>
        <w:tabs>
          <w:tab w:val="num" w:pos="720"/>
        </w:tabs>
        <w:ind w:left="720" w:hanging="360"/>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6C3C0C08"/>
    <w:multiLevelType w:val="hybridMultilevel"/>
    <w:tmpl w:val="A3E880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100605B"/>
    <w:multiLevelType w:val="multilevel"/>
    <w:tmpl w:val="879A7E5A"/>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2">
    <w:nsid w:val="71C316B3"/>
    <w:multiLevelType w:val="hybridMultilevel"/>
    <w:tmpl w:val="C85E76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3944339"/>
    <w:multiLevelType w:val="hybridMultilevel"/>
    <w:tmpl w:val="36DE36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8983D0E"/>
    <w:multiLevelType w:val="hybridMultilevel"/>
    <w:tmpl w:val="E25C8C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D923033"/>
    <w:multiLevelType w:val="hybridMultilevel"/>
    <w:tmpl w:val="8594F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DB5506A"/>
    <w:multiLevelType w:val="hybridMultilevel"/>
    <w:tmpl w:val="FF6EBA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0"/>
  </w:num>
  <w:num w:numId="2">
    <w:abstractNumId w:val="22"/>
  </w:num>
  <w:num w:numId="3">
    <w:abstractNumId w:val="16"/>
  </w:num>
  <w:num w:numId="4">
    <w:abstractNumId w:val="0"/>
  </w:num>
  <w:num w:numId="5">
    <w:abstractNumId w:val="4"/>
  </w:num>
  <w:num w:numId="6">
    <w:abstractNumId w:val="7"/>
  </w:num>
  <w:num w:numId="7">
    <w:abstractNumId w:val="25"/>
  </w:num>
  <w:num w:numId="8">
    <w:abstractNumId w:val="13"/>
  </w:num>
  <w:num w:numId="9">
    <w:abstractNumId w:val="15"/>
  </w:num>
  <w:num w:numId="10">
    <w:abstractNumId w:val="19"/>
  </w:num>
  <w:num w:numId="11">
    <w:abstractNumId w:val="9"/>
  </w:num>
  <w:num w:numId="12">
    <w:abstractNumId w:val="5"/>
  </w:num>
  <w:num w:numId="13">
    <w:abstractNumId w:val="23"/>
  </w:num>
  <w:num w:numId="14">
    <w:abstractNumId w:val="1"/>
  </w:num>
  <w:num w:numId="15">
    <w:abstractNumId w:val="2"/>
  </w:num>
  <w:num w:numId="16">
    <w:abstractNumId w:val="17"/>
  </w:num>
  <w:num w:numId="17">
    <w:abstractNumId w:val="11"/>
  </w:num>
  <w:num w:numId="18">
    <w:abstractNumId w:val="12"/>
  </w:num>
  <w:num w:numId="19">
    <w:abstractNumId w:val="14"/>
  </w:num>
  <w:num w:numId="20">
    <w:abstractNumId w:val="10"/>
  </w:num>
  <w:num w:numId="21">
    <w:abstractNumId w:val="18"/>
  </w:num>
  <w:num w:numId="22">
    <w:abstractNumId w:val="8"/>
  </w:num>
  <w:num w:numId="23">
    <w:abstractNumId w:val="6"/>
  </w:num>
  <w:num w:numId="24">
    <w:abstractNumId w:val="3"/>
  </w:num>
  <w:num w:numId="25">
    <w:abstractNumId w:val="21"/>
  </w:num>
  <w:num w:numId="26">
    <w:abstractNumId w:val="26"/>
  </w:num>
  <w:num w:numId="27">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2"/>
    </o:shapelayout>
  </w:hdrShapeDefaults>
  <w:footnotePr>
    <w:footnote w:id="0"/>
    <w:footnote w:id="1"/>
  </w:footnotePr>
  <w:endnotePr>
    <w:endnote w:id="0"/>
    <w:endnote w:id="1"/>
  </w:endnotePr>
  <w:compat/>
  <w:rsids>
    <w:rsidRoot w:val="000A2FF2"/>
    <w:rsid w:val="000002B6"/>
    <w:rsid w:val="00000637"/>
    <w:rsid w:val="000047CB"/>
    <w:rsid w:val="00006A85"/>
    <w:rsid w:val="0000744C"/>
    <w:rsid w:val="0001470C"/>
    <w:rsid w:val="00015036"/>
    <w:rsid w:val="00020826"/>
    <w:rsid w:val="00041007"/>
    <w:rsid w:val="00047566"/>
    <w:rsid w:val="00061AFE"/>
    <w:rsid w:val="000622FC"/>
    <w:rsid w:val="000664F0"/>
    <w:rsid w:val="0007392F"/>
    <w:rsid w:val="0007577F"/>
    <w:rsid w:val="00086515"/>
    <w:rsid w:val="0008655B"/>
    <w:rsid w:val="000916B0"/>
    <w:rsid w:val="00097152"/>
    <w:rsid w:val="00097D3C"/>
    <w:rsid w:val="000A2FF2"/>
    <w:rsid w:val="000A77C4"/>
    <w:rsid w:val="000C739D"/>
    <w:rsid w:val="000C73B2"/>
    <w:rsid w:val="000D2729"/>
    <w:rsid w:val="000D6F1A"/>
    <w:rsid w:val="000E68B3"/>
    <w:rsid w:val="000F5343"/>
    <w:rsid w:val="000F6771"/>
    <w:rsid w:val="00100237"/>
    <w:rsid w:val="00112673"/>
    <w:rsid w:val="00112C9E"/>
    <w:rsid w:val="00113D0B"/>
    <w:rsid w:val="001206EE"/>
    <w:rsid w:val="001274FE"/>
    <w:rsid w:val="001359EE"/>
    <w:rsid w:val="00137168"/>
    <w:rsid w:val="001374EE"/>
    <w:rsid w:val="001378FB"/>
    <w:rsid w:val="00137E6D"/>
    <w:rsid w:val="00140E80"/>
    <w:rsid w:val="00141096"/>
    <w:rsid w:val="00145C1B"/>
    <w:rsid w:val="0015387F"/>
    <w:rsid w:val="00154179"/>
    <w:rsid w:val="0016158D"/>
    <w:rsid w:val="00164EA0"/>
    <w:rsid w:val="0016762D"/>
    <w:rsid w:val="001729D6"/>
    <w:rsid w:val="00174CAA"/>
    <w:rsid w:val="00177D7B"/>
    <w:rsid w:val="00186B6D"/>
    <w:rsid w:val="001935AC"/>
    <w:rsid w:val="001A0E3E"/>
    <w:rsid w:val="001A6B23"/>
    <w:rsid w:val="001B2B99"/>
    <w:rsid w:val="001B5E36"/>
    <w:rsid w:val="001B6519"/>
    <w:rsid w:val="001B6702"/>
    <w:rsid w:val="001C501F"/>
    <w:rsid w:val="001D005E"/>
    <w:rsid w:val="001D1795"/>
    <w:rsid w:val="001D3AE6"/>
    <w:rsid w:val="001D3CFD"/>
    <w:rsid w:val="001D4B55"/>
    <w:rsid w:val="001D6036"/>
    <w:rsid w:val="001D6B68"/>
    <w:rsid w:val="001D6DE3"/>
    <w:rsid w:val="001D75F0"/>
    <w:rsid w:val="001E175D"/>
    <w:rsid w:val="001E4FFB"/>
    <w:rsid w:val="001E51EF"/>
    <w:rsid w:val="001F0303"/>
    <w:rsid w:val="002041A9"/>
    <w:rsid w:val="0020554E"/>
    <w:rsid w:val="00206F6B"/>
    <w:rsid w:val="00210E66"/>
    <w:rsid w:val="00211ABD"/>
    <w:rsid w:val="00213BC4"/>
    <w:rsid w:val="00213FFF"/>
    <w:rsid w:val="00214020"/>
    <w:rsid w:val="002261AA"/>
    <w:rsid w:val="00227586"/>
    <w:rsid w:val="00232C69"/>
    <w:rsid w:val="00240B7A"/>
    <w:rsid w:val="00241A17"/>
    <w:rsid w:val="00246553"/>
    <w:rsid w:val="00251778"/>
    <w:rsid w:val="0026001F"/>
    <w:rsid w:val="00262C64"/>
    <w:rsid w:val="00262FCF"/>
    <w:rsid w:val="00263BFA"/>
    <w:rsid w:val="00265330"/>
    <w:rsid w:val="002708E9"/>
    <w:rsid w:val="002741E4"/>
    <w:rsid w:val="0027730B"/>
    <w:rsid w:val="00286F6F"/>
    <w:rsid w:val="0028749B"/>
    <w:rsid w:val="00294DA4"/>
    <w:rsid w:val="00296B1A"/>
    <w:rsid w:val="002A4651"/>
    <w:rsid w:val="002A6663"/>
    <w:rsid w:val="002A73DC"/>
    <w:rsid w:val="002B4B70"/>
    <w:rsid w:val="002B7EBD"/>
    <w:rsid w:val="002C4C48"/>
    <w:rsid w:val="002D0CBA"/>
    <w:rsid w:val="002D4B2C"/>
    <w:rsid w:val="002D584C"/>
    <w:rsid w:val="002E116B"/>
    <w:rsid w:val="002E23ED"/>
    <w:rsid w:val="002F3676"/>
    <w:rsid w:val="003002E2"/>
    <w:rsid w:val="003121D2"/>
    <w:rsid w:val="0031476E"/>
    <w:rsid w:val="0032309D"/>
    <w:rsid w:val="00323E40"/>
    <w:rsid w:val="00325FED"/>
    <w:rsid w:val="0033321B"/>
    <w:rsid w:val="00334DF3"/>
    <w:rsid w:val="00336C5C"/>
    <w:rsid w:val="00337A83"/>
    <w:rsid w:val="0034211F"/>
    <w:rsid w:val="00343E4F"/>
    <w:rsid w:val="00351346"/>
    <w:rsid w:val="003628D0"/>
    <w:rsid w:val="00365923"/>
    <w:rsid w:val="0036734C"/>
    <w:rsid w:val="00370815"/>
    <w:rsid w:val="00371E04"/>
    <w:rsid w:val="003722FE"/>
    <w:rsid w:val="00373C3C"/>
    <w:rsid w:val="00375F46"/>
    <w:rsid w:val="003776DF"/>
    <w:rsid w:val="00383BDA"/>
    <w:rsid w:val="003A06DF"/>
    <w:rsid w:val="003A5E99"/>
    <w:rsid w:val="003B2097"/>
    <w:rsid w:val="003B6F6E"/>
    <w:rsid w:val="003C5611"/>
    <w:rsid w:val="003C68C0"/>
    <w:rsid w:val="003D4BAE"/>
    <w:rsid w:val="003D59B9"/>
    <w:rsid w:val="003E7C1F"/>
    <w:rsid w:val="003F5D6B"/>
    <w:rsid w:val="00402039"/>
    <w:rsid w:val="00406C0B"/>
    <w:rsid w:val="00406EE4"/>
    <w:rsid w:val="0041215E"/>
    <w:rsid w:val="004121F1"/>
    <w:rsid w:val="004420A2"/>
    <w:rsid w:val="004605D1"/>
    <w:rsid w:val="00470719"/>
    <w:rsid w:val="00494C0B"/>
    <w:rsid w:val="004966C8"/>
    <w:rsid w:val="004A0DC7"/>
    <w:rsid w:val="004B71AF"/>
    <w:rsid w:val="004C0204"/>
    <w:rsid w:val="004C1FC9"/>
    <w:rsid w:val="004D217D"/>
    <w:rsid w:val="004D22B1"/>
    <w:rsid w:val="004D30BB"/>
    <w:rsid w:val="004D7A9C"/>
    <w:rsid w:val="004E1B8B"/>
    <w:rsid w:val="004E49E5"/>
    <w:rsid w:val="004F3331"/>
    <w:rsid w:val="004F52DA"/>
    <w:rsid w:val="004F6403"/>
    <w:rsid w:val="004F74DA"/>
    <w:rsid w:val="0050102E"/>
    <w:rsid w:val="00501752"/>
    <w:rsid w:val="005119C6"/>
    <w:rsid w:val="00515164"/>
    <w:rsid w:val="0051745A"/>
    <w:rsid w:val="0052035F"/>
    <w:rsid w:val="00520395"/>
    <w:rsid w:val="00522EA3"/>
    <w:rsid w:val="0053182E"/>
    <w:rsid w:val="005338AE"/>
    <w:rsid w:val="00535B65"/>
    <w:rsid w:val="00542ECA"/>
    <w:rsid w:val="005438DB"/>
    <w:rsid w:val="0054530A"/>
    <w:rsid w:val="00553A0F"/>
    <w:rsid w:val="00557E00"/>
    <w:rsid w:val="00564015"/>
    <w:rsid w:val="00577BF5"/>
    <w:rsid w:val="0059196A"/>
    <w:rsid w:val="00595DA4"/>
    <w:rsid w:val="0059664D"/>
    <w:rsid w:val="005A03E7"/>
    <w:rsid w:val="005A692C"/>
    <w:rsid w:val="005A6BEA"/>
    <w:rsid w:val="005B1AAD"/>
    <w:rsid w:val="005B730A"/>
    <w:rsid w:val="005C2332"/>
    <w:rsid w:val="005C4DDC"/>
    <w:rsid w:val="005D14B3"/>
    <w:rsid w:val="005D6B2A"/>
    <w:rsid w:val="005E0D61"/>
    <w:rsid w:val="005E5EE7"/>
    <w:rsid w:val="005E68DD"/>
    <w:rsid w:val="005F024D"/>
    <w:rsid w:val="005F2C1B"/>
    <w:rsid w:val="006078E4"/>
    <w:rsid w:val="006141A0"/>
    <w:rsid w:val="006145F4"/>
    <w:rsid w:val="00616AB8"/>
    <w:rsid w:val="00616E27"/>
    <w:rsid w:val="0061784D"/>
    <w:rsid w:val="006210C5"/>
    <w:rsid w:val="00632AEB"/>
    <w:rsid w:val="00642E62"/>
    <w:rsid w:val="00645D1D"/>
    <w:rsid w:val="00652276"/>
    <w:rsid w:val="00661F28"/>
    <w:rsid w:val="00664113"/>
    <w:rsid w:val="00673941"/>
    <w:rsid w:val="006759E7"/>
    <w:rsid w:val="00677429"/>
    <w:rsid w:val="0068147A"/>
    <w:rsid w:val="0068546E"/>
    <w:rsid w:val="0068639C"/>
    <w:rsid w:val="00690E07"/>
    <w:rsid w:val="006927F9"/>
    <w:rsid w:val="006A12B9"/>
    <w:rsid w:val="006A702C"/>
    <w:rsid w:val="006B2441"/>
    <w:rsid w:val="006C66A8"/>
    <w:rsid w:val="006D12D5"/>
    <w:rsid w:val="006D3C4B"/>
    <w:rsid w:val="006E0BE5"/>
    <w:rsid w:val="006E3EF9"/>
    <w:rsid w:val="006E4E46"/>
    <w:rsid w:val="006E6034"/>
    <w:rsid w:val="006F6128"/>
    <w:rsid w:val="006F6B4F"/>
    <w:rsid w:val="00705125"/>
    <w:rsid w:val="0071484F"/>
    <w:rsid w:val="00715FD0"/>
    <w:rsid w:val="007209DA"/>
    <w:rsid w:val="00720C10"/>
    <w:rsid w:val="00724691"/>
    <w:rsid w:val="00730042"/>
    <w:rsid w:val="00733792"/>
    <w:rsid w:val="00745D7F"/>
    <w:rsid w:val="007532E7"/>
    <w:rsid w:val="00757D89"/>
    <w:rsid w:val="00760474"/>
    <w:rsid w:val="0077153F"/>
    <w:rsid w:val="0077682C"/>
    <w:rsid w:val="0078026A"/>
    <w:rsid w:val="0078397D"/>
    <w:rsid w:val="007855E3"/>
    <w:rsid w:val="007933F4"/>
    <w:rsid w:val="007A7BF5"/>
    <w:rsid w:val="007B412B"/>
    <w:rsid w:val="007B57B8"/>
    <w:rsid w:val="007C60C1"/>
    <w:rsid w:val="007C7A20"/>
    <w:rsid w:val="007D1F03"/>
    <w:rsid w:val="007D6800"/>
    <w:rsid w:val="007D72E5"/>
    <w:rsid w:val="007E2405"/>
    <w:rsid w:val="007E31A0"/>
    <w:rsid w:val="007E4444"/>
    <w:rsid w:val="007F3E05"/>
    <w:rsid w:val="00804438"/>
    <w:rsid w:val="00807BBA"/>
    <w:rsid w:val="008124A5"/>
    <w:rsid w:val="00813268"/>
    <w:rsid w:val="008358B4"/>
    <w:rsid w:val="00836E63"/>
    <w:rsid w:val="0084549C"/>
    <w:rsid w:val="00845534"/>
    <w:rsid w:val="00851123"/>
    <w:rsid w:val="00861AE9"/>
    <w:rsid w:val="00863F9C"/>
    <w:rsid w:val="00866029"/>
    <w:rsid w:val="00876EA3"/>
    <w:rsid w:val="00883CE0"/>
    <w:rsid w:val="00884E5A"/>
    <w:rsid w:val="00890950"/>
    <w:rsid w:val="008A504C"/>
    <w:rsid w:val="008B78DA"/>
    <w:rsid w:val="008C238F"/>
    <w:rsid w:val="008C4FF9"/>
    <w:rsid w:val="008C632D"/>
    <w:rsid w:val="008C7E44"/>
    <w:rsid w:val="008D00CC"/>
    <w:rsid w:val="008D3BFC"/>
    <w:rsid w:val="008D5150"/>
    <w:rsid w:val="008D5A5E"/>
    <w:rsid w:val="008D6DB2"/>
    <w:rsid w:val="008E7B98"/>
    <w:rsid w:val="008F285D"/>
    <w:rsid w:val="00905F98"/>
    <w:rsid w:val="00911C7E"/>
    <w:rsid w:val="00912C92"/>
    <w:rsid w:val="009143E3"/>
    <w:rsid w:val="00917E15"/>
    <w:rsid w:val="0093172C"/>
    <w:rsid w:val="00941DF5"/>
    <w:rsid w:val="00943037"/>
    <w:rsid w:val="00945E08"/>
    <w:rsid w:val="0094651A"/>
    <w:rsid w:val="00953A80"/>
    <w:rsid w:val="00953BDB"/>
    <w:rsid w:val="00957C15"/>
    <w:rsid w:val="00960155"/>
    <w:rsid w:val="0096163D"/>
    <w:rsid w:val="00972739"/>
    <w:rsid w:val="00976514"/>
    <w:rsid w:val="00977709"/>
    <w:rsid w:val="00977CE4"/>
    <w:rsid w:val="009940B3"/>
    <w:rsid w:val="0099641F"/>
    <w:rsid w:val="009972B4"/>
    <w:rsid w:val="009A1F27"/>
    <w:rsid w:val="009B6E60"/>
    <w:rsid w:val="009C4CBC"/>
    <w:rsid w:val="009C66FE"/>
    <w:rsid w:val="009C7432"/>
    <w:rsid w:val="009D0B90"/>
    <w:rsid w:val="009D1F25"/>
    <w:rsid w:val="009D65C8"/>
    <w:rsid w:val="009E1633"/>
    <w:rsid w:val="009E1FF5"/>
    <w:rsid w:val="009E3721"/>
    <w:rsid w:val="009E7245"/>
    <w:rsid w:val="009E7E35"/>
    <w:rsid w:val="009E7F90"/>
    <w:rsid w:val="009F242C"/>
    <w:rsid w:val="009F47EF"/>
    <w:rsid w:val="009F5B70"/>
    <w:rsid w:val="009F5EEC"/>
    <w:rsid w:val="009F7B78"/>
    <w:rsid w:val="00A02F6C"/>
    <w:rsid w:val="00A032EA"/>
    <w:rsid w:val="00A04331"/>
    <w:rsid w:val="00A06778"/>
    <w:rsid w:val="00A16041"/>
    <w:rsid w:val="00A236B6"/>
    <w:rsid w:val="00A24138"/>
    <w:rsid w:val="00A4237F"/>
    <w:rsid w:val="00A564D7"/>
    <w:rsid w:val="00A565D8"/>
    <w:rsid w:val="00A6747B"/>
    <w:rsid w:val="00A75855"/>
    <w:rsid w:val="00A832E9"/>
    <w:rsid w:val="00A8657F"/>
    <w:rsid w:val="00A90D12"/>
    <w:rsid w:val="00A92004"/>
    <w:rsid w:val="00A958BB"/>
    <w:rsid w:val="00AA1097"/>
    <w:rsid w:val="00AA28A4"/>
    <w:rsid w:val="00AA671C"/>
    <w:rsid w:val="00AB081D"/>
    <w:rsid w:val="00AB230C"/>
    <w:rsid w:val="00AB2532"/>
    <w:rsid w:val="00AB3D29"/>
    <w:rsid w:val="00AB4EB5"/>
    <w:rsid w:val="00AB5F8C"/>
    <w:rsid w:val="00AC1AD8"/>
    <w:rsid w:val="00AC2801"/>
    <w:rsid w:val="00AD0274"/>
    <w:rsid w:val="00AD52DA"/>
    <w:rsid w:val="00AE3262"/>
    <w:rsid w:val="00AE4D96"/>
    <w:rsid w:val="00AE5DCB"/>
    <w:rsid w:val="00AF0D73"/>
    <w:rsid w:val="00AF6261"/>
    <w:rsid w:val="00B006D1"/>
    <w:rsid w:val="00B02B2E"/>
    <w:rsid w:val="00B03EAB"/>
    <w:rsid w:val="00B052A6"/>
    <w:rsid w:val="00B058B4"/>
    <w:rsid w:val="00B05FB1"/>
    <w:rsid w:val="00B074F7"/>
    <w:rsid w:val="00B17EB1"/>
    <w:rsid w:val="00B30CB1"/>
    <w:rsid w:val="00B3421E"/>
    <w:rsid w:val="00B35EAD"/>
    <w:rsid w:val="00B4085C"/>
    <w:rsid w:val="00B41D0B"/>
    <w:rsid w:val="00B53807"/>
    <w:rsid w:val="00B653F0"/>
    <w:rsid w:val="00B653F4"/>
    <w:rsid w:val="00B65633"/>
    <w:rsid w:val="00B66E87"/>
    <w:rsid w:val="00B67ED4"/>
    <w:rsid w:val="00B74FB2"/>
    <w:rsid w:val="00B75270"/>
    <w:rsid w:val="00B94F4D"/>
    <w:rsid w:val="00B9771F"/>
    <w:rsid w:val="00BA19C5"/>
    <w:rsid w:val="00BA371C"/>
    <w:rsid w:val="00BA707A"/>
    <w:rsid w:val="00BB3036"/>
    <w:rsid w:val="00BB47F7"/>
    <w:rsid w:val="00BB71FA"/>
    <w:rsid w:val="00BB7ADD"/>
    <w:rsid w:val="00BB7C05"/>
    <w:rsid w:val="00BC2A4D"/>
    <w:rsid w:val="00BC432C"/>
    <w:rsid w:val="00BE1F79"/>
    <w:rsid w:val="00BE6F91"/>
    <w:rsid w:val="00C15F8D"/>
    <w:rsid w:val="00C22826"/>
    <w:rsid w:val="00C23260"/>
    <w:rsid w:val="00C25B28"/>
    <w:rsid w:val="00C27EBC"/>
    <w:rsid w:val="00C31DB3"/>
    <w:rsid w:val="00C3262F"/>
    <w:rsid w:val="00C32C2C"/>
    <w:rsid w:val="00C361FD"/>
    <w:rsid w:val="00C459B3"/>
    <w:rsid w:val="00C45A4C"/>
    <w:rsid w:val="00C52790"/>
    <w:rsid w:val="00C5330F"/>
    <w:rsid w:val="00C541BB"/>
    <w:rsid w:val="00C56509"/>
    <w:rsid w:val="00C600F6"/>
    <w:rsid w:val="00C632DD"/>
    <w:rsid w:val="00C6362E"/>
    <w:rsid w:val="00C650D9"/>
    <w:rsid w:val="00C9148D"/>
    <w:rsid w:val="00C969A5"/>
    <w:rsid w:val="00CA024B"/>
    <w:rsid w:val="00CB2413"/>
    <w:rsid w:val="00CB6BD1"/>
    <w:rsid w:val="00CC0047"/>
    <w:rsid w:val="00CC7031"/>
    <w:rsid w:val="00CD2D6D"/>
    <w:rsid w:val="00CE384C"/>
    <w:rsid w:val="00CE40FD"/>
    <w:rsid w:val="00CE4A5C"/>
    <w:rsid w:val="00CE5678"/>
    <w:rsid w:val="00CE6437"/>
    <w:rsid w:val="00CF0817"/>
    <w:rsid w:val="00D026CA"/>
    <w:rsid w:val="00D0597C"/>
    <w:rsid w:val="00D05D50"/>
    <w:rsid w:val="00D06AD3"/>
    <w:rsid w:val="00D139B2"/>
    <w:rsid w:val="00D242BF"/>
    <w:rsid w:val="00D25259"/>
    <w:rsid w:val="00D26671"/>
    <w:rsid w:val="00D274AC"/>
    <w:rsid w:val="00D27A0E"/>
    <w:rsid w:val="00D3051E"/>
    <w:rsid w:val="00D34230"/>
    <w:rsid w:val="00D35359"/>
    <w:rsid w:val="00D41E8A"/>
    <w:rsid w:val="00D5003F"/>
    <w:rsid w:val="00D51F69"/>
    <w:rsid w:val="00D534C4"/>
    <w:rsid w:val="00D54625"/>
    <w:rsid w:val="00D61E22"/>
    <w:rsid w:val="00D61EBC"/>
    <w:rsid w:val="00D62C7D"/>
    <w:rsid w:val="00D63906"/>
    <w:rsid w:val="00D660F6"/>
    <w:rsid w:val="00D82575"/>
    <w:rsid w:val="00D87C0F"/>
    <w:rsid w:val="00D90147"/>
    <w:rsid w:val="00D95D85"/>
    <w:rsid w:val="00DA278A"/>
    <w:rsid w:val="00DC24AA"/>
    <w:rsid w:val="00DC2955"/>
    <w:rsid w:val="00DC7263"/>
    <w:rsid w:val="00DC7DE0"/>
    <w:rsid w:val="00DD2DA3"/>
    <w:rsid w:val="00DE058A"/>
    <w:rsid w:val="00DE70DF"/>
    <w:rsid w:val="00DF11A1"/>
    <w:rsid w:val="00DF3239"/>
    <w:rsid w:val="00DF4947"/>
    <w:rsid w:val="00DF56FB"/>
    <w:rsid w:val="00DF5795"/>
    <w:rsid w:val="00E0131D"/>
    <w:rsid w:val="00E013B3"/>
    <w:rsid w:val="00E01BCF"/>
    <w:rsid w:val="00E11AB9"/>
    <w:rsid w:val="00E2282F"/>
    <w:rsid w:val="00E31AB6"/>
    <w:rsid w:val="00E326B0"/>
    <w:rsid w:val="00E347AD"/>
    <w:rsid w:val="00E56FC9"/>
    <w:rsid w:val="00E57E50"/>
    <w:rsid w:val="00E63F6C"/>
    <w:rsid w:val="00E64F65"/>
    <w:rsid w:val="00E65E6C"/>
    <w:rsid w:val="00E67BFA"/>
    <w:rsid w:val="00E72B06"/>
    <w:rsid w:val="00E814D2"/>
    <w:rsid w:val="00E8230D"/>
    <w:rsid w:val="00E858C7"/>
    <w:rsid w:val="00E860C6"/>
    <w:rsid w:val="00E921A6"/>
    <w:rsid w:val="00E933BE"/>
    <w:rsid w:val="00E94048"/>
    <w:rsid w:val="00EA4B5F"/>
    <w:rsid w:val="00EB0B83"/>
    <w:rsid w:val="00EB22A7"/>
    <w:rsid w:val="00EB6C45"/>
    <w:rsid w:val="00EB6D5A"/>
    <w:rsid w:val="00EC2695"/>
    <w:rsid w:val="00EC389E"/>
    <w:rsid w:val="00EC5DAF"/>
    <w:rsid w:val="00ED41F9"/>
    <w:rsid w:val="00EE3370"/>
    <w:rsid w:val="00EE584D"/>
    <w:rsid w:val="00EE7830"/>
    <w:rsid w:val="00EF10F0"/>
    <w:rsid w:val="00EF5817"/>
    <w:rsid w:val="00F151DD"/>
    <w:rsid w:val="00F16C10"/>
    <w:rsid w:val="00F1756D"/>
    <w:rsid w:val="00F32573"/>
    <w:rsid w:val="00F35358"/>
    <w:rsid w:val="00F36753"/>
    <w:rsid w:val="00F67D87"/>
    <w:rsid w:val="00F72269"/>
    <w:rsid w:val="00F73EFA"/>
    <w:rsid w:val="00F75C38"/>
    <w:rsid w:val="00F76994"/>
    <w:rsid w:val="00F84A15"/>
    <w:rsid w:val="00F85D47"/>
    <w:rsid w:val="00F876FA"/>
    <w:rsid w:val="00F877CD"/>
    <w:rsid w:val="00F936CE"/>
    <w:rsid w:val="00FA3B08"/>
    <w:rsid w:val="00FA53F0"/>
    <w:rsid w:val="00FA5D8D"/>
    <w:rsid w:val="00FA5EF8"/>
    <w:rsid w:val="00FC4683"/>
    <w:rsid w:val="00FD220E"/>
    <w:rsid w:val="00FD32A3"/>
    <w:rsid w:val="00FD4E26"/>
    <w:rsid w:val="00FE591B"/>
    <w:rsid w:val="00FE6D53"/>
    <w:rsid w:val="00FE7A35"/>
    <w:rsid w:val="00FF48A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2D6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46553"/>
    <w:pPr>
      <w:ind w:left="720"/>
      <w:contextualSpacing/>
    </w:pPr>
  </w:style>
  <w:style w:type="paragraph" w:styleId="BalloonText">
    <w:name w:val="Balloon Text"/>
    <w:basedOn w:val="Normal"/>
    <w:link w:val="BalloonTextChar"/>
    <w:uiPriority w:val="99"/>
    <w:semiHidden/>
    <w:unhideWhenUsed/>
    <w:rsid w:val="005A03E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A03E7"/>
    <w:rPr>
      <w:rFonts w:ascii="Tahoma" w:hAnsi="Tahoma" w:cs="Tahoma"/>
      <w:sz w:val="16"/>
      <w:szCs w:val="16"/>
    </w:rPr>
  </w:style>
  <w:style w:type="character" w:styleId="Hyperlink">
    <w:name w:val="Hyperlink"/>
    <w:basedOn w:val="DefaultParagraphFont"/>
    <w:uiPriority w:val="99"/>
    <w:unhideWhenUsed/>
    <w:rsid w:val="00DF56FB"/>
    <w:rPr>
      <w:color w:val="0000FF" w:themeColor="hyperlink"/>
      <w:u w:val="single"/>
    </w:rPr>
  </w:style>
  <w:style w:type="paragraph" w:customStyle="1" w:styleId="Default">
    <w:name w:val="Default"/>
    <w:rsid w:val="005A6BEA"/>
    <w:pPr>
      <w:autoSpaceDE w:val="0"/>
      <w:autoSpaceDN w:val="0"/>
      <w:adjustRightInd w:val="0"/>
      <w:spacing w:after="0" w:line="240" w:lineRule="auto"/>
    </w:pPr>
    <w:rPr>
      <w:rFonts w:ascii="Arial" w:hAnsi="Arial" w:cs="Arial"/>
      <w:color w:val="000000"/>
      <w:sz w:val="24"/>
      <w:szCs w:val="24"/>
    </w:rPr>
  </w:style>
  <w:style w:type="character" w:styleId="FollowedHyperlink">
    <w:name w:val="FollowedHyperlink"/>
    <w:basedOn w:val="DefaultParagraphFont"/>
    <w:uiPriority w:val="99"/>
    <w:semiHidden/>
    <w:unhideWhenUsed/>
    <w:rsid w:val="00BE6F91"/>
    <w:rPr>
      <w:color w:val="800080" w:themeColor="followedHyperlink"/>
      <w:u w:val="single"/>
    </w:rPr>
  </w:style>
  <w:style w:type="table" w:styleId="TableGrid">
    <w:name w:val="Table Grid"/>
    <w:basedOn w:val="TableNormal"/>
    <w:uiPriority w:val="59"/>
    <w:rsid w:val="0008651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0002B6"/>
    <w:pPr>
      <w:tabs>
        <w:tab w:val="center" w:pos="4680"/>
        <w:tab w:val="right" w:pos="9360"/>
      </w:tabs>
      <w:spacing w:after="0" w:line="240" w:lineRule="auto"/>
    </w:pPr>
  </w:style>
  <w:style w:type="character" w:customStyle="1" w:styleId="HeaderChar">
    <w:name w:val="Header Char"/>
    <w:basedOn w:val="DefaultParagraphFont"/>
    <w:link w:val="Header"/>
    <w:uiPriority w:val="99"/>
    <w:rsid w:val="000002B6"/>
  </w:style>
  <w:style w:type="paragraph" w:styleId="Footer">
    <w:name w:val="footer"/>
    <w:basedOn w:val="Normal"/>
    <w:link w:val="FooterChar"/>
    <w:uiPriority w:val="99"/>
    <w:unhideWhenUsed/>
    <w:rsid w:val="000002B6"/>
    <w:pPr>
      <w:tabs>
        <w:tab w:val="center" w:pos="4680"/>
        <w:tab w:val="right" w:pos="9360"/>
      </w:tabs>
      <w:spacing w:after="0" w:line="240" w:lineRule="auto"/>
    </w:pPr>
  </w:style>
  <w:style w:type="character" w:customStyle="1" w:styleId="FooterChar">
    <w:name w:val="Footer Char"/>
    <w:basedOn w:val="DefaultParagraphFont"/>
    <w:link w:val="Footer"/>
    <w:uiPriority w:val="99"/>
    <w:rsid w:val="000002B6"/>
  </w:style>
  <w:style w:type="paragraph" w:customStyle="1" w:styleId="EstuaryHeading">
    <w:name w:val="Estuary Heading"/>
    <w:basedOn w:val="Normal"/>
    <w:qFormat/>
    <w:rsid w:val="00883CE0"/>
    <w:rPr>
      <w:b/>
      <w:sz w:val="24"/>
    </w:rPr>
  </w:style>
  <w:style w:type="paragraph" w:customStyle="1" w:styleId="EstuarySubheading">
    <w:name w:val="Estuary Subheading"/>
    <w:basedOn w:val="EstuaryHeading"/>
    <w:qFormat/>
    <w:rsid w:val="00883CE0"/>
    <w:rPr>
      <w:i/>
      <w:sz w:val="22"/>
    </w:rPr>
  </w:style>
  <w:style w:type="paragraph" w:styleId="TOC1">
    <w:name w:val="toc 1"/>
    <w:basedOn w:val="Normal"/>
    <w:next w:val="Normal"/>
    <w:autoRedefine/>
    <w:uiPriority w:val="39"/>
    <w:unhideWhenUsed/>
    <w:rsid w:val="006145F4"/>
    <w:pPr>
      <w:spacing w:after="100"/>
    </w:pPr>
  </w:style>
  <w:style w:type="table" w:customStyle="1" w:styleId="LightShading1">
    <w:name w:val="Light Shading1"/>
    <w:basedOn w:val="TableNormal"/>
    <w:uiPriority w:val="60"/>
    <w:rsid w:val="001D75F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MediumShading1-Accent3">
    <w:name w:val="Medium Shading 1 Accent 3"/>
    <w:basedOn w:val="TableNormal"/>
    <w:uiPriority w:val="63"/>
    <w:rsid w:val="00343E4F"/>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2-Accent3">
    <w:name w:val="Medium Shading 2 Accent 3"/>
    <w:basedOn w:val="TableNormal"/>
    <w:uiPriority w:val="64"/>
    <w:rsid w:val="001D75F0"/>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Accent3">
    <w:name w:val="Medium List 1 Accent 3"/>
    <w:basedOn w:val="TableNormal"/>
    <w:uiPriority w:val="65"/>
    <w:rsid w:val="001D75F0"/>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Shading1-Accent5">
    <w:name w:val="Medium Shading 1 Accent 5"/>
    <w:basedOn w:val="TableNormal"/>
    <w:uiPriority w:val="63"/>
    <w:rsid w:val="001D75F0"/>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1D75F0"/>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LightGrid-Accent3">
    <w:name w:val="Light Grid Accent 3"/>
    <w:basedOn w:val="TableNormal"/>
    <w:uiPriority w:val="62"/>
    <w:rsid w:val="001D75F0"/>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List-Accent3">
    <w:name w:val="Light List Accent 3"/>
    <w:basedOn w:val="TableNormal"/>
    <w:uiPriority w:val="61"/>
    <w:rsid w:val="001D75F0"/>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Shading-Accent3">
    <w:name w:val="Light Shading Accent 3"/>
    <w:basedOn w:val="TableNormal"/>
    <w:uiPriority w:val="60"/>
    <w:rsid w:val="001D75F0"/>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paragraph" w:styleId="TOC2">
    <w:name w:val="toc 2"/>
    <w:basedOn w:val="Normal"/>
    <w:next w:val="Normal"/>
    <w:autoRedefine/>
    <w:uiPriority w:val="39"/>
    <w:unhideWhenUsed/>
    <w:rsid w:val="007D1F03"/>
    <w:pPr>
      <w:spacing w:after="100"/>
      <w:ind w:left="220"/>
    </w:pPr>
  </w:style>
</w:styles>
</file>

<file path=word/webSettings.xml><?xml version="1.0" encoding="utf-8"?>
<w:webSettings xmlns:r="http://schemas.openxmlformats.org/officeDocument/2006/relationships" xmlns:w="http://schemas.openxmlformats.org/wordprocessingml/2006/main">
  <w:divs>
    <w:div w:id="341780706">
      <w:bodyDiv w:val="1"/>
      <w:marLeft w:val="0"/>
      <w:marRight w:val="0"/>
      <w:marTop w:val="0"/>
      <w:marBottom w:val="0"/>
      <w:divBdr>
        <w:top w:val="none" w:sz="0" w:space="0" w:color="auto"/>
        <w:left w:val="none" w:sz="0" w:space="0" w:color="auto"/>
        <w:bottom w:val="none" w:sz="0" w:space="0" w:color="auto"/>
        <w:right w:val="none" w:sz="0" w:space="0" w:color="auto"/>
      </w:divBdr>
    </w:div>
    <w:div w:id="1318221660">
      <w:bodyDiv w:val="1"/>
      <w:marLeft w:val="0"/>
      <w:marRight w:val="0"/>
      <w:marTop w:val="0"/>
      <w:marBottom w:val="0"/>
      <w:divBdr>
        <w:top w:val="none" w:sz="0" w:space="0" w:color="auto"/>
        <w:left w:val="none" w:sz="0" w:space="0" w:color="auto"/>
        <w:bottom w:val="none" w:sz="0" w:space="0" w:color="auto"/>
        <w:right w:val="none" w:sz="0" w:space="0" w:color="auto"/>
      </w:divBdr>
    </w:div>
    <w:div w:id="1390299268">
      <w:bodyDiv w:val="1"/>
      <w:marLeft w:val="0"/>
      <w:marRight w:val="0"/>
      <w:marTop w:val="0"/>
      <w:marBottom w:val="0"/>
      <w:divBdr>
        <w:top w:val="none" w:sz="0" w:space="0" w:color="auto"/>
        <w:left w:val="none" w:sz="0" w:space="0" w:color="auto"/>
        <w:bottom w:val="none" w:sz="0" w:space="0" w:color="auto"/>
        <w:right w:val="none" w:sz="0" w:space="0" w:color="auto"/>
      </w:divBdr>
    </w:div>
    <w:div w:id="1403986281">
      <w:bodyDiv w:val="1"/>
      <w:marLeft w:val="0"/>
      <w:marRight w:val="0"/>
      <w:marTop w:val="0"/>
      <w:marBottom w:val="0"/>
      <w:divBdr>
        <w:top w:val="none" w:sz="0" w:space="0" w:color="auto"/>
        <w:left w:val="none" w:sz="0" w:space="0" w:color="auto"/>
        <w:bottom w:val="none" w:sz="0" w:space="0" w:color="auto"/>
        <w:right w:val="none" w:sz="0" w:space="0" w:color="auto"/>
      </w:divBdr>
    </w:div>
    <w:div w:id="1592351221">
      <w:bodyDiv w:val="1"/>
      <w:marLeft w:val="0"/>
      <w:marRight w:val="0"/>
      <w:marTop w:val="0"/>
      <w:marBottom w:val="0"/>
      <w:divBdr>
        <w:top w:val="none" w:sz="0" w:space="0" w:color="auto"/>
        <w:left w:val="none" w:sz="0" w:space="0" w:color="auto"/>
        <w:bottom w:val="none" w:sz="0" w:space="0" w:color="auto"/>
        <w:right w:val="none" w:sz="0" w:space="0" w:color="auto"/>
      </w:divBdr>
    </w:div>
    <w:div w:id="1939675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image" Target="media/image3.png"/><Relationship Id="rId18" Type="http://schemas.openxmlformats.org/officeDocument/2006/relationships/image" Target="media/image8.emf"/><Relationship Id="rId26" Type="http://schemas.openxmlformats.org/officeDocument/2006/relationships/image" Target="media/image16.emf"/><Relationship Id="rId39" Type="http://schemas.openxmlformats.org/officeDocument/2006/relationships/image" Target="media/image29.emf"/><Relationship Id="rId3" Type="http://schemas.openxmlformats.org/officeDocument/2006/relationships/styles" Target="styles.xml"/><Relationship Id="rId21" Type="http://schemas.openxmlformats.org/officeDocument/2006/relationships/image" Target="media/image11.emf"/><Relationship Id="rId34" Type="http://schemas.openxmlformats.org/officeDocument/2006/relationships/image" Target="media/image24.emf"/><Relationship Id="rId42" Type="http://schemas.openxmlformats.org/officeDocument/2006/relationships/hyperlink" Target="http://www.dep.state.fl.us/Water/watersheds/bmap.htm" TargetMode="Externa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emf"/><Relationship Id="rId25" Type="http://schemas.openxmlformats.org/officeDocument/2006/relationships/image" Target="media/image15.emf"/><Relationship Id="rId33" Type="http://schemas.openxmlformats.org/officeDocument/2006/relationships/image" Target="media/image23.emf"/><Relationship Id="rId38" Type="http://schemas.openxmlformats.org/officeDocument/2006/relationships/image" Target="media/image28.emf"/><Relationship Id="rId2" Type="http://schemas.openxmlformats.org/officeDocument/2006/relationships/numbering" Target="numbering.xml"/><Relationship Id="rId16" Type="http://schemas.openxmlformats.org/officeDocument/2006/relationships/image" Target="media/image6.emf"/><Relationship Id="rId20" Type="http://schemas.openxmlformats.org/officeDocument/2006/relationships/image" Target="media/image10.emf"/><Relationship Id="rId29" Type="http://schemas.openxmlformats.org/officeDocument/2006/relationships/image" Target="media/image19.emf"/><Relationship Id="rId41" Type="http://schemas.openxmlformats.org/officeDocument/2006/relationships/image" Target="media/image31.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14.emf"/><Relationship Id="rId32" Type="http://schemas.openxmlformats.org/officeDocument/2006/relationships/image" Target="media/image22.emf"/><Relationship Id="rId37" Type="http://schemas.openxmlformats.org/officeDocument/2006/relationships/image" Target="media/image27.jpeg"/><Relationship Id="rId40" Type="http://schemas.openxmlformats.org/officeDocument/2006/relationships/image" Target="media/image30.emf"/><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emf"/><Relationship Id="rId23" Type="http://schemas.openxmlformats.org/officeDocument/2006/relationships/image" Target="media/image13.emf"/><Relationship Id="rId28" Type="http://schemas.openxmlformats.org/officeDocument/2006/relationships/image" Target="media/image18.emf"/><Relationship Id="rId36" Type="http://schemas.openxmlformats.org/officeDocument/2006/relationships/image" Target="media/image26.emf"/><Relationship Id="rId10" Type="http://schemas.openxmlformats.org/officeDocument/2006/relationships/header" Target="header1.xml"/><Relationship Id="rId19" Type="http://schemas.openxmlformats.org/officeDocument/2006/relationships/image" Target="media/image9.emf"/><Relationship Id="rId31" Type="http://schemas.openxmlformats.org/officeDocument/2006/relationships/image" Target="media/image21.emf"/><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emf"/><Relationship Id="rId22" Type="http://schemas.openxmlformats.org/officeDocument/2006/relationships/image" Target="media/image12.emf"/><Relationship Id="rId27" Type="http://schemas.openxmlformats.org/officeDocument/2006/relationships/image" Target="media/image17.emf"/><Relationship Id="rId30" Type="http://schemas.openxmlformats.org/officeDocument/2006/relationships/image" Target="media/image20.emf"/><Relationship Id="rId35" Type="http://schemas.openxmlformats.org/officeDocument/2006/relationships/image" Target="media/image25.emf"/><Relationship Id="rId43" Type="http://schemas.openxmlformats.org/officeDocument/2006/relationships/hyperlink" Target="http://www.dep.state.fl.us/water/wqssp/nutrients/docs/estuarine/miami/florida_keys_reasonable_assurance_nutrient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DB5C40-4263-43E8-8079-C41D797C6B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38</Pages>
  <Words>9900</Words>
  <Characters>56431</Characters>
  <Application>Microsoft Office Word</Application>
  <DocSecurity>0</DocSecurity>
  <Lines>470</Lines>
  <Paragraphs>132</Paragraphs>
  <ScaleCrop>false</ScaleCrop>
  <HeadingPairs>
    <vt:vector size="2" baseType="variant">
      <vt:variant>
        <vt:lpstr>Title</vt:lpstr>
      </vt:variant>
      <vt:variant>
        <vt:i4>1</vt:i4>
      </vt:variant>
    </vt:vector>
  </HeadingPairs>
  <TitlesOfParts>
    <vt:vector size="1" baseType="lpstr">
      <vt:lpstr/>
    </vt:vector>
  </TitlesOfParts>
  <Company>FDEP-SAS</Company>
  <LinksUpToDate>false</LinksUpToDate>
  <CharactersWithSpaces>66199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Wellendorf, Nijole</dc:creator>
  <cp:keywords/>
  <dc:description/>
  <cp:lastModifiedBy>McGee_C</cp:lastModifiedBy>
  <cp:revision>4</cp:revision>
  <cp:lastPrinted>2010-06-24T13:56:00Z</cp:lastPrinted>
  <dcterms:created xsi:type="dcterms:W3CDTF">2010-07-01T11:26:00Z</dcterms:created>
  <dcterms:modified xsi:type="dcterms:W3CDTF">2010-07-01T12:05:00Z</dcterms:modified>
</cp:coreProperties>
</file>